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438" w:tblpY="-71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14"/>
        <w:gridCol w:w="3798"/>
        <w:gridCol w:w="8704"/>
      </w:tblGrid>
      <w:tr w:rsidR="002A5F18" w:rsidRPr="00A862F7" w14:paraId="52BB1534" w14:textId="77777777" w:rsidTr="007D2948">
        <w:trPr>
          <w:trHeight w:val="679"/>
        </w:trPr>
        <w:tc>
          <w:tcPr>
            <w:tcW w:w="15984" w:type="dxa"/>
            <w:gridSpan w:val="4"/>
            <w:shd w:val="clear" w:color="auto" w:fill="D9D9D9" w:themeFill="background1" w:themeFillShade="D9"/>
            <w:vAlign w:val="center"/>
          </w:tcPr>
          <w:p w14:paraId="52BB1532" w14:textId="0647367B" w:rsidR="002A5F18" w:rsidRPr="00A862F7" w:rsidRDefault="00732BB3" w:rsidP="0073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732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AGJENDA</w:t>
            </w:r>
            <w:r w:rsidR="00934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 xml:space="preserve"> KOMB</w:t>
            </w:r>
            <w:r w:rsidR="001B1E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Ë</w:t>
            </w:r>
            <w:r w:rsidR="00934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TARE</w:t>
            </w:r>
            <w:r w:rsidRPr="00732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 xml:space="preserve"> E REFORMAVE 2024 </w:t>
            </w:r>
            <w:r w:rsidR="008B2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–</w:t>
            </w:r>
            <w:r w:rsidRPr="00732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 xml:space="preserve"> 2027</w:t>
            </w:r>
            <w:r w:rsidR="008B2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 xml:space="preserve"> (</w:t>
            </w:r>
            <w:r w:rsidR="00ED33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DRAFT)</w:t>
            </w:r>
          </w:p>
        </w:tc>
      </w:tr>
      <w:tr w:rsidR="002A5F18" w:rsidRPr="00A862F7" w14:paraId="52BB153B" w14:textId="77777777" w:rsidTr="007D2948">
        <w:trPr>
          <w:trHeight w:val="581"/>
        </w:trPr>
        <w:tc>
          <w:tcPr>
            <w:tcW w:w="1668" w:type="dxa"/>
            <w:shd w:val="clear" w:color="auto" w:fill="B4C6E7" w:themeFill="accent1" w:themeFillTint="66"/>
            <w:vAlign w:val="center"/>
          </w:tcPr>
          <w:p w14:paraId="52BB1535" w14:textId="227A1822" w:rsidR="002A5F18" w:rsidRPr="00A862F7" w:rsidRDefault="002A5F18" w:rsidP="008357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Fusha e politik</w:t>
            </w:r>
            <w:r w:rsidR="006766C9">
              <w:rPr>
                <w:rFonts w:ascii="Times New Roman" w:eastAsia="Calibri" w:hAnsi="Times New Roman" w:cs="Times New Roman"/>
                <w:b/>
                <w:bCs/>
                <w:lang w:val="sq-AL"/>
              </w:rPr>
              <w:t>ë</w:t>
            </w:r>
            <w:r w:rsidR="008B226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s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52BB1536" w14:textId="7C93161A" w:rsidR="002A5F18" w:rsidRPr="00A862F7" w:rsidRDefault="002A5F18" w:rsidP="00835701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Komponenti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A862F7">
              <w:rPr>
                <w:lang w:val="sq-AL"/>
              </w:rPr>
              <w:br/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(sektori)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2BB1537" w14:textId="77777777" w:rsidR="002A5F18" w:rsidRPr="00A862F7" w:rsidRDefault="002A5F18" w:rsidP="008357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Reforma Indikative</w:t>
            </w:r>
          </w:p>
        </w:tc>
        <w:tc>
          <w:tcPr>
            <w:tcW w:w="870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2BB1538" w14:textId="3604C007" w:rsidR="002A5F18" w:rsidRPr="00A862F7" w:rsidRDefault="002A5F18" w:rsidP="008357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sq-AL"/>
              </w:rPr>
            </w:pPr>
            <w:r w:rsidRPr="00A862F7">
              <w:rPr>
                <w:rStyle w:val="normaltextrun"/>
                <w:b/>
                <w:bCs/>
                <w:sz w:val="22"/>
                <w:szCs w:val="22"/>
                <w:lang w:val="sq-AL"/>
              </w:rPr>
              <w:t>Hapat cilësor</w:t>
            </w:r>
            <w:r w:rsidR="00B636EA">
              <w:rPr>
                <w:rStyle w:val="normaltextrun"/>
                <w:b/>
                <w:bCs/>
                <w:sz w:val="22"/>
                <w:szCs w:val="22"/>
                <w:lang w:val="sq-AL"/>
              </w:rPr>
              <w:t>ë</w:t>
            </w:r>
            <w:r w:rsidRPr="00A862F7">
              <w:rPr>
                <w:rStyle w:val="normaltextrun"/>
                <w:b/>
                <w:bCs/>
                <w:sz w:val="22"/>
                <w:szCs w:val="22"/>
                <w:lang w:val="sq-AL"/>
              </w:rPr>
              <w:t xml:space="preserve"> ose sasior</w:t>
            </w:r>
            <w:r w:rsidR="00B636EA">
              <w:rPr>
                <w:rStyle w:val="normaltextrun"/>
                <w:b/>
                <w:bCs/>
                <w:sz w:val="22"/>
                <w:szCs w:val="22"/>
                <w:lang w:val="sq-AL"/>
              </w:rPr>
              <w:t>ë</w:t>
            </w:r>
          </w:p>
          <w:p w14:paraId="52BB1539" w14:textId="77777777" w:rsidR="002A5F18" w:rsidRPr="00A862F7" w:rsidRDefault="002A5F18" w:rsidP="00835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</w:tr>
      <w:tr w:rsidR="002A5F18" w:rsidRPr="00A862F7" w14:paraId="52BB1544" w14:textId="77777777" w:rsidTr="007D2948">
        <w:trPr>
          <w:trHeight w:val="565"/>
        </w:trPr>
        <w:tc>
          <w:tcPr>
            <w:tcW w:w="1668" w:type="dxa"/>
            <w:vMerge w:val="restart"/>
            <w:shd w:val="clear" w:color="auto" w:fill="FFFFFF" w:themeFill="background1"/>
            <w:vAlign w:val="center"/>
            <w:hideMark/>
          </w:tcPr>
          <w:p w14:paraId="674C1FD9" w14:textId="3A16A474" w:rsidR="002A5F18" w:rsidRPr="002449FC" w:rsidRDefault="00732BB3" w:rsidP="0083570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lang w:val="sq-AL"/>
              </w:rPr>
              <w:t>1</w:t>
            </w:r>
            <w:r w:rsidRPr="002449F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. Mjedisi </w:t>
            </w:r>
            <w:r w:rsidR="006954D8" w:rsidRPr="002449F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i </w:t>
            </w:r>
            <w:r w:rsidRPr="002449FC">
              <w:rPr>
                <w:rFonts w:ascii="Times New Roman" w:eastAsiaTheme="minorEastAsia" w:hAnsi="Times New Roman" w:cs="Times New Roman"/>
                <w:sz w:val="24"/>
                <w:szCs w:val="24"/>
                <w:lang w:val="sq-AL"/>
              </w:rPr>
              <w:t>biznesit</w:t>
            </w:r>
          </w:p>
          <w:p w14:paraId="52BB153C" w14:textId="408C370E" w:rsidR="00064AC2" w:rsidRPr="00A862F7" w:rsidRDefault="00064AC2" w:rsidP="00835701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14" w:type="dxa"/>
            <w:vMerge w:val="restart"/>
            <w:shd w:val="clear" w:color="auto" w:fill="FFFFFF" w:themeFill="background1"/>
            <w:vAlign w:val="center"/>
          </w:tcPr>
          <w:p w14:paraId="52BB153D" w14:textId="49B1CAD4" w:rsidR="002A5F18" w:rsidRPr="00A862F7" w:rsidRDefault="002A5F18" w:rsidP="00DC7F3C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>1.1. Mjedis</w:t>
            </w:r>
            <w:r w:rsidR="00B5237A">
              <w:rPr>
                <w:rFonts w:ascii="Times New Roman" w:eastAsia="Calibri" w:hAnsi="Times New Roman" w:cs="Times New Roman"/>
                <w:lang w:val="sq-AL"/>
              </w:rPr>
              <w:t>i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="006954D8">
              <w:rPr>
                <w:rFonts w:ascii="Times New Roman" w:eastAsia="Calibri" w:hAnsi="Times New Roman" w:cs="Times New Roman"/>
                <w:lang w:val="sq-AL"/>
              </w:rPr>
              <w:t xml:space="preserve"> i </w:t>
            </w:r>
            <w:r w:rsidRPr="00A862F7">
              <w:rPr>
                <w:rFonts w:ascii="Times New Roman" w:eastAsiaTheme="minorEastAsia" w:hAnsi="Times New Roman" w:cs="Times New Roman"/>
                <w:lang w:val="sq-AL"/>
              </w:rPr>
              <w:t>biznesi</w:t>
            </w:r>
            <w:r w:rsidR="00B5237A">
              <w:rPr>
                <w:rFonts w:ascii="Times New Roman" w:eastAsiaTheme="minorEastAsia" w:hAnsi="Times New Roman" w:cs="Times New Roman"/>
                <w:lang w:val="sq-AL"/>
              </w:rPr>
              <w:t>t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53E" w14:textId="258775A0" w:rsidR="002A5F18" w:rsidRPr="00A862F7" w:rsidRDefault="002A5F18" w:rsidP="00551673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1.1.1. Rritja e mobilizimit të të ardhurave të brendshme dhe e sistemit tatimor, veçanërisht nëpërmjet miratimit dhe zbatimit të Strategjisë Afatmesme të të Ardhurave (</w:t>
            </w:r>
            <w:r w:rsidR="008B2267">
              <w:rPr>
                <w:rFonts w:ascii="Times New Roman" w:eastAsia="Times New Roman" w:hAnsi="Times New Roman" w:cs="Times New Roman"/>
                <w:lang w:val="sq-AL"/>
              </w:rPr>
              <w:t>SAA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BD1A" w14:textId="26E8990B" w:rsidR="002A5F18" w:rsidRPr="00A862F7" w:rsidRDefault="008B2267" w:rsidP="009345AB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SAA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732BB3">
              <w:rPr>
                <w:rFonts w:ascii="Times New Roman" w:eastAsia="Times New Roman" w:hAnsi="Times New Roman" w:cs="Times New Roman"/>
                <w:lang w:val="sq-AL"/>
              </w:rPr>
              <w:t xml:space="preserve">e 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përditësuar dhe miratuar 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2024)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, duke përfshirë </w:t>
            </w:r>
            <w:r w:rsidR="000A4721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(ndër të tjera) 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një masë për një vlerësim të të gjitha përjashtimeve tatimore me synimin për të vendosur nëse ndonjë </w:t>
            </w:r>
            <w:r w:rsidR="000A4721">
              <w:rPr>
                <w:rFonts w:ascii="Times New Roman" w:eastAsia="Times New Roman" w:hAnsi="Times New Roman" w:cs="Times New Roman"/>
                <w:lang w:val="sq-AL"/>
              </w:rPr>
              <w:t>mas</w:t>
            </w:r>
            <w:r w:rsidR="001B1E94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0A4721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mund të hiqet gradualisht, dhe me synimin për </w:t>
            </w:r>
            <w:r w:rsidR="008B4E4F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ë </w:t>
            </w:r>
            <w:r w:rsidR="008B4E4F">
              <w:rPr>
                <w:rFonts w:ascii="Times New Roman" w:eastAsia="Times New Roman" w:hAnsi="Times New Roman" w:cs="Times New Roman"/>
                <w:lang w:val="sq-AL"/>
              </w:rPr>
              <w:t>marr</w:t>
            </w:r>
            <w:r w:rsidR="008B4E4F" w:rsidRPr="00A862F7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8B4E4F">
              <w:rPr>
                <w:rFonts w:ascii="Times New Roman" w:eastAsia="Times New Roman" w:hAnsi="Times New Roman" w:cs="Times New Roman"/>
                <w:lang w:val="sq-AL"/>
              </w:rPr>
              <w:t xml:space="preserve"> vendim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nëse</w:t>
            </w:r>
            <w:r w:rsidR="00ED4CC2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mund</w:t>
            </w:r>
            <w:r w:rsidR="001B1E94">
              <w:rPr>
                <w:rFonts w:ascii="Times New Roman" w:eastAsia="Times New Roman" w:hAnsi="Times New Roman" w:cs="Times New Roman"/>
                <w:lang w:val="sq-AL"/>
              </w:rPr>
              <w:t>ësohet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përdorimi i grupeve të të dhënave nga palët e treta </w:t>
            </w:r>
            <w:r w:rsidR="00ED4CC2" w:rsidRPr="00A862F7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ED4CC2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r hetimin e 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pasuri</w:t>
            </w:r>
            <w:r w:rsidR="001B1E94">
              <w:rPr>
                <w:rFonts w:ascii="Times New Roman" w:eastAsia="Times New Roman" w:hAnsi="Times New Roman" w:cs="Times New Roman"/>
                <w:lang w:val="sq-AL"/>
              </w:rPr>
              <w:t>ve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të pajustifikuar</w:t>
            </w:r>
            <w:r w:rsidR="00ED4CC2" w:rsidRPr="00A862F7">
              <w:rPr>
                <w:rFonts w:ascii="Times New Roman" w:eastAsia="Times New Roman" w:hAnsi="Times New Roman" w:cs="Times New Roman"/>
                <w:lang w:val="sq-AL"/>
              </w:rPr>
              <w:t>a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.</w:t>
            </w:r>
          </w:p>
          <w:p w14:paraId="50F6B6B8" w14:textId="4A612A11" w:rsidR="002A5F18" w:rsidRPr="00A862F7" w:rsidRDefault="002A5F18" w:rsidP="009345AB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6670142B" w14:textId="62266813" w:rsidR="002A5F18" w:rsidRDefault="002A5F18" w:rsidP="009345AB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Përfshirja në </w:t>
            </w:r>
            <w:r w:rsidR="008B2267">
              <w:rPr>
                <w:rFonts w:ascii="Times New Roman" w:eastAsia="Times New Roman" w:hAnsi="Times New Roman" w:cs="Times New Roman"/>
                <w:lang w:val="sq-AL"/>
              </w:rPr>
              <w:t>SAA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dhe zbatimi i masave në lidhje me përmirësimin e administr</w:t>
            </w:r>
            <w:r w:rsidR="008B2267">
              <w:rPr>
                <w:rFonts w:ascii="Times New Roman" w:eastAsia="Times New Roman" w:hAnsi="Times New Roman" w:cs="Times New Roman"/>
                <w:lang w:val="sq-AL"/>
              </w:rPr>
              <w:t>imit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tatimor, si përdorimi i të dhënave nga palët e treta </w:t>
            </w:r>
            <w:r w:rsidR="009E259C" w:rsidRPr="00A862F7">
              <w:rPr>
                <w:rFonts w:ascii="Times New Roman" w:eastAsia="Times New Roman" w:hAnsi="Times New Roman" w:cs="Times New Roman"/>
                <w:lang w:val="sq-AL"/>
              </w:rPr>
              <w:t>(e</w:t>
            </w:r>
            <w:r w:rsidR="008B2267">
              <w:rPr>
                <w:rFonts w:ascii="Times New Roman" w:eastAsia="Times New Roman" w:hAnsi="Times New Roman" w:cs="Times New Roman"/>
                <w:lang w:val="sq-AL"/>
              </w:rPr>
              <w:t>nergjia elektrike</w:t>
            </w:r>
            <w:r w:rsidR="009E259C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, uji, regjistrimi i automjeteve),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për të mundësuar programin e administratës tatimore </w:t>
            </w:r>
            <w:r w:rsidR="008B4E4F">
              <w:rPr>
                <w:rFonts w:ascii="Times New Roman" w:eastAsia="Times New Roman" w:hAnsi="Times New Roman" w:cs="Times New Roman"/>
                <w:lang w:val="sq-AL"/>
              </w:rPr>
              <w:t>mbi</w:t>
            </w:r>
            <w:r w:rsidR="008B4E4F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hetime</w:t>
            </w:r>
            <w:r w:rsidR="008B4E4F">
              <w:rPr>
                <w:rFonts w:ascii="Times New Roman" w:eastAsia="Times New Roman" w:hAnsi="Times New Roman" w:cs="Times New Roman"/>
                <w:lang w:val="sq-AL"/>
              </w:rPr>
              <w:t xml:space="preserve"> të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8B4E4F" w:rsidRPr="00A862F7">
              <w:rPr>
                <w:rFonts w:ascii="Times New Roman" w:eastAsia="Times New Roman" w:hAnsi="Times New Roman" w:cs="Times New Roman"/>
                <w:lang w:val="sq-AL"/>
              </w:rPr>
              <w:t>pasuri</w:t>
            </w:r>
            <w:r w:rsidR="008B4E4F">
              <w:rPr>
                <w:rFonts w:ascii="Times New Roman" w:eastAsia="Times New Roman" w:hAnsi="Times New Roman" w:cs="Times New Roman"/>
                <w:lang w:val="sq-AL"/>
              </w:rPr>
              <w:t xml:space="preserve">ve </w:t>
            </w:r>
            <w:r w:rsidR="008B4E4F" w:rsidRPr="00A862F7">
              <w:rPr>
                <w:rFonts w:ascii="Times New Roman" w:eastAsia="Times New Roman" w:hAnsi="Times New Roman" w:cs="Times New Roman"/>
                <w:lang w:val="sq-AL"/>
              </w:rPr>
              <w:t>të</w:t>
            </w:r>
            <w:r w:rsidR="008B4E4F" w:rsidRPr="00A862F7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pajustifikuara të </w:t>
            </w:r>
            <w:r w:rsidR="008B4E4F">
              <w:rPr>
                <w:rFonts w:ascii="Times New Roman" w:eastAsia="Times New Roman" w:hAnsi="Times New Roman" w:cs="Times New Roman"/>
                <w:lang w:val="sq-AL"/>
              </w:rPr>
              <w:t xml:space="preserve">aseteve </w:t>
            </w:r>
            <w:r w:rsidR="008B4E4F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të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tatimpaguesve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2026);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>plotësimi i regjistrit</w:t>
            </w:r>
            <w:r w:rsidR="008B4E4F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>të pasuri</w:t>
            </w:r>
            <w:r w:rsidR="008B4E4F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>ve</w:t>
            </w:r>
            <w:r w:rsidRPr="00A862F7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="008B4E4F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>t</w:t>
            </w:r>
            <w:r w:rsidRPr="00A862F7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ë tatimpaguesve </w:t>
            </w:r>
            <w:r w:rsidR="009E259C" w:rsidRPr="00A862F7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>p</w:t>
            </w:r>
            <w:r w:rsidR="008B4E4F" w:rsidRPr="00A862F7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9E259C" w:rsidRPr="00A862F7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>r 10%</w:t>
            </w:r>
            <w:r w:rsidR="008B4E4F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të</w:t>
            </w:r>
            <w:r w:rsidR="009E259C" w:rsidRPr="00A862F7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="00472285" w:rsidRPr="00A862F7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>t</w:t>
            </w:r>
            <w:r w:rsidR="00472285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>yre</w:t>
            </w:r>
            <w:r w:rsidR="00472285" w:rsidRPr="00A862F7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A862F7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>(</w:t>
            </w:r>
            <w:r w:rsidR="003F3BA3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  <w:t>Dhjetor</w:t>
            </w:r>
            <w:r w:rsidRPr="00A862F7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  <w:t xml:space="preserve"> 2026)</w:t>
            </w:r>
            <w:r w:rsidRPr="00A862F7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;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rritja e </w:t>
            </w:r>
            <w:r w:rsidR="008B4E4F">
              <w:rPr>
                <w:rFonts w:ascii="Times New Roman" w:eastAsia="Times New Roman" w:hAnsi="Times New Roman" w:cs="Times New Roman"/>
                <w:lang w:val="sq-AL"/>
              </w:rPr>
              <w:t>plot</w:t>
            </w:r>
            <w:r w:rsidR="008B4E4F" w:rsidRPr="00A862F7">
              <w:rPr>
                <w:rStyle w:val="cf01"/>
                <w:rFonts w:ascii="Times New Roman" w:hAnsi="Times New Roman" w:cs="Times New Roman"/>
                <w:sz w:val="22"/>
                <w:szCs w:val="22"/>
                <w:lang w:val="sq-AL"/>
              </w:rPr>
              <w:t>ë</w:t>
            </w:r>
            <w:r w:rsidR="008B4E4F">
              <w:rPr>
                <w:rFonts w:ascii="Times New Roman" w:eastAsia="Times New Roman" w:hAnsi="Times New Roman" w:cs="Times New Roman"/>
                <w:lang w:val="sq-AL"/>
              </w:rPr>
              <w:t>simit paraprak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8B4E4F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ë deklaratave të TVSH-së dhe </w:t>
            </w:r>
            <w:r w:rsidR="009E259C" w:rsidRPr="00A862F7">
              <w:rPr>
                <w:rFonts w:ascii="Times New Roman" w:eastAsia="Times New Roman" w:hAnsi="Times New Roman" w:cs="Times New Roman"/>
                <w:lang w:val="sq-AL"/>
              </w:rPr>
              <w:t>deklarata</w:t>
            </w:r>
            <w:r w:rsidR="008B4E4F">
              <w:rPr>
                <w:rFonts w:ascii="Times New Roman" w:eastAsia="Times New Roman" w:hAnsi="Times New Roman" w:cs="Times New Roman"/>
                <w:lang w:val="sq-AL"/>
              </w:rPr>
              <w:t>ve</w:t>
            </w:r>
            <w:r w:rsidR="009E259C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B636EA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E80B5D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9E259C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tatimit mbi të ardhurat personale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(duke përdorur informacionin nga </w:t>
            </w:r>
            <w:r w:rsidR="00624F35">
              <w:rPr>
                <w:rFonts w:ascii="Times New Roman" w:eastAsia="Times New Roman" w:hAnsi="Times New Roman" w:cs="Times New Roman"/>
                <w:lang w:val="sq-AL"/>
              </w:rPr>
              <w:t>f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iskalizimi)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); </w:t>
            </w:r>
            <w:r w:rsidR="00B636EA">
              <w:rPr>
                <w:rFonts w:ascii="Times New Roman" w:eastAsia="Times New Roman" w:hAnsi="Times New Roman" w:cs="Times New Roman"/>
                <w:lang w:val="sq-AL"/>
              </w:rPr>
              <w:t>f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orc</w:t>
            </w:r>
            <w:r w:rsidR="00B636EA">
              <w:rPr>
                <w:rFonts w:ascii="Times New Roman" w:eastAsia="Times New Roman" w:hAnsi="Times New Roman" w:cs="Times New Roman"/>
                <w:lang w:val="sq-AL"/>
              </w:rPr>
              <w:t>imi 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performancë</w:t>
            </w:r>
            <w:r w:rsidR="00B636EA">
              <w:rPr>
                <w:rFonts w:ascii="Times New Roman" w:eastAsia="Times New Roman" w:hAnsi="Times New Roman" w:cs="Times New Roman"/>
                <w:lang w:val="sq-AL"/>
              </w:rPr>
              <w:t>s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B636EA">
              <w:rPr>
                <w:rFonts w:ascii="Times New Roman" w:eastAsia="Times New Roman" w:hAnsi="Times New Roman" w:cs="Times New Roman"/>
                <w:lang w:val="sq-AL"/>
              </w:rPr>
              <w:t>s</w:t>
            </w:r>
            <w:r w:rsidR="00E80B5D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hetimeve kundër mashtrimit tatimor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2027)</w:t>
            </w:r>
            <w:r w:rsidR="00472285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.</w:t>
            </w:r>
          </w:p>
          <w:p w14:paraId="52BB1542" w14:textId="1BAA2959" w:rsidR="008B4E4F" w:rsidRPr="00A862F7" w:rsidRDefault="008B4E4F" w:rsidP="00624F3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</w:tc>
      </w:tr>
      <w:tr w:rsidR="002A5F18" w:rsidRPr="00A862F7" w14:paraId="52BB154F" w14:textId="77777777" w:rsidTr="007D2948">
        <w:trPr>
          <w:trHeight w:val="78"/>
        </w:trPr>
        <w:tc>
          <w:tcPr>
            <w:tcW w:w="1668" w:type="dxa"/>
            <w:vMerge/>
            <w:vAlign w:val="center"/>
          </w:tcPr>
          <w:p w14:paraId="52BB1545" w14:textId="77777777" w:rsidR="002A5F18" w:rsidRPr="00A862F7" w:rsidRDefault="002A5F18" w:rsidP="00835701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278" w:hanging="278"/>
              <w:contextualSpacing w:val="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14" w:type="dxa"/>
            <w:vMerge/>
            <w:vAlign w:val="center"/>
          </w:tcPr>
          <w:p w14:paraId="52BB1546" w14:textId="77777777" w:rsidR="002A5F18" w:rsidRPr="00A862F7" w:rsidRDefault="002A5F18" w:rsidP="00835701">
            <w:pPr>
              <w:pStyle w:val="ListParagraph"/>
              <w:numPr>
                <w:ilvl w:val="1"/>
                <w:numId w:val="1"/>
              </w:numPr>
              <w:spacing w:after="60" w:line="240" w:lineRule="auto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547" w14:textId="186B101B" w:rsidR="002A5F18" w:rsidRPr="00A862F7" w:rsidRDefault="002A5F18" w:rsidP="004F2F82">
            <w:pPr>
              <w:pStyle w:val="ListParagraph"/>
              <w:spacing w:after="60" w:line="240" w:lineRule="auto"/>
              <w:ind w:left="29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1.1.2. Sigurimi i transparencës dhe efikasitetit të shërbimeve shtetërore të kadastrës, për investitorët dhe qytetarët dhe ofrimi i një politike të qartë për përdorimin e tokës.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7BFF" w14:textId="55D7C317" w:rsidR="00F33606" w:rsidRDefault="00F33606" w:rsidP="00624F35">
            <w:pPr>
              <w:spacing w:after="120" w:line="240" w:lineRule="auto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Regjistrim</w:t>
            </w:r>
            <w:r w:rsidR="008B2267">
              <w:rPr>
                <w:rFonts w:ascii="Times New Roman" w:hAnsi="Times New Roman" w:cs="Times New Roman"/>
                <w:lang w:val="sq-AL"/>
              </w:rPr>
              <w:t>i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2B10D8" w:rsidRPr="00A862F7">
              <w:rPr>
                <w:rFonts w:ascii="Times New Roman" w:hAnsi="Times New Roman" w:cs="Times New Roman"/>
                <w:lang w:val="sq-AL"/>
              </w:rPr>
              <w:t>fillestar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6766C9">
              <w:rPr>
                <w:rFonts w:ascii="Times New Roman" w:hAnsi="Times New Roman" w:cs="Times New Roman"/>
                <w:lang w:val="sq-AL"/>
              </w:rPr>
              <w:t>ë</w:t>
            </w:r>
            <w:r w:rsidR="008B2267">
              <w:rPr>
                <w:rFonts w:ascii="Times New Roman" w:hAnsi="Times New Roman" w:cs="Times New Roman"/>
                <w:lang w:val="sq-AL"/>
              </w:rPr>
              <w:t>sht</w:t>
            </w:r>
            <w:r w:rsidR="006766C9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kryer në 95% të të gjitha zonave kadastrale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2026).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  <w:p w14:paraId="6CD1B0CE" w14:textId="77777777" w:rsidR="009345AB" w:rsidRPr="00A862F7" w:rsidRDefault="009345AB" w:rsidP="00624F35">
            <w:pPr>
              <w:spacing w:after="120" w:line="240" w:lineRule="auto"/>
              <w:rPr>
                <w:rFonts w:ascii="Times New Roman" w:hAnsi="Times New Roman" w:cs="Times New Roman"/>
                <w:lang w:val="sq-AL"/>
              </w:rPr>
            </w:pPr>
          </w:p>
          <w:p w14:paraId="627E38CB" w14:textId="170CF476" w:rsidR="00426235" w:rsidRDefault="009E259C" w:rsidP="00624F35">
            <w:pPr>
              <w:spacing w:after="120" w:line="240" w:lineRule="auto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Di</w:t>
            </w:r>
            <w:r w:rsidR="00472285">
              <w:rPr>
                <w:rFonts w:ascii="Times New Roman" w:hAnsi="Times New Roman" w:cs="Times New Roman"/>
                <w:lang w:val="sq-AL"/>
              </w:rPr>
              <w:t>gji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italizimi i të gjitha kartelave të </w:t>
            </w:r>
            <w:r w:rsidR="008B2267">
              <w:rPr>
                <w:rFonts w:ascii="Times New Roman" w:hAnsi="Times New Roman" w:cs="Times New Roman"/>
                <w:lang w:val="sq-AL"/>
              </w:rPr>
              <w:t>pasurive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të paluajtshme</w:t>
            </w:r>
            <w:r w:rsidR="002B10D8"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8B2267">
              <w:rPr>
                <w:rFonts w:ascii="Times New Roman" w:hAnsi="Times New Roman" w:cs="Times New Roman"/>
                <w:lang w:val="sq-AL"/>
              </w:rPr>
              <w:t>(</w:t>
            </w:r>
            <w:r w:rsidR="002B10D8" w:rsidRPr="00A862F7">
              <w:rPr>
                <w:rFonts w:ascii="Times New Roman" w:hAnsi="Times New Roman" w:cs="Times New Roman"/>
                <w:lang w:val="sq-AL"/>
              </w:rPr>
              <w:t>n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 w:rsidR="002B10D8"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lang w:val="sq-AL"/>
              </w:rPr>
              <w:t>let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 w:rsidR="002B10D8" w:rsidRPr="00A862F7">
              <w:rPr>
                <w:rFonts w:ascii="Times New Roman" w:hAnsi="Times New Roman" w:cs="Times New Roman"/>
                <w:lang w:val="sq-AL"/>
              </w:rPr>
              <w:t>r</w:t>
            </w:r>
            <w:r w:rsidR="008B2267">
              <w:rPr>
                <w:rFonts w:ascii="Times New Roman" w:hAnsi="Times New Roman" w:cs="Times New Roman"/>
                <w:lang w:val="sq-AL"/>
              </w:rPr>
              <w:t>)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ka përfunduar dhe di</w:t>
            </w:r>
            <w:r w:rsidR="00472285">
              <w:rPr>
                <w:rFonts w:ascii="Times New Roman" w:hAnsi="Times New Roman" w:cs="Times New Roman"/>
                <w:lang w:val="sq-AL"/>
              </w:rPr>
              <w:t>gji</w:t>
            </w:r>
            <w:r w:rsidRPr="00A862F7">
              <w:rPr>
                <w:rFonts w:ascii="Times New Roman" w:hAnsi="Times New Roman" w:cs="Times New Roman"/>
                <w:lang w:val="sq-AL"/>
              </w:rPr>
              <w:t>italizimi përparon</w:t>
            </w:r>
            <w:r w:rsidR="002B05E2">
              <w:rPr>
                <w:rFonts w:ascii="Times New Roman" w:hAnsi="Times New Roman" w:cs="Times New Roman"/>
                <w:lang w:val="sq-AL"/>
              </w:rPr>
              <w:t>,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në përputhje me </w:t>
            </w:r>
            <w:r w:rsidR="008B2267">
              <w:rPr>
                <w:rFonts w:ascii="Times New Roman" w:hAnsi="Times New Roman" w:cs="Times New Roman"/>
                <w:lang w:val="sq-AL"/>
              </w:rPr>
              <w:t>Udh</w:t>
            </w:r>
            <w:r w:rsidR="006766C9">
              <w:rPr>
                <w:rFonts w:ascii="Times New Roman" w:hAnsi="Times New Roman" w:cs="Times New Roman"/>
                <w:lang w:val="sq-AL"/>
              </w:rPr>
              <w:t>ë</w:t>
            </w:r>
            <w:r w:rsidR="008B2267">
              <w:rPr>
                <w:rFonts w:ascii="Times New Roman" w:hAnsi="Times New Roman" w:cs="Times New Roman"/>
                <w:lang w:val="sq-AL"/>
              </w:rPr>
              <w:t>rr</w:t>
            </w:r>
            <w:r w:rsidR="006766C9">
              <w:rPr>
                <w:rFonts w:ascii="Times New Roman" w:hAnsi="Times New Roman" w:cs="Times New Roman"/>
                <w:lang w:val="sq-AL"/>
              </w:rPr>
              <w:t>ë</w:t>
            </w:r>
            <w:r w:rsidR="008B2267">
              <w:rPr>
                <w:rFonts w:ascii="Times New Roman" w:hAnsi="Times New Roman" w:cs="Times New Roman"/>
                <w:lang w:val="sq-AL"/>
              </w:rPr>
              <w:t>fyesin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gjithëpërfshirës</w:t>
            </w:r>
            <w:r w:rsidR="002B05E2">
              <w:rPr>
                <w:rFonts w:ascii="Times New Roman" w:hAnsi="Times New Roman" w:cs="Times New Roman"/>
                <w:lang w:val="sq-AL"/>
              </w:rPr>
              <w:t>,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për të arritur rezultate të prekshme </w:t>
            </w:r>
            <w:r w:rsidR="002B05E2">
              <w:rPr>
                <w:rFonts w:ascii="Times New Roman" w:hAnsi="Times New Roman" w:cs="Times New Roman"/>
                <w:lang w:val="sq-AL"/>
              </w:rPr>
              <w:t>me</w:t>
            </w:r>
            <w:r w:rsidR="008B2267">
              <w:rPr>
                <w:rFonts w:ascii="Times New Roman" w:hAnsi="Times New Roman" w:cs="Times New Roman"/>
                <w:lang w:val="sq-AL"/>
              </w:rPr>
              <w:t xml:space="preserve"> p</w:t>
            </w:r>
            <w:r w:rsidR="006766C9">
              <w:rPr>
                <w:rFonts w:ascii="Times New Roman" w:hAnsi="Times New Roman" w:cs="Times New Roman"/>
                <w:lang w:val="sq-AL"/>
              </w:rPr>
              <w:t>ë</w:t>
            </w:r>
            <w:r w:rsidR="008B2267">
              <w:rPr>
                <w:rFonts w:ascii="Times New Roman" w:hAnsi="Times New Roman" w:cs="Times New Roman"/>
                <w:lang w:val="sq-AL"/>
              </w:rPr>
              <w:t>rfundimin e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procese</w:t>
            </w:r>
            <w:r w:rsidR="008B2267">
              <w:rPr>
                <w:rFonts w:ascii="Times New Roman" w:hAnsi="Times New Roman" w:cs="Times New Roman"/>
                <w:lang w:val="sq-AL"/>
              </w:rPr>
              <w:t>ve t</w:t>
            </w:r>
            <w:r w:rsidR="006766C9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di</w:t>
            </w:r>
            <w:r w:rsidR="00472285">
              <w:rPr>
                <w:rFonts w:ascii="Times New Roman" w:hAnsi="Times New Roman" w:cs="Times New Roman"/>
                <w:lang w:val="sq-AL"/>
              </w:rPr>
              <w:t>gji</w:t>
            </w:r>
            <w:r w:rsidRPr="00A862F7">
              <w:rPr>
                <w:rFonts w:ascii="Times New Roman" w:hAnsi="Times New Roman" w:cs="Times New Roman"/>
                <w:lang w:val="sq-AL"/>
              </w:rPr>
              <w:t>italizimit</w:t>
            </w:r>
            <w:r w:rsidR="002B05E2">
              <w:rPr>
                <w:rFonts w:ascii="Times New Roman" w:hAnsi="Times New Roman" w:cs="Times New Roman"/>
                <w:lang w:val="sq-AL"/>
              </w:rPr>
              <w:t>,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të miratuar </w:t>
            </w:r>
            <w:r w:rsidR="008B2267">
              <w:rPr>
                <w:rFonts w:ascii="Times New Roman" w:hAnsi="Times New Roman" w:cs="Times New Roman"/>
                <w:lang w:val="sq-AL"/>
              </w:rPr>
              <w:t>deri n</w:t>
            </w:r>
            <w:r w:rsidR="006766C9">
              <w:rPr>
                <w:rFonts w:ascii="Times New Roman" w:hAnsi="Times New Roman" w:cs="Times New Roman"/>
                <w:lang w:val="sq-AL"/>
              </w:rPr>
              <w:t>ë</w:t>
            </w:r>
            <w:r w:rsidR="008B226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3F3BA3">
              <w:rPr>
                <w:rFonts w:ascii="Times New Roman" w:hAnsi="Times New Roman" w:cs="Times New Roman"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2025</w:t>
            </w:r>
            <w:r w:rsidR="00BC3D25"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BC3D25" w:rsidRPr="00A862F7">
              <w:rPr>
                <w:rFonts w:ascii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="00BC3D25"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2027)</w:t>
            </w:r>
            <w:r w:rsidR="00BC3D25" w:rsidRPr="00A862F7">
              <w:rPr>
                <w:rFonts w:ascii="Times New Roman" w:hAnsi="Times New Roman" w:cs="Times New Roman"/>
                <w:lang w:val="sq-AL"/>
              </w:rPr>
              <w:t xml:space="preserve">  </w:t>
            </w:r>
            <w:bookmarkStart w:id="0" w:name="_Hlk166082613"/>
            <w:bookmarkStart w:id="1" w:name="_Hlk166082863"/>
          </w:p>
          <w:p w14:paraId="212F68EA" w14:textId="77777777" w:rsidR="00624F35" w:rsidRPr="00624F35" w:rsidRDefault="00624F35" w:rsidP="00624F35">
            <w:pPr>
              <w:spacing w:after="120" w:line="240" w:lineRule="auto"/>
              <w:rPr>
                <w:rFonts w:ascii="Times New Roman" w:hAnsi="Times New Roman" w:cs="Times New Roman"/>
                <w:lang w:val="sq-AL"/>
              </w:rPr>
            </w:pPr>
          </w:p>
          <w:p w14:paraId="084838E1" w14:textId="68811D20" w:rsidR="000E0F98" w:rsidRPr="00A862F7" w:rsidRDefault="002A5F18" w:rsidP="00624F35">
            <w:pPr>
              <w:spacing w:after="12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iCs/>
                <w:lang w:val="sq-AL"/>
              </w:rPr>
              <w:t xml:space="preserve">Miratimi i një </w:t>
            </w:r>
            <w:r w:rsidR="00B636EA">
              <w:rPr>
                <w:rFonts w:ascii="Times New Roman" w:eastAsia="Calibri" w:hAnsi="Times New Roman" w:cs="Times New Roman"/>
                <w:iCs/>
                <w:lang w:val="sq-AL"/>
              </w:rPr>
              <w:t>u</w:t>
            </w:r>
            <w:r w:rsidRPr="00A862F7">
              <w:rPr>
                <w:rFonts w:ascii="Times New Roman" w:eastAsia="Calibri" w:hAnsi="Times New Roman" w:cs="Times New Roman"/>
                <w:iCs/>
                <w:lang w:val="sq-AL"/>
              </w:rPr>
              <w:t xml:space="preserve">dhërrëfyesi gjithëpërfshirës për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të arritur rezultate të prekshme për </w:t>
            </w:r>
            <w:r w:rsidR="008B2267">
              <w:rPr>
                <w:rFonts w:ascii="Times New Roman" w:eastAsia="Calibri" w:hAnsi="Times New Roman" w:cs="Times New Roman"/>
                <w:lang w:val="sq-AL"/>
              </w:rPr>
              <w:t>p</w:t>
            </w:r>
            <w:r w:rsidR="006766C9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="008B2267">
              <w:rPr>
                <w:rFonts w:ascii="Times New Roman" w:eastAsia="Calibri" w:hAnsi="Times New Roman" w:cs="Times New Roman"/>
                <w:lang w:val="sq-AL"/>
              </w:rPr>
              <w:t>rfundimin e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procese</w:t>
            </w:r>
            <w:r w:rsidR="008B2267">
              <w:rPr>
                <w:rFonts w:ascii="Times New Roman" w:eastAsia="Times New Roman" w:hAnsi="Times New Roman" w:cs="Times New Roman"/>
                <w:lang w:val="sq-AL"/>
              </w:rPr>
              <w:t>ve t</w:t>
            </w:r>
            <w:r w:rsidR="006766C9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di</w:t>
            </w:r>
            <w:r w:rsidR="00472285">
              <w:rPr>
                <w:rFonts w:ascii="Times New Roman" w:eastAsia="Times New Roman" w:hAnsi="Times New Roman" w:cs="Times New Roman"/>
                <w:lang w:val="sq-AL"/>
              </w:rPr>
              <w:t>gji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italizimit, </w:t>
            </w:r>
            <w:r w:rsidR="009E259C" w:rsidRPr="00A862F7">
              <w:rPr>
                <w:rFonts w:ascii="Times New Roman" w:eastAsia="Times New Roman" w:hAnsi="Times New Roman" w:cs="Times New Roman"/>
                <w:lang w:val="sq-AL"/>
              </w:rPr>
              <w:t>me q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9E259C" w:rsidRPr="00A862F7">
              <w:rPr>
                <w:rFonts w:ascii="Times New Roman" w:eastAsia="Times New Roman" w:hAnsi="Times New Roman" w:cs="Times New Roman"/>
                <w:lang w:val="sq-AL"/>
              </w:rPr>
              <w:t>llim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që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titujt</w:t>
            </w:r>
            <w:r w:rsidR="00B636EA" w:rsidRPr="00A862F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="008B2267">
              <w:rPr>
                <w:rFonts w:ascii="Times New Roman" w:eastAsia="Calibri" w:hAnsi="Times New Roman" w:cs="Times New Roman"/>
                <w:lang w:val="sq-AL"/>
              </w:rPr>
              <w:t>(</w:t>
            </w:r>
            <w:r w:rsidR="00B636EA" w:rsidRPr="00A862F7">
              <w:rPr>
                <w:rFonts w:ascii="Times New Roman" w:eastAsia="Calibri" w:hAnsi="Times New Roman" w:cs="Times New Roman"/>
                <w:lang w:val="sq-AL"/>
              </w:rPr>
              <w:t>në letër</w:t>
            </w:r>
            <w:r w:rsidR="008B2267">
              <w:rPr>
                <w:rFonts w:ascii="Times New Roman" w:eastAsia="Calibri" w:hAnsi="Times New Roman" w:cs="Times New Roman"/>
                <w:lang w:val="sq-AL"/>
              </w:rPr>
              <w:t>)</w:t>
            </w:r>
            <w:r w:rsidR="00B636EA" w:rsidRPr="00A862F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="00472285">
              <w:rPr>
                <w:rFonts w:ascii="Times New Roman" w:eastAsia="Calibri" w:hAnsi="Times New Roman" w:cs="Times New Roman"/>
                <w:lang w:val="sq-AL"/>
              </w:rPr>
              <w:t>e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pronësisë </w:t>
            </w:r>
            <w:r w:rsidR="008B2267">
              <w:rPr>
                <w:rFonts w:ascii="Times New Roman" w:eastAsia="Calibri" w:hAnsi="Times New Roman" w:cs="Times New Roman"/>
                <w:lang w:val="sq-AL"/>
              </w:rPr>
              <w:t>p</w:t>
            </w:r>
            <w:r w:rsidR="006766C9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="008B2267">
              <w:rPr>
                <w:rFonts w:ascii="Times New Roman" w:eastAsia="Calibri" w:hAnsi="Times New Roman" w:cs="Times New Roman"/>
                <w:lang w:val="sq-AL"/>
              </w:rPr>
              <w:t>r pasurit</w:t>
            </w:r>
            <w:r w:rsidR="006766C9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="008B2267">
              <w:rPr>
                <w:rFonts w:ascii="Times New Roman" w:eastAsia="Calibri" w:hAnsi="Times New Roman" w:cs="Times New Roman"/>
                <w:lang w:val="sq-AL"/>
              </w:rPr>
              <w:t xml:space="preserve"> e paluajtshme</w:t>
            </w:r>
            <w:r w:rsidR="002B10D8" w:rsidRPr="00A862F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dhe hartat kadastrale në të gjitha zonat kadastrale të di</w:t>
            </w:r>
            <w:r w:rsidR="00472285">
              <w:rPr>
                <w:rFonts w:ascii="Times New Roman" w:eastAsia="Calibri" w:hAnsi="Times New Roman" w:cs="Times New Roman"/>
                <w:lang w:val="sq-AL"/>
              </w:rPr>
              <w:t>gji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italizohen</w:t>
            </w:r>
            <w:r w:rsidR="008B2267">
              <w:rPr>
                <w:rFonts w:ascii="Times New Roman" w:eastAsia="Calibri" w:hAnsi="Times New Roman" w:cs="Times New Roman"/>
                <w:lang w:val="sq-AL"/>
              </w:rPr>
              <w:t xml:space="preserve">, duke </w:t>
            </w:r>
            <w:r w:rsidR="002B05E2">
              <w:rPr>
                <w:rFonts w:ascii="Times New Roman" w:eastAsia="Calibri" w:hAnsi="Times New Roman" w:cs="Times New Roman"/>
                <w:lang w:val="sq-AL"/>
              </w:rPr>
              <w:t>i dhënë përparësi</w:t>
            </w:r>
            <w:r w:rsidR="008B2267">
              <w:rPr>
                <w:rFonts w:ascii="Times New Roman" w:eastAsia="Calibri" w:hAnsi="Times New Roman" w:cs="Times New Roman"/>
                <w:lang w:val="sq-AL"/>
              </w:rPr>
              <w:t xml:space="preserve"> zona</w:t>
            </w:r>
            <w:r w:rsidR="002B05E2">
              <w:rPr>
                <w:rFonts w:ascii="Times New Roman" w:eastAsia="Calibri" w:hAnsi="Times New Roman" w:cs="Times New Roman"/>
                <w:lang w:val="sq-AL"/>
              </w:rPr>
              <w:t>ve</w:t>
            </w:r>
            <w:r w:rsidR="008B2267">
              <w:rPr>
                <w:rFonts w:ascii="Times New Roman" w:eastAsia="Calibri" w:hAnsi="Times New Roman" w:cs="Times New Roman"/>
                <w:lang w:val="sq-AL"/>
              </w:rPr>
              <w:t xml:space="preserve"> me relevanc</w:t>
            </w:r>
            <w:r w:rsidR="006766C9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="008B2267">
              <w:rPr>
                <w:rFonts w:ascii="Times New Roman" w:eastAsia="Calibri" w:hAnsi="Times New Roman" w:cs="Times New Roman"/>
                <w:lang w:val="sq-AL"/>
              </w:rPr>
              <w:t xml:space="preserve"> ekonomike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dhe regjistrimi </w:t>
            </w:r>
            <w:r w:rsidR="002B10D8" w:rsidRPr="00A862F7">
              <w:rPr>
                <w:rFonts w:ascii="Times New Roman" w:eastAsia="Calibri" w:hAnsi="Times New Roman" w:cs="Times New Roman"/>
                <w:lang w:val="sq-AL"/>
              </w:rPr>
              <w:t>fillestar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të përfundojë plotësisht. (</w:t>
            </w:r>
            <w:r w:rsidR="003F3BA3">
              <w:rPr>
                <w:rFonts w:ascii="Times New Roman" w:eastAsia="Calibri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 xml:space="preserve"> 2025)</w:t>
            </w:r>
            <w:bookmarkEnd w:id="0"/>
          </w:p>
          <w:p w14:paraId="3BBD5C14" w14:textId="77777777" w:rsidR="00AF04E2" w:rsidRPr="00A862F7" w:rsidRDefault="00AF04E2" w:rsidP="00624F35">
            <w:pPr>
              <w:spacing w:after="120" w:line="240" w:lineRule="auto"/>
              <w:rPr>
                <w:rFonts w:ascii="Times New Roman" w:hAnsi="Times New Roman" w:cs="Times New Roman"/>
                <w:lang w:val="sq-AL"/>
              </w:rPr>
            </w:pPr>
          </w:p>
          <w:p w14:paraId="577DA4EC" w14:textId="66257ECC" w:rsidR="00533A58" w:rsidRPr="00A862F7" w:rsidRDefault="002E7EF4" w:rsidP="00624F35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Miratimi i një </w:t>
            </w:r>
            <w:r w:rsidR="006166FE" w:rsidRPr="00A862F7">
              <w:rPr>
                <w:rFonts w:ascii="Times New Roman" w:eastAsia="Calibri" w:hAnsi="Times New Roman" w:cs="Times New Roman"/>
                <w:lang w:val="sq-AL"/>
              </w:rPr>
              <w:t xml:space="preserve">politike të tokës </w:t>
            </w:r>
            <w:r w:rsidR="006166FE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dhe </w:t>
            </w:r>
            <w:r w:rsidR="008B2267">
              <w:rPr>
                <w:rFonts w:ascii="Times New Roman" w:eastAsia="Times New Roman" w:hAnsi="Times New Roman" w:cs="Times New Roman"/>
                <w:lang w:val="sq-AL"/>
              </w:rPr>
              <w:t xml:space="preserve">masat e </w:t>
            </w:r>
            <w:r w:rsidR="006166FE" w:rsidRPr="00A862F7">
              <w:rPr>
                <w:rFonts w:ascii="Times New Roman" w:eastAsia="Times New Roman" w:hAnsi="Times New Roman" w:cs="Times New Roman"/>
                <w:lang w:val="sq-AL"/>
              </w:rPr>
              <w:t>nevojshm</w:t>
            </w:r>
            <w:r w:rsidR="008B2267">
              <w:rPr>
                <w:rFonts w:ascii="Times New Roman" w:eastAsia="Times New Roman" w:hAnsi="Times New Roman" w:cs="Times New Roman"/>
                <w:lang w:val="sq-AL"/>
              </w:rPr>
              <w:t>e</w:t>
            </w:r>
            <w:r w:rsidR="006166FE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administrativ</w:t>
            </w:r>
            <w:r w:rsidR="008B2267">
              <w:rPr>
                <w:rFonts w:ascii="Times New Roman" w:eastAsia="Times New Roman" w:hAnsi="Times New Roman" w:cs="Times New Roman"/>
                <w:lang w:val="sq-AL"/>
              </w:rPr>
              <w:t>e</w:t>
            </w:r>
            <w:r w:rsidR="006166FE" w:rsidRPr="00A862F7">
              <w:rPr>
                <w:rFonts w:ascii="Times New Roman" w:eastAsia="Times New Roman" w:hAnsi="Times New Roman" w:cs="Times New Roman"/>
                <w:lang w:val="sq-AL"/>
              </w:rPr>
              <w:t>, buxhetor</w:t>
            </w:r>
            <w:r w:rsidR="008B2267">
              <w:rPr>
                <w:rFonts w:ascii="Times New Roman" w:eastAsia="Times New Roman" w:hAnsi="Times New Roman" w:cs="Times New Roman"/>
                <w:lang w:val="sq-AL"/>
              </w:rPr>
              <w:t>e</w:t>
            </w:r>
            <w:r w:rsidR="006166FE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dhe koordinues</w:t>
            </w:r>
            <w:r w:rsidR="008B2267">
              <w:rPr>
                <w:rFonts w:ascii="Times New Roman" w:eastAsia="Times New Roman" w:hAnsi="Times New Roman" w:cs="Times New Roman"/>
                <w:lang w:val="sq-AL"/>
              </w:rPr>
              <w:t>e,</w:t>
            </w:r>
            <w:r w:rsidR="006166FE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për fillimin e zbatimit të saj në vitin 2028. </w:t>
            </w:r>
            <w:r w:rsidR="006166FE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="009E259C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</w:t>
            </w:r>
            <w:r w:rsidR="006166FE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2027</w:t>
            </w:r>
            <w:r w:rsidR="29ABABEB"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  <w:r w:rsidR="0076178E" w:rsidRPr="00A862F7" w:rsidDel="0076178E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</w:p>
          <w:p w14:paraId="7129F653" w14:textId="77777777" w:rsidR="00AF04E2" w:rsidRPr="00A862F7" w:rsidRDefault="00AF04E2" w:rsidP="009345AB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bookmarkStart w:id="2" w:name="_Hlk166068544"/>
            <w:bookmarkEnd w:id="1"/>
          </w:p>
          <w:p w14:paraId="1E9E44FD" w14:textId="26195ED6" w:rsidR="002A5F18" w:rsidRDefault="009A7BA9" w:rsidP="009345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lastRenderedPageBreak/>
              <w:t>Mirat</w:t>
            </w:r>
            <w:r w:rsidR="009E259C" w:rsidRPr="00A862F7">
              <w:rPr>
                <w:rFonts w:ascii="Times New Roman" w:eastAsia="Calibri" w:hAnsi="Times New Roman" w:cs="Times New Roman"/>
                <w:lang w:val="sq-AL"/>
              </w:rPr>
              <w:t>imi i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një plan</w:t>
            </w:r>
            <w:r w:rsidR="009E259C" w:rsidRPr="00A862F7">
              <w:rPr>
                <w:rFonts w:ascii="Times New Roman" w:eastAsia="Calibri" w:hAnsi="Times New Roman" w:cs="Times New Roman"/>
                <w:lang w:val="sq-AL"/>
              </w:rPr>
              <w:t>i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integriteti</w:t>
            </w:r>
            <w:r w:rsidR="00A57EF2" w:rsidRPr="00A862F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="00A57EF2"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Calibri" w:hAnsi="Times New Roman" w:cs="Times New Roman"/>
                <w:b/>
                <w:bCs/>
                <w:lang w:val="sq-AL"/>
              </w:rPr>
              <w:t>Dhjetor</w:t>
            </w:r>
            <w:r w:rsidR="00A57EF2"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 xml:space="preserve"> 2025)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, duke përfshirë masa të </w:t>
            </w:r>
            <w:r w:rsidR="008B2267">
              <w:rPr>
                <w:rFonts w:ascii="Times New Roman" w:eastAsia="Calibri" w:hAnsi="Times New Roman" w:cs="Times New Roman"/>
                <w:lang w:val="sq-AL"/>
              </w:rPr>
              <w:t>efektshme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antikorrupsion që </w:t>
            </w:r>
            <w:r w:rsidR="008B2267">
              <w:rPr>
                <w:rFonts w:ascii="Times New Roman" w:eastAsia="Calibri" w:hAnsi="Times New Roman" w:cs="Times New Roman"/>
                <w:lang w:val="sq-AL"/>
              </w:rPr>
              <w:t>reflektojn</w:t>
            </w:r>
            <w:r w:rsidR="006766C9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="008B2267">
              <w:rPr>
                <w:rFonts w:ascii="Times New Roman" w:eastAsia="Calibri" w:hAnsi="Times New Roman" w:cs="Times New Roman"/>
                <w:lang w:val="sq-AL"/>
              </w:rPr>
              <w:t xml:space="preserve"> mendimin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e palëve të interesuara (përfaqësues të shoqërisë civile, shoqatës së avokatëve, dhomës së noterëve, bankave dhe shoqatave të biznesit, etj.), me synimin për të përmirësuar transparencën dhe përgjegjshmërinë në ofrimin e shërbimeve </w:t>
            </w:r>
            <w:bookmarkStart w:id="3" w:name="_Hlk166068529"/>
            <w:bookmarkEnd w:id="2"/>
            <w:r w:rsidR="008B2267">
              <w:rPr>
                <w:rFonts w:ascii="Times New Roman" w:eastAsia="Calibri" w:hAnsi="Times New Roman" w:cs="Times New Roman"/>
                <w:lang w:val="sq-AL"/>
              </w:rPr>
              <w:t xml:space="preserve">dhe treguar rezultate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në përmirësim të ndjeshëm të cilësisë, transparencës, efikasitetit dhe llogaridhënies në ofrimin e shërbimeve</w:t>
            </w:r>
            <w:r w:rsidR="002B10D8" w:rsidRPr="00A862F7">
              <w:rPr>
                <w:rFonts w:ascii="Times New Roman" w:eastAsia="Calibri" w:hAnsi="Times New Roman" w:cs="Times New Roman"/>
                <w:lang w:val="sq-AL"/>
              </w:rPr>
              <w:t>,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për shërbimet si regjistrimi i titujve të pronësisë, regjistrimi i të drejtave reale mbi pronën apo regjistrimi i detyrimeve, lëshimi i vërtetimeve të ndryshme, të ofruara nga Agjen</w:t>
            </w:r>
            <w:r w:rsidR="002B05E2">
              <w:rPr>
                <w:rFonts w:ascii="Times New Roman" w:eastAsia="Calibri" w:hAnsi="Times New Roman" w:cs="Times New Roman"/>
                <w:lang w:val="sq-AL"/>
              </w:rPr>
              <w:t>s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ia Shtetërore e Kadastrës</w:t>
            </w:r>
            <w:bookmarkEnd w:id="3"/>
            <w:r w:rsidR="00A62094" w:rsidRPr="00A862F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="007F7A2F"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="007F7A2F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</w:t>
            </w:r>
            <w:r w:rsidR="0018049E"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2027</w:t>
            </w:r>
            <w:r w:rsidR="007F7A2F"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)</w:t>
            </w:r>
            <w:r w:rsidR="009F65D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.</w:t>
            </w:r>
          </w:p>
          <w:p w14:paraId="52BB154D" w14:textId="1009250F" w:rsidR="00B636EA" w:rsidRPr="00244FF5" w:rsidRDefault="00B636EA" w:rsidP="009345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</w:p>
        </w:tc>
      </w:tr>
      <w:tr w:rsidR="002A5F18" w:rsidRPr="00A862F7" w14:paraId="52BB1559" w14:textId="77777777" w:rsidTr="007D2948">
        <w:trPr>
          <w:trHeight w:val="565"/>
        </w:trPr>
        <w:tc>
          <w:tcPr>
            <w:tcW w:w="1668" w:type="dxa"/>
            <w:vMerge/>
            <w:vAlign w:val="center"/>
          </w:tcPr>
          <w:p w14:paraId="52BB1550" w14:textId="77777777" w:rsidR="002A5F18" w:rsidRPr="00A862F7" w:rsidRDefault="002A5F18" w:rsidP="00835701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278" w:hanging="278"/>
              <w:contextualSpacing w:val="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14" w:type="dxa"/>
            <w:vMerge/>
            <w:vAlign w:val="center"/>
          </w:tcPr>
          <w:p w14:paraId="52BB1551" w14:textId="77777777" w:rsidR="002A5F18" w:rsidRPr="00A862F7" w:rsidRDefault="002A5F18" w:rsidP="00835701">
            <w:pPr>
              <w:pStyle w:val="ListParagraph"/>
              <w:numPr>
                <w:ilvl w:val="1"/>
                <w:numId w:val="1"/>
              </w:numPr>
              <w:spacing w:after="60" w:line="240" w:lineRule="auto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552" w14:textId="66E5DB49" w:rsidR="002A5F18" w:rsidRPr="00A862F7" w:rsidRDefault="002A5F18" w:rsidP="00551673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1.1.3. Rritja e </w:t>
            </w:r>
            <w:r w:rsidR="00244FF5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1B1E94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244FF5">
              <w:rPr>
                <w:rFonts w:ascii="Times New Roman" w:eastAsia="Times New Roman" w:hAnsi="Times New Roman" w:cs="Times New Roman"/>
                <w:lang w:val="sq-AL"/>
              </w:rPr>
              <w:t>rheqjes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dhe transparencës së investimeve, në përputhje me praktikat e BE-së, përmirësimi i qeverisjes së </w:t>
            </w:r>
            <w:r w:rsidR="00472285">
              <w:rPr>
                <w:rFonts w:ascii="Times New Roman" w:eastAsia="Times New Roman" w:hAnsi="Times New Roman" w:cs="Times New Roman"/>
                <w:lang w:val="sq-AL"/>
              </w:rPr>
              <w:t>shoq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472285">
              <w:rPr>
                <w:rFonts w:ascii="Times New Roman" w:eastAsia="Times New Roman" w:hAnsi="Times New Roman" w:cs="Times New Roman"/>
                <w:lang w:val="sq-AL"/>
              </w:rPr>
              <w:t>rive n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472285">
              <w:rPr>
                <w:rFonts w:ascii="Times New Roman" w:eastAsia="Times New Roman" w:hAnsi="Times New Roman" w:cs="Times New Roman"/>
                <w:lang w:val="sq-AL"/>
              </w:rPr>
              <w:t xml:space="preserve"> pron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472285">
              <w:rPr>
                <w:rFonts w:ascii="Times New Roman" w:eastAsia="Times New Roman" w:hAnsi="Times New Roman" w:cs="Times New Roman"/>
                <w:lang w:val="sq-AL"/>
              </w:rPr>
              <w:t xml:space="preserve">si </w:t>
            </w:r>
            <w:r w:rsidR="00244FF5">
              <w:rPr>
                <w:rFonts w:ascii="Times New Roman" w:eastAsia="Times New Roman" w:hAnsi="Times New Roman" w:cs="Times New Roman"/>
                <w:lang w:val="sq-AL"/>
              </w:rPr>
              <w:t>s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htetërore dhe Ndihmës Shtetërore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0E02" w14:textId="37C84C40" w:rsidR="002A5F18" w:rsidRPr="00A862F7" w:rsidRDefault="002A5F18" w:rsidP="004F2F82">
            <w:pPr>
              <w:spacing w:after="24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Miratimi i ligjit 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mbi </w:t>
            </w:r>
            <w:r w:rsidR="009517C1">
              <w:rPr>
                <w:rFonts w:ascii="Times New Roman" w:eastAsia="Times New Roman" w:hAnsi="Times New Roman" w:cs="Times New Roman"/>
                <w:lang w:val="sq-AL"/>
              </w:rPr>
              <w:t>PPP</w:t>
            </w:r>
            <w:r w:rsidR="000A4721"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2"/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/koncesion</w:t>
            </w:r>
            <w:r w:rsidR="009517C1">
              <w:rPr>
                <w:rFonts w:ascii="Times New Roman" w:eastAsia="Times New Roman" w:hAnsi="Times New Roman" w:cs="Times New Roman"/>
                <w:lang w:val="sq-AL"/>
              </w:rPr>
              <w:t>et</w:t>
            </w:r>
            <w:r w:rsidRPr="00A862F7">
              <w:rPr>
                <w:rFonts w:ascii="Times New Roman" w:hAnsi="Times New Roman" w:cs="Times New Roman"/>
                <w:iCs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në përputhje me</w:t>
            </w:r>
            <w:r w:rsidR="009F65D7">
              <w:rPr>
                <w:rFonts w:ascii="Times New Roman" w:eastAsia="Times New Roman" w:hAnsi="Times New Roman" w:cs="Times New Roman"/>
                <w:lang w:val="sq-AL"/>
              </w:rPr>
              <w:t xml:space="preserve"> Acq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uis dhe praktikat më të mira të BE-së</w:t>
            </w:r>
            <w:r w:rsidRPr="00A862F7" w:rsidDel="00967A0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2025)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dhe PPP/koncesionet fillojnë të integrohen plotësisht në 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>List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n </w:t>
            </w:r>
            <w:r w:rsidR="00EC1AFA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Unike 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>Komb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>tare t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Projekteve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  <w:r w:rsidR="009F65D7">
              <w:rPr>
                <w:rFonts w:ascii="Times New Roman" w:eastAsia="Times New Roman" w:hAnsi="Times New Roman" w:cs="Times New Roman"/>
                <w:lang w:val="sq-AL"/>
              </w:rPr>
              <w:t>.</w:t>
            </w:r>
          </w:p>
          <w:p w14:paraId="3E92F5DE" w14:textId="1158CDA6" w:rsidR="002A5F18" w:rsidRPr="00A862F7" w:rsidRDefault="002A5F18" w:rsidP="00A103CF">
            <w:pPr>
              <w:spacing w:after="24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bookmarkStart w:id="4" w:name="_Hlk166068794"/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Miratimi i </w:t>
            </w:r>
            <w:r w:rsidR="00460790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bazës ligjore për të siguruar një </w:t>
            </w:r>
            <w:r w:rsidR="009F65D7">
              <w:rPr>
                <w:rFonts w:ascii="Times New Roman" w:eastAsia="Times New Roman" w:hAnsi="Times New Roman" w:cs="Times New Roman"/>
                <w:lang w:val="sq-AL"/>
              </w:rPr>
              <w:t>A</w:t>
            </w:r>
            <w:r w:rsidR="00460790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utoritet </w:t>
            </w:r>
            <w:r w:rsidR="009F65D7">
              <w:rPr>
                <w:rFonts w:ascii="Times New Roman" w:eastAsia="Times New Roman" w:hAnsi="Times New Roman" w:cs="Times New Roman"/>
                <w:lang w:val="sq-AL"/>
              </w:rPr>
              <w:t>me pavar</w:t>
            </w:r>
            <w:r w:rsidR="006766C9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9F65D7">
              <w:rPr>
                <w:rFonts w:ascii="Times New Roman" w:eastAsia="Times New Roman" w:hAnsi="Times New Roman" w:cs="Times New Roman"/>
                <w:lang w:val="sq-AL"/>
              </w:rPr>
              <w:t xml:space="preserve">si </w:t>
            </w:r>
            <w:r w:rsidR="00A862F7" w:rsidRPr="00A862F7">
              <w:rPr>
                <w:rFonts w:ascii="Times New Roman" w:eastAsia="Times New Roman" w:hAnsi="Times New Roman" w:cs="Times New Roman"/>
                <w:lang w:val="sq-AL"/>
              </w:rPr>
              <w:t>opera</w:t>
            </w:r>
            <w:r w:rsidR="00A862F7">
              <w:rPr>
                <w:rFonts w:ascii="Times New Roman" w:eastAsia="Times New Roman" w:hAnsi="Times New Roman" w:cs="Times New Roman"/>
                <w:lang w:val="sq-AL"/>
              </w:rPr>
              <w:t>cional</w:t>
            </w:r>
            <w:r w:rsidR="009F65D7">
              <w:rPr>
                <w:rFonts w:ascii="Times New Roman" w:eastAsia="Times New Roman" w:hAnsi="Times New Roman" w:cs="Times New Roman"/>
                <w:lang w:val="sq-AL"/>
              </w:rPr>
              <w:t>e</w:t>
            </w:r>
            <w:r w:rsidR="00460790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9F65D7">
              <w:rPr>
                <w:rFonts w:ascii="Times New Roman" w:eastAsia="Times New Roman" w:hAnsi="Times New Roman" w:cs="Times New Roman"/>
                <w:lang w:val="sq-AL"/>
              </w:rPr>
              <w:t>N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>dihm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>s</w:t>
            </w:r>
            <w:r w:rsidR="009517C1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9F65D7">
              <w:rPr>
                <w:rFonts w:ascii="Times New Roman" w:eastAsia="Times New Roman" w:hAnsi="Times New Roman" w:cs="Times New Roman"/>
                <w:lang w:val="sq-AL"/>
              </w:rPr>
              <w:t>S</w:t>
            </w:r>
            <w:r w:rsidR="009517C1">
              <w:rPr>
                <w:rFonts w:ascii="Times New Roman" w:eastAsia="Times New Roman" w:hAnsi="Times New Roman" w:cs="Times New Roman"/>
                <w:lang w:val="sq-AL"/>
              </w:rPr>
              <w:t>htet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9517C1">
              <w:rPr>
                <w:rFonts w:ascii="Times New Roman" w:eastAsia="Times New Roman" w:hAnsi="Times New Roman" w:cs="Times New Roman"/>
                <w:lang w:val="sq-AL"/>
              </w:rPr>
              <w:t>rore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460790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dhe </w:t>
            </w:r>
            <w:r w:rsidR="009517C1">
              <w:rPr>
                <w:rFonts w:ascii="Times New Roman" w:eastAsia="Times New Roman" w:hAnsi="Times New Roman" w:cs="Times New Roman"/>
                <w:lang w:val="sq-AL"/>
              </w:rPr>
              <w:t xml:space="preserve">i masave </w:t>
            </w:r>
            <w:r w:rsidR="00460790" w:rsidRPr="00A862F7">
              <w:rPr>
                <w:rFonts w:ascii="Times New Roman" w:eastAsia="Times New Roman" w:hAnsi="Times New Roman" w:cs="Times New Roman"/>
                <w:lang w:val="sq-AL"/>
              </w:rPr>
              <w:t>opera</w:t>
            </w:r>
            <w:r w:rsidR="009517C1">
              <w:rPr>
                <w:rFonts w:ascii="Times New Roman" w:eastAsia="Times New Roman" w:hAnsi="Times New Roman" w:cs="Times New Roman"/>
                <w:lang w:val="sq-AL"/>
              </w:rPr>
              <w:t>cionale</w:t>
            </w:r>
            <w:r w:rsidR="00460790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(buxheti)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2025)</w:t>
            </w:r>
            <w:bookmarkEnd w:id="4"/>
            <w:r w:rsidR="009F65D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.</w:t>
            </w:r>
          </w:p>
          <w:p w14:paraId="35506471" w14:textId="694F7F7E" w:rsidR="00280A58" w:rsidRDefault="009F65D7" w:rsidP="009517C1">
            <w:pPr>
              <w:spacing w:after="24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ë gjithë anëtarët e rinj të bord</w:t>
            </w:r>
            <w:r w:rsidR="00244FF5">
              <w:rPr>
                <w:rFonts w:ascii="Times New Roman" w:eastAsia="Times New Roman" w:hAnsi="Times New Roman" w:cs="Times New Roman"/>
                <w:lang w:val="sq-AL"/>
              </w:rPr>
              <w:t>eve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të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 S</w:t>
            </w:r>
            <w:r w:rsidR="00472285">
              <w:rPr>
                <w:rFonts w:ascii="Times New Roman" w:eastAsia="Times New Roman" w:hAnsi="Times New Roman" w:cs="Times New Roman"/>
                <w:lang w:val="sq-AL"/>
              </w:rPr>
              <w:t>h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PS</w:t>
            </w:r>
            <w:r w:rsidR="00472285">
              <w:rPr>
                <w:rFonts w:ascii="Times New Roman" w:eastAsia="Times New Roman" w:hAnsi="Times New Roman" w:cs="Times New Roman"/>
                <w:lang w:val="sq-AL"/>
              </w:rPr>
              <w:t>h</w:t>
            </w:r>
            <w:r w:rsidR="00CC43FE"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3"/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-ve të emërohen përmes procedurave transparente dhe të bazuara në merita 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2024) 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dhe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amendimi i 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rregullore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>ve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përkatëse për të 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>rfshir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rregulla për emërimin e anëtarëve të bordeve të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S</w:t>
            </w:r>
            <w:r w:rsidR="00472285">
              <w:rPr>
                <w:rFonts w:ascii="Times New Roman" w:eastAsia="Times New Roman" w:hAnsi="Times New Roman" w:cs="Times New Roman"/>
                <w:lang w:val="sq-AL"/>
              </w:rPr>
              <w:t>h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PS</w:t>
            </w:r>
            <w:r w:rsidR="00472285">
              <w:rPr>
                <w:rFonts w:ascii="Times New Roman" w:eastAsia="Times New Roman" w:hAnsi="Times New Roman" w:cs="Times New Roman"/>
                <w:lang w:val="sq-AL"/>
              </w:rPr>
              <w:t>h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-ve,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="006766C9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rmes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proceseve të</w:t>
            </w:r>
            <w:r w:rsidR="009160E6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hapura dhe të bazuara në merita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9160E6">
              <w:rPr>
                <w:rFonts w:ascii="Times New Roman" w:eastAsia="Times New Roman" w:hAnsi="Times New Roman" w:cs="Times New Roman"/>
                <w:lang w:val="sq-AL"/>
              </w:rPr>
              <w:t xml:space="preserve"> t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9160E6">
              <w:rPr>
                <w:rFonts w:ascii="Times New Roman" w:eastAsia="Times New Roman" w:hAnsi="Times New Roman" w:cs="Times New Roman"/>
                <w:lang w:val="sq-AL"/>
              </w:rPr>
              <w:t xml:space="preserve"> rekrutimit 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). </w:t>
            </w:r>
          </w:p>
          <w:p w14:paraId="52BB1557" w14:textId="7E82BBF3" w:rsidR="009517C1" w:rsidRPr="009517C1" w:rsidRDefault="00F20C2F" w:rsidP="009517C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Zgjerimi i kritevere p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r an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tar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 t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 pavarur t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 bordeve </w:t>
            </w:r>
            <w:r w:rsidR="009F65D7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6766C9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9F65D7">
              <w:rPr>
                <w:rFonts w:ascii="Times New Roman" w:eastAsia="Times New Roman" w:hAnsi="Times New Roman" w:cs="Times New Roman"/>
                <w:lang w:val="sq-AL"/>
              </w:rPr>
              <w:t xml:space="preserve"> SHPSH</w:t>
            </w:r>
            <w:r w:rsidR="00280A58">
              <w:rPr>
                <w:rFonts w:ascii="Times New Roman" w:eastAsia="Times New Roman" w:hAnsi="Times New Roman" w:cs="Times New Roman"/>
                <w:lang w:val="sq-AL"/>
              </w:rPr>
              <w:t>-ve</w:t>
            </w:r>
            <w:r w:rsidR="009F65D7">
              <w:rPr>
                <w:rFonts w:ascii="Times New Roman" w:eastAsia="Times New Roman" w:hAnsi="Times New Roman" w:cs="Times New Roman"/>
                <w:lang w:val="sq-AL"/>
              </w:rPr>
              <w:t xml:space="preserve">, 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përmes procedurave të hapura dhe të bazuara në merita, do të </w:t>
            </w:r>
            <w:r w:rsidR="009160E6">
              <w:rPr>
                <w:rFonts w:ascii="Times New Roman" w:eastAsia="Times New Roman" w:hAnsi="Times New Roman" w:cs="Times New Roman"/>
                <w:lang w:val="sq-AL"/>
              </w:rPr>
              <w:t>aplikohet</w:t>
            </w:r>
            <w:r w:rsidR="009160E6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“kudo që është e mundur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” (d.m.th., për të gjitha ato </w:t>
            </w:r>
            <w:r w:rsidR="009160E6">
              <w:rPr>
                <w:rFonts w:ascii="Times New Roman" w:eastAsia="Times New Roman" w:hAnsi="Times New Roman" w:cs="Times New Roman"/>
                <w:lang w:val="sq-AL"/>
              </w:rPr>
              <w:t>ShPSh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të cilat nuk klasifikohen si “performues të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k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qinj</w:t>
            </w:r>
            <w:r w:rsidR="009517C1">
              <w:rPr>
                <w:rFonts w:ascii="Times New Roman" w:eastAsia="Times New Roman" w:hAnsi="Times New Roman" w:cs="Times New Roman"/>
                <w:lang w:val="sq-AL"/>
              </w:rPr>
              <w:t>”</w:t>
            </w:r>
            <w:r w:rsidR="0018049E" w:rsidRPr="00A862F7">
              <w:rPr>
                <w:rFonts w:ascii="Times New Roman" w:eastAsia="Times New Roman" w:hAnsi="Times New Roman" w:cs="Times New Roman"/>
                <w:lang w:val="sq-AL"/>
              </w:rPr>
              <w:t>, etj., pas një analize fizibiliteti)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E94C83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="00E94C83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2026)</w:t>
            </w:r>
            <w:r w:rsidR="009517C1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.</w:t>
            </w:r>
          </w:p>
        </w:tc>
      </w:tr>
      <w:tr w:rsidR="002A5F18" w:rsidRPr="00A862F7" w14:paraId="52BB1568" w14:textId="77777777" w:rsidTr="007D2948">
        <w:trPr>
          <w:trHeight w:val="1124"/>
        </w:trPr>
        <w:tc>
          <w:tcPr>
            <w:tcW w:w="1668" w:type="dxa"/>
            <w:vMerge/>
            <w:vAlign w:val="center"/>
          </w:tcPr>
          <w:p w14:paraId="52BB155A" w14:textId="77777777" w:rsidR="002A5F18" w:rsidRPr="00A862F7" w:rsidRDefault="002A5F18" w:rsidP="00835701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278" w:hanging="278"/>
              <w:contextualSpacing w:val="0"/>
              <w:rPr>
                <w:rFonts w:ascii="Times New Roman" w:hAnsi="Times New Roman" w:cs="Times New Roman"/>
                <w:lang w:val="sq-AL"/>
              </w:rPr>
            </w:pPr>
            <w:bookmarkStart w:id="5" w:name="_Hlk165200495"/>
          </w:p>
        </w:tc>
        <w:tc>
          <w:tcPr>
            <w:tcW w:w="1814" w:type="dxa"/>
            <w:vMerge/>
            <w:vAlign w:val="center"/>
          </w:tcPr>
          <w:p w14:paraId="52BB155B" w14:textId="77777777" w:rsidR="002A5F18" w:rsidRPr="00A862F7" w:rsidRDefault="002A5F18" w:rsidP="00835701">
            <w:pPr>
              <w:pStyle w:val="ListParagraph"/>
              <w:numPr>
                <w:ilvl w:val="1"/>
                <w:numId w:val="4"/>
              </w:numPr>
              <w:spacing w:after="60" w:line="240" w:lineRule="auto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55C" w14:textId="77480FF2" w:rsidR="002A5F18" w:rsidRPr="00A862F7" w:rsidRDefault="002A5F18" w:rsidP="00551673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1.1.4. Përmirësimi i kornizës së </w:t>
            </w:r>
            <w:r w:rsidR="00340F94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CC028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340F94">
              <w:rPr>
                <w:rFonts w:ascii="Times New Roman" w:eastAsia="Times New Roman" w:hAnsi="Times New Roman" w:cs="Times New Roman"/>
                <w:lang w:val="sq-AL"/>
              </w:rPr>
              <w:t>rheqjes s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ë investimeve dhe në veçanti </w:t>
            </w:r>
            <w:r w:rsidR="00077264">
              <w:rPr>
                <w:rFonts w:ascii="Times New Roman" w:eastAsia="Times New Roman" w:hAnsi="Times New Roman" w:cs="Times New Roman"/>
                <w:lang w:val="sq-AL"/>
              </w:rPr>
              <w:t xml:space="preserve">i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kuadri</w:t>
            </w:r>
            <w:r w:rsidR="00077264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077264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CC028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IHD-ve dhe</w:t>
            </w:r>
            <w:r w:rsidR="00077264">
              <w:rPr>
                <w:rFonts w:ascii="Times New Roman" w:eastAsia="Times New Roman" w:hAnsi="Times New Roman" w:cs="Times New Roman"/>
                <w:lang w:val="sq-AL"/>
              </w:rPr>
              <w:t xml:space="preserve"> 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mjedisi</w:t>
            </w:r>
            <w:r w:rsidR="00077264">
              <w:rPr>
                <w:rFonts w:ascii="Times New Roman" w:eastAsia="Times New Roman" w:hAnsi="Times New Roman" w:cs="Times New Roman"/>
                <w:lang w:val="sq-AL"/>
              </w:rPr>
              <w:t>t t</w:t>
            </w:r>
            <w:r w:rsidR="00CC028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biznesit nëpërmjet </w:t>
            </w:r>
            <w:bookmarkStart w:id="6" w:name="_Hlk169242326"/>
            <w:r w:rsidRPr="00A862F7">
              <w:rPr>
                <w:rFonts w:ascii="Times New Roman" w:eastAsia="Times New Roman" w:hAnsi="Times New Roman" w:cs="Times New Roman"/>
                <w:lang w:val="sq-AL"/>
              </w:rPr>
              <w:t>derregullimit dhe modernizimit të shërbimeve të biznesit</w:t>
            </w:r>
            <w:bookmarkEnd w:id="6"/>
            <w:r w:rsidRPr="00A862F7">
              <w:rPr>
                <w:rFonts w:ascii="Times New Roman" w:eastAsia="Times New Roman" w:hAnsi="Times New Roman" w:cs="Times New Roman"/>
                <w:lang w:val="sq-AL"/>
              </w:rPr>
              <w:t>.</w:t>
            </w:r>
          </w:p>
        </w:tc>
        <w:tc>
          <w:tcPr>
            <w:tcW w:w="8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B155D" w14:textId="30C766BE" w:rsidR="002A5F18" w:rsidRPr="00A862F7" w:rsidRDefault="002A5F1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Miratimi i ligjit</w:t>
            </w:r>
            <w:r w:rsidR="00A862F7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(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eve) të unifikuar të investimeve dhe akteve </w:t>
            </w:r>
            <w:r w:rsidR="00DA465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kryesore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nënligjore </w:t>
            </w:r>
            <w:r w:rsidR="00DA4658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DA4658">
              <w:rPr>
                <w:rFonts w:ascii="Times New Roman" w:eastAsia="Times New Roman" w:hAnsi="Times New Roman" w:cs="Times New Roman"/>
                <w:lang w:val="sq-AL"/>
              </w:rPr>
              <w:t xml:space="preserve">r zbatimin e ligjit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, në përputhje me praktikat</w:t>
            </w:r>
            <w:r w:rsidR="009F65D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më të mira të BE-së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2026)</w:t>
            </w:r>
            <w:r w:rsidR="00533A4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.</w:t>
            </w:r>
          </w:p>
          <w:p w14:paraId="77B5B073" w14:textId="77777777" w:rsidR="00A103CF" w:rsidRPr="00A862F7" w:rsidRDefault="00A103CF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5F" w14:textId="51ACA81F" w:rsidR="002A5F18" w:rsidRPr="00A862F7" w:rsidRDefault="002A5F1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Miratimi i ndryshimeve ligjore për të lehtësuar procedurat administrative për bizneset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2024)</w:t>
            </w:r>
            <w:r w:rsidR="00533A4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.</w:t>
            </w:r>
          </w:p>
          <w:p w14:paraId="7F591904" w14:textId="77777777" w:rsidR="00A103CF" w:rsidRPr="00A862F7" w:rsidRDefault="00A103CF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14:paraId="6EF5E8F8" w14:textId="7C870377" w:rsidR="00A103CF" w:rsidRDefault="002A5F1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Miratimi i ndryshimeve ligjore për të përmirësuar dhe lehtësuar praktikën e inspektimit për bizneset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</w:t>
            </w:r>
            <w:r w:rsidR="00877DA9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4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)</w:t>
            </w:r>
            <w:r w:rsidR="00533A4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.</w:t>
            </w:r>
          </w:p>
          <w:p w14:paraId="07BD62A6" w14:textId="77777777" w:rsidR="00624F35" w:rsidRPr="00624F35" w:rsidRDefault="00624F35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14:paraId="52BB1563" w14:textId="36726F50" w:rsidR="002A5F18" w:rsidRPr="00A862F7" w:rsidRDefault="002A5F1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lastRenderedPageBreak/>
              <w:t xml:space="preserve">Përgatitja e Udhërrëfyesit për të përmirësuar dhe lehtësuar praktikën e raportimit të biznesit </w:t>
            </w:r>
            <w:r w:rsidR="00877DA9" w:rsidRPr="00A862F7">
              <w:rPr>
                <w:rFonts w:ascii="Times New Roman" w:eastAsia="Times New Roman" w:hAnsi="Times New Roman" w:cs="Times New Roman"/>
                <w:lang w:val="sq-AL"/>
              </w:rPr>
              <w:t>n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qeveri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2025)</w:t>
            </w:r>
            <w:r w:rsidR="00533A4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.</w:t>
            </w:r>
          </w:p>
          <w:p w14:paraId="5C7F3C87" w14:textId="77777777" w:rsidR="00A103CF" w:rsidRPr="00A862F7" w:rsidRDefault="00A103CF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12EAF354" w14:textId="375F59C9" w:rsidR="009517C1" w:rsidRPr="00EA1E11" w:rsidRDefault="002A5F18" w:rsidP="00EA1E1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Miratimi i një </w:t>
            </w:r>
            <w:r w:rsidR="00DA4658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lani </w:t>
            </w:r>
            <w:r w:rsidR="00DA4658">
              <w:rPr>
                <w:rFonts w:ascii="Times New Roman" w:eastAsia="Times New Roman" w:hAnsi="Times New Roman" w:cs="Times New Roman"/>
                <w:lang w:val="sq-AL"/>
              </w:rPr>
              <w:t>v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eprimi për përmirësimin e renditjes së Shqipërisë në Indeksin e OECD</w:t>
            </w:r>
            <w:r w:rsidR="00DA4658">
              <w:rPr>
                <w:rFonts w:ascii="Times New Roman" w:eastAsia="Times New Roman" w:hAnsi="Times New Roman" w:cs="Times New Roman"/>
                <w:lang w:val="sq-AL"/>
              </w:rPr>
              <w:t>-s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për</w:t>
            </w:r>
            <w:r w:rsidR="00DA4658">
              <w:rPr>
                <w:rFonts w:ascii="Times New Roman" w:eastAsia="Times New Roman" w:hAnsi="Times New Roman" w:cs="Times New Roman"/>
                <w:lang w:val="sq-AL"/>
              </w:rPr>
              <w:t xml:space="preserve"> Politikat 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SME-</w:t>
            </w:r>
            <w:r w:rsidR="00DA4658">
              <w:rPr>
                <w:rFonts w:ascii="Times New Roman" w:eastAsia="Times New Roman" w:hAnsi="Times New Roman" w:cs="Times New Roman"/>
                <w:lang w:val="sq-AL"/>
              </w:rPr>
              <w:t>ve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.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52BB1566" w14:textId="66DD235D" w:rsidR="009517C1" w:rsidRPr="00A862F7" w:rsidRDefault="009517C1" w:rsidP="00A103CF">
            <w:pPr>
              <w:spacing w:after="60" w:line="240" w:lineRule="auto"/>
              <w:rPr>
                <w:rFonts w:ascii="Times New Roman" w:eastAsia="Times New Roman" w:hAnsi="Times New Roman" w:cs="Times New Roman"/>
                <w:highlight w:val="yellow"/>
                <w:lang w:val="sq-AL"/>
              </w:rPr>
            </w:pPr>
          </w:p>
        </w:tc>
      </w:tr>
      <w:bookmarkEnd w:id="5"/>
      <w:tr w:rsidR="002A5F18" w:rsidRPr="00A862F7" w14:paraId="52BB1577" w14:textId="77777777" w:rsidTr="007D2948">
        <w:trPr>
          <w:trHeight w:val="58"/>
        </w:trPr>
        <w:tc>
          <w:tcPr>
            <w:tcW w:w="1668" w:type="dxa"/>
            <w:vMerge/>
            <w:vAlign w:val="center"/>
          </w:tcPr>
          <w:p w14:paraId="52BB1569" w14:textId="77777777" w:rsidR="002A5F18" w:rsidRPr="00A862F7" w:rsidRDefault="002A5F18" w:rsidP="00835701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278" w:hanging="278"/>
              <w:contextualSpacing w:val="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14" w:type="dxa"/>
            <w:vMerge/>
            <w:vAlign w:val="center"/>
          </w:tcPr>
          <w:p w14:paraId="52BB156A" w14:textId="77777777" w:rsidR="002A5F18" w:rsidRPr="00A862F7" w:rsidRDefault="002A5F18" w:rsidP="00835701">
            <w:pPr>
              <w:pStyle w:val="ListParagraph"/>
              <w:numPr>
                <w:ilvl w:val="1"/>
                <w:numId w:val="4"/>
              </w:numPr>
              <w:spacing w:after="60" w:line="240" w:lineRule="auto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56B" w14:textId="7AAD61BB" w:rsidR="002A5F18" w:rsidRPr="00A862F7" w:rsidRDefault="002A5F18" w:rsidP="002D72F9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1.1.</w:t>
            </w:r>
            <w:r w:rsidR="00F9359E">
              <w:rPr>
                <w:rFonts w:ascii="Times New Roman" w:eastAsia="Times New Roman" w:hAnsi="Times New Roman" w:cs="Times New Roman"/>
                <w:lang w:val="sq-AL"/>
              </w:rPr>
              <w:t>5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.</w:t>
            </w:r>
            <w:r w:rsidR="00BB44DD" w:rsidRPr="00A862F7">
              <w:rPr>
                <w:lang w:val="sq-AL"/>
              </w:rPr>
              <w:t xml:space="preserve"> </w:t>
            </w:r>
            <w:r w:rsidR="00BB44DD" w:rsidRPr="00A862F7">
              <w:rPr>
                <w:rFonts w:ascii="Times New Roman" w:eastAsia="Times New Roman" w:hAnsi="Times New Roman" w:cs="Times New Roman"/>
                <w:lang w:val="sq-AL"/>
              </w:rPr>
              <w:t>Vendosja e Sistemeve Inteligjente të Transportit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 xml:space="preserve"> (SIT)</w:t>
            </w:r>
            <w:r w:rsidR="00BB44DD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dhe e-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transporti</w:t>
            </w:r>
          </w:p>
        </w:tc>
        <w:tc>
          <w:tcPr>
            <w:tcW w:w="8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156C" w14:textId="4A0E81E3" w:rsidR="002A5F18" w:rsidRPr="00A862F7" w:rsidRDefault="002A5F1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Miratimi i legjislacionit përkatës pë</w:t>
            </w:r>
            <w:r w:rsidR="00EA1E11">
              <w:rPr>
                <w:rFonts w:ascii="Times New Roman" w:eastAsia="Times New Roman" w:hAnsi="Times New Roman" w:cs="Times New Roman"/>
                <w:lang w:val="sq-AL"/>
              </w:rPr>
              <w:t>r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t</w:t>
            </w:r>
            <w:r w:rsidR="00EA1E11">
              <w:rPr>
                <w:rFonts w:ascii="Times New Roman" w:eastAsia="Times New Roman" w:hAnsi="Times New Roman" w:cs="Times New Roman"/>
                <w:lang w:val="sq-AL"/>
              </w:rPr>
              <w:t>u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harmonizuar me Rregulloren e BE-së 2020/1056 mbi </w:t>
            </w:r>
            <w:r w:rsidR="00BB44DD" w:rsidRPr="00A862F7">
              <w:rPr>
                <w:rFonts w:ascii="Times New Roman" w:eastAsia="Times New Roman" w:hAnsi="Times New Roman" w:cs="Times New Roman"/>
                <w:lang w:val="sq-AL"/>
              </w:rPr>
              <w:t>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nformacionin </w:t>
            </w:r>
            <w:r w:rsidR="00BB44DD" w:rsidRPr="00A862F7">
              <w:rPr>
                <w:rFonts w:ascii="Times New Roman" w:eastAsia="Times New Roman" w:hAnsi="Times New Roman" w:cs="Times New Roman"/>
                <w:lang w:val="sq-AL"/>
              </w:rPr>
              <w:t>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lektronik të </w:t>
            </w:r>
            <w:r w:rsidR="00BB44DD" w:rsidRPr="00A862F7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ransportit të mallrave (eFTI</w:t>
            </w:r>
            <w:r w:rsidR="00E57CAD"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4"/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).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2025)</w:t>
            </w:r>
          </w:p>
          <w:p w14:paraId="2C947C0E" w14:textId="77777777" w:rsidR="00A103CF" w:rsidRPr="00A862F7" w:rsidRDefault="00A103CF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6E" w14:textId="16EDE10A" w:rsidR="002A5F18" w:rsidRPr="00A862F7" w:rsidRDefault="00BB44DD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R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atifik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imi i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Protokolli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shtuar në Konventën e Kombeve të Bashkuara për transportin e mallrave, mbi "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dëftesë-dorëzim</w:t>
            </w:r>
            <w:r w:rsidR="00EA1E11">
              <w:rPr>
                <w:rFonts w:ascii="Times New Roman" w:eastAsia="Times New Roman" w:hAnsi="Times New Roman" w:cs="Times New Roman"/>
                <w:lang w:val="sq-AL"/>
              </w:rPr>
              <w:t>in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elektronik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" (eCMR</w:t>
            </w:r>
            <w:r w:rsidR="00624F35"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5"/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) për Transportin Ndërkombëtar të Mallrave Rrugore të nevojshme për të vendosur eFTI. 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2025)</w:t>
            </w:r>
          </w:p>
          <w:p w14:paraId="3184CA06" w14:textId="77777777" w:rsidR="00A103CF" w:rsidRPr="00A862F7" w:rsidRDefault="00A103CF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70" w14:textId="6ECD1EE9" w:rsidR="002A5F18" w:rsidRPr="00A862F7" w:rsidRDefault="002A5F1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Miratimi i legjislacionit përkatës për kornizat dhe standardet e 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SIT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për 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transportin rrugor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, në përputhje me Acquis të BE-së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2026)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dhe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zbatimit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i fazës së parë të sistemeve të mbledhjes së të dhënave të trafikut dhe sistemeve të informacionit të përdoruesve 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 xml:space="preserve"> transportit rrugor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2027)</w:t>
            </w:r>
          </w:p>
          <w:p w14:paraId="6FCE1C0A" w14:textId="77777777" w:rsidR="00A103CF" w:rsidRPr="00A862F7" w:rsidRDefault="00A103CF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42172F3E" w14:textId="55689C26" w:rsidR="002A5F18" w:rsidRDefault="002A5F1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Miratimi i legjislacionit përkatës për kornizat dhe standardet e S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IT</w:t>
            </w:r>
            <w:r w:rsidR="001B1E94"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6"/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për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 xml:space="preserve"> transportin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hekurudh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or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, në përputhje me Acquis të BE-së.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2027)</w:t>
            </w:r>
          </w:p>
          <w:p w14:paraId="52BB1574" w14:textId="7862341E" w:rsidR="00EA1E11" w:rsidRPr="00A862F7" w:rsidRDefault="00EA1E11" w:rsidP="00EA1E1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2A5F18" w:rsidRPr="00A862F7" w14:paraId="52BB1586" w14:textId="77777777" w:rsidTr="007D2948">
        <w:trPr>
          <w:trHeight w:val="695"/>
        </w:trPr>
        <w:tc>
          <w:tcPr>
            <w:tcW w:w="1668" w:type="dxa"/>
            <w:vMerge/>
            <w:vAlign w:val="center"/>
          </w:tcPr>
          <w:p w14:paraId="52BB1578" w14:textId="77777777" w:rsidR="002A5F18" w:rsidRPr="00A862F7" w:rsidRDefault="002A5F18" w:rsidP="00835701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14" w:type="dxa"/>
            <w:vMerge/>
            <w:vAlign w:val="center"/>
          </w:tcPr>
          <w:p w14:paraId="52BB1579" w14:textId="77777777" w:rsidR="002A5F18" w:rsidRPr="00A862F7" w:rsidRDefault="002A5F18" w:rsidP="00835701">
            <w:pPr>
              <w:pStyle w:val="ListParagraph"/>
              <w:numPr>
                <w:ilvl w:val="1"/>
                <w:numId w:val="4"/>
              </w:numPr>
              <w:spacing w:after="60" w:line="240" w:lineRule="auto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57A" w14:textId="66507FED" w:rsidR="002A5F18" w:rsidRPr="00A862F7" w:rsidRDefault="002A5F18">
            <w:pPr>
              <w:pStyle w:val="ListParagraph"/>
              <w:numPr>
                <w:ilvl w:val="2"/>
                <w:numId w:val="7"/>
              </w:num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Promovimi i eksportit dhe ndërkombëtarizimi i ndërmarrjeve, duke përfshirë lehtësimin e eksporteve dhe tregtisë, dhe mbështetjen e zinxhirit të vlerës për industri 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përzgjedhura me potencial rritjeje.</w:t>
            </w:r>
          </w:p>
        </w:tc>
        <w:tc>
          <w:tcPr>
            <w:tcW w:w="8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CE79" w14:textId="1178044D" w:rsidR="002A5F18" w:rsidRPr="00A862F7" w:rsidRDefault="001173CC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Miratimi i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rogrami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për 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N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xitjen dhe 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L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ehtësimin e 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E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ksport</w:t>
            </w:r>
            <w:r w:rsidR="00EA1E11">
              <w:rPr>
                <w:rFonts w:ascii="Times New Roman" w:eastAsia="Times New Roman" w:hAnsi="Times New Roman" w:cs="Times New Roman"/>
                <w:lang w:val="sq-AL"/>
              </w:rPr>
              <w:t>eve</w:t>
            </w:r>
            <w:r w:rsidR="00DD4029" w:rsidRPr="00A862F7">
              <w:rPr>
                <w:rFonts w:ascii="Times New Roman" w:eastAsia="Times New Roman" w:hAnsi="Times New Roman" w:cs="Times New Roman"/>
                <w:lang w:val="sq-AL"/>
              </w:rPr>
              <w:t>.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2025)</w:t>
            </w:r>
          </w:p>
          <w:p w14:paraId="21F5C281" w14:textId="77777777" w:rsidR="00A103CF" w:rsidRPr="00A862F7" w:rsidRDefault="00A103CF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2A18406F" w14:textId="4449AAC8" w:rsidR="002A5F18" w:rsidRPr="00A862F7" w:rsidRDefault="002A5F1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Ligjet për Kontrollet Zyrtare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2026),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për Shëndetin e Kafshëve dhe për Shëndetin e Bimëve janë miratuar dhe janë në përputhje të plotë me 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A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cquis të BE-së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2025)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dhe janë përgatitur aktet nënligjore.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2026)</w:t>
            </w:r>
          </w:p>
          <w:p w14:paraId="26A729AA" w14:textId="77777777" w:rsidR="002A5F18" w:rsidRPr="00A862F7" w:rsidRDefault="002A5F1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14:paraId="5AE66088" w14:textId="32FF0DF5" w:rsidR="002A5F18" w:rsidRPr="00A862F7" w:rsidRDefault="001173CC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Progres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 xml:space="preserve">i arritur 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në iniciativat rregullatore dhe</w:t>
            </w:r>
            <w:r w:rsidR="00EA1E11">
              <w:rPr>
                <w:rFonts w:ascii="Times New Roman" w:eastAsia="Times New Roman" w:hAnsi="Times New Roman" w:cs="Times New Roman"/>
                <w:lang w:val="sq-AL"/>
              </w:rPr>
              <w:t>/ose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masat mbështetëse në lidhje me partneritetet e zinxhirit të vlerës industriale me Bashkimin Evropian. 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2027)</w:t>
            </w:r>
          </w:p>
          <w:p w14:paraId="1484FEFE" w14:textId="77777777" w:rsidR="008A35B9" w:rsidRPr="00A862F7" w:rsidRDefault="008A35B9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2AAA5106" w14:textId="2ED1D9FD" w:rsidR="009968C9" w:rsidRPr="00ED33CD" w:rsidRDefault="001173CC" w:rsidP="009968C9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lastRenderedPageBreak/>
              <w:t xml:space="preserve">Progres i vazhdueshëm 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n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zbatimin e iniciativave të </w:t>
            </w:r>
            <w:r w:rsidR="00624F35">
              <w:rPr>
                <w:rFonts w:ascii="Times New Roman" w:eastAsia="Times New Roman" w:hAnsi="Times New Roman" w:cs="Times New Roman"/>
                <w:lang w:val="sq-AL"/>
              </w:rPr>
              <w:t>Linjave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të Gjelbra</w:t>
            </w:r>
            <w:r w:rsidR="009968C9">
              <w:rPr>
                <w:rFonts w:ascii="Times New Roman" w:eastAsia="Times New Roman" w:hAnsi="Times New Roman" w:cs="Times New Roman"/>
                <w:lang w:val="sq-AL"/>
              </w:rPr>
              <w:t xml:space="preserve"> (Green Lines)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për lehtësimin e tregtisë duke miratuar një program për lehtësimin e tregtisë dhe transportit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. 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5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)</w:t>
            </w:r>
            <w:r w:rsidR="009968C9">
              <w:rPr>
                <w:rStyle w:val="FootnoteReference"/>
                <w:rFonts w:ascii="Times New Roman" w:eastAsia="Times New Roman" w:hAnsi="Times New Roman" w:cs="Times New Roman"/>
                <w:lang w:val="en-IE"/>
              </w:rPr>
              <w:footnoteReference w:id="7"/>
            </w:r>
          </w:p>
          <w:p w14:paraId="4BACBF76" w14:textId="62F32DFE" w:rsidR="002A5F18" w:rsidRPr="00A862F7" w:rsidRDefault="002A5F1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b/>
                <w:bCs/>
                <w:strike/>
                <w:lang w:val="sq-AL"/>
              </w:rPr>
              <w:t xml:space="preserve"> </w:t>
            </w:r>
          </w:p>
          <w:p w14:paraId="0165C8A3" w14:textId="3D3BA16F" w:rsidR="00CF5B35" w:rsidRDefault="002A5F18" w:rsidP="00A103CF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bookmarkStart w:id="7" w:name="_Hlk166071539"/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Rritja e peshës së eksporteve (shërbime dhe mallra) ndaj 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Prodhimit t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 xml:space="preserve"> Brendsh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m Bruto (PBB)BB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, ku pesha e eksporteve ndaj </w:t>
            </w:r>
            <w:r w:rsidR="001173CC" w:rsidRPr="00A862F7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="00F30EB8">
              <w:rPr>
                <w:rFonts w:ascii="Times New Roman" w:eastAsia="Times New Roman" w:hAnsi="Times New Roman" w:cs="Times New Roman"/>
                <w:lang w:val="sq-AL"/>
              </w:rPr>
              <w:t>BB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-së në vlerë neto është 40%.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2027)</w:t>
            </w:r>
            <w:bookmarkEnd w:id="7"/>
          </w:p>
          <w:p w14:paraId="52BB1584" w14:textId="1A05E2D5" w:rsidR="00EA1E11" w:rsidRPr="00A862F7" w:rsidRDefault="00EA1E11" w:rsidP="009968C9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2452A8" w:rsidRPr="00A862F7" w14:paraId="52BB1598" w14:textId="77777777" w:rsidTr="009E7006">
        <w:trPr>
          <w:trHeight w:val="69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1587" w14:textId="73CA890D" w:rsidR="002452A8" w:rsidRPr="002449FC" w:rsidRDefault="002449FC" w:rsidP="002449FC">
            <w:pPr>
              <w:pStyle w:val="ListParagraph"/>
              <w:spacing w:after="6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bookmarkStart w:id="8" w:name="_Hlk165210199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2. </w:t>
            </w:r>
            <w:r w:rsidR="002452A8" w:rsidRPr="002449F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Kapitali Njerëzor</w:t>
            </w:r>
          </w:p>
          <w:p w14:paraId="52BB1588" w14:textId="77777777" w:rsidR="002452A8" w:rsidRPr="002452A8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1589" w14:textId="2DA55879" w:rsidR="002452A8" w:rsidRPr="00A862F7" w:rsidRDefault="002452A8">
            <w:pPr>
              <w:pStyle w:val="ListParagraph"/>
              <w:numPr>
                <w:ilvl w:val="1"/>
                <w:numId w:val="7"/>
              </w:num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>Arsimi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58A" w14:textId="000BD298" w:rsidR="002452A8" w:rsidRPr="00A862F7" w:rsidRDefault="002452A8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Rishikim i sistemit t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AFP-së për të përshtatur më mirë kërkesën për aftësi të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tregut të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punës</w:t>
            </w:r>
          </w:p>
          <w:p w14:paraId="52BB158B" w14:textId="77777777" w:rsidR="002452A8" w:rsidRPr="00A862F7" w:rsidRDefault="002452A8" w:rsidP="00835701">
            <w:pPr>
              <w:pStyle w:val="ListParagraph"/>
              <w:spacing w:after="60" w:line="240" w:lineRule="auto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8C" w14:textId="77777777" w:rsidR="002452A8" w:rsidRPr="00A862F7" w:rsidRDefault="002452A8" w:rsidP="00835701">
            <w:pPr>
              <w:pStyle w:val="ListParagraph"/>
              <w:spacing w:after="60" w:line="240" w:lineRule="auto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8D" w14:textId="77777777" w:rsidR="002452A8" w:rsidRPr="00A862F7" w:rsidRDefault="002452A8" w:rsidP="00835701">
            <w:pPr>
              <w:pStyle w:val="ListParagraph"/>
              <w:spacing w:after="60" w:line="240" w:lineRule="auto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8E" w14:textId="77777777" w:rsidR="002452A8" w:rsidRPr="00A862F7" w:rsidRDefault="002452A8" w:rsidP="00835701">
            <w:pPr>
              <w:pStyle w:val="ListParagraph"/>
              <w:spacing w:after="60" w:line="240" w:lineRule="auto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8F" w14:textId="77777777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1590" w14:textId="540E4EFD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Dy Komitete shtesë të Aftësive Sektoriale (Bujqësia; (Energjia) Aftësitë e Gjelbërta) janë krijuar dhe </w:t>
            </w:r>
            <w:r w:rsidR="00F7172B">
              <w:rPr>
                <w:rFonts w:ascii="Times New Roman" w:eastAsia="Times New Roman" w:hAnsi="Times New Roman" w:cs="Times New Roman"/>
                <w:lang w:val="sq-AL"/>
              </w:rPr>
              <w:t>funksionojn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F7172B">
              <w:rPr>
                <w:rFonts w:ascii="Times New Roman" w:eastAsia="Times New Roman" w:hAnsi="Times New Roman" w:cs="Times New Roman"/>
                <w:lang w:val="sq-AL"/>
              </w:rPr>
              <w:t>,</w:t>
            </w:r>
            <w:r w:rsidR="00F7172B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duke kontribuar në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përshtatj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en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e përmbajtjes së AFP-së dhe programeve të trajnimit, duke përfshirë zhvillimin e kurrikulave të AFP-së.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2026)</w:t>
            </w:r>
          </w:p>
          <w:p w14:paraId="52BB1591" w14:textId="77777777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92" w14:textId="099555DA" w:rsidR="002452A8" w:rsidRPr="00A862F7" w:rsidRDefault="002452A8" w:rsidP="004F2F82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5 Kurrikula </w:t>
            </w:r>
            <w:r w:rsidR="00F7172B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rsimit dhe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F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ormimit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rofesional</w:t>
            </w:r>
            <w:r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8"/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(përfshirë standardet e profesioneve përkatëse)</w:t>
            </w:r>
            <w:r w:rsidR="00F7172B">
              <w:rPr>
                <w:rFonts w:ascii="Times New Roman" w:eastAsia="Times New Roman" w:hAnsi="Times New Roman" w:cs="Times New Roman"/>
                <w:lang w:val="sq-AL"/>
              </w:rPr>
              <w:t>,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në fushat</w:t>
            </w:r>
            <w:r w:rsidR="00F7172B">
              <w:rPr>
                <w:rFonts w:ascii="Times New Roman" w:eastAsia="Times New Roman" w:hAnsi="Times New Roman" w:cs="Times New Roman"/>
                <w:lang w:val="sq-AL"/>
              </w:rPr>
              <w:t xml:space="preserve"> e p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F7172B">
              <w:rPr>
                <w:rFonts w:ascii="Times New Roman" w:eastAsia="Times New Roman" w:hAnsi="Times New Roman" w:cs="Times New Roman"/>
                <w:lang w:val="sq-AL"/>
              </w:rPr>
              <w:t>rcaktuara n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F7172B">
              <w:rPr>
                <w:rFonts w:ascii="Times New Roman" w:eastAsia="Times New Roman" w:hAnsi="Times New Roman" w:cs="Times New Roman"/>
                <w:lang w:val="sq-AL"/>
              </w:rPr>
              <w:t xml:space="preserve"> Strategjin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F7172B">
              <w:rPr>
                <w:rFonts w:ascii="Times New Roman" w:eastAsia="Times New Roman" w:hAnsi="Times New Roman" w:cs="Times New Roman"/>
                <w:lang w:val="sq-AL"/>
              </w:rPr>
              <w:t xml:space="preserve"> e Specializimit Inteligjent</w:t>
            </w:r>
            <w:r w:rsidR="00F7172B"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9"/>
            </w:r>
            <w:r w:rsidR="00F7172B">
              <w:rPr>
                <w:rFonts w:ascii="Times New Roman" w:eastAsia="Times New Roman" w:hAnsi="Times New Roman" w:cs="Times New Roman"/>
                <w:lang w:val="sq-AL"/>
              </w:rPr>
              <w:t>,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të rishikuara nga Agjencia Kombëtare e AFP-së dhe Kualifikimeve dhe të miratuara nga ministria përgjegjëse për AFP-në.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2026)</w:t>
            </w:r>
          </w:p>
          <w:p w14:paraId="720B5DE4" w14:textId="77777777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14:paraId="52BB1594" w14:textId="72A602E9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bookmarkStart w:id="9" w:name="_Hlk165210172"/>
            <w:r w:rsidRPr="00A862F7">
              <w:rPr>
                <w:rFonts w:ascii="Times New Roman" w:eastAsia="Times New Roman" w:hAnsi="Times New Roman" w:cs="Times New Roman"/>
                <w:lang w:val="sq-AL"/>
              </w:rPr>
              <w:t>85% e mësuesve përkatës të AFP-së janë trajnuar për kurrikulat e rishikuara të AFP-së.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2026)</w:t>
            </w:r>
          </w:p>
          <w:p w14:paraId="47A8BE64" w14:textId="77777777" w:rsidR="002452A8" w:rsidRPr="00A862F7" w:rsidRDefault="002452A8" w:rsidP="00F0606D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055BE2B3" w14:textId="65EA2E6C" w:rsidR="002452A8" w:rsidRDefault="002452A8" w:rsidP="00F0606D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50% e të diplomuarve nga shkollat e AFP-së</w:t>
            </w:r>
            <w:r w:rsidR="0071421C">
              <w:rPr>
                <w:rFonts w:ascii="Times New Roman" w:eastAsia="Times New Roman" w:hAnsi="Times New Roman" w:cs="Times New Roman"/>
                <w:lang w:val="sq-AL"/>
              </w:rPr>
              <w:t xml:space="preserve"> ja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në punë</w:t>
            </w:r>
            <w:r w:rsidR="0071421C">
              <w:rPr>
                <w:rFonts w:ascii="Times New Roman" w:eastAsia="Times New Roman" w:hAnsi="Times New Roman" w:cs="Times New Roman"/>
                <w:lang w:val="sq-AL"/>
              </w:rPr>
              <w:t>suar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në sektorin përkatës të studimeve të tyre (3 muaj/6 muaj) pas diplomimit (të ndar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sipas gjinisë dhe llojit (të punësuar/të vetëpunësuar/vazhdojnë studimet e larta dhe punojnë në të njëjtën kohë)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;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gjurmuar çdo vit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2027)</w:t>
            </w:r>
            <w:bookmarkEnd w:id="9"/>
            <w:r w:rsidR="0071421C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.</w:t>
            </w:r>
          </w:p>
          <w:p w14:paraId="52BB1596" w14:textId="4F8A7659" w:rsidR="002452A8" w:rsidRPr="00A862F7" w:rsidRDefault="002452A8" w:rsidP="000B12E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</w:tc>
      </w:tr>
      <w:bookmarkEnd w:id="8"/>
      <w:tr w:rsidR="002452A8" w:rsidRPr="00A862F7" w14:paraId="52BB15A6" w14:textId="77777777" w:rsidTr="009E7006">
        <w:trPr>
          <w:trHeight w:val="55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B1599" w14:textId="77777777" w:rsidR="002452A8" w:rsidRPr="00A862F7" w:rsidRDefault="002452A8" w:rsidP="00835701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278" w:hanging="278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14:paraId="52BB159A" w14:textId="77777777" w:rsidR="002452A8" w:rsidRPr="00A862F7" w:rsidRDefault="002452A8" w:rsidP="00835701">
            <w:pPr>
              <w:pStyle w:val="ListParagraph"/>
              <w:numPr>
                <w:ilvl w:val="1"/>
                <w:numId w:val="3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B159B" w14:textId="77777777" w:rsidR="002452A8" w:rsidRPr="00A862F7" w:rsidRDefault="002452A8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ind w:left="561" w:hanging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Përditësimi i kurrikulave në arsimin fillor dhe të mesëm</w:t>
            </w:r>
          </w:p>
        </w:tc>
        <w:tc>
          <w:tcPr>
            <w:tcW w:w="8704" w:type="dxa"/>
            <w:shd w:val="clear" w:color="auto" w:fill="auto"/>
          </w:tcPr>
          <w:p w14:paraId="52BB159C" w14:textId="2779957F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Miratimi dhe zbatimi i një sistemi të ri të vlerësimit të performanc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s (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një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metodologji dhe instrumente 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r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vler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simi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n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nivelit t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kompetencave di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gj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itale) për mësuesit në nivelet fillore dhe të mesme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,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veçanë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risht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r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kompetencat TIK.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2027)</w:t>
            </w:r>
          </w:p>
          <w:p w14:paraId="5984529F" w14:textId="77777777" w:rsidR="002452A8" w:rsidRPr="00A862F7" w:rsidRDefault="002452A8" w:rsidP="547EA1AD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9E" w14:textId="712CD3B3" w:rsidR="002452A8" w:rsidRPr="00A862F7" w:rsidRDefault="002452A8" w:rsidP="547EA1AD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Përditësimi i kurrikulës baz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në arsimin bazë parauniversitar që lidh arsimin me nevojat e tregut të punës, përkatësisht lëndët “Shkencat e natyrës, Artet, Teknologjia dhe TIK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,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dhe Gjuhët dhe Komunikim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”).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).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</w:t>
            </w:r>
          </w:p>
          <w:p w14:paraId="1059A335" w14:textId="77777777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A0" w14:textId="5FC2640D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95% e mësuesve janë trajnuar 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r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kurrikulat e reja.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52BB15A1" w14:textId="77777777" w:rsidR="002452A8" w:rsidRPr="00A862F7" w:rsidRDefault="002452A8" w:rsidP="00311912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A2" w14:textId="44384843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Fillimi i zbatimit të kurrikulës së re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2027)</w:t>
            </w:r>
          </w:p>
          <w:p w14:paraId="16C1DA88" w14:textId="77777777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14:paraId="7FD5BF93" w14:textId="7161846E" w:rsidR="002452A8" w:rsidRDefault="002452A8" w:rsidP="00F0606D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Zgjerimi i programit “Art dhe Zeje” në 65% të shkollave të arsimit bazë dhe të mesëm.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2027)</w:t>
            </w:r>
          </w:p>
          <w:p w14:paraId="52BB15A4" w14:textId="1383340A" w:rsidR="002452A8" w:rsidRPr="00A862F7" w:rsidRDefault="002452A8" w:rsidP="004661DE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</w:tc>
      </w:tr>
      <w:tr w:rsidR="002452A8" w:rsidRPr="00A862F7" w14:paraId="52BB15B0" w14:textId="77777777" w:rsidTr="009E7006">
        <w:trPr>
          <w:trHeight w:val="211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B15A7" w14:textId="77777777" w:rsidR="002452A8" w:rsidRPr="00A862F7" w:rsidRDefault="002452A8" w:rsidP="00835701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278" w:hanging="278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14:paraId="52BB15A8" w14:textId="77777777" w:rsidR="002452A8" w:rsidRPr="00A862F7" w:rsidRDefault="002452A8" w:rsidP="00835701">
            <w:pPr>
              <w:pStyle w:val="ListParagraph"/>
              <w:numPr>
                <w:ilvl w:val="1"/>
                <w:numId w:val="3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B15A9" w14:textId="2346D549" w:rsidR="002452A8" w:rsidRPr="00A862F7" w:rsidRDefault="002452A8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ind w:left="561" w:hanging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Përditësimi i Kornizës Kombëtare të Kualifikimeve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,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duke vendosur një marrëdhënie të qartë dhe transparente ndërmjet niveleve kombëtare të kualifikimeve dhe niveleve përkatëse të 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Korniz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s  E</w:t>
            </w:r>
            <w:r w:rsidR="00697AE9" w:rsidRPr="00A862F7">
              <w:rPr>
                <w:rFonts w:ascii="Times New Roman" w:eastAsia="Times New Roman" w:hAnsi="Times New Roman" w:cs="Times New Roman"/>
                <w:lang w:val="sq-AL"/>
              </w:rPr>
              <w:t>vropiane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 xml:space="preserve"> t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 xml:space="preserve"> Kualifikimeve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.</w:t>
            </w:r>
          </w:p>
        </w:tc>
        <w:tc>
          <w:tcPr>
            <w:tcW w:w="8704" w:type="dxa"/>
            <w:shd w:val="clear" w:color="auto" w:fill="FFFFFF" w:themeFill="background1"/>
          </w:tcPr>
          <w:p w14:paraId="52BB15AA" w14:textId="5676F1C5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Rregullimi 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dhe miratimi 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k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uadrit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për njohjen/vlefshmërinë e përvojës së mëparshme të të mësuarit joformal dhe informal dhe përfshirja e kualifikimeve 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rgjat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 xml:space="preserve"> gjith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 xml:space="preserve"> jet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s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, përfshirë mikrokredencialet, në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K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orniz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S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hqiptare t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K</w:t>
            </w:r>
            <w:r w:rsidR="00697AE9">
              <w:rPr>
                <w:rFonts w:ascii="Times New Roman" w:eastAsia="Times New Roman" w:hAnsi="Times New Roman" w:cs="Times New Roman"/>
                <w:lang w:val="sq-AL"/>
              </w:rPr>
              <w:t>ualifikimeve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0C97F3C4" w14:textId="77777777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AC" w14:textId="73E6A17F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90% e ofruesve publikë dhe privatë të AFP-së kalojnë në procesin e akreditimit.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6EF4C303" w14:textId="77777777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AE" w14:textId="617D5DC2" w:rsidR="002452A8" w:rsidRPr="004661DE" w:rsidRDefault="002452A8" w:rsidP="004661DE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val="sq-AL"/>
              </w:rPr>
            </w:pPr>
            <w:bookmarkStart w:id="10" w:name="_Hlk166075296"/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Zbatimi </w:t>
            </w:r>
            <w:r w:rsidR="002E60BE">
              <w:rPr>
                <w:rFonts w:ascii="Times New Roman" w:eastAsia="Times New Roman" w:hAnsi="Times New Roman" w:cs="Times New Roman"/>
                <w:lang w:val="sq-AL"/>
              </w:rPr>
              <w:t xml:space="preserve">i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pjes</w:t>
            </w:r>
            <w:r w:rsidR="002E60BE">
              <w:rPr>
                <w:rFonts w:ascii="Times New Roman" w:eastAsia="Times New Roman" w:hAnsi="Times New Roman" w:cs="Times New Roman"/>
                <w:lang w:val="sq-AL"/>
              </w:rPr>
              <w:t>sh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2E60BE">
              <w:rPr>
                <w:rFonts w:ascii="Times New Roman" w:eastAsia="Times New Roman" w:hAnsi="Times New Roman" w:cs="Times New Roman"/>
                <w:lang w:val="sq-AL"/>
              </w:rPr>
              <w:t>m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i ESG</w:t>
            </w:r>
            <w:r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10"/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-ve (përkatësisht ESG 3.3 dhe ESG 2.7)</w:t>
            </w:r>
            <w:r w:rsidRPr="00A862F7">
              <w:rPr>
                <w:rStyle w:val="cf01"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dhe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futja 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referenca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ve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të qarta në aktet nënligjore dhe rregulloret përkatëse të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K</w:t>
            </w:r>
            <w:r w:rsidR="002E60BE">
              <w:rPr>
                <w:rFonts w:ascii="Times New Roman" w:eastAsia="Times New Roman" w:hAnsi="Times New Roman" w:cs="Times New Roman"/>
                <w:lang w:val="sq-AL"/>
              </w:rPr>
              <w:t>orniz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2E60BE">
              <w:rPr>
                <w:rFonts w:ascii="Times New Roman" w:eastAsia="Times New Roman" w:hAnsi="Times New Roman" w:cs="Times New Roman"/>
                <w:lang w:val="sq-AL"/>
              </w:rPr>
              <w:t>s Shqipare,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si kritere për akreditim.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2025)</w:t>
            </w:r>
            <w:bookmarkStart w:id="11" w:name="_Hlk164093388"/>
            <w:r w:rsidRPr="00A862F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val="sq-AL"/>
              </w:rPr>
              <w:t xml:space="preserve"> </w:t>
            </w:r>
            <w:bookmarkEnd w:id="10"/>
            <w:bookmarkEnd w:id="11"/>
          </w:p>
        </w:tc>
      </w:tr>
      <w:tr w:rsidR="002452A8" w:rsidRPr="00A862F7" w14:paraId="52BB15BE" w14:textId="77777777" w:rsidTr="009E7006">
        <w:trPr>
          <w:trHeight w:val="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B15B1" w14:textId="77777777" w:rsidR="002452A8" w:rsidRPr="00A862F7" w:rsidRDefault="002452A8" w:rsidP="00835701">
            <w:pPr>
              <w:spacing w:after="6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5B2" w14:textId="77777777" w:rsidR="002452A8" w:rsidRPr="00A862F7" w:rsidRDefault="002452A8" w:rsidP="00835701">
            <w:pPr>
              <w:spacing w:after="6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5B3" w14:textId="2B56B56C" w:rsidR="002452A8" w:rsidRPr="00A862F7" w:rsidRDefault="002452A8">
            <w:pPr>
              <w:pStyle w:val="ListParagraph"/>
              <w:numPr>
                <w:ilvl w:val="2"/>
                <w:numId w:val="6"/>
              </w:num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Përparimi n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aftësitë dhe arsimin di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gj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ital për të rinjtë dhe sigurimi i pajisjeve të mjaftueshme TIK për shkollat dhe universitetet publike.</w:t>
            </w:r>
          </w:p>
          <w:p w14:paraId="52BB15B4" w14:textId="77777777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BEEB7" w14:textId="77777777" w:rsidR="002452A8" w:rsidRPr="00A862F7" w:rsidRDefault="002452A8" w:rsidP="00835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6C1DC9A" w14:textId="0B81E3BF" w:rsidR="002452A8" w:rsidRPr="00A862F7" w:rsidRDefault="002452A8" w:rsidP="00835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Lidhja e 95% të shkollave publike me lidhje broadband me shpejtësi të lartë (të paktën 30 Mbit)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2025)</w:t>
            </w:r>
            <w:r w:rsidR="00632BE4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.</w:t>
            </w:r>
          </w:p>
          <w:p w14:paraId="31661EE5" w14:textId="77777777" w:rsidR="002452A8" w:rsidRPr="00A862F7" w:rsidRDefault="002452A8" w:rsidP="00835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B5" w14:textId="7408C688" w:rsidR="002452A8" w:rsidRPr="00A862F7" w:rsidRDefault="002452A8" w:rsidP="003119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Krijimi i Smart Labs</w:t>
            </w:r>
            <w:r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11"/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, shoqëruar </w:t>
            </w:r>
            <w:r w:rsidR="00632BE4">
              <w:rPr>
                <w:rFonts w:ascii="Times New Roman" w:eastAsia="Times New Roman" w:hAnsi="Times New Roman" w:cs="Times New Roman"/>
                <w:lang w:val="sq-AL"/>
              </w:rPr>
              <w:t xml:space="preserve">secili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me infrastrukturën </w:t>
            </w:r>
            <w:r w:rsidR="00632BE4">
              <w:rPr>
                <w:rFonts w:ascii="Times New Roman" w:eastAsia="Times New Roman" w:hAnsi="Times New Roman" w:cs="Times New Roman"/>
                <w:lang w:val="sq-AL"/>
              </w:rPr>
              <w:t>respektive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di</w:t>
            </w:r>
            <w:r w:rsidR="00632BE4">
              <w:rPr>
                <w:rFonts w:ascii="Times New Roman" w:eastAsia="Times New Roman" w:hAnsi="Times New Roman" w:cs="Times New Roman"/>
                <w:lang w:val="sq-AL"/>
              </w:rPr>
              <w:t>gj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itale, në 75% të shkollave publike.</w:t>
            </w:r>
            <w:r w:rsidRPr="00A862F7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2027)</w:t>
            </w:r>
            <w:r>
              <w:rPr>
                <w:rStyle w:val="FootnoteReference"/>
                <w:rFonts w:eastAsiaTheme="minorEastAsia"/>
                <w:b/>
                <w:bCs/>
                <w:lang w:val="en-IE"/>
              </w:rPr>
              <w:footnoteReference w:id="12"/>
            </w:r>
          </w:p>
          <w:p w14:paraId="52BB15B6" w14:textId="77777777" w:rsidR="002452A8" w:rsidRPr="00A862F7" w:rsidRDefault="002452A8" w:rsidP="008357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sq-AL"/>
              </w:rPr>
            </w:pPr>
          </w:p>
          <w:p w14:paraId="52BB15B7" w14:textId="77A759F5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Futja e lëndës TIK në të gjitha klasat e arsimit bazë dhe trajnimi i 500 mësuesve të arsimit parauniversitar për të </w:t>
            </w:r>
            <w:r w:rsidR="00632BE4">
              <w:rPr>
                <w:rFonts w:ascii="Times New Roman" w:eastAsia="Times New Roman" w:hAnsi="Times New Roman" w:cs="Times New Roman"/>
                <w:lang w:val="sq-AL"/>
              </w:rPr>
              <w:t>dh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32BE4">
              <w:rPr>
                <w:rFonts w:ascii="Times New Roman" w:eastAsia="Times New Roman" w:hAnsi="Times New Roman" w:cs="Times New Roman"/>
                <w:lang w:val="sq-AL"/>
              </w:rPr>
              <w:t>n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32BE4">
              <w:rPr>
                <w:rFonts w:ascii="Times New Roman" w:eastAsia="Times New Roman" w:hAnsi="Times New Roman" w:cs="Times New Roman"/>
                <w:lang w:val="sq-AL"/>
              </w:rPr>
              <w:t xml:space="preserve"> m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32BE4">
              <w:rPr>
                <w:rFonts w:ascii="Times New Roman" w:eastAsia="Times New Roman" w:hAnsi="Times New Roman" w:cs="Times New Roman"/>
                <w:lang w:val="sq-AL"/>
              </w:rPr>
              <w:t>sim</w:t>
            </w:r>
            <w:r w:rsidR="00632BE4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këtë lëndë.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2026)</w:t>
            </w:r>
          </w:p>
          <w:p w14:paraId="704615B1" w14:textId="77777777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14:paraId="52BB15B9" w14:textId="565C1EDB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bCs/>
                <w:lang w:val="sq-AL"/>
              </w:rPr>
              <w:t>Përmirësimi i kapaciteteve TIK në IAL</w:t>
            </w:r>
            <w:r w:rsidR="00632BE4">
              <w:rPr>
                <w:rStyle w:val="FootnoteReference"/>
                <w:rFonts w:ascii="Times New Roman" w:eastAsia="Times New Roman" w:hAnsi="Times New Roman" w:cs="Times New Roman"/>
                <w:bCs/>
                <w:lang w:val="sq-AL"/>
              </w:rPr>
              <w:footnoteReference w:id="13"/>
            </w:r>
            <w:r w:rsidRPr="00A862F7">
              <w:rPr>
                <w:rFonts w:ascii="Times New Roman" w:eastAsia="Times New Roman" w:hAnsi="Times New Roman" w:cs="Times New Roman"/>
                <w:bCs/>
                <w:lang w:val="sq-AL"/>
              </w:rPr>
              <w:t>, duke zhvilluar dhe forcuar nj</w:t>
            </w:r>
            <w:r>
              <w:rPr>
                <w:rFonts w:ascii="Times New Roman" w:eastAsia="Times New Roman" w:hAnsi="Times New Roman" w:cs="Times New Roman"/>
                <w:bCs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 platformë t</w:t>
            </w:r>
            <w:r>
              <w:rPr>
                <w:rFonts w:ascii="Times New Roman" w:eastAsia="Times New Roman" w:hAnsi="Times New Roman" w:cs="Times New Roman"/>
                <w:bCs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 menaxhimit të informacionit </w:t>
            </w:r>
            <w:r w:rsidR="001953BD">
              <w:rPr>
                <w:rFonts w:ascii="Times New Roman" w:eastAsia="Times New Roman" w:hAnsi="Times New Roman" w:cs="Times New Roman"/>
                <w:bCs/>
                <w:lang w:val="sq-AL"/>
              </w:rPr>
              <w:t>p</w:t>
            </w:r>
            <w:r w:rsidRPr="00A862F7">
              <w:rPr>
                <w:rFonts w:ascii="Times New Roman" w:eastAsia="Times New Roman" w:hAnsi="Times New Roman" w:cs="Times New Roman"/>
                <w:bCs/>
                <w:lang w:val="sq-AL"/>
              </w:rPr>
              <w:t>ë</w:t>
            </w:r>
            <w:r w:rsidR="001953BD">
              <w:rPr>
                <w:rFonts w:ascii="Times New Roman" w:eastAsia="Times New Roman" w:hAnsi="Times New Roman" w:cs="Times New Roman"/>
                <w:bCs/>
                <w:lang w:val="sq-AL"/>
              </w:rPr>
              <w:t>r</w:t>
            </w:r>
            <w:r w:rsidRPr="00A862F7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 arsimin e lartë. (</w:t>
            </w:r>
            <w:r>
              <w:rPr>
                <w:rFonts w:ascii="Times New Roman" w:eastAsia="Times New Roman" w:hAnsi="Times New Roman" w:cs="Times New Roman"/>
                <w:b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lang w:val="sq-AL"/>
              </w:rPr>
              <w:t xml:space="preserve"> 2026)</w:t>
            </w:r>
          </w:p>
          <w:p w14:paraId="02AF2FD1" w14:textId="77777777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lang w:val="sq-AL"/>
              </w:rPr>
            </w:pPr>
          </w:p>
          <w:p w14:paraId="39B2F0E2" w14:textId="43E0D992" w:rsidR="002452A8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Çertifikim sistematik për programet e aftësive dixhitale</w:t>
            </w:r>
            <w:r w:rsidR="001953BD">
              <w:rPr>
                <w:rFonts w:ascii="Times New Roman" w:eastAsia="Times New Roman" w:hAnsi="Times New Roman" w:cs="Times New Roman"/>
                <w:lang w:val="sq-AL"/>
              </w:rPr>
              <w:t>, q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1953BD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do të </w:t>
            </w:r>
            <w:r w:rsidR="001953BD">
              <w:rPr>
                <w:rFonts w:ascii="Times New Roman" w:eastAsia="Times New Roman" w:hAnsi="Times New Roman" w:cs="Times New Roman"/>
                <w:lang w:val="sq-AL"/>
              </w:rPr>
              <w:t>arri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j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1953BD" w:rsidRPr="00A862F7">
              <w:rPr>
                <w:rFonts w:ascii="Times New Roman" w:eastAsia="Times New Roman" w:hAnsi="Times New Roman" w:cs="Times New Roman"/>
                <w:lang w:val="sq-AL"/>
              </w:rPr>
              <w:t>ç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ertifikimin e 6000 individëve.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52BB15BC" w14:textId="3421F01C" w:rsidR="002452A8" w:rsidRPr="00A862F7" w:rsidRDefault="002452A8" w:rsidP="005828EB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2452A8" w:rsidRPr="00A862F7" w14:paraId="52BB15CD" w14:textId="77777777" w:rsidTr="009E7006">
        <w:trPr>
          <w:trHeight w:val="39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B15BF" w14:textId="77777777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bookmarkStart w:id="12" w:name="_Hlk165213236"/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B15C0" w14:textId="04362D20" w:rsidR="002452A8" w:rsidRPr="00A862F7" w:rsidRDefault="002452A8">
            <w:pPr>
              <w:pStyle w:val="ListParagraph"/>
              <w:numPr>
                <w:ilvl w:val="1"/>
                <w:numId w:val="8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>Tregu i Pun</w:t>
            </w:r>
            <w:r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s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2BB15C1" w14:textId="77777777" w:rsidR="002452A8" w:rsidRPr="00A862F7" w:rsidRDefault="002452A8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ind w:left="561" w:hanging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Forcimi i efikasitetit të Skemës së Politikës së Papunësisë</w:t>
            </w:r>
          </w:p>
        </w:tc>
        <w:tc>
          <w:tcPr>
            <w:tcW w:w="8704" w:type="dxa"/>
            <w:shd w:val="clear" w:color="auto" w:fill="auto"/>
          </w:tcPr>
          <w:p w14:paraId="52BB15C2" w14:textId="5402FF82" w:rsidR="002452A8" w:rsidRPr="00A862F7" w:rsidRDefault="002452A8" w:rsidP="00F0606D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Ofrim</w:t>
            </w:r>
            <w:r w:rsidR="00CB7120">
              <w:rPr>
                <w:rFonts w:ascii="Times New Roman" w:eastAsia="Times New Roman" w:hAnsi="Times New Roman" w:cs="Times New Roman"/>
                <w:lang w:val="sq-AL"/>
              </w:rPr>
              <w:t xml:space="preserve"> 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CB7120">
              <w:rPr>
                <w:rFonts w:ascii="Times New Roman" w:eastAsia="Times New Roman" w:hAnsi="Times New Roman" w:cs="Times New Roman"/>
                <w:lang w:val="sq-AL"/>
              </w:rPr>
              <w:t>PATP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v</w:t>
            </w:r>
            <w:r w:rsidR="00CB7120">
              <w:rPr>
                <w:rFonts w:ascii="Times New Roman" w:eastAsia="Times New Roman" w:hAnsi="Times New Roman" w:cs="Times New Roman"/>
                <w:lang w:val="sq-AL"/>
              </w:rPr>
              <w:t>e t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CB7120">
              <w:rPr>
                <w:rFonts w:ascii="Times New Roman" w:eastAsia="Times New Roman" w:hAnsi="Times New Roman" w:cs="Times New Roman"/>
                <w:lang w:val="sq-AL"/>
              </w:rPr>
              <w:t xml:space="preserve"> reja dhe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të diversifikuara</w:t>
            </w:r>
            <w:r w:rsidR="00CB7120">
              <w:rPr>
                <w:rFonts w:ascii="Times New Roman" w:eastAsia="Times New Roman" w:hAnsi="Times New Roman" w:cs="Times New Roman"/>
                <w:lang w:val="sq-AL"/>
              </w:rPr>
              <w:t>,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që syno</w:t>
            </w:r>
            <w:r w:rsidR="00CB7120">
              <w:rPr>
                <w:rFonts w:ascii="Times New Roman" w:eastAsia="Times New Roman" w:hAnsi="Times New Roman" w:cs="Times New Roman"/>
                <w:lang w:val="sq-AL"/>
              </w:rPr>
              <w:t>j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n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pun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k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rkues q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përfitojn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ndihmë ekonomike, punëkërkuesit e papunë afatgjatë dhe punëkërkuesit e papunë afatgjatë me arsim bazë/pa arsim paraprak.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11B253B4" w14:textId="77777777" w:rsidR="002452A8" w:rsidRPr="00A862F7" w:rsidRDefault="002452A8" w:rsidP="00E95C35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C4" w14:textId="64F19FF1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Rritja e numrit të punëkërkuesve të papunë të regjistruar në </w:t>
            </w:r>
            <w:r w:rsidR="00E12709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rogramet </w:t>
            </w:r>
            <w:r w:rsidR="00E12709">
              <w:rPr>
                <w:rFonts w:ascii="Times New Roman" w:eastAsia="Times New Roman" w:hAnsi="Times New Roman" w:cs="Times New Roman"/>
                <w:lang w:val="sq-AL"/>
              </w:rPr>
              <w:t>A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ktive të </w:t>
            </w:r>
            <w:r w:rsidR="00E12709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regut të </w:t>
            </w:r>
            <w:r w:rsidR="00E12709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unës</w:t>
            </w:r>
            <w:r w:rsidR="00E12709">
              <w:rPr>
                <w:rFonts w:ascii="Times New Roman" w:eastAsia="Times New Roman" w:hAnsi="Times New Roman" w:cs="Times New Roman"/>
                <w:lang w:val="sq-AL"/>
              </w:rPr>
              <w:t xml:space="preserve"> (PATP)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në 8%.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612AB34D" w14:textId="77777777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7EAE4F1C" w14:textId="077B2058" w:rsidR="002452A8" w:rsidRPr="00A862F7" w:rsidRDefault="002452A8" w:rsidP="00F0606D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Rritja e numrit të regjistrimit t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punëkërkuesve në zyrat e punësimit në 60% të totalit të të papunëve.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707B72D1" w14:textId="77777777" w:rsidR="002452A8" w:rsidRPr="00A862F7" w:rsidRDefault="002452A8" w:rsidP="00F0606D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C8" w14:textId="70AD46FE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Rritja e numrit total të punëkërkuesve të papunë në Formimin Profesional në 20% të totalit të punëkërkuesve të papunë.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3788BCD5" w14:textId="77777777" w:rsidR="002452A8" w:rsidRPr="00A862F7" w:rsidRDefault="002452A8" w:rsidP="00F0606D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4C6ABFDA" w14:textId="4DBE3452" w:rsidR="002452A8" w:rsidRDefault="002452A8" w:rsidP="002E7146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Rritja e numrit të punëkërkuesve të papunë që punësohen përmes Programe</w:t>
            </w:r>
            <w:r w:rsidR="00BE6BDA">
              <w:rPr>
                <w:rFonts w:ascii="Times New Roman" w:eastAsia="Times New Roman" w:hAnsi="Times New Roman" w:cs="Times New Roman"/>
                <w:lang w:val="sq-AL"/>
              </w:rPr>
              <w:t>ve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BE6BDA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Promovimit të Punësimit të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SHKP</w:t>
            </w:r>
            <w:r w:rsidR="00BE6BDA">
              <w:rPr>
                <w:rFonts w:ascii="Times New Roman" w:eastAsia="Times New Roman" w:hAnsi="Times New Roman" w:cs="Times New Roman"/>
                <w:lang w:val="sq-AL"/>
              </w:rPr>
              <w:t>-s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14"/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në 5000 (të dhëna të ndara sipas gjinisë dhe grupeve vulnerabël).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52BB15CB" w14:textId="12DE0816" w:rsidR="002452A8" w:rsidRPr="00A862F7" w:rsidRDefault="002452A8" w:rsidP="00A7162B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bookmarkEnd w:id="12"/>
      <w:tr w:rsidR="002452A8" w:rsidRPr="00A862F7" w14:paraId="52BB15DB" w14:textId="77777777" w:rsidTr="00CD6881">
        <w:trPr>
          <w:trHeight w:val="84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B15CE" w14:textId="77777777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BB15CF" w14:textId="77777777" w:rsidR="002452A8" w:rsidRPr="00A862F7" w:rsidRDefault="002452A8">
            <w:pPr>
              <w:pStyle w:val="ListParagraph"/>
              <w:numPr>
                <w:ilvl w:val="1"/>
                <w:numId w:val="8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Kërkim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&amp; Zhvillim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2BB15D0" w14:textId="3550AE67" w:rsidR="002452A8" w:rsidRPr="00A862F7" w:rsidRDefault="002452A8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ind w:left="561" w:hanging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Forcimi i mjedisit kombëtar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 t</w:t>
            </w:r>
            <w:r w:rsidR="000F394D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Kërkimit dhe Inovacionit,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duke miratuar kornizën strategjike aftësuese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.</w:t>
            </w:r>
          </w:p>
          <w:p w14:paraId="52BB15D1" w14:textId="77777777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8704" w:type="dxa"/>
            <w:shd w:val="clear" w:color="auto" w:fill="auto"/>
          </w:tcPr>
          <w:p w14:paraId="52BB15D2" w14:textId="535E45A6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Miratimi i Strategjisë </w:t>
            </w:r>
            <w:r w:rsidR="001B3432">
              <w:rPr>
                <w:rFonts w:ascii="Times New Roman" w:eastAsia="Times New Roman" w:hAnsi="Times New Roman" w:cs="Times New Roman"/>
                <w:lang w:val="sq-AL"/>
              </w:rPr>
              <w:t>s</w:t>
            </w:r>
            <w:r w:rsidR="000E2AAE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1B3432">
              <w:rPr>
                <w:rFonts w:ascii="Times New Roman" w:eastAsia="Times New Roman" w:hAnsi="Times New Roman" w:cs="Times New Roman"/>
                <w:lang w:val="sq-AL"/>
              </w:rPr>
              <w:t xml:space="preserve"> Specializimit Inteligjent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2024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52BB15D3" w14:textId="77777777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01D9F336" w14:textId="778E0582" w:rsidR="002452A8" w:rsidRPr="00A862F7" w:rsidRDefault="002452A8" w:rsidP="00B300E4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Miratimi i ligjit dhe zbatimi i legjislacionit për shkencën dhe kërkimin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në përputhje me politikën e Zonës Evropiane të Kërkimit.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2025)</w:t>
            </w:r>
          </w:p>
          <w:p w14:paraId="52BB15D5" w14:textId="77777777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D6" w14:textId="266065AA" w:rsidR="002452A8" w:rsidRPr="00A862F7" w:rsidRDefault="0032269B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 xml:space="preserve">Krijimi nga </w:t>
            </w:r>
            <w:r w:rsidR="002452A8">
              <w:rPr>
                <w:rFonts w:ascii="Times New Roman" w:eastAsia="Times New Roman" w:hAnsi="Times New Roman" w:cs="Times New Roman"/>
                <w:lang w:val="sq-AL"/>
              </w:rPr>
              <w:t>AKKSH</w:t>
            </w:r>
            <w:r w:rsidR="002452A8"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15"/>
            </w:r>
            <w:r w:rsidR="002452A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i</w:t>
            </w:r>
            <w:r w:rsidR="002452A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një platform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e</w:t>
            </w:r>
            <w:r w:rsidR="002452A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për promovimin e Shkencës së Hapur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,</w:t>
            </w:r>
            <w:r w:rsidR="002452A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duke u dhënë studiuesve shqiptarë akses të lirë në botimet kërkimore të garantuara nga institucionet e tyre. (</w:t>
            </w:r>
            <w:r w:rsidR="002452A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="002452A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</w:t>
            </w:r>
            <w:r w:rsidR="002452A8"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52BB15D7" w14:textId="77777777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D9" w14:textId="38CA114A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Miratimi i një </w:t>
            </w:r>
            <w:r w:rsidR="0032269B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lani </w:t>
            </w:r>
            <w:r w:rsidR="0032269B">
              <w:rPr>
                <w:rFonts w:ascii="Times New Roman" w:eastAsia="Times New Roman" w:hAnsi="Times New Roman" w:cs="Times New Roman"/>
                <w:lang w:val="sq-AL"/>
              </w:rPr>
              <w:t>v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eprimi me masa për të siguruar progres, që Shqipëria të klasifikohet si një inovator mesatar në Tabelën Evropiane të Inovacionit</w:t>
            </w:r>
            <w:r w:rsidR="0032269B">
              <w:rPr>
                <w:rFonts w:ascii="Times New Roman" w:eastAsia="Times New Roman" w:hAnsi="Times New Roman" w:cs="Times New Roman"/>
                <w:lang w:val="sq-AL"/>
              </w:rPr>
              <w:t xml:space="preserve"> (TEI)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, duke rezultuar në përmirësimin e raportimit të Shqipërisë për treguesit </w:t>
            </w:r>
            <w:r w:rsidR="0032269B">
              <w:rPr>
                <w:rFonts w:ascii="Times New Roman" w:eastAsia="Times New Roman" w:hAnsi="Times New Roman" w:cs="Times New Roman"/>
                <w:lang w:val="sq-AL"/>
              </w:rPr>
              <w:t>TEI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  <w:r w:rsidRPr="00A862F7" w:rsidDel="00922130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</w:p>
        </w:tc>
      </w:tr>
      <w:tr w:rsidR="002452A8" w:rsidRPr="00A862F7" w14:paraId="52BB15E9" w14:textId="77777777" w:rsidTr="007D2948">
        <w:trPr>
          <w:trHeight w:val="846"/>
        </w:trPr>
        <w:tc>
          <w:tcPr>
            <w:tcW w:w="1668" w:type="dxa"/>
            <w:vMerge w:val="restart"/>
            <w:vAlign w:val="center"/>
          </w:tcPr>
          <w:p w14:paraId="52BB15DC" w14:textId="77777777" w:rsidR="002452A8" w:rsidRPr="002452A8" w:rsidRDefault="002452A8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278" w:hanging="278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val="sq-AL"/>
              </w:rPr>
            </w:pPr>
            <w:r w:rsidRPr="002449F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Dixhitale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2BB15DD" w14:textId="77777777" w:rsidR="002452A8" w:rsidRPr="00A862F7" w:rsidRDefault="002452A8">
            <w:pPr>
              <w:pStyle w:val="ListParagraph"/>
              <w:numPr>
                <w:ilvl w:val="1"/>
                <w:numId w:val="8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>Dixhitale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2BB15DE" w14:textId="3F76D517" w:rsidR="002452A8" w:rsidRPr="00A862F7" w:rsidRDefault="002452A8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ind w:left="561" w:hanging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P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rputhshm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ria me rregulloren e Identitetit D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igj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ital dhe zbatimi i e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-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Portofolit Di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gj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ital për shërbimet publike</w:t>
            </w:r>
          </w:p>
          <w:p w14:paraId="52BB15DF" w14:textId="77777777" w:rsidR="002452A8" w:rsidRPr="00A862F7" w:rsidRDefault="002452A8" w:rsidP="00835701">
            <w:pPr>
              <w:pStyle w:val="ListParagraph"/>
              <w:spacing w:after="60" w:line="240" w:lineRule="auto"/>
              <w:ind w:left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8704" w:type="dxa"/>
            <w:shd w:val="clear" w:color="auto" w:fill="auto"/>
          </w:tcPr>
          <w:p w14:paraId="52BB15E0" w14:textId="332366AC" w:rsidR="002452A8" w:rsidRPr="00A862F7" w:rsidRDefault="002452A8" w:rsidP="000B4723">
            <w:pPr>
              <w:spacing w:after="60" w:line="240" w:lineRule="auto"/>
              <w:rPr>
                <w:rFonts w:ascii="Times New Roman" w:eastAsia="Times New Roman" w:hAnsi="Times New Roman" w:cs="Times New Roman"/>
                <w:highlight w:val="yellow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lastRenderedPageBreak/>
              <w:t>Miratimi i legjislacionit përkatës për t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u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harmonizuar me rregulloren e re të BE-së për Identitetin Dixhital (eIDAS 2) (Regulation (EU) 2024/1183).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52BB15E1" w14:textId="77777777" w:rsidR="002452A8" w:rsidRPr="00A862F7" w:rsidRDefault="002452A8" w:rsidP="000B4723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6060EF5E" w14:textId="6A7C738D" w:rsidR="002452A8" w:rsidRPr="00A862F7" w:rsidRDefault="002452A8" w:rsidP="000B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lastRenderedPageBreak/>
              <w:t>Përfshirja në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listën e besuar të Vendeve të Treta të BE-së për vërtetimin e nënshkrimeve elektronike</w:t>
            </w:r>
            <w:r w:rsidR="0032269B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,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si nënshkrim elektronik i avancuar</w:t>
            </w:r>
            <w:r w:rsidR="0032269B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,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për të arritur efekt ligjor të nënshkrimit të shkruar me dorë në BE, </w:t>
            </w:r>
            <w:r w:rsidR="0032269B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si 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hap i parë drejt njohjes reciproke të shërbimeve të kualifikuara të besimit. </w:t>
            </w:r>
            <w:r w:rsidRPr="00A862F7">
              <w:rPr>
                <w:rFonts w:ascii="Times New Roman" w:eastAsia="Calibri" w:hAnsi="Times New Roman" w:cs="Times New Roman"/>
                <w:b/>
                <w:color w:val="000000" w:themeColor="text1"/>
                <w:lang w:val="sq-AL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sq-AL"/>
              </w:rPr>
              <w:t>Dhjetor</w:t>
            </w:r>
            <w:r w:rsidRPr="00A862F7">
              <w:rPr>
                <w:rFonts w:ascii="Times New Roman" w:eastAsia="Calibri" w:hAnsi="Times New Roman" w:cs="Times New Roman"/>
                <w:b/>
                <w:color w:val="000000" w:themeColor="text1"/>
                <w:lang w:val="sq-AL"/>
              </w:rPr>
              <w:t xml:space="preserve"> 2025)</w:t>
            </w:r>
          </w:p>
          <w:p w14:paraId="3248EA62" w14:textId="77777777" w:rsidR="002452A8" w:rsidRDefault="002452A8" w:rsidP="000B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pPr>
            <w:bookmarkStart w:id="13" w:name="_Hlk165149558"/>
          </w:p>
          <w:p w14:paraId="25222FAB" w14:textId="4369D698" w:rsidR="002452A8" w:rsidRDefault="002452A8" w:rsidP="000B4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  <w:t>Futja</w:t>
            </w:r>
            <w:r w:rsidRPr="00A862F7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  <w:t xml:space="preserve"> e plotë e ID-ve elektronike që lejojnë lidhjen me shërbimet di</w:t>
            </w:r>
            <w:r w:rsidR="0032269B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  <w:t>gj</w:t>
            </w:r>
            <w:r w:rsidRPr="00A862F7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  <w:t xml:space="preserve">itale të administratës publike (duke përfshirë të paktën 22 shërbime elektronike aktuale në e-Albania në fushën e taksave,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  <w:t xml:space="preserve">shërbimeve </w:t>
            </w:r>
            <w:r w:rsidRPr="00A862F7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  <w:t xml:space="preserve">sociale dhe arsimore)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 xml:space="preserve"> 2026) </w:t>
            </w:r>
            <w:r w:rsidRPr="00A862F7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  <w:t xml:space="preserve">dhe pjesëmarrje të plotë në Portofolin e ID-së së BE-së.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 xml:space="preserve"> 2027)</w:t>
            </w:r>
          </w:p>
          <w:bookmarkEnd w:id="13"/>
          <w:p w14:paraId="167B3909" w14:textId="77777777" w:rsidR="002452A8" w:rsidRPr="00A862F7" w:rsidRDefault="002452A8" w:rsidP="000B4723">
            <w:pPr>
              <w:spacing w:after="6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val="sq-AL" w:eastAsia="en-GB"/>
              </w:rPr>
            </w:pPr>
          </w:p>
          <w:p w14:paraId="09D595E2" w14:textId="1CBA4D04" w:rsidR="002452A8" w:rsidRPr="00A862F7" w:rsidRDefault="002452A8" w:rsidP="000B4723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Implementimi i një Portofol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Di</w:t>
            </w:r>
            <w:r w:rsidR="0032269B">
              <w:rPr>
                <w:rFonts w:ascii="Times New Roman" w:eastAsia="Times New Roman" w:hAnsi="Times New Roman" w:cs="Times New Roman"/>
                <w:lang w:val="sq-AL"/>
              </w:rPr>
              <w:t>gj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ital për shërbimet elektronike publike, në përputhje me standardet e BE-së, duke pilotuar si pjesë e Portofolit t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Identitetit Dixhital të e-shërbimeve publike, p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r të paktën 10 e-shërbime publike.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2026)</w:t>
            </w:r>
          </w:p>
          <w:p w14:paraId="4B83EB51" w14:textId="77777777" w:rsidR="002452A8" w:rsidRPr="00A862F7" w:rsidRDefault="002452A8" w:rsidP="000B4723">
            <w:pPr>
              <w:spacing w:after="6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val="sq-AL" w:eastAsia="en-GB"/>
              </w:rPr>
            </w:pPr>
          </w:p>
          <w:p w14:paraId="518FE249" w14:textId="166D9E2A" w:rsidR="002452A8" w:rsidRDefault="002452A8" w:rsidP="00C6358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Kërkesat e marrëveshje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ve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ë njohjes reciproke janë të vendosura dhe të gatshme për nënshkrim me partnerët e tjerë të Ballkanit Perëndimor.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2027)</w:t>
            </w:r>
          </w:p>
          <w:p w14:paraId="52BB15E7" w14:textId="2BB8E5BF" w:rsidR="002452A8" w:rsidRPr="00852DDC" w:rsidRDefault="002452A8" w:rsidP="00C6358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</w:tc>
      </w:tr>
      <w:tr w:rsidR="002452A8" w:rsidRPr="00A862F7" w14:paraId="52BB15F6" w14:textId="77777777" w:rsidTr="007D2948">
        <w:trPr>
          <w:trHeight w:val="846"/>
        </w:trPr>
        <w:tc>
          <w:tcPr>
            <w:tcW w:w="1668" w:type="dxa"/>
            <w:vMerge/>
            <w:vAlign w:val="center"/>
          </w:tcPr>
          <w:p w14:paraId="52BB15EA" w14:textId="77777777" w:rsidR="002452A8" w:rsidRPr="00A862F7" w:rsidRDefault="002452A8" w:rsidP="00835701">
            <w:pPr>
              <w:pStyle w:val="ListParagraph"/>
              <w:spacing w:after="60" w:line="240" w:lineRule="auto"/>
              <w:ind w:left="278"/>
              <w:contextualSpacing w:val="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2BB15EB" w14:textId="77777777" w:rsidR="002452A8" w:rsidRPr="00A862F7" w:rsidRDefault="002452A8" w:rsidP="00835701">
            <w:pPr>
              <w:pStyle w:val="ListParagraph"/>
              <w:spacing w:after="60" w:line="240" w:lineRule="auto"/>
              <w:ind w:left="454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 w14:paraId="52BB15EC" w14:textId="6308D7A6" w:rsidR="002452A8" w:rsidRPr="00A862F7" w:rsidRDefault="002452A8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ind w:left="561" w:hanging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Përditësimi i kuadrit për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përshtatshmërinë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kibernetike, duke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futur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kërkesat e Direktivës NIS2 dhe duke forcuar institucionet përkatëse</w:t>
            </w:r>
          </w:p>
        </w:tc>
        <w:tc>
          <w:tcPr>
            <w:tcW w:w="8704" w:type="dxa"/>
            <w:shd w:val="clear" w:color="auto" w:fill="auto"/>
          </w:tcPr>
          <w:p w14:paraId="52BB15ED" w14:textId="3BBA0075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Përditësimi i listës së infrastrukturës kritike në fushëveprimin e ligjit kombëtar në përputhje me Direktivën NIS2</w:t>
            </w:r>
            <w:r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16"/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2025)</w:t>
            </w:r>
          </w:p>
          <w:p w14:paraId="52BB15EE" w14:textId="77777777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5EF" w14:textId="45A3D91F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CERT</w:t>
            </w:r>
            <w:r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17"/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-et kombëtare dhe qeveritare janë plotësisht funksionale në përputhje me kërkesat e NIS2 dhe arrijnë të paktën statusin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e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'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të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akredituar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it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' në TF CSIRT Trusted Introducer.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2026)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</w:p>
          <w:p w14:paraId="76B3FDA0" w14:textId="77777777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4E5A465F" w14:textId="6F411DD3" w:rsidR="002452A8" w:rsidRPr="00A862F7" w:rsidRDefault="002452A8" w:rsidP="007634D0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K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ornizat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e prezantuara nga përafrimi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i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NIS2 (korniza CVD, kuadri i menaxhimit të krizave), janë të vendosura dhe plotësisht funksionale.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2025)</w:t>
            </w:r>
          </w:p>
          <w:p w14:paraId="56501A08" w14:textId="77777777" w:rsidR="002452A8" w:rsidRPr="00A862F7" w:rsidRDefault="002452A8" w:rsidP="007634D0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14:paraId="52BB15F4" w14:textId="235FE526" w:rsidR="002452A8" w:rsidRPr="00A862F7" w:rsidRDefault="002452A8" w:rsidP="00B8376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Agjencia Dixhitale (AK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SK</w:t>
            </w:r>
            <w:r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18"/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) (duke vepruar si autoritet kompetent siç përcaktohet në Direktivën NIS2)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funksionale: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me staf të mjaftueshëm, të pajisur me kompetenca mbikqyrëse,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që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krye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n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kontrolle mbikqyrëse. (</w:t>
            </w:r>
            <w:r>
              <w:rPr>
                <w:rFonts w:ascii="Times New Roman" w:eastAsia="Times New Roman" w:hAnsi="Times New Roman" w:cs="Times New Roman"/>
                <w:b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lang w:val="sq-AL"/>
              </w:rPr>
              <w:t xml:space="preserve"> 2026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)</w:t>
            </w:r>
          </w:p>
        </w:tc>
      </w:tr>
      <w:tr w:rsidR="002452A8" w:rsidRPr="00A862F7" w14:paraId="52BB1629" w14:textId="77777777" w:rsidTr="007D2948">
        <w:trPr>
          <w:trHeight w:val="1297"/>
        </w:trPr>
        <w:tc>
          <w:tcPr>
            <w:tcW w:w="1668" w:type="dxa"/>
            <w:vMerge/>
            <w:vAlign w:val="center"/>
          </w:tcPr>
          <w:p w14:paraId="52BB15F7" w14:textId="77777777" w:rsidR="002452A8" w:rsidRPr="00A862F7" w:rsidRDefault="002452A8" w:rsidP="00274844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814" w:type="dxa"/>
            <w:vAlign w:val="center"/>
          </w:tcPr>
          <w:p w14:paraId="52BB15F8" w14:textId="77777777" w:rsidR="002452A8" w:rsidRPr="00A862F7" w:rsidRDefault="002452A8" w:rsidP="00274844">
            <w:pPr>
              <w:pStyle w:val="ListParagraph"/>
              <w:spacing w:after="60" w:line="240" w:lineRule="auto"/>
              <w:ind w:left="454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5F9" w14:textId="0D0F092E" w:rsidR="002452A8" w:rsidRPr="00A862F7" w:rsidRDefault="002452A8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ind w:left="561" w:hanging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Përditësimi i kornizës për një infrastrukturë di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gj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itale të sigurt dhe të qëndrueshme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15FA" w14:textId="5053CDA2" w:rsidR="002452A8" w:rsidRPr="00A862F7" w:rsidRDefault="002452A8" w:rsidP="00274844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Miratimi i legjislacionit përkatës për Broadband për ta përafruar me Acquis të BE-së dhe Aktin e Infrastrukturës Gigabit, me hyrjen në fuqi në BE.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2026)</w:t>
            </w:r>
          </w:p>
          <w:p w14:paraId="52BB15FB" w14:textId="77777777" w:rsidR="002452A8" w:rsidRPr="00A862F7" w:rsidRDefault="002452A8" w:rsidP="00274844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65648959" w14:textId="5BCE40E3" w:rsidR="002452A8" w:rsidRDefault="002452A8" w:rsidP="006C50D9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Zbatimi i masave rregullatore dhe  të kapaciteteve institucionale për të siguruar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futjen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e infrastrukturave 5G, në përputhje me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instrumentet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5G të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sigurisë kibernetike të BE-së.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52BB1611" w14:textId="18963FC1" w:rsidR="002452A8" w:rsidRPr="00A862F7" w:rsidRDefault="002452A8" w:rsidP="006C50D9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2452A8" w:rsidRPr="00A862F7" w14:paraId="52BB1634" w14:textId="77777777" w:rsidTr="007D2948">
        <w:trPr>
          <w:trHeight w:val="560"/>
        </w:trPr>
        <w:tc>
          <w:tcPr>
            <w:tcW w:w="1668" w:type="dxa"/>
            <w:vMerge/>
            <w:vAlign w:val="center"/>
          </w:tcPr>
          <w:p w14:paraId="52BB162A" w14:textId="77777777" w:rsidR="002452A8" w:rsidRPr="00A862F7" w:rsidRDefault="002452A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2BB162B" w14:textId="77777777" w:rsidR="002452A8" w:rsidRPr="00A862F7" w:rsidRDefault="002452A8">
            <w:pPr>
              <w:pStyle w:val="ListParagraph"/>
              <w:numPr>
                <w:ilvl w:val="1"/>
                <w:numId w:val="8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Përvetësimi nga biznesi i potencialit të agjendës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së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gjelbër dhe </w:t>
            </w:r>
            <w:r w:rsidRPr="00A862F7">
              <w:rPr>
                <w:rFonts w:ascii="Times New Roman" w:hAnsi="Times New Roman" w:cs="Times New Roman"/>
                <w:lang w:val="sq-AL"/>
              </w:rPr>
              <w:t>dixhitale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2BB162C" w14:textId="6039D4FB" w:rsidR="002452A8" w:rsidRPr="00E80B5D" w:rsidRDefault="002452A8" w:rsidP="00E80B5D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ind w:left="561" w:hanging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Përmirësimi i mjedisit mundësues për bizneset inovative dhe shfrytëzimi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nga ana e tyre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i potencialit të agjendës së gjelbër dhe di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gj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itale, përfshirë mundësi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 e rëndesishme të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mbështetjes financiare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.</w:t>
            </w:r>
          </w:p>
        </w:tc>
        <w:tc>
          <w:tcPr>
            <w:tcW w:w="8704" w:type="dxa"/>
            <w:shd w:val="clear" w:color="auto" w:fill="auto"/>
          </w:tcPr>
          <w:p w14:paraId="52BB162D" w14:textId="4FD4D27B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Miratimi i Strategjisë Inovative të Sipërmarrjes.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2024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52BB162E" w14:textId="77777777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62F" w14:textId="17A9B553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Miratimi i akteve ligjore mbi instrumentet e mbështetjes së inovacionit duke përmirësuar praktikën aktuale, në përputhje me praktikat e BE-së. 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  <w:p w14:paraId="52BB1630" w14:textId="77777777" w:rsidR="002452A8" w:rsidRPr="00A862F7" w:rsidRDefault="002452A8" w:rsidP="00835701">
            <w:pPr>
              <w:spacing w:after="60" w:line="240" w:lineRule="auto"/>
              <w:ind w:left="-2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00DEFA2F" w14:textId="1B6F4299" w:rsidR="002452A8" w:rsidRDefault="002452A8" w:rsidP="00763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Përgatitja dhe ekzekutimi i një skeme grantesh me fokus në inkubatorët/përshpejtuesit,  duke synuar zgjidhjet e gjelbra dhe/ose dixhitale.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2026)</w:t>
            </w:r>
          </w:p>
          <w:p w14:paraId="01FB9E38" w14:textId="77777777" w:rsidR="002452A8" w:rsidRPr="00A862F7" w:rsidRDefault="002452A8" w:rsidP="007634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451ECDDD" w14:textId="2F8DA282" w:rsidR="002452A8" w:rsidRDefault="002452A8" w:rsidP="00763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Përgatitja dhe ekzekutimi i një skeme grantesh me fokus tek SME-të dhe/ose startup-et, </w:t>
            </w:r>
            <w:r w:rsidRPr="00A862F7">
              <w:rPr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ku 30% e totalit të SME-ve dhe/ose fondeve t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startup-eve synojnë zgjidhje të gjelbra dhe/ose dixhitale. 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2025)</w:t>
            </w:r>
          </w:p>
          <w:p w14:paraId="52BB1632" w14:textId="28F1B054" w:rsidR="002452A8" w:rsidRPr="00A862F7" w:rsidRDefault="002452A8" w:rsidP="007634D0">
            <w:pPr>
              <w:spacing w:after="0" w:line="240" w:lineRule="auto"/>
              <w:rPr>
                <w:lang w:val="sq-AL"/>
              </w:rPr>
            </w:pPr>
          </w:p>
        </w:tc>
      </w:tr>
      <w:tr w:rsidR="002A5F18" w:rsidRPr="00A862F7" w14:paraId="52BB1641" w14:textId="77777777" w:rsidTr="007D2948">
        <w:trPr>
          <w:trHeight w:val="990"/>
        </w:trPr>
        <w:tc>
          <w:tcPr>
            <w:tcW w:w="1668" w:type="dxa"/>
            <w:vMerge w:val="restart"/>
            <w:shd w:val="clear" w:color="auto" w:fill="FFFFFF" w:themeFill="background1"/>
            <w:vAlign w:val="center"/>
          </w:tcPr>
          <w:p w14:paraId="52BB1635" w14:textId="77777777" w:rsidR="002A5F18" w:rsidRPr="00A862F7" w:rsidRDefault="002A5F18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278" w:hanging="278"/>
              <w:contextualSpacing w:val="0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2449FC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Energjia </w:t>
            </w:r>
            <w:r w:rsidRPr="002449F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 Tranzicioni i Gjelbër</w:t>
            </w:r>
          </w:p>
        </w:tc>
        <w:tc>
          <w:tcPr>
            <w:tcW w:w="1814" w:type="dxa"/>
            <w:vMerge w:val="restart"/>
            <w:shd w:val="clear" w:color="auto" w:fill="FFFFFF" w:themeFill="background1"/>
            <w:vAlign w:val="center"/>
          </w:tcPr>
          <w:p w14:paraId="52BB1636" w14:textId="77777777" w:rsidR="002A5F18" w:rsidRPr="00A862F7" w:rsidRDefault="002A5F18">
            <w:pPr>
              <w:pStyle w:val="ListParagraph"/>
              <w:numPr>
                <w:ilvl w:val="1"/>
                <w:numId w:val="8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Reformat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e tregut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2BB1637" w14:textId="637F03ED" w:rsidR="00D61764" w:rsidRPr="00D61764" w:rsidRDefault="002A5F18" w:rsidP="00D61764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ind w:left="561" w:hanging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Përafrimi me paketën e integrimit të energjisë elektrike për të mundësuar bashkimin e tregut të energjisë elektrike të BE-së dhe Shqipërisë, krijimin e tregut të energjisë elektrike brenda ditës, </w:t>
            </w:r>
            <w:r w:rsidR="00D61764">
              <w:rPr>
                <w:rFonts w:ascii="Times New Roman" w:eastAsia="Times New Roman" w:hAnsi="Times New Roman" w:cs="Times New Roman"/>
                <w:lang w:val="sq-AL"/>
              </w:rPr>
              <w:t>operacionalizimin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e paketës në përputhje me planin e integrimit të operatorëve të </w:t>
            </w:r>
            <w:r w:rsidR="007747BA" w:rsidRPr="00A862F7">
              <w:rPr>
                <w:rFonts w:ascii="Times New Roman" w:eastAsia="Times New Roman" w:hAnsi="Times New Roman" w:cs="Times New Roman"/>
                <w:lang w:val="sq-AL"/>
              </w:rPr>
              <w:t>coupling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të tregut deri në vitin 20</w:t>
            </w:r>
            <w:r w:rsidR="00E80B5D">
              <w:rPr>
                <w:rFonts w:ascii="Times New Roman" w:eastAsia="Times New Roman" w:hAnsi="Times New Roman" w:cs="Times New Roman"/>
                <w:lang w:val="sq-AL"/>
              </w:rPr>
              <w:t>25</w:t>
            </w:r>
            <w:r w:rsidR="00D61764" w:rsidRPr="00ED33CD">
              <w:rPr>
                <w:rFonts w:ascii="Times New Roman" w:eastAsia="Times New Roman" w:hAnsi="Times New Roman" w:cs="Times New Roman"/>
                <w:lang w:val="sq-AL"/>
              </w:rPr>
              <w:t>.</w:t>
            </w:r>
          </w:p>
        </w:tc>
        <w:tc>
          <w:tcPr>
            <w:tcW w:w="8704" w:type="dxa"/>
            <w:shd w:val="clear" w:color="auto" w:fill="auto"/>
          </w:tcPr>
          <w:p w14:paraId="0F655797" w14:textId="0D5144D6" w:rsidR="002A5F18" w:rsidRPr="00A862F7" w:rsidRDefault="002A5F18" w:rsidP="00274844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Miratimi i ndryshimeve ligjore për t</w:t>
            </w:r>
            <w:r w:rsidR="006C50D9">
              <w:rPr>
                <w:rFonts w:ascii="Times New Roman" w:eastAsia="Times New Roman" w:hAnsi="Times New Roman" w:cs="Times New Roman"/>
                <w:lang w:val="sq-AL"/>
              </w:rPr>
              <w:t>u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përafruar me </w:t>
            </w:r>
            <w:r w:rsidRPr="00A862F7">
              <w:rPr>
                <w:rFonts w:ascii="Times New Roman" w:hAnsi="Times New Roman" w:cs="Times New Roman"/>
                <w:lang w:val="sq-AL"/>
              </w:rPr>
              <w:t>paketën e integrimit të energjisë elektrike</w:t>
            </w:r>
            <w:r w:rsidRPr="00A862F7">
              <w:rPr>
                <w:rStyle w:val="FootnoteReference"/>
                <w:rFonts w:ascii="Times New Roman" w:hAnsi="Times New Roman" w:cs="Times New Roman"/>
                <w:lang w:val="sq-AL"/>
              </w:rPr>
              <w:footnoteReference w:id="19"/>
            </w:r>
            <w:r w:rsidR="006C50D9">
              <w:rPr>
                <w:rFonts w:ascii="Times New Roman" w:hAnsi="Times New Roman" w:cs="Times New Roman"/>
                <w:lang w:val="sq-AL"/>
              </w:rPr>
              <w:t xml:space="preserve">, </w:t>
            </w:r>
            <w:r w:rsidRPr="00A862F7">
              <w:rPr>
                <w:rFonts w:ascii="Times New Roman" w:hAnsi="Times New Roman" w:cs="Times New Roman"/>
                <w:lang w:val="sq-AL"/>
              </w:rPr>
              <w:t>në përputhje me kërkesat e Komunitetit të Energjisë dhe fillimi i zbatimit.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2025)</w:t>
            </w:r>
          </w:p>
          <w:p w14:paraId="38835806" w14:textId="77777777" w:rsidR="002A5F18" w:rsidRPr="00A862F7" w:rsidRDefault="002A5F18" w:rsidP="007A0C1F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  <w:p w14:paraId="52BB163A" w14:textId="03B6B955" w:rsidR="002A5F18" w:rsidRPr="00A862F7" w:rsidRDefault="002A5F18" w:rsidP="007A0C1F">
            <w:pPr>
              <w:shd w:val="clear" w:color="auto" w:fill="FFFFFF" w:themeFill="background1"/>
              <w:spacing w:after="60" w:line="240" w:lineRule="auto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Vazhd</w:t>
            </w:r>
            <w:r w:rsidR="007747BA" w:rsidRPr="00A862F7">
              <w:rPr>
                <w:rFonts w:ascii="Times New Roman" w:eastAsia="Times New Roman" w:hAnsi="Times New Roman" w:cs="Times New Roman"/>
                <w:lang w:val="sq-AL"/>
              </w:rPr>
              <w:t>imi i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zbatimi</w:t>
            </w:r>
            <w:r w:rsidR="007747BA" w:rsidRPr="00A862F7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17082A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7747BA" w:rsidRPr="00A862F7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paketës së integrimit të energjisë elektrike duke vënë në funksion tregun e energjisë elektrike brenda ditës, në përputhje me kërkesat e Komunitetit të Energjisë.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2024)</w:t>
            </w:r>
          </w:p>
          <w:p w14:paraId="5E0C3495" w14:textId="77777777" w:rsidR="006C50D9" w:rsidRDefault="002A5F18" w:rsidP="006C5342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bookmarkStart w:id="14" w:name="_Hlk165038932"/>
            <w:r w:rsidRPr="00A862F7">
              <w:rPr>
                <w:rFonts w:ascii="Times New Roman" w:eastAsia="Times New Roman" w:hAnsi="Times New Roman" w:cs="Times New Roman"/>
                <w:lang w:val="sq-AL"/>
              </w:rPr>
              <w:t>Vazhdimi i zbatimit të paketës së integrimit të energjisë elektrike nga Operatori i Sistemit të Transmetimit (OST</w:t>
            </w:r>
            <w:r w:rsidR="00894A91"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20"/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 dhe Operatori i emëruar i Tregut të Energjisë Elektrike (</w:t>
            </w:r>
            <w:r w:rsidRPr="00CD6DF2">
              <w:rPr>
                <w:rFonts w:ascii="Times New Roman" w:eastAsia="Times New Roman" w:hAnsi="Times New Roman" w:cs="Times New Roman"/>
                <w:i/>
                <w:iCs/>
                <w:lang w:val="sq-AL"/>
              </w:rPr>
              <w:t>NEMO</w:t>
            </w:r>
            <w:r w:rsidR="00CD6DF2" w:rsidRPr="00CD6DF2">
              <w:rPr>
                <w:rFonts w:ascii="Times New Roman" w:eastAsia="Times New Roman" w:hAnsi="Times New Roman" w:cs="Times New Roman"/>
                <w:i/>
                <w:iCs/>
                <w:lang w:val="sq-AL"/>
              </w:rPr>
              <w:t>-Nominated E</w:t>
            </w:r>
            <w:r w:rsidR="005B4346">
              <w:rPr>
                <w:rFonts w:ascii="Times New Roman" w:eastAsia="Times New Roman" w:hAnsi="Times New Roman" w:cs="Times New Roman"/>
                <w:i/>
                <w:iCs/>
                <w:lang w:val="sq-AL"/>
              </w:rPr>
              <w:t xml:space="preserve">lectricity </w:t>
            </w:r>
            <w:r w:rsidR="00CD6DF2" w:rsidRPr="00CD6DF2">
              <w:rPr>
                <w:rFonts w:ascii="Times New Roman" w:eastAsia="Times New Roman" w:hAnsi="Times New Roman" w:cs="Times New Roman"/>
                <w:i/>
                <w:iCs/>
                <w:lang w:val="sq-AL"/>
              </w:rPr>
              <w:t>Market Operator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) duke ndërmarrë veprimet e nevojshme kombëtare për t'iu bashkuar tregut </w:t>
            </w:r>
            <w:r w:rsidR="006C5342">
              <w:rPr>
                <w:rFonts w:ascii="Times New Roman" w:eastAsia="Times New Roman" w:hAnsi="Times New Roman" w:cs="Times New Roman"/>
                <w:lang w:val="sq-AL"/>
              </w:rPr>
              <w:t>t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C5342">
              <w:rPr>
                <w:rFonts w:ascii="Times New Roman" w:eastAsia="Times New Roman" w:hAnsi="Times New Roman" w:cs="Times New Roman"/>
                <w:lang w:val="sq-AL"/>
              </w:rPr>
              <w:t xml:space="preserve"> p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C5342">
              <w:rPr>
                <w:rFonts w:ascii="Times New Roman" w:eastAsia="Times New Roman" w:hAnsi="Times New Roman" w:cs="Times New Roman"/>
                <w:lang w:val="sq-AL"/>
              </w:rPr>
              <w:t>rbashk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6C5342">
              <w:rPr>
                <w:rFonts w:ascii="Times New Roman" w:eastAsia="Times New Roman" w:hAnsi="Times New Roman" w:cs="Times New Roman"/>
                <w:lang w:val="sq-AL"/>
              </w:rPr>
              <w:t>t (</w:t>
            </w:r>
            <w:r w:rsidR="006C5342" w:rsidRPr="006C5342">
              <w:t xml:space="preserve">market </w:t>
            </w:r>
            <w:r w:rsidR="0017082A" w:rsidRPr="006C5342">
              <w:t>coupling</w:t>
            </w:r>
            <w:r w:rsidR="006C5342">
              <w:rPr>
                <w:rFonts w:ascii="Times New Roman" w:eastAsia="Times New Roman" w:hAnsi="Times New Roman" w:cs="Times New Roman"/>
                <w:lang w:val="sq-AL"/>
              </w:rPr>
              <w:t>)</w:t>
            </w:r>
            <w:r w:rsidR="0017082A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t</w:t>
            </w:r>
            <w:r w:rsidR="006B214F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BE-</w:t>
            </w:r>
            <w:r w:rsidR="0017082A" w:rsidRPr="00A862F7">
              <w:rPr>
                <w:rFonts w:ascii="Times New Roman" w:eastAsia="Times New Roman" w:hAnsi="Times New Roman" w:cs="Times New Roman"/>
                <w:lang w:val="sq-AL"/>
              </w:rPr>
              <w:t>s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ë në përputhje me kërkesat e Komunitetit të Energjisë.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  <w:bookmarkEnd w:id="14"/>
          </w:p>
          <w:p w14:paraId="52BB163F" w14:textId="347A325B" w:rsidR="00340F94" w:rsidRPr="006C50D9" w:rsidRDefault="00340F94" w:rsidP="006C5342">
            <w:pPr>
              <w:shd w:val="clear" w:color="auto" w:fill="FFFFFF" w:themeFill="background1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2A5F18" w:rsidRPr="00A862F7" w14:paraId="52BB164A" w14:textId="77777777" w:rsidTr="007D2948">
        <w:trPr>
          <w:trHeight w:val="983"/>
        </w:trPr>
        <w:tc>
          <w:tcPr>
            <w:tcW w:w="1668" w:type="dxa"/>
            <w:vMerge/>
            <w:vAlign w:val="center"/>
          </w:tcPr>
          <w:p w14:paraId="52BB1642" w14:textId="77777777" w:rsidR="002A5F18" w:rsidRPr="00A862F7" w:rsidRDefault="002A5F1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  <w:tc>
          <w:tcPr>
            <w:tcW w:w="1814" w:type="dxa"/>
            <w:vMerge/>
            <w:vAlign w:val="center"/>
          </w:tcPr>
          <w:p w14:paraId="52BB1643" w14:textId="77777777" w:rsidR="002A5F18" w:rsidRPr="00A862F7" w:rsidRDefault="002A5F18" w:rsidP="00835701">
            <w:pPr>
              <w:pStyle w:val="ListParagraph"/>
              <w:numPr>
                <w:ilvl w:val="1"/>
                <w:numId w:val="3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 w14:paraId="52BB1644" w14:textId="77777777" w:rsidR="002A5F18" w:rsidRPr="00A862F7" w:rsidRDefault="002A5F18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ind w:left="561" w:hanging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Rregullimet graduale të tarifave ndaj çmimeve të tregut, të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lastRenderedPageBreak/>
              <w:t>shoqëruara me masa për adresimin e varfërisë energjetike.</w:t>
            </w:r>
          </w:p>
        </w:tc>
        <w:tc>
          <w:tcPr>
            <w:tcW w:w="8704" w:type="dxa"/>
            <w:shd w:val="clear" w:color="auto" w:fill="auto"/>
          </w:tcPr>
          <w:p w14:paraId="52BB1645" w14:textId="05D28AE6" w:rsidR="007634D0" w:rsidRPr="00A862F7" w:rsidRDefault="002A5F18" w:rsidP="007634D0">
            <w:pPr>
              <w:spacing w:after="60" w:line="240" w:lineRule="auto"/>
              <w:ind w:left="-2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lastRenderedPageBreak/>
              <w:t>Tërheqja graduale nga ndërhyrja publike në përcaktimin e çmimeve për furnizimin me energji elektrike, nëpërmjet derregullimit të tensionit të mesëm dhe të lartë, në përputhje me ligjin për Sektorin e Energjisë.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57D3891D" w14:textId="6E577933" w:rsidR="002A5F18" w:rsidRPr="00A862F7" w:rsidRDefault="002A5F18" w:rsidP="007634D0">
            <w:pPr>
              <w:pStyle w:val="ListParagraph"/>
              <w:spacing w:after="60" w:line="240" w:lineRule="auto"/>
              <w:ind w:left="360"/>
              <w:rPr>
                <w:rFonts w:ascii="Times New Roman" w:hAnsi="Times New Roman" w:cs="Times New Roman"/>
                <w:lang w:val="sq-AL"/>
              </w:rPr>
            </w:pPr>
          </w:p>
          <w:p w14:paraId="27674AFE" w14:textId="4E45FA47" w:rsidR="006C5342" w:rsidRPr="005B4346" w:rsidRDefault="002A5F18" w:rsidP="005B4346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 xml:space="preserve">Zhvillimi i metodologjisë për të përcaktuar grupet e varfëra energjetike dhe mjetet e monitorimit, si dhe masat e efiçiencës së energjisë që synojnë familjet e </w:t>
            </w:r>
            <w:r w:rsidR="006C5342">
              <w:rPr>
                <w:rFonts w:ascii="Times New Roman" w:hAnsi="Times New Roman" w:cs="Times New Roman"/>
                <w:lang w:val="sq-AL"/>
              </w:rPr>
              <w:t>ndjeshme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n</w:t>
            </w:r>
            <w:r w:rsidR="006C5342">
              <w:rPr>
                <w:rFonts w:ascii="Times New Roman" w:hAnsi="Times New Roman" w:cs="Times New Roman"/>
                <w:lang w:val="sq-AL"/>
              </w:rPr>
              <w:t>daj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energji</w:t>
            </w:r>
            <w:r w:rsidR="006C5342">
              <w:rPr>
                <w:rFonts w:ascii="Times New Roman" w:hAnsi="Times New Roman" w:cs="Times New Roman"/>
                <w:lang w:val="sq-AL"/>
              </w:rPr>
              <w:t>s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, duke miratuar planin e veprimit për adresimin e varfërisë energjetike.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2026)</w:t>
            </w:r>
            <w:r w:rsidR="006C5342" w:rsidRPr="7C72A1F6">
              <w:rPr>
                <w:rFonts w:ascii="Times New Roman" w:hAnsi="Times New Roman" w:cs="Times New Roman"/>
                <w:lang w:val="en-IE"/>
              </w:rPr>
              <w:t xml:space="preserve"> </w:t>
            </w:r>
          </w:p>
          <w:p w14:paraId="52BB1648" w14:textId="202D9027" w:rsidR="002A5F18" w:rsidRPr="00A862F7" w:rsidRDefault="002A5F18" w:rsidP="00874728">
            <w:pPr>
              <w:pStyle w:val="ListParagraph"/>
              <w:spacing w:after="60" w:line="240" w:lineRule="auto"/>
              <w:ind w:left="360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2A5F18" w:rsidRPr="00A862F7" w14:paraId="52BB1651" w14:textId="77777777" w:rsidTr="007D2948">
        <w:trPr>
          <w:trHeight w:val="837"/>
        </w:trPr>
        <w:tc>
          <w:tcPr>
            <w:tcW w:w="1668" w:type="dxa"/>
            <w:vMerge/>
            <w:vAlign w:val="center"/>
          </w:tcPr>
          <w:p w14:paraId="52BB164B" w14:textId="77777777" w:rsidR="002A5F18" w:rsidRPr="00A862F7" w:rsidRDefault="002A5F1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164C" w14:textId="6E543CED" w:rsidR="002A5F18" w:rsidRPr="00A862F7" w:rsidRDefault="007D2948">
            <w:pPr>
              <w:pStyle w:val="ListParagraph"/>
              <w:numPr>
                <w:ilvl w:val="1"/>
                <w:numId w:val="8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B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urimet e rinovueshme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64D" w14:textId="61E0083D" w:rsidR="002A5F18" w:rsidRPr="00A862F7" w:rsidRDefault="002A5F18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ind w:left="561" w:hanging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Zhvill</w:t>
            </w:r>
            <w:r w:rsidR="0017082A" w:rsidRPr="00A862F7">
              <w:rPr>
                <w:rFonts w:ascii="Times New Roman" w:eastAsia="Times New Roman" w:hAnsi="Times New Roman" w:cs="Times New Roman"/>
                <w:lang w:val="sq-AL"/>
              </w:rPr>
              <w:t>imi 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2D22BD">
              <w:rPr>
                <w:rFonts w:ascii="Times New Roman" w:eastAsia="Times New Roman" w:hAnsi="Times New Roman" w:cs="Times New Roman"/>
                <w:lang w:val="sq-AL"/>
              </w:rPr>
              <w:t>nj</w:t>
            </w:r>
            <w:r w:rsidR="000F394D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="002D22BD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plan</w:t>
            </w:r>
            <w:r w:rsidR="0017082A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i </w:t>
            </w:r>
            <w:r w:rsidR="00E80B5D">
              <w:rPr>
                <w:rFonts w:ascii="Times New Roman" w:eastAsia="Times New Roman" w:hAnsi="Times New Roman" w:cs="Times New Roman"/>
                <w:lang w:val="sq-AL"/>
              </w:rPr>
              <w:t>ankandi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transparent dhe konkurrues të bazuar në sasi për energjinë e rinovueshme: Planifikimi për 3 vjet në fuqi.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04E0" w14:textId="71281B94" w:rsidR="002A5F18" w:rsidRDefault="002A5F18" w:rsidP="00874728">
            <w:pPr>
              <w:spacing w:after="60" w:line="240" w:lineRule="auto"/>
              <w:ind w:left="-2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Miratimi i një plani ankandi të bazuar në sasi për të paktën 600 M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instalime të kapaciteteve të reja të energjisë së rinovueshme për tre vitet e ardhshme (në vazhdim për 300 M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do të konsiderohe</w:t>
            </w:r>
            <w:r w:rsidR="00CD6DF2">
              <w:rPr>
                <w:rFonts w:ascii="Times New Roman" w:hAnsi="Times New Roman" w:cs="Times New Roman"/>
                <w:lang w:val="sq-AL"/>
              </w:rPr>
              <w:t>n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si pjesë e planit trevjeçar të ankandit).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2024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52BB164F" w14:textId="15A23871" w:rsidR="006C5342" w:rsidRPr="00A862F7" w:rsidRDefault="006C5342" w:rsidP="00CD6DF2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2A5F18" w:rsidRPr="00A862F7" w14:paraId="52BB165E" w14:textId="77777777" w:rsidTr="007D2948">
        <w:trPr>
          <w:trHeight w:val="1266"/>
        </w:trPr>
        <w:tc>
          <w:tcPr>
            <w:tcW w:w="1668" w:type="dxa"/>
            <w:vMerge/>
            <w:vAlign w:val="center"/>
          </w:tcPr>
          <w:p w14:paraId="52BB1652" w14:textId="77777777" w:rsidR="002A5F18" w:rsidRPr="00A862F7" w:rsidRDefault="002A5F18" w:rsidP="007E7387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1814" w:type="dxa"/>
            <w:vMerge/>
            <w:vAlign w:val="center"/>
          </w:tcPr>
          <w:p w14:paraId="52BB1653" w14:textId="77777777" w:rsidR="002A5F18" w:rsidRPr="00A862F7" w:rsidRDefault="002A5F18" w:rsidP="007E7387">
            <w:pPr>
              <w:pStyle w:val="ListParagraph"/>
              <w:numPr>
                <w:ilvl w:val="1"/>
                <w:numId w:val="3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 w14:paraId="52BB1654" w14:textId="798EAC74" w:rsidR="002A5F18" w:rsidRPr="00A862F7" w:rsidRDefault="002A5F18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ind w:left="561" w:hanging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Zbatimi i Direktivës së Energji</w:t>
            </w:r>
            <w:r w:rsidR="00C57F54">
              <w:rPr>
                <w:rFonts w:ascii="Times New Roman" w:eastAsia="Times New Roman" w:hAnsi="Times New Roman" w:cs="Times New Roman"/>
                <w:lang w:val="sq-AL"/>
              </w:rPr>
              <w:t>s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ë së Rinovueshme: miratimi i legjislacionit </w:t>
            </w:r>
            <w:r w:rsidR="0017082A" w:rsidRPr="00A862F7">
              <w:rPr>
                <w:rFonts w:ascii="Times New Roman" w:eastAsia="Times New Roman" w:hAnsi="Times New Roman" w:cs="Times New Roman"/>
                <w:lang w:val="sq-AL"/>
              </w:rPr>
              <w:t>RES</w:t>
            </w:r>
            <w:r w:rsidR="002D22BD"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21"/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, riorganizimi i lejeve, krijimi i komuniteteve të energjisë së rinovueshme, funksionalizimi i garancive të origjinës.</w:t>
            </w:r>
          </w:p>
        </w:tc>
        <w:tc>
          <w:tcPr>
            <w:tcW w:w="8704" w:type="dxa"/>
            <w:shd w:val="clear" w:color="auto" w:fill="auto"/>
          </w:tcPr>
          <w:p w14:paraId="13B72F56" w14:textId="11D078C6" w:rsidR="00874728" w:rsidRDefault="002A5F18" w:rsidP="00CD6DF2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Miratimi i ligjit për t</w:t>
            </w:r>
            <w:r w:rsidR="00CD6DF2">
              <w:rPr>
                <w:rFonts w:ascii="Times New Roman" w:hAnsi="Times New Roman" w:cs="Times New Roman"/>
                <w:lang w:val="sq-AL"/>
              </w:rPr>
              <w:t>u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harmonizuar me Direktivën e Energjisë së Rinovueshme të vitit 2018 për biomasën/biokarburantet, përfshirë qëndrueshmërinë dhe kriteret e kursimit të emetimeve të gazeve serrë për biokarburantet.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2025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0C9C4B29" w14:textId="77777777" w:rsidR="00CD6DF2" w:rsidRPr="00A862F7" w:rsidRDefault="00CD6DF2" w:rsidP="00CD6DF2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</w:p>
          <w:p w14:paraId="52BB1657" w14:textId="48950D88" w:rsidR="002A5F18" w:rsidRPr="00A862F7" w:rsidRDefault="002A5F18" w:rsidP="007E7387">
            <w:pPr>
              <w:spacing w:after="60" w:line="240" w:lineRule="auto"/>
              <w:ind w:left="-2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 xml:space="preserve">Sistem </w:t>
            </w:r>
            <w:r w:rsidR="0017082A" w:rsidRPr="00A862F7">
              <w:rPr>
                <w:rFonts w:ascii="Times New Roman" w:hAnsi="Times New Roman" w:cs="Times New Roman"/>
                <w:lang w:val="sq-AL"/>
              </w:rPr>
              <w:t xml:space="preserve">funksional </w:t>
            </w:r>
            <w:r w:rsidRPr="00A862F7">
              <w:rPr>
                <w:rFonts w:ascii="Times New Roman" w:hAnsi="Times New Roman" w:cs="Times New Roman"/>
                <w:lang w:val="sq-AL"/>
              </w:rPr>
              <w:t>për lëshimin e garancive të shërbimit të origjinës për energjinë e rinovueshm</w:t>
            </w:r>
            <w:r w:rsidR="0017082A" w:rsidRPr="00A862F7">
              <w:rPr>
                <w:rFonts w:ascii="Times New Roman" w:hAnsi="Times New Roman" w:cs="Times New Roman"/>
                <w:lang w:val="sq-AL"/>
              </w:rPr>
              <w:t>e</w:t>
            </w:r>
            <w:r w:rsidRPr="00A862F7">
              <w:rPr>
                <w:rFonts w:ascii="Times New Roman" w:hAnsi="Times New Roman" w:cs="Times New Roman"/>
                <w:lang w:val="sq-AL"/>
              </w:rPr>
              <w:t>.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2024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09D442CB" w14:textId="77777777" w:rsidR="00874728" w:rsidRPr="00A862F7" w:rsidRDefault="00874728" w:rsidP="007E7387">
            <w:pPr>
              <w:spacing w:after="60" w:line="240" w:lineRule="auto"/>
              <w:ind w:left="-2"/>
              <w:rPr>
                <w:rFonts w:ascii="Times New Roman" w:hAnsi="Times New Roman" w:cs="Times New Roman"/>
                <w:lang w:val="sq-AL"/>
              </w:rPr>
            </w:pPr>
          </w:p>
          <w:p w14:paraId="21BFF201" w14:textId="32345332" w:rsidR="002A5F18" w:rsidRPr="00A862F7" w:rsidRDefault="002A5F18" w:rsidP="007E7387">
            <w:pPr>
              <w:spacing w:after="60" w:line="240" w:lineRule="auto"/>
              <w:ind w:left="-2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Miratimi i ndryshimeve në rregulloret në fuqi për dhënien e lejeve për të thjeshtuar procedurat e lëshimit të lejeve për burimet e rinovueshme (</w:t>
            </w:r>
            <w:r w:rsidR="00CD6DF2">
              <w:rPr>
                <w:rFonts w:ascii="Times New Roman" w:hAnsi="Times New Roman" w:cs="Times New Roman"/>
                <w:lang w:val="sq-AL"/>
              </w:rPr>
              <w:t>nj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 w:rsidR="00CD6DF2">
              <w:rPr>
                <w:rFonts w:ascii="Times New Roman" w:hAnsi="Times New Roman" w:cs="Times New Roman"/>
                <w:lang w:val="sq-AL"/>
              </w:rPr>
              <w:t>si banimi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dhe instalime të mëdha).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7E6862B8" w14:textId="77777777" w:rsidR="002A5F18" w:rsidRPr="00A862F7" w:rsidRDefault="002A5F18" w:rsidP="007E7387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</w:p>
          <w:p w14:paraId="3AB8A376" w14:textId="6BE9488E" w:rsidR="002A5F18" w:rsidRPr="00A862F7" w:rsidRDefault="002A5F18" w:rsidP="007E7387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Miratimi i kornizës ligjore për krijimin e komuniteteve të energjisë.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2026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0D11567C" w14:textId="77777777" w:rsidR="00874728" w:rsidRPr="00A862F7" w:rsidRDefault="00874728" w:rsidP="007E7387">
            <w:pPr>
              <w:spacing w:after="60" w:line="240" w:lineRule="auto"/>
              <w:ind w:left="-2"/>
              <w:rPr>
                <w:rFonts w:ascii="Times New Roman" w:hAnsi="Times New Roman" w:cs="Times New Roman"/>
                <w:lang w:val="sq-AL"/>
              </w:rPr>
            </w:pPr>
          </w:p>
          <w:p w14:paraId="52BB165A" w14:textId="68454471" w:rsidR="002A5F18" w:rsidRPr="00A862F7" w:rsidRDefault="002A5F18" w:rsidP="007E7387">
            <w:pPr>
              <w:spacing w:after="60" w:line="240" w:lineRule="auto"/>
              <w:ind w:left="-2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Të paktën 600 M</w:t>
            </w:r>
            <w:r w:rsidR="006766C9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kapacitete të reja të energjisë së rinovueshme të instaluara.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2027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1F6A66C7" w14:textId="77777777" w:rsidR="002A5F18" w:rsidRPr="00A862F7" w:rsidRDefault="002A5F18" w:rsidP="007E7387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</w:p>
          <w:p w14:paraId="0DFA1659" w14:textId="5CB98FA0" w:rsidR="002A5F18" w:rsidRDefault="005B4346" w:rsidP="005B4346">
            <w:pPr>
              <w:spacing w:after="60" w:line="240" w:lineRule="auto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sq-AL"/>
              </w:rPr>
              <w:t>Pjesa e Burimeve t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Energjive t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Rinovueshme (RES-Reno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able Energy Sources) </w:t>
            </w:r>
            <w:r w:rsidR="002A5F18" w:rsidRPr="00A862F7">
              <w:rPr>
                <w:rFonts w:ascii="Times New Roman" w:hAnsi="Times New Roman" w:cs="Times New Roman"/>
                <w:lang w:val="sq-AL"/>
              </w:rPr>
              <w:t xml:space="preserve">në përzierjen bruto të energjisë, sipas </w:t>
            </w:r>
            <w:r w:rsidR="0017082A" w:rsidRPr="00A862F7">
              <w:rPr>
                <w:rFonts w:ascii="Times New Roman" w:hAnsi="Times New Roman" w:cs="Times New Roman"/>
                <w:lang w:val="sq-AL"/>
              </w:rPr>
              <w:t>NECP</w:t>
            </w:r>
            <w:r w:rsidR="00CD6DF2">
              <w:rPr>
                <w:rFonts w:ascii="Times New Roman" w:hAnsi="Times New Roman" w:cs="Times New Roman"/>
                <w:lang w:val="sq-AL"/>
              </w:rPr>
              <w:t xml:space="preserve"> (National Environment Climate Pla</w:t>
            </w:r>
            <w:r>
              <w:rPr>
                <w:rFonts w:ascii="Times New Roman" w:hAnsi="Times New Roman" w:cs="Times New Roman"/>
                <w:lang w:val="sq-AL"/>
              </w:rPr>
              <w:t>n</w:t>
            </w:r>
            <w:r w:rsidR="00CD6DF2">
              <w:rPr>
                <w:rFonts w:ascii="Times New Roman" w:hAnsi="Times New Roman" w:cs="Times New Roman"/>
                <w:lang w:val="sq-AL"/>
              </w:rPr>
              <w:t>)</w:t>
            </w:r>
            <w:r w:rsidR="002A5F18" w:rsidRPr="00A862F7">
              <w:rPr>
                <w:rFonts w:ascii="Times New Roman" w:hAnsi="Times New Roman" w:cs="Times New Roman"/>
                <w:lang w:val="sq-AL"/>
              </w:rPr>
              <w:t xml:space="preserve"> në fuqi.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="002A5F18"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2027</w:t>
            </w:r>
            <w:r w:rsidR="002A5F18" w:rsidRPr="00A862F7">
              <w:rPr>
                <w:rFonts w:ascii="Times New Roman" w:hAnsi="Times New Roman" w:cs="Times New Roman"/>
                <w:lang w:val="sq-AL"/>
              </w:rPr>
              <w:t>)</w:t>
            </w:r>
            <w:r w:rsidR="00CD6DF2" w:rsidRPr="0076639A">
              <w:rPr>
                <w:rFonts w:ascii="Times New Roman" w:hAnsi="Times New Roman" w:cs="Times New Roman"/>
                <w:lang w:val="en-IE"/>
              </w:rPr>
              <w:t xml:space="preserve"> </w:t>
            </w:r>
          </w:p>
          <w:p w14:paraId="52BB165C" w14:textId="2E83945F" w:rsidR="005B4346" w:rsidRPr="005B4346" w:rsidRDefault="005B4346" w:rsidP="005B4346">
            <w:pPr>
              <w:spacing w:after="60" w:line="240" w:lineRule="auto"/>
              <w:rPr>
                <w:rFonts w:ascii="Times New Roman" w:hAnsi="Times New Roman" w:cs="Times New Roman"/>
                <w:lang w:val="en-IE"/>
              </w:rPr>
            </w:pPr>
            <w:r w:rsidRPr="0076639A">
              <w:rPr>
                <w:rFonts w:ascii="Times New Roman" w:hAnsi="Times New Roman" w:cs="Times New Roman"/>
                <w:lang w:val="en-IE"/>
              </w:rPr>
              <w:t xml:space="preserve"> </w:t>
            </w:r>
          </w:p>
        </w:tc>
      </w:tr>
      <w:tr w:rsidR="002A5F18" w:rsidRPr="00A862F7" w14:paraId="52BB1667" w14:textId="77777777" w:rsidTr="007D2948">
        <w:trPr>
          <w:trHeight w:val="1266"/>
        </w:trPr>
        <w:tc>
          <w:tcPr>
            <w:tcW w:w="1668" w:type="dxa"/>
            <w:vMerge/>
            <w:vAlign w:val="center"/>
          </w:tcPr>
          <w:p w14:paraId="52BB165F" w14:textId="77777777" w:rsidR="002A5F18" w:rsidRPr="00A862F7" w:rsidRDefault="002A5F18" w:rsidP="0083570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1660" w14:textId="77777777" w:rsidR="002A5F18" w:rsidRPr="00A862F7" w:rsidRDefault="002A5F18">
            <w:pPr>
              <w:pStyle w:val="ListParagraph"/>
              <w:numPr>
                <w:ilvl w:val="1"/>
                <w:numId w:val="8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Miratimi i ETS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661" w14:textId="69970290" w:rsidR="002A5F18" w:rsidRPr="00A862F7" w:rsidRDefault="002A5F18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ind w:left="561" w:hanging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Puna për çmimin e karbonit me synimin për të pasur një ETS</w:t>
            </w:r>
            <w:r w:rsidR="00F2431E"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footnoteReference w:id="22"/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në fuqi deri në vitin 2030: fokusimi në paketën MRVA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1665" w14:textId="1EF28D6A" w:rsidR="002A5F18" w:rsidRPr="005B4346" w:rsidRDefault="002336DB" w:rsidP="005B4346">
            <w:pPr>
              <w:spacing w:after="6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Zbatimi i MRVA-së </w:t>
            </w:r>
            <w:r w:rsidR="005B4346">
              <w:rPr>
                <w:rFonts w:ascii="Times New Roman" w:eastAsia="Times New Roman" w:hAnsi="Times New Roman" w:cs="Times New Roman"/>
                <w:lang w:val="sq-AL"/>
              </w:rPr>
              <w:t xml:space="preserve">(Monitoring, Reporting, Validating and Accreditating)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duke miratuar ndryshime ligjore dhe akte nënligjore për t</w:t>
            </w:r>
            <w:r w:rsidR="005B4346">
              <w:rPr>
                <w:rFonts w:ascii="Times New Roman" w:eastAsia="Times New Roman" w:hAnsi="Times New Roman" w:cs="Times New Roman"/>
                <w:lang w:val="sq-AL"/>
              </w:rPr>
              <w:t>u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përafruar plotësisht me Acquis të BE-së MRVA </w:t>
            </w:r>
            <w:r w:rsidR="007A0C1F" w:rsidRPr="00A862F7">
              <w:rPr>
                <w:rStyle w:val="FootnoteReference"/>
                <w:rFonts w:ascii="Times New Roman" w:eastAsia="Times New Roman" w:hAnsi="Times New Roman" w:cs="Times New Roman"/>
                <w:lang w:val="sq-AL"/>
              </w:rPr>
              <w:lastRenderedPageBreak/>
              <w:footnoteReference w:id="23"/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dhe duke ndërtuar gatishmërinë institucionale dhe të tregut për të zbatuar Monitorimin, Raportimin, Verifikimin dhe Akreditimin (MRVA). (</w:t>
            </w:r>
            <w:r w:rsidR="003F3BA3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Dhjetor</w:t>
            </w:r>
            <w:r w:rsidR="002A5F18" w:rsidRPr="00A862F7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2025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)</w:t>
            </w:r>
          </w:p>
        </w:tc>
      </w:tr>
      <w:tr w:rsidR="002A5F18" w:rsidRPr="00A862F7" w14:paraId="52BB1675" w14:textId="77777777" w:rsidTr="007D2948">
        <w:trPr>
          <w:trHeight w:val="706"/>
        </w:trPr>
        <w:tc>
          <w:tcPr>
            <w:tcW w:w="1668" w:type="dxa"/>
            <w:vMerge/>
            <w:vAlign w:val="center"/>
          </w:tcPr>
          <w:p w14:paraId="52BB1668" w14:textId="77777777" w:rsidR="002A5F18" w:rsidRPr="00A862F7" w:rsidRDefault="002A5F18" w:rsidP="00835701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2BB1669" w14:textId="77777777" w:rsidR="002A5F18" w:rsidRPr="00A862F7" w:rsidRDefault="002A5F18">
            <w:pPr>
              <w:pStyle w:val="ListParagraph"/>
              <w:numPr>
                <w:ilvl w:val="1"/>
                <w:numId w:val="8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Efikasiteti i Energjisë dhe ndotja e ajrit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2BB166A" w14:textId="77777777" w:rsidR="002A5F18" w:rsidRPr="00A862F7" w:rsidRDefault="002A5F18">
            <w:pPr>
              <w:pStyle w:val="ListParagraph"/>
              <w:numPr>
                <w:ilvl w:val="2"/>
                <w:numId w:val="8"/>
              </w:numPr>
              <w:spacing w:after="60" w:line="240" w:lineRule="auto"/>
              <w:ind w:left="561" w:hanging="561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Miratimi dhe zbatimi i strategjisë afatgjatë të rinovimit të ndërtesave, dhe skemës së efiçiencës së energjisë</w:t>
            </w:r>
          </w:p>
        </w:tc>
        <w:tc>
          <w:tcPr>
            <w:tcW w:w="8704" w:type="dxa"/>
            <w:shd w:val="clear" w:color="auto" w:fill="auto"/>
          </w:tcPr>
          <w:p w14:paraId="52BB166C" w14:textId="48279E15" w:rsidR="002A5F18" w:rsidRPr="00A862F7" w:rsidRDefault="002A5F18" w:rsidP="00835701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Strategj</w:t>
            </w:r>
            <w:r w:rsidR="00C144E5">
              <w:rPr>
                <w:rFonts w:ascii="Times New Roman" w:hAnsi="Times New Roman" w:cs="Times New Roman"/>
                <w:lang w:val="sq-AL"/>
              </w:rPr>
              <w:t>ia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afatgjatë e rinovimit të ndërtesave </w:t>
            </w:r>
            <w:r w:rsidR="0017082A" w:rsidRPr="00A862F7">
              <w:rPr>
                <w:rFonts w:ascii="Times New Roman" w:hAnsi="Times New Roman" w:cs="Times New Roman"/>
                <w:lang w:val="sq-AL"/>
              </w:rPr>
              <w:t>e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miratua</w:t>
            </w:r>
            <w:r w:rsidR="0017082A" w:rsidRPr="00A862F7">
              <w:rPr>
                <w:rFonts w:ascii="Times New Roman" w:hAnsi="Times New Roman" w:cs="Times New Roman"/>
                <w:lang w:val="sq-AL"/>
              </w:rPr>
              <w:t>r</w:t>
            </w:r>
            <w:r w:rsidRPr="00A862F7">
              <w:rPr>
                <w:rFonts w:ascii="Times New Roman" w:hAnsi="Times New Roman" w:cs="Times New Roman"/>
                <w:lang w:val="sq-AL"/>
              </w:rPr>
              <w:t>, me financim të</w:t>
            </w:r>
            <w:r w:rsidR="003B0DB5">
              <w:rPr>
                <w:rFonts w:ascii="Times New Roman" w:hAnsi="Times New Roman" w:cs="Times New Roman"/>
                <w:lang w:val="sq-AL"/>
              </w:rPr>
              <w:t xml:space="preserve"> p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 w:rsidR="003B0DB5">
              <w:rPr>
                <w:rFonts w:ascii="Times New Roman" w:hAnsi="Times New Roman" w:cs="Times New Roman"/>
                <w:lang w:val="sq-AL"/>
              </w:rPr>
              <w:t>r</w:t>
            </w:r>
            <w:r w:rsidRPr="00A862F7">
              <w:rPr>
                <w:rFonts w:ascii="Times New Roman" w:hAnsi="Times New Roman" w:cs="Times New Roman"/>
                <w:lang w:val="sq-AL"/>
              </w:rPr>
              <w:t>caktuar</w:t>
            </w:r>
            <w:r w:rsidR="003B0DB5"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 w:rsidR="003B0DB5">
              <w:rPr>
                <w:rFonts w:ascii="Times New Roman" w:hAnsi="Times New Roman" w:cs="Times New Roman"/>
                <w:lang w:val="sq-AL"/>
              </w:rPr>
              <w:t xml:space="preserve"> nevojsh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 w:rsidR="003B0DB5">
              <w:rPr>
                <w:rFonts w:ascii="Times New Roman" w:hAnsi="Times New Roman" w:cs="Times New Roman"/>
                <w:lang w:val="sq-AL"/>
              </w:rPr>
              <w:t>m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për 2025 dhe 2026 për të përmbushur objektivin vjetor të rinovimit prej 3% </w:t>
            </w:r>
            <w:r w:rsidR="003B0DB5">
              <w:rPr>
                <w:rFonts w:ascii="Times New Roman" w:hAnsi="Times New Roman" w:cs="Times New Roman"/>
                <w:lang w:val="sq-AL"/>
              </w:rPr>
              <w:t>p</w:t>
            </w:r>
            <w:r w:rsidRPr="00A862F7">
              <w:rPr>
                <w:rFonts w:ascii="Times New Roman" w:hAnsi="Times New Roman" w:cs="Times New Roman"/>
                <w:lang w:val="sq-AL"/>
              </w:rPr>
              <w:t>ë</w:t>
            </w:r>
            <w:r w:rsidR="003B0DB5">
              <w:rPr>
                <w:rFonts w:ascii="Times New Roman" w:hAnsi="Times New Roman" w:cs="Times New Roman"/>
                <w:lang w:val="sq-AL"/>
              </w:rPr>
              <w:t>r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ndërtesat publike qeveritare</w:t>
            </w:r>
            <w:r w:rsidR="003B0DB5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3B0DB5" w:rsidRPr="00A862F7">
              <w:rPr>
                <w:rFonts w:ascii="Times New Roman" w:hAnsi="Times New Roman" w:cs="Times New Roman"/>
                <w:lang w:val="sq-AL"/>
              </w:rPr>
              <w:t xml:space="preserve"> ekzistuese</w:t>
            </w:r>
            <w:r w:rsidRPr="00A862F7">
              <w:rPr>
                <w:rFonts w:ascii="Times New Roman" w:hAnsi="Times New Roman" w:cs="Times New Roman"/>
                <w:lang w:val="sq-AL"/>
              </w:rPr>
              <w:t>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2024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52BB166D" w14:textId="77777777" w:rsidR="002A5F18" w:rsidRPr="00A862F7" w:rsidRDefault="002A5F18" w:rsidP="00835701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</w:p>
          <w:p w14:paraId="52BB166E" w14:textId="6EE8DAA6" w:rsidR="002A5F18" w:rsidRPr="00A862F7" w:rsidRDefault="002A5F18" w:rsidP="00835701">
            <w:pPr>
              <w:spacing w:after="60" w:line="240" w:lineRule="auto"/>
              <w:ind w:left="-2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 xml:space="preserve">Miratimi i legjislacionit kombëtar për t'u përafruar me rregulloret e etiketimit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2024) 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dhe rregulloret e eko-dizajnit për ngrohësit lokalë të hapësirës me lëndë djegëse të ngurta dhe </w:t>
            </w:r>
            <w:r w:rsidR="00A232EC">
              <w:rPr>
                <w:rFonts w:ascii="Times New Roman" w:hAnsi="Times New Roman" w:cs="Times New Roman"/>
                <w:lang w:val="sq-AL"/>
              </w:rPr>
              <w:t>ngritja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3B0DB5">
              <w:rPr>
                <w:rFonts w:ascii="Times New Roman" w:hAnsi="Times New Roman" w:cs="Times New Roman"/>
                <w:lang w:val="sq-AL"/>
              </w:rPr>
              <w:t xml:space="preserve">respektivisht </w:t>
            </w:r>
            <w:r w:rsidRPr="00A862F7">
              <w:rPr>
                <w:rFonts w:ascii="Times New Roman" w:hAnsi="Times New Roman" w:cs="Times New Roman"/>
                <w:lang w:val="sq-AL"/>
              </w:rPr>
              <w:t>e infrastrukturës dhe kapaciteteve efektive për mbikëqyrjen e tregut</w:t>
            </w:r>
            <w:r w:rsidR="00A232EC">
              <w:rPr>
                <w:rFonts w:ascii="Times New Roman" w:hAnsi="Times New Roman" w:cs="Times New Roman"/>
                <w:lang w:val="sq-AL"/>
              </w:rPr>
              <w:t>.</w:t>
            </w:r>
            <w:r w:rsidR="003B0DB5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2025)</w:t>
            </w:r>
          </w:p>
          <w:p w14:paraId="3ED56C41" w14:textId="77777777" w:rsidR="002A5F18" w:rsidRPr="00A862F7" w:rsidRDefault="002A5F18" w:rsidP="00835701">
            <w:pPr>
              <w:spacing w:after="60" w:line="240" w:lineRule="auto"/>
              <w:ind w:left="-2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66095D0B" w14:textId="6B934A20" w:rsidR="002A5F18" w:rsidRPr="00A862F7" w:rsidRDefault="002A5F18" w:rsidP="006C6F88">
            <w:pPr>
              <w:spacing w:after="60" w:line="240" w:lineRule="auto"/>
              <w:ind w:left="-2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 xml:space="preserve">Skema e detyrimit të efiçiencës së energjisë të miratohet në Ligjin për efiçiencën e energjisë ose në alternativë </w:t>
            </w:r>
            <w:r w:rsidR="00A232EC">
              <w:rPr>
                <w:rFonts w:ascii="Times New Roman" w:hAnsi="Times New Roman" w:cs="Times New Roman"/>
                <w:lang w:val="sq-AL"/>
              </w:rPr>
              <w:t>miratimi i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masa</w:t>
            </w:r>
            <w:r w:rsidR="00A232EC">
              <w:rPr>
                <w:rFonts w:ascii="Times New Roman" w:hAnsi="Times New Roman" w:cs="Times New Roman"/>
                <w:lang w:val="sq-AL"/>
              </w:rPr>
              <w:t>ve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alternative në përputhje me Direktivën e Efiçiencës së Energjisë (EED), dhe vendos</w:t>
            </w:r>
            <w:r w:rsidR="00A232EC">
              <w:rPr>
                <w:rFonts w:ascii="Times New Roman" w:hAnsi="Times New Roman" w:cs="Times New Roman"/>
                <w:lang w:val="sq-AL"/>
              </w:rPr>
              <w:t>ja e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sisteme</w:t>
            </w:r>
            <w:r w:rsidR="00A232EC">
              <w:rPr>
                <w:rFonts w:ascii="Times New Roman" w:hAnsi="Times New Roman" w:cs="Times New Roman"/>
                <w:lang w:val="sq-AL"/>
              </w:rPr>
              <w:t xml:space="preserve">ve </w:t>
            </w:r>
            <w:r w:rsidRPr="00A862F7">
              <w:rPr>
                <w:rFonts w:ascii="Times New Roman" w:hAnsi="Times New Roman" w:cs="Times New Roman"/>
                <w:lang w:val="sq-AL"/>
              </w:rPr>
              <w:t>të matjes, kontrollit dhe verifikimit në përputhje me kërkesat e EED.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2027)</w:t>
            </w:r>
          </w:p>
          <w:p w14:paraId="5CC63571" w14:textId="77777777" w:rsidR="00E62909" w:rsidRPr="00A862F7" w:rsidRDefault="00E62909" w:rsidP="00835701">
            <w:pPr>
              <w:spacing w:after="60" w:line="240" w:lineRule="auto"/>
              <w:ind w:left="-2"/>
              <w:rPr>
                <w:rFonts w:ascii="Times New Roman" w:hAnsi="Times New Roman" w:cs="Times New Roman"/>
                <w:lang w:val="sq-AL"/>
              </w:rPr>
            </w:pPr>
          </w:p>
          <w:p w14:paraId="52BB1672" w14:textId="7C99CBF4" w:rsidR="002A5F18" w:rsidRPr="00A862F7" w:rsidRDefault="002A5F18" w:rsidP="00835701">
            <w:pPr>
              <w:spacing w:after="60" w:line="240" w:lineRule="auto"/>
              <w:ind w:left="-2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Zbatimi i shkallës vjetore të rinovimit të ndërtesave në përputhje me</w:t>
            </w:r>
            <w:r w:rsidR="00A232EC">
              <w:rPr>
                <w:rFonts w:ascii="Times New Roman" w:hAnsi="Times New Roman" w:cs="Times New Roman"/>
                <w:lang w:val="sq-AL"/>
              </w:rPr>
              <w:t xml:space="preserve"> synimet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indikative (numri i</w:t>
            </w:r>
            <w:r w:rsidR="00A232EC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A232EC">
              <w:rPr>
                <w:rFonts w:ascii="Times New Roman" w:hAnsi="Times New Roman" w:cs="Times New Roman"/>
                <w:lang w:val="sq-AL"/>
              </w:rPr>
              <w:t>ndërtesa</w:t>
            </w:r>
            <w:r w:rsidR="00A232EC">
              <w:rPr>
                <w:rFonts w:ascii="Times New Roman" w:hAnsi="Times New Roman" w:cs="Times New Roman"/>
                <w:lang w:val="sq-AL"/>
              </w:rPr>
              <w:t>ve publike</w:t>
            </w:r>
            <w:r w:rsidRPr="00A232EC">
              <w:rPr>
                <w:rFonts w:ascii="Times New Roman" w:hAnsi="Times New Roman" w:cs="Times New Roman"/>
                <w:lang w:val="sq-AL"/>
              </w:rPr>
              <w:t xml:space="preserve"> të rinovuara), të përfshira në strategjinë afatgjatë të rinovimit të ndërtesave.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232EC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2027</w:t>
            </w:r>
            <w:r w:rsidRPr="00A232EC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52BB1673" w14:textId="3E847426" w:rsidR="005B4346" w:rsidRPr="00A862F7" w:rsidRDefault="005B4346" w:rsidP="005B4346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52BB1676" w14:textId="77777777" w:rsidR="00B449A3" w:rsidRPr="00A862F7" w:rsidRDefault="00B449A3" w:rsidP="00AD571F">
      <w:pPr>
        <w:spacing w:after="0" w:line="240" w:lineRule="auto"/>
        <w:rPr>
          <w:rFonts w:ascii="Times New Roman" w:eastAsia="Calibri" w:hAnsi="Times New Roman" w:cs="Times New Roman"/>
          <w:lang w:val="sq-AL"/>
        </w:rPr>
      </w:pPr>
    </w:p>
    <w:p w14:paraId="33D90AF5" w14:textId="77777777" w:rsidR="00E67982" w:rsidRPr="00A862F7" w:rsidRDefault="00E67982" w:rsidP="00AD571F">
      <w:pPr>
        <w:spacing w:after="0" w:line="240" w:lineRule="auto"/>
        <w:rPr>
          <w:rFonts w:ascii="Times New Roman" w:eastAsia="Calibri" w:hAnsi="Times New Roman" w:cs="Times New Roman"/>
          <w:lang w:val="sq-AL"/>
        </w:rPr>
      </w:pPr>
    </w:p>
    <w:p w14:paraId="52BB1677" w14:textId="77777777" w:rsidR="00862A22" w:rsidRPr="00A862F7" w:rsidRDefault="00862A22" w:rsidP="00AD571F">
      <w:pPr>
        <w:spacing w:after="0" w:line="240" w:lineRule="auto"/>
        <w:rPr>
          <w:rFonts w:ascii="Times New Roman" w:eastAsia="Calibri" w:hAnsi="Times New Roman" w:cs="Times New Roman"/>
          <w:lang w:val="sq-AL"/>
        </w:rPr>
      </w:pPr>
    </w:p>
    <w:p w14:paraId="52BB1678" w14:textId="77777777" w:rsidR="00862A22" w:rsidRPr="00A862F7" w:rsidRDefault="00862A22" w:rsidP="00AD571F">
      <w:pPr>
        <w:spacing w:after="0" w:line="240" w:lineRule="auto"/>
        <w:rPr>
          <w:rFonts w:ascii="Times New Roman" w:eastAsia="Calibri" w:hAnsi="Times New Roman" w:cs="Times New Roman"/>
          <w:lang w:val="sq-AL"/>
        </w:rPr>
      </w:pPr>
    </w:p>
    <w:p w14:paraId="3F5C5104" w14:textId="77777777" w:rsidR="00E67982" w:rsidRPr="00A862F7" w:rsidRDefault="00E67982" w:rsidP="004F2F82">
      <w:pPr>
        <w:tabs>
          <w:tab w:val="left" w:pos="11199"/>
        </w:tabs>
        <w:jc w:val="right"/>
        <w:rPr>
          <w:rFonts w:ascii="Times New Roman" w:eastAsia="Calibri" w:hAnsi="Times New Roman" w:cs="Times New Roman"/>
          <w:lang w:val="sq-AL"/>
        </w:rPr>
      </w:pPr>
    </w:p>
    <w:tbl>
      <w:tblPr>
        <w:tblpPr w:leftFromText="180" w:rightFromText="180" w:vertAnchor="text" w:horzAnchor="margin" w:tblpX="-34" w:tblpY="-8264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827"/>
        <w:gridCol w:w="8647"/>
      </w:tblGrid>
      <w:tr w:rsidR="002A5F18" w:rsidRPr="00A862F7" w14:paraId="52BB1685" w14:textId="77777777" w:rsidTr="002452A8">
        <w:trPr>
          <w:trHeight w:val="990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2BB1679" w14:textId="29C3D8CA" w:rsidR="002A5F18" w:rsidRPr="002449FC" w:rsidRDefault="002A5F18" w:rsidP="002452A8">
            <w:pPr>
              <w:pStyle w:val="ListParagraph"/>
              <w:spacing w:after="60" w:line="240" w:lineRule="auto"/>
              <w:ind w:left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lastRenderedPageBreak/>
              <w:t xml:space="preserve">5. </w:t>
            </w:r>
            <w:r w:rsidRPr="002449F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Sundimi i ligjit</w:t>
            </w:r>
            <w:r w:rsidR="00732BB3" w:rsidRPr="002449F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/ Themeloret</w:t>
            </w:r>
          </w:p>
          <w:p w14:paraId="52BB167A" w14:textId="77777777" w:rsidR="002A5F18" w:rsidRPr="00A862F7" w:rsidRDefault="002A5F18" w:rsidP="002452A8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  <w:r w:rsidRPr="002452A8"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  <w:t xml:space="preserve">Bazat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/Sundimi 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i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ligjit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2BB167B" w14:textId="71862CED" w:rsidR="002A5F18" w:rsidRPr="00A862F7" w:rsidRDefault="002A5F18" w:rsidP="002452A8">
            <w:pPr>
              <w:pStyle w:val="ListParagraph"/>
              <w:numPr>
                <w:ilvl w:val="1"/>
                <w:numId w:val="5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Lufta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kundër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korrupsionit dhe krimit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>të organizuar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BB167C" w14:textId="50AAB64B" w:rsidR="002A5F18" w:rsidRPr="00A862F7" w:rsidRDefault="002A5F18" w:rsidP="002452A8">
            <w:pPr>
              <w:pStyle w:val="ListParagraph"/>
              <w:numPr>
                <w:ilvl w:val="2"/>
                <w:numId w:val="5"/>
              </w:numPr>
              <w:spacing w:after="60" w:line="240" w:lineRule="auto"/>
              <w:ind w:left="561" w:hanging="561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 xml:space="preserve">Krijimi i një Zyre për Rikuperimin e Pasurive, si Njësi Kombëtare Koordinuese dhe pikë kontakti rajonale/ndërkombëtare, duke kontribuar në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përmirësimin e 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konfiskimeve </w:t>
            </w:r>
          </w:p>
        </w:tc>
        <w:tc>
          <w:tcPr>
            <w:tcW w:w="8647" w:type="dxa"/>
            <w:shd w:val="clear" w:color="auto" w:fill="auto"/>
          </w:tcPr>
          <w:p w14:paraId="52BB167D" w14:textId="77777777" w:rsidR="002A5F18" w:rsidRPr="00A862F7" w:rsidRDefault="002A5F18" w:rsidP="002452A8">
            <w:pPr>
              <w:spacing w:after="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</w:p>
          <w:p w14:paraId="52BB167E" w14:textId="29CF5E6E" w:rsidR="002A5F18" w:rsidRPr="00A862F7" w:rsidRDefault="002A5F18" w:rsidP="002452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Zyr</w:t>
            </w:r>
            <w:r w:rsidR="003328F4" w:rsidRPr="00A862F7">
              <w:rPr>
                <w:rFonts w:ascii="Times New Roman" w:hAnsi="Times New Roman" w:cs="Times New Roman"/>
                <w:lang w:val="sq-AL"/>
              </w:rPr>
              <w:t>a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e Rikuperimit të Pasurive</w:t>
            </w:r>
            <w:r w:rsidR="003328F4" w:rsidRPr="00A862F7">
              <w:rPr>
                <w:rFonts w:ascii="Times New Roman" w:hAnsi="Times New Roman" w:cs="Times New Roman"/>
                <w:lang w:val="sq-AL"/>
              </w:rPr>
              <w:t xml:space="preserve"> e krijuar dhe funksionale</w:t>
            </w:r>
            <w:r w:rsidRPr="00A862F7">
              <w:rPr>
                <w:rFonts w:ascii="Times New Roman" w:hAnsi="Times New Roman" w:cs="Times New Roman"/>
                <w:lang w:val="sq-AL"/>
              </w:rPr>
              <w:t>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52BB167F" w14:textId="77777777" w:rsidR="002A5F18" w:rsidRPr="00A862F7" w:rsidRDefault="002A5F18" w:rsidP="002452A8">
            <w:pPr>
              <w:spacing w:after="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</w:p>
          <w:p w14:paraId="52BB1680" w14:textId="3672AA64" w:rsidR="002A5F18" w:rsidRPr="00A862F7" w:rsidRDefault="002A5F18" w:rsidP="00245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  <w:bookmarkStart w:id="15" w:name="_Hlk164273268"/>
            <w:r w:rsidRPr="00A862F7">
              <w:rPr>
                <w:rFonts w:ascii="Times New Roman" w:eastAsia="Calibri" w:hAnsi="Times New Roman" w:cs="Times New Roman"/>
                <w:lang w:val="sq-AL"/>
              </w:rPr>
              <w:t>Paraqi</w:t>
            </w:r>
            <w:r w:rsidR="003328F4" w:rsidRPr="00A862F7">
              <w:rPr>
                <w:rFonts w:ascii="Times New Roman" w:eastAsia="Calibri" w:hAnsi="Times New Roman" w:cs="Times New Roman"/>
                <w:lang w:val="sq-AL"/>
              </w:rPr>
              <w:t>tja e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një aplikim për t'u </w:t>
            </w:r>
            <w:r w:rsidR="007F02C7">
              <w:rPr>
                <w:rFonts w:ascii="Times New Roman" w:eastAsia="Calibri" w:hAnsi="Times New Roman" w:cs="Times New Roman"/>
                <w:lang w:val="sq-AL"/>
              </w:rPr>
              <w:t>b</w:t>
            </w:r>
            <w:r w:rsidR="006B214F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="007F02C7">
              <w:rPr>
                <w:rFonts w:ascii="Times New Roman" w:eastAsia="Calibri" w:hAnsi="Times New Roman" w:cs="Times New Roman"/>
                <w:lang w:val="sq-AL"/>
              </w:rPr>
              <w:t>r</w:t>
            </w:r>
            <w:r w:rsidR="006B214F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="007F02C7">
              <w:rPr>
                <w:rFonts w:ascii="Times New Roman" w:eastAsia="Calibri" w:hAnsi="Times New Roman" w:cs="Times New Roman"/>
                <w:lang w:val="sq-AL"/>
              </w:rPr>
              <w:t xml:space="preserve"> pjes</w:t>
            </w:r>
            <w:r w:rsidR="006B214F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="007F02C7">
              <w:rPr>
                <w:rFonts w:ascii="Times New Roman" w:eastAsia="Calibri" w:hAnsi="Times New Roman" w:cs="Times New Roman"/>
                <w:lang w:val="sq-AL"/>
              </w:rPr>
              <w:t>tar n</w:t>
            </w:r>
            <w:r w:rsidR="006B214F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Rrjetin Evropian të Zyrave të Rikuperimit të </w:t>
            </w:r>
            <w:r w:rsidR="00B875F6">
              <w:rPr>
                <w:rFonts w:ascii="Times New Roman" w:eastAsia="Calibri" w:hAnsi="Times New Roman" w:cs="Times New Roman"/>
                <w:lang w:val="sq-AL"/>
              </w:rPr>
              <w:t>Pasurive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ose në platformat rajonale/ndërkombëtare të rikuperimit. 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Calibri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 xml:space="preserve"> 2025)</w:t>
            </w:r>
          </w:p>
          <w:p w14:paraId="763FB7E0" w14:textId="77777777" w:rsidR="00E62909" w:rsidRPr="00A862F7" w:rsidRDefault="00E62909" w:rsidP="002452A8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  <w:p w14:paraId="6EED3939" w14:textId="537D7B4B" w:rsidR="002A5F18" w:rsidRDefault="002A5F18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A862F7">
              <w:rPr>
                <w:rFonts w:ascii="Times New Roman" w:hAnsi="Times New Roman" w:cs="Times New Roman"/>
                <w:color w:val="000000" w:themeColor="text1"/>
                <w:lang w:val="sq-AL"/>
              </w:rPr>
              <w:t>50% e numrit dhe vlerës së</w:t>
            </w:r>
            <w:r w:rsidR="00B875F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pasurive </w:t>
            </w:r>
            <w:r w:rsidRPr="00A862F7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të konfiskuara ripërdoren (përfshi ripërdorimin social) brenda 6 muajve nga konfiskimi. </w:t>
            </w:r>
            <w:r w:rsidRPr="00A862F7">
              <w:rPr>
                <w:rFonts w:ascii="Times New Roman" w:hAnsi="Times New Roman" w:cs="Times New Roman"/>
                <w:b/>
                <w:bCs/>
                <w:color w:val="000000" w:themeColor="text1"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color w:val="000000" w:themeColor="text1"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color w:val="000000" w:themeColor="text1"/>
                <w:lang w:val="sq-AL"/>
              </w:rPr>
              <w:t xml:space="preserve"> 2026</w:t>
            </w:r>
            <w:r w:rsidRPr="00A862F7">
              <w:rPr>
                <w:rFonts w:ascii="Times New Roman" w:hAnsi="Times New Roman" w:cs="Times New Roman"/>
                <w:color w:val="000000" w:themeColor="text1"/>
                <w:lang w:val="sq-AL"/>
              </w:rPr>
              <w:t>)</w:t>
            </w:r>
          </w:p>
          <w:bookmarkEnd w:id="15"/>
          <w:p w14:paraId="52BB1683" w14:textId="4A6A77EF" w:rsidR="009572E3" w:rsidRPr="00A862F7" w:rsidRDefault="009572E3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2A5F18" w:rsidRPr="00A862F7" w14:paraId="52BB168F" w14:textId="77777777" w:rsidTr="002452A8">
        <w:trPr>
          <w:trHeight w:val="983"/>
        </w:trPr>
        <w:tc>
          <w:tcPr>
            <w:tcW w:w="1418" w:type="dxa"/>
            <w:vMerge/>
            <w:vAlign w:val="center"/>
          </w:tcPr>
          <w:p w14:paraId="52BB1686" w14:textId="77777777" w:rsidR="002A5F18" w:rsidRPr="00A862F7" w:rsidRDefault="002A5F18" w:rsidP="002452A8">
            <w:pPr>
              <w:pStyle w:val="ListParagraph"/>
              <w:spacing w:after="60" w:line="240" w:lineRule="auto"/>
              <w:ind w:left="0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3" w:type="dxa"/>
            <w:vMerge/>
            <w:vAlign w:val="center"/>
          </w:tcPr>
          <w:p w14:paraId="52BB1687" w14:textId="77777777" w:rsidR="002A5F18" w:rsidRPr="00A862F7" w:rsidRDefault="002A5F18" w:rsidP="002452A8">
            <w:pPr>
              <w:pStyle w:val="ListParagraph"/>
              <w:numPr>
                <w:ilvl w:val="1"/>
                <w:numId w:val="5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2BB1688" w14:textId="0153F439" w:rsidR="002A5F18" w:rsidRPr="00A862F7" w:rsidRDefault="00E25862" w:rsidP="002452A8">
            <w:pPr>
              <w:pStyle w:val="ListParagraph"/>
              <w:numPr>
                <w:ilvl w:val="2"/>
                <w:numId w:val="5"/>
              </w:numPr>
              <w:spacing w:after="60" w:line="240" w:lineRule="auto"/>
              <w:ind w:left="561" w:hanging="561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Forcimi i</w:t>
            </w:r>
            <w:r w:rsidR="002A5F18" w:rsidRPr="00A862F7">
              <w:rPr>
                <w:rFonts w:ascii="Times New Roman" w:hAnsi="Times New Roman" w:cs="Times New Roman"/>
                <w:lang w:val="sq-AL"/>
              </w:rPr>
              <w:t xml:space="preserve"> shtypj</w:t>
            </w:r>
            <w:r>
              <w:rPr>
                <w:rFonts w:ascii="Times New Roman" w:hAnsi="Times New Roman" w:cs="Times New Roman"/>
                <w:lang w:val="sq-AL"/>
              </w:rPr>
              <w:t>es</w:t>
            </w:r>
            <w:r w:rsidR="002A5F18"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lang w:val="sq-AL"/>
              </w:rPr>
              <w:t>s</w:t>
            </w:r>
            <w:r w:rsidR="000F394D">
              <w:rPr>
                <w:rFonts w:ascii="Times New Roman" w:hAnsi="Times New Roman" w:cs="Times New Roman"/>
                <w:lang w:val="sq-AL"/>
              </w:rPr>
              <w:t>ë</w:t>
            </w:r>
            <w:r w:rsidR="002A5F18" w:rsidRPr="00A862F7">
              <w:rPr>
                <w:rFonts w:ascii="Times New Roman" w:hAnsi="Times New Roman" w:cs="Times New Roman"/>
                <w:lang w:val="sq-AL"/>
              </w:rPr>
              <w:t xml:space="preserve"> korrupsionit dhe krimit 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>të organizuar</w:t>
            </w:r>
            <w:r w:rsidR="002A5F18" w:rsidRPr="00A862F7">
              <w:rPr>
                <w:rFonts w:ascii="Times New Roman" w:hAnsi="Times New Roman" w:cs="Times New Roman"/>
                <w:lang w:val="sq-AL"/>
              </w:rPr>
              <w:t>, duke përfshirë edhe rastet e nivelit të lartë</w:t>
            </w:r>
          </w:p>
        </w:tc>
        <w:tc>
          <w:tcPr>
            <w:tcW w:w="8647" w:type="dxa"/>
            <w:shd w:val="clear" w:color="auto" w:fill="auto"/>
          </w:tcPr>
          <w:p w14:paraId="025AF924" w14:textId="5BAB7009" w:rsidR="00662E12" w:rsidRPr="00A862F7" w:rsidRDefault="002A5F18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b/>
                <w:bCs/>
                <w:lang w:val="sq-AL"/>
              </w:rPr>
            </w:pPr>
            <w:bookmarkStart w:id="16" w:name="_Hlk164273322"/>
            <w:r w:rsidRPr="00A862F7">
              <w:rPr>
                <w:rFonts w:ascii="Times New Roman" w:hAnsi="Times New Roman" w:cs="Times New Roman"/>
                <w:lang w:val="sq-AL"/>
              </w:rPr>
              <w:t xml:space="preserve">Platforma për mbledhjen e të dhënave lidhur me krimet e organizuara dhe </w:t>
            </w:r>
            <w:r w:rsidR="007F02C7">
              <w:rPr>
                <w:rFonts w:ascii="Times New Roman" w:hAnsi="Times New Roman" w:cs="Times New Roman"/>
                <w:lang w:val="sq-AL"/>
              </w:rPr>
              <w:t>krimet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7F02C7">
              <w:rPr>
                <w:rFonts w:ascii="Times New Roman" w:hAnsi="Times New Roman" w:cs="Times New Roman"/>
                <w:lang w:val="sq-AL"/>
              </w:rPr>
              <w:t>e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rënda </w:t>
            </w:r>
            <w:r w:rsidR="00F52687" w:rsidRPr="00A862F7">
              <w:rPr>
                <w:rFonts w:ascii="Times New Roman" w:hAnsi="Times New Roman" w:cs="Times New Roman"/>
                <w:lang w:val="sq-AL"/>
              </w:rPr>
              <w:t xml:space="preserve">e </w:t>
            </w:r>
            <w:r w:rsidRPr="00A862F7">
              <w:rPr>
                <w:rFonts w:ascii="Times New Roman" w:hAnsi="Times New Roman" w:cs="Times New Roman"/>
                <w:lang w:val="sq-AL"/>
              </w:rPr>
              <w:t>përditë</w:t>
            </w:r>
            <w:r w:rsidR="003328F4" w:rsidRPr="00A862F7">
              <w:rPr>
                <w:rFonts w:ascii="Times New Roman" w:hAnsi="Times New Roman" w:cs="Times New Roman"/>
                <w:lang w:val="sq-AL"/>
              </w:rPr>
              <w:t>suar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rregullisht.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="00F52687"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)</w:t>
            </w:r>
          </w:p>
          <w:p w14:paraId="793147CA" w14:textId="77777777" w:rsidR="00E62909" w:rsidRPr="00A862F7" w:rsidRDefault="00E62909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31A8A6DD" w14:textId="26195AB7" w:rsidR="007D4893" w:rsidRPr="00A862F7" w:rsidRDefault="002A5F18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Përgatit</w:t>
            </w:r>
            <w:r w:rsidR="00F52687" w:rsidRPr="00A862F7">
              <w:rPr>
                <w:rFonts w:ascii="Times New Roman" w:hAnsi="Times New Roman" w:cs="Times New Roman"/>
                <w:lang w:val="sq-AL"/>
              </w:rPr>
              <w:t>ja e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vlerësimi</w:t>
            </w:r>
            <w:r w:rsidR="00F52687" w:rsidRPr="00A862F7">
              <w:rPr>
                <w:rFonts w:ascii="Times New Roman" w:hAnsi="Times New Roman" w:cs="Times New Roman"/>
                <w:lang w:val="sq-AL"/>
              </w:rPr>
              <w:t>t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F52687" w:rsidRPr="00A862F7">
              <w:rPr>
                <w:rFonts w:ascii="Times New Roman" w:hAnsi="Times New Roman" w:cs="Times New Roman"/>
                <w:lang w:val="sq-AL"/>
              </w:rPr>
              <w:t>t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7F02C7">
              <w:rPr>
                <w:rFonts w:ascii="Times New Roman" w:hAnsi="Times New Roman" w:cs="Times New Roman"/>
                <w:lang w:val="sq-AL"/>
              </w:rPr>
              <w:t>rreziqeve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7F02C7">
              <w:rPr>
                <w:rFonts w:ascii="Times New Roman" w:hAnsi="Times New Roman" w:cs="Times New Roman"/>
                <w:lang w:val="sq-AL"/>
              </w:rPr>
              <w:t>nga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krim</w:t>
            </w:r>
            <w:r w:rsidR="007F02C7">
              <w:rPr>
                <w:rFonts w:ascii="Times New Roman" w:hAnsi="Times New Roman" w:cs="Times New Roman"/>
                <w:lang w:val="sq-AL"/>
              </w:rPr>
              <w:t>i i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organizuar dhe</w:t>
            </w:r>
            <w:r w:rsidR="007F02C7">
              <w:rPr>
                <w:rFonts w:ascii="Times New Roman" w:hAnsi="Times New Roman" w:cs="Times New Roman"/>
                <w:lang w:val="sq-AL"/>
              </w:rPr>
              <w:t xml:space="preserve"> krimet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7F02C7">
              <w:rPr>
                <w:rFonts w:ascii="Times New Roman" w:hAnsi="Times New Roman" w:cs="Times New Roman"/>
                <w:lang w:val="sq-AL"/>
              </w:rPr>
              <w:t>e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rënda dhe rishik</w:t>
            </w:r>
            <w:r w:rsidR="00BD4B23" w:rsidRPr="00A862F7">
              <w:rPr>
                <w:rFonts w:ascii="Times New Roman" w:hAnsi="Times New Roman" w:cs="Times New Roman"/>
                <w:lang w:val="sq-AL"/>
              </w:rPr>
              <w:t>imi</w:t>
            </w:r>
            <w:r w:rsidR="007F02C7">
              <w:rPr>
                <w:rFonts w:ascii="Times New Roman" w:hAnsi="Times New Roman" w:cs="Times New Roman"/>
                <w:lang w:val="sq-AL"/>
              </w:rPr>
              <w:t xml:space="preserve"> respektivisht i </w:t>
            </w:r>
            <w:r w:rsidRPr="00A862F7">
              <w:rPr>
                <w:rFonts w:ascii="Times New Roman" w:hAnsi="Times New Roman" w:cs="Times New Roman"/>
                <w:lang w:val="sq-AL"/>
              </w:rPr>
              <w:t>Strategji</w:t>
            </w:r>
            <w:r w:rsidR="00BD4B23" w:rsidRPr="00A862F7">
              <w:rPr>
                <w:rFonts w:ascii="Times New Roman" w:hAnsi="Times New Roman" w:cs="Times New Roman"/>
                <w:lang w:val="sq-AL"/>
              </w:rPr>
              <w:t>s</w:t>
            </w:r>
            <w:r w:rsidRPr="00A862F7">
              <w:rPr>
                <w:rFonts w:ascii="Times New Roman" w:hAnsi="Times New Roman" w:cs="Times New Roman"/>
                <w:lang w:val="sq-AL"/>
              </w:rPr>
              <w:t>ë Kombëtare dhe Plani</w:t>
            </w:r>
            <w:r w:rsidR="00BD4B23" w:rsidRPr="00A862F7">
              <w:rPr>
                <w:rFonts w:ascii="Times New Roman" w:hAnsi="Times New Roman" w:cs="Times New Roman"/>
                <w:lang w:val="sq-AL"/>
              </w:rPr>
              <w:t>t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BD4B23" w:rsidRPr="00A862F7">
              <w:rPr>
                <w:rFonts w:ascii="Times New Roman" w:hAnsi="Times New Roman" w:cs="Times New Roman"/>
                <w:lang w:val="sq-AL"/>
              </w:rPr>
              <w:t>t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Veprimit, për Kri</w:t>
            </w:r>
            <w:r w:rsidR="007F02C7">
              <w:rPr>
                <w:rFonts w:ascii="Times New Roman" w:hAnsi="Times New Roman" w:cs="Times New Roman"/>
                <w:lang w:val="sq-AL"/>
              </w:rPr>
              <w:t xml:space="preserve">min </w:t>
            </w:r>
            <w:r w:rsidRPr="00A862F7">
              <w:rPr>
                <w:rFonts w:ascii="Times New Roman" w:hAnsi="Times New Roman" w:cs="Times New Roman"/>
                <w:lang w:val="sq-AL"/>
              </w:rPr>
              <w:t>e Organizuar dhe Krimet e Rënda</w:t>
            </w:r>
            <w:r w:rsidR="007F02C7">
              <w:rPr>
                <w:rFonts w:ascii="Times New Roman" w:hAnsi="Times New Roman" w:cs="Times New Roman"/>
                <w:lang w:val="sq-AL"/>
              </w:rPr>
              <w:t xml:space="preserve">.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2026)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 </w:t>
            </w:r>
            <w:r w:rsidR="00F52687"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  <w:p w14:paraId="5E30BA6B" w14:textId="77777777" w:rsidR="007F02C7" w:rsidRPr="00A862F7" w:rsidRDefault="007F02C7" w:rsidP="002452A8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 w:cs="Times New Roman"/>
                <w:lang w:val="sq-AL"/>
              </w:rPr>
            </w:pPr>
          </w:p>
          <w:p w14:paraId="1322BEC4" w14:textId="52B28F4F" w:rsidR="002A5F18" w:rsidRPr="00A862F7" w:rsidRDefault="002A5F18" w:rsidP="002452A8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 w:cs="Times New Roman"/>
                <w:lang w:val="sq-AL"/>
              </w:rPr>
            </w:pPr>
            <w:bookmarkStart w:id="17" w:name="_Hlk166076786"/>
            <w:r w:rsidRPr="00A862F7">
              <w:rPr>
                <w:rFonts w:ascii="Times New Roman" w:hAnsi="Times New Roman" w:cs="Times New Roman"/>
                <w:lang w:val="sq-AL"/>
              </w:rPr>
              <w:t xml:space="preserve">Zgjerimi i aksesit dhe ndërveprimit të bazave të të dhënave dhe përdorimi i mjeteve të </w:t>
            </w:r>
            <w:r w:rsidR="00BD4B23" w:rsidRPr="00A862F7">
              <w:rPr>
                <w:rFonts w:ascii="Times New Roman" w:hAnsi="Times New Roman" w:cs="Times New Roman"/>
                <w:lang w:val="sq-AL"/>
              </w:rPr>
              <w:t>IT</w:t>
            </w:r>
            <w:r w:rsidRPr="00A862F7">
              <w:rPr>
                <w:rFonts w:ascii="Times New Roman" w:hAnsi="Times New Roman" w:cs="Times New Roman"/>
                <w:lang w:val="sq-AL"/>
              </w:rPr>
              <w:t>-së/metodave hetimore në luftën kundër krimit të organizuar.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2026</w:t>
            </w:r>
            <w:bookmarkEnd w:id="16"/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bookmarkEnd w:id="17"/>
          <w:p w14:paraId="3BE4EC33" w14:textId="77777777" w:rsidR="009572E3" w:rsidRPr="00A862F7" w:rsidRDefault="009572E3" w:rsidP="002452A8">
            <w:pPr>
              <w:spacing w:after="0"/>
              <w:jc w:val="both"/>
              <w:rPr>
                <w:rFonts w:ascii="Calibri" w:eastAsia="Calibri" w:hAnsi="Calibri" w:cs="Calibri"/>
                <w:lang w:val="sq-AL"/>
              </w:rPr>
            </w:pPr>
          </w:p>
          <w:p w14:paraId="694404B8" w14:textId="39C8DB5A" w:rsidR="00BD4B23" w:rsidRPr="00A862F7" w:rsidRDefault="00BD4B23" w:rsidP="002452A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Progres i vazhdueshëm </w:t>
            </w:r>
            <w:r w:rsidR="007F02C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n</w:t>
            </w:r>
            <w:r w:rsidR="006B214F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ë</w:t>
            </w:r>
            <w:r w:rsidR="007F02C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cil</w:t>
            </w:r>
            <w:r w:rsidR="006B214F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ë</w:t>
            </w:r>
            <w:r w:rsidR="007F02C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sin</w:t>
            </w:r>
            <w:r w:rsidR="006B214F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ë</w:t>
            </w:r>
            <w:r w:rsidR="007F02C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e</w:t>
            </w:r>
            <w:r w:rsidR="00F77ECD"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proce</w:t>
            </w:r>
            <w:r w:rsidR="007F02C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dimeve</w:t>
            </w:r>
            <w:r w:rsidR="00F77ECD"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</w:t>
            </w:r>
            <w:r w:rsidR="007F02C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p</w:t>
            </w:r>
            <w:r w:rsidR="00F77ECD"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ë</w:t>
            </w:r>
            <w:r w:rsidR="007F02C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r</w:t>
            </w:r>
            <w:r w:rsidR="00F77ECD"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hetime</w:t>
            </w:r>
            <w:r w:rsidR="007F02C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t</w:t>
            </w:r>
            <w:r w:rsidR="00F77ECD"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, </w:t>
            </w:r>
            <w:r w:rsidR="009D5D79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d</w:t>
            </w:r>
            <w:r w:rsidR="006B214F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ë</w:t>
            </w:r>
            <w:r w:rsidR="009D5D79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nimeve</w:t>
            </w:r>
            <w:r w:rsidR="00F77ECD"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, sekuestrimeve, ngrirjes dhe konfiskim</w:t>
            </w:r>
            <w:r w:rsidR="009D5D79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in e pasurive</w:t>
            </w:r>
            <w:r w:rsidR="00F77ECD"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për veprat penale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lidhur me korrupsionin</w:t>
            </w:r>
            <w:r w:rsidR="00F77ECD"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, në përputhje të plotë me të drejtat e procesit të rregullt ligjor</w:t>
            </w:r>
            <w:r w:rsidR="007F02C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.</w:t>
            </w:r>
            <w:r w:rsidR="00F77ECD"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</w:t>
            </w:r>
            <w:r w:rsidRPr="00A862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sq-AL"/>
              </w:rPr>
              <w:t>(</w:t>
            </w:r>
            <w:r w:rsidR="003F3B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sq-AL"/>
              </w:rPr>
              <w:t>Qershor</w:t>
            </w:r>
            <w:r w:rsidRPr="00A862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sq-AL"/>
              </w:rPr>
              <w:t xml:space="preserve"> 2027)</w:t>
            </w:r>
          </w:p>
          <w:p w14:paraId="151B8E36" w14:textId="77777777" w:rsidR="009D5D79" w:rsidRDefault="009D5D79" w:rsidP="002452A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sq-AL"/>
              </w:rPr>
            </w:pPr>
          </w:p>
          <w:p w14:paraId="69D78081" w14:textId="673608D5" w:rsidR="007D57C1" w:rsidRDefault="00BD4B23" w:rsidP="002452A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Progres i vazhdueshëm me rezultate</w:t>
            </w:r>
            <w:r w:rsidR="009D5D79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t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në fushën e hetimeve, ndjekjeve penale, dënimeve, sekuestrimeve dhe konfiskimeve të pasurive në rastet e lidhura me krimin e organizuar</w:t>
            </w:r>
            <w:r w:rsidR="007F02C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.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</w:t>
            </w:r>
            <w:r w:rsidRPr="00A862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sq-AL"/>
              </w:rPr>
              <w:t>(</w:t>
            </w:r>
            <w:r w:rsidR="003F3B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sq-AL"/>
              </w:rPr>
              <w:t>Qershor</w:t>
            </w:r>
            <w:r w:rsidRPr="00A862F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sq-AL"/>
              </w:rPr>
              <w:t xml:space="preserve"> 2027)</w:t>
            </w:r>
          </w:p>
          <w:p w14:paraId="52BB168D" w14:textId="3C55EAD1" w:rsidR="00F77ECD" w:rsidRPr="00A862F7" w:rsidRDefault="00F77ECD" w:rsidP="002452A8">
            <w:pPr>
              <w:spacing w:after="0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2A5F18" w:rsidRPr="00A862F7" w14:paraId="52BB169A" w14:textId="77777777" w:rsidTr="002452A8">
        <w:trPr>
          <w:trHeight w:val="232"/>
        </w:trPr>
        <w:tc>
          <w:tcPr>
            <w:tcW w:w="1418" w:type="dxa"/>
            <w:vMerge/>
            <w:vAlign w:val="center"/>
          </w:tcPr>
          <w:p w14:paraId="52BB1690" w14:textId="77777777" w:rsidR="002A5F18" w:rsidRPr="00A862F7" w:rsidRDefault="002A5F18" w:rsidP="002452A8">
            <w:pPr>
              <w:spacing w:after="6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2BB1691" w14:textId="77777777" w:rsidR="002A5F18" w:rsidRPr="00A862F7" w:rsidRDefault="002A5F18" w:rsidP="002452A8">
            <w:pPr>
              <w:pStyle w:val="ListParagraph"/>
              <w:numPr>
                <w:ilvl w:val="1"/>
                <w:numId w:val="9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Bashkëpunimi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në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fushën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e drogës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BB1692" w14:textId="0F9AEF5C" w:rsidR="002A5F18" w:rsidRPr="00A862F7" w:rsidRDefault="00E25862" w:rsidP="002452A8">
            <w:pPr>
              <w:pStyle w:val="ListParagraph"/>
              <w:numPr>
                <w:ilvl w:val="2"/>
                <w:numId w:val="9"/>
              </w:numPr>
              <w:spacing w:after="60" w:line="240" w:lineRule="auto"/>
              <w:ind w:left="561" w:hanging="561"/>
              <w:contextualSpacing w:val="0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Forcimi i</w:t>
            </w:r>
            <w:r w:rsidR="002A5F18"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2A5F18" w:rsidRPr="00A862F7">
              <w:rPr>
                <w:rFonts w:ascii="Times New Roman" w:hAnsi="Times New Roman" w:cs="Times New Roman"/>
                <w:lang w:val="sq-AL"/>
              </w:rPr>
              <w:t>kapacitet</w:t>
            </w:r>
            <w:r>
              <w:rPr>
                <w:rFonts w:ascii="Times New Roman" w:hAnsi="Times New Roman" w:cs="Times New Roman"/>
                <w:lang w:val="sq-AL"/>
              </w:rPr>
              <w:t>eve</w:t>
            </w:r>
            <w:r w:rsidR="002A5F18" w:rsidRPr="00A862F7">
              <w:rPr>
                <w:rFonts w:ascii="Times New Roman" w:hAnsi="Times New Roman" w:cs="Times New Roman"/>
                <w:lang w:val="sq-AL"/>
              </w:rPr>
              <w:t xml:space="preserve"> institucional</w:t>
            </w:r>
            <w:r>
              <w:rPr>
                <w:rFonts w:ascii="Times New Roman" w:hAnsi="Times New Roman" w:cs="Times New Roman"/>
                <w:lang w:val="sq-AL"/>
              </w:rPr>
              <w:t>e</w:t>
            </w:r>
            <w:r w:rsidR="002A5F18" w:rsidRPr="00A862F7">
              <w:rPr>
                <w:rFonts w:ascii="Times New Roman" w:hAnsi="Times New Roman" w:cs="Times New Roman"/>
                <w:lang w:val="sq-AL"/>
              </w:rPr>
              <w:t xml:space="preserve"> dhe kuadri</w:t>
            </w:r>
            <w:r>
              <w:rPr>
                <w:rFonts w:ascii="Times New Roman" w:hAnsi="Times New Roman" w:cs="Times New Roman"/>
                <w:lang w:val="sq-AL"/>
              </w:rPr>
              <w:t>t</w:t>
            </w:r>
            <w:r w:rsidR="002A5F18" w:rsidRPr="00A862F7">
              <w:rPr>
                <w:rFonts w:ascii="Times New Roman" w:hAnsi="Times New Roman" w:cs="Times New Roman"/>
                <w:lang w:val="sq-AL"/>
              </w:rPr>
              <w:t xml:space="preserve"> strategjik me synimin për reduktimin e ofertës dhe kërkesës për droga </w:t>
            </w:r>
            <w:r w:rsidR="002A5F18" w:rsidRPr="00A862F7">
              <w:rPr>
                <w:rFonts w:ascii="Times New Roman" w:eastAsia="Calibri" w:hAnsi="Times New Roman" w:cs="Times New Roman"/>
                <w:lang w:val="sq-AL"/>
              </w:rPr>
              <w:t>të paligjshme</w:t>
            </w:r>
          </w:p>
        </w:tc>
        <w:tc>
          <w:tcPr>
            <w:tcW w:w="8647" w:type="dxa"/>
            <w:shd w:val="clear" w:color="auto" w:fill="auto"/>
          </w:tcPr>
          <w:p w14:paraId="52BB1693" w14:textId="06411FA1" w:rsidR="002A5F18" w:rsidRPr="00A862F7" w:rsidRDefault="002A5F18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Vlerës</w:t>
            </w:r>
            <w:r w:rsidR="00590FAC" w:rsidRPr="00A862F7">
              <w:rPr>
                <w:rFonts w:ascii="Times New Roman" w:hAnsi="Times New Roman" w:cs="Times New Roman"/>
                <w:lang w:val="sq-AL"/>
              </w:rPr>
              <w:t>imi i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zbatimi</w:t>
            </w:r>
            <w:r w:rsidR="00590FAC" w:rsidRPr="00A862F7">
              <w:rPr>
                <w:rFonts w:ascii="Times New Roman" w:hAnsi="Times New Roman" w:cs="Times New Roman"/>
                <w:lang w:val="sq-AL"/>
              </w:rPr>
              <w:t>t t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Planit </w:t>
            </w:r>
            <w:r w:rsidR="00F5097F" w:rsidRPr="00A862F7">
              <w:rPr>
                <w:rFonts w:ascii="Times New Roman" w:hAnsi="Times New Roman" w:cs="Times New Roman"/>
                <w:lang w:val="sq-AL"/>
              </w:rPr>
              <w:t xml:space="preserve"> të rishikuar </w:t>
            </w:r>
            <w:r w:rsidRPr="00A862F7">
              <w:rPr>
                <w:rFonts w:ascii="Times New Roman" w:hAnsi="Times New Roman" w:cs="Times New Roman"/>
                <w:lang w:val="sq-AL"/>
              </w:rPr>
              <w:t>të Veprimit për parandalimin, trajtimin dhe reduktimin e dëm</w:t>
            </w:r>
            <w:r w:rsidR="00F5097F">
              <w:rPr>
                <w:rFonts w:ascii="Times New Roman" w:hAnsi="Times New Roman" w:cs="Times New Roman"/>
                <w:lang w:val="sq-AL"/>
              </w:rPr>
              <w:t>tim</w:t>
            </w:r>
            <w:r w:rsidRPr="00A862F7">
              <w:rPr>
                <w:rFonts w:ascii="Times New Roman" w:hAnsi="Times New Roman" w:cs="Times New Roman"/>
                <w:lang w:val="sq-AL"/>
              </w:rPr>
              <w:t>eve të lidhura me drogën 2023-2026.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2027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52BB1694" w14:textId="77777777" w:rsidR="002A5F18" w:rsidRPr="00A862F7" w:rsidRDefault="002A5F18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</w:p>
          <w:p w14:paraId="52BB1695" w14:textId="6F3F41EE" w:rsidR="002A5F18" w:rsidRPr="00A862F7" w:rsidRDefault="002A5F18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Sistem</w:t>
            </w:r>
            <w:r w:rsidR="00590FAC" w:rsidRPr="00A862F7">
              <w:rPr>
                <w:rFonts w:ascii="Times New Roman" w:hAnsi="Times New Roman" w:cs="Times New Roman"/>
                <w:lang w:val="sq-AL"/>
              </w:rPr>
              <w:t>i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Kombëtar i Paralajmërimit të </w:t>
            </w:r>
            <w:r w:rsidR="00F5097F">
              <w:rPr>
                <w:rFonts w:ascii="Times New Roman" w:hAnsi="Times New Roman" w:cs="Times New Roman"/>
                <w:lang w:val="sq-AL"/>
              </w:rPr>
              <w:t>H</w:t>
            </w:r>
            <w:r w:rsidRPr="00A862F7">
              <w:rPr>
                <w:rFonts w:ascii="Times New Roman" w:hAnsi="Times New Roman" w:cs="Times New Roman"/>
                <w:lang w:val="sq-AL"/>
              </w:rPr>
              <w:t>ershëm funksional.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52BB1696" w14:textId="77777777" w:rsidR="002A5F18" w:rsidRPr="00A862F7" w:rsidRDefault="002A5F18" w:rsidP="002452A8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</w:p>
          <w:p w14:paraId="52BB1698" w14:textId="3C391EA7" w:rsidR="00B46754" w:rsidRPr="00F5097F" w:rsidRDefault="002A5F18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Observator</w:t>
            </w:r>
            <w:r w:rsidR="00590FAC" w:rsidRPr="00A862F7">
              <w:rPr>
                <w:rFonts w:ascii="Times New Roman" w:hAnsi="Times New Roman" w:cs="Times New Roman"/>
                <w:lang w:val="sq-AL"/>
              </w:rPr>
              <w:t>i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Kombëtar i Drogës funksional.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2026)</w:t>
            </w:r>
          </w:p>
        </w:tc>
      </w:tr>
      <w:tr w:rsidR="002A5F18" w:rsidRPr="00A862F7" w14:paraId="52BB16A6" w14:textId="77777777" w:rsidTr="002452A8">
        <w:trPr>
          <w:trHeight w:val="232"/>
        </w:trPr>
        <w:tc>
          <w:tcPr>
            <w:tcW w:w="1418" w:type="dxa"/>
            <w:vMerge/>
            <w:vAlign w:val="center"/>
          </w:tcPr>
          <w:p w14:paraId="52BB169B" w14:textId="77777777" w:rsidR="002A5F18" w:rsidRPr="00A862F7" w:rsidRDefault="002A5F18" w:rsidP="002452A8">
            <w:pPr>
              <w:spacing w:after="6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2BB169C" w14:textId="7B726AA7" w:rsidR="002A5F18" w:rsidRPr="00A862F7" w:rsidRDefault="002A5F18" w:rsidP="002452A8">
            <w:pPr>
              <w:pStyle w:val="ListParagraph"/>
              <w:numPr>
                <w:ilvl w:val="1"/>
                <w:numId w:val="9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Pastrim</w:t>
            </w:r>
            <w:r w:rsidR="00590FAC" w:rsidRPr="00A862F7">
              <w:rPr>
                <w:rFonts w:ascii="Times New Roman" w:eastAsia="Times New Roman" w:hAnsi="Times New Roman" w:cs="Times New Roman"/>
                <w:lang w:val="sq-AL"/>
              </w:rPr>
              <w:t>i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para</w:t>
            </w:r>
            <w:r w:rsidR="00590FAC" w:rsidRPr="00A862F7">
              <w:rPr>
                <w:rFonts w:ascii="Times New Roman" w:eastAsia="Calibri" w:hAnsi="Times New Roman" w:cs="Times New Roman"/>
                <w:lang w:val="sq-AL"/>
              </w:rPr>
              <w:t>ve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BB169D" w14:textId="17E1923A" w:rsidR="002A5F18" w:rsidRPr="00A862F7" w:rsidRDefault="002A5F18" w:rsidP="002452A8">
            <w:pPr>
              <w:pStyle w:val="ListParagraph"/>
              <w:numPr>
                <w:ilvl w:val="2"/>
                <w:numId w:val="9"/>
              </w:numPr>
              <w:spacing w:after="60" w:line="240" w:lineRule="auto"/>
              <w:ind w:left="561" w:hanging="561"/>
              <w:contextualSpacing w:val="0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>Sigu</w:t>
            </w:r>
            <w:r w:rsidR="00590FAC" w:rsidRPr="00A862F7">
              <w:rPr>
                <w:rFonts w:ascii="Times New Roman" w:eastAsia="Calibri" w:hAnsi="Times New Roman" w:cs="Times New Roman"/>
                <w:lang w:val="sq-AL"/>
              </w:rPr>
              <w:t>rimi i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lang w:val="sq-AL"/>
              </w:rPr>
              <w:t>një korniz</w:t>
            </w:r>
            <w:r w:rsidR="00590FAC" w:rsidRPr="00A862F7">
              <w:rPr>
                <w:rFonts w:ascii="Times New Roman" w:hAnsi="Times New Roman" w:cs="Times New Roman"/>
                <w:lang w:val="sq-AL"/>
              </w:rPr>
              <w:t>e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të besueshme dhe të qëndrueshme për të parandaluar dhe luftuar pastrimin e parave</w:t>
            </w:r>
          </w:p>
        </w:tc>
        <w:tc>
          <w:tcPr>
            <w:tcW w:w="8647" w:type="dxa"/>
            <w:shd w:val="clear" w:color="auto" w:fill="auto"/>
          </w:tcPr>
          <w:p w14:paraId="6D04CA15" w14:textId="0E16A5D4" w:rsidR="002A5F18" w:rsidRDefault="00D0301E" w:rsidP="002452A8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 xml:space="preserve">Zbatimi efektiv dhe në kohë i Planit të Veprimit të Vlerësimit Kombëtar të Riskut (NRA) Kundër Pastrimit të Parave 2024-2027. </w:t>
            </w:r>
            <w:r w:rsidR="002A5F18" w:rsidRPr="00A862F7">
              <w:rPr>
                <w:rFonts w:ascii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="002A5F18"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2027)</w:t>
            </w:r>
          </w:p>
          <w:p w14:paraId="5A9BD83A" w14:textId="77777777" w:rsidR="00F5097F" w:rsidRPr="00F5097F" w:rsidRDefault="00F5097F" w:rsidP="002452A8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52BB16A4" w14:textId="69A902DC" w:rsidR="00A531CD" w:rsidRPr="00FC6CB6" w:rsidRDefault="002A5F18" w:rsidP="002452A8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lang w:val="sq-AL"/>
              </w:rPr>
            </w:pPr>
            <w:bookmarkStart w:id="18" w:name="_Hlk166076964"/>
            <w:r w:rsidRPr="00A862F7">
              <w:rPr>
                <w:rFonts w:ascii="Times New Roman" w:hAnsi="Times New Roman" w:cs="Times New Roman"/>
                <w:lang w:val="sq-AL"/>
              </w:rPr>
              <w:t>Miratimi i një Strategjie të re Kombëtare për Parandalimin e Pastrimit të Parave dhe Kundër Financimit të Terrorizmit dhe Plani</w:t>
            </w:r>
            <w:r w:rsidR="00F5097F">
              <w:rPr>
                <w:rFonts w:ascii="Times New Roman" w:hAnsi="Times New Roman" w:cs="Times New Roman"/>
                <w:lang w:val="sq-AL"/>
              </w:rPr>
              <w:t>t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F5097F">
              <w:rPr>
                <w:rFonts w:ascii="Times New Roman" w:hAnsi="Times New Roman" w:cs="Times New Roman"/>
                <w:lang w:val="sq-AL"/>
              </w:rPr>
              <w:t>t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 w:rsidR="00F5097F">
              <w:rPr>
                <w:rFonts w:ascii="Times New Roman" w:hAnsi="Times New Roman" w:cs="Times New Roman"/>
                <w:lang w:val="sq-AL"/>
              </w:rPr>
              <w:t xml:space="preserve"> saj t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Veprimit 2024-2030. </w:t>
            </w:r>
            <w:r w:rsidRPr="00F5097F">
              <w:rPr>
                <w:rFonts w:ascii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2024</w:t>
            </w:r>
            <w:r w:rsidR="00F5097F">
              <w:rPr>
                <w:rFonts w:ascii="Times New Roman" w:hAnsi="Times New Roman" w:cs="Times New Roman"/>
                <w:b/>
                <w:bCs/>
                <w:lang w:val="sq-AL"/>
              </w:rPr>
              <w:t>)</w:t>
            </w:r>
            <w:bookmarkEnd w:id="18"/>
          </w:p>
        </w:tc>
      </w:tr>
      <w:tr w:rsidR="00F5097F" w:rsidRPr="00A862F7" w14:paraId="52BB16AE" w14:textId="77777777" w:rsidTr="002452A8">
        <w:trPr>
          <w:trHeight w:val="3624"/>
        </w:trPr>
        <w:tc>
          <w:tcPr>
            <w:tcW w:w="1418" w:type="dxa"/>
            <w:vMerge/>
            <w:vAlign w:val="center"/>
          </w:tcPr>
          <w:p w14:paraId="52BB16A7" w14:textId="77777777" w:rsidR="00F5097F" w:rsidRPr="00A862F7" w:rsidRDefault="00F5097F" w:rsidP="002452A8">
            <w:pPr>
              <w:spacing w:after="6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2BB16A8" w14:textId="77777777" w:rsidR="00F5097F" w:rsidRPr="00A862F7" w:rsidRDefault="00F5097F" w:rsidP="002452A8">
            <w:pPr>
              <w:pStyle w:val="ListParagraph"/>
              <w:numPr>
                <w:ilvl w:val="1"/>
                <w:numId w:val="9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Calibri" w:hAnsi="Times New Roman" w:cs="Times New Roman"/>
                <w:lang w:val="sq-AL"/>
              </w:rPr>
            </w:pPr>
            <w:r w:rsidRPr="00A862F7">
              <w:rPr>
                <w:rFonts w:ascii="Times New Roman" w:eastAsia="Times New Roman" w:hAnsi="Times New Roman" w:cs="Times New Roman"/>
                <w:lang w:val="sq-AL"/>
              </w:rPr>
              <w:t>Gjyqësori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BB16A9" w14:textId="3D8BF0C8" w:rsidR="00F5097F" w:rsidRPr="00A862F7" w:rsidRDefault="00F5097F" w:rsidP="002452A8">
            <w:pPr>
              <w:pStyle w:val="ListParagraph"/>
              <w:numPr>
                <w:ilvl w:val="2"/>
                <w:numId w:val="9"/>
              </w:numPr>
              <w:spacing w:after="60" w:line="240" w:lineRule="auto"/>
              <w:ind w:left="561" w:hanging="561"/>
              <w:contextualSpacing w:val="0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 xml:space="preserve">Konsolidimi i pavarësisë dhe llogaridhënies </w:t>
            </w:r>
            <w:r w:rsidR="00E80B5D">
              <w:rPr>
                <w:rFonts w:ascii="Times New Roman" w:hAnsi="Times New Roman" w:cs="Times New Roman"/>
                <w:lang w:val="sq-AL"/>
              </w:rPr>
              <w:t>s</w:t>
            </w:r>
            <w:r w:rsidR="00340F94">
              <w:rPr>
                <w:rFonts w:ascii="Times New Roman" w:hAnsi="Times New Roman" w:cs="Times New Roman"/>
                <w:lang w:val="sq-AL"/>
              </w:rPr>
              <w:t>ë</w:t>
            </w:r>
            <w:r w:rsidR="00E80B5D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lang w:val="sq-AL"/>
              </w:rPr>
              <w:t>gjyqësor</w:t>
            </w:r>
            <w:r w:rsidR="00E80B5D">
              <w:rPr>
                <w:rFonts w:ascii="Times New Roman" w:hAnsi="Times New Roman" w:cs="Times New Roman"/>
                <w:lang w:val="sq-AL"/>
              </w:rPr>
              <w:t>it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nëpërmjet transparencës</w:t>
            </w:r>
          </w:p>
        </w:tc>
        <w:tc>
          <w:tcPr>
            <w:tcW w:w="8647" w:type="dxa"/>
            <w:shd w:val="clear" w:color="auto" w:fill="auto"/>
          </w:tcPr>
          <w:p w14:paraId="2151B1A6" w14:textId="044B0863" w:rsidR="00F5097F" w:rsidRDefault="00F5097F" w:rsidP="002452A8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Rastet e vettingut</w:t>
            </w:r>
            <w:r w:rsidR="005A7C46"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5A4608">
              <w:rPr>
                <w:rFonts w:ascii="Times New Roman" w:hAnsi="Times New Roman" w:cs="Times New Roman"/>
                <w:lang w:val="sq-AL"/>
              </w:rPr>
              <w:t>ë</w:t>
            </w:r>
            <w:r w:rsidR="005A7C46">
              <w:rPr>
                <w:rFonts w:ascii="Times New Roman" w:hAnsi="Times New Roman" w:cs="Times New Roman"/>
                <w:lang w:val="sq-AL"/>
              </w:rPr>
              <w:t xml:space="preserve"> dyshuar p</w:t>
            </w:r>
            <w:r w:rsidR="005A4608">
              <w:rPr>
                <w:rFonts w:ascii="Times New Roman" w:hAnsi="Times New Roman" w:cs="Times New Roman"/>
                <w:lang w:val="sq-AL"/>
              </w:rPr>
              <w:t>ë</w:t>
            </w:r>
            <w:r w:rsidR="005A7C46">
              <w:rPr>
                <w:rFonts w:ascii="Times New Roman" w:hAnsi="Times New Roman" w:cs="Times New Roman"/>
                <w:lang w:val="sq-AL"/>
              </w:rPr>
              <w:t xml:space="preserve">r </w:t>
            </w:r>
            <w:r w:rsidRPr="00A862F7">
              <w:rPr>
                <w:rFonts w:ascii="Times New Roman" w:hAnsi="Times New Roman" w:cs="Times New Roman"/>
                <w:lang w:val="sq-AL"/>
              </w:rPr>
              <w:t>elementë kriminalë</w:t>
            </w:r>
            <w:r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5A4608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përfunduar në shkallë të parë (KPK) [me vendim pushimi] referuar prokurorisë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2024) </w:t>
            </w:r>
            <w:r w:rsidRPr="00A862F7">
              <w:rPr>
                <w:rFonts w:ascii="Times New Roman" w:hAnsi="Times New Roman" w:cs="Times New Roman"/>
                <w:bCs/>
                <w:lang w:val="sq-AL"/>
              </w:rPr>
              <w:t xml:space="preserve">dhe ndjekja efektive gjyqësore për </w:t>
            </w:r>
            <w:r w:rsidR="005A7C46">
              <w:rPr>
                <w:rFonts w:ascii="Times New Roman" w:hAnsi="Times New Roman" w:cs="Times New Roman"/>
                <w:bCs/>
                <w:lang w:val="sq-AL"/>
              </w:rPr>
              <w:t>rastet e vetingut</w:t>
            </w:r>
            <w:r w:rsidRPr="00A862F7">
              <w:rPr>
                <w:rFonts w:ascii="Times New Roman" w:hAnsi="Times New Roman" w:cs="Times New Roman"/>
                <w:bCs/>
                <w:lang w:val="sq-AL"/>
              </w:rPr>
              <w:t xml:space="preserve"> që rezultojnë me dyshime për elementë kriminalë vazhdojnë të referohen në prokurori.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2025)</w:t>
            </w:r>
          </w:p>
          <w:p w14:paraId="12DDA84A" w14:textId="77777777" w:rsidR="00F5097F" w:rsidRDefault="00F5097F" w:rsidP="002452A8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4961E3A6" w14:textId="4600D0D4" w:rsidR="00F5097F" w:rsidRDefault="00F5097F" w:rsidP="002452A8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Kuvendi siguron standarde të larta integriteti në emërimin e anëtarëve jo-magjistratë të Këshillit të Lartë Gjyqësor dhe</w:t>
            </w:r>
            <w:r w:rsidR="005A7C46"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5A4608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Prokurori</w:t>
            </w:r>
            <w:r w:rsidR="005A7C46">
              <w:rPr>
                <w:rFonts w:ascii="Times New Roman" w:hAnsi="Times New Roman" w:cs="Times New Roman"/>
                <w:lang w:val="sq-AL"/>
              </w:rPr>
              <w:t>s</w:t>
            </w:r>
            <w:r w:rsidR="005A4608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, </w:t>
            </w:r>
            <w:r w:rsidRPr="00A862F7">
              <w:rPr>
                <w:rFonts w:ascii="Times New Roman" w:hAnsi="Times New Roman" w:cs="Times New Roman"/>
                <w:bCs/>
                <w:lang w:val="sq-AL"/>
              </w:rPr>
              <w:t>sipas kuadrit ligjor në fuqi dhe duke siguruar në mënyrë specifike që të gjithë kandidatët</w:t>
            </w:r>
            <w:r w:rsidRPr="00A862F7" w:rsidDel="00101EE8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bCs/>
                <w:lang w:val="sq-AL"/>
              </w:rPr>
              <w:t>të cilët janë skualifikuar nga lista dhe ndryshimet në renditje</w:t>
            </w:r>
            <w:r w:rsidR="005A7C46">
              <w:rPr>
                <w:rFonts w:ascii="Times New Roman" w:hAnsi="Times New Roman" w:cs="Times New Roman"/>
                <w:bCs/>
                <w:lang w:val="sq-AL"/>
              </w:rPr>
              <w:t>,</w:t>
            </w:r>
            <w:r w:rsidRPr="00A862F7">
              <w:rPr>
                <w:rFonts w:ascii="Times New Roman" w:hAnsi="Times New Roman" w:cs="Times New Roman"/>
                <w:bCs/>
                <w:lang w:val="sq-AL"/>
              </w:rPr>
              <w:t xml:space="preserve"> nga ajo e paraqitur nga Komisioni Ad Hoc</w:t>
            </w:r>
            <w:r w:rsidR="005A7C46">
              <w:rPr>
                <w:rFonts w:ascii="Times New Roman" w:hAnsi="Times New Roman" w:cs="Times New Roman"/>
                <w:bCs/>
                <w:lang w:val="sq-AL"/>
              </w:rPr>
              <w:t>,</w:t>
            </w:r>
            <w:r w:rsidRPr="00A862F7">
              <w:rPr>
                <w:rFonts w:ascii="Times New Roman" w:hAnsi="Times New Roman" w:cs="Times New Roman"/>
                <w:bCs/>
                <w:lang w:val="sq-AL"/>
              </w:rPr>
              <w:t xml:space="preserve"> arsyetohen dhe komunikohen në mënyrë transparente</w:t>
            </w:r>
            <w:r w:rsidRPr="00A862F7">
              <w:rPr>
                <w:rFonts w:ascii="Times New Roman" w:hAnsi="Times New Roman" w:cs="Times New Roman"/>
                <w:lang w:val="sq-AL"/>
              </w:rPr>
              <w:t>.</w:t>
            </w:r>
            <w:r w:rsidRPr="00A862F7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2024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46E5EF71" w14:textId="77777777" w:rsidR="00F5097F" w:rsidRPr="00A862F7" w:rsidRDefault="00F5097F" w:rsidP="002452A8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</w:p>
          <w:p w14:paraId="52BB16AC" w14:textId="257D0CDA" w:rsidR="00F5097F" w:rsidRPr="00A862F7" w:rsidRDefault="00F5097F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 xml:space="preserve">Këshillat e Lartë Gjyqësor dhe </w:t>
            </w:r>
            <w:r w:rsidR="005A7C46">
              <w:rPr>
                <w:rFonts w:ascii="Times New Roman" w:hAnsi="Times New Roman" w:cs="Times New Roman"/>
                <w:lang w:val="sq-AL"/>
              </w:rPr>
              <w:t>t</w:t>
            </w:r>
            <w:r w:rsidR="005A4608">
              <w:rPr>
                <w:rFonts w:ascii="Times New Roman" w:hAnsi="Times New Roman" w:cs="Times New Roman"/>
                <w:lang w:val="sq-AL"/>
              </w:rPr>
              <w:t>ë</w:t>
            </w:r>
            <w:r w:rsidR="005A7C46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lang w:val="sq-AL"/>
              </w:rPr>
              <w:t>Prokurori</w:t>
            </w:r>
            <w:r w:rsidR="005A7C46">
              <w:rPr>
                <w:rFonts w:ascii="Times New Roman" w:hAnsi="Times New Roman" w:cs="Times New Roman"/>
                <w:lang w:val="sq-AL"/>
              </w:rPr>
              <w:t>s</w:t>
            </w:r>
            <w:r w:rsidR="005A4608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sigurojnë transparencë të lartë, ndajnë publikisht të gjithë informacionin në lidhje me emërimet [vler</w:t>
            </w:r>
            <w:r w:rsidR="005A4608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>simet periodike t</w:t>
            </w:r>
            <w:r w:rsidR="005A4608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karrier</w:t>
            </w:r>
            <w:r w:rsidR="005A4608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>s], gradimet dhe transferimet, si dhe nivelin e zbatimit të rekomandimeve të inspektimeve tematike nga I</w:t>
            </w:r>
            <w:r w:rsidR="005A7C46">
              <w:rPr>
                <w:rFonts w:ascii="Times New Roman" w:hAnsi="Times New Roman" w:cs="Times New Roman"/>
                <w:lang w:val="sq-AL"/>
              </w:rPr>
              <w:t>LD</w:t>
            </w:r>
            <w:r w:rsidRPr="00A862F7">
              <w:rPr>
                <w:rFonts w:ascii="Times New Roman" w:hAnsi="Times New Roman" w:cs="Times New Roman"/>
                <w:lang w:val="sq-AL"/>
              </w:rPr>
              <w:t>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2025)</w:t>
            </w:r>
          </w:p>
        </w:tc>
      </w:tr>
      <w:tr w:rsidR="00711B96" w:rsidRPr="00A862F7" w14:paraId="52BB16D4" w14:textId="77777777" w:rsidTr="002452A8">
        <w:trPr>
          <w:trHeight w:val="4392"/>
        </w:trPr>
        <w:tc>
          <w:tcPr>
            <w:tcW w:w="1418" w:type="dxa"/>
            <w:vMerge/>
            <w:vAlign w:val="center"/>
          </w:tcPr>
          <w:p w14:paraId="52BB16C9" w14:textId="77777777" w:rsidR="00711B96" w:rsidRPr="00A862F7" w:rsidRDefault="00711B96" w:rsidP="002452A8">
            <w:pPr>
              <w:spacing w:after="6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3" w:type="dxa"/>
            <w:vMerge/>
            <w:vAlign w:val="center"/>
          </w:tcPr>
          <w:p w14:paraId="52BB16CA" w14:textId="77777777" w:rsidR="00711B96" w:rsidRPr="00A862F7" w:rsidRDefault="00711B96" w:rsidP="002452A8">
            <w:pPr>
              <w:pStyle w:val="ListParagraph"/>
              <w:numPr>
                <w:ilvl w:val="1"/>
                <w:numId w:val="9"/>
              </w:numPr>
              <w:spacing w:after="60" w:line="240" w:lineRule="auto"/>
              <w:ind w:left="454" w:hanging="425"/>
              <w:contextualSpacing w:val="0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2BB16CB" w14:textId="065A05CA" w:rsidR="00711B96" w:rsidRPr="00A862F7" w:rsidRDefault="00711B96" w:rsidP="002452A8">
            <w:pPr>
              <w:pStyle w:val="ListParagraph"/>
              <w:numPr>
                <w:ilvl w:val="2"/>
                <w:numId w:val="9"/>
              </w:numPr>
              <w:spacing w:after="60" w:line="240" w:lineRule="auto"/>
              <w:ind w:left="561" w:hanging="561"/>
              <w:contextualSpacing w:val="0"/>
              <w:rPr>
                <w:rFonts w:ascii="Times New Roman" w:hAnsi="Times New Roman" w:cs="Times New Roman"/>
                <w:lang w:val="sq-AL"/>
              </w:rPr>
            </w:pPr>
            <w:bookmarkStart w:id="19" w:name="_Hlk166087815"/>
            <w:r w:rsidRPr="00A862F7">
              <w:rPr>
                <w:rFonts w:ascii="Times New Roman" w:hAnsi="Times New Roman" w:cs="Times New Roman"/>
                <w:lang w:val="sq-AL"/>
              </w:rPr>
              <w:t xml:space="preserve">Rritja e efikasitetit </w:t>
            </w:r>
            <w:r w:rsidR="00E80B5D">
              <w:rPr>
                <w:rFonts w:ascii="Times New Roman" w:hAnsi="Times New Roman" w:cs="Times New Roman"/>
                <w:lang w:val="sq-AL"/>
              </w:rPr>
              <w:t>t</w:t>
            </w:r>
            <w:r w:rsidR="00340F94">
              <w:rPr>
                <w:rFonts w:ascii="Times New Roman" w:hAnsi="Times New Roman" w:cs="Times New Roman"/>
                <w:lang w:val="sq-AL"/>
              </w:rPr>
              <w:t>ë</w:t>
            </w:r>
            <w:r w:rsidR="00E80B5D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lang w:val="sq-AL"/>
              </w:rPr>
              <w:t>gjyqësor</w:t>
            </w:r>
            <w:r w:rsidR="00E80B5D">
              <w:rPr>
                <w:rFonts w:ascii="Times New Roman" w:hAnsi="Times New Roman" w:cs="Times New Roman"/>
                <w:lang w:val="sq-AL"/>
              </w:rPr>
              <w:t>it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në të gjitha nivelet</w:t>
            </w:r>
            <w:bookmarkEnd w:id="19"/>
          </w:p>
        </w:tc>
        <w:tc>
          <w:tcPr>
            <w:tcW w:w="8647" w:type="dxa"/>
            <w:shd w:val="clear" w:color="auto" w:fill="auto"/>
          </w:tcPr>
          <w:p w14:paraId="52BB16CC" w14:textId="23BCE2D8" w:rsidR="00711B96" w:rsidRDefault="00711B96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 xml:space="preserve">KLGJ miraton dhe zbaton në mënyrë efektive një udhërrëfyes gjithëpërfshirës për të rritur efikasitetin dhe për të reduktuar sasinë e </w:t>
            </w:r>
            <w:r w:rsidR="00FC6CB6">
              <w:rPr>
                <w:rFonts w:ascii="Times New Roman" w:hAnsi="Times New Roman" w:cs="Times New Roman"/>
                <w:lang w:val="sq-AL"/>
              </w:rPr>
              <w:t>rasteve t</w:t>
            </w:r>
            <w:r w:rsidR="003F3BA3">
              <w:rPr>
                <w:rFonts w:ascii="Times New Roman" w:hAnsi="Times New Roman" w:cs="Times New Roman"/>
                <w:lang w:val="sq-AL"/>
              </w:rPr>
              <w:t>ë</w:t>
            </w:r>
            <w:r w:rsidR="00FC6CB6">
              <w:rPr>
                <w:rFonts w:ascii="Times New Roman" w:hAnsi="Times New Roman" w:cs="Times New Roman"/>
                <w:lang w:val="sq-AL"/>
              </w:rPr>
              <w:t xml:space="preserve"> pashqyrtuara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bazuar në metodologjinë më të fundit </w:t>
            </w:r>
            <w:r w:rsidR="00FC6CB6">
              <w:rPr>
                <w:rFonts w:ascii="Times New Roman" w:hAnsi="Times New Roman" w:cs="Times New Roman"/>
                <w:lang w:val="sq-AL"/>
              </w:rPr>
              <w:t>sic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miratuar n</w:t>
            </w:r>
            <w:r w:rsidR="00FC6CB6">
              <w:rPr>
                <w:rFonts w:ascii="Times New Roman" w:hAnsi="Times New Roman" w:cs="Times New Roman"/>
                <w:lang w:val="sq-AL"/>
              </w:rPr>
              <w:t xml:space="preserve">ga instrumenti i </w:t>
            </w:r>
            <w:r w:rsidRPr="00A862F7">
              <w:rPr>
                <w:rFonts w:ascii="Times New Roman" w:hAnsi="Times New Roman" w:cs="Times New Roman"/>
                <w:lang w:val="sq-AL"/>
              </w:rPr>
              <w:t>CEPEJ</w:t>
            </w:r>
            <w:r w:rsidR="00CC028E">
              <w:rPr>
                <w:rStyle w:val="FootnoteReference"/>
                <w:rFonts w:ascii="Times New Roman" w:hAnsi="Times New Roman" w:cs="Times New Roman"/>
                <w:lang w:val="sq-AL"/>
              </w:rPr>
              <w:footnoteReference w:id="24"/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p</w:t>
            </w:r>
            <w:r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r </w:t>
            </w:r>
            <w:r w:rsidR="00FC6CB6">
              <w:rPr>
                <w:rFonts w:ascii="Times New Roman" w:hAnsi="Times New Roman" w:cs="Times New Roman"/>
                <w:lang w:val="sq-AL"/>
              </w:rPr>
              <w:t>reduktimin e rasteve t</w:t>
            </w:r>
            <w:r w:rsidR="003F3BA3">
              <w:rPr>
                <w:rFonts w:ascii="Times New Roman" w:hAnsi="Times New Roman" w:cs="Times New Roman"/>
                <w:lang w:val="sq-AL"/>
              </w:rPr>
              <w:t>ë</w:t>
            </w:r>
            <w:r w:rsidR="00FC6CB6">
              <w:rPr>
                <w:rFonts w:ascii="Times New Roman" w:hAnsi="Times New Roman" w:cs="Times New Roman"/>
                <w:lang w:val="sq-AL"/>
              </w:rPr>
              <w:t xml:space="preserve"> pashqyrtuara, 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me </w:t>
            </w:r>
            <w:r w:rsidR="00FC6CB6">
              <w:rPr>
                <w:rFonts w:ascii="Times New Roman" w:hAnsi="Times New Roman" w:cs="Times New Roman"/>
                <w:lang w:val="sq-AL"/>
              </w:rPr>
              <w:t>synime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të matshëm, </w:t>
            </w:r>
            <w:r w:rsidRPr="00A862F7">
              <w:rPr>
                <w:rStyle w:val="normaltextrun"/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t xml:space="preserve">statistika </w:t>
            </w:r>
            <w:r w:rsidRPr="00A862F7">
              <w:rPr>
                <w:rFonts w:ascii="Times New Roman" w:hAnsi="Times New Roman" w:cs="Times New Roman"/>
                <w:lang w:val="sq-AL"/>
              </w:rPr>
              <w:t>dhe një strukturë të fuqishme monitorimi.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1F95F2FB" w14:textId="77777777" w:rsidR="00711B96" w:rsidRPr="00A862F7" w:rsidRDefault="00711B96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</w:p>
          <w:p w14:paraId="18061322" w14:textId="609ABC13" w:rsidR="00711B96" w:rsidRDefault="00711B96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 xml:space="preserve">Reduktimi i përgjithshëm </w:t>
            </w:r>
            <w:r w:rsidR="00FC6CB6">
              <w:rPr>
                <w:rFonts w:ascii="Times New Roman" w:hAnsi="Times New Roman" w:cs="Times New Roman"/>
                <w:lang w:val="sq-AL"/>
              </w:rPr>
              <w:t>i c</w:t>
            </w:r>
            <w:r w:rsidR="003F3BA3">
              <w:rPr>
                <w:rFonts w:ascii="Times New Roman" w:hAnsi="Times New Roman" w:cs="Times New Roman"/>
                <w:lang w:val="sq-AL"/>
              </w:rPr>
              <w:t>ë</w:t>
            </w:r>
            <w:r w:rsidR="00FC6CB6">
              <w:rPr>
                <w:rFonts w:ascii="Times New Roman" w:hAnsi="Times New Roman" w:cs="Times New Roman"/>
                <w:lang w:val="sq-AL"/>
              </w:rPr>
              <w:t xml:space="preserve">shtjeve </w:t>
            </w:r>
            <w:r w:rsidRPr="00A862F7">
              <w:rPr>
                <w:rFonts w:ascii="Times New Roman" w:hAnsi="Times New Roman" w:cs="Times New Roman"/>
                <w:lang w:val="sq-AL"/>
              </w:rPr>
              <w:t>të pa</w:t>
            </w:r>
            <w:r w:rsidR="00FC6CB6">
              <w:rPr>
                <w:rFonts w:ascii="Times New Roman" w:hAnsi="Times New Roman" w:cs="Times New Roman"/>
                <w:lang w:val="sq-AL"/>
              </w:rPr>
              <w:t>shqyrtuara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dhe koh</w:t>
            </w:r>
            <w:r w:rsidR="003F3BA3">
              <w:rPr>
                <w:rFonts w:ascii="Times New Roman" w:hAnsi="Times New Roman" w:cs="Times New Roman"/>
                <w:lang w:val="sq-AL"/>
              </w:rPr>
              <w:t>ë</w:t>
            </w:r>
            <w:r w:rsidR="00FC6CB6">
              <w:rPr>
                <w:rFonts w:ascii="Times New Roman" w:hAnsi="Times New Roman" w:cs="Times New Roman"/>
                <w:lang w:val="sq-AL"/>
              </w:rPr>
              <w:t>s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FC6CB6">
              <w:rPr>
                <w:rFonts w:ascii="Times New Roman" w:hAnsi="Times New Roman" w:cs="Times New Roman"/>
                <w:lang w:val="sq-AL"/>
              </w:rPr>
              <w:t>s</w:t>
            </w:r>
            <w:r w:rsidR="003F3BA3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disponimit me të paktën 30% në çështjet civile dhe tregtare nga Gjykata e Shkallës së Parë të Juridiksionit të Përgjithshëm Tiranë, me të paktën 25% nga Gjykata e Apelit dhe me të paktën 35% nga Gjykata Administrative e Apelit.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2026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4724E2C8" w14:textId="77777777" w:rsidR="00711B96" w:rsidRPr="00A862F7" w:rsidRDefault="00711B96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</w:p>
          <w:p w14:paraId="3C18BB12" w14:textId="0AD4B0DE" w:rsidR="00711B96" w:rsidRDefault="00711B96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Sigurimi i nj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zgjidhje </w:t>
            </w:r>
            <w:r w:rsidRPr="00A862F7">
              <w:rPr>
                <w:rFonts w:ascii="Times New Roman" w:hAnsi="Times New Roman" w:cs="Times New Roman"/>
                <w:lang w:val="sq-AL"/>
              </w:rPr>
              <w:t>për a</w:t>
            </w:r>
            <w:r w:rsidR="00FC6CB6">
              <w:rPr>
                <w:rFonts w:ascii="Times New Roman" w:hAnsi="Times New Roman" w:cs="Times New Roman"/>
                <w:lang w:val="sq-AL"/>
              </w:rPr>
              <w:t>mbientet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e Gjykatës së Apelit sipas hartës gjyqësore 2022.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hAnsi="Times New Roman" w:cs="Times New Roman"/>
                <w:lang w:val="sq-AL"/>
              </w:rPr>
              <w:t>).</w:t>
            </w:r>
          </w:p>
          <w:p w14:paraId="31133E9E" w14:textId="77777777" w:rsidR="00711B96" w:rsidRPr="00A862F7" w:rsidRDefault="00711B96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</w:p>
          <w:p w14:paraId="1AAECF47" w14:textId="5F1B1133" w:rsidR="00FC6CB6" w:rsidRDefault="00711B96" w:rsidP="002452A8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Përmirësimi i statistikave </w:t>
            </w:r>
            <w:r w:rsidR="00FC6CB6" w:rsidRPr="00A862F7">
              <w:rPr>
                <w:rFonts w:ascii="Times New Roman" w:eastAsia="Calibri" w:hAnsi="Times New Roman" w:cs="Times New Roman"/>
                <w:lang w:val="sq-AL"/>
              </w:rPr>
              <w:t xml:space="preserve"> kombëtare </w:t>
            </w:r>
            <w:r w:rsidR="00FC6CB6">
              <w:rPr>
                <w:rFonts w:ascii="Times New Roman" w:eastAsia="Calibri" w:hAnsi="Times New Roman" w:cs="Times New Roman"/>
                <w:lang w:val="sq-AL"/>
              </w:rPr>
              <w:t>t</w:t>
            </w:r>
            <w:r w:rsidR="003F3BA3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="00FC6CB6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gjyqësor</w:t>
            </w:r>
            <w:r w:rsidR="00FC6CB6">
              <w:rPr>
                <w:rFonts w:ascii="Times New Roman" w:eastAsia="Calibri" w:hAnsi="Times New Roman" w:cs="Times New Roman"/>
                <w:lang w:val="sq-AL"/>
              </w:rPr>
              <w:t>it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duke miratuar dhe zbatuar një udhëzim të ri të Ministrit të Drejtësisë për statistikat kombëtare të drejtësisë, bazuar në metodologjinë e CEPEJ dhe në konsultim me institucionet </w:t>
            </w:r>
            <w:r w:rsidR="00FC6CB6" w:rsidRPr="00A862F7">
              <w:rPr>
                <w:rFonts w:ascii="Times New Roman" w:eastAsia="Calibri" w:hAnsi="Times New Roman" w:cs="Times New Roman"/>
                <w:lang w:val="sq-AL"/>
              </w:rPr>
              <w:t xml:space="preserve"> vetëqeverisëse </w:t>
            </w:r>
            <w:r w:rsidR="00FC6CB6">
              <w:rPr>
                <w:rFonts w:ascii="Times New Roman" w:eastAsia="Calibri" w:hAnsi="Times New Roman" w:cs="Times New Roman"/>
                <w:lang w:val="sq-AL"/>
              </w:rPr>
              <w:t>t</w:t>
            </w:r>
            <w:r w:rsidR="003F3BA3">
              <w:rPr>
                <w:rFonts w:ascii="Times New Roman" w:eastAsia="Calibri" w:hAnsi="Times New Roman" w:cs="Times New Roman"/>
                <w:lang w:val="sq-AL"/>
              </w:rPr>
              <w:t>ë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drejtësisë.</w:t>
            </w:r>
            <w:r w:rsidRPr="00A862F7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2025)</w:t>
            </w:r>
          </w:p>
          <w:p w14:paraId="0B3F6914" w14:textId="77777777" w:rsidR="00FC6CB6" w:rsidRPr="00A862F7" w:rsidRDefault="00FC6CB6" w:rsidP="002452A8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</w:p>
          <w:p w14:paraId="0A34D0DE" w14:textId="06120BF9" w:rsidR="00711B96" w:rsidRDefault="00711B96" w:rsidP="002452A8">
            <w:pPr>
              <w:spacing w:after="0" w:line="240" w:lineRule="auto"/>
              <w:ind w:left="-10"/>
              <w:rPr>
                <w:rFonts w:ascii="Times New Roman" w:hAnsi="Times New Roman" w:cs="Times New Roman"/>
                <w:b/>
                <w:bCs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Sistemi i Manaxhimit t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Integruar t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Ç</w:t>
            </w:r>
            <w:r w:rsidR="006B214F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shtjeve (ICMS)</w:t>
            </w:r>
            <w:r>
              <w:rPr>
                <w:rStyle w:val="FootnoteReference"/>
                <w:rFonts w:ascii="Times New Roman" w:hAnsi="Times New Roman" w:cs="Times New Roman"/>
                <w:lang w:val="sq-AL"/>
              </w:rPr>
              <w:footnoteReference w:id="25"/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, i cili siguron ndërveprim ndërmjet gjykatave dhe prokurorive </w:t>
            </w:r>
            <w:r w:rsidRPr="00A862F7">
              <w:rPr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t>dhe</w:t>
            </w:r>
            <w:r w:rsidR="00FC6CB6">
              <w:rPr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t xml:space="preserve"> Portalit t</w:t>
            </w:r>
            <w:r w:rsidR="003F3BA3">
              <w:rPr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t xml:space="preserve"> Qeverisë </w:t>
            </w:r>
            <w:r w:rsidR="00FC6CB6">
              <w:rPr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t xml:space="preserve">(Government </w:t>
            </w:r>
            <w:r w:rsidRPr="00A862F7">
              <w:rPr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t>Gate</w:t>
            </w:r>
            <w:r w:rsidR="000F394D">
              <w:rPr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t>ay</w:t>
            </w:r>
            <w:r w:rsidR="00FC6CB6">
              <w:rPr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t>)</w:t>
            </w:r>
            <w:r w:rsidRPr="00A862F7">
              <w:rPr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t xml:space="preserve"> -</w:t>
            </w:r>
            <w:r w:rsidRPr="00A862F7">
              <w:rPr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t>në respekt të plotë të garancive ligjore në lidhje me bazat e të dhënave shtetërore,</w:t>
            </w:r>
            <w:r w:rsidRPr="00A862F7">
              <w:rPr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t xml:space="preserve">në lidhje me pavarësinë e </w:t>
            </w:r>
            <w:r w:rsidRPr="00A862F7">
              <w:rPr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lastRenderedPageBreak/>
              <w:t xml:space="preserve">gjyqësorit dhe autonominë e prokurorisë, 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si dhe gjenerimin automatik të statistikave bazuar në metodologjinë e CEPEJ dhe rregulloret kombëtare, </w:t>
            </w:r>
            <w:r w:rsidR="003F3BA3">
              <w:rPr>
                <w:rFonts w:ascii="Times New Roman" w:hAnsi="Times New Roman" w:cs="Times New Roman"/>
                <w:lang w:val="sq-AL"/>
              </w:rPr>
              <w:t>ë</w:t>
            </w:r>
            <w:r w:rsidR="005D6A45">
              <w:rPr>
                <w:rFonts w:ascii="Times New Roman" w:hAnsi="Times New Roman" w:cs="Times New Roman"/>
                <w:lang w:val="sq-AL"/>
              </w:rPr>
              <w:t>sht</w:t>
            </w:r>
            <w:r w:rsidR="003F3BA3">
              <w:rPr>
                <w:rFonts w:ascii="Times New Roman" w:hAnsi="Times New Roman" w:cs="Times New Roman"/>
                <w:lang w:val="sq-AL"/>
              </w:rPr>
              <w:t>ë</w:t>
            </w:r>
            <w:r w:rsidR="005D6A45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hAnsi="Times New Roman" w:cs="Times New Roman"/>
                <w:shd w:val="clear" w:color="auto" w:fill="FFFFFF" w:themeFill="background1"/>
                <w:lang w:val="sq-AL"/>
              </w:rPr>
              <w:t xml:space="preserve">gati për t'u përdorur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2027)</w:t>
            </w:r>
            <w:r w:rsidR="005D6A45">
              <w:rPr>
                <w:rFonts w:ascii="Times New Roman" w:hAnsi="Times New Roman" w:cs="Times New Roman"/>
                <w:b/>
                <w:bCs/>
                <w:lang w:val="sq-AL"/>
              </w:rPr>
              <w:t>.</w:t>
            </w:r>
          </w:p>
          <w:p w14:paraId="4A804675" w14:textId="77777777" w:rsidR="00FC6CB6" w:rsidRDefault="00FC6CB6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b/>
                <w:bCs/>
              </w:rPr>
            </w:pPr>
          </w:p>
          <w:p w14:paraId="361BE1E1" w14:textId="77777777" w:rsidR="00FC6CB6" w:rsidRDefault="00FC6CB6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</w:rPr>
            </w:pPr>
            <w:r w:rsidRPr="0076639A">
              <w:rPr>
                <w:rFonts w:ascii="Times New Roman" w:hAnsi="Times New Roman" w:cs="Times New Roman"/>
              </w:rPr>
              <w:t xml:space="preserve">At least 70% of vacancies for magistrates in first instance courts of general jurisdiction, and at least 80% at appeal court of general jurisdiction and administrative appeal court and 90% of non-magistrate staff </w:t>
            </w:r>
            <w:r w:rsidRPr="004F2F82">
              <w:rPr>
                <w:rFonts w:ascii="Times New Roman" w:hAnsi="Times New Roman" w:cs="Times New Roman"/>
                <w:color w:val="000000" w:themeColor="text1"/>
              </w:rPr>
              <w:t>at all court levels</w:t>
            </w:r>
            <w:r w:rsidRPr="0076639A">
              <w:rPr>
                <w:rFonts w:ascii="Times New Roman" w:hAnsi="Times New Roman" w:cs="Times New Roman"/>
              </w:rPr>
              <w:t xml:space="preserve"> are filled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39A">
              <w:rPr>
                <w:rFonts w:ascii="Times New Roman" w:hAnsi="Times New Roman" w:cs="Times New Roman"/>
              </w:rPr>
              <w:t>(</w:t>
            </w:r>
            <w:r w:rsidRPr="0076639A">
              <w:rPr>
                <w:rFonts w:ascii="Times New Roman" w:hAnsi="Times New Roman" w:cs="Times New Roman"/>
                <w:b/>
                <w:bCs/>
              </w:rPr>
              <w:t>December 2027</w:t>
            </w:r>
            <w:r w:rsidRPr="0076639A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706036E" w14:textId="77777777" w:rsidR="00711B96" w:rsidRPr="00A862F7" w:rsidRDefault="00711B96" w:rsidP="002452A8">
            <w:pPr>
              <w:spacing w:after="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</w:p>
          <w:p w14:paraId="273D9D8E" w14:textId="4889A571" w:rsidR="00711B96" w:rsidRDefault="005D6A45" w:rsidP="002452A8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T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ë paktën 70% </w:t>
            </w:r>
            <w:r>
              <w:rPr>
                <w:rFonts w:ascii="Times New Roman" w:hAnsi="Times New Roman" w:cs="Times New Roman"/>
                <w:lang w:val="sq-AL"/>
              </w:rPr>
              <w:t xml:space="preserve">e </w:t>
            </w:r>
            <w:r w:rsidR="00711B96" w:rsidRPr="00A862F7">
              <w:rPr>
                <w:rFonts w:ascii="Times New Roman" w:hAnsi="Times New Roman" w:cs="Times New Roman"/>
                <w:lang w:val="sq-AL"/>
              </w:rPr>
              <w:t xml:space="preserve">vendeve vakante për magjistratë në gjykatat e shkallës së parë të juridiksionit të përgjithshëm dhe të paktën 80% </w:t>
            </w:r>
            <w:r>
              <w:rPr>
                <w:rFonts w:ascii="Times New Roman" w:hAnsi="Times New Roman" w:cs="Times New Roman"/>
                <w:lang w:val="sq-AL"/>
              </w:rPr>
              <w:t>p</w:t>
            </w:r>
            <w:r w:rsidR="00711B96" w:rsidRPr="00A862F7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r</w:t>
            </w:r>
            <w:r w:rsidR="00711B96" w:rsidRPr="00A862F7">
              <w:rPr>
                <w:rFonts w:ascii="Times New Roman" w:hAnsi="Times New Roman" w:cs="Times New Roman"/>
                <w:lang w:val="sq-AL"/>
              </w:rPr>
              <w:t xml:space="preserve"> gjykatën e apelit të juridiksionit të përgjithshëm dhe gjykatën e apelit administrativ dhe 90% </w:t>
            </w:r>
            <w:r>
              <w:rPr>
                <w:rFonts w:ascii="Times New Roman" w:hAnsi="Times New Roman" w:cs="Times New Roman"/>
                <w:lang w:val="sq-AL"/>
              </w:rPr>
              <w:t>e</w:t>
            </w:r>
            <w:r w:rsidR="00711B96" w:rsidRPr="00A862F7">
              <w:rPr>
                <w:rFonts w:ascii="Times New Roman" w:hAnsi="Times New Roman" w:cs="Times New Roman"/>
                <w:lang w:val="sq-AL"/>
              </w:rPr>
              <w:t xml:space="preserve"> personelit jomagjistrat </w:t>
            </w:r>
            <w:r w:rsidR="00711B96" w:rsidRPr="00A862F7">
              <w:rPr>
                <w:rFonts w:ascii="Times New Roman" w:hAnsi="Times New Roman" w:cs="Times New Roman"/>
                <w:color w:val="000000" w:themeColor="text1"/>
                <w:lang w:val="sq-AL"/>
              </w:rPr>
              <w:t>në të gjitha nivelet e gjykatave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, jan</w:t>
            </w:r>
            <w:r w:rsidR="003F3BA3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plot</w:t>
            </w:r>
            <w:r w:rsidR="003F3BA3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suar</w:t>
            </w:r>
            <w:r w:rsidR="00711B96" w:rsidRPr="00A862F7">
              <w:rPr>
                <w:rFonts w:ascii="Times New Roman" w:hAnsi="Times New Roman" w:cs="Times New Roman"/>
                <w:lang w:val="sq-AL"/>
              </w:rPr>
              <w:t>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="00711B96"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2027</w:t>
            </w:r>
            <w:r w:rsidR="00711B96"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65F565DE" w14:textId="77777777" w:rsidR="00711B96" w:rsidRPr="00A862F7" w:rsidRDefault="00711B96" w:rsidP="002452A8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</w:p>
          <w:p w14:paraId="2B56CF72" w14:textId="0F0CEC12" w:rsidR="00711B96" w:rsidRDefault="00711B96" w:rsidP="002452A8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 xml:space="preserve">Rritja e kapaciteteve të Inspektoratit të Lartë të Drejtësisë </w:t>
            </w:r>
            <w:r w:rsidR="005D6A45">
              <w:rPr>
                <w:rFonts w:ascii="Times New Roman" w:hAnsi="Times New Roman" w:cs="Times New Roman"/>
                <w:lang w:val="sq-AL"/>
              </w:rPr>
              <w:t xml:space="preserve">(ILD) </w:t>
            </w:r>
            <w:r w:rsidRPr="00A862F7">
              <w:rPr>
                <w:rFonts w:ascii="Times New Roman" w:hAnsi="Times New Roman" w:cs="Times New Roman"/>
                <w:lang w:val="sq-AL"/>
              </w:rPr>
              <w:t>duke siguruar që gradat e inspektorëve pranë IL</w:t>
            </w:r>
            <w:r w:rsidR="005D6A45">
              <w:rPr>
                <w:rFonts w:ascii="Times New Roman" w:hAnsi="Times New Roman" w:cs="Times New Roman"/>
                <w:lang w:val="sq-AL"/>
              </w:rPr>
              <w:t>D</w:t>
            </w:r>
            <w:r w:rsidRPr="00A862F7">
              <w:rPr>
                <w:rFonts w:ascii="Times New Roman" w:hAnsi="Times New Roman" w:cs="Times New Roman"/>
                <w:lang w:val="sq-AL"/>
              </w:rPr>
              <w:t>-së të plotësohen gradualisht, me masa të synuara, për të siguruar atraktivitetin e pozicionit. IL</w:t>
            </w:r>
            <w:r w:rsidR="005D6A45">
              <w:rPr>
                <w:rFonts w:ascii="Times New Roman" w:hAnsi="Times New Roman" w:cs="Times New Roman"/>
                <w:lang w:val="sq-AL"/>
              </w:rPr>
              <w:t>D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miraton dhe kryen planin vjetor të inspektimeve tematike për çështjet më shqetësuese</w:t>
            </w:r>
            <w:r w:rsidR="005D6A45">
              <w:rPr>
                <w:rFonts w:ascii="Times New Roman" w:hAnsi="Times New Roman" w:cs="Times New Roman"/>
                <w:lang w:val="sq-AL"/>
              </w:rPr>
              <w:t xml:space="preserve"> n</w:t>
            </w:r>
            <w:r w:rsidR="003F3BA3">
              <w:rPr>
                <w:rFonts w:ascii="Times New Roman" w:hAnsi="Times New Roman" w:cs="Times New Roman"/>
                <w:lang w:val="sq-AL"/>
              </w:rPr>
              <w:t>ë</w:t>
            </w:r>
            <w:r w:rsidR="005D6A45">
              <w:rPr>
                <w:rFonts w:ascii="Times New Roman" w:hAnsi="Times New Roman" w:cs="Times New Roman"/>
                <w:lang w:val="sq-AL"/>
              </w:rPr>
              <w:t xml:space="preserve"> ndjekje t</w:t>
            </w:r>
            <w:r w:rsidR="003F3BA3">
              <w:rPr>
                <w:rFonts w:ascii="Times New Roman" w:hAnsi="Times New Roman" w:cs="Times New Roman"/>
                <w:lang w:val="sq-AL"/>
              </w:rPr>
              <w:t>ë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 konsultimeve me Këshillat dhe Shkollën e Magjistraturës. ( 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2026 </w:t>
            </w:r>
            <w:r w:rsidRPr="00A862F7">
              <w:rPr>
                <w:rFonts w:ascii="Times New Roman" w:hAnsi="Times New Roman" w:cs="Times New Roman"/>
                <w:lang w:val="sq-AL"/>
              </w:rPr>
              <w:t>)</w:t>
            </w:r>
          </w:p>
          <w:p w14:paraId="52BB16CE" w14:textId="01D22050" w:rsidR="00FC6CB6" w:rsidRPr="00A862F7" w:rsidRDefault="00FC6CB6" w:rsidP="002452A8">
            <w:pPr>
              <w:spacing w:after="60" w:line="240" w:lineRule="auto"/>
              <w:ind w:left="-10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2A5F18" w:rsidRPr="00A862F7" w14:paraId="52BB1733" w14:textId="77777777" w:rsidTr="002452A8">
        <w:trPr>
          <w:trHeight w:val="411"/>
        </w:trPr>
        <w:tc>
          <w:tcPr>
            <w:tcW w:w="1418" w:type="dxa"/>
            <w:vMerge/>
            <w:vAlign w:val="center"/>
          </w:tcPr>
          <w:p w14:paraId="52BB171D" w14:textId="77777777" w:rsidR="002A5F18" w:rsidRPr="00A862F7" w:rsidRDefault="002A5F18" w:rsidP="002452A8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2BB171E" w14:textId="77777777" w:rsidR="002A5F18" w:rsidRPr="00A862F7" w:rsidRDefault="002A5F18" w:rsidP="002452A8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454" w:hanging="425"/>
              <w:rPr>
                <w:rFonts w:ascii="Times New Roman" w:eastAsia="Calibri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Lufta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kundër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korrupsionit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BB171F" w14:textId="77777777" w:rsidR="002A5F18" w:rsidRPr="00A862F7" w:rsidRDefault="002A5F18" w:rsidP="002452A8">
            <w:pPr>
              <w:pStyle w:val="ListParagraph"/>
              <w:numPr>
                <w:ilvl w:val="2"/>
                <w:numId w:val="9"/>
              </w:numPr>
              <w:spacing w:after="60" w:line="240" w:lineRule="auto"/>
              <w:ind w:left="561" w:hanging="561"/>
              <w:contextualSpacing w:val="0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Parandalimi </w:t>
            </w:r>
            <w:r w:rsidRPr="00A862F7">
              <w:rPr>
                <w:rFonts w:ascii="Times New Roman" w:hAnsi="Times New Roman" w:cs="Times New Roman"/>
                <w:lang w:val="sq-AL"/>
              </w:rPr>
              <w:t>efektiv i korrupsionit, zvogëlimi i incidencës së korrupsionit</w:t>
            </w:r>
          </w:p>
        </w:tc>
        <w:tc>
          <w:tcPr>
            <w:tcW w:w="8647" w:type="dxa"/>
            <w:shd w:val="clear" w:color="auto" w:fill="auto"/>
          </w:tcPr>
          <w:p w14:paraId="52BB1728" w14:textId="2AE82592" w:rsidR="002A5F18" w:rsidRPr="00A862F7" w:rsidRDefault="002A5F18" w:rsidP="002452A8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Rritja e </w:t>
            </w:r>
            <w:r w:rsidRPr="00A862F7">
              <w:rPr>
                <w:rFonts w:ascii="Times New Roman" w:hAnsi="Times New Roman" w:cs="Times New Roman"/>
                <w:lang w:val="sq-AL"/>
              </w:rPr>
              <w:t>transparencës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, duke </w:t>
            </w:r>
            <w:r w:rsidR="00F25841">
              <w:rPr>
                <w:rFonts w:ascii="Times New Roman" w:eastAsia="Calibri" w:hAnsi="Times New Roman" w:cs="Times New Roman"/>
                <w:lang w:val="sq-AL"/>
              </w:rPr>
              <w:t>ngritu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r një platformë të hapur të të dhënave për buxhetin kombëtar dhe vendor dhe shpenzimet publike në partneritet me shoqërinë civile dhe publikimin e të gjitha deklaratave të pasurisë në faqen e internetit të Inspektoratit të Lartë të Deklarimit dhe Kontrollit të Pasurive dhe Konfliktit të Interesit (ILDKPKI), në përputhje me ligjin për të drejtën e informimit dhe mbrojtjen e të dhënave personale. 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2024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)</w:t>
            </w:r>
          </w:p>
          <w:p w14:paraId="4355B513" w14:textId="77777777" w:rsidR="002A5F18" w:rsidRPr="00A862F7" w:rsidRDefault="002A5F18" w:rsidP="002452A8">
            <w:pPr>
              <w:spacing w:after="60" w:line="240" w:lineRule="auto"/>
              <w:rPr>
                <w:rFonts w:ascii="Times New Roman" w:hAnsi="Times New Roman" w:cs="Times New Roman"/>
                <w:lang w:val="sq-AL"/>
              </w:rPr>
            </w:pPr>
          </w:p>
          <w:p w14:paraId="52BB172C" w14:textId="4BBC36E5" w:rsidR="002A5F18" w:rsidRPr="00A862F7" w:rsidRDefault="002A5F18" w:rsidP="002452A8">
            <w:pPr>
              <w:spacing w:after="0" w:line="240" w:lineRule="auto"/>
              <w:ind w:left="28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Miratimi i ndryshimeve në kuadrin ligjor për </w:t>
            </w:r>
            <w:r w:rsidR="00F25841">
              <w:rPr>
                <w:rFonts w:ascii="Times New Roman" w:eastAsia="Calibri" w:hAnsi="Times New Roman" w:cs="Times New Roman"/>
                <w:lang w:val="sq-AL"/>
              </w:rPr>
              <w:t>Kontrollin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e Lartë të </w:t>
            </w:r>
            <w:r w:rsidR="00F25841">
              <w:rPr>
                <w:rFonts w:ascii="Times New Roman" w:eastAsia="Calibri" w:hAnsi="Times New Roman" w:cs="Times New Roman"/>
                <w:lang w:val="sq-AL"/>
              </w:rPr>
              <w:t>Shtetit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(KLSH) për rritjen e efikasitetit dhe parandalimin e incidencës së korrupsionit. 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Calibri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 xml:space="preserve"> 2026)</w:t>
            </w:r>
          </w:p>
          <w:p w14:paraId="52BB172D" w14:textId="77777777" w:rsidR="002A5F18" w:rsidRPr="00A862F7" w:rsidRDefault="002A5F18" w:rsidP="002452A8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lang w:val="sq-AL"/>
              </w:rPr>
            </w:pPr>
          </w:p>
          <w:p w14:paraId="2F0F146F" w14:textId="3DF709F2" w:rsidR="002A5F18" w:rsidRDefault="002A5F18" w:rsidP="002452A8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Kuadri ligjor </w:t>
            </w:r>
            <w:r w:rsidRPr="00A862F7">
              <w:rPr>
                <w:rFonts w:ascii="Times New Roman" w:hAnsi="Times New Roman" w:cs="Times New Roman"/>
                <w:lang w:val="sq-AL"/>
              </w:rPr>
              <w:t>për donacionet dhe sponsorizimet</w:t>
            </w:r>
            <w:r w:rsidR="00DF7D44" w:rsidRPr="00A862F7">
              <w:rPr>
                <w:rFonts w:ascii="Times New Roman" w:eastAsia="Calibri" w:hAnsi="Times New Roman" w:cs="Times New Roman"/>
                <w:lang w:val="sq-AL"/>
              </w:rPr>
              <w:t xml:space="preserve">, </w:t>
            </w:r>
            <w:r w:rsidR="00DF7D44" w:rsidRPr="00A862F7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si dhe 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për konfliktin e interesit dhe </w:t>
            </w:r>
            <w:r w:rsidRPr="00A862F7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financimin e partive politike,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është ndryshuar 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në përputhje me standardet evropiane dhe </w:t>
            </w:r>
            <w:r w:rsidR="00F17AEC">
              <w:rPr>
                <w:rFonts w:ascii="Times New Roman" w:hAnsi="Times New Roman" w:cs="Times New Roman"/>
                <w:lang w:val="sq-AL"/>
              </w:rPr>
              <w:t>Komisioni Venecias (KV</w:t>
            </w:r>
            <w:r w:rsidR="00C83830">
              <w:rPr>
                <w:rStyle w:val="FootnoteReference"/>
                <w:rFonts w:ascii="Times New Roman" w:hAnsi="Times New Roman" w:cs="Times New Roman"/>
                <w:lang w:val="sq-AL"/>
              </w:rPr>
              <w:footnoteReference w:id="26"/>
            </w:r>
            <w:r w:rsidR="00F17AEC">
              <w:rPr>
                <w:rFonts w:ascii="Times New Roman" w:hAnsi="Times New Roman" w:cs="Times New Roman"/>
                <w:lang w:val="sq-AL"/>
              </w:rPr>
              <w:t>)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/GRECO </w:t>
            </w:r>
            <w:r w:rsidRPr="00A862F7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dhe OSBE/ODHIR. </w:t>
            </w:r>
            <w:r w:rsidRPr="00A862F7">
              <w:rPr>
                <w:rFonts w:ascii="Times New Roman" w:hAnsi="Times New Roman" w:cs="Times New Roman"/>
                <w:lang w:val="sq-AL"/>
              </w:rPr>
              <w:t>(</w:t>
            </w:r>
            <w:r w:rsidR="003F3BA3">
              <w:rPr>
                <w:rFonts w:ascii="Times New Roman" w:eastAsia="Calibri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 xml:space="preserve"> 202</w:t>
            </w:r>
            <w:r w:rsidR="00F63CC0"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7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)</w:t>
            </w:r>
          </w:p>
          <w:p w14:paraId="52BB1731" w14:textId="4718B584" w:rsidR="00711B96" w:rsidRPr="00A862F7" w:rsidRDefault="00711B96" w:rsidP="00245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</w:p>
        </w:tc>
      </w:tr>
      <w:tr w:rsidR="00711B96" w:rsidRPr="00A862F7" w14:paraId="52BB1742" w14:textId="77777777" w:rsidTr="002452A8">
        <w:trPr>
          <w:trHeight w:val="253"/>
        </w:trPr>
        <w:tc>
          <w:tcPr>
            <w:tcW w:w="1418" w:type="dxa"/>
            <w:vMerge/>
            <w:vAlign w:val="center"/>
          </w:tcPr>
          <w:p w14:paraId="52BB1734" w14:textId="77777777" w:rsidR="00711B96" w:rsidRPr="00A862F7" w:rsidRDefault="00711B96" w:rsidP="002452A8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2BB1735" w14:textId="77777777" w:rsidR="00711B96" w:rsidRPr="00A862F7" w:rsidRDefault="00711B96" w:rsidP="002452A8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454" w:hanging="425"/>
              <w:rPr>
                <w:rFonts w:ascii="Times New Roman" w:eastAsia="Calibri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Demokracia, të Drejtat </w:t>
            </w:r>
            <w:r w:rsidRPr="00A862F7">
              <w:rPr>
                <w:rFonts w:ascii="Times New Roman" w:eastAsia="Times New Roman" w:hAnsi="Times New Roman" w:cs="Times New Roman"/>
                <w:lang w:val="sq-AL"/>
              </w:rPr>
              <w:t xml:space="preserve">Themelore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dhe Shoqëria Civile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2BB1736" w14:textId="77777777" w:rsidR="00711B96" w:rsidRPr="00A862F7" w:rsidRDefault="00711B96" w:rsidP="002452A8">
            <w:pPr>
              <w:pStyle w:val="ListParagraph"/>
              <w:numPr>
                <w:ilvl w:val="2"/>
                <w:numId w:val="9"/>
              </w:numPr>
              <w:spacing w:after="60" w:line="240" w:lineRule="auto"/>
              <w:ind w:left="561" w:hanging="561"/>
              <w:contextualSpacing w:val="0"/>
              <w:rPr>
                <w:rFonts w:ascii="Times New Roman" w:hAnsi="Times New Roman" w:cs="Times New Roman"/>
                <w:lang w:val="sq-AL"/>
              </w:rPr>
            </w:pPr>
            <w:r w:rsidRPr="00A862F7">
              <w:rPr>
                <w:rFonts w:ascii="Times New Roman" w:hAnsi="Times New Roman" w:cs="Times New Roman"/>
                <w:lang w:val="sq-AL"/>
              </w:rPr>
              <w:t>Rritja e lirisë së shprehjes, në përputhje me standardet evropiane</w:t>
            </w:r>
          </w:p>
        </w:tc>
        <w:tc>
          <w:tcPr>
            <w:tcW w:w="8647" w:type="dxa"/>
            <w:vMerge w:val="restart"/>
            <w:shd w:val="clear" w:color="auto" w:fill="auto"/>
          </w:tcPr>
          <w:p w14:paraId="2D520349" w14:textId="5AAD487D" w:rsidR="00711B96" w:rsidRDefault="00711B96" w:rsidP="002452A8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Rritja e kapaciteteve të organeve të </w:t>
            </w:r>
            <w:r w:rsidR="00F25841">
              <w:rPr>
                <w:rFonts w:ascii="Times New Roman" w:eastAsia="Calibri" w:hAnsi="Times New Roman" w:cs="Times New Roman"/>
                <w:lang w:val="sq-AL"/>
              </w:rPr>
              <w:t>ligjzbatuese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për të trajtuar rastet e dhunës, duke përfshirë kufi</w:t>
            </w:r>
            <w:r w:rsidR="00F17AEC">
              <w:rPr>
                <w:rFonts w:ascii="Times New Roman" w:eastAsia="Calibri" w:hAnsi="Times New Roman" w:cs="Times New Roman"/>
                <w:lang w:val="sq-AL"/>
              </w:rPr>
              <w:t>zimin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e protestave, dhe çështje të tjera penale që përfshijnë gazetarë, veçanërisht duke siguruar respektim të lartë të të drejtave të njeriut në trajtimin e incidenteve që përfshijnë gazetarë, përmes udhëzimeve detyruese, mbledhjes së të dhënave dhe masave për ngritjen e kapaciteteve. (</w:t>
            </w:r>
            <w:r w:rsidR="003F3BA3">
              <w:rPr>
                <w:rFonts w:ascii="Times New Roman" w:eastAsia="Calibri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 xml:space="preserve"> 2025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)</w:t>
            </w:r>
          </w:p>
          <w:p w14:paraId="7A41A186" w14:textId="77777777" w:rsidR="00711B96" w:rsidRPr="00A862F7" w:rsidRDefault="00711B96" w:rsidP="002452A8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  <w:p w14:paraId="2BAB0775" w14:textId="3053C849" w:rsidR="00711B96" w:rsidRDefault="00711B96" w:rsidP="00245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Aspektet penale dhe civile të shpifjes janë në përputhje me standardet evropiane 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Calibri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 xml:space="preserve"> 2026)</w:t>
            </w:r>
          </w:p>
          <w:p w14:paraId="70B1AFB5" w14:textId="77777777" w:rsidR="00711B96" w:rsidRPr="00A862F7" w:rsidRDefault="00711B96" w:rsidP="00245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</w:p>
          <w:p w14:paraId="5B49DAD6" w14:textId="0F34C096" w:rsidR="00711B96" w:rsidRDefault="00711B96" w:rsidP="002452A8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Kryerja e një vlerësimi të ndikimit të politikave dhe </w:t>
            </w:r>
            <w:r w:rsidR="00F17AEC">
              <w:rPr>
                <w:rFonts w:ascii="Times New Roman" w:eastAsia="Calibri" w:hAnsi="Times New Roman" w:cs="Times New Roman"/>
                <w:lang w:val="sq-AL"/>
              </w:rPr>
              <w:t xml:space="preserve">e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një analiz</w:t>
            </w:r>
            <w:r w:rsidR="00F17AEC">
              <w:rPr>
                <w:rFonts w:ascii="Times New Roman" w:eastAsia="Calibri" w:hAnsi="Times New Roman" w:cs="Times New Roman"/>
                <w:lang w:val="sq-AL"/>
              </w:rPr>
              <w:t>e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të hendekut ligjor mbi Rregulloren e Aktit të Shërbimit Di</w:t>
            </w:r>
            <w:r w:rsidR="00F17AEC">
              <w:rPr>
                <w:rFonts w:ascii="Times New Roman" w:eastAsia="Calibri" w:hAnsi="Times New Roman" w:cs="Times New Roman"/>
                <w:lang w:val="sq-AL"/>
              </w:rPr>
              <w:t>gj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ital me synimin për ta përafruar me legjislacionin kombëta</w:t>
            </w:r>
            <w:r w:rsidR="00F17AEC">
              <w:rPr>
                <w:rFonts w:ascii="Times New Roman" w:eastAsia="Calibri" w:hAnsi="Times New Roman" w:cs="Times New Roman"/>
                <w:lang w:val="sq-AL"/>
              </w:rPr>
              <w:t>r,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për të rritur mbrojtjen e të drejtave të përdoruesve dhe përmbajtjen e sigurt </w:t>
            </w:r>
            <w:r w:rsidRPr="00A862F7">
              <w:rPr>
                <w:rFonts w:ascii="Times New Roman" w:eastAsia="Calibri" w:hAnsi="Times New Roman" w:cs="Times New Roman"/>
                <w:b/>
                <w:lang w:val="sq-AL"/>
              </w:rPr>
              <w:t>(</w:t>
            </w:r>
            <w:r w:rsidR="003F3BA3">
              <w:rPr>
                <w:rFonts w:ascii="Times New Roman" w:eastAsia="Calibri" w:hAnsi="Times New Roman" w:cs="Times New Roman"/>
                <w:b/>
                <w:lang w:val="sq-AL"/>
              </w:rPr>
              <w:t>Qershor</w:t>
            </w:r>
            <w:r w:rsidRPr="00A862F7">
              <w:rPr>
                <w:rFonts w:ascii="Times New Roman" w:eastAsia="Calibri" w:hAnsi="Times New Roman" w:cs="Times New Roman"/>
                <w:b/>
                <w:lang w:val="sq-AL"/>
              </w:rPr>
              <w:t xml:space="preserve"> 2025) </w:t>
            </w:r>
            <w:r w:rsidRPr="00A862F7">
              <w:rPr>
                <w:rFonts w:ascii="Times New Roman" w:hAnsi="Times New Roman" w:cs="Times New Roman"/>
                <w:lang w:val="sq-AL"/>
              </w:rPr>
              <w:t>dhe miratimin e ndryshimeve ligjore për të përafruar gjerësisht Rregulloren e Aktit  Di</w:t>
            </w:r>
            <w:r w:rsidR="00F17AEC">
              <w:rPr>
                <w:rFonts w:ascii="Times New Roman" w:hAnsi="Times New Roman" w:cs="Times New Roman"/>
                <w:lang w:val="sq-AL"/>
              </w:rPr>
              <w:t>gj</w:t>
            </w:r>
            <w:r w:rsidRPr="00A862F7">
              <w:rPr>
                <w:rFonts w:ascii="Times New Roman" w:hAnsi="Times New Roman" w:cs="Times New Roman"/>
                <w:lang w:val="sq-AL"/>
              </w:rPr>
              <w:t xml:space="preserve">ital të Shërbimit. 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2026)</w:t>
            </w:r>
          </w:p>
          <w:p w14:paraId="28E049A5" w14:textId="77777777" w:rsidR="00711B96" w:rsidRPr="00A862F7" w:rsidRDefault="00711B96" w:rsidP="002452A8">
            <w:pPr>
              <w:spacing w:after="60" w:line="240" w:lineRule="auto"/>
              <w:rPr>
                <w:rFonts w:ascii="Times New Roman" w:eastAsia="Calibri" w:hAnsi="Times New Roman" w:cs="Times New Roman"/>
                <w:b/>
                <w:lang w:val="sq-AL"/>
              </w:rPr>
            </w:pPr>
          </w:p>
          <w:p w14:paraId="3B5D1A96" w14:textId="26508E8D" w:rsidR="00711B96" w:rsidRPr="00A862F7" w:rsidRDefault="00711B96" w:rsidP="002452A8">
            <w:pPr>
              <w:spacing w:after="0"/>
              <w:ind w:left="-20" w:right="-20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Miratimi i ndryshimeve të kuadrit ligjor për transparencën e pronësisë së medias 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Calibri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 xml:space="preserve"> 2024),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shtrirj</w:t>
            </w:r>
            <w:r w:rsidR="00F17AEC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en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e audiencës, forcimi</w:t>
            </w:r>
            <w:r w:rsidR="00F17AEC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n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</w:t>
            </w:r>
            <w:r w:rsidR="00F17AEC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e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transparencës së financimit të medias, pluraliteti</w:t>
            </w:r>
            <w:r w:rsidR="00F17AEC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n e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medias dhe pavarësi</w:t>
            </w:r>
            <w:r w:rsidR="00F17AEC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n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ë dhe autonomi</w:t>
            </w:r>
            <w:r w:rsidR="00F17AEC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n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ë editoriale të rregullatorit të medias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dhe bazuar në një dialog të strukturuar dhe gjithëpërfshirës me aktorët e medias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. 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>(</w:t>
            </w:r>
            <w:r w:rsidR="003F3BA3">
              <w:rPr>
                <w:rFonts w:ascii="Times New Roman" w:eastAsia="Calibri" w:hAnsi="Times New Roman" w:cs="Times New Roman"/>
                <w:b/>
                <w:bCs/>
                <w:lang w:val="sq-AL"/>
              </w:rPr>
              <w:t>Dhjetor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 xml:space="preserve"> 2026)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 </w:t>
            </w:r>
          </w:p>
          <w:p w14:paraId="7DD1B3F8" w14:textId="77777777" w:rsidR="00711B96" w:rsidRPr="00A862F7" w:rsidRDefault="00711B96" w:rsidP="002452A8">
            <w:pPr>
              <w:spacing w:after="0"/>
              <w:ind w:right="-20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</w:p>
          <w:p w14:paraId="52BB1739" w14:textId="68CC79BC" w:rsidR="00F25841" w:rsidRPr="00F17AEC" w:rsidRDefault="00711B96" w:rsidP="002452A8">
            <w:pPr>
              <w:spacing w:after="0"/>
              <w:ind w:right="-20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 w:rsidRPr="00A862F7">
              <w:rPr>
                <w:rFonts w:ascii="Times New Roman" w:eastAsia="Calibri" w:hAnsi="Times New Roman" w:cs="Times New Roman"/>
                <w:lang w:val="sq-AL"/>
              </w:rPr>
              <w:t xml:space="preserve">Miratimi i ndryshimeve të kuadrit ligjor për 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anti-SLAPP, në përputhje me standardet e </w:t>
            </w:r>
            <w:r w:rsidR="00F17AEC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K</w:t>
            </w:r>
            <w:r w:rsidR="003F3BA3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ë</w:t>
            </w:r>
            <w:r w:rsidR="00F17AEC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shillit t</w:t>
            </w:r>
            <w:r w:rsidR="003F3BA3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ë</w:t>
            </w:r>
            <w:r w:rsidR="00F17AEC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Europ</w:t>
            </w:r>
            <w:r w:rsidR="003F3BA3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ë</w:t>
            </w:r>
            <w:r w:rsidR="00F17AEC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s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/</w:t>
            </w:r>
            <w:r w:rsidR="00F17AEC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>KVs</w:t>
            </w:r>
            <w:r w:rsidRPr="00A862F7">
              <w:rPr>
                <w:rFonts w:ascii="Times New Roman" w:eastAsia="Calibri" w:hAnsi="Times New Roman" w:cs="Times New Roman"/>
                <w:color w:val="000000" w:themeColor="text1"/>
                <w:lang w:val="sq-AL"/>
              </w:rPr>
              <w:t xml:space="preserve"> 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dhe në përputhje me acquis të BE-së dhe bazuar në një dialog të strukturuar dhe gjithëpërfshirës me aktorët e medias. (</w:t>
            </w:r>
            <w:r w:rsidR="003F3BA3">
              <w:rPr>
                <w:rFonts w:ascii="Times New Roman" w:eastAsia="Calibri" w:hAnsi="Times New Roman" w:cs="Times New Roman"/>
                <w:b/>
                <w:bCs/>
                <w:lang w:val="sq-AL"/>
              </w:rPr>
              <w:t>Qershor</w:t>
            </w:r>
            <w:r w:rsidRPr="00A862F7">
              <w:rPr>
                <w:rFonts w:ascii="Times New Roman" w:eastAsia="Calibri" w:hAnsi="Times New Roman" w:cs="Times New Roman"/>
                <w:b/>
                <w:bCs/>
                <w:lang w:val="sq-AL"/>
              </w:rPr>
              <w:t xml:space="preserve"> 2027</w:t>
            </w:r>
            <w:r w:rsidRPr="00A862F7">
              <w:rPr>
                <w:rFonts w:ascii="Times New Roman" w:eastAsia="Calibri" w:hAnsi="Times New Roman" w:cs="Times New Roman"/>
                <w:lang w:val="sq-AL"/>
              </w:rPr>
              <w:t>)</w:t>
            </w:r>
          </w:p>
        </w:tc>
      </w:tr>
      <w:tr w:rsidR="00711B96" w:rsidRPr="00A862F7" w14:paraId="52BB174E" w14:textId="77777777" w:rsidTr="002452A8">
        <w:trPr>
          <w:trHeight w:val="2045"/>
        </w:trPr>
        <w:tc>
          <w:tcPr>
            <w:tcW w:w="1418" w:type="dxa"/>
            <w:vAlign w:val="center"/>
          </w:tcPr>
          <w:p w14:paraId="52BB1743" w14:textId="77777777" w:rsidR="00711B96" w:rsidRPr="00A862F7" w:rsidRDefault="00711B96" w:rsidP="002452A8">
            <w:pPr>
              <w:spacing w:after="0" w:line="240" w:lineRule="auto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843" w:type="dxa"/>
            <w:vMerge/>
            <w:vAlign w:val="center"/>
          </w:tcPr>
          <w:p w14:paraId="52BB1744" w14:textId="77777777" w:rsidR="00711B96" w:rsidRPr="00A862F7" w:rsidRDefault="00711B96" w:rsidP="002452A8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454" w:hanging="425"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3827" w:type="dxa"/>
            <w:vMerge/>
            <w:vAlign w:val="center"/>
          </w:tcPr>
          <w:p w14:paraId="52BB1745" w14:textId="77777777" w:rsidR="00711B96" w:rsidRPr="00A862F7" w:rsidRDefault="00711B96" w:rsidP="002452A8">
            <w:pPr>
              <w:pStyle w:val="ListParagraph"/>
              <w:numPr>
                <w:ilvl w:val="2"/>
                <w:numId w:val="9"/>
              </w:numPr>
              <w:spacing w:after="60" w:line="240" w:lineRule="auto"/>
              <w:ind w:left="561" w:hanging="561"/>
              <w:contextualSpacing w:val="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14:paraId="52BB1748" w14:textId="36C4DE66" w:rsidR="00711B96" w:rsidRPr="00A862F7" w:rsidRDefault="00711B96" w:rsidP="002452A8">
            <w:pPr>
              <w:pStyle w:val="ListParagraph"/>
              <w:spacing w:after="0" w:line="240" w:lineRule="auto"/>
              <w:ind w:left="360"/>
              <w:rPr>
                <w:rFonts w:ascii="Times New Roman" w:eastAsia="Calibri" w:hAnsi="Times New Roman" w:cs="Times New Roman"/>
                <w:lang w:val="sq-AL"/>
              </w:rPr>
            </w:pPr>
          </w:p>
        </w:tc>
      </w:tr>
    </w:tbl>
    <w:p w14:paraId="52BB1774" w14:textId="77777777" w:rsidR="00A637E1" w:rsidRPr="00A862F7" w:rsidRDefault="00A637E1" w:rsidP="004C1E50">
      <w:pPr>
        <w:jc w:val="right"/>
        <w:rPr>
          <w:rFonts w:ascii="Times New Roman" w:hAnsi="Times New Roman" w:cs="Times New Roman"/>
          <w:lang w:val="sq-AL"/>
        </w:rPr>
      </w:pPr>
    </w:p>
    <w:sectPr w:rsidR="00A637E1" w:rsidRPr="00A862F7" w:rsidSect="00607C35">
      <w:footerReference w:type="default" r:id="rId11"/>
      <w:pgSz w:w="16838" w:h="11906" w:orient="landscape"/>
      <w:pgMar w:top="720" w:right="720" w:bottom="720" w:left="720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0DA8C" w14:textId="77777777" w:rsidR="007B1C5D" w:rsidRDefault="007B1C5D">
      <w:pPr>
        <w:spacing w:after="0" w:line="240" w:lineRule="auto"/>
      </w:pPr>
      <w:r>
        <w:separator/>
      </w:r>
    </w:p>
  </w:endnote>
  <w:endnote w:type="continuationSeparator" w:id="0">
    <w:p w14:paraId="683E2288" w14:textId="77777777" w:rsidR="007B1C5D" w:rsidRDefault="007B1C5D">
      <w:pPr>
        <w:spacing w:after="0" w:line="240" w:lineRule="auto"/>
      </w:pPr>
      <w:r>
        <w:continuationSeparator/>
      </w:r>
    </w:p>
  </w:endnote>
  <w:endnote w:type="continuationNotice" w:id="1">
    <w:p w14:paraId="7E065E70" w14:textId="77777777" w:rsidR="007B1C5D" w:rsidRDefault="007B1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8752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B177C" w14:textId="5DC8DAEE" w:rsidR="00580D04" w:rsidRDefault="00580D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D2D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52BB177D" w14:textId="77777777" w:rsidR="00580D04" w:rsidRDefault="00580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C15F3" w14:textId="77777777" w:rsidR="007B1C5D" w:rsidRDefault="007B1C5D">
      <w:pPr>
        <w:spacing w:after="0" w:line="240" w:lineRule="auto"/>
      </w:pPr>
      <w:r>
        <w:separator/>
      </w:r>
    </w:p>
  </w:footnote>
  <w:footnote w:type="continuationSeparator" w:id="0">
    <w:p w14:paraId="32504ECF" w14:textId="77777777" w:rsidR="007B1C5D" w:rsidRDefault="007B1C5D">
      <w:pPr>
        <w:spacing w:after="0" w:line="240" w:lineRule="auto"/>
      </w:pPr>
      <w:r>
        <w:continuationSeparator/>
      </w:r>
    </w:p>
  </w:footnote>
  <w:footnote w:type="continuationNotice" w:id="1">
    <w:p w14:paraId="7A0C0EAE" w14:textId="77777777" w:rsidR="007B1C5D" w:rsidRDefault="007B1C5D">
      <w:pPr>
        <w:spacing w:after="0" w:line="240" w:lineRule="auto"/>
      </w:pPr>
    </w:p>
  </w:footnote>
  <w:footnote w:id="2">
    <w:p w14:paraId="7EC85AB8" w14:textId="5524B8E7" w:rsidR="000A4721" w:rsidRPr="000A4721" w:rsidRDefault="000A472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GB"/>
        </w:rPr>
        <w:t>Partnertiteti</w:t>
      </w:r>
      <w:proofErr w:type="spellEnd"/>
      <w:r>
        <w:rPr>
          <w:lang w:val="en-GB"/>
        </w:rPr>
        <w:t xml:space="preserve"> Publik Privat</w:t>
      </w:r>
    </w:p>
  </w:footnote>
  <w:footnote w:id="3">
    <w:p w14:paraId="2661CD90" w14:textId="2DEB25D2" w:rsidR="00CC43FE" w:rsidRPr="00CC43FE" w:rsidRDefault="00CC43F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B636EA">
        <w:t>SH</w:t>
      </w:r>
      <w:r w:rsidR="009F65D7">
        <w:t>PSH</w:t>
      </w:r>
      <w:r w:rsidR="00B636EA">
        <w:t xml:space="preserve"> </w:t>
      </w:r>
      <w:r w:rsidR="009F65D7">
        <w:t>–</w:t>
      </w:r>
      <w:r w:rsidR="00B636EA">
        <w:t xml:space="preserve"> </w:t>
      </w:r>
      <w:proofErr w:type="spellStart"/>
      <w:r w:rsidR="009F65D7">
        <w:rPr>
          <w:lang w:val="en-GB"/>
        </w:rPr>
        <w:t>Shoq</w:t>
      </w:r>
      <w:r w:rsidR="006766C9">
        <w:rPr>
          <w:lang w:val="en-GB"/>
        </w:rPr>
        <w:t>ë</w:t>
      </w:r>
      <w:r w:rsidR="009F65D7">
        <w:rPr>
          <w:lang w:val="en-GB"/>
        </w:rPr>
        <w:t>ri</w:t>
      </w:r>
      <w:proofErr w:type="spellEnd"/>
      <w:r w:rsidR="009F65D7">
        <w:rPr>
          <w:lang w:val="en-GB"/>
        </w:rPr>
        <w:t xml:space="preserve"> </w:t>
      </w:r>
      <w:proofErr w:type="spellStart"/>
      <w:r w:rsidR="009F65D7">
        <w:rPr>
          <w:lang w:val="en-GB"/>
        </w:rPr>
        <w:t>n</w:t>
      </w:r>
      <w:r w:rsidR="006766C9">
        <w:rPr>
          <w:lang w:val="en-GB"/>
        </w:rPr>
        <w:t>ë</w:t>
      </w:r>
      <w:proofErr w:type="spellEnd"/>
      <w:r w:rsidR="009F65D7">
        <w:rPr>
          <w:lang w:val="en-GB"/>
        </w:rPr>
        <w:t xml:space="preserve"> </w:t>
      </w:r>
      <w:proofErr w:type="spellStart"/>
      <w:r w:rsidR="009F65D7">
        <w:rPr>
          <w:lang w:val="en-GB"/>
        </w:rPr>
        <w:t>Pron</w:t>
      </w:r>
      <w:r w:rsidR="006766C9">
        <w:rPr>
          <w:lang w:val="en-GB"/>
        </w:rPr>
        <w:t>ë</w:t>
      </w:r>
      <w:r w:rsidR="009F65D7">
        <w:rPr>
          <w:lang w:val="en-GB"/>
        </w:rPr>
        <w:t>si</w:t>
      </w:r>
      <w:proofErr w:type="spellEnd"/>
      <w:r w:rsidR="009F65D7">
        <w:rPr>
          <w:lang w:val="en-GB"/>
        </w:rPr>
        <w:t xml:space="preserve"> </w:t>
      </w:r>
      <w:proofErr w:type="spellStart"/>
      <w:r w:rsidR="009F65D7">
        <w:rPr>
          <w:lang w:val="en-GB"/>
        </w:rPr>
        <w:t>Shtet</w:t>
      </w:r>
      <w:r w:rsidR="006766C9">
        <w:rPr>
          <w:lang w:val="en-GB"/>
        </w:rPr>
        <w:t>ë</w:t>
      </w:r>
      <w:r w:rsidR="009F65D7">
        <w:rPr>
          <w:lang w:val="en-GB"/>
        </w:rPr>
        <w:t>rore</w:t>
      </w:r>
      <w:proofErr w:type="spellEnd"/>
      <w:r w:rsidR="002B05E2">
        <w:rPr>
          <w:lang w:val="en-GB"/>
        </w:rPr>
        <w:t xml:space="preserve"> </w:t>
      </w:r>
    </w:p>
  </w:footnote>
  <w:footnote w:id="4">
    <w:p w14:paraId="2999C9D7" w14:textId="3496930E" w:rsidR="00E57CAD" w:rsidRPr="00E57CAD" w:rsidRDefault="00E57CA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Electronic Freight Transport Information</w:t>
      </w:r>
      <w:r w:rsidR="00480950">
        <w:rPr>
          <w:lang w:val="en-GB"/>
        </w:rPr>
        <w:t xml:space="preserve"> (e-FTI)</w:t>
      </w:r>
    </w:p>
  </w:footnote>
  <w:footnote w:id="5">
    <w:p w14:paraId="3EDF090F" w14:textId="63148E8B" w:rsidR="00624F35" w:rsidRPr="00624F35" w:rsidRDefault="00624F3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e-CRM (Electronic Consignment Note)</w:t>
      </w:r>
    </w:p>
  </w:footnote>
  <w:footnote w:id="6">
    <w:p w14:paraId="073127F8" w14:textId="1BA58D1D" w:rsidR="001B1E94" w:rsidRPr="001B1E94" w:rsidRDefault="001B1E9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="00624F35">
        <w:rPr>
          <w:lang w:val="en-GB"/>
        </w:rPr>
        <w:t>ITS - Intelligent Transport Systems</w:t>
      </w:r>
      <w:r w:rsidR="00F30EB8">
        <w:rPr>
          <w:lang w:val="en-GB"/>
        </w:rPr>
        <w:t xml:space="preserve"> / SIT </w:t>
      </w:r>
      <w:proofErr w:type="gramStart"/>
      <w:r w:rsidR="00F30EB8">
        <w:rPr>
          <w:lang w:val="en-GB"/>
        </w:rPr>
        <w:t xml:space="preserve">-  </w:t>
      </w:r>
      <w:proofErr w:type="spellStart"/>
      <w:r w:rsidR="00F30EB8">
        <w:rPr>
          <w:lang w:val="en-GB"/>
        </w:rPr>
        <w:t>Sistemet</w:t>
      </w:r>
      <w:proofErr w:type="spellEnd"/>
      <w:proofErr w:type="gramEnd"/>
      <w:r w:rsidR="00F30EB8">
        <w:rPr>
          <w:lang w:val="en-GB"/>
        </w:rPr>
        <w:t xml:space="preserve"> </w:t>
      </w:r>
      <w:proofErr w:type="spellStart"/>
      <w:r w:rsidR="00F30EB8">
        <w:rPr>
          <w:lang w:val="en-GB"/>
        </w:rPr>
        <w:t>Inteligjente</w:t>
      </w:r>
      <w:proofErr w:type="spellEnd"/>
      <w:r w:rsidR="00F30EB8">
        <w:rPr>
          <w:lang w:val="en-GB"/>
        </w:rPr>
        <w:t xml:space="preserve"> </w:t>
      </w:r>
      <w:proofErr w:type="spellStart"/>
      <w:r w:rsidR="00F30EB8">
        <w:rPr>
          <w:lang w:val="en-GB"/>
        </w:rPr>
        <w:t>t</w:t>
      </w:r>
      <w:r w:rsidR="000E2AAE">
        <w:rPr>
          <w:lang w:val="en-GB"/>
        </w:rPr>
        <w:t>ë</w:t>
      </w:r>
      <w:proofErr w:type="spellEnd"/>
      <w:r w:rsidR="00F30EB8">
        <w:rPr>
          <w:lang w:val="en-GB"/>
        </w:rPr>
        <w:t xml:space="preserve"> </w:t>
      </w:r>
      <w:proofErr w:type="spellStart"/>
      <w:r w:rsidR="00F30EB8">
        <w:rPr>
          <w:lang w:val="en-GB"/>
        </w:rPr>
        <w:t>Transportit</w:t>
      </w:r>
      <w:proofErr w:type="spellEnd"/>
    </w:p>
  </w:footnote>
  <w:footnote w:id="7">
    <w:p w14:paraId="263848CF" w14:textId="1923B46C" w:rsidR="009968C9" w:rsidRDefault="009968C9" w:rsidP="009968C9">
      <w:pPr>
        <w:pStyle w:val="FootnoteText"/>
      </w:pPr>
      <w:r>
        <w:rPr>
          <w:rStyle w:val="FootnoteReference"/>
        </w:rPr>
        <w:footnoteRef/>
      </w:r>
      <w:r w:rsidRPr="009968C9">
        <w:rPr>
          <w:rFonts w:ascii="Segoe UI" w:hAnsi="Segoe UI" w:cs="Segoe UI"/>
          <w:i/>
          <w:iCs/>
          <w:color w:val="242424"/>
          <w:sz w:val="18"/>
          <w:szCs w:val="18"/>
          <w:shd w:val="clear" w:color="auto" w:fill="FFFFFF"/>
        </w:rPr>
        <w:t>Ky hap i reformës është pa paragjykim ndaj rregullave për aktivitetet e pranueshme, ku mbështetja e marrë nga një program tjetër financimi nuk mund të mbulojë të njëjtën kosto.</w:t>
      </w:r>
      <w:r w:rsidRPr="00291F0A">
        <w:rPr>
          <w:rFonts w:ascii="Segoe UI" w:hAnsi="Segoe UI" w:cs="Segoe UI"/>
          <w:i/>
          <w:iCs/>
          <w:color w:val="242424"/>
          <w:sz w:val="18"/>
          <w:szCs w:val="18"/>
          <w:shd w:val="clear" w:color="auto" w:fill="FFFFFF"/>
        </w:rPr>
        <w:t>.</w:t>
      </w:r>
    </w:p>
  </w:footnote>
  <w:footnote w:id="8">
    <w:p w14:paraId="49B2261D" w14:textId="2AF928F5" w:rsidR="002452A8" w:rsidRPr="00ED33CD" w:rsidRDefault="002452A8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>
        <w:t xml:space="preserve"> </w:t>
      </w:r>
      <w:r w:rsidRPr="00ED33CD">
        <w:rPr>
          <w:lang w:val="it-IT"/>
        </w:rPr>
        <w:t>AFP- Arsimi dhe Formimi Profesional</w:t>
      </w:r>
    </w:p>
  </w:footnote>
  <w:footnote w:id="9">
    <w:p w14:paraId="70B18C93" w14:textId="4513D374" w:rsidR="00F7172B" w:rsidRPr="009A097E" w:rsidRDefault="00F7172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S3 – Smart </w:t>
      </w:r>
      <w:proofErr w:type="spellStart"/>
      <w:r>
        <w:rPr>
          <w:lang w:val="en-US"/>
        </w:rPr>
        <w:t>Specialisation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Strategy  -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Strategjia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Specializimit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Inteligjent</w:t>
      </w:r>
      <w:proofErr w:type="spellEnd"/>
      <w:r>
        <w:rPr>
          <w:lang w:val="en-US"/>
        </w:rPr>
        <w:t xml:space="preserve"> (SSI)</w:t>
      </w:r>
    </w:p>
  </w:footnote>
  <w:footnote w:id="10">
    <w:p w14:paraId="6E3E8F9B" w14:textId="4E45000F" w:rsidR="002452A8" w:rsidRPr="00480950" w:rsidRDefault="002452A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ESG – European Standards and Guidelines</w:t>
      </w:r>
    </w:p>
  </w:footnote>
  <w:footnote w:id="11">
    <w:p w14:paraId="12C28074" w14:textId="6D55BC55" w:rsidR="002452A8" w:rsidRPr="00CB7237" w:rsidRDefault="002452A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Program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Ministrisë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Arsimit</w:t>
      </w:r>
      <w:proofErr w:type="spellEnd"/>
      <w:r>
        <w:rPr>
          <w:lang w:val="en-GB"/>
        </w:rPr>
        <w:t xml:space="preserve"> dhe </w:t>
      </w:r>
      <w:proofErr w:type="spellStart"/>
      <w:r>
        <w:rPr>
          <w:lang w:val="en-GB"/>
        </w:rPr>
        <w:t>Sporteve</w:t>
      </w:r>
      <w:proofErr w:type="spellEnd"/>
    </w:p>
  </w:footnote>
  <w:footnote w:id="12">
    <w:p w14:paraId="25BEFB03" w14:textId="582B3C9B" w:rsidR="002452A8" w:rsidRDefault="002452A8" w:rsidP="004661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87907">
        <w:t>Ky hap i reformës është pa paragjykim ndaj rregullave për aktivitetet e pranueshme, ku mbështetja e marrë nga një program tjetër financimi nuk mund të mbulojë të njëjtën kosto.</w:t>
      </w:r>
    </w:p>
  </w:footnote>
  <w:footnote w:id="13">
    <w:p w14:paraId="0E6F32E3" w14:textId="01BD8369" w:rsidR="00632BE4" w:rsidRPr="009A097E" w:rsidRDefault="00632BE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IAL – </w:t>
      </w:r>
      <w:proofErr w:type="spellStart"/>
      <w:r>
        <w:rPr>
          <w:lang w:val="en-US"/>
        </w:rPr>
        <w:t>Institucionet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Arsimit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="000E2AAE">
        <w:rPr>
          <w:lang w:val="en-US"/>
        </w:rPr>
        <w:t>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Lart</w:t>
      </w:r>
      <w:r w:rsidR="000E2AAE">
        <w:rPr>
          <w:lang w:val="en-US"/>
        </w:rPr>
        <w:t>ë</w:t>
      </w:r>
      <w:proofErr w:type="spellEnd"/>
    </w:p>
  </w:footnote>
  <w:footnote w:id="14">
    <w:p w14:paraId="05B8F0F6" w14:textId="7D27CFC8" w:rsidR="002452A8" w:rsidRPr="00CB7237" w:rsidRDefault="002452A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SHKP – </w:t>
      </w:r>
      <w:proofErr w:type="spellStart"/>
      <w:r>
        <w:rPr>
          <w:lang w:val="en-GB"/>
        </w:rPr>
        <w:t>Shërbimi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Kombëtar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Punësimit</w:t>
      </w:r>
      <w:proofErr w:type="spellEnd"/>
    </w:p>
  </w:footnote>
  <w:footnote w:id="15">
    <w:p w14:paraId="6CD69DAA" w14:textId="33C60964" w:rsidR="002452A8" w:rsidRPr="00894A91" w:rsidRDefault="002452A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AKKSHI - </w:t>
      </w:r>
      <w:proofErr w:type="spellStart"/>
      <w:r>
        <w:rPr>
          <w:lang w:val="en-GB"/>
        </w:rPr>
        <w:t>Agjencia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Kombëtare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Kërkimit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Shkencor</w:t>
      </w:r>
      <w:proofErr w:type="spellEnd"/>
      <w:r>
        <w:rPr>
          <w:lang w:val="en-GB"/>
        </w:rPr>
        <w:t xml:space="preserve"> dhe </w:t>
      </w:r>
      <w:proofErr w:type="spellStart"/>
      <w:r>
        <w:rPr>
          <w:lang w:val="en-GB"/>
        </w:rPr>
        <w:t>Inovacionit</w:t>
      </w:r>
      <w:proofErr w:type="spellEnd"/>
    </w:p>
  </w:footnote>
  <w:footnote w:id="16">
    <w:p w14:paraId="69B04C16" w14:textId="25615176" w:rsidR="002452A8" w:rsidRPr="00894A91" w:rsidRDefault="002452A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NIS - Netëork and Information Security (NIS) Directive of EU</w:t>
      </w:r>
    </w:p>
  </w:footnote>
  <w:footnote w:id="17">
    <w:p w14:paraId="39CD4F9B" w14:textId="1AA0E1A3" w:rsidR="002452A8" w:rsidRPr="00894A91" w:rsidRDefault="002452A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 CERT - </w:t>
      </w:r>
      <w:r w:rsidRPr="00894A91">
        <w:t>Computer Emergency Response Team.</w:t>
      </w:r>
    </w:p>
  </w:footnote>
  <w:footnote w:id="18">
    <w:p w14:paraId="30E6A904" w14:textId="208BF672" w:rsidR="002452A8" w:rsidRPr="00894A91" w:rsidRDefault="002452A8">
      <w:pPr>
        <w:pStyle w:val="FootnoteText"/>
        <w:rPr>
          <w:rFonts w:ascii="Calibri" w:eastAsia="Calibri" w:hAnsi="Calibri" w:cs="Calibri"/>
          <w:sz w:val="19"/>
          <w:szCs w:val="19"/>
        </w:rPr>
      </w:pPr>
      <w:r>
        <w:rPr>
          <w:rStyle w:val="FootnoteReference"/>
        </w:rPr>
        <w:footnoteRef/>
      </w:r>
      <w:r>
        <w:t xml:space="preserve"> AKSK - </w:t>
      </w:r>
      <w:r w:rsidRPr="00894A91">
        <w:rPr>
          <w:rFonts w:ascii="Calibri" w:eastAsia="Calibri" w:hAnsi="Calibri" w:cs="Calibri"/>
          <w:sz w:val="19"/>
          <w:szCs w:val="19"/>
        </w:rPr>
        <w:t>Autoriteti Kombëtar për Sigurinë Kibernetike (AKSK)</w:t>
      </w:r>
    </w:p>
  </w:footnote>
  <w:footnote w:id="19">
    <w:p w14:paraId="52BB177E" w14:textId="77777777" w:rsidR="002A5F18" w:rsidRPr="000161D3" w:rsidRDefault="002A5F18" w:rsidP="00385E8D">
      <w:pPr>
        <w:pStyle w:val="FootnoteText"/>
      </w:pPr>
      <w:r w:rsidRPr="000161D3">
        <w:rPr>
          <w:rStyle w:val="FootnoteReference"/>
        </w:rPr>
        <w:footnoteRef/>
      </w:r>
      <w:r w:rsidRPr="000161D3">
        <w:t xml:space="preserve"> </w:t>
      </w:r>
      <w:r w:rsidRPr="000161D3">
        <w:rPr>
          <w:rFonts w:ascii="Calibri" w:eastAsia="Calibri" w:hAnsi="Calibri" w:cs="Calibri"/>
          <w:sz w:val="19"/>
          <w:szCs w:val="19"/>
        </w:rPr>
        <w:t>Afatet janë pa paragjykim të afatit ligjor të përcaktuar në Paketën e Integrimit të Energjisë Elektrike</w:t>
      </w:r>
    </w:p>
  </w:footnote>
  <w:footnote w:id="20">
    <w:p w14:paraId="4EEA96B6" w14:textId="1DEFDA93" w:rsidR="00894A91" w:rsidRPr="00894A91" w:rsidRDefault="00894A9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GB"/>
        </w:rPr>
        <w:t>Operatori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Sistemit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E80B5D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Shperndarjes</w:t>
      </w:r>
      <w:proofErr w:type="spellEnd"/>
      <w:r>
        <w:rPr>
          <w:lang w:val="en-GB"/>
        </w:rPr>
        <w:t xml:space="preserve"> </w:t>
      </w:r>
    </w:p>
  </w:footnote>
  <w:footnote w:id="21">
    <w:p w14:paraId="2DD6CCAD" w14:textId="6F8EBD03" w:rsidR="002D22BD" w:rsidRPr="002D22BD" w:rsidRDefault="002D22B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2D22BD">
        <w:rPr>
          <w:sz w:val="18"/>
          <w:szCs w:val="18"/>
          <w:lang w:val="en-GB"/>
        </w:rPr>
        <w:t xml:space="preserve">RES – </w:t>
      </w:r>
      <w:proofErr w:type="spellStart"/>
      <w:r w:rsidRPr="002D22BD">
        <w:rPr>
          <w:sz w:val="18"/>
          <w:szCs w:val="18"/>
          <w:lang w:val="en-GB"/>
        </w:rPr>
        <w:t>Rene</w:t>
      </w:r>
      <w:r w:rsidR="000F394D">
        <w:rPr>
          <w:sz w:val="18"/>
          <w:szCs w:val="18"/>
          <w:lang w:val="en-GB"/>
        </w:rPr>
        <w:t>ë</w:t>
      </w:r>
      <w:r w:rsidRPr="002D22BD">
        <w:rPr>
          <w:sz w:val="18"/>
          <w:szCs w:val="18"/>
          <w:lang w:val="en-GB"/>
        </w:rPr>
        <w:t>able</w:t>
      </w:r>
      <w:proofErr w:type="spellEnd"/>
      <w:r w:rsidRPr="002D22BD">
        <w:rPr>
          <w:sz w:val="18"/>
          <w:szCs w:val="18"/>
          <w:lang w:val="en-GB"/>
        </w:rPr>
        <w:t xml:space="preserve"> Energy Sources</w:t>
      </w:r>
    </w:p>
  </w:footnote>
  <w:footnote w:id="22">
    <w:p w14:paraId="614A2B72" w14:textId="46E0A5DA" w:rsidR="00F2431E" w:rsidRPr="00F2431E" w:rsidRDefault="00F2431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ETS – Emitting Trade System (ETS) – </w:t>
      </w:r>
      <w:proofErr w:type="spellStart"/>
      <w:r>
        <w:rPr>
          <w:lang w:val="en-GB"/>
        </w:rPr>
        <w:t>Sistemi</w:t>
      </w:r>
      <w:proofErr w:type="spellEnd"/>
      <w:r>
        <w:rPr>
          <w:lang w:val="en-GB"/>
        </w:rPr>
        <w:t xml:space="preserve"> </w:t>
      </w:r>
      <w:proofErr w:type="spellStart"/>
      <w:r w:rsidR="007D2948">
        <w:rPr>
          <w:lang w:val="en-GB"/>
        </w:rPr>
        <w:t>i</w:t>
      </w:r>
      <w:proofErr w:type="spellEnd"/>
      <w:r w:rsidR="007D2948">
        <w:rPr>
          <w:lang w:val="en-GB"/>
        </w:rPr>
        <w:t xml:space="preserve"> </w:t>
      </w:r>
      <w:proofErr w:type="spellStart"/>
      <w:r w:rsidR="007D2948">
        <w:rPr>
          <w:lang w:val="en-GB"/>
        </w:rPr>
        <w:t>Tregtis</w:t>
      </w:r>
      <w:r w:rsidR="006B214F">
        <w:rPr>
          <w:lang w:val="en-GB"/>
        </w:rPr>
        <w:t>ë</w:t>
      </w:r>
      <w:proofErr w:type="spellEnd"/>
      <w:r w:rsidR="007D2948">
        <w:rPr>
          <w:lang w:val="en-GB"/>
        </w:rPr>
        <w:t xml:space="preserve"> </w:t>
      </w:r>
      <w:proofErr w:type="spellStart"/>
      <w:r w:rsidR="007D2948">
        <w:rPr>
          <w:lang w:val="en-GB"/>
        </w:rPr>
        <w:t>s</w:t>
      </w:r>
      <w:r w:rsidR="006B214F">
        <w:rPr>
          <w:lang w:val="en-GB"/>
        </w:rPr>
        <w:t>ë</w:t>
      </w:r>
      <w:proofErr w:type="spellEnd"/>
      <w:r w:rsidR="007D2948">
        <w:rPr>
          <w:lang w:val="en-GB"/>
        </w:rPr>
        <w:t xml:space="preserve"> </w:t>
      </w:r>
      <w:proofErr w:type="spellStart"/>
      <w:r w:rsidR="007D2948">
        <w:rPr>
          <w:lang w:val="en-GB"/>
        </w:rPr>
        <w:t>Emetimeve</w:t>
      </w:r>
      <w:proofErr w:type="spellEnd"/>
      <w:r w:rsidR="007D2948">
        <w:rPr>
          <w:lang w:val="en-GB"/>
        </w:rPr>
        <w:t xml:space="preserve"> (</w:t>
      </w:r>
      <w:proofErr w:type="spellStart"/>
      <w:r w:rsidR="007D2948">
        <w:rPr>
          <w:lang w:val="en-GB"/>
        </w:rPr>
        <w:t>t</w:t>
      </w:r>
      <w:r w:rsidR="006B214F">
        <w:rPr>
          <w:lang w:val="en-GB"/>
        </w:rPr>
        <w:t>ë</w:t>
      </w:r>
      <w:proofErr w:type="spellEnd"/>
      <w:r w:rsidR="007D2948">
        <w:rPr>
          <w:lang w:val="en-GB"/>
        </w:rPr>
        <w:t xml:space="preserve"> </w:t>
      </w:r>
      <w:proofErr w:type="spellStart"/>
      <w:r w:rsidR="007D2948">
        <w:rPr>
          <w:lang w:val="en-GB"/>
        </w:rPr>
        <w:t>karbonit</w:t>
      </w:r>
      <w:proofErr w:type="spellEnd"/>
      <w:r w:rsidR="007D2948">
        <w:rPr>
          <w:lang w:val="en-GB"/>
        </w:rPr>
        <w:t>)</w:t>
      </w:r>
    </w:p>
  </w:footnote>
  <w:footnote w:id="23">
    <w:p w14:paraId="42C3AE98" w14:textId="578DC8AE" w:rsidR="007A0C1F" w:rsidRDefault="007A0C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2431E" w:rsidRPr="00E25862">
        <w:rPr>
          <w:rFonts w:cstheme="minorHAnsi"/>
          <w:color w:val="242424"/>
          <w:bdr w:val="none" w:sz="0" w:space="0" w:color="auto" w:frame="1"/>
        </w:rPr>
        <w:t>Hapat e reformës nuk paragjykojnë afatet ligjërisht të detyrueshme të përcaktuara sipas Traktatit të Komunitetit të Energjisë dhe nuk ndikojnë në zbatueshmërinë dhe vënien në funksion t</w:t>
      </w:r>
      <w:r w:rsidR="006B214F" w:rsidRPr="00E25862">
        <w:rPr>
          <w:rFonts w:cstheme="minorHAnsi"/>
          <w:color w:val="242424"/>
          <w:bdr w:val="none" w:sz="0" w:space="0" w:color="auto" w:frame="1"/>
        </w:rPr>
        <w:t>ë</w:t>
      </w:r>
      <w:r w:rsidR="00F2431E" w:rsidRPr="00E25862">
        <w:rPr>
          <w:rFonts w:cstheme="minorHAnsi"/>
          <w:color w:val="242424"/>
          <w:bdr w:val="none" w:sz="0" w:space="0" w:color="auto" w:frame="1"/>
        </w:rPr>
        <w:t xml:space="preserve"> këtij të fundit dhe anasjelltas.</w:t>
      </w:r>
    </w:p>
  </w:footnote>
  <w:footnote w:id="24">
    <w:p w14:paraId="20574439" w14:textId="1530A7D7" w:rsidR="00CC028E" w:rsidRPr="00CC028E" w:rsidRDefault="00CC028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rPr>
          <w:rStyle w:val="FootnoteReference"/>
        </w:rPr>
        <w:footnoteRef/>
      </w:r>
      <w:r>
        <w:t xml:space="preserve"> European Commission for the Efficiency of Justice (CEPEJ)</w:t>
      </w:r>
    </w:p>
  </w:footnote>
  <w:footnote w:id="25">
    <w:p w14:paraId="0DE4D00C" w14:textId="77777777" w:rsidR="00711B96" w:rsidRPr="005A4608" w:rsidRDefault="00711B9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C83830">
        <w:rPr>
          <w:rFonts w:cstheme="minorHAnsi"/>
          <w:lang w:val="sq-AL"/>
        </w:rPr>
        <w:t>ICMS (Integrated Case Management System)</w:t>
      </w:r>
    </w:p>
  </w:footnote>
  <w:footnote w:id="26">
    <w:p w14:paraId="4945593D" w14:textId="32E29DCA" w:rsidR="00C83830" w:rsidRPr="00C83830" w:rsidRDefault="00C8383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GB"/>
        </w:rPr>
        <w:t>Komisioni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Venecias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7755"/>
    <w:multiLevelType w:val="multilevel"/>
    <w:tmpl w:val="B52268E0"/>
    <w:lvl w:ilvl="0">
      <w:start w:val="1"/>
      <w:numFmt w:val="decimal"/>
      <w:lvlText w:val="%1."/>
      <w:lvlJc w:val="left"/>
      <w:pPr>
        <w:ind w:left="504" w:hanging="504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Theme="minorHAnsi" w:hAnsiTheme="minorHAnsi" w:cstheme="minorBidi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1" w15:restartNumberingAfterBreak="0">
    <w:nsid w:val="1E5A1909"/>
    <w:multiLevelType w:val="multilevel"/>
    <w:tmpl w:val="5264358A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52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440"/>
      </w:pPr>
    </w:lvl>
    <w:lvl w:ilvl="7">
      <w:start w:val="1"/>
      <w:numFmt w:val="decimal"/>
      <w:lvlText w:val="%1.%2.%3.%4.%5.%6.%7.%8."/>
      <w:lvlJc w:val="left"/>
      <w:pPr>
        <w:ind w:left="324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" w15:restartNumberingAfterBreak="0">
    <w:nsid w:val="21FA2A73"/>
    <w:multiLevelType w:val="multilevel"/>
    <w:tmpl w:val="86E0D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996" w:hanging="720"/>
      </w:pPr>
      <w:rPr>
        <w:color w:val="000000" w:themeColor="text1"/>
      </w:rPr>
    </w:lvl>
    <w:lvl w:ilvl="3">
      <w:start w:val="1"/>
      <w:numFmt w:val="decimal"/>
      <w:lvlText w:val="%1.%2.1.%4."/>
      <w:lvlJc w:val="left"/>
      <w:pPr>
        <w:ind w:left="1570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5900943"/>
    <w:multiLevelType w:val="multilevel"/>
    <w:tmpl w:val="6B3C46C2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37706F"/>
    <w:multiLevelType w:val="multilevel"/>
    <w:tmpl w:val="51BC2A5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25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3D86115C"/>
    <w:multiLevelType w:val="multilevel"/>
    <w:tmpl w:val="650AA99E"/>
    <w:lvl w:ilvl="0">
      <w:start w:val="5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790A79"/>
    <w:multiLevelType w:val="multilevel"/>
    <w:tmpl w:val="5264358A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7" w15:restartNumberingAfterBreak="0">
    <w:nsid w:val="544F28CB"/>
    <w:multiLevelType w:val="multilevel"/>
    <w:tmpl w:val="01405C3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440"/>
      </w:pPr>
    </w:lvl>
    <w:lvl w:ilvl="7">
      <w:start w:val="1"/>
      <w:numFmt w:val="decimal"/>
      <w:lvlText w:val="%1.%2.%3.%4.%5.%6.%7.%8."/>
      <w:lvlJc w:val="left"/>
      <w:pPr>
        <w:ind w:left="324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8" w15:restartNumberingAfterBreak="0">
    <w:nsid w:val="63F62AE6"/>
    <w:multiLevelType w:val="multilevel"/>
    <w:tmpl w:val="F69C85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2946432">
    <w:abstractNumId w:val="7"/>
  </w:num>
  <w:num w:numId="2" w16cid:durableId="709501580">
    <w:abstractNumId w:val="6"/>
  </w:num>
  <w:num w:numId="3" w16cid:durableId="1601766121">
    <w:abstractNumId w:val="2"/>
  </w:num>
  <w:num w:numId="4" w16cid:durableId="1860002562">
    <w:abstractNumId w:val="1"/>
  </w:num>
  <w:num w:numId="5" w16cid:durableId="1104761600">
    <w:abstractNumId w:val="4"/>
  </w:num>
  <w:num w:numId="6" w16cid:durableId="204871778">
    <w:abstractNumId w:val="8"/>
  </w:num>
  <w:num w:numId="7" w16cid:durableId="2126458983">
    <w:abstractNumId w:val="0"/>
  </w:num>
  <w:num w:numId="8" w16cid:durableId="2087728416">
    <w:abstractNumId w:val="3"/>
  </w:num>
  <w:num w:numId="9" w16cid:durableId="140248444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C434B"/>
    <w:rsid w:val="00000119"/>
    <w:rsid w:val="0000041E"/>
    <w:rsid w:val="0000075E"/>
    <w:rsid w:val="00000792"/>
    <w:rsid w:val="00000A8A"/>
    <w:rsid w:val="00000F00"/>
    <w:rsid w:val="00000FB9"/>
    <w:rsid w:val="000029D0"/>
    <w:rsid w:val="00002C54"/>
    <w:rsid w:val="00006CEE"/>
    <w:rsid w:val="00007E7B"/>
    <w:rsid w:val="0001004B"/>
    <w:rsid w:val="0001082D"/>
    <w:rsid w:val="00010C6C"/>
    <w:rsid w:val="00010FC2"/>
    <w:rsid w:val="0001109E"/>
    <w:rsid w:val="00012C0F"/>
    <w:rsid w:val="00015C57"/>
    <w:rsid w:val="00015E11"/>
    <w:rsid w:val="000161D3"/>
    <w:rsid w:val="00016B92"/>
    <w:rsid w:val="00016F39"/>
    <w:rsid w:val="000171F3"/>
    <w:rsid w:val="000174BE"/>
    <w:rsid w:val="000201EA"/>
    <w:rsid w:val="00020C35"/>
    <w:rsid w:val="00020F56"/>
    <w:rsid w:val="0002134A"/>
    <w:rsid w:val="0002177D"/>
    <w:rsid w:val="00021A11"/>
    <w:rsid w:val="00021E8C"/>
    <w:rsid w:val="00022F2F"/>
    <w:rsid w:val="00023183"/>
    <w:rsid w:val="00023420"/>
    <w:rsid w:val="0002385A"/>
    <w:rsid w:val="00024F0C"/>
    <w:rsid w:val="000251C7"/>
    <w:rsid w:val="000256B0"/>
    <w:rsid w:val="00025A6B"/>
    <w:rsid w:val="00025C9B"/>
    <w:rsid w:val="00025FE0"/>
    <w:rsid w:val="0002741D"/>
    <w:rsid w:val="00027A1C"/>
    <w:rsid w:val="00027DEE"/>
    <w:rsid w:val="00030C1F"/>
    <w:rsid w:val="0003117C"/>
    <w:rsid w:val="000313BC"/>
    <w:rsid w:val="00031AB8"/>
    <w:rsid w:val="00032A69"/>
    <w:rsid w:val="00032B24"/>
    <w:rsid w:val="00032EA1"/>
    <w:rsid w:val="00033945"/>
    <w:rsid w:val="00033BA7"/>
    <w:rsid w:val="0003481D"/>
    <w:rsid w:val="00036570"/>
    <w:rsid w:val="00036A1B"/>
    <w:rsid w:val="00037543"/>
    <w:rsid w:val="00037AE8"/>
    <w:rsid w:val="00037EBD"/>
    <w:rsid w:val="000414BB"/>
    <w:rsid w:val="00041874"/>
    <w:rsid w:val="00041CC3"/>
    <w:rsid w:val="00042E9E"/>
    <w:rsid w:val="000434F6"/>
    <w:rsid w:val="0004361B"/>
    <w:rsid w:val="000438FB"/>
    <w:rsid w:val="00043D76"/>
    <w:rsid w:val="00043FC0"/>
    <w:rsid w:val="000454B8"/>
    <w:rsid w:val="000462F6"/>
    <w:rsid w:val="0004743E"/>
    <w:rsid w:val="000477B3"/>
    <w:rsid w:val="00047B3B"/>
    <w:rsid w:val="00047D0E"/>
    <w:rsid w:val="00050891"/>
    <w:rsid w:val="000509E3"/>
    <w:rsid w:val="0005146C"/>
    <w:rsid w:val="00051535"/>
    <w:rsid w:val="00051983"/>
    <w:rsid w:val="00051BAD"/>
    <w:rsid w:val="000538FB"/>
    <w:rsid w:val="00053B38"/>
    <w:rsid w:val="00054755"/>
    <w:rsid w:val="00054813"/>
    <w:rsid w:val="00054E67"/>
    <w:rsid w:val="00055309"/>
    <w:rsid w:val="00055F0B"/>
    <w:rsid w:val="00055F57"/>
    <w:rsid w:val="00056782"/>
    <w:rsid w:val="00056E36"/>
    <w:rsid w:val="000570F9"/>
    <w:rsid w:val="000579F0"/>
    <w:rsid w:val="00057E59"/>
    <w:rsid w:val="000603F4"/>
    <w:rsid w:val="0006155D"/>
    <w:rsid w:val="00061D95"/>
    <w:rsid w:val="00061E3D"/>
    <w:rsid w:val="000637E2"/>
    <w:rsid w:val="00064AC2"/>
    <w:rsid w:val="00064FFE"/>
    <w:rsid w:val="00065496"/>
    <w:rsid w:val="00065728"/>
    <w:rsid w:val="000657DD"/>
    <w:rsid w:val="0006581B"/>
    <w:rsid w:val="00065BDA"/>
    <w:rsid w:val="00065F5B"/>
    <w:rsid w:val="00066667"/>
    <w:rsid w:val="00066808"/>
    <w:rsid w:val="00066A6D"/>
    <w:rsid w:val="00066FAE"/>
    <w:rsid w:val="00067A19"/>
    <w:rsid w:val="00070F91"/>
    <w:rsid w:val="000723D8"/>
    <w:rsid w:val="000723F5"/>
    <w:rsid w:val="0007267C"/>
    <w:rsid w:val="00072B87"/>
    <w:rsid w:val="00072ED1"/>
    <w:rsid w:val="0007365E"/>
    <w:rsid w:val="00073BA4"/>
    <w:rsid w:val="00073C3F"/>
    <w:rsid w:val="00074161"/>
    <w:rsid w:val="000746C3"/>
    <w:rsid w:val="00074817"/>
    <w:rsid w:val="000748D1"/>
    <w:rsid w:val="00075775"/>
    <w:rsid w:val="00075792"/>
    <w:rsid w:val="00075988"/>
    <w:rsid w:val="00075D68"/>
    <w:rsid w:val="0007608A"/>
    <w:rsid w:val="00076143"/>
    <w:rsid w:val="00076474"/>
    <w:rsid w:val="000766F8"/>
    <w:rsid w:val="0007684C"/>
    <w:rsid w:val="00076C21"/>
    <w:rsid w:val="00077264"/>
    <w:rsid w:val="000777F2"/>
    <w:rsid w:val="00077AEC"/>
    <w:rsid w:val="000814A6"/>
    <w:rsid w:val="000819DB"/>
    <w:rsid w:val="00081ABD"/>
    <w:rsid w:val="00082D0E"/>
    <w:rsid w:val="00083A27"/>
    <w:rsid w:val="00083BE2"/>
    <w:rsid w:val="00084672"/>
    <w:rsid w:val="00084679"/>
    <w:rsid w:val="0008478A"/>
    <w:rsid w:val="00084DD9"/>
    <w:rsid w:val="00085ED3"/>
    <w:rsid w:val="000861A4"/>
    <w:rsid w:val="00086507"/>
    <w:rsid w:val="000868F1"/>
    <w:rsid w:val="000870CD"/>
    <w:rsid w:val="00087261"/>
    <w:rsid w:val="00087DF4"/>
    <w:rsid w:val="00087F8A"/>
    <w:rsid w:val="00087FE1"/>
    <w:rsid w:val="000901B2"/>
    <w:rsid w:val="00090413"/>
    <w:rsid w:val="00091700"/>
    <w:rsid w:val="00091A24"/>
    <w:rsid w:val="00091D40"/>
    <w:rsid w:val="00091DEC"/>
    <w:rsid w:val="0009375E"/>
    <w:rsid w:val="00094006"/>
    <w:rsid w:val="000944BF"/>
    <w:rsid w:val="00094C8B"/>
    <w:rsid w:val="00095219"/>
    <w:rsid w:val="0009546B"/>
    <w:rsid w:val="000958C7"/>
    <w:rsid w:val="000962C4"/>
    <w:rsid w:val="00096F8E"/>
    <w:rsid w:val="00097063"/>
    <w:rsid w:val="0009752A"/>
    <w:rsid w:val="00097534"/>
    <w:rsid w:val="00097916"/>
    <w:rsid w:val="000A0823"/>
    <w:rsid w:val="000A14E7"/>
    <w:rsid w:val="000A198C"/>
    <w:rsid w:val="000A1A8B"/>
    <w:rsid w:val="000A1ADC"/>
    <w:rsid w:val="000A2E74"/>
    <w:rsid w:val="000A2ED0"/>
    <w:rsid w:val="000A3841"/>
    <w:rsid w:val="000A4721"/>
    <w:rsid w:val="000A4E5E"/>
    <w:rsid w:val="000A5064"/>
    <w:rsid w:val="000A534D"/>
    <w:rsid w:val="000A5CA8"/>
    <w:rsid w:val="000A5DB2"/>
    <w:rsid w:val="000A7451"/>
    <w:rsid w:val="000A7BCF"/>
    <w:rsid w:val="000A7D57"/>
    <w:rsid w:val="000B03C4"/>
    <w:rsid w:val="000B094C"/>
    <w:rsid w:val="000B12E1"/>
    <w:rsid w:val="000B1922"/>
    <w:rsid w:val="000B1AAB"/>
    <w:rsid w:val="000B3BA1"/>
    <w:rsid w:val="000B3BF7"/>
    <w:rsid w:val="000B3E12"/>
    <w:rsid w:val="000B4723"/>
    <w:rsid w:val="000B48E0"/>
    <w:rsid w:val="000B4D08"/>
    <w:rsid w:val="000B4F49"/>
    <w:rsid w:val="000B527A"/>
    <w:rsid w:val="000B54D4"/>
    <w:rsid w:val="000B6A99"/>
    <w:rsid w:val="000B7229"/>
    <w:rsid w:val="000B79EA"/>
    <w:rsid w:val="000C1388"/>
    <w:rsid w:val="000C13C6"/>
    <w:rsid w:val="000C13E0"/>
    <w:rsid w:val="000C1EBD"/>
    <w:rsid w:val="000C1F00"/>
    <w:rsid w:val="000C1FD9"/>
    <w:rsid w:val="000C3714"/>
    <w:rsid w:val="000C3BFF"/>
    <w:rsid w:val="000C403A"/>
    <w:rsid w:val="000C504D"/>
    <w:rsid w:val="000C5BF3"/>
    <w:rsid w:val="000C5F7B"/>
    <w:rsid w:val="000C646D"/>
    <w:rsid w:val="000C649F"/>
    <w:rsid w:val="000C6832"/>
    <w:rsid w:val="000C6E29"/>
    <w:rsid w:val="000C7E64"/>
    <w:rsid w:val="000D1561"/>
    <w:rsid w:val="000D46CC"/>
    <w:rsid w:val="000D476C"/>
    <w:rsid w:val="000D5A4E"/>
    <w:rsid w:val="000D67E1"/>
    <w:rsid w:val="000D6D2F"/>
    <w:rsid w:val="000D6FA8"/>
    <w:rsid w:val="000E04A7"/>
    <w:rsid w:val="000E0701"/>
    <w:rsid w:val="000E0A33"/>
    <w:rsid w:val="000E0F98"/>
    <w:rsid w:val="000E1706"/>
    <w:rsid w:val="000E1A60"/>
    <w:rsid w:val="000E1CD8"/>
    <w:rsid w:val="000E2AAE"/>
    <w:rsid w:val="000E2AD0"/>
    <w:rsid w:val="000E2BD0"/>
    <w:rsid w:val="000E2DC1"/>
    <w:rsid w:val="000E2F49"/>
    <w:rsid w:val="000E3628"/>
    <w:rsid w:val="000E3A6C"/>
    <w:rsid w:val="000E43E7"/>
    <w:rsid w:val="000E48A4"/>
    <w:rsid w:val="000E4B42"/>
    <w:rsid w:val="000E5886"/>
    <w:rsid w:val="000E6776"/>
    <w:rsid w:val="000E7110"/>
    <w:rsid w:val="000E79FD"/>
    <w:rsid w:val="000E7B0B"/>
    <w:rsid w:val="000E7CC6"/>
    <w:rsid w:val="000F014B"/>
    <w:rsid w:val="000F1506"/>
    <w:rsid w:val="000F1D15"/>
    <w:rsid w:val="000F1DB7"/>
    <w:rsid w:val="000F2A29"/>
    <w:rsid w:val="000F2D56"/>
    <w:rsid w:val="000F2E26"/>
    <w:rsid w:val="000F3626"/>
    <w:rsid w:val="000F394D"/>
    <w:rsid w:val="000F47D7"/>
    <w:rsid w:val="000F4FCB"/>
    <w:rsid w:val="000F561B"/>
    <w:rsid w:val="000F5760"/>
    <w:rsid w:val="000F60FE"/>
    <w:rsid w:val="000F66B2"/>
    <w:rsid w:val="000F6DD5"/>
    <w:rsid w:val="000F7DF6"/>
    <w:rsid w:val="00100171"/>
    <w:rsid w:val="00100220"/>
    <w:rsid w:val="00100B8C"/>
    <w:rsid w:val="00100E79"/>
    <w:rsid w:val="0010176D"/>
    <w:rsid w:val="00101BA8"/>
    <w:rsid w:val="00101BDB"/>
    <w:rsid w:val="00101E80"/>
    <w:rsid w:val="00103A8F"/>
    <w:rsid w:val="00104261"/>
    <w:rsid w:val="00104551"/>
    <w:rsid w:val="00104910"/>
    <w:rsid w:val="0010493A"/>
    <w:rsid w:val="001049D0"/>
    <w:rsid w:val="00104AB6"/>
    <w:rsid w:val="00105C75"/>
    <w:rsid w:val="00105D8C"/>
    <w:rsid w:val="00105E27"/>
    <w:rsid w:val="0010682F"/>
    <w:rsid w:val="00106E2C"/>
    <w:rsid w:val="001071AC"/>
    <w:rsid w:val="001076CB"/>
    <w:rsid w:val="00107BAA"/>
    <w:rsid w:val="00107E33"/>
    <w:rsid w:val="0011144A"/>
    <w:rsid w:val="00111700"/>
    <w:rsid w:val="00111EC6"/>
    <w:rsid w:val="00111F0B"/>
    <w:rsid w:val="0011334A"/>
    <w:rsid w:val="0011392B"/>
    <w:rsid w:val="00114068"/>
    <w:rsid w:val="00114DA1"/>
    <w:rsid w:val="00115B5C"/>
    <w:rsid w:val="0011703C"/>
    <w:rsid w:val="001171E3"/>
    <w:rsid w:val="001173CC"/>
    <w:rsid w:val="00117433"/>
    <w:rsid w:val="00117CC4"/>
    <w:rsid w:val="00121044"/>
    <w:rsid w:val="00121284"/>
    <w:rsid w:val="00121686"/>
    <w:rsid w:val="00121EF3"/>
    <w:rsid w:val="001225A3"/>
    <w:rsid w:val="001226BC"/>
    <w:rsid w:val="001227F7"/>
    <w:rsid w:val="00122E0B"/>
    <w:rsid w:val="0012334F"/>
    <w:rsid w:val="00123466"/>
    <w:rsid w:val="0012451D"/>
    <w:rsid w:val="0012533B"/>
    <w:rsid w:val="0012535F"/>
    <w:rsid w:val="00125A36"/>
    <w:rsid w:val="00125DEC"/>
    <w:rsid w:val="00126390"/>
    <w:rsid w:val="00126ECF"/>
    <w:rsid w:val="00127211"/>
    <w:rsid w:val="001272C6"/>
    <w:rsid w:val="001273BF"/>
    <w:rsid w:val="001276F0"/>
    <w:rsid w:val="001278B6"/>
    <w:rsid w:val="00130D19"/>
    <w:rsid w:val="00131035"/>
    <w:rsid w:val="0013228B"/>
    <w:rsid w:val="00132399"/>
    <w:rsid w:val="001323C9"/>
    <w:rsid w:val="00132843"/>
    <w:rsid w:val="00132921"/>
    <w:rsid w:val="00134D0E"/>
    <w:rsid w:val="00135C74"/>
    <w:rsid w:val="00135F52"/>
    <w:rsid w:val="001360B5"/>
    <w:rsid w:val="001363B8"/>
    <w:rsid w:val="00136BC9"/>
    <w:rsid w:val="0013B62E"/>
    <w:rsid w:val="0013F9A9"/>
    <w:rsid w:val="0014040A"/>
    <w:rsid w:val="001405E5"/>
    <w:rsid w:val="00140651"/>
    <w:rsid w:val="00140877"/>
    <w:rsid w:val="0014105C"/>
    <w:rsid w:val="0014269A"/>
    <w:rsid w:val="0014278A"/>
    <w:rsid w:val="00142810"/>
    <w:rsid w:val="00142A06"/>
    <w:rsid w:val="00142A3E"/>
    <w:rsid w:val="00142AA9"/>
    <w:rsid w:val="001433D2"/>
    <w:rsid w:val="00143A4F"/>
    <w:rsid w:val="00143AE4"/>
    <w:rsid w:val="00143C73"/>
    <w:rsid w:val="001442E7"/>
    <w:rsid w:val="001443BB"/>
    <w:rsid w:val="00144714"/>
    <w:rsid w:val="00145574"/>
    <w:rsid w:val="00145D80"/>
    <w:rsid w:val="00146075"/>
    <w:rsid w:val="00146076"/>
    <w:rsid w:val="0014615F"/>
    <w:rsid w:val="00146C2F"/>
    <w:rsid w:val="0014758C"/>
    <w:rsid w:val="00150155"/>
    <w:rsid w:val="00150F54"/>
    <w:rsid w:val="0015136E"/>
    <w:rsid w:val="00151AD1"/>
    <w:rsid w:val="00152AAD"/>
    <w:rsid w:val="00152B4D"/>
    <w:rsid w:val="001535AA"/>
    <w:rsid w:val="00153C98"/>
    <w:rsid w:val="00155149"/>
    <w:rsid w:val="001561EC"/>
    <w:rsid w:val="0015621E"/>
    <w:rsid w:val="001566C4"/>
    <w:rsid w:val="0015685C"/>
    <w:rsid w:val="0015694D"/>
    <w:rsid w:val="00156A48"/>
    <w:rsid w:val="001573C2"/>
    <w:rsid w:val="0015C673"/>
    <w:rsid w:val="001604A4"/>
    <w:rsid w:val="00160E7B"/>
    <w:rsid w:val="001618D0"/>
    <w:rsid w:val="00161AA1"/>
    <w:rsid w:val="00161E04"/>
    <w:rsid w:val="00162266"/>
    <w:rsid w:val="00162BEF"/>
    <w:rsid w:val="0016418D"/>
    <w:rsid w:val="00164501"/>
    <w:rsid w:val="0016459E"/>
    <w:rsid w:val="00165345"/>
    <w:rsid w:val="00165A5B"/>
    <w:rsid w:val="0016689D"/>
    <w:rsid w:val="0017082A"/>
    <w:rsid w:val="00170D25"/>
    <w:rsid w:val="00171549"/>
    <w:rsid w:val="001716A7"/>
    <w:rsid w:val="00171F34"/>
    <w:rsid w:val="001723E7"/>
    <w:rsid w:val="00172C23"/>
    <w:rsid w:val="00172E77"/>
    <w:rsid w:val="00173161"/>
    <w:rsid w:val="001735DC"/>
    <w:rsid w:val="00173687"/>
    <w:rsid w:val="001737B2"/>
    <w:rsid w:val="00174350"/>
    <w:rsid w:val="001748F4"/>
    <w:rsid w:val="00175502"/>
    <w:rsid w:val="00175C64"/>
    <w:rsid w:val="00175F24"/>
    <w:rsid w:val="00176173"/>
    <w:rsid w:val="00177878"/>
    <w:rsid w:val="00177AE6"/>
    <w:rsid w:val="00180023"/>
    <w:rsid w:val="0018049E"/>
    <w:rsid w:val="001806BC"/>
    <w:rsid w:val="001809BF"/>
    <w:rsid w:val="00181FD0"/>
    <w:rsid w:val="00182A41"/>
    <w:rsid w:val="00183747"/>
    <w:rsid w:val="00183AC5"/>
    <w:rsid w:val="00183CB4"/>
    <w:rsid w:val="0018493A"/>
    <w:rsid w:val="00184D95"/>
    <w:rsid w:val="00184FC7"/>
    <w:rsid w:val="00185132"/>
    <w:rsid w:val="0018568D"/>
    <w:rsid w:val="001859EC"/>
    <w:rsid w:val="00185A38"/>
    <w:rsid w:val="0018600E"/>
    <w:rsid w:val="00186BE7"/>
    <w:rsid w:val="00186E80"/>
    <w:rsid w:val="00191745"/>
    <w:rsid w:val="00191B5E"/>
    <w:rsid w:val="001927E6"/>
    <w:rsid w:val="0019295A"/>
    <w:rsid w:val="00193554"/>
    <w:rsid w:val="001935A2"/>
    <w:rsid w:val="00193D68"/>
    <w:rsid w:val="00193DA5"/>
    <w:rsid w:val="00193F57"/>
    <w:rsid w:val="0019415C"/>
    <w:rsid w:val="001953BD"/>
    <w:rsid w:val="00195CC6"/>
    <w:rsid w:val="00195DAD"/>
    <w:rsid w:val="0019626E"/>
    <w:rsid w:val="001964A7"/>
    <w:rsid w:val="00196EE3"/>
    <w:rsid w:val="0019774D"/>
    <w:rsid w:val="001A10E0"/>
    <w:rsid w:val="001A12D5"/>
    <w:rsid w:val="001A14CB"/>
    <w:rsid w:val="001A15F4"/>
    <w:rsid w:val="001A1607"/>
    <w:rsid w:val="001A178E"/>
    <w:rsid w:val="001A264D"/>
    <w:rsid w:val="001A2C9A"/>
    <w:rsid w:val="001A317E"/>
    <w:rsid w:val="001A3D27"/>
    <w:rsid w:val="001A47F9"/>
    <w:rsid w:val="001A589A"/>
    <w:rsid w:val="001A6659"/>
    <w:rsid w:val="001A6CC3"/>
    <w:rsid w:val="001A6F2F"/>
    <w:rsid w:val="001A731C"/>
    <w:rsid w:val="001A7C3D"/>
    <w:rsid w:val="001B16D3"/>
    <w:rsid w:val="001B1E94"/>
    <w:rsid w:val="001B1F6D"/>
    <w:rsid w:val="001B25B2"/>
    <w:rsid w:val="001B2A32"/>
    <w:rsid w:val="001B2B55"/>
    <w:rsid w:val="001B3011"/>
    <w:rsid w:val="001B30A8"/>
    <w:rsid w:val="001B3432"/>
    <w:rsid w:val="001B34AE"/>
    <w:rsid w:val="001B37D8"/>
    <w:rsid w:val="001B3D29"/>
    <w:rsid w:val="001B4860"/>
    <w:rsid w:val="001B6429"/>
    <w:rsid w:val="001B6918"/>
    <w:rsid w:val="001B7357"/>
    <w:rsid w:val="001B7A03"/>
    <w:rsid w:val="001B7AC6"/>
    <w:rsid w:val="001C0767"/>
    <w:rsid w:val="001C3E09"/>
    <w:rsid w:val="001C439E"/>
    <w:rsid w:val="001C4D62"/>
    <w:rsid w:val="001C51D5"/>
    <w:rsid w:val="001C53F3"/>
    <w:rsid w:val="001C6311"/>
    <w:rsid w:val="001C7696"/>
    <w:rsid w:val="001D037C"/>
    <w:rsid w:val="001D0E64"/>
    <w:rsid w:val="001D175D"/>
    <w:rsid w:val="001D2C03"/>
    <w:rsid w:val="001D2D98"/>
    <w:rsid w:val="001D3287"/>
    <w:rsid w:val="001D4EB0"/>
    <w:rsid w:val="001D4EBA"/>
    <w:rsid w:val="001D5227"/>
    <w:rsid w:val="001D54FD"/>
    <w:rsid w:val="001D5D9E"/>
    <w:rsid w:val="001D6A35"/>
    <w:rsid w:val="001E147C"/>
    <w:rsid w:val="001E2769"/>
    <w:rsid w:val="001E2CB1"/>
    <w:rsid w:val="001E31E9"/>
    <w:rsid w:val="001E36C1"/>
    <w:rsid w:val="001E3922"/>
    <w:rsid w:val="001E44B5"/>
    <w:rsid w:val="001E4ACA"/>
    <w:rsid w:val="001E4D2E"/>
    <w:rsid w:val="001E5672"/>
    <w:rsid w:val="001E5B57"/>
    <w:rsid w:val="001E5DA4"/>
    <w:rsid w:val="001E6101"/>
    <w:rsid w:val="001E634A"/>
    <w:rsid w:val="001F060C"/>
    <w:rsid w:val="001F07D3"/>
    <w:rsid w:val="001F099D"/>
    <w:rsid w:val="001F0C50"/>
    <w:rsid w:val="001F1656"/>
    <w:rsid w:val="001F17E2"/>
    <w:rsid w:val="001F187C"/>
    <w:rsid w:val="001F1B04"/>
    <w:rsid w:val="001F2011"/>
    <w:rsid w:val="001F2B7A"/>
    <w:rsid w:val="001F2D33"/>
    <w:rsid w:val="001F3D22"/>
    <w:rsid w:val="001F4632"/>
    <w:rsid w:val="001F4E27"/>
    <w:rsid w:val="001F57FC"/>
    <w:rsid w:val="001F5A45"/>
    <w:rsid w:val="001F60C2"/>
    <w:rsid w:val="001F62E6"/>
    <w:rsid w:val="001F6689"/>
    <w:rsid w:val="001F75EA"/>
    <w:rsid w:val="001F7930"/>
    <w:rsid w:val="001F7A94"/>
    <w:rsid w:val="00200E9D"/>
    <w:rsid w:val="00201B43"/>
    <w:rsid w:val="002028ED"/>
    <w:rsid w:val="00202BCC"/>
    <w:rsid w:val="00202CA1"/>
    <w:rsid w:val="00203911"/>
    <w:rsid w:val="00203B32"/>
    <w:rsid w:val="00203C3B"/>
    <w:rsid w:val="002050E1"/>
    <w:rsid w:val="00205243"/>
    <w:rsid w:val="00205D5C"/>
    <w:rsid w:val="00206750"/>
    <w:rsid w:val="00206967"/>
    <w:rsid w:val="002070CE"/>
    <w:rsid w:val="00207549"/>
    <w:rsid w:val="00210B5D"/>
    <w:rsid w:val="00211305"/>
    <w:rsid w:val="00211735"/>
    <w:rsid w:val="002117DC"/>
    <w:rsid w:val="00211846"/>
    <w:rsid w:val="00212BD2"/>
    <w:rsid w:val="00212CCC"/>
    <w:rsid w:val="00213138"/>
    <w:rsid w:val="0021335B"/>
    <w:rsid w:val="0021338D"/>
    <w:rsid w:val="00213403"/>
    <w:rsid w:val="00213757"/>
    <w:rsid w:val="0021408C"/>
    <w:rsid w:val="00214658"/>
    <w:rsid w:val="00214DEC"/>
    <w:rsid w:val="00214FA2"/>
    <w:rsid w:val="002160A0"/>
    <w:rsid w:val="0021675B"/>
    <w:rsid w:val="00217DDC"/>
    <w:rsid w:val="0022003C"/>
    <w:rsid w:val="00220377"/>
    <w:rsid w:val="002208B4"/>
    <w:rsid w:val="00220FE4"/>
    <w:rsid w:val="00221A21"/>
    <w:rsid w:val="0022242E"/>
    <w:rsid w:val="002227F1"/>
    <w:rsid w:val="00222986"/>
    <w:rsid w:val="00222D89"/>
    <w:rsid w:val="0022374B"/>
    <w:rsid w:val="00223B7A"/>
    <w:rsid w:val="00223E31"/>
    <w:rsid w:val="002240F2"/>
    <w:rsid w:val="00224946"/>
    <w:rsid w:val="00224B3B"/>
    <w:rsid w:val="00224E78"/>
    <w:rsid w:val="00225469"/>
    <w:rsid w:val="00225827"/>
    <w:rsid w:val="002265BD"/>
    <w:rsid w:val="0022742B"/>
    <w:rsid w:val="002277E5"/>
    <w:rsid w:val="00227CD3"/>
    <w:rsid w:val="002301E6"/>
    <w:rsid w:val="00231662"/>
    <w:rsid w:val="002322CB"/>
    <w:rsid w:val="00232473"/>
    <w:rsid w:val="002324AD"/>
    <w:rsid w:val="002326F6"/>
    <w:rsid w:val="0023295C"/>
    <w:rsid w:val="00232C09"/>
    <w:rsid w:val="00233155"/>
    <w:rsid w:val="0023349F"/>
    <w:rsid w:val="00233505"/>
    <w:rsid w:val="002335F7"/>
    <w:rsid w:val="002336DB"/>
    <w:rsid w:val="00233A27"/>
    <w:rsid w:val="00233E7A"/>
    <w:rsid w:val="00233F22"/>
    <w:rsid w:val="00234496"/>
    <w:rsid w:val="00234EFF"/>
    <w:rsid w:val="002358B6"/>
    <w:rsid w:val="002358C7"/>
    <w:rsid w:val="002369B4"/>
    <w:rsid w:val="00236B81"/>
    <w:rsid w:val="00236D92"/>
    <w:rsid w:val="0023732E"/>
    <w:rsid w:val="002418B0"/>
    <w:rsid w:val="002423B8"/>
    <w:rsid w:val="002430C0"/>
    <w:rsid w:val="002441F5"/>
    <w:rsid w:val="002449FC"/>
    <w:rsid w:val="00244A54"/>
    <w:rsid w:val="00244B1A"/>
    <w:rsid w:val="00244F15"/>
    <w:rsid w:val="00244FF5"/>
    <w:rsid w:val="002452A8"/>
    <w:rsid w:val="002452FA"/>
    <w:rsid w:val="002455BD"/>
    <w:rsid w:val="00245678"/>
    <w:rsid w:val="002463BB"/>
    <w:rsid w:val="0024658D"/>
    <w:rsid w:val="00246D36"/>
    <w:rsid w:val="00246D5C"/>
    <w:rsid w:val="00247168"/>
    <w:rsid w:val="00247725"/>
    <w:rsid w:val="00247DCD"/>
    <w:rsid w:val="00247EAD"/>
    <w:rsid w:val="00247FBF"/>
    <w:rsid w:val="002509CD"/>
    <w:rsid w:val="00250EB2"/>
    <w:rsid w:val="0025170B"/>
    <w:rsid w:val="002519E9"/>
    <w:rsid w:val="00251EBE"/>
    <w:rsid w:val="00253954"/>
    <w:rsid w:val="00253D3B"/>
    <w:rsid w:val="00253E0C"/>
    <w:rsid w:val="00254BBB"/>
    <w:rsid w:val="002554E7"/>
    <w:rsid w:val="00255861"/>
    <w:rsid w:val="00255C0C"/>
    <w:rsid w:val="002561E4"/>
    <w:rsid w:val="00256572"/>
    <w:rsid w:val="00256660"/>
    <w:rsid w:val="00256F0B"/>
    <w:rsid w:val="0026021F"/>
    <w:rsid w:val="00260681"/>
    <w:rsid w:val="00261010"/>
    <w:rsid w:val="002621F3"/>
    <w:rsid w:val="00262362"/>
    <w:rsid w:val="0026236D"/>
    <w:rsid w:val="0026250B"/>
    <w:rsid w:val="0026347F"/>
    <w:rsid w:val="00263F62"/>
    <w:rsid w:val="0026422B"/>
    <w:rsid w:val="00264326"/>
    <w:rsid w:val="002643B5"/>
    <w:rsid w:val="00264C96"/>
    <w:rsid w:val="00266911"/>
    <w:rsid w:val="002672FA"/>
    <w:rsid w:val="00267982"/>
    <w:rsid w:val="00267A81"/>
    <w:rsid w:val="00270028"/>
    <w:rsid w:val="00270B56"/>
    <w:rsid w:val="00272F6F"/>
    <w:rsid w:val="00273A03"/>
    <w:rsid w:val="00273C77"/>
    <w:rsid w:val="00273E89"/>
    <w:rsid w:val="00274844"/>
    <w:rsid w:val="00274DBC"/>
    <w:rsid w:val="0027606F"/>
    <w:rsid w:val="002769AB"/>
    <w:rsid w:val="00276C17"/>
    <w:rsid w:val="00276DBA"/>
    <w:rsid w:val="002773B6"/>
    <w:rsid w:val="00277A3D"/>
    <w:rsid w:val="00277FA2"/>
    <w:rsid w:val="00280A58"/>
    <w:rsid w:val="002819E5"/>
    <w:rsid w:val="002821E7"/>
    <w:rsid w:val="002823AE"/>
    <w:rsid w:val="002829B7"/>
    <w:rsid w:val="00282F96"/>
    <w:rsid w:val="00283A9E"/>
    <w:rsid w:val="00283FE6"/>
    <w:rsid w:val="00284B34"/>
    <w:rsid w:val="00284E2E"/>
    <w:rsid w:val="00285E89"/>
    <w:rsid w:val="002870C5"/>
    <w:rsid w:val="00287266"/>
    <w:rsid w:val="0028785C"/>
    <w:rsid w:val="00287AEC"/>
    <w:rsid w:val="002901D5"/>
    <w:rsid w:val="002904A6"/>
    <w:rsid w:val="00290613"/>
    <w:rsid w:val="00290BBE"/>
    <w:rsid w:val="002915D2"/>
    <w:rsid w:val="00291603"/>
    <w:rsid w:val="002918E4"/>
    <w:rsid w:val="00291FBF"/>
    <w:rsid w:val="00292422"/>
    <w:rsid w:val="00292D74"/>
    <w:rsid w:val="002935EF"/>
    <w:rsid w:val="00293D10"/>
    <w:rsid w:val="00293F40"/>
    <w:rsid w:val="00294770"/>
    <w:rsid w:val="00294D2C"/>
    <w:rsid w:val="00294E32"/>
    <w:rsid w:val="002952DD"/>
    <w:rsid w:val="0029557A"/>
    <w:rsid w:val="0029586E"/>
    <w:rsid w:val="00295887"/>
    <w:rsid w:val="00295DA1"/>
    <w:rsid w:val="002973EC"/>
    <w:rsid w:val="002976C3"/>
    <w:rsid w:val="00297B4F"/>
    <w:rsid w:val="002A00EE"/>
    <w:rsid w:val="002A06D5"/>
    <w:rsid w:val="002A1455"/>
    <w:rsid w:val="002A15A7"/>
    <w:rsid w:val="002A1DA7"/>
    <w:rsid w:val="002A2185"/>
    <w:rsid w:val="002A2754"/>
    <w:rsid w:val="002A2A50"/>
    <w:rsid w:val="002A2ED4"/>
    <w:rsid w:val="002A33E2"/>
    <w:rsid w:val="002A356A"/>
    <w:rsid w:val="002A49B1"/>
    <w:rsid w:val="002A4E05"/>
    <w:rsid w:val="002A5F18"/>
    <w:rsid w:val="002A62DD"/>
    <w:rsid w:val="002A65B2"/>
    <w:rsid w:val="002A6D2B"/>
    <w:rsid w:val="002A6D3E"/>
    <w:rsid w:val="002A7160"/>
    <w:rsid w:val="002A73D8"/>
    <w:rsid w:val="002A740F"/>
    <w:rsid w:val="002B05E2"/>
    <w:rsid w:val="002B0952"/>
    <w:rsid w:val="002B10D8"/>
    <w:rsid w:val="002B19F6"/>
    <w:rsid w:val="002B1BB3"/>
    <w:rsid w:val="002B1CAF"/>
    <w:rsid w:val="002B24DD"/>
    <w:rsid w:val="002B2849"/>
    <w:rsid w:val="002B2D60"/>
    <w:rsid w:val="002B31C6"/>
    <w:rsid w:val="002B34CB"/>
    <w:rsid w:val="002B3BB5"/>
    <w:rsid w:val="002B3E69"/>
    <w:rsid w:val="002B45FC"/>
    <w:rsid w:val="002B49AE"/>
    <w:rsid w:val="002B4B80"/>
    <w:rsid w:val="002B4B88"/>
    <w:rsid w:val="002B4B9E"/>
    <w:rsid w:val="002B4C51"/>
    <w:rsid w:val="002B4D5C"/>
    <w:rsid w:val="002B5574"/>
    <w:rsid w:val="002B5A31"/>
    <w:rsid w:val="002B6DA5"/>
    <w:rsid w:val="002B72F7"/>
    <w:rsid w:val="002B767E"/>
    <w:rsid w:val="002B7734"/>
    <w:rsid w:val="002C04FA"/>
    <w:rsid w:val="002C09D1"/>
    <w:rsid w:val="002C0DF1"/>
    <w:rsid w:val="002C2441"/>
    <w:rsid w:val="002C27B6"/>
    <w:rsid w:val="002C3ADD"/>
    <w:rsid w:val="002C40CB"/>
    <w:rsid w:val="002C49A7"/>
    <w:rsid w:val="002C4A2E"/>
    <w:rsid w:val="002C4A33"/>
    <w:rsid w:val="002C4B29"/>
    <w:rsid w:val="002C5417"/>
    <w:rsid w:val="002C54B1"/>
    <w:rsid w:val="002C6110"/>
    <w:rsid w:val="002C6162"/>
    <w:rsid w:val="002C61DC"/>
    <w:rsid w:val="002D08B2"/>
    <w:rsid w:val="002D0A55"/>
    <w:rsid w:val="002D16EC"/>
    <w:rsid w:val="002D1A95"/>
    <w:rsid w:val="002D22BD"/>
    <w:rsid w:val="002D2619"/>
    <w:rsid w:val="002D2723"/>
    <w:rsid w:val="002D2821"/>
    <w:rsid w:val="002D2836"/>
    <w:rsid w:val="002D2F45"/>
    <w:rsid w:val="002D2F59"/>
    <w:rsid w:val="002D30F2"/>
    <w:rsid w:val="002D3EE2"/>
    <w:rsid w:val="002D4074"/>
    <w:rsid w:val="002D43EC"/>
    <w:rsid w:val="002D4774"/>
    <w:rsid w:val="002D5166"/>
    <w:rsid w:val="002D53ED"/>
    <w:rsid w:val="002D55D3"/>
    <w:rsid w:val="002D5633"/>
    <w:rsid w:val="002D61F0"/>
    <w:rsid w:val="002D63C9"/>
    <w:rsid w:val="002D6D31"/>
    <w:rsid w:val="002D72F9"/>
    <w:rsid w:val="002D7AE9"/>
    <w:rsid w:val="002D7B77"/>
    <w:rsid w:val="002D7D06"/>
    <w:rsid w:val="002E05D9"/>
    <w:rsid w:val="002E1AA2"/>
    <w:rsid w:val="002E1BF7"/>
    <w:rsid w:val="002E1E8A"/>
    <w:rsid w:val="002E22F0"/>
    <w:rsid w:val="002E25FF"/>
    <w:rsid w:val="002E3DF9"/>
    <w:rsid w:val="002E40CE"/>
    <w:rsid w:val="002E4CE8"/>
    <w:rsid w:val="002E530B"/>
    <w:rsid w:val="002E56B4"/>
    <w:rsid w:val="002E5B29"/>
    <w:rsid w:val="002E5DE3"/>
    <w:rsid w:val="002E60BE"/>
    <w:rsid w:val="002E7146"/>
    <w:rsid w:val="002E718F"/>
    <w:rsid w:val="002E7C15"/>
    <w:rsid w:val="002E7EF4"/>
    <w:rsid w:val="002F05EE"/>
    <w:rsid w:val="002F09FA"/>
    <w:rsid w:val="002F1060"/>
    <w:rsid w:val="002F11BC"/>
    <w:rsid w:val="002F167F"/>
    <w:rsid w:val="002F18FA"/>
    <w:rsid w:val="002F2780"/>
    <w:rsid w:val="002F31AA"/>
    <w:rsid w:val="002F4B09"/>
    <w:rsid w:val="002F4B3F"/>
    <w:rsid w:val="002F563C"/>
    <w:rsid w:val="002F70B0"/>
    <w:rsid w:val="002F7883"/>
    <w:rsid w:val="002F7F19"/>
    <w:rsid w:val="003003E3"/>
    <w:rsid w:val="00300FB1"/>
    <w:rsid w:val="00301218"/>
    <w:rsid w:val="003013C5"/>
    <w:rsid w:val="00301693"/>
    <w:rsid w:val="0030282E"/>
    <w:rsid w:val="003033E0"/>
    <w:rsid w:val="00303BF4"/>
    <w:rsid w:val="00303C9F"/>
    <w:rsid w:val="0030404C"/>
    <w:rsid w:val="003042A6"/>
    <w:rsid w:val="00304502"/>
    <w:rsid w:val="003059CF"/>
    <w:rsid w:val="00305A8E"/>
    <w:rsid w:val="00305C97"/>
    <w:rsid w:val="00305D72"/>
    <w:rsid w:val="00305DAC"/>
    <w:rsid w:val="00305E63"/>
    <w:rsid w:val="00305E6C"/>
    <w:rsid w:val="003066EC"/>
    <w:rsid w:val="00306F0F"/>
    <w:rsid w:val="00306F21"/>
    <w:rsid w:val="003078D5"/>
    <w:rsid w:val="00307D09"/>
    <w:rsid w:val="003101BE"/>
    <w:rsid w:val="003109CC"/>
    <w:rsid w:val="00310F41"/>
    <w:rsid w:val="003113B7"/>
    <w:rsid w:val="0031189B"/>
    <w:rsid w:val="00311912"/>
    <w:rsid w:val="003119A6"/>
    <w:rsid w:val="00311A60"/>
    <w:rsid w:val="00311EA0"/>
    <w:rsid w:val="00312361"/>
    <w:rsid w:val="00312E78"/>
    <w:rsid w:val="00312E83"/>
    <w:rsid w:val="00313564"/>
    <w:rsid w:val="0031376C"/>
    <w:rsid w:val="003141D5"/>
    <w:rsid w:val="00314309"/>
    <w:rsid w:val="003145A4"/>
    <w:rsid w:val="003156E4"/>
    <w:rsid w:val="00315771"/>
    <w:rsid w:val="003158E6"/>
    <w:rsid w:val="003163DE"/>
    <w:rsid w:val="00316F50"/>
    <w:rsid w:val="003175B9"/>
    <w:rsid w:val="00317C41"/>
    <w:rsid w:val="00317D9F"/>
    <w:rsid w:val="0032077B"/>
    <w:rsid w:val="00320D6C"/>
    <w:rsid w:val="0032174F"/>
    <w:rsid w:val="0032269B"/>
    <w:rsid w:val="00322D7C"/>
    <w:rsid w:val="00323CC6"/>
    <w:rsid w:val="003240E8"/>
    <w:rsid w:val="00324D91"/>
    <w:rsid w:val="003252AC"/>
    <w:rsid w:val="0032530F"/>
    <w:rsid w:val="00325BF5"/>
    <w:rsid w:val="00325D00"/>
    <w:rsid w:val="00326248"/>
    <w:rsid w:val="00326425"/>
    <w:rsid w:val="00326542"/>
    <w:rsid w:val="00326907"/>
    <w:rsid w:val="00326E91"/>
    <w:rsid w:val="00327A17"/>
    <w:rsid w:val="00330050"/>
    <w:rsid w:val="00330D59"/>
    <w:rsid w:val="00330FFA"/>
    <w:rsid w:val="00331338"/>
    <w:rsid w:val="00331B5D"/>
    <w:rsid w:val="00331DA2"/>
    <w:rsid w:val="00331F34"/>
    <w:rsid w:val="0033253D"/>
    <w:rsid w:val="003328F4"/>
    <w:rsid w:val="00332934"/>
    <w:rsid w:val="0033322B"/>
    <w:rsid w:val="00333564"/>
    <w:rsid w:val="00333F4E"/>
    <w:rsid w:val="00334065"/>
    <w:rsid w:val="00334E09"/>
    <w:rsid w:val="00335B65"/>
    <w:rsid w:val="00336867"/>
    <w:rsid w:val="00336DEB"/>
    <w:rsid w:val="00337442"/>
    <w:rsid w:val="00340052"/>
    <w:rsid w:val="00340B08"/>
    <w:rsid w:val="00340BFA"/>
    <w:rsid w:val="00340F00"/>
    <w:rsid w:val="00340F94"/>
    <w:rsid w:val="00342717"/>
    <w:rsid w:val="00342DD5"/>
    <w:rsid w:val="003430B6"/>
    <w:rsid w:val="003431FF"/>
    <w:rsid w:val="00343CA6"/>
    <w:rsid w:val="00344687"/>
    <w:rsid w:val="00344AD1"/>
    <w:rsid w:val="00344AED"/>
    <w:rsid w:val="00344FCC"/>
    <w:rsid w:val="003457B4"/>
    <w:rsid w:val="00345918"/>
    <w:rsid w:val="00345F7A"/>
    <w:rsid w:val="003462A9"/>
    <w:rsid w:val="0034669D"/>
    <w:rsid w:val="0034693A"/>
    <w:rsid w:val="00346C2E"/>
    <w:rsid w:val="00347C4F"/>
    <w:rsid w:val="003500FF"/>
    <w:rsid w:val="0035051E"/>
    <w:rsid w:val="00350D08"/>
    <w:rsid w:val="003512E0"/>
    <w:rsid w:val="00352612"/>
    <w:rsid w:val="00352CA3"/>
    <w:rsid w:val="00352E65"/>
    <w:rsid w:val="0035457E"/>
    <w:rsid w:val="00354666"/>
    <w:rsid w:val="00354DF7"/>
    <w:rsid w:val="0035528C"/>
    <w:rsid w:val="003554A5"/>
    <w:rsid w:val="00355AB7"/>
    <w:rsid w:val="003561FD"/>
    <w:rsid w:val="0035660C"/>
    <w:rsid w:val="00357469"/>
    <w:rsid w:val="0035756E"/>
    <w:rsid w:val="00360375"/>
    <w:rsid w:val="0036056C"/>
    <w:rsid w:val="003607DD"/>
    <w:rsid w:val="00361548"/>
    <w:rsid w:val="00361A0D"/>
    <w:rsid w:val="00362298"/>
    <w:rsid w:val="00363161"/>
    <w:rsid w:val="003657E0"/>
    <w:rsid w:val="00365ED3"/>
    <w:rsid w:val="00365F8E"/>
    <w:rsid w:val="00366DF6"/>
    <w:rsid w:val="00370EB2"/>
    <w:rsid w:val="00371446"/>
    <w:rsid w:val="00371FA0"/>
    <w:rsid w:val="00372190"/>
    <w:rsid w:val="00372F84"/>
    <w:rsid w:val="0037338E"/>
    <w:rsid w:val="003735B9"/>
    <w:rsid w:val="00373A1C"/>
    <w:rsid w:val="00373D79"/>
    <w:rsid w:val="003740EF"/>
    <w:rsid w:val="0037439C"/>
    <w:rsid w:val="00374A89"/>
    <w:rsid w:val="0037505F"/>
    <w:rsid w:val="003758D5"/>
    <w:rsid w:val="003767BA"/>
    <w:rsid w:val="00376AE9"/>
    <w:rsid w:val="00376DCD"/>
    <w:rsid w:val="0037703E"/>
    <w:rsid w:val="003807F9"/>
    <w:rsid w:val="00380D31"/>
    <w:rsid w:val="003834C8"/>
    <w:rsid w:val="0038448A"/>
    <w:rsid w:val="00384CDE"/>
    <w:rsid w:val="00385126"/>
    <w:rsid w:val="00385D82"/>
    <w:rsid w:val="00385E8D"/>
    <w:rsid w:val="0038610E"/>
    <w:rsid w:val="0038619B"/>
    <w:rsid w:val="003861B3"/>
    <w:rsid w:val="00386613"/>
    <w:rsid w:val="00386C63"/>
    <w:rsid w:val="00386E20"/>
    <w:rsid w:val="00387F8A"/>
    <w:rsid w:val="003904DE"/>
    <w:rsid w:val="00390697"/>
    <w:rsid w:val="00390D58"/>
    <w:rsid w:val="003917FB"/>
    <w:rsid w:val="00391995"/>
    <w:rsid w:val="003926DA"/>
    <w:rsid w:val="0039277A"/>
    <w:rsid w:val="00394757"/>
    <w:rsid w:val="00394E58"/>
    <w:rsid w:val="003960BC"/>
    <w:rsid w:val="0039666E"/>
    <w:rsid w:val="003969ED"/>
    <w:rsid w:val="00396C7B"/>
    <w:rsid w:val="00396DB9"/>
    <w:rsid w:val="0039759D"/>
    <w:rsid w:val="003A063C"/>
    <w:rsid w:val="003A0647"/>
    <w:rsid w:val="003A209E"/>
    <w:rsid w:val="003A21EB"/>
    <w:rsid w:val="003A230F"/>
    <w:rsid w:val="003A23D7"/>
    <w:rsid w:val="003A270C"/>
    <w:rsid w:val="003A2AD6"/>
    <w:rsid w:val="003A2D2C"/>
    <w:rsid w:val="003A2D6D"/>
    <w:rsid w:val="003A3299"/>
    <w:rsid w:val="003A390A"/>
    <w:rsid w:val="003A43CF"/>
    <w:rsid w:val="003A4677"/>
    <w:rsid w:val="003A47D2"/>
    <w:rsid w:val="003A51B5"/>
    <w:rsid w:val="003A5851"/>
    <w:rsid w:val="003A5919"/>
    <w:rsid w:val="003A66E0"/>
    <w:rsid w:val="003A7CF8"/>
    <w:rsid w:val="003B0A97"/>
    <w:rsid w:val="003B0DB5"/>
    <w:rsid w:val="003B0DB6"/>
    <w:rsid w:val="003B0DF9"/>
    <w:rsid w:val="003B1D19"/>
    <w:rsid w:val="003B1EB1"/>
    <w:rsid w:val="003B2727"/>
    <w:rsid w:val="003B2AEB"/>
    <w:rsid w:val="003B3859"/>
    <w:rsid w:val="003B3989"/>
    <w:rsid w:val="003B3E6F"/>
    <w:rsid w:val="003B5090"/>
    <w:rsid w:val="003B66E9"/>
    <w:rsid w:val="003B718A"/>
    <w:rsid w:val="003B7604"/>
    <w:rsid w:val="003C0952"/>
    <w:rsid w:val="003C0DC9"/>
    <w:rsid w:val="003C1050"/>
    <w:rsid w:val="003C11AC"/>
    <w:rsid w:val="003C1AB6"/>
    <w:rsid w:val="003C38AF"/>
    <w:rsid w:val="003C427C"/>
    <w:rsid w:val="003C48FD"/>
    <w:rsid w:val="003C4A45"/>
    <w:rsid w:val="003C4DD2"/>
    <w:rsid w:val="003C5386"/>
    <w:rsid w:val="003C5B6E"/>
    <w:rsid w:val="003C60DB"/>
    <w:rsid w:val="003C6134"/>
    <w:rsid w:val="003C6420"/>
    <w:rsid w:val="003C685F"/>
    <w:rsid w:val="003C776C"/>
    <w:rsid w:val="003C7E42"/>
    <w:rsid w:val="003D08EA"/>
    <w:rsid w:val="003D128B"/>
    <w:rsid w:val="003D15DA"/>
    <w:rsid w:val="003D1EAD"/>
    <w:rsid w:val="003D225A"/>
    <w:rsid w:val="003D28BC"/>
    <w:rsid w:val="003D2D47"/>
    <w:rsid w:val="003D30EB"/>
    <w:rsid w:val="003D3227"/>
    <w:rsid w:val="003D3609"/>
    <w:rsid w:val="003D3659"/>
    <w:rsid w:val="003D43CC"/>
    <w:rsid w:val="003D5070"/>
    <w:rsid w:val="003D516E"/>
    <w:rsid w:val="003D56A4"/>
    <w:rsid w:val="003D59F6"/>
    <w:rsid w:val="003D65BA"/>
    <w:rsid w:val="003D7776"/>
    <w:rsid w:val="003D7FBC"/>
    <w:rsid w:val="003E0483"/>
    <w:rsid w:val="003E07AC"/>
    <w:rsid w:val="003E0E20"/>
    <w:rsid w:val="003E173A"/>
    <w:rsid w:val="003E18F1"/>
    <w:rsid w:val="003E207C"/>
    <w:rsid w:val="003E215F"/>
    <w:rsid w:val="003E3152"/>
    <w:rsid w:val="003E3335"/>
    <w:rsid w:val="003E4602"/>
    <w:rsid w:val="003E4728"/>
    <w:rsid w:val="003E5294"/>
    <w:rsid w:val="003E5F94"/>
    <w:rsid w:val="003E630C"/>
    <w:rsid w:val="003E7EE2"/>
    <w:rsid w:val="003F062E"/>
    <w:rsid w:val="003F08AD"/>
    <w:rsid w:val="003F2CFD"/>
    <w:rsid w:val="003F3177"/>
    <w:rsid w:val="003F3B54"/>
    <w:rsid w:val="003F3BA3"/>
    <w:rsid w:val="003F3EE4"/>
    <w:rsid w:val="003F4112"/>
    <w:rsid w:val="003F470D"/>
    <w:rsid w:val="003F4E11"/>
    <w:rsid w:val="003F502A"/>
    <w:rsid w:val="003F65BF"/>
    <w:rsid w:val="003F6653"/>
    <w:rsid w:val="003F6914"/>
    <w:rsid w:val="003F7131"/>
    <w:rsid w:val="003F772B"/>
    <w:rsid w:val="003F7823"/>
    <w:rsid w:val="003F78FA"/>
    <w:rsid w:val="00400DD9"/>
    <w:rsid w:val="0040150D"/>
    <w:rsid w:val="00401893"/>
    <w:rsid w:val="004019C8"/>
    <w:rsid w:val="00401A25"/>
    <w:rsid w:val="00401A67"/>
    <w:rsid w:val="00401A78"/>
    <w:rsid w:val="00402402"/>
    <w:rsid w:val="004025BA"/>
    <w:rsid w:val="00402E38"/>
    <w:rsid w:val="00403859"/>
    <w:rsid w:val="004053FF"/>
    <w:rsid w:val="00405E01"/>
    <w:rsid w:val="00407135"/>
    <w:rsid w:val="00407299"/>
    <w:rsid w:val="0041009B"/>
    <w:rsid w:val="0041072C"/>
    <w:rsid w:val="00410A28"/>
    <w:rsid w:val="00411B4D"/>
    <w:rsid w:val="00412136"/>
    <w:rsid w:val="00412FA7"/>
    <w:rsid w:val="00413071"/>
    <w:rsid w:val="00413410"/>
    <w:rsid w:val="004138EE"/>
    <w:rsid w:val="004146CF"/>
    <w:rsid w:val="00414B1A"/>
    <w:rsid w:val="004174C6"/>
    <w:rsid w:val="00420131"/>
    <w:rsid w:val="0042059E"/>
    <w:rsid w:val="004209DA"/>
    <w:rsid w:val="00420FE2"/>
    <w:rsid w:val="00421218"/>
    <w:rsid w:val="0042126A"/>
    <w:rsid w:val="00422D2D"/>
    <w:rsid w:val="00423058"/>
    <w:rsid w:val="004231A9"/>
    <w:rsid w:val="00423674"/>
    <w:rsid w:val="00423AEC"/>
    <w:rsid w:val="00423F41"/>
    <w:rsid w:val="0042418C"/>
    <w:rsid w:val="00426235"/>
    <w:rsid w:val="0042644B"/>
    <w:rsid w:val="00426A9A"/>
    <w:rsid w:val="00430724"/>
    <w:rsid w:val="00430CEF"/>
    <w:rsid w:val="004311B4"/>
    <w:rsid w:val="00431CD5"/>
    <w:rsid w:val="0043298C"/>
    <w:rsid w:val="00432C89"/>
    <w:rsid w:val="00433DF9"/>
    <w:rsid w:val="004341A7"/>
    <w:rsid w:val="004342C3"/>
    <w:rsid w:val="00434300"/>
    <w:rsid w:val="004343A1"/>
    <w:rsid w:val="00435C2F"/>
    <w:rsid w:val="00435DDF"/>
    <w:rsid w:val="0043649B"/>
    <w:rsid w:val="0043670F"/>
    <w:rsid w:val="004368D4"/>
    <w:rsid w:val="00437096"/>
    <w:rsid w:val="00440400"/>
    <w:rsid w:val="004404B8"/>
    <w:rsid w:val="0044277B"/>
    <w:rsid w:val="0044317A"/>
    <w:rsid w:val="004436E1"/>
    <w:rsid w:val="00443BFD"/>
    <w:rsid w:val="00443E5C"/>
    <w:rsid w:val="004441FE"/>
    <w:rsid w:val="00444559"/>
    <w:rsid w:val="004447C9"/>
    <w:rsid w:val="00444D96"/>
    <w:rsid w:val="00445585"/>
    <w:rsid w:val="00445C70"/>
    <w:rsid w:val="00445F91"/>
    <w:rsid w:val="0044655A"/>
    <w:rsid w:val="004466D2"/>
    <w:rsid w:val="00446BE2"/>
    <w:rsid w:val="00447040"/>
    <w:rsid w:val="004472D1"/>
    <w:rsid w:val="004473DF"/>
    <w:rsid w:val="00447611"/>
    <w:rsid w:val="00447E13"/>
    <w:rsid w:val="00447F8A"/>
    <w:rsid w:val="0045027D"/>
    <w:rsid w:val="004511F2"/>
    <w:rsid w:val="0045168B"/>
    <w:rsid w:val="004526CC"/>
    <w:rsid w:val="0045303B"/>
    <w:rsid w:val="00454B17"/>
    <w:rsid w:val="00454C6A"/>
    <w:rsid w:val="0045531E"/>
    <w:rsid w:val="00455756"/>
    <w:rsid w:val="00456263"/>
    <w:rsid w:val="00456C55"/>
    <w:rsid w:val="00457406"/>
    <w:rsid w:val="004577AE"/>
    <w:rsid w:val="00457C92"/>
    <w:rsid w:val="00460790"/>
    <w:rsid w:val="00460978"/>
    <w:rsid w:val="00460D68"/>
    <w:rsid w:val="00460D89"/>
    <w:rsid w:val="004618A0"/>
    <w:rsid w:val="004620AA"/>
    <w:rsid w:val="00462647"/>
    <w:rsid w:val="0046290A"/>
    <w:rsid w:val="004637D4"/>
    <w:rsid w:val="00463B70"/>
    <w:rsid w:val="004652F4"/>
    <w:rsid w:val="00465422"/>
    <w:rsid w:val="0046543D"/>
    <w:rsid w:val="00465A44"/>
    <w:rsid w:val="00465A5B"/>
    <w:rsid w:val="00465FF2"/>
    <w:rsid w:val="004661A9"/>
    <w:rsid w:val="004661DE"/>
    <w:rsid w:val="004663D4"/>
    <w:rsid w:val="0046672F"/>
    <w:rsid w:val="00467328"/>
    <w:rsid w:val="00467AFD"/>
    <w:rsid w:val="0047026D"/>
    <w:rsid w:val="0047033E"/>
    <w:rsid w:val="00470C57"/>
    <w:rsid w:val="00471089"/>
    <w:rsid w:val="004711CA"/>
    <w:rsid w:val="004711E3"/>
    <w:rsid w:val="00471949"/>
    <w:rsid w:val="00471A4D"/>
    <w:rsid w:val="00472285"/>
    <w:rsid w:val="00472359"/>
    <w:rsid w:val="00472BC0"/>
    <w:rsid w:val="00472C12"/>
    <w:rsid w:val="00472E4B"/>
    <w:rsid w:val="00472E60"/>
    <w:rsid w:val="00472FC4"/>
    <w:rsid w:val="00473608"/>
    <w:rsid w:val="00474983"/>
    <w:rsid w:val="00474A5E"/>
    <w:rsid w:val="00474DF6"/>
    <w:rsid w:val="00475500"/>
    <w:rsid w:val="0047574D"/>
    <w:rsid w:val="00475835"/>
    <w:rsid w:val="004765E2"/>
    <w:rsid w:val="00476647"/>
    <w:rsid w:val="00477505"/>
    <w:rsid w:val="00477815"/>
    <w:rsid w:val="004778F0"/>
    <w:rsid w:val="00480762"/>
    <w:rsid w:val="00480950"/>
    <w:rsid w:val="004811D3"/>
    <w:rsid w:val="0048142B"/>
    <w:rsid w:val="00481933"/>
    <w:rsid w:val="00482A89"/>
    <w:rsid w:val="00482D48"/>
    <w:rsid w:val="0048326E"/>
    <w:rsid w:val="00483738"/>
    <w:rsid w:val="00483FC7"/>
    <w:rsid w:val="00484F6D"/>
    <w:rsid w:val="00485F0C"/>
    <w:rsid w:val="0048610F"/>
    <w:rsid w:val="0048641C"/>
    <w:rsid w:val="0048752A"/>
    <w:rsid w:val="00487A81"/>
    <w:rsid w:val="00487F49"/>
    <w:rsid w:val="00490BE3"/>
    <w:rsid w:val="0049240C"/>
    <w:rsid w:val="00493617"/>
    <w:rsid w:val="0049394A"/>
    <w:rsid w:val="00493B37"/>
    <w:rsid w:val="00493D78"/>
    <w:rsid w:val="004944AD"/>
    <w:rsid w:val="0049496C"/>
    <w:rsid w:val="00495172"/>
    <w:rsid w:val="00495462"/>
    <w:rsid w:val="004955EC"/>
    <w:rsid w:val="00495BEC"/>
    <w:rsid w:val="00495FBB"/>
    <w:rsid w:val="004963FA"/>
    <w:rsid w:val="0049651E"/>
    <w:rsid w:val="00496588"/>
    <w:rsid w:val="00497006"/>
    <w:rsid w:val="0049707E"/>
    <w:rsid w:val="0049773B"/>
    <w:rsid w:val="004A0423"/>
    <w:rsid w:val="004A0F16"/>
    <w:rsid w:val="004A1BAA"/>
    <w:rsid w:val="004A21E4"/>
    <w:rsid w:val="004A2AF4"/>
    <w:rsid w:val="004A3C47"/>
    <w:rsid w:val="004A4024"/>
    <w:rsid w:val="004A44EB"/>
    <w:rsid w:val="004A59D6"/>
    <w:rsid w:val="004A75EB"/>
    <w:rsid w:val="004A7D3E"/>
    <w:rsid w:val="004A7E53"/>
    <w:rsid w:val="004B013E"/>
    <w:rsid w:val="004B085F"/>
    <w:rsid w:val="004B141B"/>
    <w:rsid w:val="004B1698"/>
    <w:rsid w:val="004B2DCE"/>
    <w:rsid w:val="004B321F"/>
    <w:rsid w:val="004B3235"/>
    <w:rsid w:val="004B405A"/>
    <w:rsid w:val="004B40B8"/>
    <w:rsid w:val="004B425A"/>
    <w:rsid w:val="004B43EA"/>
    <w:rsid w:val="004B44A6"/>
    <w:rsid w:val="004B4AE8"/>
    <w:rsid w:val="004B4B13"/>
    <w:rsid w:val="004B5AEA"/>
    <w:rsid w:val="004B601C"/>
    <w:rsid w:val="004B6162"/>
    <w:rsid w:val="004B6363"/>
    <w:rsid w:val="004B758A"/>
    <w:rsid w:val="004C077D"/>
    <w:rsid w:val="004C0BDB"/>
    <w:rsid w:val="004C1932"/>
    <w:rsid w:val="004C1E50"/>
    <w:rsid w:val="004C1E9A"/>
    <w:rsid w:val="004C203F"/>
    <w:rsid w:val="004C2165"/>
    <w:rsid w:val="004C24C2"/>
    <w:rsid w:val="004C3398"/>
    <w:rsid w:val="004C3686"/>
    <w:rsid w:val="004C3FD2"/>
    <w:rsid w:val="004C44CC"/>
    <w:rsid w:val="004C45DD"/>
    <w:rsid w:val="004C4D0D"/>
    <w:rsid w:val="004C5DC1"/>
    <w:rsid w:val="004C61C2"/>
    <w:rsid w:val="004C6C86"/>
    <w:rsid w:val="004C76CB"/>
    <w:rsid w:val="004C79CF"/>
    <w:rsid w:val="004C7EF7"/>
    <w:rsid w:val="004D0408"/>
    <w:rsid w:val="004D0539"/>
    <w:rsid w:val="004D06CA"/>
    <w:rsid w:val="004D0726"/>
    <w:rsid w:val="004D2AD3"/>
    <w:rsid w:val="004D3631"/>
    <w:rsid w:val="004D44CA"/>
    <w:rsid w:val="004D509A"/>
    <w:rsid w:val="004D55B9"/>
    <w:rsid w:val="004D5BCC"/>
    <w:rsid w:val="004D62DA"/>
    <w:rsid w:val="004D6C2A"/>
    <w:rsid w:val="004D7E8B"/>
    <w:rsid w:val="004D7F7B"/>
    <w:rsid w:val="004E04BF"/>
    <w:rsid w:val="004E0A12"/>
    <w:rsid w:val="004E0C65"/>
    <w:rsid w:val="004E1968"/>
    <w:rsid w:val="004E1A2B"/>
    <w:rsid w:val="004E237F"/>
    <w:rsid w:val="004E2FBA"/>
    <w:rsid w:val="004E42D9"/>
    <w:rsid w:val="004E53FD"/>
    <w:rsid w:val="004E59D8"/>
    <w:rsid w:val="004E5DB7"/>
    <w:rsid w:val="004E6500"/>
    <w:rsid w:val="004E6F77"/>
    <w:rsid w:val="004E79DA"/>
    <w:rsid w:val="004F0AA9"/>
    <w:rsid w:val="004F0C2C"/>
    <w:rsid w:val="004F2E65"/>
    <w:rsid w:val="004F2EA2"/>
    <w:rsid w:val="004F2F82"/>
    <w:rsid w:val="004F34DA"/>
    <w:rsid w:val="004F385E"/>
    <w:rsid w:val="004F3EE8"/>
    <w:rsid w:val="004F3F7A"/>
    <w:rsid w:val="004F4C7D"/>
    <w:rsid w:val="004F532C"/>
    <w:rsid w:val="004F58B9"/>
    <w:rsid w:val="004F62C9"/>
    <w:rsid w:val="004F637A"/>
    <w:rsid w:val="004F6438"/>
    <w:rsid w:val="004F6728"/>
    <w:rsid w:val="004F7316"/>
    <w:rsid w:val="004F758C"/>
    <w:rsid w:val="004F75B9"/>
    <w:rsid w:val="004FFE48"/>
    <w:rsid w:val="005007A8"/>
    <w:rsid w:val="0050092C"/>
    <w:rsid w:val="00501831"/>
    <w:rsid w:val="005025B2"/>
    <w:rsid w:val="00502D09"/>
    <w:rsid w:val="00502DFC"/>
    <w:rsid w:val="00503693"/>
    <w:rsid w:val="005036AA"/>
    <w:rsid w:val="005039A7"/>
    <w:rsid w:val="005043BE"/>
    <w:rsid w:val="00504834"/>
    <w:rsid w:val="00504CCB"/>
    <w:rsid w:val="00505919"/>
    <w:rsid w:val="005059BE"/>
    <w:rsid w:val="00505FA4"/>
    <w:rsid w:val="00506E75"/>
    <w:rsid w:val="00507380"/>
    <w:rsid w:val="00510523"/>
    <w:rsid w:val="0051084C"/>
    <w:rsid w:val="00510ADB"/>
    <w:rsid w:val="00511813"/>
    <w:rsid w:val="00511E50"/>
    <w:rsid w:val="00512D34"/>
    <w:rsid w:val="0051334C"/>
    <w:rsid w:val="00513488"/>
    <w:rsid w:val="00515A86"/>
    <w:rsid w:val="00515B48"/>
    <w:rsid w:val="00515FBA"/>
    <w:rsid w:val="0051605B"/>
    <w:rsid w:val="00516FE3"/>
    <w:rsid w:val="00517346"/>
    <w:rsid w:val="00517FC2"/>
    <w:rsid w:val="0052013E"/>
    <w:rsid w:val="0052138F"/>
    <w:rsid w:val="00521448"/>
    <w:rsid w:val="00521468"/>
    <w:rsid w:val="00521D9A"/>
    <w:rsid w:val="0052235E"/>
    <w:rsid w:val="0052241B"/>
    <w:rsid w:val="00523E57"/>
    <w:rsid w:val="00523F3E"/>
    <w:rsid w:val="005248C7"/>
    <w:rsid w:val="00524961"/>
    <w:rsid w:val="00524CDC"/>
    <w:rsid w:val="00525013"/>
    <w:rsid w:val="00525712"/>
    <w:rsid w:val="00526204"/>
    <w:rsid w:val="00526521"/>
    <w:rsid w:val="00526930"/>
    <w:rsid w:val="00526BC9"/>
    <w:rsid w:val="0052767A"/>
    <w:rsid w:val="0052796A"/>
    <w:rsid w:val="00527A2B"/>
    <w:rsid w:val="00527A96"/>
    <w:rsid w:val="00527F8E"/>
    <w:rsid w:val="00530F8D"/>
    <w:rsid w:val="00531020"/>
    <w:rsid w:val="00531070"/>
    <w:rsid w:val="00531668"/>
    <w:rsid w:val="00531D8D"/>
    <w:rsid w:val="00532631"/>
    <w:rsid w:val="005334FD"/>
    <w:rsid w:val="005335F3"/>
    <w:rsid w:val="00533908"/>
    <w:rsid w:val="00533A4D"/>
    <w:rsid w:val="00533A58"/>
    <w:rsid w:val="005348BD"/>
    <w:rsid w:val="0053495A"/>
    <w:rsid w:val="00534EC1"/>
    <w:rsid w:val="00535239"/>
    <w:rsid w:val="00535373"/>
    <w:rsid w:val="005356BE"/>
    <w:rsid w:val="0053601E"/>
    <w:rsid w:val="005362BB"/>
    <w:rsid w:val="0053633D"/>
    <w:rsid w:val="0053653D"/>
    <w:rsid w:val="0053699A"/>
    <w:rsid w:val="00537750"/>
    <w:rsid w:val="00537B86"/>
    <w:rsid w:val="00537FCC"/>
    <w:rsid w:val="0054002D"/>
    <w:rsid w:val="00540353"/>
    <w:rsid w:val="005404AC"/>
    <w:rsid w:val="0054056F"/>
    <w:rsid w:val="00540DE6"/>
    <w:rsid w:val="0054117D"/>
    <w:rsid w:val="0054119A"/>
    <w:rsid w:val="00541F0A"/>
    <w:rsid w:val="00542008"/>
    <w:rsid w:val="00542387"/>
    <w:rsid w:val="00542851"/>
    <w:rsid w:val="00542A20"/>
    <w:rsid w:val="00542DA6"/>
    <w:rsid w:val="00543030"/>
    <w:rsid w:val="0054304B"/>
    <w:rsid w:val="005433AE"/>
    <w:rsid w:val="005433E9"/>
    <w:rsid w:val="005435DB"/>
    <w:rsid w:val="00543BEA"/>
    <w:rsid w:val="00544112"/>
    <w:rsid w:val="005441BA"/>
    <w:rsid w:val="005451C0"/>
    <w:rsid w:val="00545D21"/>
    <w:rsid w:val="0054604A"/>
    <w:rsid w:val="005461A6"/>
    <w:rsid w:val="00546A97"/>
    <w:rsid w:val="005475E5"/>
    <w:rsid w:val="00547673"/>
    <w:rsid w:val="00547742"/>
    <w:rsid w:val="00547A21"/>
    <w:rsid w:val="00547DF9"/>
    <w:rsid w:val="005508FF"/>
    <w:rsid w:val="00550D96"/>
    <w:rsid w:val="00551522"/>
    <w:rsid w:val="00551673"/>
    <w:rsid w:val="00552257"/>
    <w:rsid w:val="00552547"/>
    <w:rsid w:val="00553A3F"/>
    <w:rsid w:val="00553F87"/>
    <w:rsid w:val="005542B5"/>
    <w:rsid w:val="00554C23"/>
    <w:rsid w:val="0055515B"/>
    <w:rsid w:val="0055522B"/>
    <w:rsid w:val="005567F6"/>
    <w:rsid w:val="005568A6"/>
    <w:rsid w:val="00556A6D"/>
    <w:rsid w:val="00556FC2"/>
    <w:rsid w:val="005571FF"/>
    <w:rsid w:val="0055731A"/>
    <w:rsid w:val="0055762E"/>
    <w:rsid w:val="00557931"/>
    <w:rsid w:val="005600D6"/>
    <w:rsid w:val="00560213"/>
    <w:rsid w:val="005615F2"/>
    <w:rsid w:val="00561690"/>
    <w:rsid w:val="005618EB"/>
    <w:rsid w:val="00563152"/>
    <w:rsid w:val="0056457E"/>
    <w:rsid w:val="00565218"/>
    <w:rsid w:val="00565DD1"/>
    <w:rsid w:val="00566085"/>
    <w:rsid w:val="00566BB5"/>
    <w:rsid w:val="005675A7"/>
    <w:rsid w:val="0057037A"/>
    <w:rsid w:val="00570EB2"/>
    <w:rsid w:val="00570EE8"/>
    <w:rsid w:val="005711FA"/>
    <w:rsid w:val="005712DF"/>
    <w:rsid w:val="00572AF7"/>
    <w:rsid w:val="00572D15"/>
    <w:rsid w:val="00572DEA"/>
    <w:rsid w:val="005730B0"/>
    <w:rsid w:val="005733F7"/>
    <w:rsid w:val="0057513B"/>
    <w:rsid w:val="00576063"/>
    <w:rsid w:val="00576557"/>
    <w:rsid w:val="00576625"/>
    <w:rsid w:val="0057700C"/>
    <w:rsid w:val="00577B50"/>
    <w:rsid w:val="00577E25"/>
    <w:rsid w:val="00577EB1"/>
    <w:rsid w:val="0058076B"/>
    <w:rsid w:val="005809A0"/>
    <w:rsid w:val="00580D04"/>
    <w:rsid w:val="00580D3A"/>
    <w:rsid w:val="005811B2"/>
    <w:rsid w:val="005811B8"/>
    <w:rsid w:val="0058220C"/>
    <w:rsid w:val="005828EB"/>
    <w:rsid w:val="00583F57"/>
    <w:rsid w:val="00584132"/>
    <w:rsid w:val="0058514C"/>
    <w:rsid w:val="00585503"/>
    <w:rsid w:val="00585983"/>
    <w:rsid w:val="005869FE"/>
    <w:rsid w:val="005871BE"/>
    <w:rsid w:val="00587907"/>
    <w:rsid w:val="00590667"/>
    <w:rsid w:val="00590718"/>
    <w:rsid w:val="00590FAC"/>
    <w:rsid w:val="00591C28"/>
    <w:rsid w:val="0059273C"/>
    <w:rsid w:val="00592B83"/>
    <w:rsid w:val="00593237"/>
    <w:rsid w:val="005934D7"/>
    <w:rsid w:val="005939E4"/>
    <w:rsid w:val="00593EF5"/>
    <w:rsid w:val="005941C1"/>
    <w:rsid w:val="005946C2"/>
    <w:rsid w:val="00594925"/>
    <w:rsid w:val="00594930"/>
    <w:rsid w:val="005957B5"/>
    <w:rsid w:val="005959F3"/>
    <w:rsid w:val="00595BC0"/>
    <w:rsid w:val="00595E27"/>
    <w:rsid w:val="00596AF0"/>
    <w:rsid w:val="005971CC"/>
    <w:rsid w:val="005975F4"/>
    <w:rsid w:val="005977AE"/>
    <w:rsid w:val="00597836"/>
    <w:rsid w:val="005A01C9"/>
    <w:rsid w:val="005A035D"/>
    <w:rsid w:val="005A257F"/>
    <w:rsid w:val="005A25B1"/>
    <w:rsid w:val="005A2C76"/>
    <w:rsid w:val="005A2E8D"/>
    <w:rsid w:val="005A3A05"/>
    <w:rsid w:val="005A3A28"/>
    <w:rsid w:val="005A3ABE"/>
    <w:rsid w:val="005A3EA6"/>
    <w:rsid w:val="005A4608"/>
    <w:rsid w:val="005A462E"/>
    <w:rsid w:val="005A4DF7"/>
    <w:rsid w:val="005A5689"/>
    <w:rsid w:val="005A6742"/>
    <w:rsid w:val="005A7965"/>
    <w:rsid w:val="005A7C46"/>
    <w:rsid w:val="005B0749"/>
    <w:rsid w:val="005B1414"/>
    <w:rsid w:val="005B2698"/>
    <w:rsid w:val="005B350F"/>
    <w:rsid w:val="005B358E"/>
    <w:rsid w:val="005B37F6"/>
    <w:rsid w:val="005B3C36"/>
    <w:rsid w:val="005B3E95"/>
    <w:rsid w:val="005B4346"/>
    <w:rsid w:val="005B44A1"/>
    <w:rsid w:val="005B44A9"/>
    <w:rsid w:val="005B4A0F"/>
    <w:rsid w:val="005B50DB"/>
    <w:rsid w:val="005B539E"/>
    <w:rsid w:val="005B55FB"/>
    <w:rsid w:val="005B5CFC"/>
    <w:rsid w:val="005B5F9D"/>
    <w:rsid w:val="005B6303"/>
    <w:rsid w:val="005B6E38"/>
    <w:rsid w:val="005B7830"/>
    <w:rsid w:val="005B7CCF"/>
    <w:rsid w:val="005C05CC"/>
    <w:rsid w:val="005C0B4C"/>
    <w:rsid w:val="005C2E65"/>
    <w:rsid w:val="005C2E9F"/>
    <w:rsid w:val="005C347A"/>
    <w:rsid w:val="005C4A7E"/>
    <w:rsid w:val="005C59D8"/>
    <w:rsid w:val="005C681C"/>
    <w:rsid w:val="005C6BB8"/>
    <w:rsid w:val="005C7C73"/>
    <w:rsid w:val="005C7E4A"/>
    <w:rsid w:val="005D0E81"/>
    <w:rsid w:val="005D11E8"/>
    <w:rsid w:val="005D1B89"/>
    <w:rsid w:val="005D1CC9"/>
    <w:rsid w:val="005D334F"/>
    <w:rsid w:val="005D473A"/>
    <w:rsid w:val="005D48D9"/>
    <w:rsid w:val="005D6070"/>
    <w:rsid w:val="005D610A"/>
    <w:rsid w:val="005D6A45"/>
    <w:rsid w:val="005D6AEA"/>
    <w:rsid w:val="005D6FD2"/>
    <w:rsid w:val="005D72CA"/>
    <w:rsid w:val="005D7C82"/>
    <w:rsid w:val="005E077F"/>
    <w:rsid w:val="005E3178"/>
    <w:rsid w:val="005E3A40"/>
    <w:rsid w:val="005E3B2B"/>
    <w:rsid w:val="005E3BBB"/>
    <w:rsid w:val="005E459B"/>
    <w:rsid w:val="005E45E4"/>
    <w:rsid w:val="005E50B6"/>
    <w:rsid w:val="005E55B6"/>
    <w:rsid w:val="005E56FA"/>
    <w:rsid w:val="005E58A8"/>
    <w:rsid w:val="005E687C"/>
    <w:rsid w:val="005E6A0E"/>
    <w:rsid w:val="005E7373"/>
    <w:rsid w:val="005E7A40"/>
    <w:rsid w:val="005E7A6D"/>
    <w:rsid w:val="005F00EA"/>
    <w:rsid w:val="005F0232"/>
    <w:rsid w:val="005F0FA4"/>
    <w:rsid w:val="005F0FED"/>
    <w:rsid w:val="005F15EE"/>
    <w:rsid w:val="005F166F"/>
    <w:rsid w:val="005F16C5"/>
    <w:rsid w:val="005F1AED"/>
    <w:rsid w:val="005F1DFD"/>
    <w:rsid w:val="005F20CB"/>
    <w:rsid w:val="005F2BC6"/>
    <w:rsid w:val="005F30E2"/>
    <w:rsid w:val="005F3603"/>
    <w:rsid w:val="005F3DE2"/>
    <w:rsid w:val="005F448A"/>
    <w:rsid w:val="005F4D32"/>
    <w:rsid w:val="005F5B75"/>
    <w:rsid w:val="005F61DD"/>
    <w:rsid w:val="005F6308"/>
    <w:rsid w:val="005F6CFD"/>
    <w:rsid w:val="005F6E47"/>
    <w:rsid w:val="005F7613"/>
    <w:rsid w:val="005F7796"/>
    <w:rsid w:val="005F7EA3"/>
    <w:rsid w:val="0060135A"/>
    <w:rsid w:val="006035DA"/>
    <w:rsid w:val="00603A73"/>
    <w:rsid w:val="00603BB8"/>
    <w:rsid w:val="0060497B"/>
    <w:rsid w:val="0060599C"/>
    <w:rsid w:val="00605C94"/>
    <w:rsid w:val="0060680C"/>
    <w:rsid w:val="00606E54"/>
    <w:rsid w:val="00607022"/>
    <w:rsid w:val="006072A8"/>
    <w:rsid w:val="00607537"/>
    <w:rsid w:val="006078BA"/>
    <w:rsid w:val="00607923"/>
    <w:rsid w:val="00607C35"/>
    <w:rsid w:val="00610E5C"/>
    <w:rsid w:val="0061146A"/>
    <w:rsid w:val="00611CA6"/>
    <w:rsid w:val="006122F2"/>
    <w:rsid w:val="00613E91"/>
    <w:rsid w:val="006152F4"/>
    <w:rsid w:val="00615C00"/>
    <w:rsid w:val="0061612F"/>
    <w:rsid w:val="006166FE"/>
    <w:rsid w:val="00616878"/>
    <w:rsid w:val="00616C93"/>
    <w:rsid w:val="006179D9"/>
    <w:rsid w:val="00617FEE"/>
    <w:rsid w:val="006200DD"/>
    <w:rsid w:val="006204AA"/>
    <w:rsid w:val="00621045"/>
    <w:rsid w:val="006213AF"/>
    <w:rsid w:val="006215C1"/>
    <w:rsid w:val="00621F12"/>
    <w:rsid w:val="00621F89"/>
    <w:rsid w:val="00621FF6"/>
    <w:rsid w:val="006230E6"/>
    <w:rsid w:val="006238DB"/>
    <w:rsid w:val="00623D98"/>
    <w:rsid w:val="006240CB"/>
    <w:rsid w:val="006242E6"/>
    <w:rsid w:val="006243A6"/>
    <w:rsid w:val="00624D63"/>
    <w:rsid w:val="00624F35"/>
    <w:rsid w:val="00624F63"/>
    <w:rsid w:val="00624FF3"/>
    <w:rsid w:val="00625852"/>
    <w:rsid w:val="00626568"/>
    <w:rsid w:val="006269CC"/>
    <w:rsid w:val="00626ED7"/>
    <w:rsid w:val="00627212"/>
    <w:rsid w:val="006278B5"/>
    <w:rsid w:val="00627C73"/>
    <w:rsid w:val="00627DC4"/>
    <w:rsid w:val="006305AC"/>
    <w:rsid w:val="00630856"/>
    <w:rsid w:val="00630F6E"/>
    <w:rsid w:val="00632283"/>
    <w:rsid w:val="006322D4"/>
    <w:rsid w:val="006328B9"/>
    <w:rsid w:val="00632A00"/>
    <w:rsid w:val="00632BE4"/>
    <w:rsid w:val="00633BB9"/>
    <w:rsid w:val="00633D1C"/>
    <w:rsid w:val="0063429B"/>
    <w:rsid w:val="006352DA"/>
    <w:rsid w:val="0063725E"/>
    <w:rsid w:val="00637821"/>
    <w:rsid w:val="00641110"/>
    <w:rsid w:val="0064183E"/>
    <w:rsid w:val="00641D52"/>
    <w:rsid w:val="00641E6D"/>
    <w:rsid w:val="00641E90"/>
    <w:rsid w:val="00642844"/>
    <w:rsid w:val="00642EAA"/>
    <w:rsid w:val="006436E1"/>
    <w:rsid w:val="00643A25"/>
    <w:rsid w:val="00644481"/>
    <w:rsid w:val="00644539"/>
    <w:rsid w:val="006449BE"/>
    <w:rsid w:val="00644E79"/>
    <w:rsid w:val="006457C3"/>
    <w:rsid w:val="00645C7B"/>
    <w:rsid w:val="00645F73"/>
    <w:rsid w:val="00645FF7"/>
    <w:rsid w:val="00646122"/>
    <w:rsid w:val="00646422"/>
    <w:rsid w:val="00646E4F"/>
    <w:rsid w:val="006472DE"/>
    <w:rsid w:val="00647353"/>
    <w:rsid w:val="006473BD"/>
    <w:rsid w:val="006474F6"/>
    <w:rsid w:val="00647A05"/>
    <w:rsid w:val="00650B22"/>
    <w:rsid w:val="00650E53"/>
    <w:rsid w:val="00651588"/>
    <w:rsid w:val="00651B09"/>
    <w:rsid w:val="00651C04"/>
    <w:rsid w:val="00652C39"/>
    <w:rsid w:val="00653850"/>
    <w:rsid w:val="00653C7A"/>
    <w:rsid w:val="006541E3"/>
    <w:rsid w:val="006545BA"/>
    <w:rsid w:val="0065507F"/>
    <w:rsid w:val="00655809"/>
    <w:rsid w:val="0065584F"/>
    <w:rsid w:val="006561D0"/>
    <w:rsid w:val="0065642D"/>
    <w:rsid w:val="00656621"/>
    <w:rsid w:val="00656B51"/>
    <w:rsid w:val="00656D99"/>
    <w:rsid w:val="00657EFF"/>
    <w:rsid w:val="0066061D"/>
    <w:rsid w:val="006614BD"/>
    <w:rsid w:val="00661B67"/>
    <w:rsid w:val="00661EE6"/>
    <w:rsid w:val="0066253F"/>
    <w:rsid w:val="00662E12"/>
    <w:rsid w:val="0066485C"/>
    <w:rsid w:val="00664DC4"/>
    <w:rsid w:val="006650B5"/>
    <w:rsid w:val="00665CF6"/>
    <w:rsid w:val="006662BF"/>
    <w:rsid w:val="00666E3E"/>
    <w:rsid w:val="00666E6F"/>
    <w:rsid w:val="00666F9B"/>
    <w:rsid w:val="00667490"/>
    <w:rsid w:val="00667688"/>
    <w:rsid w:val="00670066"/>
    <w:rsid w:val="006700D9"/>
    <w:rsid w:val="0067047F"/>
    <w:rsid w:val="00670A76"/>
    <w:rsid w:val="00670BD5"/>
    <w:rsid w:val="00671163"/>
    <w:rsid w:val="00671693"/>
    <w:rsid w:val="006720E7"/>
    <w:rsid w:val="006728AE"/>
    <w:rsid w:val="00672D6A"/>
    <w:rsid w:val="00673639"/>
    <w:rsid w:val="006737AE"/>
    <w:rsid w:val="00673ACB"/>
    <w:rsid w:val="00673BFD"/>
    <w:rsid w:val="00673E68"/>
    <w:rsid w:val="0067406E"/>
    <w:rsid w:val="0067592E"/>
    <w:rsid w:val="00675D12"/>
    <w:rsid w:val="006766C9"/>
    <w:rsid w:val="006775C7"/>
    <w:rsid w:val="00677F17"/>
    <w:rsid w:val="00680AAB"/>
    <w:rsid w:val="00680D81"/>
    <w:rsid w:val="00681353"/>
    <w:rsid w:val="0068178A"/>
    <w:rsid w:val="00681C78"/>
    <w:rsid w:val="00682631"/>
    <w:rsid w:val="0068292C"/>
    <w:rsid w:val="00682BCC"/>
    <w:rsid w:val="006836EE"/>
    <w:rsid w:val="00684ACF"/>
    <w:rsid w:val="00685B84"/>
    <w:rsid w:val="00685BA7"/>
    <w:rsid w:val="00685DCF"/>
    <w:rsid w:val="00685DF7"/>
    <w:rsid w:val="006863C9"/>
    <w:rsid w:val="00686FED"/>
    <w:rsid w:val="00687738"/>
    <w:rsid w:val="00687912"/>
    <w:rsid w:val="00687A80"/>
    <w:rsid w:val="00687F6D"/>
    <w:rsid w:val="00687FD8"/>
    <w:rsid w:val="006905D5"/>
    <w:rsid w:val="006918B1"/>
    <w:rsid w:val="00691AD5"/>
    <w:rsid w:val="0069252B"/>
    <w:rsid w:val="0069304B"/>
    <w:rsid w:val="0069381C"/>
    <w:rsid w:val="0069391B"/>
    <w:rsid w:val="00694A9B"/>
    <w:rsid w:val="00694B05"/>
    <w:rsid w:val="00694F3F"/>
    <w:rsid w:val="00695197"/>
    <w:rsid w:val="006954D8"/>
    <w:rsid w:val="00695824"/>
    <w:rsid w:val="006960E9"/>
    <w:rsid w:val="00696716"/>
    <w:rsid w:val="00697AE9"/>
    <w:rsid w:val="006A0439"/>
    <w:rsid w:val="006A07BB"/>
    <w:rsid w:val="006A2665"/>
    <w:rsid w:val="006A498C"/>
    <w:rsid w:val="006A548E"/>
    <w:rsid w:val="006A7042"/>
    <w:rsid w:val="006B0364"/>
    <w:rsid w:val="006B0655"/>
    <w:rsid w:val="006B19CC"/>
    <w:rsid w:val="006B214F"/>
    <w:rsid w:val="006B216C"/>
    <w:rsid w:val="006B2A35"/>
    <w:rsid w:val="006B2E56"/>
    <w:rsid w:val="006B3A97"/>
    <w:rsid w:val="006B3D4C"/>
    <w:rsid w:val="006B5213"/>
    <w:rsid w:val="006B595C"/>
    <w:rsid w:val="006B6034"/>
    <w:rsid w:val="006B606B"/>
    <w:rsid w:val="006B6156"/>
    <w:rsid w:val="006B6B15"/>
    <w:rsid w:val="006B78EA"/>
    <w:rsid w:val="006C0C4E"/>
    <w:rsid w:val="006C0CF1"/>
    <w:rsid w:val="006C0D00"/>
    <w:rsid w:val="006C1024"/>
    <w:rsid w:val="006C14D3"/>
    <w:rsid w:val="006C1D86"/>
    <w:rsid w:val="006C38D9"/>
    <w:rsid w:val="006C3EF4"/>
    <w:rsid w:val="006C4228"/>
    <w:rsid w:val="006C50D9"/>
    <w:rsid w:val="006C5342"/>
    <w:rsid w:val="006C57BF"/>
    <w:rsid w:val="006C5841"/>
    <w:rsid w:val="006C5F97"/>
    <w:rsid w:val="006C6A79"/>
    <w:rsid w:val="006C6E6E"/>
    <w:rsid w:val="006C6F88"/>
    <w:rsid w:val="006C732D"/>
    <w:rsid w:val="006C7DC6"/>
    <w:rsid w:val="006C7ED4"/>
    <w:rsid w:val="006D05C1"/>
    <w:rsid w:val="006D180B"/>
    <w:rsid w:val="006D2214"/>
    <w:rsid w:val="006D28A7"/>
    <w:rsid w:val="006D2A41"/>
    <w:rsid w:val="006D2B32"/>
    <w:rsid w:val="006D2E45"/>
    <w:rsid w:val="006D33B2"/>
    <w:rsid w:val="006D367C"/>
    <w:rsid w:val="006D3774"/>
    <w:rsid w:val="006D3F55"/>
    <w:rsid w:val="006D48CA"/>
    <w:rsid w:val="006D4FE5"/>
    <w:rsid w:val="006D5043"/>
    <w:rsid w:val="006D54CA"/>
    <w:rsid w:val="006D6989"/>
    <w:rsid w:val="006D6A91"/>
    <w:rsid w:val="006D6C4E"/>
    <w:rsid w:val="006D6F9F"/>
    <w:rsid w:val="006D71FF"/>
    <w:rsid w:val="006D7A5F"/>
    <w:rsid w:val="006D7D78"/>
    <w:rsid w:val="006D7DFC"/>
    <w:rsid w:val="006E0434"/>
    <w:rsid w:val="006E0F97"/>
    <w:rsid w:val="006E143A"/>
    <w:rsid w:val="006E1B79"/>
    <w:rsid w:val="006E2159"/>
    <w:rsid w:val="006E276A"/>
    <w:rsid w:val="006E2BD4"/>
    <w:rsid w:val="006E3539"/>
    <w:rsid w:val="006E35A0"/>
    <w:rsid w:val="006E375F"/>
    <w:rsid w:val="006E441D"/>
    <w:rsid w:val="006E4D3C"/>
    <w:rsid w:val="006E5072"/>
    <w:rsid w:val="006E548C"/>
    <w:rsid w:val="006E56AA"/>
    <w:rsid w:val="006E57A5"/>
    <w:rsid w:val="006E7FB3"/>
    <w:rsid w:val="006F1E81"/>
    <w:rsid w:val="006F297A"/>
    <w:rsid w:val="006F2B85"/>
    <w:rsid w:val="006F4E81"/>
    <w:rsid w:val="006F517B"/>
    <w:rsid w:val="006F5526"/>
    <w:rsid w:val="006F56BB"/>
    <w:rsid w:val="006F60B7"/>
    <w:rsid w:val="006F6982"/>
    <w:rsid w:val="006F6B78"/>
    <w:rsid w:val="006F6F89"/>
    <w:rsid w:val="006F72BD"/>
    <w:rsid w:val="006F7796"/>
    <w:rsid w:val="006F7BBD"/>
    <w:rsid w:val="006F7F41"/>
    <w:rsid w:val="006F7F5D"/>
    <w:rsid w:val="007000E0"/>
    <w:rsid w:val="00700137"/>
    <w:rsid w:val="00700173"/>
    <w:rsid w:val="00700A5F"/>
    <w:rsid w:val="00700C31"/>
    <w:rsid w:val="00701006"/>
    <w:rsid w:val="00701955"/>
    <w:rsid w:val="00702033"/>
    <w:rsid w:val="007025E3"/>
    <w:rsid w:val="00702867"/>
    <w:rsid w:val="00702C7B"/>
    <w:rsid w:val="00703723"/>
    <w:rsid w:val="007037DB"/>
    <w:rsid w:val="00703863"/>
    <w:rsid w:val="00703B94"/>
    <w:rsid w:val="007059D5"/>
    <w:rsid w:val="00706B6B"/>
    <w:rsid w:val="00706C2E"/>
    <w:rsid w:val="0070797C"/>
    <w:rsid w:val="00707B03"/>
    <w:rsid w:val="00707E3F"/>
    <w:rsid w:val="00707FEA"/>
    <w:rsid w:val="007104BA"/>
    <w:rsid w:val="00710555"/>
    <w:rsid w:val="00710FBD"/>
    <w:rsid w:val="007113E4"/>
    <w:rsid w:val="0071172E"/>
    <w:rsid w:val="00711B96"/>
    <w:rsid w:val="00712B4D"/>
    <w:rsid w:val="00712CF4"/>
    <w:rsid w:val="00713D6F"/>
    <w:rsid w:val="0071401D"/>
    <w:rsid w:val="0071421C"/>
    <w:rsid w:val="00714338"/>
    <w:rsid w:val="00714CF9"/>
    <w:rsid w:val="00714F9F"/>
    <w:rsid w:val="00714FE8"/>
    <w:rsid w:val="00715709"/>
    <w:rsid w:val="007157F6"/>
    <w:rsid w:val="00716369"/>
    <w:rsid w:val="0071718C"/>
    <w:rsid w:val="00717DD6"/>
    <w:rsid w:val="00717EA0"/>
    <w:rsid w:val="0072047A"/>
    <w:rsid w:val="00720516"/>
    <w:rsid w:val="007208F2"/>
    <w:rsid w:val="00720A23"/>
    <w:rsid w:val="00720C0F"/>
    <w:rsid w:val="00720DBC"/>
    <w:rsid w:val="00721B8E"/>
    <w:rsid w:val="00722581"/>
    <w:rsid w:val="0072287B"/>
    <w:rsid w:val="007242A1"/>
    <w:rsid w:val="0072487F"/>
    <w:rsid w:val="00724A21"/>
    <w:rsid w:val="00724BD2"/>
    <w:rsid w:val="00725329"/>
    <w:rsid w:val="007254A5"/>
    <w:rsid w:val="007261AD"/>
    <w:rsid w:val="0072640A"/>
    <w:rsid w:val="007269F5"/>
    <w:rsid w:val="0072795A"/>
    <w:rsid w:val="0072B835"/>
    <w:rsid w:val="007300F4"/>
    <w:rsid w:val="00730E6C"/>
    <w:rsid w:val="00731DF2"/>
    <w:rsid w:val="00731E99"/>
    <w:rsid w:val="00731FAB"/>
    <w:rsid w:val="007328C0"/>
    <w:rsid w:val="00732BB3"/>
    <w:rsid w:val="00734310"/>
    <w:rsid w:val="007347D1"/>
    <w:rsid w:val="007352D7"/>
    <w:rsid w:val="00735F2E"/>
    <w:rsid w:val="00736703"/>
    <w:rsid w:val="0073678F"/>
    <w:rsid w:val="00736D02"/>
    <w:rsid w:val="00740378"/>
    <w:rsid w:val="00740729"/>
    <w:rsid w:val="007409DF"/>
    <w:rsid w:val="00740B63"/>
    <w:rsid w:val="00740CD6"/>
    <w:rsid w:val="00740D36"/>
    <w:rsid w:val="00741B10"/>
    <w:rsid w:val="00741CBD"/>
    <w:rsid w:val="00742F2C"/>
    <w:rsid w:val="00743675"/>
    <w:rsid w:val="00743938"/>
    <w:rsid w:val="00744153"/>
    <w:rsid w:val="007442B8"/>
    <w:rsid w:val="007444BA"/>
    <w:rsid w:val="00744C57"/>
    <w:rsid w:val="00744FF9"/>
    <w:rsid w:val="007451A0"/>
    <w:rsid w:val="00745288"/>
    <w:rsid w:val="007454F4"/>
    <w:rsid w:val="00745591"/>
    <w:rsid w:val="00745F80"/>
    <w:rsid w:val="0074617D"/>
    <w:rsid w:val="00746358"/>
    <w:rsid w:val="00746C35"/>
    <w:rsid w:val="007475A9"/>
    <w:rsid w:val="007477B4"/>
    <w:rsid w:val="00747F2C"/>
    <w:rsid w:val="00750F8D"/>
    <w:rsid w:val="007518CD"/>
    <w:rsid w:val="00751AEE"/>
    <w:rsid w:val="00751C07"/>
    <w:rsid w:val="007521EB"/>
    <w:rsid w:val="00752B47"/>
    <w:rsid w:val="00752D05"/>
    <w:rsid w:val="00752D27"/>
    <w:rsid w:val="0075310C"/>
    <w:rsid w:val="00753385"/>
    <w:rsid w:val="007550FA"/>
    <w:rsid w:val="007558A9"/>
    <w:rsid w:val="007558CE"/>
    <w:rsid w:val="00755DB6"/>
    <w:rsid w:val="0075705A"/>
    <w:rsid w:val="00757686"/>
    <w:rsid w:val="007579EA"/>
    <w:rsid w:val="00757BEC"/>
    <w:rsid w:val="007600C5"/>
    <w:rsid w:val="007615FA"/>
    <w:rsid w:val="0076178E"/>
    <w:rsid w:val="00761E33"/>
    <w:rsid w:val="0076240E"/>
    <w:rsid w:val="007624AB"/>
    <w:rsid w:val="007628CC"/>
    <w:rsid w:val="007634D0"/>
    <w:rsid w:val="0076355D"/>
    <w:rsid w:val="00763638"/>
    <w:rsid w:val="007639BD"/>
    <w:rsid w:val="00763D0E"/>
    <w:rsid w:val="00764920"/>
    <w:rsid w:val="00765593"/>
    <w:rsid w:val="00765BA3"/>
    <w:rsid w:val="0076639A"/>
    <w:rsid w:val="00766BB8"/>
    <w:rsid w:val="00767155"/>
    <w:rsid w:val="00767F00"/>
    <w:rsid w:val="00770DED"/>
    <w:rsid w:val="00770E22"/>
    <w:rsid w:val="0077143E"/>
    <w:rsid w:val="00771510"/>
    <w:rsid w:val="007718D8"/>
    <w:rsid w:val="00771F85"/>
    <w:rsid w:val="007739D2"/>
    <w:rsid w:val="00774049"/>
    <w:rsid w:val="00774107"/>
    <w:rsid w:val="007747BA"/>
    <w:rsid w:val="0077551D"/>
    <w:rsid w:val="00775603"/>
    <w:rsid w:val="00775D5B"/>
    <w:rsid w:val="00775F7A"/>
    <w:rsid w:val="00776198"/>
    <w:rsid w:val="00777156"/>
    <w:rsid w:val="007777FD"/>
    <w:rsid w:val="00777A48"/>
    <w:rsid w:val="007805C0"/>
    <w:rsid w:val="007807EB"/>
    <w:rsid w:val="00780DA6"/>
    <w:rsid w:val="0078187D"/>
    <w:rsid w:val="00782086"/>
    <w:rsid w:val="007825DE"/>
    <w:rsid w:val="00782C81"/>
    <w:rsid w:val="00783D2E"/>
    <w:rsid w:val="00783FD6"/>
    <w:rsid w:val="00784CA6"/>
    <w:rsid w:val="00786FCC"/>
    <w:rsid w:val="007871C0"/>
    <w:rsid w:val="00787232"/>
    <w:rsid w:val="00787AC4"/>
    <w:rsid w:val="007918BF"/>
    <w:rsid w:val="00791BB8"/>
    <w:rsid w:val="00792D2D"/>
    <w:rsid w:val="00792D69"/>
    <w:rsid w:val="00793240"/>
    <w:rsid w:val="00793FE1"/>
    <w:rsid w:val="007942E0"/>
    <w:rsid w:val="0079480C"/>
    <w:rsid w:val="0079500A"/>
    <w:rsid w:val="00795E2F"/>
    <w:rsid w:val="007972CA"/>
    <w:rsid w:val="00797339"/>
    <w:rsid w:val="007A05DC"/>
    <w:rsid w:val="007A0C1F"/>
    <w:rsid w:val="007A1011"/>
    <w:rsid w:val="007A15C7"/>
    <w:rsid w:val="007A1DC3"/>
    <w:rsid w:val="007A1EB9"/>
    <w:rsid w:val="007A2A70"/>
    <w:rsid w:val="007A3FB4"/>
    <w:rsid w:val="007A4392"/>
    <w:rsid w:val="007A5084"/>
    <w:rsid w:val="007A5CA8"/>
    <w:rsid w:val="007A5EC2"/>
    <w:rsid w:val="007A6285"/>
    <w:rsid w:val="007A681F"/>
    <w:rsid w:val="007A68D6"/>
    <w:rsid w:val="007A755A"/>
    <w:rsid w:val="007A7B27"/>
    <w:rsid w:val="007A7B62"/>
    <w:rsid w:val="007A7C66"/>
    <w:rsid w:val="007B03EF"/>
    <w:rsid w:val="007B1AF8"/>
    <w:rsid w:val="007B1C5D"/>
    <w:rsid w:val="007B20BF"/>
    <w:rsid w:val="007B22BE"/>
    <w:rsid w:val="007B23F9"/>
    <w:rsid w:val="007B311B"/>
    <w:rsid w:val="007B37B9"/>
    <w:rsid w:val="007B3C13"/>
    <w:rsid w:val="007B403D"/>
    <w:rsid w:val="007B436A"/>
    <w:rsid w:val="007B4CCF"/>
    <w:rsid w:val="007B4F43"/>
    <w:rsid w:val="007B5C6B"/>
    <w:rsid w:val="007B6090"/>
    <w:rsid w:val="007B6DDB"/>
    <w:rsid w:val="007B6FAF"/>
    <w:rsid w:val="007C0FE0"/>
    <w:rsid w:val="007C185C"/>
    <w:rsid w:val="007C1B8C"/>
    <w:rsid w:val="007C21E8"/>
    <w:rsid w:val="007C2561"/>
    <w:rsid w:val="007C2FD4"/>
    <w:rsid w:val="007C300C"/>
    <w:rsid w:val="007C3A2E"/>
    <w:rsid w:val="007C3BF8"/>
    <w:rsid w:val="007C40AF"/>
    <w:rsid w:val="007C4501"/>
    <w:rsid w:val="007C45C5"/>
    <w:rsid w:val="007C535E"/>
    <w:rsid w:val="007C5973"/>
    <w:rsid w:val="007C6C82"/>
    <w:rsid w:val="007C7827"/>
    <w:rsid w:val="007C78D2"/>
    <w:rsid w:val="007C7F87"/>
    <w:rsid w:val="007D0054"/>
    <w:rsid w:val="007D02EE"/>
    <w:rsid w:val="007D03A4"/>
    <w:rsid w:val="007D1DD8"/>
    <w:rsid w:val="007D1EC1"/>
    <w:rsid w:val="007D2260"/>
    <w:rsid w:val="007D2419"/>
    <w:rsid w:val="007D2948"/>
    <w:rsid w:val="007D2A93"/>
    <w:rsid w:val="007D2B32"/>
    <w:rsid w:val="007D34A1"/>
    <w:rsid w:val="007D382E"/>
    <w:rsid w:val="007D4893"/>
    <w:rsid w:val="007D4C9A"/>
    <w:rsid w:val="007D5701"/>
    <w:rsid w:val="007D57C1"/>
    <w:rsid w:val="007D62BC"/>
    <w:rsid w:val="007D65D6"/>
    <w:rsid w:val="007D6975"/>
    <w:rsid w:val="007D6BCD"/>
    <w:rsid w:val="007D6CBC"/>
    <w:rsid w:val="007D7251"/>
    <w:rsid w:val="007E02CB"/>
    <w:rsid w:val="007E063A"/>
    <w:rsid w:val="007E0863"/>
    <w:rsid w:val="007E1100"/>
    <w:rsid w:val="007E160F"/>
    <w:rsid w:val="007E168C"/>
    <w:rsid w:val="007E1D17"/>
    <w:rsid w:val="007E28A7"/>
    <w:rsid w:val="007E2C40"/>
    <w:rsid w:val="007E2CCA"/>
    <w:rsid w:val="007E301E"/>
    <w:rsid w:val="007E30CE"/>
    <w:rsid w:val="007E3125"/>
    <w:rsid w:val="007E3321"/>
    <w:rsid w:val="007E3DD0"/>
    <w:rsid w:val="007E3ED2"/>
    <w:rsid w:val="007E4246"/>
    <w:rsid w:val="007E4677"/>
    <w:rsid w:val="007E46AE"/>
    <w:rsid w:val="007E564A"/>
    <w:rsid w:val="007E6C99"/>
    <w:rsid w:val="007E7125"/>
    <w:rsid w:val="007E7387"/>
    <w:rsid w:val="007E77E7"/>
    <w:rsid w:val="007E7828"/>
    <w:rsid w:val="007F02C7"/>
    <w:rsid w:val="007F089D"/>
    <w:rsid w:val="007F0B2F"/>
    <w:rsid w:val="007F0D02"/>
    <w:rsid w:val="007F1181"/>
    <w:rsid w:val="007F1AED"/>
    <w:rsid w:val="007F1B12"/>
    <w:rsid w:val="007F23A8"/>
    <w:rsid w:val="007F4E74"/>
    <w:rsid w:val="007F52A1"/>
    <w:rsid w:val="007F544E"/>
    <w:rsid w:val="007F55B4"/>
    <w:rsid w:val="007F5F2B"/>
    <w:rsid w:val="007F6453"/>
    <w:rsid w:val="007F64CD"/>
    <w:rsid w:val="007F66E4"/>
    <w:rsid w:val="007F7A2F"/>
    <w:rsid w:val="007F7BFA"/>
    <w:rsid w:val="00800133"/>
    <w:rsid w:val="0080164F"/>
    <w:rsid w:val="008017D6"/>
    <w:rsid w:val="0080311E"/>
    <w:rsid w:val="00803EDC"/>
    <w:rsid w:val="00804655"/>
    <w:rsid w:val="00804795"/>
    <w:rsid w:val="00804960"/>
    <w:rsid w:val="0080524A"/>
    <w:rsid w:val="00805474"/>
    <w:rsid w:val="0080587D"/>
    <w:rsid w:val="00805A5A"/>
    <w:rsid w:val="00805BCF"/>
    <w:rsid w:val="00806496"/>
    <w:rsid w:val="008072C7"/>
    <w:rsid w:val="00810346"/>
    <w:rsid w:val="00810FE9"/>
    <w:rsid w:val="00811365"/>
    <w:rsid w:val="00811596"/>
    <w:rsid w:val="0081187B"/>
    <w:rsid w:val="0081195D"/>
    <w:rsid w:val="00811CE0"/>
    <w:rsid w:val="00811E5F"/>
    <w:rsid w:val="0081229C"/>
    <w:rsid w:val="0081275C"/>
    <w:rsid w:val="00812D26"/>
    <w:rsid w:val="00812D35"/>
    <w:rsid w:val="008137AE"/>
    <w:rsid w:val="00814AC6"/>
    <w:rsid w:val="00814C4D"/>
    <w:rsid w:val="00814D6B"/>
    <w:rsid w:val="00815A90"/>
    <w:rsid w:val="00815F0C"/>
    <w:rsid w:val="00816213"/>
    <w:rsid w:val="008162EE"/>
    <w:rsid w:val="0081731C"/>
    <w:rsid w:val="0081775C"/>
    <w:rsid w:val="00817CE3"/>
    <w:rsid w:val="0082101E"/>
    <w:rsid w:val="008217E1"/>
    <w:rsid w:val="00821EAD"/>
    <w:rsid w:val="0082234A"/>
    <w:rsid w:val="008223D6"/>
    <w:rsid w:val="00822A35"/>
    <w:rsid w:val="00822F66"/>
    <w:rsid w:val="00824304"/>
    <w:rsid w:val="00824342"/>
    <w:rsid w:val="00824E4D"/>
    <w:rsid w:val="00825B26"/>
    <w:rsid w:val="00825E3D"/>
    <w:rsid w:val="0082630A"/>
    <w:rsid w:val="0082635B"/>
    <w:rsid w:val="0082703E"/>
    <w:rsid w:val="008274F1"/>
    <w:rsid w:val="0082799E"/>
    <w:rsid w:val="00827B4E"/>
    <w:rsid w:val="00830AB4"/>
    <w:rsid w:val="00830CDF"/>
    <w:rsid w:val="00831513"/>
    <w:rsid w:val="00831FEC"/>
    <w:rsid w:val="008324EB"/>
    <w:rsid w:val="0083294F"/>
    <w:rsid w:val="00832B91"/>
    <w:rsid w:val="00833257"/>
    <w:rsid w:val="00833CE1"/>
    <w:rsid w:val="00833E11"/>
    <w:rsid w:val="00834CEB"/>
    <w:rsid w:val="008355AC"/>
    <w:rsid w:val="00835701"/>
    <w:rsid w:val="00836233"/>
    <w:rsid w:val="00836D79"/>
    <w:rsid w:val="00837A84"/>
    <w:rsid w:val="008406BF"/>
    <w:rsid w:val="00840F72"/>
    <w:rsid w:val="008414F4"/>
    <w:rsid w:val="008416E1"/>
    <w:rsid w:val="00841A16"/>
    <w:rsid w:val="00841F44"/>
    <w:rsid w:val="008436F6"/>
    <w:rsid w:val="00843B75"/>
    <w:rsid w:val="00843B9E"/>
    <w:rsid w:val="00843C20"/>
    <w:rsid w:val="00844B69"/>
    <w:rsid w:val="00844E50"/>
    <w:rsid w:val="00845179"/>
    <w:rsid w:val="008452AD"/>
    <w:rsid w:val="008468A0"/>
    <w:rsid w:val="00846EEE"/>
    <w:rsid w:val="0084700D"/>
    <w:rsid w:val="0084774B"/>
    <w:rsid w:val="0084981C"/>
    <w:rsid w:val="00850114"/>
    <w:rsid w:val="008504FD"/>
    <w:rsid w:val="008511A3"/>
    <w:rsid w:val="00851293"/>
    <w:rsid w:val="00851656"/>
    <w:rsid w:val="00852392"/>
    <w:rsid w:val="0085269C"/>
    <w:rsid w:val="00852DDC"/>
    <w:rsid w:val="0085355D"/>
    <w:rsid w:val="00854BF2"/>
    <w:rsid w:val="00855FE8"/>
    <w:rsid w:val="00856B74"/>
    <w:rsid w:val="00857610"/>
    <w:rsid w:val="00857D69"/>
    <w:rsid w:val="00861186"/>
    <w:rsid w:val="00862A22"/>
    <w:rsid w:val="00863554"/>
    <w:rsid w:val="00863F29"/>
    <w:rsid w:val="008641C3"/>
    <w:rsid w:val="00864CEB"/>
    <w:rsid w:val="00864D01"/>
    <w:rsid w:val="00864F24"/>
    <w:rsid w:val="00864FB7"/>
    <w:rsid w:val="0086518C"/>
    <w:rsid w:val="008655D6"/>
    <w:rsid w:val="00866821"/>
    <w:rsid w:val="00867218"/>
    <w:rsid w:val="00870794"/>
    <w:rsid w:val="00870831"/>
    <w:rsid w:val="008709C6"/>
    <w:rsid w:val="00870E47"/>
    <w:rsid w:val="00871C23"/>
    <w:rsid w:val="00872AF5"/>
    <w:rsid w:val="00873B2A"/>
    <w:rsid w:val="00874728"/>
    <w:rsid w:val="00874CC4"/>
    <w:rsid w:val="008752F1"/>
    <w:rsid w:val="00875E3F"/>
    <w:rsid w:val="0087677A"/>
    <w:rsid w:val="00876C2B"/>
    <w:rsid w:val="00877DA9"/>
    <w:rsid w:val="00882C75"/>
    <w:rsid w:val="00882D28"/>
    <w:rsid w:val="00882F2F"/>
    <w:rsid w:val="0088324C"/>
    <w:rsid w:val="00883BFB"/>
    <w:rsid w:val="00883F57"/>
    <w:rsid w:val="00884BE1"/>
    <w:rsid w:val="00884D6C"/>
    <w:rsid w:val="00884EFA"/>
    <w:rsid w:val="008856FA"/>
    <w:rsid w:val="00885D55"/>
    <w:rsid w:val="00886A9F"/>
    <w:rsid w:val="0088781D"/>
    <w:rsid w:val="00887D83"/>
    <w:rsid w:val="008909CE"/>
    <w:rsid w:val="008909EC"/>
    <w:rsid w:val="00890CE5"/>
    <w:rsid w:val="00891689"/>
    <w:rsid w:val="008921AF"/>
    <w:rsid w:val="00892997"/>
    <w:rsid w:val="0089483D"/>
    <w:rsid w:val="00894A91"/>
    <w:rsid w:val="00894F0E"/>
    <w:rsid w:val="008951AB"/>
    <w:rsid w:val="00895359"/>
    <w:rsid w:val="008955B5"/>
    <w:rsid w:val="00895B8F"/>
    <w:rsid w:val="008960B4"/>
    <w:rsid w:val="00896945"/>
    <w:rsid w:val="00896FA3"/>
    <w:rsid w:val="008976D3"/>
    <w:rsid w:val="00897ECB"/>
    <w:rsid w:val="008A06C2"/>
    <w:rsid w:val="008A0B73"/>
    <w:rsid w:val="008A0DF4"/>
    <w:rsid w:val="008A1086"/>
    <w:rsid w:val="008A13E0"/>
    <w:rsid w:val="008A19BE"/>
    <w:rsid w:val="008A2762"/>
    <w:rsid w:val="008A35B9"/>
    <w:rsid w:val="008A35C7"/>
    <w:rsid w:val="008A37FE"/>
    <w:rsid w:val="008A4B08"/>
    <w:rsid w:val="008A4F3B"/>
    <w:rsid w:val="008A7E30"/>
    <w:rsid w:val="008B01E3"/>
    <w:rsid w:val="008B0681"/>
    <w:rsid w:val="008B06AC"/>
    <w:rsid w:val="008B169A"/>
    <w:rsid w:val="008B19DC"/>
    <w:rsid w:val="008B206D"/>
    <w:rsid w:val="008B2267"/>
    <w:rsid w:val="008B282D"/>
    <w:rsid w:val="008B2CD6"/>
    <w:rsid w:val="008B3A36"/>
    <w:rsid w:val="008B42F5"/>
    <w:rsid w:val="008B4477"/>
    <w:rsid w:val="008B47C5"/>
    <w:rsid w:val="008B4BA0"/>
    <w:rsid w:val="008B4DF5"/>
    <w:rsid w:val="008B4E4F"/>
    <w:rsid w:val="008B6307"/>
    <w:rsid w:val="008B65E2"/>
    <w:rsid w:val="008B7C89"/>
    <w:rsid w:val="008C1C8F"/>
    <w:rsid w:val="008C225D"/>
    <w:rsid w:val="008C2B78"/>
    <w:rsid w:val="008C3244"/>
    <w:rsid w:val="008C50B6"/>
    <w:rsid w:val="008C56C9"/>
    <w:rsid w:val="008C57E8"/>
    <w:rsid w:val="008C675A"/>
    <w:rsid w:val="008C695C"/>
    <w:rsid w:val="008D01CC"/>
    <w:rsid w:val="008D06F2"/>
    <w:rsid w:val="008D0BB9"/>
    <w:rsid w:val="008D2938"/>
    <w:rsid w:val="008D2A62"/>
    <w:rsid w:val="008D2DE6"/>
    <w:rsid w:val="008D4CF5"/>
    <w:rsid w:val="008D5804"/>
    <w:rsid w:val="008D5AF6"/>
    <w:rsid w:val="008D619A"/>
    <w:rsid w:val="008D6391"/>
    <w:rsid w:val="008D6B6C"/>
    <w:rsid w:val="008D6E7D"/>
    <w:rsid w:val="008D7C16"/>
    <w:rsid w:val="008D7C51"/>
    <w:rsid w:val="008D7DAF"/>
    <w:rsid w:val="008E0634"/>
    <w:rsid w:val="008E0693"/>
    <w:rsid w:val="008E081A"/>
    <w:rsid w:val="008E097B"/>
    <w:rsid w:val="008E130E"/>
    <w:rsid w:val="008E148D"/>
    <w:rsid w:val="008E210C"/>
    <w:rsid w:val="008E2A7D"/>
    <w:rsid w:val="008E37B0"/>
    <w:rsid w:val="008E385B"/>
    <w:rsid w:val="008E4A47"/>
    <w:rsid w:val="008E4B3F"/>
    <w:rsid w:val="008E4FD3"/>
    <w:rsid w:val="008E53F7"/>
    <w:rsid w:val="008E609F"/>
    <w:rsid w:val="008E64BD"/>
    <w:rsid w:val="008E6DA4"/>
    <w:rsid w:val="008E6F05"/>
    <w:rsid w:val="008E7E39"/>
    <w:rsid w:val="008F0100"/>
    <w:rsid w:val="008F065F"/>
    <w:rsid w:val="008F06C7"/>
    <w:rsid w:val="008F19CC"/>
    <w:rsid w:val="008F1FCD"/>
    <w:rsid w:val="008F20BF"/>
    <w:rsid w:val="008F22D2"/>
    <w:rsid w:val="008F2E34"/>
    <w:rsid w:val="008F303B"/>
    <w:rsid w:val="008F4FC1"/>
    <w:rsid w:val="008F51EB"/>
    <w:rsid w:val="008F585F"/>
    <w:rsid w:val="008F5E6A"/>
    <w:rsid w:val="008F6453"/>
    <w:rsid w:val="008F64FB"/>
    <w:rsid w:val="008F6637"/>
    <w:rsid w:val="008F6793"/>
    <w:rsid w:val="008F6CB0"/>
    <w:rsid w:val="008F6E7D"/>
    <w:rsid w:val="008F7D96"/>
    <w:rsid w:val="008F7EAB"/>
    <w:rsid w:val="008F7F34"/>
    <w:rsid w:val="009016DD"/>
    <w:rsid w:val="009016FF"/>
    <w:rsid w:val="00902DF6"/>
    <w:rsid w:val="00903C7B"/>
    <w:rsid w:val="0090404E"/>
    <w:rsid w:val="00904751"/>
    <w:rsid w:val="00906741"/>
    <w:rsid w:val="00906D93"/>
    <w:rsid w:val="00906EAD"/>
    <w:rsid w:val="009072CC"/>
    <w:rsid w:val="009074CF"/>
    <w:rsid w:val="009078A7"/>
    <w:rsid w:val="009079C3"/>
    <w:rsid w:val="00907B0D"/>
    <w:rsid w:val="00907BD6"/>
    <w:rsid w:val="00907F78"/>
    <w:rsid w:val="0091032D"/>
    <w:rsid w:val="00910DD2"/>
    <w:rsid w:val="00911FC0"/>
    <w:rsid w:val="00912002"/>
    <w:rsid w:val="00912435"/>
    <w:rsid w:val="0091283E"/>
    <w:rsid w:val="009131C5"/>
    <w:rsid w:val="00914168"/>
    <w:rsid w:val="00914193"/>
    <w:rsid w:val="009147FE"/>
    <w:rsid w:val="009152F8"/>
    <w:rsid w:val="00915590"/>
    <w:rsid w:val="00915D90"/>
    <w:rsid w:val="009160E6"/>
    <w:rsid w:val="00916693"/>
    <w:rsid w:val="00916762"/>
    <w:rsid w:val="0091680E"/>
    <w:rsid w:val="009169A3"/>
    <w:rsid w:val="00916B8C"/>
    <w:rsid w:val="00917B34"/>
    <w:rsid w:val="00917C19"/>
    <w:rsid w:val="0092009E"/>
    <w:rsid w:val="00920A1D"/>
    <w:rsid w:val="00920DA2"/>
    <w:rsid w:val="00920F66"/>
    <w:rsid w:val="009213B5"/>
    <w:rsid w:val="009217BB"/>
    <w:rsid w:val="00921C4C"/>
    <w:rsid w:val="00922130"/>
    <w:rsid w:val="0092304B"/>
    <w:rsid w:val="0092313D"/>
    <w:rsid w:val="00923345"/>
    <w:rsid w:val="009233CF"/>
    <w:rsid w:val="00924449"/>
    <w:rsid w:val="00924652"/>
    <w:rsid w:val="00924F11"/>
    <w:rsid w:val="00925014"/>
    <w:rsid w:val="00925319"/>
    <w:rsid w:val="009256A4"/>
    <w:rsid w:val="0092588D"/>
    <w:rsid w:val="0092630A"/>
    <w:rsid w:val="00926E29"/>
    <w:rsid w:val="009273CF"/>
    <w:rsid w:val="0092B37B"/>
    <w:rsid w:val="0093060D"/>
    <w:rsid w:val="0093077F"/>
    <w:rsid w:val="009316A9"/>
    <w:rsid w:val="00931770"/>
    <w:rsid w:val="0093186C"/>
    <w:rsid w:val="00931D60"/>
    <w:rsid w:val="00932655"/>
    <w:rsid w:val="00932713"/>
    <w:rsid w:val="0093280C"/>
    <w:rsid w:val="009328E6"/>
    <w:rsid w:val="00932B28"/>
    <w:rsid w:val="0093328C"/>
    <w:rsid w:val="009337D8"/>
    <w:rsid w:val="009344CA"/>
    <w:rsid w:val="009345AB"/>
    <w:rsid w:val="009348F4"/>
    <w:rsid w:val="00934D56"/>
    <w:rsid w:val="009352C6"/>
    <w:rsid w:val="00935306"/>
    <w:rsid w:val="00935ACE"/>
    <w:rsid w:val="00936FA0"/>
    <w:rsid w:val="00937E1B"/>
    <w:rsid w:val="009409CE"/>
    <w:rsid w:val="0094133D"/>
    <w:rsid w:val="00942291"/>
    <w:rsid w:val="009425ED"/>
    <w:rsid w:val="00942E87"/>
    <w:rsid w:val="009430A4"/>
    <w:rsid w:val="00943298"/>
    <w:rsid w:val="009436C7"/>
    <w:rsid w:val="00943944"/>
    <w:rsid w:val="0094396F"/>
    <w:rsid w:val="00944659"/>
    <w:rsid w:val="00944C80"/>
    <w:rsid w:val="00944E79"/>
    <w:rsid w:val="00945915"/>
    <w:rsid w:val="00945AF7"/>
    <w:rsid w:val="00945E0A"/>
    <w:rsid w:val="00945E18"/>
    <w:rsid w:val="00945F3B"/>
    <w:rsid w:val="0094679F"/>
    <w:rsid w:val="00946973"/>
    <w:rsid w:val="0094768C"/>
    <w:rsid w:val="00950CCF"/>
    <w:rsid w:val="00950D05"/>
    <w:rsid w:val="00951229"/>
    <w:rsid w:val="009512C0"/>
    <w:rsid w:val="0095163C"/>
    <w:rsid w:val="009517C1"/>
    <w:rsid w:val="0095196C"/>
    <w:rsid w:val="00951C0E"/>
    <w:rsid w:val="00951D50"/>
    <w:rsid w:val="00951FCB"/>
    <w:rsid w:val="00952293"/>
    <w:rsid w:val="0095240D"/>
    <w:rsid w:val="00953567"/>
    <w:rsid w:val="00953F59"/>
    <w:rsid w:val="009540BC"/>
    <w:rsid w:val="00955609"/>
    <w:rsid w:val="009556DF"/>
    <w:rsid w:val="00956473"/>
    <w:rsid w:val="00956896"/>
    <w:rsid w:val="00956B41"/>
    <w:rsid w:val="00956BEA"/>
    <w:rsid w:val="0095705C"/>
    <w:rsid w:val="009570FD"/>
    <w:rsid w:val="009572E3"/>
    <w:rsid w:val="00957500"/>
    <w:rsid w:val="00957C36"/>
    <w:rsid w:val="00960075"/>
    <w:rsid w:val="00960105"/>
    <w:rsid w:val="009608BE"/>
    <w:rsid w:val="0096138B"/>
    <w:rsid w:val="009619BC"/>
    <w:rsid w:val="00962FA0"/>
    <w:rsid w:val="00963415"/>
    <w:rsid w:val="009634DD"/>
    <w:rsid w:val="00963502"/>
    <w:rsid w:val="00963C49"/>
    <w:rsid w:val="00963DD8"/>
    <w:rsid w:val="009643BD"/>
    <w:rsid w:val="009652F6"/>
    <w:rsid w:val="00966D5D"/>
    <w:rsid w:val="009675A4"/>
    <w:rsid w:val="00967672"/>
    <w:rsid w:val="00967A07"/>
    <w:rsid w:val="00967C39"/>
    <w:rsid w:val="00970670"/>
    <w:rsid w:val="00970F5A"/>
    <w:rsid w:val="0097197A"/>
    <w:rsid w:val="009719EB"/>
    <w:rsid w:val="00971A12"/>
    <w:rsid w:val="00971AF3"/>
    <w:rsid w:val="009723AA"/>
    <w:rsid w:val="00972F70"/>
    <w:rsid w:val="0097483A"/>
    <w:rsid w:val="00975492"/>
    <w:rsid w:val="009762A4"/>
    <w:rsid w:val="0097671A"/>
    <w:rsid w:val="00976BCD"/>
    <w:rsid w:val="00976D32"/>
    <w:rsid w:val="00977178"/>
    <w:rsid w:val="00977487"/>
    <w:rsid w:val="00977596"/>
    <w:rsid w:val="0097761C"/>
    <w:rsid w:val="00977F08"/>
    <w:rsid w:val="009808E4"/>
    <w:rsid w:val="00980DB7"/>
    <w:rsid w:val="0098100E"/>
    <w:rsid w:val="0098123A"/>
    <w:rsid w:val="009813F6"/>
    <w:rsid w:val="0098189D"/>
    <w:rsid w:val="009818E3"/>
    <w:rsid w:val="00983144"/>
    <w:rsid w:val="00985C3C"/>
    <w:rsid w:val="00985E17"/>
    <w:rsid w:val="009860E6"/>
    <w:rsid w:val="00986907"/>
    <w:rsid w:val="00987536"/>
    <w:rsid w:val="0098776A"/>
    <w:rsid w:val="00987EC7"/>
    <w:rsid w:val="00987FA9"/>
    <w:rsid w:val="00990E1D"/>
    <w:rsid w:val="00990EFE"/>
    <w:rsid w:val="009911FA"/>
    <w:rsid w:val="00991A92"/>
    <w:rsid w:val="00991DA7"/>
    <w:rsid w:val="0099260B"/>
    <w:rsid w:val="009927E1"/>
    <w:rsid w:val="0099358F"/>
    <w:rsid w:val="00993FEB"/>
    <w:rsid w:val="0099406D"/>
    <w:rsid w:val="009942CA"/>
    <w:rsid w:val="0099495A"/>
    <w:rsid w:val="0099499A"/>
    <w:rsid w:val="00994AAA"/>
    <w:rsid w:val="00994DD3"/>
    <w:rsid w:val="009954E3"/>
    <w:rsid w:val="00995BC0"/>
    <w:rsid w:val="00995EA7"/>
    <w:rsid w:val="00995FE7"/>
    <w:rsid w:val="009963A8"/>
    <w:rsid w:val="009968C9"/>
    <w:rsid w:val="00996DEE"/>
    <w:rsid w:val="00996FC6"/>
    <w:rsid w:val="009974A0"/>
    <w:rsid w:val="0099753D"/>
    <w:rsid w:val="00997B04"/>
    <w:rsid w:val="00997E5F"/>
    <w:rsid w:val="009A0383"/>
    <w:rsid w:val="009A0480"/>
    <w:rsid w:val="009A097E"/>
    <w:rsid w:val="009A0CF4"/>
    <w:rsid w:val="009A14BB"/>
    <w:rsid w:val="009A14EF"/>
    <w:rsid w:val="009A244A"/>
    <w:rsid w:val="009A4141"/>
    <w:rsid w:val="009A43EF"/>
    <w:rsid w:val="009A4E3E"/>
    <w:rsid w:val="009A563B"/>
    <w:rsid w:val="009A5BE2"/>
    <w:rsid w:val="009A76B0"/>
    <w:rsid w:val="009A7BA1"/>
    <w:rsid w:val="009A7BA9"/>
    <w:rsid w:val="009A7BCA"/>
    <w:rsid w:val="009A7CEE"/>
    <w:rsid w:val="009A7DDD"/>
    <w:rsid w:val="009B070A"/>
    <w:rsid w:val="009B1185"/>
    <w:rsid w:val="009B1F6B"/>
    <w:rsid w:val="009B1FE7"/>
    <w:rsid w:val="009B208B"/>
    <w:rsid w:val="009B3DBF"/>
    <w:rsid w:val="009B5046"/>
    <w:rsid w:val="009B565E"/>
    <w:rsid w:val="009B5B6C"/>
    <w:rsid w:val="009B6B7B"/>
    <w:rsid w:val="009B72DE"/>
    <w:rsid w:val="009B77BE"/>
    <w:rsid w:val="009B7998"/>
    <w:rsid w:val="009C1432"/>
    <w:rsid w:val="009C1760"/>
    <w:rsid w:val="009C18D9"/>
    <w:rsid w:val="009C20DB"/>
    <w:rsid w:val="009C2945"/>
    <w:rsid w:val="009C2AE9"/>
    <w:rsid w:val="009C339E"/>
    <w:rsid w:val="009C4C2C"/>
    <w:rsid w:val="009C4C6F"/>
    <w:rsid w:val="009C4F94"/>
    <w:rsid w:val="009C67BF"/>
    <w:rsid w:val="009C6B9E"/>
    <w:rsid w:val="009C79A6"/>
    <w:rsid w:val="009C7AA5"/>
    <w:rsid w:val="009D0436"/>
    <w:rsid w:val="009D04ED"/>
    <w:rsid w:val="009D0D20"/>
    <w:rsid w:val="009D1972"/>
    <w:rsid w:val="009D2728"/>
    <w:rsid w:val="009D32C4"/>
    <w:rsid w:val="009D41CE"/>
    <w:rsid w:val="009D4728"/>
    <w:rsid w:val="009D4835"/>
    <w:rsid w:val="009D4958"/>
    <w:rsid w:val="009D5D79"/>
    <w:rsid w:val="009D5E5D"/>
    <w:rsid w:val="009D607F"/>
    <w:rsid w:val="009D6C71"/>
    <w:rsid w:val="009D6F07"/>
    <w:rsid w:val="009D7F5F"/>
    <w:rsid w:val="009D7FCE"/>
    <w:rsid w:val="009E00E3"/>
    <w:rsid w:val="009E0AC8"/>
    <w:rsid w:val="009E1325"/>
    <w:rsid w:val="009E14C9"/>
    <w:rsid w:val="009E1609"/>
    <w:rsid w:val="009E259C"/>
    <w:rsid w:val="009E2BF6"/>
    <w:rsid w:val="009E2F44"/>
    <w:rsid w:val="009E6032"/>
    <w:rsid w:val="009E62FB"/>
    <w:rsid w:val="009E630D"/>
    <w:rsid w:val="009E6BDE"/>
    <w:rsid w:val="009E7988"/>
    <w:rsid w:val="009E79DE"/>
    <w:rsid w:val="009E7E84"/>
    <w:rsid w:val="009E7ED8"/>
    <w:rsid w:val="009F0416"/>
    <w:rsid w:val="009F0C2B"/>
    <w:rsid w:val="009F0F56"/>
    <w:rsid w:val="009F15C5"/>
    <w:rsid w:val="009F1F37"/>
    <w:rsid w:val="009F235C"/>
    <w:rsid w:val="009F2615"/>
    <w:rsid w:val="009F2D4E"/>
    <w:rsid w:val="009F30D0"/>
    <w:rsid w:val="009F3287"/>
    <w:rsid w:val="009F5847"/>
    <w:rsid w:val="009F65D7"/>
    <w:rsid w:val="009F7008"/>
    <w:rsid w:val="009F721C"/>
    <w:rsid w:val="009F7AC8"/>
    <w:rsid w:val="00A002A8"/>
    <w:rsid w:val="00A00393"/>
    <w:rsid w:val="00A00477"/>
    <w:rsid w:val="00A0073C"/>
    <w:rsid w:val="00A01953"/>
    <w:rsid w:val="00A0198E"/>
    <w:rsid w:val="00A019EC"/>
    <w:rsid w:val="00A01A30"/>
    <w:rsid w:val="00A01AF7"/>
    <w:rsid w:val="00A01CCD"/>
    <w:rsid w:val="00A02475"/>
    <w:rsid w:val="00A02AEC"/>
    <w:rsid w:val="00A03545"/>
    <w:rsid w:val="00A0457A"/>
    <w:rsid w:val="00A05403"/>
    <w:rsid w:val="00A05A89"/>
    <w:rsid w:val="00A0665A"/>
    <w:rsid w:val="00A06F60"/>
    <w:rsid w:val="00A100FA"/>
    <w:rsid w:val="00A10227"/>
    <w:rsid w:val="00A103CF"/>
    <w:rsid w:val="00A106E0"/>
    <w:rsid w:val="00A10779"/>
    <w:rsid w:val="00A11184"/>
    <w:rsid w:val="00A12F69"/>
    <w:rsid w:val="00A135B5"/>
    <w:rsid w:val="00A138C6"/>
    <w:rsid w:val="00A139E9"/>
    <w:rsid w:val="00A14935"/>
    <w:rsid w:val="00A16285"/>
    <w:rsid w:val="00A17E80"/>
    <w:rsid w:val="00A2049E"/>
    <w:rsid w:val="00A20799"/>
    <w:rsid w:val="00A208D0"/>
    <w:rsid w:val="00A20C2D"/>
    <w:rsid w:val="00A2104B"/>
    <w:rsid w:val="00A2129F"/>
    <w:rsid w:val="00A212E0"/>
    <w:rsid w:val="00A21DC0"/>
    <w:rsid w:val="00A221E6"/>
    <w:rsid w:val="00A22319"/>
    <w:rsid w:val="00A229D5"/>
    <w:rsid w:val="00A22B9B"/>
    <w:rsid w:val="00A232EC"/>
    <w:rsid w:val="00A23F24"/>
    <w:rsid w:val="00A240F2"/>
    <w:rsid w:val="00A24E74"/>
    <w:rsid w:val="00A24FC4"/>
    <w:rsid w:val="00A2535C"/>
    <w:rsid w:val="00A253C7"/>
    <w:rsid w:val="00A25431"/>
    <w:rsid w:val="00A2603D"/>
    <w:rsid w:val="00A27035"/>
    <w:rsid w:val="00A27083"/>
    <w:rsid w:val="00A30F25"/>
    <w:rsid w:val="00A31508"/>
    <w:rsid w:val="00A319F9"/>
    <w:rsid w:val="00A31FFD"/>
    <w:rsid w:val="00A32431"/>
    <w:rsid w:val="00A32EF5"/>
    <w:rsid w:val="00A33334"/>
    <w:rsid w:val="00A334A3"/>
    <w:rsid w:val="00A33549"/>
    <w:rsid w:val="00A33561"/>
    <w:rsid w:val="00A33F82"/>
    <w:rsid w:val="00A33FEC"/>
    <w:rsid w:val="00A3509D"/>
    <w:rsid w:val="00A356CA"/>
    <w:rsid w:val="00A36986"/>
    <w:rsid w:val="00A369A6"/>
    <w:rsid w:val="00A36A1F"/>
    <w:rsid w:val="00A36B50"/>
    <w:rsid w:val="00A36C7D"/>
    <w:rsid w:val="00A36F34"/>
    <w:rsid w:val="00A37BA9"/>
    <w:rsid w:val="00A40492"/>
    <w:rsid w:val="00A40809"/>
    <w:rsid w:val="00A41ED6"/>
    <w:rsid w:val="00A42CF2"/>
    <w:rsid w:val="00A4317C"/>
    <w:rsid w:val="00A43349"/>
    <w:rsid w:val="00A43478"/>
    <w:rsid w:val="00A441EB"/>
    <w:rsid w:val="00A447E5"/>
    <w:rsid w:val="00A45CFA"/>
    <w:rsid w:val="00A45D28"/>
    <w:rsid w:val="00A464F8"/>
    <w:rsid w:val="00A46F8C"/>
    <w:rsid w:val="00A51931"/>
    <w:rsid w:val="00A51EF1"/>
    <w:rsid w:val="00A52659"/>
    <w:rsid w:val="00A531CD"/>
    <w:rsid w:val="00A53528"/>
    <w:rsid w:val="00A53D76"/>
    <w:rsid w:val="00A540CA"/>
    <w:rsid w:val="00A5423B"/>
    <w:rsid w:val="00A5435B"/>
    <w:rsid w:val="00A54B53"/>
    <w:rsid w:val="00A55061"/>
    <w:rsid w:val="00A55B96"/>
    <w:rsid w:val="00A55F7C"/>
    <w:rsid w:val="00A564D4"/>
    <w:rsid w:val="00A56B5D"/>
    <w:rsid w:val="00A57EF2"/>
    <w:rsid w:val="00A57FA2"/>
    <w:rsid w:val="00A6035A"/>
    <w:rsid w:val="00A61856"/>
    <w:rsid w:val="00A6185F"/>
    <w:rsid w:val="00A61BBC"/>
    <w:rsid w:val="00A62023"/>
    <w:rsid w:val="00A62094"/>
    <w:rsid w:val="00A62B3D"/>
    <w:rsid w:val="00A63536"/>
    <w:rsid w:val="00A63606"/>
    <w:rsid w:val="00A6374E"/>
    <w:rsid w:val="00A637E1"/>
    <w:rsid w:val="00A63ABE"/>
    <w:rsid w:val="00A64A90"/>
    <w:rsid w:val="00A65218"/>
    <w:rsid w:val="00A656C4"/>
    <w:rsid w:val="00A65B2C"/>
    <w:rsid w:val="00A66411"/>
    <w:rsid w:val="00A6651A"/>
    <w:rsid w:val="00A679D4"/>
    <w:rsid w:val="00A67A2C"/>
    <w:rsid w:val="00A67A6F"/>
    <w:rsid w:val="00A67CFB"/>
    <w:rsid w:val="00A7093B"/>
    <w:rsid w:val="00A71266"/>
    <w:rsid w:val="00A7162B"/>
    <w:rsid w:val="00A71ABD"/>
    <w:rsid w:val="00A71C7C"/>
    <w:rsid w:val="00A72D14"/>
    <w:rsid w:val="00A72FD7"/>
    <w:rsid w:val="00A7368A"/>
    <w:rsid w:val="00A742E2"/>
    <w:rsid w:val="00A74497"/>
    <w:rsid w:val="00A7567E"/>
    <w:rsid w:val="00A75E17"/>
    <w:rsid w:val="00A776BA"/>
    <w:rsid w:val="00A801EF"/>
    <w:rsid w:val="00A80B53"/>
    <w:rsid w:val="00A813A5"/>
    <w:rsid w:val="00A820AB"/>
    <w:rsid w:val="00A822E8"/>
    <w:rsid w:val="00A829AC"/>
    <w:rsid w:val="00A82B3D"/>
    <w:rsid w:val="00A82BE1"/>
    <w:rsid w:val="00A83769"/>
    <w:rsid w:val="00A83893"/>
    <w:rsid w:val="00A83A6D"/>
    <w:rsid w:val="00A83F13"/>
    <w:rsid w:val="00A84BE3"/>
    <w:rsid w:val="00A86109"/>
    <w:rsid w:val="00A862F7"/>
    <w:rsid w:val="00A8696F"/>
    <w:rsid w:val="00A86C54"/>
    <w:rsid w:val="00A87103"/>
    <w:rsid w:val="00A90AE8"/>
    <w:rsid w:val="00A90C37"/>
    <w:rsid w:val="00A90D06"/>
    <w:rsid w:val="00A91384"/>
    <w:rsid w:val="00A91843"/>
    <w:rsid w:val="00A91D53"/>
    <w:rsid w:val="00A91E27"/>
    <w:rsid w:val="00A9220D"/>
    <w:rsid w:val="00A92654"/>
    <w:rsid w:val="00A92E98"/>
    <w:rsid w:val="00A93D56"/>
    <w:rsid w:val="00A93E34"/>
    <w:rsid w:val="00A946CC"/>
    <w:rsid w:val="00A94D38"/>
    <w:rsid w:val="00A95489"/>
    <w:rsid w:val="00A95BE2"/>
    <w:rsid w:val="00A95C6D"/>
    <w:rsid w:val="00A95F74"/>
    <w:rsid w:val="00A96177"/>
    <w:rsid w:val="00A968DE"/>
    <w:rsid w:val="00A97050"/>
    <w:rsid w:val="00A97485"/>
    <w:rsid w:val="00A97CF0"/>
    <w:rsid w:val="00AA0202"/>
    <w:rsid w:val="00AA02AB"/>
    <w:rsid w:val="00AA098B"/>
    <w:rsid w:val="00AA09D4"/>
    <w:rsid w:val="00AA09DB"/>
    <w:rsid w:val="00AA16D4"/>
    <w:rsid w:val="00AA175F"/>
    <w:rsid w:val="00AA18C6"/>
    <w:rsid w:val="00AA1999"/>
    <w:rsid w:val="00AA1ACF"/>
    <w:rsid w:val="00AA1B9E"/>
    <w:rsid w:val="00AA3EA8"/>
    <w:rsid w:val="00AA3F10"/>
    <w:rsid w:val="00AA401A"/>
    <w:rsid w:val="00AA4046"/>
    <w:rsid w:val="00AA4CAC"/>
    <w:rsid w:val="00AA555E"/>
    <w:rsid w:val="00AA63D8"/>
    <w:rsid w:val="00AA6CA4"/>
    <w:rsid w:val="00AA6ECB"/>
    <w:rsid w:val="00AA75FC"/>
    <w:rsid w:val="00AA7869"/>
    <w:rsid w:val="00AB016B"/>
    <w:rsid w:val="00AB01F4"/>
    <w:rsid w:val="00AB0A18"/>
    <w:rsid w:val="00AB1046"/>
    <w:rsid w:val="00AB11AF"/>
    <w:rsid w:val="00AB11B6"/>
    <w:rsid w:val="00AB15AE"/>
    <w:rsid w:val="00AB186C"/>
    <w:rsid w:val="00AB1DD4"/>
    <w:rsid w:val="00AB216D"/>
    <w:rsid w:val="00AB2727"/>
    <w:rsid w:val="00AB2931"/>
    <w:rsid w:val="00AB309D"/>
    <w:rsid w:val="00AB3398"/>
    <w:rsid w:val="00AB36E6"/>
    <w:rsid w:val="00AB42BE"/>
    <w:rsid w:val="00AB4621"/>
    <w:rsid w:val="00AB488B"/>
    <w:rsid w:val="00AB4E77"/>
    <w:rsid w:val="00AB5A13"/>
    <w:rsid w:val="00AB5A3B"/>
    <w:rsid w:val="00AB5EF4"/>
    <w:rsid w:val="00AB5F74"/>
    <w:rsid w:val="00AB6206"/>
    <w:rsid w:val="00AB626A"/>
    <w:rsid w:val="00AB6695"/>
    <w:rsid w:val="00AB68CE"/>
    <w:rsid w:val="00AB7A8F"/>
    <w:rsid w:val="00AB7AE3"/>
    <w:rsid w:val="00AC0FBC"/>
    <w:rsid w:val="00AC1612"/>
    <w:rsid w:val="00AC1BBA"/>
    <w:rsid w:val="00AC1D30"/>
    <w:rsid w:val="00AC31EC"/>
    <w:rsid w:val="00AC397A"/>
    <w:rsid w:val="00AC441C"/>
    <w:rsid w:val="00AC52C6"/>
    <w:rsid w:val="00AC5553"/>
    <w:rsid w:val="00AC59FB"/>
    <w:rsid w:val="00AC61CD"/>
    <w:rsid w:val="00AC6E34"/>
    <w:rsid w:val="00AC6F40"/>
    <w:rsid w:val="00AC7282"/>
    <w:rsid w:val="00AC779C"/>
    <w:rsid w:val="00AD0C56"/>
    <w:rsid w:val="00AD0F1A"/>
    <w:rsid w:val="00AD14E6"/>
    <w:rsid w:val="00AD21FD"/>
    <w:rsid w:val="00AD2363"/>
    <w:rsid w:val="00AD2BB5"/>
    <w:rsid w:val="00AD3580"/>
    <w:rsid w:val="00AD36B3"/>
    <w:rsid w:val="00AD44A0"/>
    <w:rsid w:val="00AD4EFC"/>
    <w:rsid w:val="00AD55ED"/>
    <w:rsid w:val="00AD571F"/>
    <w:rsid w:val="00AE1069"/>
    <w:rsid w:val="00AE3429"/>
    <w:rsid w:val="00AE3738"/>
    <w:rsid w:val="00AE3F01"/>
    <w:rsid w:val="00AE4AF5"/>
    <w:rsid w:val="00AE55EB"/>
    <w:rsid w:val="00AE5ADF"/>
    <w:rsid w:val="00AE7792"/>
    <w:rsid w:val="00AE7DC1"/>
    <w:rsid w:val="00AF00F6"/>
    <w:rsid w:val="00AF04E2"/>
    <w:rsid w:val="00AF0995"/>
    <w:rsid w:val="00AF0B7C"/>
    <w:rsid w:val="00AF147C"/>
    <w:rsid w:val="00AF1555"/>
    <w:rsid w:val="00AF1992"/>
    <w:rsid w:val="00AF1AA2"/>
    <w:rsid w:val="00AF1C1C"/>
    <w:rsid w:val="00AF2486"/>
    <w:rsid w:val="00AF2A29"/>
    <w:rsid w:val="00AF2A86"/>
    <w:rsid w:val="00AF3B65"/>
    <w:rsid w:val="00AF4905"/>
    <w:rsid w:val="00AF4AFA"/>
    <w:rsid w:val="00AF5002"/>
    <w:rsid w:val="00AF5376"/>
    <w:rsid w:val="00AF57DE"/>
    <w:rsid w:val="00AF624C"/>
    <w:rsid w:val="00AF6286"/>
    <w:rsid w:val="00AF68A5"/>
    <w:rsid w:val="00B00099"/>
    <w:rsid w:val="00B0070A"/>
    <w:rsid w:val="00B00923"/>
    <w:rsid w:val="00B00C46"/>
    <w:rsid w:val="00B00F14"/>
    <w:rsid w:val="00B01442"/>
    <w:rsid w:val="00B01570"/>
    <w:rsid w:val="00B01CFA"/>
    <w:rsid w:val="00B025F1"/>
    <w:rsid w:val="00B03339"/>
    <w:rsid w:val="00B0346C"/>
    <w:rsid w:val="00B03B6F"/>
    <w:rsid w:val="00B03C45"/>
    <w:rsid w:val="00B043DE"/>
    <w:rsid w:val="00B0475F"/>
    <w:rsid w:val="00B04B32"/>
    <w:rsid w:val="00B04C39"/>
    <w:rsid w:val="00B052AE"/>
    <w:rsid w:val="00B059E8"/>
    <w:rsid w:val="00B06CB7"/>
    <w:rsid w:val="00B06DCF"/>
    <w:rsid w:val="00B07F93"/>
    <w:rsid w:val="00B10556"/>
    <w:rsid w:val="00B10A63"/>
    <w:rsid w:val="00B11670"/>
    <w:rsid w:val="00B11BC7"/>
    <w:rsid w:val="00B11C80"/>
    <w:rsid w:val="00B11F23"/>
    <w:rsid w:val="00B11F41"/>
    <w:rsid w:val="00B120A9"/>
    <w:rsid w:val="00B12337"/>
    <w:rsid w:val="00B1287A"/>
    <w:rsid w:val="00B13C45"/>
    <w:rsid w:val="00B14DCB"/>
    <w:rsid w:val="00B155D9"/>
    <w:rsid w:val="00B155E4"/>
    <w:rsid w:val="00B158F9"/>
    <w:rsid w:val="00B15ADF"/>
    <w:rsid w:val="00B1625E"/>
    <w:rsid w:val="00B16271"/>
    <w:rsid w:val="00B166E5"/>
    <w:rsid w:val="00B16926"/>
    <w:rsid w:val="00B16A24"/>
    <w:rsid w:val="00B17365"/>
    <w:rsid w:val="00B17CA9"/>
    <w:rsid w:val="00B2038F"/>
    <w:rsid w:val="00B2047C"/>
    <w:rsid w:val="00B206DB"/>
    <w:rsid w:val="00B20951"/>
    <w:rsid w:val="00B20D1F"/>
    <w:rsid w:val="00B20F81"/>
    <w:rsid w:val="00B2128D"/>
    <w:rsid w:val="00B21455"/>
    <w:rsid w:val="00B2177E"/>
    <w:rsid w:val="00B21F5B"/>
    <w:rsid w:val="00B225D1"/>
    <w:rsid w:val="00B22805"/>
    <w:rsid w:val="00B2447E"/>
    <w:rsid w:val="00B24693"/>
    <w:rsid w:val="00B25031"/>
    <w:rsid w:val="00B25114"/>
    <w:rsid w:val="00B25BF9"/>
    <w:rsid w:val="00B25C97"/>
    <w:rsid w:val="00B25D2C"/>
    <w:rsid w:val="00B2643F"/>
    <w:rsid w:val="00B268A9"/>
    <w:rsid w:val="00B26F0E"/>
    <w:rsid w:val="00B26F3F"/>
    <w:rsid w:val="00B27183"/>
    <w:rsid w:val="00B27F86"/>
    <w:rsid w:val="00B300E4"/>
    <w:rsid w:val="00B304CA"/>
    <w:rsid w:val="00B304E5"/>
    <w:rsid w:val="00B306E6"/>
    <w:rsid w:val="00B319C3"/>
    <w:rsid w:val="00B325A1"/>
    <w:rsid w:val="00B330DD"/>
    <w:rsid w:val="00B33967"/>
    <w:rsid w:val="00B34709"/>
    <w:rsid w:val="00B34BC6"/>
    <w:rsid w:val="00B35F28"/>
    <w:rsid w:val="00B3710F"/>
    <w:rsid w:val="00B405EA"/>
    <w:rsid w:val="00B40E8C"/>
    <w:rsid w:val="00B40FEE"/>
    <w:rsid w:val="00B4146F"/>
    <w:rsid w:val="00B420D1"/>
    <w:rsid w:val="00B42E67"/>
    <w:rsid w:val="00B4444E"/>
    <w:rsid w:val="00B444E8"/>
    <w:rsid w:val="00B449A3"/>
    <w:rsid w:val="00B44B3E"/>
    <w:rsid w:val="00B44F3B"/>
    <w:rsid w:val="00B44FC8"/>
    <w:rsid w:val="00B45645"/>
    <w:rsid w:val="00B457E6"/>
    <w:rsid w:val="00B46754"/>
    <w:rsid w:val="00B472A3"/>
    <w:rsid w:val="00B47568"/>
    <w:rsid w:val="00B47F44"/>
    <w:rsid w:val="00B47FEA"/>
    <w:rsid w:val="00B502BE"/>
    <w:rsid w:val="00B50F84"/>
    <w:rsid w:val="00B51563"/>
    <w:rsid w:val="00B515DE"/>
    <w:rsid w:val="00B5217B"/>
    <w:rsid w:val="00B5237A"/>
    <w:rsid w:val="00B52C2D"/>
    <w:rsid w:val="00B53646"/>
    <w:rsid w:val="00B53C43"/>
    <w:rsid w:val="00B545B8"/>
    <w:rsid w:val="00B54798"/>
    <w:rsid w:val="00B5521D"/>
    <w:rsid w:val="00B55413"/>
    <w:rsid w:val="00B5581D"/>
    <w:rsid w:val="00B55B2E"/>
    <w:rsid w:val="00B562C4"/>
    <w:rsid w:val="00B5642C"/>
    <w:rsid w:val="00B5648B"/>
    <w:rsid w:val="00B56F98"/>
    <w:rsid w:val="00B57568"/>
    <w:rsid w:val="00B579B8"/>
    <w:rsid w:val="00B6008A"/>
    <w:rsid w:val="00B6046E"/>
    <w:rsid w:val="00B60575"/>
    <w:rsid w:val="00B60932"/>
    <w:rsid w:val="00B60A48"/>
    <w:rsid w:val="00B60D2D"/>
    <w:rsid w:val="00B61470"/>
    <w:rsid w:val="00B624A4"/>
    <w:rsid w:val="00B62DEB"/>
    <w:rsid w:val="00B636EA"/>
    <w:rsid w:val="00B6620F"/>
    <w:rsid w:val="00B66437"/>
    <w:rsid w:val="00B665B6"/>
    <w:rsid w:val="00B67BBD"/>
    <w:rsid w:val="00B67BDE"/>
    <w:rsid w:val="00B71C1B"/>
    <w:rsid w:val="00B71DEE"/>
    <w:rsid w:val="00B721A8"/>
    <w:rsid w:val="00B728E2"/>
    <w:rsid w:val="00B75BB4"/>
    <w:rsid w:val="00B76C5B"/>
    <w:rsid w:val="00B76EBA"/>
    <w:rsid w:val="00B771FD"/>
    <w:rsid w:val="00B77A59"/>
    <w:rsid w:val="00B77DE3"/>
    <w:rsid w:val="00B803E6"/>
    <w:rsid w:val="00B80454"/>
    <w:rsid w:val="00B8063C"/>
    <w:rsid w:val="00B80982"/>
    <w:rsid w:val="00B81B4B"/>
    <w:rsid w:val="00B820EA"/>
    <w:rsid w:val="00B824BC"/>
    <w:rsid w:val="00B8319B"/>
    <w:rsid w:val="00B83769"/>
    <w:rsid w:val="00B83793"/>
    <w:rsid w:val="00B837FA"/>
    <w:rsid w:val="00B83C31"/>
    <w:rsid w:val="00B84355"/>
    <w:rsid w:val="00B84594"/>
    <w:rsid w:val="00B8589F"/>
    <w:rsid w:val="00B85BBA"/>
    <w:rsid w:val="00B85EA9"/>
    <w:rsid w:val="00B86052"/>
    <w:rsid w:val="00B862FF"/>
    <w:rsid w:val="00B86572"/>
    <w:rsid w:val="00B86A13"/>
    <w:rsid w:val="00B86E05"/>
    <w:rsid w:val="00B875F6"/>
    <w:rsid w:val="00B90041"/>
    <w:rsid w:val="00B90492"/>
    <w:rsid w:val="00B90F9D"/>
    <w:rsid w:val="00B91DC3"/>
    <w:rsid w:val="00B92042"/>
    <w:rsid w:val="00B93B2F"/>
    <w:rsid w:val="00B94021"/>
    <w:rsid w:val="00B94486"/>
    <w:rsid w:val="00B95B07"/>
    <w:rsid w:val="00B96445"/>
    <w:rsid w:val="00B96B2A"/>
    <w:rsid w:val="00B96F12"/>
    <w:rsid w:val="00B96FDD"/>
    <w:rsid w:val="00B979B8"/>
    <w:rsid w:val="00BA079C"/>
    <w:rsid w:val="00BA0CC9"/>
    <w:rsid w:val="00BA11B1"/>
    <w:rsid w:val="00BA1313"/>
    <w:rsid w:val="00BA144D"/>
    <w:rsid w:val="00BA16F0"/>
    <w:rsid w:val="00BA19B9"/>
    <w:rsid w:val="00BA323B"/>
    <w:rsid w:val="00BA3419"/>
    <w:rsid w:val="00BA4200"/>
    <w:rsid w:val="00BA4B60"/>
    <w:rsid w:val="00BA5021"/>
    <w:rsid w:val="00BA5029"/>
    <w:rsid w:val="00BA5FC2"/>
    <w:rsid w:val="00BA6171"/>
    <w:rsid w:val="00BA621A"/>
    <w:rsid w:val="00BA62A3"/>
    <w:rsid w:val="00BA701C"/>
    <w:rsid w:val="00BA75AC"/>
    <w:rsid w:val="00BA77F5"/>
    <w:rsid w:val="00BA7C4F"/>
    <w:rsid w:val="00BB04AF"/>
    <w:rsid w:val="00BB074F"/>
    <w:rsid w:val="00BB092C"/>
    <w:rsid w:val="00BB1F4C"/>
    <w:rsid w:val="00BB279B"/>
    <w:rsid w:val="00BB44DD"/>
    <w:rsid w:val="00BB4EB7"/>
    <w:rsid w:val="00BB5649"/>
    <w:rsid w:val="00BB5BDB"/>
    <w:rsid w:val="00BB6B41"/>
    <w:rsid w:val="00BB6DA1"/>
    <w:rsid w:val="00BB6DDB"/>
    <w:rsid w:val="00BB7134"/>
    <w:rsid w:val="00BB71CF"/>
    <w:rsid w:val="00BB7F17"/>
    <w:rsid w:val="00BC0398"/>
    <w:rsid w:val="00BC0654"/>
    <w:rsid w:val="00BC0753"/>
    <w:rsid w:val="00BC097E"/>
    <w:rsid w:val="00BC1B03"/>
    <w:rsid w:val="00BC2E32"/>
    <w:rsid w:val="00BC363C"/>
    <w:rsid w:val="00BC3D25"/>
    <w:rsid w:val="00BC3D2B"/>
    <w:rsid w:val="00BC3D35"/>
    <w:rsid w:val="00BC434B"/>
    <w:rsid w:val="00BC435D"/>
    <w:rsid w:val="00BC6304"/>
    <w:rsid w:val="00BC72A8"/>
    <w:rsid w:val="00BC785A"/>
    <w:rsid w:val="00BC7A51"/>
    <w:rsid w:val="00BC7CCE"/>
    <w:rsid w:val="00BD0795"/>
    <w:rsid w:val="00BD0F3B"/>
    <w:rsid w:val="00BD168C"/>
    <w:rsid w:val="00BD1927"/>
    <w:rsid w:val="00BD43E9"/>
    <w:rsid w:val="00BD446F"/>
    <w:rsid w:val="00BD45F4"/>
    <w:rsid w:val="00BD4B23"/>
    <w:rsid w:val="00BD4C85"/>
    <w:rsid w:val="00BD5167"/>
    <w:rsid w:val="00BD524D"/>
    <w:rsid w:val="00BD5B0D"/>
    <w:rsid w:val="00BD6928"/>
    <w:rsid w:val="00BD71CF"/>
    <w:rsid w:val="00BE0641"/>
    <w:rsid w:val="00BE098A"/>
    <w:rsid w:val="00BE104B"/>
    <w:rsid w:val="00BE1DB7"/>
    <w:rsid w:val="00BE28F6"/>
    <w:rsid w:val="00BE2C19"/>
    <w:rsid w:val="00BE2CF9"/>
    <w:rsid w:val="00BE2FDD"/>
    <w:rsid w:val="00BE45D4"/>
    <w:rsid w:val="00BE4DB0"/>
    <w:rsid w:val="00BE5045"/>
    <w:rsid w:val="00BE51A0"/>
    <w:rsid w:val="00BE529E"/>
    <w:rsid w:val="00BE5619"/>
    <w:rsid w:val="00BE57AF"/>
    <w:rsid w:val="00BE5EE3"/>
    <w:rsid w:val="00BE6BDA"/>
    <w:rsid w:val="00BE7369"/>
    <w:rsid w:val="00BE7615"/>
    <w:rsid w:val="00BE77C8"/>
    <w:rsid w:val="00BE77F5"/>
    <w:rsid w:val="00BE7829"/>
    <w:rsid w:val="00BE7DA7"/>
    <w:rsid w:val="00BF0054"/>
    <w:rsid w:val="00BF0DEE"/>
    <w:rsid w:val="00BF0E2D"/>
    <w:rsid w:val="00BF0EFC"/>
    <w:rsid w:val="00BF14C8"/>
    <w:rsid w:val="00BF15F9"/>
    <w:rsid w:val="00BF1939"/>
    <w:rsid w:val="00BF1E81"/>
    <w:rsid w:val="00BF2060"/>
    <w:rsid w:val="00BF2B9E"/>
    <w:rsid w:val="00BF2F38"/>
    <w:rsid w:val="00BF3331"/>
    <w:rsid w:val="00BF435F"/>
    <w:rsid w:val="00BF4AE0"/>
    <w:rsid w:val="00BF4FF1"/>
    <w:rsid w:val="00BF593B"/>
    <w:rsid w:val="00BF6D53"/>
    <w:rsid w:val="00BF7282"/>
    <w:rsid w:val="00BF791F"/>
    <w:rsid w:val="00BF7A1F"/>
    <w:rsid w:val="00BF7BC3"/>
    <w:rsid w:val="00C000BE"/>
    <w:rsid w:val="00C0010A"/>
    <w:rsid w:val="00C0034B"/>
    <w:rsid w:val="00C003CE"/>
    <w:rsid w:val="00C019E6"/>
    <w:rsid w:val="00C02D48"/>
    <w:rsid w:val="00C0616E"/>
    <w:rsid w:val="00C0628E"/>
    <w:rsid w:val="00C06C8D"/>
    <w:rsid w:val="00C06E55"/>
    <w:rsid w:val="00C0729D"/>
    <w:rsid w:val="00C0759C"/>
    <w:rsid w:val="00C075D1"/>
    <w:rsid w:val="00C07B4C"/>
    <w:rsid w:val="00C10E74"/>
    <w:rsid w:val="00C13237"/>
    <w:rsid w:val="00C13B3E"/>
    <w:rsid w:val="00C144E5"/>
    <w:rsid w:val="00C147C9"/>
    <w:rsid w:val="00C15528"/>
    <w:rsid w:val="00C15B58"/>
    <w:rsid w:val="00C15BA5"/>
    <w:rsid w:val="00C16D4B"/>
    <w:rsid w:val="00C1763C"/>
    <w:rsid w:val="00C17944"/>
    <w:rsid w:val="00C17B8F"/>
    <w:rsid w:val="00C17FA1"/>
    <w:rsid w:val="00C20211"/>
    <w:rsid w:val="00C2334E"/>
    <w:rsid w:val="00C2354A"/>
    <w:rsid w:val="00C236F3"/>
    <w:rsid w:val="00C2395B"/>
    <w:rsid w:val="00C244E1"/>
    <w:rsid w:val="00C25E61"/>
    <w:rsid w:val="00C2614C"/>
    <w:rsid w:val="00C26AD6"/>
    <w:rsid w:val="00C27DA3"/>
    <w:rsid w:val="00C27FB9"/>
    <w:rsid w:val="00C304BD"/>
    <w:rsid w:val="00C313E7"/>
    <w:rsid w:val="00C314FA"/>
    <w:rsid w:val="00C31C04"/>
    <w:rsid w:val="00C32503"/>
    <w:rsid w:val="00C33B3A"/>
    <w:rsid w:val="00C340D7"/>
    <w:rsid w:val="00C34997"/>
    <w:rsid w:val="00C34D0C"/>
    <w:rsid w:val="00C35276"/>
    <w:rsid w:val="00C3549B"/>
    <w:rsid w:val="00C35895"/>
    <w:rsid w:val="00C358A1"/>
    <w:rsid w:val="00C35F19"/>
    <w:rsid w:val="00C369D7"/>
    <w:rsid w:val="00C36BD5"/>
    <w:rsid w:val="00C37141"/>
    <w:rsid w:val="00C3761C"/>
    <w:rsid w:val="00C37779"/>
    <w:rsid w:val="00C37F7A"/>
    <w:rsid w:val="00C4046D"/>
    <w:rsid w:val="00C41B70"/>
    <w:rsid w:val="00C43739"/>
    <w:rsid w:val="00C4469B"/>
    <w:rsid w:val="00C44F82"/>
    <w:rsid w:val="00C4525C"/>
    <w:rsid w:val="00C46FA8"/>
    <w:rsid w:val="00C47608"/>
    <w:rsid w:val="00C476CC"/>
    <w:rsid w:val="00C50036"/>
    <w:rsid w:val="00C502B1"/>
    <w:rsid w:val="00C50867"/>
    <w:rsid w:val="00C5274E"/>
    <w:rsid w:val="00C52905"/>
    <w:rsid w:val="00C52B68"/>
    <w:rsid w:val="00C52D4C"/>
    <w:rsid w:val="00C53A17"/>
    <w:rsid w:val="00C54AC3"/>
    <w:rsid w:val="00C552E2"/>
    <w:rsid w:val="00C56890"/>
    <w:rsid w:val="00C57121"/>
    <w:rsid w:val="00C57446"/>
    <w:rsid w:val="00C57F54"/>
    <w:rsid w:val="00C61C12"/>
    <w:rsid w:val="00C6270F"/>
    <w:rsid w:val="00C63585"/>
    <w:rsid w:val="00C63BFA"/>
    <w:rsid w:val="00C63C95"/>
    <w:rsid w:val="00C63CCE"/>
    <w:rsid w:val="00C63D41"/>
    <w:rsid w:val="00C64A89"/>
    <w:rsid w:val="00C6503C"/>
    <w:rsid w:val="00C6575E"/>
    <w:rsid w:val="00C65DAB"/>
    <w:rsid w:val="00C65DE3"/>
    <w:rsid w:val="00C661B1"/>
    <w:rsid w:val="00C66712"/>
    <w:rsid w:val="00C702D0"/>
    <w:rsid w:val="00C707B0"/>
    <w:rsid w:val="00C71C1B"/>
    <w:rsid w:val="00C7324D"/>
    <w:rsid w:val="00C735CF"/>
    <w:rsid w:val="00C736AE"/>
    <w:rsid w:val="00C742EE"/>
    <w:rsid w:val="00C74A48"/>
    <w:rsid w:val="00C75415"/>
    <w:rsid w:val="00C75819"/>
    <w:rsid w:val="00C75B60"/>
    <w:rsid w:val="00C75C38"/>
    <w:rsid w:val="00C75D80"/>
    <w:rsid w:val="00C76A69"/>
    <w:rsid w:val="00C7774C"/>
    <w:rsid w:val="00C777E6"/>
    <w:rsid w:val="00C77E66"/>
    <w:rsid w:val="00C80234"/>
    <w:rsid w:val="00C80587"/>
    <w:rsid w:val="00C807CC"/>
    <w:rsid w:val="00C80865"/>
    <w:rsid w:val="00C80B9A"/>
    <w:rsid w:val="00C80E0C"/>
    <w:rsid w:val="00C813CB"/>
    <w:rsid w:val="00C8150D"/>
    <w:rsid w:val="00C81784"/>
    <w:rsid w:val="00C82DAF"/>
    <w:rsid w:val="00C83830"/>
    <w:rsid w:val="00C83C1E"/>
    <w:rsid w:val="00C859BA"/>
    <w:rsid w:val="00C85AA1"/>
    <w:rsid w:val="00C861BA"/>
    <w:rsid w:val="00C862A2"/>
    <w:rsid w:val="00C8651F"/>
    <w:rsid w:val="00C866AC"/>
    <w:rsid w:val="00C86D1E"/>
    <w:rsid w:val="00C87449"/>
    <w:rsid w:val="00C903B6"/>
    <w:rsid w:val="00C90EF3"/>
    <w:rsid w:val="00C916E6"/>
    <w:rsid w:val="00C917F4"/>
    <w:rsid w:val="00C92908"/>
    <w:rsid w:val="00C92BD0"/>
    <w:rsid w:val="00C92FA7"/>
    <w:rsid w:val="00C93C01"/>
    <w:rsid w:val="00C93F46"/>
    <w:rsid w:val="00C9402D"/>
    <w:rsid w:val="00C96457"/>
    <w:rsid w:val="00C96BF5"/>
    <w:rsid w:val="00C9783F"/>
    <w:rsid w:val="00C97EF9"/>
    <w:rsid w:val="00CA0ADC"/>
    <w:rsid w:val="00CA1B5F"/>
    <w:rsid w:val="00CA2044"/>
    <w:rsid w:val="00CA2114"/>
    <w:rsid w:val="00CA2265"/>
    <w:rsid w:val="00CA2785"/>
    <w:rsid w:val="00CA2BEF"/>
    <w:rsid w:val="00CA3975"/>
    <w:rsid w:val="00CA445A"/>
    <w:rsid w:val="00CA45AA"/>
    <w:rsid w:val="00CA4B75"/>
    <w:rsid w:val="00CA506F"/>
    <w:rsid w:val="00CA5269"/>
    <w:rsid w:val="00CA5824"/>
    <w:rsid w:val="00CA59D5"/>
    <w:rsid w:val="00CA5DDB"/>
    <w:rsid w:val="00CA6160"/>
    <w:rsid w:val="00CA6223"/>
    <w:rsid w:val="00CA6C6F"/>
    <w:rsid w:val="00CA6F99"/>
    <w:rsid w:val="00CA7B54"/>
    <w:rsid w:val="00CA7BA2"/>
    <w:rsid w:val="00CA7D0B"/>
    <w:rsid w:val="00CA7D15"/>
    <w:rsid w:val="00CA7DC0"/>
    <w:rsid w:val="00CB001E"/>
    <w:rsid w:val="00CB179A"/>
    <w:rsid w:val="00CB2D52"/>
    <w:rsid w:val="00CB317E"/>
    <w:rsid w:val="00CB32B6"/>
    <w:rsid w:val="00CB3AE4"/>
    <w:rsid w:val="00CB4BC0"/>
    <w:rsid w:val="00CB4EC2"/>
    <w:rsid w:val="00CB5BAA"/>
    <w:rsid w:val="00CB7120"/>
    <w:rsid w:val="00CB7177"/>
    <w:rsid w:val="00CB7237"/>
    <w:rsid w:val="00CB7E64"/>
    <w:rsid w:val="00CB8952"/>
    <w:rsid w:val="00CC0129"/>
    <w:rsid w:val="00CC0176"/>
    <w:rsid w:val="00CC028E"/>
    <w:rsid w:val="00CC0816"/>
    <w:rsid w:val="00CC08D1"/>
    <w:rsid w:val="00CC09EA"/>
    <w:rsid w:val="00CC1964"/>
    <w:rsid w:val="00CC211A"/>
    <w:rsid w:val="00CC43FE"/>
    <w:rsid w:val="00CC461C"/>
    <w:rsid w:val="00CC50EC"/>
    <w:rsid w:val="00CC5549"/>
    <w:rsid w:val="00CC61CB"/>
    <w:rsid w:val="00CC6EEF"/>
    <w:rsid w:val="00CD0319"/>
    <w:rsid w:val="00CD0B6D"/>
    <w:rsid w:val="00CD16A3"/>
    <w:rsid w:val="00CD1F9E"/>
    <w:rsid w:val="00CD2061"/>
    <w:rsid w:val="00CD26A4"/>
    <w:rsid w:val="00CD2879"/>
    <w:rsid w:val="00CD2AA2"/>
    <w:rsid w:val="00CD2CB4"/>
    <w:rsid w:val="00CD394E"/>
    <w:rsid w:val="00CD39D2"/>
    <w:rsid w:val="00CD443C"/>
    <w:rsid w:val="00CD4D79"/>
    <w:rsid w:val="00CD56E7"/>
    <w:rsid w:val="00CD5C1B"/>
    <w:rsid w:val="00CD5C4B"/>
    <w:rsid w:val="00CD6101"/>
    <w:rsid w:val="00CD6378"/>
    <w:rsid w:val="00CD64D1"/>
    <w:rsid w:val="00CD6DF2"/>
    <w:rsid w:val="00CD71BB"/>
    <w:rsid w:val="00CD7568"/>
    <w:rsid w:val="00CD75B3"/>
    <w:rsid w:val="00CE01BA"/>
    <w:rsid w:val="00CE22BC"/>
    <w:rsid w:val="00CE55C2"/>
    <w:rsid w:val="00CE7080"/>
    <w:rsid w:val="00CE77D7"/>
    <w:rsid w:val="00CE794C"/>
    <w:rsid w:val="00CE798D"/>
    <w:rsid w:val="00CE7BF9"/>
    <w:rsid w:val="00CF1BE0"/>
    <w:rsid w:val="00CF2728"/>
    <w:rsid w:val="00CF2CD9"/>
    <w:rsid w:val="00CF310C"/>
    <w:rsid w:val="00CF33AD"/>
    <w:rsid w:val="00CF363A"/>
    <w:rsid w:val="00CF3D86"/>
    <w:rsid w:val="00CF4580"/>
    <w:rsid w:val="00CF5529"/>
    <w:rsid w:val="00CF577D"/>
    <w:rsid w:val="00CF5B35"/>
    <w:rsid w:val="00CF5C6D"/>
    <w:rsid w:val="00CF6AB4"/>
    <w:rsid w:val="00CF74CC"/>
    <w:rsid w:val="00D00AD6"/>
    <w:rsid w:val="00D00BB1"/>
    <w:rsid w:val="00D00C68"/>
    <w:rsid w:val="00D00E44"/>
    <w:rsid w:val="00D0122A"/>
    <w:rsid w:val="00D025D7"/>
    <w:rsid w:val="00D0301E"/>
    <w:rsid w:val="00D030ED"/>
    <w:rsid w:val="00D0317E"/>
    <w:rsid w:val="00D03CFA"/>
    <w:rsid w:val="00D048CC"/>
    <w:rsid w:val="00D04D8B"/>
    <w:rsid w:val="00D05282"/>
    <w:rsid w:val="00D06A93"/>
    <w:rsid w:val="00D06D90"/>
    <w:rsid w:val="00D07120"/>
    <w:rsid w:val="00D0738B"/>
    <w:rsid w:val="00D074E1"/>
    <w:rsid w:val="00D10427"/>
    <w:rsid w:val="00D109DE"/>
    <w:rsid w:val="00D115DC"/>
    <w:rsid w:val="00D12A83"/>
    <w:rsid w:val="00D12C54"/>
    <w:rsid w:val="00D13292"/>
    <w:rsid w:val="00D13DFB"/>
    <w:rsid w:val="00D1412C"/>
    <w:rsid w:val="00D141CE"/>
    <w:rsid w:val="00D14234"/>
    <w:rsid w:val="00D14307"/>
    <w:rsid w:val="00D143F9"/>
    <w:rsid w:val="00D14960"/>
    <w:rsid w:val="00D150B3"/>
    <w:rsid w:val="00D1694A"/>
    <w:rsid w:val="00D17A2B"/>
    <w:rsid w:val="00D17BE7"/>
    <w:rsid w:val="00D201C7"/>
    <w:rsid w:val="00D207C2"/>
    <w:rsid w:val="00D2113E"/>
    <w:rsid w:val="00D219CC"/>
    <w:rsid w:val="00D2203B"/>
    <w:rsid w:val="00D22CA1"/>
    <w:rsid w:val="00D22DF7"/>
    <w:rsid w:val="00D230D5"/>
    <w:rsid w:val="00D242D5"/>
    <w:rsid w:val="00D24470"/>
    <w:rsid w:val="00D24910"/>
    <w:rsid w:val="00D25A4F"/>
    <w:rsid w:val="00D264ED"/>
    <w:rsid w:val="00D26645"/>
    <w:rsid w:val="00D27BC9"/>
    <w:rsid w:val="00D3019A"/>
    <w:rsid w:val="00D30460"/>
    <w:rsid w:val="00D30853"/>
    <w:rsid w:val="00D32708"/>
    <w:rsid w:val="00D32A18"/>
    <w:rsid w:val="00D32F18"/>
    <w:rsid w:val="00D33B43"/>
    <w:rsid w:val="00D34ABB"/>
    <w:rsid w:val="00D35075"/>
    <w:rsid w:val="00D351C6"/>
    <w:rsid w:val="00D35570"/>
    <w:rsid w:val="00D35C4F"/>
    <w:rsid w:val="00D361B8"/>
    <w:rsid w:val="00D36C7D"/>
    <w:rsid w:val="00D37636"/>
    <w:rsid w:val="00D37C50"/>
    <w:rsid w:val="00D403E5"/>
    <w:rsid w:val="00D41698"/>
    <w:rsid w:val="00D436A5"/>
    <w:rsid w:val="00D43F9E"/>
    <w:rsid w:val="00D44825"/>
    <w:rsid w:val="00D45941"/>
    <w:rsid w:val="00D45A14"/>
    <w:rsid w:val="00D45F91"/>
    <w:rsid w:val="00D50592"/>
    <w:rsid w:val="00D5076F"/>
    <w:rsid w:val="00D50994"/>
    <w:rsid w:val="00D50EBC"/>
    <w:rsid w:val="00D51199"/>
    <w:rsid w:val="00D51763"/>
    <w:rsid w:val="00D5212D"/>
    <w:rsid w:val="00D524B9"/>
    <w:rsid w:val="00D527A0"/>
    <w:rsid w:val="00D52C49"/>
    <w:rsid w:val="00D53B9E"/>
    <w:rsid w:val="00D54466"/>
    <w:rsid w:val="00D547BC"/>
    <w:rsid w:val="00D55DA9"/>
    <w:rsid w:val="00D57BC7"/>
    <w:rsid w:val="00D60231"/>
    <w:rsid w:val="00D60827"/>
    <w:rsid w:val="00D61394"/>
    <w:rsid w:val="00D61764"/>
    <w:rsid w:val="00D61B9D"/>
    <w:rsid w:val="00D61D4A"/>
    <w:rsid w:val="00D622BF"/>
    <w:rsid w:val="00D62D9E"/>
    <w:rsid w:val="00D6303B"/>
    <w:rsid w:val="00D634C9"/>
    <w:rsid w:val="00D64060"/>
    <w:rsid w:val="00D64D33"/>
    <w:rsid w:val="00D64F93"/>
    <w:rsid w:val="00D65837"/>
    <w:rsid w:val="00D65CEC"/>
    <w:rsid w:val="00D66180"/>
    <w:rsid w:val="00D66A18"/>
    <w:rsid w:val="00D67183"/>
    <w:rsid w:val="00D67C4A"/>
    <w:rsid w:val="00D67D4A"/>
    <w:rsid w:val="00D70961"/>
    <w:rsid w:val="00D71010"/>
    <w:rsid w:val="00D716FC"/>
    <w:rsid w:val="00D722AC"/>
    <w:rsid w:val="00D72ACD"/>
    <w:rsid w:val="00D732F1"/>
    <w:rsid w:val="00D737EE"/>
    <w:rsid w:val="00D7444E"/>
    <w:rsid w:val="00D748DD"/>
    <w:rsid w:val="00D75452"/>
    <w:rsid w:val="00D75BC2"/>
    <w:rsid w:val="00D761D1"/>
    <w:rsid w:val="00D7656B"/>
    <w:rsid w:val="00D76ED1"/>
    <w:rsid w:val="00D77635"/>
    <w:rsid w:val="00D77942"/>
    <w:rsid w:val="00D77F7C"/>
    <w:rsid w:val="00D802A1"/>
    <w:rsid w:val="00D80BE1"/>
    <w:rsid w:val="00D816FC"/>
    <w:rsid w:val="00D8433C"/>
    <w:rsid w:val="00D8434A"/>
    <w:rsid w:val="00D85717"/>
    <w:rsid w:val="00D86568"/>
    <w:rsid w:val="00D87120"/>
    <w:rsid w:val="00D87713"/>
    <w:rsid w:val="00D879C5"/>
    <w:rsid w:val="00D87A79"/>
    <w:rsid w:val="00D9052A"/>
    <w:rsid w:val="00D91144"/>
    <w:rsid w:val="00D911F8"/>
    <w:rsid w:val="00D9205F"/>
    <w:rsid w:val="00D920FB"/>
    <w:rsid w:val="00D923BF"/>
    <w:rsid w:val="00D92796"/>
    <w:rsid w:val="00D9346C"/>
    <w:rsid w:val="00D93745"/>
    <w:rsid w:val="00D93A4F"/>
    <w:rsid w:val="00D93A6A"/>
    <w:rsid w:val="00D93C7F"/>
    <w:rsid w:val="00D940A7"/>
    <w:rsid w:val="00D942E1"/>
    <w:rsid w:val="00D946A6"/>
    <w:rsid w:val="00D94E74"/>
    <w:rsid w:val="00D95AA3"/>
    <w:rsid w:val="00D95BB7"/>
    <w:rsid w:val="00D9615B"/>
    <w:rsid w:val="00D961F2"/>
    <w:rsid w:val="00D961F9"/>
    <w:rsid w:val="00D964D7"/>
    <w:rsid w:val="00D967A5"/>
    <w:rsid w:val="00DA0BBE"/>
    <w:rsid w:val="00DA0C83"/>
    <w:rsid w:val="00DA0D60"/>
    <w:rsid w:val="00DA0ED3"/>
    <w:rsid w:val="00DA0F57"/>
    <w:rsid w:val="00DA102F"/>
    <w:rsid w:val="00DA15FE"/>
    <w:rsid w:val="00DA2200"/>
    <w:rsid w:val="00DA22AE"/>
    <w:rsid w:val="00DA2348"/>
    <w:rsid w:val="00DA2AAD"/>
    <w:rsid w:val="00DA3C0E"/>
    <w:rsid w:val="00DA3CB7"/>
    <w:rsid w:val="00DA40B0"/>
    <w:rsid w:val="00DA4658"/>
    <w:rsid w:val="00DA4CEA"/>
    <w:rsid w:val="00DA588C"/>
    <w:rsid w:val="00DA59C1"/>
    <w:rsid w:val="00DA5E62"/>
    <w:rsid w:val="00DA6A4D"/>
    <w:rsid w:val="00DA7577"/>
    <w:rsid w:val="00DA7AA0"/>
    <w:rsid w:val="00DA7F93"/>
    <w:rsid w:val="00DB0D24"/>
    <w:rsid w:val="00DB27E9"/>
    <w:rsid w:val="00DB29DB"/>
    <w:rsid w:val="00DB4692"/>
    <w:rsid w:val="00DB53CD"/>
    <w:rsid w:val="00DB5E23"/>
    <w:rsid w:val="00DB694E"/>
    <w:rsid w:val="00DC0285"/>
    <w:rsid w:val="00DC087B"/>
    <w:rsid w:val="00DC14EB"/>
    <w:rsid w:val="00DC233A"/>
    <w:rsid w:val="00DC27D6"/>
    <w:rsid w:val="00DC2B40"/>
    <w:rsid w:val="00DC2C9D"/>
    <w:rsid w:val="00DC3D84"/>
    <w:rsid w:val="00DC3F15"/>
    <w:rsid w:val="00DC3FD3"/>
    <w:rsid w:val="00DC456B"/>
    <w:rsid w:val="00DC48FD"/>
    <w:rsid w:val="00DC4AC0"/>
    <w:rsid w:val="00DC4E58"/>
    <w:rsid w:val="00DC5C87"/>
    <w:rsid w:val="00DC5F11"/>
    <w:rsid w:val="00DC609A"/>
    <w:rsid w:val="00DC686C"/>
    <w:rsid w:val="00DC6A93"/>
    <w:rsid w:val="00DC7317"/>
    <w:rsid w:val="00DC7F3C"/>
    <w:rsid w:val="00DD016C"/>
    <w:rsid w:val="00DD0C0D"/>
    <w:rsid w:val="00DD10FA"/>
    <w:rsid w:val="00DD1ADE"/>
    <w:rsid w:val="00DD2018"/>
    <w:rsid w:val="00DD2137"/>
    <w:rsid w:val="00DD25F7"/>
    <w:rsid w:val="00DD29A2"/>
    <w:rsid w:val="00DD38F8"/>
    <w:rsid w:val="00DD4029"/>
    <w:rsid w:val="00DD45C3"/>
    <w:rsid w:val="00DD4B4F"/>
    <w:rsid w:val="00DD56AB"/>
    <w:rsid w:val="00DD6910"/>
    <w:rsid w:val="00DD7644"/>
    <w:rsid w:val="00DD7F4E"/>
    <w:rsid w:val="00DE0D5C"/>
    <w:rsid w:val="00DE118C"/>
    <w:rsid w:val="00DE119D"/>
    <w:rsid w:val="00DE209C"/>
    <w:rsid w:val="00DE28F5"/>
    <w:rsid w:val="00DE2994"/>
    <w:rsid w:val="00DE3ED5"/>
    <w:rsid w:val="00DE3F62"/>
    <w:rsid w:val="00DE469E"/>
    <w:rsid w:val="00DE4715"/>
    <w:rsid w:val="00DE4A34"/>
    <w:rsid w:val="00DE4EB4"/>
    <w:rsid w:val="00DE5787"/>
    <w:rsid w:val="00DE5913"/>
    <w:rsid w:val="00DE6428"/>
    <w:rsid w:val="00DE675B"/>
    <w:rsid w:val="00DE692B"/>
    <w:rsid w:val="00DE69AA"/>
    <w:rsid w:val="00DE6DE4"/>
    <w:rsid w:val="00DE775A"/>
    <w:rsid w:val="00DE7FCF"/>
    <w:rsid w:val="00DF08C5"/>
    <w:rsid w:val="00DF0EF4"/>
    <w:rsid w:val="00DF0F3D"/>
    <w:rsid w:val="00DF1F29"/>
    <w:rsid w:val="00DF2F09"/>
    <w:rsid w:val="00DF337F"/>
    <w:rsid w:val="00DF339D"/>
    <w:rsid w:val="00DF43F1"/>
    <w:rsid w:val="00DF49F1"/>
    <w:rsid w:val="00DF5218"/>
    <w:rsid w:val="00DF616E"/>
    <w:rsid w:val="00DF6A62"/>
    <w:rsid w:val="00DF710F"/>
    <w:rsid w:val="00DF74BB"/>
    <w:rsid w:val="00DF78A0"/>
    <w:rsid w:val="00DF7C5E"/>
    <w:rsid w:val="00DF7D44"/>
    <w:rsid w:val="00E00999"/>
    <w:rsid w:val="00E00A96"/>
    <w:rsid w:val="00E01AE6"/>
    <w:rsid w:val="00E01DB0"/>
    <w:rsid w:val="00E0200A"/>
    <w:rsid w:val="00E02963"/>
    <w:rsid w:val="00E02A92"/>
    <w:rsid w:val="00E02B7F"/>
    <w:rsid w:val="00E03A92"/>
    <w:rsid w:val="00E043B2"/>
    <w:rsid w:val="00E04DF4"/>
    <w:rsid w:val="00E05608"/>
    <w:rsid w:val="00E05941"/>
    <w:rsid w:val="00E05A5D"/>
    <w:rsid w:val="00E05DC5"/>
    <w:rsid w:val="00E06071"/>
    <w:rsid w:val="00E06681"/>
    <w:rsid w:val="00E06DE2"/>
    <w:rsid w:val="00E06E87"/>
    <w:rsid w:val="00E07636"/>
    <w:rsid w:val="00E07BB7"/>
    <w:rsid w:val="00E07C1E"/>
    <w:rsid w:val="00E10911"/>
    <w:rsid w:val="00E10975"/>
    <w:rsid w:val="00E117C5"/>
    <w:rsid w:val="00E118ED"/>
    <w:rsid w:val="00E11D71"/>
    <w:rsid w:val="00E122DA"/>
    <w:rsid w:val="00E12709"/>
    <w:rsid w:val="00E134BC"/>
    <w:rsid w:val="00E13885"/>
    <w:rsid w:val="00E13908"/>
    <w:rsid w:val="00E1399D"/>
    <w:rsid w:val="00E13F18"/>
    <w:rsid w:val="00E1480E"/>
    <w:rsid w:val="00E154BD"/>
    <w:rsid w:val="00E159A0"/>
    <w:rsid w:val="00E16F31"/>
    <w:rsid w:val="00E1798C"/>
    <w:rsid w:val="00E21CF8"/>
    <w:rsid w:val="00E21DB2"/>
    <w:rsid w:val="00E227A5"/>
    <w:rsid w:val="00E22E1F"/>
    <w:rsid w:val="00E231A1"/>
    <w:rsid w:val="00E2410C"/>
    <w:rsid w:val="00E24117"/>
    <w:rsid w:val="00E24EF2"/>
    <w:rsid w:val="00E2511E"/>
    <w:rsid w:val="00E25862"/>
    <w:rsid w:val="00E25B63"/>
    <w:rsid w:val="00E262EE"/>
    <w:rsid w:val="00E263F8"/>
    <w:rsid w:val="00E26587"/>
    <w:rsid w:val="00E26978"/>
    <w:rsid w:val="00E26A03"/>
    <w:rsid w:val="00E26B92"/>
    <w:rsid w:val="00E27845"/>
    <w:rsid w:val="00E30F02"/>
    <w:rsid w:val="00E3190B"/>
    <w:rsid w:val="00E31C85"/>
    <w:rsid w:val="00E31F5D"/>
    <w:rsid w:val="00E3261F"/>
    <w:rsid w:val="00E32A18"/>
    <w:rsid w:val="00E33772"/>
    <w:rsid w:val="00E3385B"/>
    <w:rsid w:val="00E344E1"/>
    <w:rsid w:val="00E351CA"/>
    <w:rsid w:val="00E360D4"/>
    <w:rsid w:val="00E360EE"/>
    <w:rsid w:val="00E36531"/>
    <w:rsid w:val="00E37F76"/>
    <w:rsid w:val="00E408CB"/>
    <w:rsid w:val="00E41A35"/>
    <w:rsid w:val="00E41CDF"/>
    <w:rsid w:val="00E41D44"/>
    <w:rsid w:val="00E42639"/>
    <w:rsid w:val="00E4345E"/>
    <w:rsid w:val="00E4361D"/>
    <w:rsid w:val="00E44A83"/>
    <w:rsid w:val="00E44B65"/>
    <w:rsid w:val="00E44D2E"/>
    <w:rsid w:val="00E462BA"/>
    <w:rsid w:val="00E4636C"/>
    <w:rsid w:val="00E467A2"/>
    <w:rsid w:val="00E471E1"/>
    <w:rsid w:val="00E47C5C"/>
    <w:rsid w:val="00E50B40"/>
    <w:rsid w:val="00E516F1"/>
    <w:rsid w:val="00E5186A"/>
    <w:rsid w:val="00E543A9"/>
    <w:rsid w:val="00E54AC1"/>
    <w:rsid w:val="00E54E1F"/>
    <w:rsid w:val="00E55BD4"/>
    <w:rsid w:val="00E57468"/>
    <w:rsid w:val="00E574E1"/>
    <w:rsid w:val="00E577ED"/>
    <w:rsid w:val="00E57CAD"/>
    <w:rsid w:val="00E60765"/>
    <w:rsid w:val="00E60C54"/>
    <w:rsid w:val="00E6139B"/>
    <w:rsid w:val="00E619C5"/>
    <w:rsid w:val="00E621E7"/>
    <w:rsid w:val="00E62658"/>
    <w:rsid w:val="00E62909"/>
    <w:rsid w:val="00E62BB4"/>
    <w:rsid w:val="00E63B4A"/>
    <w:rsid w:val="00E63E33"/>
    <w:rsid w:val="00E64BDF"/>
    <w:rsid w:val="00E65359"/>
    <w:rsid w:val="00E653F5"/>
    <w:rsid w:val="00E65A6E"/>
    <w:rsid w:val="00E66032"/>
    <w:rsid w:val="00E67832"/>
    <w:rsid w:val="00E67894"/>
    <w:rsid w:val="00E67982"/>
    <w:rsid w:val="00E703E5"/>
    <w:rsid w:val="00E7052B"/>
    <w:rsid w:val="00E7169A"/>
    <w:rsid w:val="00E71965"/>
    <w:rsid w:val="00E725CB"/>
    <w:rsid w:val="00E73A28"/>
    <w:rsid w:val="00E750C3"/>
    <w:rsid w:val="00E75152"/>
    <w:rsid w:val="00E754F2"/>
    <w:rsid w:val="00E754FD"/>
    <w:rsid w:val="00E7578C"/>
    <w:rsid w:val="00E75B79"/>
    <w:rsid w:val="00E75D77"/>
    <w:rsid w:val="00E76030"/>
    <w:rsid w:val="00E76B84"/>
    <w:rsid w:val="00E80124"/>
    <w:rsid w:val="00E80B5D"/>
    <w:rsid w:val="00E810CA"/>
    <w:rsid w:val="00E81F06"/>
    <w:rsid w:val="00E83513"/>
    <w:rsid w:val="00E83C3F"/>
    <w:rsid w:val="00E83C6F"/>
    <w:rsid w:val="00E83D6B"/>
    <w:rsid w:val="00E842D6"/>
    <w:rsid w:val="00E84DD9"/>
    <w:rsid w:val="00E861C8"/>
    <w:rsid w:val="00E86839"/>
    <w:rsid w:val="00E86939"/>
    <w:rsid w:val="00E90F8A"/>
    <w:rsid w:val="00E92585"/>
    <w:rsid w:val="00E9315E"/>
    <w:rsid w:val="00E943EC"/>
    <w:rsid w:val="00E94C83"/>
    <w:rsid w:val="00E94E8E"/>
    <w:rsid w:val="00E95086"/>
    <w:rsid w:val="00E955B8"/>
    <w:rsid w:val="00E955DC"/>
    <w:rsid w:val="00E95B2A"/>
    <w:rsid w:val="00E95C35"/>
    <w:rsid w:val="00E96359"/>
    <w:rsid w:val="00E969A3"/>
    <w:rsid w:val="00E97A48"/>
    <w:rsid w:val="00E97DC9"/>
    <w:rsid w:val="00EA016D"/>
    <w:rsid w:val="00EA190A"/>
    <w:rsid w:val="00EA1E11"/>
    <w:rsid w:val="00EA2307"/>
    <w:rsid w:val="00EA23CD"/>
    <w:rsid w:val="00EA330F"/>
    <w:rsid w:val="00EA3EB6"/>
    <w:rsid w:val="00EA4393"/>
    <w:rsid w:val="00EA44B8"/>
    <w:rsid w:val="00EA44F1"/>
    <w:rsid w:val="00EA5297"/>
    <w:rsid w:val="00EA534B"/>
    <w:rsid w:val="00EA6483"/>
    <w:rsid w:val="00EA676D"/>
    <w:rsid w:val="00EA6AAC"/>
    <w:rsid w:val="00EA7906"/>
    <w:rsid w:val="00EB1FD7"/>
    <w:rsid w:val="00EB20CB"/>
    <w:rsid w:val="00EB2518"/>
    <w:rsid w:val="00EB2D55"/>
    <w:rsid w:val="00EB30E3"/>
    <w:rsid w:val="00EB47DC"/>
    <w:rsid w:val="00EB4AD6"/>
    <w:rsid w:val="00EB4F2A"/>
    <w:rsid w:val="00EB5160"/>
    <w:rsid w:val="00EB5209"/>
    <w:rsid w:val="00EB53B0"/>
    <w:rsid w:val="00EB5EE5"/>
    <w:rsid w:val="00EB5F8A"/>
    <w:rsid w:val="00EB61A4"/>
    <w:rsid w:val="00EB6320"/>
    <w:rsid w:val="00EB6E4E"/>
    <w:rsid w:val="00EB719C"/>
    <w:rsid w:val="00EB73BA"/>
    <w:rsid w:val="00EB7E0D"/>
    <w:rsid w:val="00EC004D"/>
    <w:rsid w:val="00EC0A04"/>
    <w:rsid w:val="00EC1841"/>
    <w:rsid w:val="00EC1AFA"/>
    <w:rsid w:val="00EC2333"/>
    <w:rsid w:val="00EC26B0"/>
    <w:rsid w:val="00EC26C0"/>
    <w:rsid w:val="00EC298C"/>
    <w:rsid w:val="00EC3299"/>
    <w:rsid w:val="00EC46A8"/>
    <w:rsid w:val="00EC473A"/>
    <w:rsid w:val="00EC49A0"/>
    <w:rsid w:val="00EC520E"/>
    <w:rsid w:val="00EC5946"/>
    <w:rsid w:val="00EC6E54"/>
    <w:rsid w:val="00EC7012"/>
    <w:rsid w:val="00EC7BB3"/>
    <w:rsid w:val="00ED01D7"/>
    <w:rsid w:val="00ED0536"/>
    <w:rsid w:val="00ED07B0"/>
    <w:rsid w:val="00ED0A12"/>
    <w:rsid w:val="00ED0D73"/>
    <w:rsid w:val="00ED0F20"/>
    <w:rsid w:val="00ED12C6"/>
    <w:rsid w:val="00ED1349"/>
    <w:rsid w:val="00ED18D0"/>
    <w:rsid w:val="00ED1F91"/>
    <w:rsid w:val="00ED1FCB"/>
    <w:rsid w:val="00ED2CB8"/>
    <w:rsid w:val="00ED30C1"/>
    <w:rsid w:val="00ED33CD"/>
    <w:rsid w:val="00ED35FA"/>
    <w:rsid w:val="00ED38C2"/>
    <w:rsid w:val="00ED3F78"/>
    <w:rsid w:val="00ED3FC2"/>
    <w:rsid w:val="00ED4899"/>
    <w:rsid w:val="00ED4926"/>
    <w:rsid w:val="00ED4CC2"/>
    <w:rsid w:val="00ED5BCB"/>
    <w:rsid w:val="00ED607F"/>
    <w:rsid w:val="00ED6122"/>
    <w:rsid w:val="00ED6512"/>
    <w:rsid w:val="00EE001A"/>
    <w:rsid w:val="00EE008B"/>
    <w:rsid w:val="00EE0881"/>
    <w:rsid w:val="00EE0ADE"/>
    <w:rsid w:val="00EE14D1"/>
    <w:rsid w:val="00EE1595"/>
    <w:rsid w:val="00EE188D"/>
    <w:rsid w:val="00EE20EC"/>
    <w:rsid w:val="00EE2909"/>
    <w:rsid w:val="00EE292F"/>
    <w:rsid w:val="00EE2A2A"/>
    <w:rsid w:val="00EE3B53"/>
    <w:rsid w:val="00EE3D4A"/>
    <w:rsid w:val="00EE4797"/>
    <w:rsid w:val="00EE5386"/>
    <w:rsid w:val="00EE5BF4"/>
    <w:rsid w:val="00EE5C33"/>
    <w:rsid w:val="00EE71D3"/>
    <w:rsid w:val="00EE7635"/>
    <w:rsid w:val="00EE78C6"/>
    <w:rsid w:val="00EF1314"/>
    <w:rsid w:val="00EF14BB"/>
    <w:rsid w:val="00EF1571"/>
    <w:rsid w:val="00EF1BAF"/>
    <w:rsid w:val="00EF28F4"/>
    <w:rsid w:val="00EF2B33"/>
    <w:rsid w:val="00EF324D"/>
    <w:rsid w:val="00EF4028"/>
    <w:rsid w:val="00EF4080"/>
    <w:rsid w:val="00EF4882"/>
    <w:rsid w:val="00EF4B29"/>
    <w:rsid w:val="00EF4F24"/>
    <w:rsid w:val="00EF535A"/>
    <w:rsid w:val="00EF54AA"/>
    <w:rsid w:val="00EF561D"/>
    <w:rsid w:val="00EF5B9D"/>
    <w:rsid w:val="00EF5C61"/>
    <w:rsid w:val="00EF6660"/>
    <w:rsid w:val="00EF6BA7"/>
    <w:rsid w:val="00EF6C02"/>
    <w:rsid w:val="00EF6F6B"/>
    <w:rsid w:val="00F00DB3"/>
    <w:rsid w:val="00F00E83"/>
    <w:rsid w:val="00F01AB6"/>
    <w:rsid w:val="00F028B5"/>
    <w:rsid w:val="00F039A0"/>
    <w:rsid w:val="00F03C2D"/>
    <w:rsid w:val="00F03CCC"/>
    <w:rsid w:val="00F0400F"/>
    <w:rsid w:val="00F044D5"/>
    <w:rsid w:val="00F048F1"/>
    <w:rsid w:val="00F05210"/>
    <w:rsid w:val="00F0527B"/>
    <w:rsid w:val="00F05CC9"/>
    <w:rsid w:val="00F0606D"/>
    <w:rsid w:val="00F060C0"/>
    <w:rsid w:val="00F0611B"/>
    <w:rsid w:val="00F064C1"/>
    <w:rsid w:val="00F075DC"/>
    <w:rsid w:val="00F1051D"/>
    <w:rsid w:val="00F116EE"/>
    <w:rsid w:val="00F12455"/>
    <w:rsid w:val="00F12AA4"/>
    <w:rsid w:val="00F12CDF"/>
    <w:rsid w:val="00F12E6E"/>
    <w:rsid w:val="00F13128"/>
    <w:rsid w:val="00F131FF"/>
    <w:rsid w:val="00F1345C"/>
    <w:rsid w:val="00F13D05"/>
    <w:rsid w:val="00F14AA0"/>
    <w:rsid w:val="00F14AB5"/>
    <w:rsid w:val="00F14D81"/>
    <w:rsid w:val="00F1508D"/>
    <w:rsid w:val="00F150C4"/>
    <w:rsid w:val="00F1552A"/>
    <w:rsid w:val="00F15984"/>
    <w:rsid w:val="00F15A80"/>
    <w:rsid w:val="00F1613C"/>
    <w:rsid w:val="00F16400"/>
    <w:rsid w:val="00F17452"/>
    <w:rsid w:val="00F17AEC"/>
    <w:rsid w:val="00F2090D"/>
    <w:rsid w:val="00F20C2F"/>
    <w:rsid w:val="00F20F62"/>
    <w:rsid w:val="00F21627"/>
    <w:rsid w:val="00F21675"/>
    <w:rsid w:val="00F22737"/>
    <w:rsid w:val="00F22922"/>
    <w:rsid w:val="00F23665"/>
    <w:rsid w:val="00F2416D"/>
    <w:rsid w:val="00F2431E"/>
    <w:rsid w:val="00F2471E"/>
    <w:rsid w:val="00F25841"/>
    <w:rsid w:val="00F265D9"/>
    <w:rsid w:val="00F2695C"/>
    <w:rsid w:val="00F26D26"/>
    <w:rsid w:val="00F27693"/>
    <w:rsid w:val="00F30330"/>
    <w:rsid w:val="00F30885"/>
    <w:rsid w:val="00F30EB8"/>
    <w:rsid w:val="00F31114"/>
    <w:rsid w:val="00F31653"/>
    <w:rsid w:val="00F3200D"/>
    <w:rsid w:val="00F3336D"/>
    <w:rsid w:val="00F33606"/>
    <w:rsid w:val="00F34332"/>
    <w:rsid w:val="00F36046"/>
    <w:rsid w:val="00F36A53"/>
    <w:rsid w:val="00F36B61"/>
    <w:rsid w:val="00F4037F"/>
    <w:rsid w:val="00F408A3"/>
    <w:rsid w:val="00F409A2"/>
    <w:rsid w:val="00F40C6A"/>
    <w:rsid w:val="00F412FE"/>
    <w:rsid w:val="00F4274C"/>
    <w:rsid w:val="00F42CDE"/>
    <w:rsid w:val="00F43C74"/>
    <w:rsid w:val="00F4430F"/>
    <w:rsid w:val="00F44C43"/>
    <w:rsid w:val="00F4509D"/>
    <w:rsid w:val="00F45704"/>
    <w:rsid w:val="00F459D3"/>
    <w:rsid w:val="00F46C4E"/>
    <w:rsid w:val="00F46CCF"/>
    <w:rsid w:val="00F47654"/>
    <w:rsid w:val="00F4765A"/>
    <w:rsid w:val="00F4779D"/>
    <w:rsid w:val="00F504FC"/>
    <w:rsid w:val="00F5071F"/>
    <w:rsid w:val="00F5097F"/>
    <w:rsid w:val="00F50D76"/>
    <w:rsid w:val="00F52687"/>
    <w:rsid w:val="00F532FB"/>
    <w:rsid w:val="00F53DF1"/>
    <w:rsid w:val="00F53E7A"/>
    <w:rsid w:val="00F54060"/>
    <w:rsid w:val="00F548F8"/>
    <w:rsid w:val="00F54C0A"/>
    <w:rsid w:val="00F55BF4"/>
    <w:rsid w:val="00F56500"/>
    <w:rsid w:val="00F569FF"/>
    <w:rsid w:val="00F56D75"/>
    <w:rsid w:val="00F57F51"/>
    <w:rsid w:val="00F60BAB"/>
    <w:rsid w:val="00F60CC8"/>
    <w:rsid w:val="00F60EAA"/>
    <w:rsid w:val="00F617F2"/>
    <w:rsid w:val="00F61A3B"/>
    <w:rsid w:val="00F62BBA"/>
    <w:rsid w:val="00F631C1"/>
    <w:rsid w:val="00F6361A"/>
    <w:rsid w:val="00F63CC0"/>
    <w:rsid w:val="00F63D88"/>
    <w:rsid w:val="00F6468A"/>
    <w:rsid w:val="00F647C4"/>
    <w:rsid w:val="00F64804"/>
    <w:rsid w:val="00F648A6"/>
    <w:rsid w:val="00F64901"/>
    <w:rsid w:val="00F64A59"/>
    <w:rsid w:val="00F65839"/>
    <w:rsid w:val="00F65BDC"/>
    <w:rsid w:val="00F65E8B"/>
    <w:rsid w:val="00F66786"/>
    <w:rsid w:val="00F66F38"/>
    <w:rsid w:val="00F67140"/>
    <w:rsid w:val="00F67661"/>
    <w:rsid w:val="00F67A21"/>
    <w:rsid w:val="00F70161"/>
    <w:rsid w:val="00F70F02"/>
    <w:rsid w:val="00F712AF"/>
    <w:rsid w:val="00F7131E"/>
    <w:rsid w:val="00F7172B"/>
    <w:rsid w:val="00F72411"/>
    <w:rsid w:val="00F73A82"/>
    <w:rsid w:val="00F73F55"/>
    <w:rsid w:val="00F7432A"/>
    <w:rsid w:val="00F745C6"/>
    <w:rsid w:val="00F74F1A"/>
    <w:rsid w:val="00F750D7"/>
    <w:rsid w:val="00F751B3"/>
    <w:rsid w:val="00F75607"/>
    <w:rsid w:val="00F7562A"/>
    <w:rsid w:val="00F75F8F"/>
    <w:rsid w:val="00F77C62"/>
    <w:rsid w:val="00F77ECD"/>
    <w:rsid w:val="00F801D3"/>
    <w:rsid w:val="00F80DAD"/>
    <w:rsid w:val="00F81195"/>
    <w:rsid w:val="00F81319"/>
    <w:rsid w:val="00F825A6"/>
    <w:rsid w:val="00F83304"/>
    <w:rsid w:val="00F83851"/>
    <w:rsid w:val="00F83BE3"/>
    <w:rsid w:val="00F843C9"/>
    <w:rsid w:val="00F843DF"/>
    <w:rsid w:val="00F84764"/>
    <w:rsid w:val="00F85025"/>
    <w:rsid w:val="00F854CC"/>
    <w:rsid w:val="00F866BF"/>
    <w:rsid w:val="00F873A3"/>
    <w:rsid w:val="00F873C6"/>
    <w:rsid w:val="00F87F49"/>
    <w:rsid w:val="00F9005D"/>
    <w:rsid w:val="00F9037C"/>
    <w:rsid w:val="00F9088C"/>
    <w:rsid w:val="00F91B50"/>
    <w:rsid w:val="00F91E76"/>
    <w:rsid w:val="00F928B5"/>
    <w:rsid w:val="00F92C8D"/>
    <w:rsid w:val="00F92FFF"/>
    <w:rsid w:val="00F9359E"/>
    <w:rsid w:val="00F935C3"/>
    <w:rsid w:val="00F93805"/>
    <w:rsid w:val="00F93CEC"/>
    <w:rsid w:val="00F93F3D"/>
    <w:rsid w:val="00F94084"/>
    <w:rsid w:val="00F950D1"/>
    <w:rsid w:val="00F95B85"/>
    <w:rsid w:val="00F96940"/>
    <w:rsid w:val="00F970EF"/>
    <w:rsid w:val="00F973A6"/>
    <w:rsid w:val="00F97783"/>
    <w:rsid w:val="00F97B0A"/>
    <w:rsid w:val="00F97DE2"/>
    <w:rsid w:val="00FA003D"/>
    <w:rsid w:val="00FA03FE"/>
    <w:rsid w:val="00FA0F04"/>
    <w:rsid w:val="00FA0FAD"/>
    <w:rsid w:val="00FA1107"/>
    <w:rsid w:val="00FA160E"/>
    <w:rsid w:val="00FA1709"/>
    <w:rsid w:val="00FA19A0"/>
    <w:rsid w:val="00FA2865"/>
    <w:rsid w:val="00FA2E52"/>
    <w:rsid w:val="00FA3AFD"/>
    <w:rsid w:val="00FA4134"/>
    <w:rsid w:val="00FA491B"/>
    <w:rsid w:val="00FA4C74"/>
    <w:rsid w:val="00FA547A"/>
    <w:rsid w:val="00FA63E3"/>
    <w:rsid w:val="00FA6CAB"/>
    <w:rsid w:val="00FA6F25"/>
    <w:rsid w:val="00FA729A"/>
    <w:rsid w:val="00FA7865"/>
    <w:rsid w:val="00FB0EEB"/>
    <w:rsid w:val="00FB1A99"/>
    <w:rsid w:val="00FB2D1D"/>
    <w:rsid w:val="00FB3D92"/>
    <w:rsid w:val="00FB4670"/>
    <w:rsid w:val="00FB4AA7"/>
    <w:rsid w:val="00FB51B5"/>
    <w:rsid w:val="00FB563B"/>
    <w:rsid w:val="00FB5886"/>
    <w:rsid w:val="00FB60CB"/>
    <w:rsid w:val="00FB60E4"/>
    <w:rsid w:val="00FB646A"/>
    <w:rsid w:val="00FB655C"/>
    <w:rsid w:val="00FB69B5"/>
    <w:rsid w:val="00FB6A71"/>
    <w:rsid w:val="00FB6CBB"/>
    <w:rsid w:val="00FB6DB2"/>
    <w:rsid w:val="00FB7251"/>
    <w:rsid w:val="00FB7E26"/>
    <w:rsid w:val="00FB7F94"/>
    <w:rsid w:val="00FC1408"/>
    <w:rsid w:val="00FC1BEC"/>
    <w:rsid w:val="00FC1C63"/>
    <w:rsid w:val="00FC1CB2"/>
    <w:rsid w:val="00FC25D0"/>
    <w:rsid w:val="00FC2D01"/>
    <w:rsid w:val="00FC2D14"/>
    <w:rsid w:val="00FC39BF"/>
    <w:rsid w:val="00FC3DE2"/>
    <w:rsid w:val="00FC3DFB"/>
    <w:rsid w:val="00FC3EF0"/>
    <w:rsid w:val="00FC3EFD"/>
    <w:rsid w:val="00FC51C4"/>
    <w:rsid w:val="00FC570F"/>
    <w:rsid w:val="00FC6CB6"/>
    <w:rsid w:val="00FC6DDE"/>
    <w:rsid w:val="00FC7162"/>
    <w:rsid w:val="00FC78DB"/>
    <w:rsid w:val="00FD0014"/>
    <w:rsid w:val="00FD2058"/>
    <w:rsid w:val="00FD2765"/>
    <w:rsid w:val="00FD30E9"/>
    <w:rsid w:val="00FD3C84"/>
    <w:rsid w:val="00FD425B"/>
    <w:rsid w:val="00FD44B8"/>
    <w:rsid w:val="00FD490C"/>
    <w:rsid w:val="00FD4DA6"/>
    <w:rsid w:val="00FD5223"/>
    <w:rsid w:val="00FD560A"/>
    <w:rsid w:val="00FD611E"/>
    <w:rsid w:val="00FD65EE"/>
    <w:rsid w:val="00FD739E"/>
    <w:rsid w:val="00FE0AD1"/>
    <w:rsid w:val="00FE2163"/>
    <w:rsid w:val="00FE242E"/>
    <w:rsid w:val="00FE2A07"/>
    <w:rsid w:val="00FE2CEA"/>
    <w:rsid w:val="00FE2F44"/>
    <w:rsid w:val="00FE38B0"/>
    <w:rsid w:val="00FE4E92"/>
    <w:rsid w:val="00FE5597"/>
    <w:rsid w:val="00FE6A90"/>
    <w:rsid w:val="00FE6CC9"/>
    <w:rsid w:val="00FE6DDC"/>
    <w:rsid w:val="00FE7585"/>
    <w:rsid w:val="00FE78AE"/>
    <w:rsid w:val="00FE7A05"/>
    <w:rsid w:val="00FE7B3E"/>
    <w:rsid w:val="00FF0FF2"/>
    <w:rsid w:val="00FF12D7"/>
    <w:rsid w:val="00FF1588"/>
    <w:rsid w:val="00FF1666"/>
    <w:rsid w:val="00FF1B67"/>
    <w:rsid w:val="00FF1E33"/>
    <w:rsid w:val="00FF221E"/>
    <w:rsid w:val="00FF3501"/>
    <w:rsid w:val="00FF452C"/>
    <w:rsid w:val="00FF6794"/>
    <w:rsid w:val="00FF6880"/>
    <w:rsid w:val="00FF6D21"/>
    <w:rsid w:val="00FF74AA"/>
    <w:rsid w:val="011F82D7"/>
    <w:rsid w:val="012524BF"/>
    <w:rsid w:val="01302650"/>
    <w:rsid w:val="014FED2A"/>
    <w:rsid w:val="01640BF5"/>
    <w:rsid w:val="016E7875"/>
    <w:rsid w:val="01878939"/>
    <w:rsid w:val="01AB4044"/>
    <w:rsid w:val="01AE0184"/>
    <w:rsid w:val="01B02D6F"/>
    <w:rsid w:val="01C37821"/>
    <w:rsid w:val="01DAD391"/>
    <w:rsid w:val="01DBAEA8"/>
    <w:rsid w:val="01DD3C47"/>
    <w:rsid w:val="01E1656B"/>
    <w:rsid w:val="01E268D1"/>
    <w:rsid w:val="01E83964"/>
    <w:rsid w:val="01ED0FF5"/>
    <w:rsid w:val="01F64B20"/>
    <w:rsid w:val="020207B3"/>
    <w:rsid w:val="02033EB7"/>
    <w:rsid w:val="02151F8E"/>
    <w:rsid w:val="022AF268"/>
    <w:rsid w:val="023B7EB5"/>
    <w:rsid w:val="0241A222"/>
    <w:rsid w:val="0249E61B"/>
    <w:rsid w:val="024AABCF"/>
    <w:rsid w:val="026C7355"/>
    <w:rsid w:val="02762F12"/>
    <w:rsid w:val="029222CE"/>
    <w:rsid w:val="0292E258"/>
    <w:rsid w:val="02A559C7"/>
    <w:rsid w:val="02B2EABD"/>
    <w:rsid w:val="02DF7B03"/>
    <w:rsid w:val="02E5FC3D"/>
    <w:rsid w:val="02E843B9"/>
    <w:rsid w:val="03090768"/>
    <w:rsid w:val="0326112A"/>
    <w:rsid w:val="032E68B7"/>
    <w:rsid w:val="03460FC4"/>
    <w:rsid w:val="034760AA"/>
    <w:rsid w:val="034B419E"/>
    <w:rsid w:val="03618DAC"/>
    <w:rsid w:val="0370251D"/>
    <w:rsid w:val="0371C2EC"/>
    <w:rsid w:val="03796F4E"/>
    <w:rsid w:val="03C61B3D"/>
    <w:rsid w:val="03CE181A"/>
    <w:rsid w:val="03D19C98"/>
    <w:rsid w:val="0401CCEB"/>
    <w:rsid w:val="04028438"/>
    <w:rsid w:val="040B8C39"/>
    <w:rsid w:val="040B92AB"/>
    <w:rsid w:val="0413BE69"/>
    <w:rsid w:val="042A04CE"/>
    <w:rsid w:val="043BF8B0"/>
    <w:rsid w:val="04403C08"/>
    <w:rsid w:val="044616C3"/>
    <w:rsid w:val="04580E90"/>
    <w:rsid w:val="045E27F3"/>
    <w:rsid w:val="0465A8FD"/>
    <w:rsid w:val="047C467F"/>
    <w:rsid w:val="048BDCB1"/>
    <w:rsid w:val="04943E36"/>
    <w:rsid w:val="049696FD"/>
    <w:rsid w:val="049E17E2"/>
    <w:rsid w:val="04A159A9"/>
    <w:rsid w:val="04AB7D23"/>
    <w:rsid w:val="04C5F541"/>
    <w:rsid w:val="04CA0189"/>
    <w:rsid w:val="04D06501"/>
    <w:rsid w:val="04D53836"/>
    <w:rsid w:val="04DBE713"/>
    <w:rsid w:val="04E279CE"/>
    <w:rsid w:val="04EA2A89"/>
    <w:rsid w:val="04F4944B"/>
    <w:rsid w:val="0519B8D9"/>
    <w:rsid w:val="0533F36D"/>
    <w:rsid w:val="053DC535"/>
    <w:rsid w:val="054B1379"/>
    <w:rsid w:val="055B517D"/>
    <w:rsid w:val="05624A61"/>
    <w:rsid w:val="056E3506"/>
    <w:rsid w:val="05711A3D"/>
    <w:rsid w:val="057F134A"/>
    <w:rsid w:val="05900341"/>
    <w:rsid w:val="05A3674D"/>
    <w:rsid w:val="05B6EBBC"/>
    <w:rsid w:val="05E36FC5"/>
    <w:rsid w:val="05F2C58E"/>
    <w:rsid w:val="05FCE57E"/>
    <w:rsid w:val="060EF06D"/>
    <w:rsid w:val="061B655D"/>
    <w:rsid w:val="064C177E"/>
    <w:rsid w:val="0659F097"/>
    <w:rsid w:val="065FC4E7"/>
    <w:rsid w:val="06792704"/>
    <w:rsid w:val="068E1721"/>
    <w:rsid w:val="068F9A45"/>
    <w:rsid w:val="06B0A6C3"/>
    <w:rsid w:val="06BEA8E2"/>
    <w:rsid w:val="06C1E5DB"/>
    <w:rsid w:val="06D3DE0A"/>
    <w:rsid w:val="06F14FF5"/>
    <w:rsid w:val="06F5FDE4"/>
    <w:rsid w:val="06FE3EC3"/>
    <w:rsid w:val="06FEFF04"/>
    <w:rsid w:val="07053D5E"/>
    <w:rsid w:val="07176765"/>
    <w:rsid w:val="072BFED0"/>
    <w:rsid w:val="0732D49C"/>
    <w:rsid w:val="0739F5A7"/>
    <w:rsid w:val="0771A55C"/>
    <w:rsid w:val="07750034"/>
    <w:rsid w:val="07915690"/>
    <w:rsid w:val="0796BCB4"/>
    <w:rsid w:val="07A27A9D"/>
    <w:rsid w:val="07AC8C58"/>
    <w:rsid w:val="07CB1C22"/>
    <w:rsid w:val="07D0F50B"/>
    <w:rsid w:val="07D95EC0"/>
    <w:rsid w:val="07D97448"/>
    <w:rsid w:val="07E39BDB"/>
    <w:rsid w:val="08011FF2"/>
    <w:rsid w:val="0816A145"/>
    <w:rsid w:val="0833D53F"/>
    <w:rsid w:val="08436203"/>
    <w:rsid w:val="085E2289"/>
    <w:rsid w:val="08635A21"/>
    <w:rsid w:val="0865EB7D"/>
    <w:rsid w:val="0871139C"/>
    <w:rsid w:val="089ACE77"/>
    <w:rsid w:val="08A4705A"/>
    <w:rsid w:val="08BD7D33"/>
    <w:rsid w:val="08D5D0D0"/>
    <w:rsid w:val="08EAB890"/>
    <w:rsid w:val="08F965D1"/>
    <w:rsid w:val="08F9AA72"/>
    <w:rsid w:val="08FF0E0F"/>
    <w:rsid w:val="0903128F"/>
    <w:rsid w:val="0907CB9B"/>
    <w:rsid w:val="09135FAE"/>
    <w:rsid w:val="09199EE9"/>
    <w:rsid w:val="091C2980"/>
    <w:rsid w:val="09362609"/>
    <w:rsid w:val="095FBA54"/>
    <w:rsid w:val="0968A853"/>
    <w:rsid w:val="097B1E53"/>
    <w:rsid w:val="099AA2D1"/>
    <w:rsid w:val="099B60BC"/>
    <w:rsid w:val="099FE986"/>
    <w:rsid w:val="09A1766C"/>
    <w:rsid w:val="09BB2C13"/>
    <w:rsid w:val="09BCA8B9"/>
    <w:rsid w:val="09BF288B"/>
    <w:rsid w:val="09DE51DD"/>
    <w:rsid w:val="09FABF76"/>
    <w:rsid w:val="0A06FA38"/>
    <w:rsid w:val="0A159484"/>
    <w:rsid w:val="0A4854A5"/>
    <w:rsid w:val="0A51D9F9"/>
    <w:rsid w:val="0A7FBBB4"/>
    <w:rsid w:val="0A883387"/>
    <w:rsid w:val="0A8B485E"/>
    <w:rsid w:val="0A8D856E"/>
    <w:rsid w:val="0A97434F"/>
    <w:rsid w:val="0AA01048"/>
    <w:rsid w:val="0AB37983"/>
    <w:rsid w:val="0AE911E3"/>
    <w:rsid w:val="0AEB0313"/>
    <w:rsid w:val="0B01A797"/>
    <w:rsid w:val="0B0933E1"/>
    <w:rsid w:val="0B20B53F"/>
    <w:rsid w:val="0B22C120"/>
    <w:rsid w:val="0B37630A"/>
    <w:rsid w:val="0B3DD3DE"/>
    <w:rsid w:val="0B5503A3"/>
    <w:rsid w:val="0B65F1E4"/>
    <w:rsid w:val="0B6E6475"/>
    <w:rsid w:val="0B8CBE6A"/>
    <w:rsid w:val="0BA4D468"/>
    <w:rsid w:val="0BB159CC"/>
    <w:rsid w:val="0BCEFFDF"/>
    <w:rsid w:val="0BD070FA"/>
    <w:rsid w:val="0BDE05FB"/>
    <w:rsid w:val="0BF0073F"/>
    <w:rsid w:val="0BF4F2BE"/>
    <w:rsid w:val="0C01834C"/>
    <w:rsid w:val="0C01C476"/>
    <w:rsid w:val="0C025E84"/>
    <w:rsid w:val="0C1D3E1A"/>
    <w:rsid w:val="0C29FE96"/>
    <w:rsid w:val="0C2A4D29"/>
    <w:rsid w:val="0C46234C"/>
    <w:rsid w:val="0C476DC4"/>
    <w:rsid w:val="0C641D99"/>
    <w:rsid w:val="0C895D79"/>
    <w:rsid w:val="0C8F5FE7"/>
    <w:rsid w:val="0CA19F75"/>
    <w:rsid w:val="0CA6FE1A"/>
    <w:rsid w:val="0CB9EF82"/>
    <w:rsid w:val="0CD3CE7A"/>
    <w:rsid w:val="0CD95454"/>
    <w:rsid w:val="0CDC7BF1"/>
    <w:rsid w:val="0CE66CB2"/>
    <w:rsid w:val="0CE7BDF5"/>
    <w:rsid w:val="0CFEC608"/>
    <w:rsid w:val="0D0D71D8"/>
    <w:rsid w:val="0D1AD5C9"/>
    <w:rsid w:val="0D2E1BDF"/>
    <w:rsid w:val="0D31F3E8"/>
    <w:rsid w:val="0D405C4A"/>
    <w:rsid w:val="0D498D9A"/>
    <w:rsid w:val="0D54BE4F"/>
    <w:rsid w:val="0D76501A"/>
    <w:rsid w:val="0D86F1B8"/>
    <w:rsid w:val="0D8938DD"/>
    <w:rsid w:val="0D9A9126"/>
    <w:rsid w:val="0DAD10BC"/>
    <w:rsid w:val="0DC62245"/>
    <w:rsid w:val="0DCB1BE5"/>
    <w:rsid w:val="0DD010BC"/>
    <w:rsid w:val="0DD562F9"/>
    <w:rsid w:val="0DE00103"/>
    <w:rsid w:val="0DE201CA"/>
    <w:rsid w:val="0DE869B8"/>
    <w:rsid w:val="0DF1161C"/>
    <w:rsid w:val="0DF4E68F"/>
    <w:rsid w:val="0E04FDA5"/>
    <w:rsid w:val="0E0BA4FF"/>
    <w:rsid w:val="0E1D9D87"/>
    <w:rsid w:val="0E1E3732"/>
    <w:rsid w:val="0E1EBA55"/>
    <w:rsid w:val="0E1F60D8"/>
    <w:rsid w:val="0E2DEE08"/>
    <w:rsid w:val="0E2FE6DC"/>
    <w:rsid w:val="0E39370C"/>
    <w:rsid w:val="0E3C9786"/>
    <w:rsid w:val="0E50216C"/>
    <w:rsid w:val="0E562471"/>
    <w:rsid w:val="0E9019DC"/>
    <w:rsid w:val="0EA82B16"/>
    <w:rsid w:val="0EB4B888"/>
    <w:rsid w:val="0EEACECE"/>
    <w:rsid w:val="0EF45A97"/>
    <w:rsid w:val="0F072EDA"/>
    <w:rsid w:val="0F2D0629"/>
    <w:rsid w:val="0F49EF22"/>
    <w:rsid w:val="0F681830"/>
    <w:rsid w:val="0F7A0F1C"/>
    <w:rsid w:val="0F7E38F1"/>
    <w:rsid w:val="0F884CC5"/>
    <w:rsid w:val="0FA4223C"/>
    <w:rsid w:val="0FAE0E63"/>
    <w:rsid w:val="0FB33E31"/>
    <w:rsid w:val="0FB3F061"/>
    <w:rsid w:val="0FC1DD47"/>
    <w:rsid w:val="0FCCEDF7"/>
    <w:rsid w:val="0FD26D44"/>
    <w:rsid w:val="0FE39268"/>
    <w:rsid w:val="0FE48CB4"/>
    <w:rsid w:val="100F283E"/>
    <w:rsid w:val="10168431"/>
    <w:rsid w:val="1026E857"/>
    <w:rsid w:val="102E571B"/>
    <w:rsid w:val="103746F2"/>
    <w:rsid w:val="10375AD3"/>
    <w:rsid w:val="10544580"/>
    <w:rsid w:val="1059B1C5"/>
    <w:rsid w:val="105A74F4"/>
    <w:rsid w:val="1069082B"/>
    <w:rsid w:val="10713ABA"/>
    <w:rsid w:val="1074393E"/>
    <w:rsid w:val="10779D64"/>
    <w:rsid w:val="107C5776"/>
    <w:rsid w:val="107CE71F"/>
    <w:rsid w:val="1084F4B5"/>
    <w:rsid w:val="10B45AD8"/>
    <w:rsid w:val="10BA1841"/>
    <w:rsid w:val="10C915FC"/>
    <w:rsid w:val="10DB1231"/>
    <w:rsid w:val="111638A9"/>
    <w:rsid w:val="112C8751"/>
    <w:rsid w:val="1150E153"/>
    <w:rsid w:val="1154A1B7"/>
    <w:rsid w:val="1161B645"/>
    <w:rsid w:val="1168C243"/>
    <w:rsid w:val="11698218"/>
    <w:rsid w:val="116B0FE0"/>
    <w:rsid w:val="1177090B"/>
    <w:rsid w:val="117C5DE5"/>
    <w:rsid w:val="11A30C7A"/>
    <w:rsid w:val="11A989C2"/>
    <w:rsid w:val="11C3CECD"/>
    <w:rsid w:val="11C9DA77"/>
    <w:rsid w:val="11E1EAF2"/>
    <w:rsid w:val="11EBBE86"/>
    <w:rsid w:val="11EC1715"/>
    <w:rsid w:val="1202C984"/>
    <w:rsid w:val="121921C8"/>
    <w:rsid w:val="121F82CA"/>
    <w:rsid w:val="1220C516"/>
    <w:rsid w:val="1228A13B"/>
    <w:rsid w:val="1239485A"/>
    <w:rsid w:val="124DA3EB"/>
    <w:rsid w:val="124E3887"/>
    <w:rsid w:val="1252D164"/>
    <w:rsid w:val="1254B145"/>
    <w:rsid w:val="125C0EE9"/>
    <w:rsid w:val="125D3F18"/>
    <w:rsid w:val="126A989B"/>
    <w:rsid w:val="127FB39A"/>
    <w:rsid w:val="12806C10"/>
    <w:rsid w:val="1288B826"/>
    <w:rsid w:val="128FABBF"/>
    <w:rsid w:val="129137DD"/>
    <w:rsid w:val="12BA362A"/>
    <w:rsid w:val="12CA9A80"/>
    <w:rsid w:val="12E351A4"/>
    <w:rsid w:val="12E627D1"/>
    <w:rsid w:val="12F36BF4"/>
    <w:rsid w:val="12F6000F"/>
    <w:rsid w:val="12F63D03"/>
    <w:rsid w:val="12FA00D6"/>
    <w:rsid w:val="1314D6E5"/>
    <w:rsid w:val="13328F59"/>
    <w:rsid w:val="1334F9A3"/>
    <w:rsid w:val="13496A7F"/>
    <w:rsid w:val="134F7BAC"/>
    <w:rsid w:val="13638AFF"/>
    <w:rsid w:val="136B6A94"/>
    <w:rsid w:val="136FE3B2"/>
    <w:rsid w:val="137A33EB"/>
    <w:rsid w:val="137B812C"/>
    <w:rsid w:val="139215B6"/>
    <w:rsid w:val="1393A8BD"/>
    <w:rsid w:val="13992961"/>
    <w:rsid w:val="13A933C5"/>
    <w:rsid w:val="13AC9ACC"/>
    <w:rsid w:val="13C2654E"/>
    <w:rsid w:val="13E33437"/>
    <w:rsid w:val="13E44B57"/>
    <w:rsid w:val="1401D24D"/>
    <w:rsid w:val="1402BCB6"/>
    <w:rsid w:val="14057B0E"/>
    <w:rsid w:val="140B20AF"/>
    <w:rsid w:val="141E445C"/>
    <w:rsid w:val="14244CF1"/>
    <w:rsid w:val="142607BD"/>
    <w:rsid w:val="143461BE"/>
    <w:rsid w:val="1436D71C"/>
    <w:rsid w:val="144AC96A"/>
    <w:rsid w:val="144C2362"/>
    <w:rsid w:val="14528392"/>
    <w:rsid w:val="1458D8BF"/>
    <w:rsid w:val="145EA6FB"/>
    <w:rsid w:val="145EC280"/>
    <w:rsid w:val="145F9FEE"/>
    <w:rsid w:val="1470C7C6"/>
    <w:rsid w:val="147C29B9"/>
    <w:rsid w:val="14903837"/>
    <w:rsid w:val="149889C4"/>
    <w:rsid w:val="1498AB65"/>
    <w:rsid w:val="1567F374"/>
    <w:rsid w:val="156BFE59"/>
    <w:rsid w:val="15730B76"/>
    <w:rsid w:val="1588842F"/>
    <w:rsid w:val="159CBA92"/>
    <w:rsid w:val="15AE735B"/>
    <w:rsid w:val="15BBE5AF"/>
    <w:rsid w:val="15CCF61D"/>
    <w:rsid w:val="15E1FBEC"/>
    <w:rsid w:val="15E9AE48"/>
    <w:rsid w:val="15F72692"/>
    <w:rsid w:val="15FEF7DF"/>
    <w:rsid w:val="15FFF874"/>
    <w:rsid w:val="160292C2"/>
    <w:rsid w:val="160F87F0"/>
    <w:rsid w:val="1630A81C"/>
    <w:rsid w:val="163E2DE2"/>
    <w:rsid w:val="164B5D65"/>
    <w:rsid w:val="164BBC92"/>
    <w:rsid w:val="165494F3"/>
    <w:rsid w:val="166A4642"/>
    <w:rsid w:val="16937F39"/>
    <w:rsid w:val="16A753E7"/>
    <w:rsid w:val="16B08E1B"/>
    <w:rsid w:val="16E37F68"/>
    <w:rsid w:val="16E73E90"/>
    <w:rsid w:val="170396E1"/>
    <w:rsid w:val="1704E4B5"/>
    <w:rsid w:val="17352006"/>
    <w:rsid w:val="173A9F39"/>
    <w:rsid w:val="174560ED"/>
    <w:rsid w:val="17487286"/>
    <w:rsid w:val="174C786C"/>
    <w:rsid w:val="176B970D"/>
    <w:rsid w:val="176D7777"/>
    <w:rsid w:val="1776D434"/>
    <w:rsid w:val="177B7D41"/>
    <w:rsid w:val="17806E28"/>
    <w:rsid w:val="17A81E8B"/>
    <w:rsid w:val="17C648FC"/>
    <w:rsid w:val="17CF50F7"/>
    <w:rsid w:val="17DD4425"/>
    <w:rsid w:val="17EA35A1"/>
    <w:rsid w:val="182191DC"/>
    <w:rsid w:val="1822ECCF"/>
    <w:rsid w:val="1823A7EC"/>
    <w:rsid w:val="1827628D"/>
    <w:rsid w:val="1829307A"/>
    <w:rsid w:val="1846EB5F"/>
    <w:rsid w:val="1858F811"/>
    <w:rsid w:val="185ACD3F"/>
    <w:rsid w:val="186AEC62"/>
    <w:rsid w:val="188E6DC1"/>
    <w:rsid w:val="18A1FE66"/>
    <w:rsid w:val="18C35C97"/>
    <w:rsid w:val="18CDDA6E"/>
    <w:rsid w:val="18E244CB"/>
    <w:rsid w:val="18E2602F"/>
    <w:rsid w:val="18E6C53F"/>
    <w:rsid w:val="192ABF15"/>
    <w:rsid w:val="1938F1FD"/>
    <w:rsid w:val="193A3384"/>
    <w:rsid w:val="193A5C29"/>
    <w:rsid w:val="193D679E"/>
    <w:rsid w:val="19642D9B"/>
    <w:rsid w:val="198889A8"/>
    <w:rsid w:val="1992B5D0"/>
    <w:rsid w:val="19A274BF"/>
    <w:rsid w:val="19A7BC09"/>
    <w:rsid w:val="19C7EDDB"/>
    <w:rsid w:val="19CC2A99"/>
    <w:rsid w:val="19FB5979"/>
    <w:rsid w:val="19FC4481"/>
    <w:rsid w:val="1A06C8FF"/>
    <w:rsid w:val="1A130EFE"/>
    <w:rsid w:val="1A1D3DD2"/>
    <w:rsid w:val="1A231722"/>
    <w:rsid w:val="1A25E417"/>
    <w:rsid w:val="1A2C4764"/>
    <w:rsid w:val="1A33E44A"/>
    <w:rsid w:val="1A3411D3"/>
    <w:rsid w:val="1A3B2EDD"/>
    <w:rsid w:val="1A74FBCF"/>
    <w:rsid w:val="1A7B7169"/>
    <w:rsid w:val="1A88A079"/>
    <w:rsid w:val="1A89C978"/>
    <w:rsid w:val="1A8D5943"/>
    <w:rsid w:val="1A93CB07"/>
    <w:rsid w:val="1A96FC65"/>
    <w:rsid w:val="1AA266DC"/>
    <w:rsid w:val="1AD1D060"/>
    <w:rsid w:val="1AD603E5"/>
    <w:rsid w:val="1ADF6BDA"/>
    <w:rsid w:val="1B06164D"/>
    <w:rsid w:val="1B1A468F"/>
    <w:rsid w:val="1B23DFA6"/>
    <w:rsid w:val="1B29C045"/>
    <w:rsid w:val="1B3C0EB4"/>
    <w:rsid w:val="1B47A2A5"/>
    <w:rsid w:val="1B887381"/>
    <w:rsid w:val="1BA20B5D"/>
    <w:rsid w:val="1BA3A504"/>
    <w:rsid w:val="1BA815CD"/>
    <w:rsid w:val="1BBA4787"/>
    <w:rsid w:val="1BD6FF3E"/>
    <w:rsid w:val="1BD8EFBE"/>
    <w:rsid w:val="1BE840F2"/>
    <w:rsid w:val="1BEEFA29"/>
    <w:rsid w:val="1BFA9F87"/>
    <w:rsid w:val="1C01D498"/>
    <w:rsid w:val="1C03682F"/>
    <w:rsid w:val="1C050D60"/>
    <w:rsid w:val="1C37486A"/>
    <w:rsid w:val="1C4FA63A"/>
    <w:rsid w:val="1C537109"/>
    <w:rsid w:val="1C60EC68"/>
    <w:rsid w:val="1C648670"/>
    <w:rsid w:val="1C68CA3C"/>
    <w:rsid w:val="1C785139"/>
    <w:rsid w:val="1C7DFC3F"/>
    <w:rsid w:val="1C846A26"/>
    <w:rsid w:val="1CB192D4"/>
    <w:rsid w:val="1CB50F10"/>
    <w:rsid w:val="1CB66638"/>
    <w:rsid w:val="1CC4A3B3"/>
    <w:rsid w:val="1CCDD0D0"/>
    <w:rsid w:val="1CCEA7FC"/>
    <w:rsid w:val="1CD086B6"/>
    <w:rsid w:val="1CE63C03"/>
    <w:rsid w:val="1CEA24FF"/>
    <w:rsid w:val="1D018896"/>
    <w:rsid w:val="1D034E91"/>
    <w:rsid w:val="1D1BCD0C"/>
    <w:rsid w:val="1D2934AA"/>
    <w:rsid w:val="1D2D247C"/>
    <w:rsid w:val="1D3EBEA7"/>
    <w:rsid w:val="1D59A742"/>
    <w:rsid w:val="1D608F2E"/>
    <w:rsid w:val="1D83383C"/>
    <w:rsid w:val="1D842F06"/>
    <w:rsid w:val="1D8CF9F4"/>
    <w:rsid w:val="1D9A2AFF"/>
    <w:rsid w:val="1DC4C5D3"/>
    <w:rsid w:val="1DC920B9"/>
    <w:rsid w:val="1DCFBF7D"/>
    <w:rsid w:val="1DDB156A"/>
    <w:rsid w:val="1DECDF5A"/>
    <w:rsid w:val="1DF6FEDD"/>
    <w:rsid w:val="1E16BED2"/>
    <w:rsid w:val="1E2AC8D0"/>
    <w:rsid w:val="1E2AE44F"/>
    <w:rsid w:val="1E345BAC"/>
    <w:rsid w:val="1E400C6E"/>
    <w:rsid w:val="1E426476"/>
    <w:rsid w:val="1E5EAF53"/>
    <w:rsid w:val="1E747651"/>
    <w:rsid w:val="1E83357C"/>
    <w:rsid w:val="1E935D41"/>
    <w:rsid w:val="1EB1982D"/>
    <w:rsid w:val="1EB22CE5"/>
    <w:rsid w:val="1EB5FC32"/>
    <w:rsid w:val="1EBD9F9B"/>
    <w:rsid w:val="1ED7C2C0"/>
    <w:rsid w:val="1EFB71EE"/>
    <w:rsid w:val="1F0F0499"/>
    <w:rsid w:val="1F21E92D"/>
    <w:rsid w:val="1F34EED8"/>
    <w:rsid w:val="1F38EACF"/>
    <w:rsid w:val="1F79D265"/>
    <w:rsid w:val="1F860BA3"/>
    <w:rsid w:val="1F8A7B58"/>
    <w:rsid w:val="1F8F99B0"/>
    <w:rsid w:val="1F918A2E"/>
    <w:rsid w:val="1F9D6A86"/>
    <w:rsid w:val="1FA53FF5"/>
    <w:rsid w:val="1FACFDA4"/>
    <w:rsid w:val="1FB3DEDC"/>
    <w:rsid w:val="1FBB49AC"/>
    <w:rsid w:val="1FC3BF81"/>
    <w:rsid w:val="1FD36666"/>
    <w:rsid w:val="1FE59729"/>
    <w:rsid w:val="200D1171"/>
    <w:rsid w:val="20152A2A"/>
    <w:rsid w:val="2038A875"/>
    <w:rsid w:val="203D7D79"/>
    <w:rsid w:val="2044AE4C"/>
    <w:rsid w:val="206A5715"/>
    <w:rsid w:val="206FBD85"/>
    <w:rsid w:val="2073C02F"/>
    <w:rsid w:val="208C915C"/>
    <w:rsid w:val="208DCD59"/>
    <w:rsid w:val="209767AB"/>
    <w:rsid w:val="209F32AC"/>
    <w:rsid w:val="20B0CB0C"/>
    <w:rsid w:val="21024C11"/>
    <w:rsid w:val="21480FAC"/>
    <w:rsid w:val="215B796C"/>
    <w:rsid w:val="21640F4E"/>
    <w:rsid w:val="21782811"/>
    <w:rsid w:val="217CD4CA"/>
    <w:rsid w:val="21838DBB"/>
    <w:rsid w:val="218C311B"/>
    <w:rsid w:val="218D1F3A"/>
    <w:rsid w:val="218DA0AC"/>
    <w:rsid w:val="2193F870"/>
    <w:rsid w:val="21A39DAA"/>
    <w:rsid w:val="21A83CD1"/>
    <w:rsid w:val="21B483F6"/>
    <w:rsid w:val="21C361D4"/>
    <w:rsid w:val="21C729D1"/>
    <w:rsid w:val="21CAFDA5"/>
    <w:rsid w:val="21F448A4"/>
    <w:rsid w:val="220D1A1C"/>
    <w:rsid w:val="221B8655"/>
    <w:rsid w:val="2227F642"/>
    <w:rsid w:val="222D15D6"/>
    <w:rsid w:val="223FC919"/>
    <w:rsid w:val="2261B1A5"/>
    <w:rsid w:val="226B5E3B"/>
    <w:rsid w:val="22722CF6"/>
    <w:rsid w:val="22767040"/>
    <w:rsid w:val="227FC13D"/>
    <w:rsid w:val="2282CAF9"/>
    <w:rsid w:val="228FF35A"/>
    <w:rsid w:val="22BFF3DA"/>
    <w:rsid w:val="22C3C0E4"/>
    <w:rsid w:val="22CA2D74"/>
    <w:rsid w:val="22CC67EA"/>
    <w:rsid w:val="22CF1F38"/>
    <w:rsid w:val="22FC474E"/>
    <w:rsid w:val="231D5DF5"/>
    <w:rsid w:val="2324871C"/>
    <w:rsid w:val="2340C9A1"/>
    <w:rsid w:val="2345985B"/>
    <w:rsid w:val="23593726"/>
    <w:rsid w:val="2371F59C"/>
    <w:rsid w:val="237502A8"/>
    <w:rsid w:val="2380727E"/>
    <w:rsid w:val="23825D6A"/>
    <w:rsid w:val="239CD0AB"/>
    <w:rsid w:val="23A69E3C"/>
    <w:rsid w:val="23A7651D"/>
    <w:rsid w:val="23A76B06"/>
    <w:rsid w:val="23C8E8C6"/>
    <w:rsid w:val="23D6D1A0"/>
    <w:rsid w:val="23E2650D"/>
    <w:rsid w:val="23E26EF4"/>
    <w:rsid w:val="23EF238F"/>
    <w:rsid w:val="23F77F53"/>
    <w:rsid w:val="23FBEF7A"/>
    <w:rsid w:val="24212B52"/>
    <w:rsid w:val="24423DBE"/>
    <w:rsid w:val="2448D655"/>
    <w:rsid w:val="2465289D"/>
    <w:rsid w:val="247F2F27"/>
    <w:rsid w:val="24A9A731"/>
    <w:rsid w:val="24AD0365"/>
    <w:rsid w:val="24B56538"/>
    <w:rsid w:val="24B6728E"/>
    <w:rsid w:val="24D2120F"/>
    <w:rsid w:val="24DAC85B"/>
    <w:rsid w:val="24DE3287"/>
    <w:rsid w:val="24FC0E05"/>
    <w:rsid w:val="2507B378"/>
    <w:rsid w:val="2514846D"/>
    <w:rsid w:val="2517A5C3"/>
    <w:rsid w:val="251BBB51"/>
    <w:rsid w:val="2523927D"/>
    <w:rsid w:val="25243F93"/>
    <w:rsid w:val="25283B63"/>
    <w:rsid w:val="252F4324"/>
    <w:rsid w:val="25350025"/>
    <w:rsid w:val="255C10BD"/>
    <w:rsid w:val="2566298A"/>
    <w:rsid w:val="2582BA4D"/>
    <w:rsid w:val="2589566B"/>
    <w:rsid w:val="259ED261"/>
    <w:rsid w:val="25E27576"/>
    <w:rsid w:val="25E34F78"/>
    <w:rsid w:val="261E683A"/>
    <w:rsid w:val="26300FF8"/>
    <w:rsid w:val="26333609"/>
    <w:rsid w:val="263A6D9B"/>
    <w:rsid w:val="264DB84E"/>
    <w:rsid w:val="266F6D3E"/>
    <w:rsid w:val="26707222"/>
    <w:rsid w:val="268D9A9F"/>
    <w:rsid w:val="26A2B769"/>
    <w:rsid w:val="26A9D55A"/>
    <w:rsid w:val="26D6C4D3"/>
    <w:rsid w:val="26FDE433"/>
    <w:rsid w:val="2709EE04"/>
    <w:rsid w:val="271AF5A6"/>
    <w:rsid w:val="271B8E43"/>
    <w:rsid w:val="27225FB2"/>
    <w:rsid w:val="273075AB"/>
    <w:rsid w:val="27516A3C"/>
    <w:rsid w:val="2761C59D"/>
    <w:rsid w:val="276B00AD"/>
    <w:rsid w:val="27812335"/>
    <w:rsid w:val="27895B3A"/>
    <w:rsid w:val="278C7B11"/>
    <w:rsid w:val="278E5537"/>
    <w:rsid w:val="2793D7A7"/>
    <w:rsid w:val="27955250"/>
    <w:rsid w:val="27B1B98B"/>
    <w:rsid w:val="27C8AE88"/>
    <w:rsid w:val="27CD1981"/>
    <w:rsid w:val="27CDB5B1"/>
    <w:rsid w:val="27D18CA8"/>
    <w:rsid w:val="27D2BCA6"/>
    <w:rsid w:val="27DA1C40"/>
    <w:rsid w:val="27E4F499"/>
    <w:rsid w:val="27FB2CA6"/>
    <w:rsid w:val="280DA6E2"/>
    <w:rsid w:val="280F833B"/>
    <w:rsid w:val="2833A619"/>
    <w:rsid w:val="283AC6FE"/>
    <w:rsid w:val="283D19BD"/>
    <w:rsid w:val="28426624"/>
    <w:rsid w:val="2859A64F"/>
    <w:rsid w:val="287E4F49"/>
    <w:rsid w:val="287EB512"/>
    <w:rsid w:val="28A1CF04"/>
    <w:rsid w:val="28B4FC80"/>
    <w:rsid w:val="28CAC1FF"/>
    <w:rsid w:val="28D1B551"/>
    <w:rsid w:val="28D46CDD"/>
    <w:rsid w:val="28E2E4B2"/>
    <w:rsid w:val="28EAEC95"/>
    <w:rsid w:val="28ED103A"/>
    <w:rsid w:val="28EE3878"/>
    <w:rsid w:val="28EEEFF9"/>
    <w:rsid w:val="2906DD71"/>
    <w:rsid w:val="29580F7B"/>
    <w:rsid w:val="295EE88E"/>
    <w:rsid w:val="2979A02A"/>
    <w:rsid w:val="2987D0BC"/>
    <w:rsid w:val="2992A1BA"/>
    <w:rsid w:val="299A7F69"/>
    <w:rsid w:val="299A8A4F"/>
    <w:rsid w:val="299CB46E"/>
    <w:rsid w:val="29A81ED0"/>
    <w:rsid w:val="29AA2ECA"/>
    <w:rsid w:val="29ABABEB"/>
    <w:rsid w:val="29D8BE97"/>
    <w:rsid w:val="29DCBF24"/>
    <w:rsid w:val="29E2A057"/>
    <w:rsid w:val="2A0E722B"/>
    <w:rsid w:val="2A0FE6E9"/>
    <w:rsid w:val="2A244576"/>
    <w:rsid w:val="2A338CB1"/>
    <w:rsid w:val="2A363873"/>
    <w:rsid w:val="2A3CA9C4"/>
    <w:rsid w:val="2A3CF0A2"/>
    <w:rsid w:val="2A3D51E7"/>
    <w:rsid w:val="2A40B94B"/>
    <w:rsid w:val="2A63053C"/>
    <w:rsid w:val="2A6976A2"/>
    <w:rsid w:val="2A91103D"/>
    <w:rsid w:val="2ABC3231"/>
    <w:rsid w:val="2AC3E674"/>
    <w:rsid w:val="2ADD60E9"/>
    <w:rsid w:val="2AE1BFBF"/>
    <w:rsid w:val="2AE4C1B3"/>
    <w:rsid w:val="2AFF2309"/>
    <w:rsid w:val="2B10D9F5"/>
    <w:rsid w:val="2B163185"/>
    <w:rsid w:val="2B5052D2"/>
    <w:rsid w:val="2B6A34D2"/>
    <w:rsid w:val="2B95D01A"/>
    <w:rsid w:val="2B9CC666"/>
    <w:rsid w:val="2BAA8ACE"/>
    <w:rsid w:val="2BAB4354"/>
    <w:rsid w:val="2BB14C14"/>
    <w:rsid w:val="2BBE5ED3"/>
    <w:rsid w:val="2BBEBAEC"/>
    <w:rsid w:val="2BBED6A1"/>
    <w:rsid w:val="2BBEF619"/>
    <w:rsid w:val="2BCB2596"/>
    <w:rsid w:val="2BE26216"/>
    <w:rsid w:val="2C048D6A"/>
    <w:rsid w:val="2C07F7F0"/>
    <w:rsid w:val="2C16783F"/>
    <w:rsid w:val="2C240CE0"/>
    <w:rsid w:val="2C463279"/>
    <w:rsid w:val="2C5F9917"/>
    <w:rsid w:val="2C7979DF"/>
    <w:rsid w:val="2C904B7F"/>
    <w:rsid w:val="2CAB6E13"/>
    <w:rsid w:val="2CB3F8C2"/>
    <w:rsid w:val="2CB865BC"/>
    <w:rsid w:val="2CC987C8"/>
    <w:rsid w:val="2CCC907E"/>
    <w:rsid w:val="2CDA7C20"/>
    <w:rsid w:val="2CDB30C0"/>
    <w:rsid w:val="2CE9FC54"/>
    <w:rsid w:val="2CEC6E10"/>
    <w:rsid w:val="2D08EDC9"/>
    <w:rsid w:val="2D1E27EF"/>
    <w:rsid w:val="2D383183"/>
    <w:rsid w:val="2D3C9C6B"/>
    <w:rsid w:val="2D5186E4"/>
    <w:rsid w:val="2D5B5DBC"/>
    <w:rsid w:val="2D5D77A0"/>
    <w:rsid w:val="2D62E20E"/>
    <w:rsid w:val="2D69B6BC"/>
    <w:rsid w:val="2D715EDA"/>
    <w:rsid w:val="2D7C3B38"/>
    <w:rsid w:val="2D8CD81E"/>
    <w:rsid w:val="2D9147F7"/>
    <w:rsid w:val="2D93C559"/>
    <w:rsid w:val="2D957F56"/>
    <w:rsid w:val="2DA45290"/>
    <w:rsid w:val="2DAEC08C"/>
    <w:rsid w:val="2DC8AF66"/>
    <w:rsid w:val="2DD1237B"/>
    <w:rsid w:val="2DE7247A"/>
    <w:rsid w:val="2E08AE27"/>
    <w:rsid w:val="2E1F2E31"/>
    <w:rsid w:val="2E2EE510"/>
    <w:rsid w:val="2E30BD5A"/>
    <w:rsid w:val="2E340DE6"/>
    <w:rsid w:val="2E34735B"/>
    <w:rsid w:val="2E353845"/>
    <w:rsid w:val="2E51DE0B"/>
    <w:rsid w:val="2E8172A0"/>
    <w:rsid w:val="2E91FE3C"/>
    <w:rsid w:val="2E9933D1"/>
    <w:rsid w:val="2E9F8B19"/>
    <w:rsid w:val="2EA3B021"/>
    <w:rsid w:val="2EC06AF8"/>
    <w:rsid w:val="2EC242CA"/>
    <w:rsid w:val="2ECA407F"/>
    <w:rsid w:val="2ED31463"/>
    <w:rsid w:val="2ED78C4D"/>
    <w:rsid w:val="2EED28D1"/>
    <w:rsid w:val="2EEE5915"/>
    <w:rsid w:val="2EF79A91"/>
    <w:rsid w:val="2F05B66B"/>
    <w:rsid w:val="2F0F9E83"/>
    <w:rsid w:val="2F1362A2"/>
    <w:rsid w:val="2F155B06"/>
    <w:rsid w:val="2F5017ED"/>
    <w:rsid w:val="2F53977E"/>
    <w:rsid w:val="2F5E59A4"/>
    <w:rsid w:val="2F76DA29"/>
    <w:rsid w:val="2F80948D"/>
    <w:rsid w:val="2F8982E1"/>
    <w:rsid w:val="2F9EBB0E"/>
    <w:rsid w:val="2FBDD81A"/>
    <w:rsid w:val="2FD07027"/>
    <w:rsid w:val="2FFB4C47"/>
    <w:rsid w:val="2FFECE45"/>
    <w:rsid w:val="30093745"/>
    <w:rsid w:val="300B848A"/>
    <w:rsid w:val="3010E095"/>
    <w:rsid w:val="301C06B0"/>
    <w:rsid w:val="302ED7EB"/>
    <w:rsid w:val="3046A74A"/>
    <w:rsid w:val="3048D1E6"/>
    <w:rsid w:val="304B35C8"/>
    <w:rsid w:val="304B9585"/>
    <w:rsid w:val="30584B78"/>
    <w:rsid w:val="305A0B24"/>
    <w:rsid w:val="3066DAAD"/>
    <w:rsid w:val="30853990"/>
    <w:rsid w:val="309309C9"/>
    <w:rsid w:val="30A34A63"/>
    <w:rsid w:val="30A34C32"/>
    <w:rsid w:val="30B8CBF9"/>
    <w:rsid w:val="30D2B959"/>
    <w:rsid w:val="30DEDDB3"/>
    <w:rsid w:val="310D8944"/>
    <w:rsid w:val="310DC4CA"/>
    <w:rsid w:val="31256420"/>
    <w:rsid w:val="31264AF5"/>
    <w:rsid w:val="31395C22"/>
    <w:rsid w:val="313A2B72"/>
    <w:rsid w:val="3186450B"/>
    <w:rsid w:val="31935A2C"/>
    <w:rsid w:val="31AAE961"/>
    <w:rsid w:val="31B5CDF5"/>
    <w:rsid w:val="31B8A98C"/>
    <w:rsid w:val="31BA85DE"/>
    <w:rsid w:val="31CC1D3E"/>
    <w:rsid w:val="31CD0EE0"/>
    <w:rsid w:val="31FC654F"/>
    <w:rsid w:val="3200E9C3"/>
    <w:rsid w:val="32058276"/>
    <w:rsid w:val="32172BD4"/>
    <w:rsid w:val="32218D74"/>
    <w:rsid w:val="32430707"/>
    <w:rsid w:val="32480287"/>
    <w:rsid w:val="326A9BC7"/>
    <w:rsid w:val="326D350F"/>
    <w:rsid w:val="326E9890"/>
    <w:rsid w:val="32795602"/>
    <w:rsid w:val="32804BBA"/>
    <w:rsid w:val="32819CF2"/>
    <w:rsid w:val="32946F80"/>
    <w:rsid w:val="329E9E5C"/>
    <w:rsid w:val="32A91DA7"/>
    <w:rsid w:val="32CE9CC8"/>
    <w:rsid w:val="32DFCEE5"/>
    <w:rsid w:val="32F1BB8E"/>
    <w:rsid w:val="32F7E184"/>
    <w:rsid w:val="331255AD"/>
    <w:rsid w:val="333F4197"/>
    <w:rsid w:val="334DF7F5"/>
    <w:rsid w:val="33540054"/>
    <w:rsid w:val="33638A21"/>
    <w:rsid w:val="336973F2"/>
    <w:rsid w:val="33792E15"/>
    <w:rsid w:val="33848BC6"/>
    <w:rsid w:val="3386BE81"/>
    <w:rsid w:val="339BEDA8"/>
    <w:rsid w:val="33A64767"/>
    <w:rsid w:val="33ADAE99"/>
    <w:rsid w:val="33C90283"/>
    <w:rsid w:val="33FA7C3C"/>
    <w:rsid w:val="340F1F38"/>
    <w:rsid w:val="3435393F"/>
    <w:rsid w:val="34545C38"/>
    <w:rsid w:val="3462B791"/>
    <w:rsid w:val="3487D242"/>
    <w:rsid w:val="348A5EA5"/>
    <w:rsid w:val="348A7C35"/>
    <w:rsid w:val="348ED21E"/>
    <w:rsid w:val="34A6485A"/>
    <w:rsid w:val="34B9A726"/>
    <w:rsid w:val="34BD9A5C"/>
    <w:rsid w:val="34CBECF0"/>
    <w:rsid w:val="34D9A108"/>
    <w:rsid w:val="34E66625"/>
    <w:rsid w:val="34F566C4"/>
    <w:rsid w:val="34FF699B"/>
    <w:rsid w:val="350A6095"/>
    <w:rsid w:val="352B48CD"/>
    <w:rsid w:val="352CC82F"/>
    <w:rsid w:val="35446C03"/>
    <w:rsid w:val="354C1066"/>
    <w:rsid w:val="354C9940"/>
    <w:rsid w:val="35652374"/>
    <w:rsid w:val="356A0867"/>
    <w:rsid w:val="3570E7E3"/>
    <w:rsid w:val="358C384D"/>
    <w:rsid w:val="35952636"/>
    <w:rsid w:val="359F0FEE"/>
    <w:rsid w:val="35B84561"/>
    <w:rsid w:val="35D4EC02"/>
    <w:rsid w:val="35DE7C3C"/>
    <w:rsid w:val="35EF4A43"/>
    <w:rsid w:val="35F2AC8E"/>
    <w:rsid w:val="36040193"/>
    <w:rsid w:val="361B9FE4"/>
    <w:rsid w:val="36214787"/>
    <w:rsid w:val="363EEE7A"/>
    <w:rsid w:val="3654989A"/>
    <w:rsid w:val="367353E9"/>
    <w:rsid w:val="36904637"/>
    <w:rsid w:val="369886DC"/>
    <w:rsid w:val="36B6387E"/>
    <w:rsid w:val="36C5CCC3"/>
    <w:rsid w:val="36C76457"/>
    <w:rsid w:val="36FA09AC"/>
    <w:rsid w:val="372ED68C"/>
    <w:rsid w:val="372FABC5"/>
    <w:rsid w:val="37456F32"/>
    <w:rsid w:val="3749DB40"/>
    <w:rsid w:val="374F2C70"/>
    <w:rsid w:val="37569959"/>
    <w:rsid w:val="375BFE10"/>
    <w:rsid w:val="377C294B"/>
    <w:rsid w:val="377F8D51"/>
    <w:rsid w:val="378399B5"/>
    <w:rsid w:val="37A95899"/>
    <w:rsid w:val="37B1B46F"/>
    <w:rsid w:val="37BE2E37"/>
    <w:rsid w:val="37CBC4D1"/>
    <w:rsid w:val="37CE8B87"/>
    <w:rsid w:val="37D5A00C"/>
    <w:rsid w:val="37EDB0A8"/>
    <w:rsid w:val="37F6471D"/>
    <w:rsid w:val="38007EEB"/>
    <w:rsid w:val="38051AE9"/>
    <w:rsid w:val="38068A93"/>
    <w:rsid w:val="3811BA80"/>
    <w:rsid w:val="382991C7"/>
    <w:rsid w:val="382FE01D"/>
    <w:rsid w:val="38366961"/>
    <w:rsid w:val="3838E4E3"/>
    <w:rsid w:val="384D0C3B"/>
    <w:rsid w:val="386403CD"/>
    <w:rsid w:val="3866AEFB"/>
    <w:rsid w:val="38670ED0"/>
    <w:rsid w:val="3873610A"/>
    <w:rsid w:val="38739F4F"/>
    <w:rsid w:val="38779D53"/>
    <w:rsid w:val="389E1BAE"/>
    <w:rsid w:val="38D252C8"/>
    <w:rsid w:val="38D4FD2B"/>
    <w:rsid w:val="38FAE301"/>
    <w:rsid w:val="38FDF262"/>
    <w:rsid w:val="39136826"/>
    <w:rsid w:val="3916CA3C"/>
    <w:rsid w:val="391C0667"/>
    <w:rsid w:val="39220788"/>
    <w:rsid w:val="3923487C"/>
    <w:rsid w:val="3935D963"/>
    <w:rsid w:val="393C9CE3"/>
    <w:rsid w:val="393E109B"/>
    <w:rsid w:val="393FD72F"/>
    <w:rsid w:val="394998A5"/>
    <w:rsid w:val="39501D1E"/>
    <w:rsid w:val="39510DE6"/>
    <w:rsid w:val="395476B0"/>
    <w:rsid w:val="395EDF3B"/>
    <w:rsid w:val="39625E1C"/>
    <w:rsid w:val="397481B6"/>
    <w:rsid w:val="397C8695"/>
    <w:rsid w:val="398B881D"/>
    <w:rsid w:val="39965400"/>
    <w:rsid w:val="39A17903"/>
    <w:rsid w:val="39DF98BC"/>
    <w:rsid w:val="39E00D98"/>
    <w:rsid w:val="39E10A5C"/>
    <w:rsid w:val="39E18B04"/>
    <w:rsid w:val="39ED5518"/>
    <w:rsid w:val="39F61F74"/>
    <w:rsid w:val="3A0954F6"/>
    <w:rsid w:val="3A170C5F"/>
    <w:rsid w:val="3A1944B4"/>
    <w:rsid w:val="3A3DAE8E"/>
    <w:rsid w:val="3A41D564"/>
    <w:rsid w:val="3A4E2276"/>
    <w:rsid w:val="3A5D9574"/>
    <w:rsid w:val="3A69F060"/>
    <w:rsid w:val="3A6FA903"/>
    <w:rsid w:val="3A714A57"/>
    <w:rsid w:val="3A82EBC0"/>
    <w:rsid w:val="3A847D16"/>
    <w:rsid w:val="3A914B65"/>
    <w:rsid w:val="3AA41D7C"/>
    <w:rsid w:val="3AC226E5"/>
    <w:rsid w:val="3AE191CB"/>
    <w:rsid w:val="3AEF6ED3"/>
    <w:rsid w:val="3B0EF951"/>
    <w:rsid w:val="3B3F7096"/>
    <w:rsid w:val="3B49AC83"/>
    <w:rsid w:val="3B7246BD"/>
    <w:rsid w:val="3B903453"/>
    <w:rsid w:val="3B984743"/>
    <w:rsid w:val="3B9B728E"/>
    <w:rsid w:val="3B9F4123"/>
    <w:rsid w:val="3BA98D22"/>
    <w:rsid w:val="3BC29E61"/>
    <w:rsid w:val="3BE6AAE6"/>
    <w:rsid w:val="3BF8520D"/>
    <w:rsid w:val="3C00C21B"/>
    <w:rsid w:val="3C31DBE0"/>
    <w:rsid w:val="3C392F8E"/>
    <w:rsid w:val="3C4398E4"/>
    <w:rsid w:val="3C51CB62"/>
    <w:rsid w:val="3C526250"/>
    <w:rsid w:val="3C62776D"/>
    <w:rsid w:val="3C62C78E"/>
    <w:rsid w:val="3C6DD234"/>
    <w:rsid w:val="3C8102BE"/>
    <w:rsid w:val="3CBD61AE"/>
    <w:rsid w:val="3CC35093"/>
    <w:rsid w:val="3CC97F63"/>
    <w:rsid w:val="3CDE6C9B"/>
    <w:rsid w:val="3CDECB41"/>
    <w:rsid w:val="3CE36F6B"/>
    <w:rsid w:val="3D27B62C"/>
    <w:rsid w:val="3D2AB92F"/>
    <w:rsid w:val="3D565602"/>
    <w:rsid w:val="3D58072A"/>
    <w:rsid w:val="3D5B4DC2"/>
    <w:rsid w:val="3D64401B"/>
    <w:rsid w:val="3D6826FA"/>
    <w:rsid w:val="3D8C16C0"/>
    <w:rsid w:val="3D9F834B"/>
    <w:rsid w:val="3DAAE22C"/>
    <w:rsid w:val="3DB213ED"/>
    <w:rsid w:val="3DD36A65"/>
    <w:rsid w:val="3DD5D34C"/>
    <w:rsid w:val="3DDBE87C"/>
    <w:rsid w:val="3DE32C9B"/>
    <w:rsid w:val="3DE4BAF6"/>
    <w:rsid w:val="3DF05222"/>
    <w:rsid w:val="3DF167E8"/>
    <w:rsid w:val="3E052DA2"/>
    <w:rsid w:val="3E0E3D4C"/>
    <w:rsid w:val="3E193CF5"/>
    <w:rsid w:val="3E1BC352"/>
    <w:rsid w:val="3E231691"/>
    <w:rsid w:val="3E26B3E7"/>
    <w:rsid w:val="3E70959F"/>
    <w:rsid w:val="3EA50FDB"/>
    <w:rsid w:val="3EA5F0B4"/>
    <w:rsid w:val="3EA748E1"/>
    <w:rsid w:val="3EA9149F"/>
    <w:rsid w:val="3EB37EBB"/>
    <w:rsid w:val="3EBFE498"/>
    <w:rsid w:val="3EC09491"/>
    <w:rsid w:val="3EC68C43"/>
    <w:rsid w:val="3ED63868"/>
    <w:rsid w:val="3ED82677"/>
    <w:rsid w:val="3EF52684"/>
    <w:rsid w:val="3F01EB37"/>
    <w:rsid w:val="3F0B0DC6"/>
    <w:rsid w:val="3F1AD62C"/>
    <w:rsid w:val="3F1E14A6"/>
    <w:rsid w:val="3F3EA982"/>
    <w:rsid w:val="3F4E7CB6"/>
    <w:rsid w:val="3F5EA6DE"/>
    <w:rsid w:val="3F601C4E"/>
    <w:rsid w:val="3F64A761"/>
    <w:rsid w:val="3F6E1E29"/>
    <w:rsid w:val="3F8B11C2"/>
    <w:rsid w:val="3F932BE0"/>
    <w:rsid w:val="3FAE4B79"/>
    <w:rsid w:val="3FAE84CC"/>
    <w:rsid w:val="3FC28C02"/>
    <w:rsid w:val="4035A86B"/>
    <w:rsid w:val="404C8A0A"/>
    <w:rsid w:val="40520D45"/>
    <w:rsid w:val="40608397"/>
    <w:rsid w:val="4066AE61"/>
    <w:rsid w:val="4068DB87"/>
    <w:rsid w:val="406EB82D"/>
    <w:rsid w:val="4071383E"/>
    <w:rsid w:val="40784BA6"/>
    <w:rsid w:val="40A46F3D"/>
    <w:rsid w:val="40C879FC"/>
    <w:rsid w:val="40FAABBF"/>
    <w:rsid w:val="41098181"/>
    <w:rsid w:val="4131086A"/>
    <w:rsid w:val="416BFD14"/>
    <w:rsid w:val="417083AF"/>
    <w:rsid w:val="417AB19E"/>
    <w:rsid w:val="418A9A75"/>
    <w:rsid w:val="418F9C18"/>
    <w:rsid w:val="4191CAE9"/>
    <w:rsid w:val="41A55BA7"/>
    <w:rsid w:val="41A5E037"/>
    <w:rsid w:val="41B0E2BF"/>
    <w:rsid w:val="41B99AC2"/>
    <w:rsid w:val="41BE9E13"/>
    <w:rsid w:val="41E4462F"/>
    <w:rsid w:val="41E80A1A"/>
    <w:rsid w:val="41FD63D6"/>
    <w:rsid w:val="42226960"/>
    <w:rsid w:val="42253CCB"/>
    <w:rsid w:val="42394F03"/>
    <w:rsid w:val="423BCD94"/>
    <w:rsid w:val="42414D37"/>
    <w:rsid w:val="427A73BB"/>
    <w:rsid w:val="429249DA"/>
    <w:rsid w:val="4293C97B"/>
    <w:rsid w:val="4298F0A1"/>
    <w:rsid w:val="42C5D814"/>
    <w:rsid w:val="42DDB32A"/>
    <w:rsid w:val="42DFA631"/>
    <w:rsid w:val="42E6258E"/>
    <w:rsid w:val="42F2CDD9"/>
    <w:rsid w:val="42F7A92A"/>
    <w:rsid w:val="42FDB6B2"/>
    <w:rsid w:val="4315D63D"/>
    <w:rsid w:val="43340CB5"/>
    <w:rsid w:val="434305F3"/>
    <w:rsid w:val="4343FE9B"/>
    <w:rsid w:val="43583CF5"/>
    <w:rsid w:val="4366F01A"/>
    <w:rsid w:val="43694D25"/>
    <w:rsid w:val="436D0E99"/>
    <w:rsid w:val="436E6561"/>
    <w:rsid w:val="4377A34E"/>
    <w:rsid w:val="4380F194"/>
    <w:rsid w:val="4384237A"/>
    <w:rsid w:val="438B4934"/>
    <w:rsid w:val="43908AE4"/>
    <w:rsid w:val="439CA4A5"/>
    <w:rsid w:val="43AE70B6"/>
    <w:rsid w:val="43BE8F95"/>
    <w:rsid w:val="43F28C84"/>
    <w:rsid w:val="44026E0C"/>
    <w:rsid w:val="44128AF7"/>
    <w:rsid w:val="4414CD62"/>
    <w:rsid w:val="443CC11A"/>
    <w:rsid w:val="44475BAB"/>
    <w:rsid w:val="44545844"/>
    <w:rsid w:val="446EC305"/>
    <w:rsid w:val="446F37C1"/>
    <w:rsid w:val="44746F26"/>
    <w:rsid w:val="448854F6"/>
    <w:rsid w:val="44891E8E"/>
    <w:rsid w:val="448D68B6"/>
    <w:rsid w:val="4497D8B0"/>
    <w:rsid w:val="44A468F4"/>
    <w:rsid w:val="44BE9424"/>
    <w:rsid w:val="44D2870E"/>
    <w:rsid w:val="44D5B986"/>
    <w:rsid w:val="44F2AAC5"/>
    <w:rsid w:val="450719C7"/>
    <w:rsid w:val="45111E59"/>
    <w:rsid w:val="45284747"/>
    <w:rsid w:val="4537A97E"/>
    <w:rsid w:val="4563190F"/>
    <w:rsid w:val="4566D5E3"/>
    <w:rsid w:val="4593703A"/>
    <w:rsid w:val="45D1D4DD"/>
    <w:rsid w:val="45E32AE5"/>
    <w:rsid w:val="45E83C1F"/>
    <w:rsid w:val="45E9F563"/>
    <w:rsid w:val="45EDC8C8"/>
    <w:rsid w:val="46091F31"/>
    <w:rsid w:val="460D56A6"/>
    <w:rsid w:val="460EBA79"/>
    <w:rsid w:val="46131403"/>
    <w:rsid w:val="464007CF"/>
    <w:rsid w:val="464E6156"/>
    <w:rsid w:val="467031EA"/>
    <w:rsid w:val="4693D594"/>
    <w:rsid w:val="46B08914"/>
    <w:rsid w:val="46BAE83E"/>
    <w:rsid w:val="46BDF342"/>
    <w:rsid w:val="46C12EFD"/>
    <w:rsid w:val="46DE6043"/>
    <w:rsid w:val="46FECE5A"/>
    <w:rsid w:val="470677A5"/>
    <w:rsid w:val="470C3921"/>
    <w:rsid w:val="4711A722"/>
    <w:rsid w:val="47232C2D"/>
    <w:rsid w:val="47320AD0"/>
    <w:rsid w:val="474EA05A"/>
    <w:rsid w:val="47517F60"/>
    <w:rsid w:val="475EC7C8"/>
    <w:rsid w:val="475ECE29"/>
    <w:rsid w:val="4764249C"/>
    <w:rsid w:val="476F412A"/>
    <w:rsid w:val="47865F6A"/>
    <w:rsid w:val="479E92F4"/>
    <w:rsid w:val="479F349B"/>
    <w:rsid w:val="47D1DF55"/>
    <w:rsid w:val="47E5AD42"/>
    <w:rsid w:val="480670BA"/>
    <w:rsid w:val="4807102E"/>
    <w:rsid w:val="481A38DC"/>
    <w:rsid w:val="485118B2"/>
    <w:rsid w:val="4854FDC3"/>
    <w:rsid w:val="48599FD3"/>
    <w:rsid w:val="4859DAE4"/>
    <w:rsid w:val="486EE378"/>
    <w:rsid w:val="4873CCD8"/>
    <w:rsid w:val="4874AE1C"/>
    <w:rsid w:val="48761233"/>
    <w:rsid w:val="48875851"/>
    <w:rsid w:val="4892F8BA"/>
    <w:rsid w:val="4894759B"/>
    <w:rsid w:val="4896ECBF"/>
    <w:rsid w:val="489E35CF"/>
    <w:rsid w:val="48B9B6E4"/>
    <w:rsid w:val="48BC5691"/>
    <w:rsid w:val="48CB3FA1"/>
    <w:rsid w:val="48D467D8"/>
    <w:rsid w:val="48E12F99"/>
    <w:rsid w:val="48E2431F"/>
    <w:rsid w:val="48E4A3AF"/>
    <w:rsid w:val="48F16A7B"/>
    <w:rsid w:val="4908AEE9"/>
    <w:rsid w:val="491EAF7B"/>
    <w:rsid w:val="493C02C7"/>
    <w:rsid w:val="494B81D6"/>
    <w:rsid w:val="496B0E62"/>
    <w:rsid w:val="497DE47D"/>
    <w:rsid w:val="499CA450"/>
    <w:rsid w:val="49D8CF81"/>
    <w:rsid w:val="49EB5127"/>
    <w:rsid w:val="4A02590F"/>
    <w:rsid w:val="4A03ECCE"/>
    <w:rsid w:val="4A09EAD4"/>
    <w:rsid w:val="4A0AB860"/>
    <w:rsid w:val="4A22F7CC"/>
    <w:rsid w:val="4A23E0BD"/>
    <w:rsid w:val="4A3340CA"/>
    <w:rsid w:val="4A3AF7E5"/>
    <w:rsid w:val="4A6AAA60"/>
    <w:rsid w:val="4A6DC529"/>
    <w:rsid w:val="4A6FA785"/>
    <w:rsid w:val="4A84A601"/>
    <w:rsid w:val="4A8758B9"/>
    <w:rsid w:val="4ABC660C"/>
    <w:rsid w:val="4ABF67D2"/>
    <w:rsid w:val="4ACE4AF2"/>
    <w:rsid w:val="4AF39B3F"/>
    <w:rsid w:val="4B15828B"/>
    <w:rsid w:val="4B2AAA6F"/>
    <w:rsid w:val="4B36748F"/>
    <w:rsid w:val="4B4E39D1"/>
    <w:rsid w:val="4B52C4B9"/>
    <w:rsid w:val="4B5E9124"/>
    <w:rsid w:val="4B5FB87E"/>
    <w:rsid w:val="4B603334"/>
    <w:rsid w:val="4B6ECDF3"/>
    <w:rsid w:val="4B828694"/>
    <w:rsid w:val="4BA3D1AF"/>
    <w:rsid w:val="4BA4F65A"/>
    <w:rsid w:val="4BAA4631"/>
    <w:rsid w:val="4BAF15DB"/>
    <w:rsid w:val="4BC60100"/>
    <w:rsid w:val="4BDF34B4"/>
    <w:rsid w:val="4BE082B2"/>
    <w:rsid w:val="4BE4935E"/>
    <w:rsid w:val="4C1A12B5"/>
    <w:rsid w:val="4C3CBDE8"/>
    <w:rsid w:val="4C3D48E2"/>
    <w:rsid w:val="4C4A6D04"/>
    <w:rsid w:val="4C514D79"/>
    <w:rsid w:val="4C522A73"/>
    <w:rsid w:val="4C56663B"/>
    <w:rsid w:val="4C58075C"/>
    <w:rsid w:val="4C6D559B"/>
    <w:rsid w:val="4C84283F"/>
    <w:rsid w:val="4C9393D3"/>
    <w:rsid w:val="4CB2A2C1"/>
    <w:rsid w:val="4CB9FDA5"/>
    <w:rsid w:val="4CBF72ED"/>
    <w:rsid w:val="4CC035BD"/>
    <w:rsid w:val="4CD1E892"/>
    <w:rsid w:val="4CDF7C8F"/>
    <w:rsid w:val="4CE54AE0"/>
    <w:rsid w:val="4CFC0FF8"/>
    <w:rsid w:val="4CFE7444"/>
    <w:rsid w:val="4D01A966"/>
    <w:rsid w:val="4D0E4933"/>
    <w:rsid w:val="4D10C418"/>
    <w:rsid w:val="4D140734"/>
    <w:rsid w:val="4D18BB1E"/>
    <w:rsid w:val="4D1FD47C"/>
    <w:rsid w:val="4D22404E"/>
    <w:rsid w:val="4D2A5886"/>
    <w:rsid w:val="4D373D16"/>
    <w:rsid w:val="4D447BBF"/>
    <w:rsid w:val="4D469A54"/>
    <w:rsid w:val="4D550297"/>
    <w:rsid w:val="4D5B817F"/>
    <w:rsid w:val="4D5C1927"/>
    <w:rsid w:val="4D641792"/>
    <w:rsid w:val="4D6EC0EC"/>
    <w:rsid w:val="4D7EA8CE"/>
    <w:rsid w:val="4D9F189D"/>
    <w:rsid w:val="4DA4C813"/>
    <w:rsid w:val="4DAA9B82"/>
    <w:rsid w:val="4DAAB87E"/>
    <w:rsid w:val="4DBDA233"/>
    <w:rsid w:val="4DEED453"/>
    <w:rsid w:val="4DFCD6D2"/>
    <w:rsid w:val="4E0D7882"/>
    <w:rsid w:val="4E172B68"/>
    <w:rsid w:val="4E1D1E79"/>
    <w:rsid w:val="4E1DBB07"/>
    <w:rsid w:val="4E205A97"/>
    <w:rsid w:val="4E25721B"/>
    <w:rsid w:val="4E3805CE"/>
    <w:rsid w:val="4E442B7D"/>
    <w:rsid w:val="4E570037"/>
    <w:rsid w:val="4E70D8C6"/>
    <w:rsid w:val="4E8B97BB"/>
    <w:rsid w:val="4EA1910F"/>
    <w:rsid w:val="4EA8987E"/>
    <w:rsid w:val="4EAAC897"/>
    <w:rsid w:val="4EC04991"/>
    <w:rsid w:val="4EC52112"/>
    <w:rsid w:val="4EC5794A"/>
    <w:rsid w:val="4EC8ECA3"/>
    <w:rsid w:val="4EEF67B2"/>
    <w:rsid w:val="4EFE652D"/>
    <w:rsid w:val="4F0812EC"/>
    <w:rsid w:val="4F106673"/>
    <w:rsid w:val="4F16ED37"/>
    <w:rsid w:val="4F36B913"/>
    <w:rsid w:val="4F3E72D8"/>
    <w:rsid w:val="4F52BBCF"/>
    <w:rsid w:val="4F5AD53C"/>
    <w:rsid w:val="4F723D35"/>
    <w:rsid w:val="4F7D22C0"/>
    <w:rsid w:val="4F8075A5"/>
    <w:rsid w:val="4F80C3C6"/>
    <w:rsid w:val="4FB617F6"/>
    <w:rsid w:val="4FC3B55B"/>
    <w:rsid w:val="4FD45B5F"/>
    <w:rsid w:val="4FD5437B"/>
    <w:rsid w:val="4FD88E0C"/>
    <w:rsid w:val="4FDA1C42"/>
    <w:rsid w:val="4FDA4FE6"/>
    <w:rsid w:val="4FDE1232"/>
    <w:rsid w:val="4FF66EC5"/>
    <w:rsid w:val="4FFB3950"/>
    <w:rsid w:val="4FFE0B36"/>
    <w:rsid w:val="500946A1"/>
    <w:rsid w:val="5010F968"/>
    <w:rsid w:val="50123437"/>
    <w:rsid w:val="501A6B1D"/>
    <w:rsid w:val="503DA1C9"/>
    <w:rsid w:val="504CC85B"/>
    <w:rsid w:val="504EE8E6"/>
    <w:rsid w:val="506B301E"/>
    <w:rsid w:val="50700BBE"/>
    <w:rsid w:val="507FB3C5"/>
    <w:rsid w:val="5091BC63"/>
    <w:rsid w:val="5093B0F2"/>
    <w:rsid w:val="509AE7E7"/>
    <w:rsid w:val="509D99C0"/>
    <w:rsid w:val="50A42E30"/>
    <w:rsid w:val="50AAE4C0"/>
    <w:rsid w:val="50B286F1"/>
    <w:rsid w:val="50B4030A"/>
    <w:rsid w:val="50BC21F3"/>
    <w:rsid w:val="50E2E880"/>
    <w:rsid w:val="50F48E86"/>
    <w:rsid w:val="50F4D5B3"/>
    <w:rsid w:val="50F69C31"/>
    <w:rsid w:val="50FD4125"/>
    <w:rsid w:val="50FE4C8D"/>
    <w:rsid w:val="50FF9A17"/>
    <w:rsid w:val="512A6BBD"/>
    <w:rsid w:val="5139D44C"/>
    <w:rsid w:val="515310B0"/>
    <w:rsid w:val="517C2B12"/>
    <w:rsid w:val="5198AA7B"/>
    <w:rsid w:val="51998C4B"/>
    <w:rsid w:val="51A57770"/>
    <w:rsid w:val="51CAA85E"/>
    <w:rsid w:val="51E10AFC"/>
    <w:rsid w:val="51EF1A01"/>
    <w:rsid w:val="51F1D5E1"/>
    <w:rsid w:val="51F2DB4D"/>
    <w:rsid w:val="523022D4"/>
    <w:rsid w:val="523C90F1"/>
    <w:rsid w:val="523F6131"/>
    <w:rsid w:val="52408AAD"/>
    <w:rsid w:val="526382A0"/>
    <w:rsid w:val="52665D70"/>
    <w:rsid w:val="52A65379"/>
    <w:rsid w:val="52B8E5BB"/>
    <w:rsid w:val="52D5C1A1"/>
    <w:rsid w:val="52E34F3B"/>
    <w:rsid w:val="52E81C3F"/>
    <w:rsid w:val="52E8C915"/>
    <w:rsid w:val="530860E1"/>
    <w:rsid w:val="5311B3D3"/>
    <w:rsid w:val="53149BB1"/>
    <w:rsid w:val="531A3E2C"/>
    <w:rsid w:val="531B3051"/>
    <w:rsid w:val="531C36AD"/>
    <w:rsid w:val="53200451"/>
    <w:rsid w:val="5346CC5C"/>
    <w:rsid w:val="534B2168"/>
    <w:rsid w:val="536A0D85"/>
    <w:rsid w:val="538689A8"/>
    <w:rsid w:val="539C3F9B"/>
    <w:rsid w:val="53AAF039"/>
    <w:rsid w:val="53BED3F6"/>
    <w:rsid w:val="53C4D010"/>
    <w:rsid w:val="53DD54BB"/>
    <w:rsid w:val="53F192EF"/>
    <w:rsid w:val="53F3663D"/>
    <w:rsid w:val="53FD51C8"/>
    <w:rsid w:val="5407CE11"/>
    <w:rsid w:val="5408DA7E"/>
    <w:rsid w:val="541412B7"/>
    <w:rsid w:val="541B021D"/>
    <w:rsid w:val="5424480B"/>
    <w:rsid w:val="54311396"/>
    <w:rsid w:val="5439281A"/>
    <w:rsid w:val="544DB6B7"/>
    <w:rsid w:val="544E6BFC"/>
    <w:rsid w:val="54549CEC"/>
    <w:rsid w:val="545EF59C"/>
    <w:rsid w:val="546BDE7C"/>
    <w:rsid w:val="547EA1AD"/>
    <w:rsid w:val="54A2C0A5"/>
    <w:rsid w:val="54ACAB68"/>
    <w:rsid w:val="54B04479"/>
    <w:rsid w:val="54B6A006"/>
    <w:rsid w:val="54BB1522"/>
    <w:rsid w:val="54C8CA27"/>
    <w:rsid w:val="54CD2920"/>
    <w:rsid w:val="54CEC4DE"/>
    <w:rsid w:val="54E0C4C1"/>
    <w:rsid w:val="54E1A83D"/>
    <w:rsid w:val="550606C2"/>
    <w:rsid w:val="551880A0"/>
    <w:rsid w:val="5535A1BB"/>
    <w:rsid w:val="554E00E9"/>
    <w:rsid w:val="5552F063"/>
    <w:rsid w:val="55564C14"/>
    <w:rsid w:val="555FDAEA"/>
    <w:rsid w:val="5569B7A1"/>
    <w:rsid w:val="5593853B"/>
    <w:rsid w:val="559A707F"/>
    <w:rsid w:val="55A0D54C"/>
    <w:rsid w:val="55D7B80D"/>
    <w:rsid w:val="55EB8F1D"/>
    <w:rsid w:val="5609685B"/>
    <w:rsid w:val="5612B1A9"/>
    <w:rsid w:val="562581B4"/>
    <w:rsid w:val="563D7B90"/>
    <w:rsid w:val="5663D87B"/>
    <w:rsid w:val="5674A4CB"/>
    <w:rsid w:val="5693BEA2"/>
    <w:rsid w:val="56B875B9"/>
    <w:rsid w:val="56D1B209"/>
    <w:rsid w:val="56E71B01"/>
    <w:rsid w:val="5764F331"/>
    <w:rsid w:val="57756F45"/>
    <w:rsid w:val="5778FD62"/>
    <w:rsid w:val="577F39ED"/>
    <w:rsid w:val="578B2441"/>
    <w:rsid w:val="578FC968"/>
    <w:rsid w:val="579A9A94"/>
    <w:rsid w:val="57A29921"/>
    <w:rsid w:val="57B690F6"/>
    <w:rsid w:val="57E4BDE5"/>
    <w:rsid w:val="57EBED90"/>
    <w:rsid w:val="57FDBEE0"/>
    <w:rsid w:val="58177BCE"/>
    <w:rsid w:val="5820E068"/>
    <w:rsid w:val="5825ADC8"/>
    <w:rsid w:val="582E25A8"/>
    <w:rsid w:val="58397734"/>
    <w:rsid w:val="5854ED3E"/>
    <w:rsid w:val="5865BF8E"/>
    <w:rsid w:val="58801C5E"/>
    <w:rsid w:val="58B0DD9B"/>
    <w:rsid w:val="58B3E7BF"/>
    <w:rsid w:val="58CF9260"/>
    <w:rsid w:val="58D40D4C"/>
    <w:rsid w:val="58DCADAA"/>
    <w:rsid w:val="58E9852A"/>
    <w:rsid w:val="58EAFD85"/>
    <w:rsid w:val="59086D5A"/>
    <w:rsid w:val="590EFC91"/>
    <w:rsid w:val="593D7FEF"/>
    <w:rsid w:val="59497A56"/>
    <w:rsid w:val="5971D0F5"/>
    <w:rsid w:val="597B1B85"/>
    <w:rsid w:val="597C6E8A"/>
    <w:rsid w:val="598C31B0"/>
    <w:rsid w:val="59A0BBE8"/>
    <w:rsid w:val="59C1C0C4"/>
    <w:rsid w:val="59C1EA2A"/>
    <w:rsid w:val="59D47D88"/>
    <w:rsid w:val="59EE71E3"/>
    <w:rsid w:val="5A09C75E"/>
    <w:rsid w:val="5A0E868C"/>
    <w:rsid w:val="5A18C9B5"/>
    <w:rsid w:val="5A2362C1"/>
    <w:rsid w:val="5A286227"/>
    <w:rsid w:val="5A3C3907"/>
    <w:rsid w:val="5A53BA0E"/>
    <w:rsid w:val="5A610B5D"/>
    <w:rsid w:val="5A697BD8"/>
    <w:rsid w:val="5A772347"/>
    <w:rsid w:val="5AC87CFD"/>
    <w:rsid w:val="5AD4CFF6"/>
    <w:rsid w:val="5ADFF9F4"/>
    <w:rsid w:val="5AEF029D"/>
    <w:rsid w:val="5AEFF7A6"/>
    <w:rsid w:val="5AF16210"/>
    <w:rsid w:val="5AF3F02D"/>
    <w:rsid w:val="5B07538C"/>
    <w:rsid w:val="5B1EA086"/>
    <w:rsid w:val="5B3AB9B5"/>
    <w:rsid w:val="5B63D07A"/>
    <w:rsid w:val="5B767592"/>
    <w:rsid w:val="5B9143C3"/>
    <w:rsid w:val="5B98F52C"/>
    <w:rsid w:val="5BAA6ED1"/>
    <w:rsid w:val="5BB743C4"/>
    <w:rsid w:val="5BB8C271"/>
    <w:rsid w:val="5BBC18DF"/>
    <w:rsid w:val="5BBD8FDC"/>
    <w:rsid w:val="5BDAB2B5"/>
    <w:rsid w:val="5BF44C7B"/>
    <w:rsid w:val="5BF45007"/>
    <w:rsid w:val="5BFDE0B7"/>
    <w:rsid w:val="5C0730EF"/>
    <w:rsid w:val="5C098248"/>
    <w:rsid w:val="5C13744E"/>
    <w:rsid w:val="5C1465DD"/>
    <w:rsid w:val="5C24EEEB"/>
    <w:rsid w:val="5C3A3D38"/>
    <w:rsid w:val="5C3C28BE"/>
    <w:rsid w:val="5C41F4D6"/>
    <w:rsid w:val="5C48B9CD"/>
    <w:rsid w:val="5C4A4003"/>
    <w:rsid w:val="5C4FB4AE"/>
    <w:rsid w:val="5C52D32D"/>
    <w:rsid w:val="5C77FB44"/>
    <w:rsid w:val="5C7D9786"/>
    <w:rsid w:val="5C8BC92C"/>
    <w:rsid w:val="5C8BE6A0"/>
    <w:rsid w:val="5C8D2A84"/>
    <w:rsid w:val="5CA8717C"/>
    <w:rsid w:val="5CAFE09C"/>
    <w:rsid w:val="5CC318F3"/>
    <w:rsid w:val="5CC45D10"/>
    <w:rsid w:val="5CDB6CCE"/>
    <w:rsid w:val="5CE4625B"/>
    <w:rsid w:val="5CF1C5E2"/>
    <w:rsid w:val="5CF98453"/>
    <w:rsid w:val="5D1D55AC"/>
    <w:rsid w:val="5D23C14E"/>
    <w:rsid w:val="5D30D7DA"/>
    <w:rsid w:val="5D4F39E5"/>
    <w:rsid w:val="5D5764C4"/>
    <w:rsid w:val="5D5B30A6"/>
    <w:rsid w:val="5D7BC19D"/>
    <w:rsid w:val="5D8F34F1"/>
    <w:rsid w:val="5DB4FE7A"/>
    <w:rsid w:val="5DCC3A8D"/>
    <w:rsid w:val="5DCD0314"/>
    <w:rsid w:val="5DCD3661"/>
    <w:rsid w:val="5E249B2E"/>
    <w:rsid w:val="5E2E6D5F"/>
    <w:rsid w:val="5E36A8F2"/>
    <w:rsid w:val="5E49E7F7"/>
    <w:rsid w:val="5E7DE3E6"/>
    <w:rsid w:val="5EB78ECF"/>
    <w:rsid w:val="5EBEC439"/>
    <w:rsid w:val="5ED50A1C"/>
    <w:rsid w:val="5EF40B3A"/>
    <w:rsid w:val="5F1C2D4F"/>
    <w:rsid w:val="5F2DA349"/>
    <w:rsid w:val="5F358179"/>
    <w:rsid w:val="5F41B107"/>
    <w:rsid w:val="5F4E61EA"/>
    <w:rsid w:val="5F4E925F"/>
    <w:rsid w:val="5F62754C"/>
    <w:rsid w:val="5F814DE3"/>
    <w:rsid w:val="5F85037D"/>
    <w:rsid w:val="5FC30210"/>
    <w:rsid w:val="5FDD1E7E"/>
    <w:rsid w:val="5FE1018E"/>
    <w:rsid w:val="5FE1EC62"/>
    <w:rsid w:val="5FEE532A"/>
    <w:rsid w:val="5FEFC880"/>
    <w:rsid w:val="5FF7073F"/>
    <w:rsid w:val="5FF8AF59"/>
    <w:rsid w:val="60056F82"/>
    <w:rsid w:val="601FAA14"/>
    <w:rsid w:val="60246E98"/>
    <w:rsid w:val="605FBBA5"/>
    <w:rsid w:val="6066174C"/>
    <w:rsid w:val="60687FEB"/>
    <w:rsid w:val="60696974"/>
    <w:rsid w:val="606B87B8"/>
    <w:rsid w:val="607CF727"/>
    <w:rsid w:val="60AC3C07"/>
    <w:rsid w:val="60BBA27B"/>
    <w:rsid w:val="60DC7249"/>
    <w:rsid w:val="60ECED6F"/>
    <w:rsid w:val="60ED871D"/>
    <w:rsid w:val="60FA1191"/>
    <w:rsid w:val="60FBE9CB"/>
    <w:rsid w:val="60FF95BE"/>
    <w:rsid w:val="6101CD67"/>
    <w:rsid w:val="610B9EC6"/>
    <w:rsid w:val="6117DAC3"/>
    <w:rsid w:val="6138918C"/>
    <w:rsid w:val="61466BFB"/>
    <w:rsid w:val="615E4D5B"/>
    <w:rsid w:val="6164FBFC"/>
    <w:rsid w:val="617516D8"/>
    <w:rsid w:val="6179E46E"/>
    <w:rsid w:val="61AA40D7"/>
    <w:rsid w:val="61AAB08D"/>
    <w:rsid w:val="61B17135"/>
    <w:rsid w:val="61B77978"/>
    <w:rsid w:val="61B7B91F"/>
    <w:rsid w:val="61BECDFC"/>
    <w:rsid w:val="61BED6A1"/>
    <w:rsid w:val="61CAD853"/>
    <w:rsid w:val="61D0AC5B"/>
    <w:rsid w:val="6201FCA9"/>
    <w:rsid w:val="6206488A"/>
    <w:rsid w:val="62134EDB"/>
    <w:rsid w:val="6231A694"/>
    <w:rsid w:val="6249CADC"/>
    <w:rsid w:val="6257BFE1"/>
    <w:rsid w:val="625DDB4E"/>
    <w:rsid w:val="626DD1E1"/>
    <w:rsid w:val="62766D16"/>
    <w:rsid w:val="6277C9E2"/>
    <w:rsid w:val="627FACC0"/>
    <w:rsid w:val="62B48C1B"/>
    <w:rsid w:val="62B66A22"/>
    <w:rsid w:val="62CB25C4"/>
    <w:rsid w:val="62EFA2B5"/>
    <w:rsid w:val="6302B8EF"/>
    <w:rsid w:val="630353F4"/>
    <w:rsid w:val="6307BAD5"/>
    <w:rsid w:val="6314FDB0"/>
    <w:rsid w:val="6329A15E"/>
    <w:rsid w:val="633A7BB8"/>
    <w:rsid w:val="634BB571"/>
    <w:rsid w:val="636C3198"/>
    <w:rsid w:val="63724961"/>
    <w:rsid w:val="638691BA"/>
    <w:rsid w:val="6393488F"/>
    <w:rsid w:val="63A3D133"/>
    <w:rsid w:val="63A47616"/>
    <w:rsid w:val="63E3044E"/>
    <w:rsid w:val="63F19780"/>
    <w:rsid w:val="63FE7225"/>
    <w:rsid w:val="6443E105"/>
    <w:rsid w:val="64476C09"/>
    <w:rsid w:val="64536A81"/>
    <w:rsid w:val="645A7650"/>
    <w:rsid w:val="6461F868"/>
    <w:rsid w:val="646EDEE9"/>
    <w:rsid w:val="6479A3CB"/>
    <w:rsid w:val="648AA874"/>
    <w:rsid w:val="64973741"/>
    <w:rsid w:val="649ADD1D"/>
    <w:rsid w:val="649C3528"/>
    <w:rsid w:val="649EA5D3"/>
    <w:rsid w:val="64AA468C"/>
    <w:rsid w:val="64B0B32E"/>
    <w:rsid w:val="64BB8163"/>
    <w:rsid w:val="64BEE5FA"/>
    <w:rsid w:val="64C08DE5"/>
    <w:rsid w:val="64C4A941"/>
    <w:rsid w:val="64CE2AD8"/>
    <w:rsid w:val="651440E0"/>
    <w:rsid w:val="6528FABC"/>
    <w:rsid w:val="652B6414"/>
    <w:rsid w:val="652E0F91"/>
    <w:rsid w:val="654B7FB3"/>
    <w:rsid w:val="65597F39"/>
    <w:rsid w:val="6585BB9B"/>
    <w:rsid w:val="659672B7"/>
    <w:rsid w:val="65A9D994"/>
    <w:rsid w:val="65AFADA7"/>
    <w:rsid w:val="65B1E2EE"/>
    <w:rsid w:val="65C144DD"/>
    <w:rsid w:val="65D95EB0"/>
    <w:rsid w:val="65DE0A85"/>
    <w:rsid w:val="65F2AE75"/>
    <w:rsid w:val="65F7C2FD"/>
    <w:rsid w:val="65F858A4"/>
    <w:rsid w:val="661C3B05"/>
    <w:rsid w:val="662D1FB0"/>
    <w:rsid w:val="66310294"/>
    <w:rsid w:val="6648707C"/>
    <w:rsid w:val="665D64DE"/>
    <w:rsid w:val="66620229"/>
    <w:rsid w:val="666F1443"/>
    <w:rsid w:val="66720EBB"/>
    <w:rsid w:val="6676D55A"/>
    <w:rsid w:val="667E21B0"/>
    <w:rsid w:val="668C56CC"/>
    <w:rsid w:val="66915781"/>
    <w:rsid w:val="669572C9"/>
    <w:rsid w:val="66976027"/>
    <w:rsid w:val="66AB41DA"/>
    <w:rsid w:val="66B29CDB"/>
    <w:rsid w:val="66B7A78C"/>
    <w:rsid w:val="66CB8E39"/>
    <w:rsid w:val="66D51C9D"/>
    <w:rsid w:val="66E81244"/>
    <w:rsid w:val="66ED8EE3"/>
    <w:rsid w:val="66F1911F"/>
    <w:rsid w:val="66FB4A03"/>
    <w:rsid w:val="67088324"/>
    <w:rsid w:val="670DA37B"/>
    <w:rsid w:val="670E2AD9"/>
    <w:rsid w:val="671DDC6F"/>
    <w:rsid w:val="67219ACD"/>
    <w:rsid w:val="672A8800"/>
    <w:rsid w:val="67317162"/>
    <w:rsid w:val="6734F9D2"/>
    <w:rsid w:val="6748C130"/>
    <w:rsid w:val="67545A52"/>
    <w:rsid w:val="6768ECD1"/>
    <w:rsid w:val="676C1E3A"/>
    <w:rsid w:val="676DDDFC"/>
    <w:rsid w:val="677A44EC"/>
    <w:rsid w:val="6794DFDC"/>
    <w:rsid w:val="679653E5"/>
    <w:rsid w:val="67A9BC29"/>
    <w:rsid w:val="67ACC683"/>
    <w:rsid w:val="67B0ABEB"/>
    <w:rsid w:val="67B661CF"/>
    <w:rsid w:val="67BED658"/>
    <w:rsid w:val="67CED228"/>
    <w:rsid w:val="67CF37D3"/>
    <w:rsid w:val="67E13BD0"/>
    <w:rsid w:val="67EBC83D"/>
    <w:rsid w:val="67FCDE54"/>
    <w:rsid w:val="68017D76"/>
    <w:rsid w:val="68023A7E"/>
    <w:rsid w:val="6819F211"/>
    <w:rsid w:val="681CF95B"/>
    <w:rsid w:val="68273EC7"/>
    <w:rsid w:val="682945BB"/>
    <w:rsid w:val="68356CDB"/>
    <w:rsid w:val="68372308"/>
    <w:rsid w:val="683D7E1A"/>
    <w:rsid w:val="683E25B3"/>
    <w:rsid w:val="683F3E96"/>
    <w:rsid w:val="6843A5D5"/>
    <w:rsid w:val="684424E9"/>
    <w:rsid w:val="68499373"/>
    <w:rsid w:val="684CBC6B"/>
    <w:rsid w:val="684ECAC8"/>
    <w:rsid w:val="68BB5CBF"/>
    <w:rsid w:val="68C3CA60"/>
    <w:rsid w:val="68C74E9C"/>
    <w:rsid w:val="68CEED18"/>
    <w:rsid w:val="68D3BA2B"/>
    <w:rsid w:val="68E64324"/>
    <w:rsid w:val="68ED0911"/>
    <w:rsid w:val="6901FF4F"/>
    <w:rsid w:val="6927D147"/>
    <w:rsid w:val="69339A42"/>
    <w:rsid w:val="69361ED8"/>
    <w:rsid w:val="6976849B"/>
    <w:rsid w:val="6982C61F"/>
    <w:rsid w:val="698B3D29"/>
    <w:rsid w:val="6998E2E2"/>
    <w:rsid w:val="69AB62EB"/>
    <w:rsid w:val="69AD67C8"/>
    <w:rsid w:val="69AE761C"/>
    <w:rsid w:val="69BEFFA3"/>
    <w:rsid w:val="69CF5B57"/>
    <w:rsid w:val="69CF789C"/>
    <w:rsid w:val="69E74DEE"/>
    <w:rsid w:val="69FDACEF"/>
    <w:rsid w:val="69FE941E"/>
    <w:rsid w:val="6A1FA13F"/>
    <w:rsid w:val="6A20654E"/>
    <w:rsid w:val="6A29D25A"/>
    <w:rsid w:val="6A2C5C01"/>
    <w:rsid w:val="6A3B9ADC"/>
    <w:rsid w:val="6A41D948"/>
    <w:rsid w:val="6A463052"/>
    <w:rsid w:val="6A739EBC"/>
    <w:rsid w:val="6A7A33BB"/>
    <w:rsid w:val="6A7DAF5A"/>
    <w:rsid w:val="6A7FFB78"/>
    <w:rsid w:val="6A87B094"/>
    <w:rsid w:val="6AA26D5F"/>
    <w:rsid w:val="6AAD92C8"/>
    <w:rsid w:val="6AB04842"/>
    <w:rsid w:val="6AB41F04"/>
    <w:rsid w:val="6AB54FE0"/>
    <w:rsid w:val="6AFBD8E1"/>
    <w:rsid w:val="6B21BE8D"/>
    <w:rsid w:val="6B5C53F0"/>
    <w:rsid w:val="6B7EB900"/>
    <w:rsid w:val="6BB0F40E"/>
    <w:rsid w:val="6BBD88BB"/>
    <w:rsid w:val="6BEEC624"/>
    <w:rsid w:val="6BFA9241"/>
    <w:rsid w:val="6C0C92E4"/>
    <w:rsid w:val="6C23EDFB"/>
    <w:rsid w:val="6C3C124B"/>
    <w:rsid w:val="6C65B472"/>
    <w:rsid w:val="6C671633"/>
    <w:rsid w:val="6C7C132E"/>
    <w:rsid w:val="6C7D924C"/>
    <w:rsid w:val="6C8535B0"/>
    <w:rsid w:val="6CBE53E7"/>
    <w:rsid w:val="6CBF8339"/>
    <w:rsid w:val="6CD93CBD"/>
    <w:rsid w:val="6CFA4834"/>
    <w:rsid w:val="6D13FC2F"/>
    <w:rsid w:val="6D14AA17"/>
    <w:rsid w:val="6D3681E2"/>
    <w:rsid w:val="6D36F117"/>
    <w:rsid w:val="6D4DC189"/>
    <w:rsid w:val="6D734AD5"/>
    <w:rsid w:val="6D778B5A"/>
    <w:rsid w:val="6D891CE3"/>
    <w:rsid w:val="6D94110E"/>
    <w:rsid w:val="6DA813DB"/>
    <w:rsid w:val="6DBD2D6F"/>
    <w:rsid w:val="6DC11045"/>
    <w:rsid w:val="6DD4BA22"/>
    <w:rsid w:val="6DEFAD88"/>
    <w:rsid w:val="6DFE52FA"/>
    <w:rsid w:val="6E09F1BE"/>
    <w:rsid w:val="6E35BE07"/>
    <w:rsid w:val="6E4D9889"/>
    <w:rsid w:val="6E6F839E"/>
    <w:rsid w:val="6E7A8B76"/>
    <w:rsid w:val="6E84EB25"/>
    <w:rsid w:val="6E8DD748"/>
    <w:rsid w:val="6E93F4B2"/>
    <w:rsid w:val="6E9733FA"/>
    <w:rsid w:val="6EA421B1"/>
    <w:rsid w:val="6EBEB35A"/>
    <w:rsid w:val="6EC0EBEB"/>
    <w:rsid w:val="6EE7341D"/>
    <w:rsid w:val="6EF11A1F"/>
    <w:rsid w:val="6EF31262"/>
    <w:rsid w:val="6EF6E1F1"/>
    <w:rsid w:val="6F01C5BD"/>
    <w:rsid w:val="6F07F738"/>
    <w:rsid w:val="6F2E81DD"/>
    <w:rsid w:val="6F37A7E5"/>
    <w:rsid w:val="6F39E2AF"/>
    <w:rsid w:val="6F3A0423"/>
    <w:rsid w:val="6F44E081"/>
    <w:rsid w:val="6F52BC39"/>
    <w:rsid w:val="6F5C9E62"/>
    <w:rsid w:val="6F6840F0"/>
    <w:rsid w:val="6F6FCA15"/>
    <w:rsid w:val="6F794D8C"/>
    <w:rsid w:val="6F857CE6"/>
    <w:rsid w:val="6F8F0F9F"/>
    <w:rsid w:val="6F93DA3B"/>
    <w:rsid w:val="6FBCDA1A"/>
    <w:rsid w:val="6FCAB005"/>
    <w:rsid w:val="6FFF46FB"/>
    <w:rsid w:val="701ED45B"/>
    <w:rsid w:val="702C5663"/>
    <w:rsid w:val="7034C8EB"/>
    <w:rsid w:val="7035EE33"/>
    <w:rsid w:val="7036E8EA"/>
    <w:rsid w:val="703B3E07"/>
    <w:rsid w:val="705831F8"/>
    <w:rsid w:val="7058E806"/>
    <w:rsid w:val="705F20FF"/>
    <w:rsid w:val="70668295"/>
    <w:rsid w:val="7093055C"/>
    <w:rsid w:val="709A44E9"/>
    <w:rsid w:val="709DBFC1"/>
    <w:rsid w:val="70A0F7D4"/>
    <w:rsid w:val="70B0BA6C"/>
    <w:rsid w:val="70BFAE44"/>
    <w:rsid w:val="70C0262D"/>
    <w:rsid w:val="70C096F6"/>
    <w:rsid w:val="70D995D4"/>
    <w:rsid w:val="70DDE7F9"/>
    <w:rsid w:val="70E62953"/>
    <w:rsid w:val="70EE19AF"/>
    <w:rsid w:val="70F169E5"/>
    <w:rsid w:val="70FB97E5"/>
    <w:rsid w:val="7125BA0E"/>
    <w:rsid w:val="71415309"/>
    <w:rsid w:val="71487811"/>
    <w:rsid w:val="7172C3DB"/>
    <w:rsid w:val="71A1BA8E"/>
    <w:rsid w:val="71B02656"/>
    <w:rsid w:val="71B98916"/>
    <w:rsid w:val="71BAD562"/>
    <w:rsid w:val="71D8BF76"/>
    <w:rsid w:val="71DF1DE3"/>
    <w:rsid w:val="7224CFEA"/>
    <w:rsid w:val="72252674"/>
    <w:rsid w:val="7234C4DB"/>
    <w:rsid w:val="723AC75E"/>
    <w:rsid w:val="724D21FD"/>
    <w:rsid w:val="7260402A"/>
    <w:rsid w:val="7272FAF8"/>
    <w:rsid w:val="727BAF02"/>
    <w:rsid w:val="7298AFBC"/>
    <w:rsid w:val="72AE42F2"/>
    <w:rsid w:val="72C6D473"/>
    <w:rsid w:val="72FA1CB4"/>
    <w:rsid w:val="73011156"/>
    <w:rsid w:val="7315FB1A"/>
    <w:rsid w:val="7318FA7E"/>
    <w:rsid w:val="7331B36E"/>
    <w:rsid w:val="737BA29E"/>
    <w:rsid w:val="7389ECAB"/>
    <w:rsid w:val="739D1827"/>
    <w:rsid w:val="73D76F2B"/>
    <w:rsid w:val="73DA1AAA"/>
    <w:rsid w:val="73DBC309"/>
    <w:rsid w:val="740768A8"/>
    <w:rsid w:val="740C180E"/>
    <w:rsid w:val="74365693"/>
    <w:rsid w:val="74392AF2"/>
    <w:rsid w:val="743FC5B7"/>
    <w:rsid w:val="745A9D08"/>
    <w:rsid w:val="745C5E55"/>
    <w:rsid w:val="74716463"/>
    <w:rsid w:val="7473DC8E"/>
    <w:rsid w:val="747B8F80"/>
    <w:rsid w:val="748006D5"/>
    <w:rsid w:val="748692B3"/>
    <w:rsid w:val="748D7DE4"/>
    <w:rsid w:val="748E0BC9"/>
    <w:rsid w:val="74929B8B"/>
    <w:rsid w:val="7496F3E5"/>
    <w:rsid w:val="7499DA1F"/>
    <w:rsid w:val="74B52629"/>
    <w:rsid w:val="74DF6FB0"/>
    <w:rsid w:val="74E0AA96"/>
    <w:rsid w:val="74F53D21"/>
    <w:rsid w:val="74FAB52F"/>
    <w:rsid w:val="7506639C"/>
    <w:rsid w:val="750D545E"/>
    <w:rsid w:val="7510A2EE"/>
    <w:rsid w:val="7523D2E9"/>
    <w:rsid w:val="752A8982"/>
    <w:rsid w:val="754CB0FC"/>
    <w:rsid w:val="7551F832"/>
    <w:rsid w:val="7559CCD3"/>
    <w:rsid w:val="755B0987"/>
    <w:rsid w:val="756B3629"/>
    <w:rsid w:val="756F58B0"/>
    <w:rsid w:val="7572C0B9"/>
    <w:rsid w:val="75747D5F"/>
    <w:rsid w:val="758B11DF"/>
    <w:rsid w:val="75AD6DEE"/>
    <w:rsid w:val="75B1AE90"/>
    <w:rsid w:val="75B8F0EB"/>
    <w:rsid w:val="75C98921"/>
    <w:rsid w:val="75E975F5"/>
    <w:rsid w:val="75FD98F0"/>
    <w:rsid w:val="76044390"/>
    <w:rsid w:val="760AA801"/>
    <w:rsid w:val="761FD47A"/>
    <w:rsid w:val="76288C95"/>
    <w:rsid w:val="762DD058"/>
    <w:rsid w:val="764891CF"/>
    <w:rsid w:val="76569778"/>
    <w:rsid w:val="766FA29F"/>
    <w:rsid w:val="7670F6D1"/>
    <w:rsid w:val="767FB273"/>
    <w:rsid w:val="76880C89"/>
    <w:rsid w:val="76978C19"/>
    <w:rsid w:val="769FD47C"/>
    <w:rsid w:val="76A3568C"/>
    <w:rsid w:val="76B61A5A"/>
    <w:rsid w:val="76CBD2D4"/>
    <w:rsid w:val="76D17E95"/>
    <w:rsid w:val="76E0FFB1"/>
    <w:rsid w:val="76E971F5"/>
    <w:rsid w:val="76FCD1C6"/>
    <w:rsid w:val="7707B6FD"/>
    <w:rsid w:val="770A7A95"/>
    <w:rsid w:val="773681E1"/>
    <w:rsid w:val="773D69AB"/>
    <w:rsid w:val="774B0587"/>
    <w:rsid w:val="775DF69C"/>
    <w:rsid w:val="779491E1"/>
    <w:rsid w:val="7799B7C5"/>
    <w:rsid w:val="77AB9A60"/>
    <w:rsid w:val="77B47009"/>
    <w:rsid w:val="77C36CFF"/>
    <w:rsid w:val="77C87FCF"/>
    <w:rsid w:val="77DE9A3C"/>
    <w:rsid w:val="77E4E9FD"/>
    <w:rsid w:val="77E6AA19"/>
    <w:rsid w:val="780025B3"/>
    <w:rsid w:val="7806CBD8"/>
    <w:rsid w:val="780863F4"/>
    <w:rsid w:val="781EC518"/>
    <w:rsid w:val="7820C285"/>
    <w:rsid w:val="78250DD9"/>
    <w:rsid w:val="7828E6D9"/>
    <w:rsid w:val="7831C9DC"/>
    <w:rsid w:val="7836D020"/>
    <w:rsid w:val="7844E9B3"/>
    <w:rsid w:val="784A3418"/>
    <w:rsid w:val="78786802"/>
    <w:rsid w:val="7892CCBE"/>
    <w:rsid w:val="789ABBA5"/>
    <w:rsid w:val="78D4A6C4"/>
    <w:rsid w:val="78F6866F"/>
    <w:rsid w:val="793E0FD9"/>
    <w:rsid w:val="79536A7F"/>
    <w:rsid w:val="795617AA"/>
    <w:rsid w:val="795A7979"/>
    <w:rsid w:val="7985BC7C"/>
    <w:rsid w:val="798F95FD"/>
    <w:rsid w:val="79986805"/>
    <w:rsid w:val="79AF958E"/>
    <w:rsid w:val="79CAF477"/>
    <w:rsid w:val="79CCEBF9"/>
    <w:rsid w:val="79EE75F4"/>
    <w:rsid w:val="7A06F9C2"/>
    <w:rsid w:val="7A07E1FD"/>
    <w:rsid w:val="7A11BF19"/>
    <w:rsid w:val="7A2DA137"/>
    <w:rsid w:val="7A319F01"/>
    <w:rsid w:val="7A4E6804"/>
    <w:rsid w:val="7A60D24E"/>
    <w:rsid w:val="7A6D5F68"/>
    <w:rsid w:val="7A88004D"/>
    <w:rsid w:val="7A88FF62"/>
    <w:rsid w:val="7A944C6B"/>
    <w:rsid w:val="7A9F347C"/>
    <w:rsid w:val="7ABA9BA8"/>
    <w:rsid w:val="7ACA156C"/>
    <w:rsid w:val="7AD57240"/>
    <w:rsid w:val="7ADC19DF"/>
    <w:rsid w:val="7ADC46F7"/>
    <w:rsid w:val="7AEBA9B9"/>
    <w:rsid w:val="7AF9BC27"/>
    <w:rsid w:val="7AFEADC9"/>
    <w:rsid w:val="7B2E4B0E"/>
    <w:rsid w:val="7B373E21"/>
    <w:rsid w:val="7B3C5A97"/>
    <w:rsid w:val="7B400346"/>
    <w:rsid w:val="7B44B2D9"/>
    <w:rsid w:val="7B708AE2"/>
    <w:rsid w:val="7B82472F"/>
    <w:rsid w:val="7B8F6D11"/>
    <w:rsid w:val="7BB20BD9"/>
    <w:rsid w:val="7BB7ADF5"/>
    <w:rsid w:val="7BBB6265"/>
    <w:rsid w:val="7BD514AE"/>
    <w:rsid w:val="7BDE2677"/>
    <w:rsid w:val="7BDE8B0C"/>
    <w:rsid w:val="7C102D2B"/>
    <w:rsid w:val="7C14CC2E"/>
    <w:rsid w:val="7C1AF942"/>
    <w:rsid w:val="7C258A4B"/>
    <w:rsid w:val="7C263DEE"/>
    <w:rsid w:val="7C49E529"/>
    <w:rsid w:val="7C622EAE"/>
    <w:rsid w:val="7C6510C0"/>
    <w:rsid w:val="7C6E2E85"/>
    <w:rsid w:val="7C72A1F6"/>
    <w:rsid w:val="7C73F1C1"/>
    <w:rsid w:val="7C82128B"/>
    <w:rsid w:val="7CBE003A"/>
    <w:rsid w:val="7CE194DF"/>
    <w:rsid w:val="7CE799A4"/>
    <w:rsid w:val="7CF74E0D"/>
    <w:rsid w:val="7D188597"/>
    <w:rsid w:val="7D2B7FDF"/>
    <w:rsid w:val="7D3E0A69"/>
    <w:rsid w:val="7D5E87BA"/>
    <w:rsid w:val="7D6299A1"/>
    <w:rsid w:val="7D6A9382"/>
    <w:rsid w:val="7D6C06B1"/>
    <w:rsid w:val="7D813815"/>
    <w:rsid w:val="7D88C033"/>
    <w:rsid w:val="7D918FD3"/>
    <w:rsid w:val="7DA061F3"/>
    <w:rsid w:val="7DB5B9DB"/>
    <w:rsid w:val="7DC500EF"/>
    <w:rsid w:val="7DD23FE5"/>
    <w:rsid w:val="7DD2D952"/>
    <w:rsid w:val="7DDEA729"/>
    <w:rsid w:val="7DF1A095"/>
    <w:rsid w:val="7DF3C683"/>
    <w:rsid w:val="7DF7CD2D"/>
    <w:rsid w:val="7E0FEAE7"/>
    <w:rsid w:val="7E2C6E6C"/>
    <w:rsid w:val="7E34B00D"/>
    <w:rsid w:val="7E39F22B"/>
    <w:rsid w:val="7E46F12B"/>
    <w:rsid w:val="7E6E2B8B"/>
    <w:rsid w:val="7E772637"/>
    <w:rsid w:val="7E95F274"/>
    <w:rsid w:val="7EA249D3"/>
    <w:rsid w:val="7EAD9BEF"/>
    <w:rsid w:val="7ECB65D3"/>
    <w:rsid w:val="7ECEF8A4"/>
    <w:rsid w:val="7ED99ED7"/>
    <w:rsid w:val="7EF9F4F8"/>
    <w:rsid w:val="7F0000F3"/>
    <w:rsid w:val="7F103DCA"/>
    <w:rsid w:val="7F104381"/>
    <w:rsid w:val="7F16C07B"/>
    <w:rsid w:val="7F194A66"/>
    <w:rsid w:val="7F2DAB35"/>
    <w:rsid w:val="7F317474"/>
    <w:rsid w:val="7F3C5B1C"/>
    <w:rsid w:val="7F3DFDFB"/>
    <w:rsid w:val="7F41E732"/>
    <w:rsid w:val="7F6E14F2"/>
    <w:rsid w:val="7F805E73"/>
    <w:rsid w:val="7F88CCE5"/>
    <w:rsid w:val="7F9D660C"/>
    <w:rsid w:val="7F9F334C"/>
    <w:rsid w:val="7FA51DFE"/>
    <w:rsid w:val="7FC3E74E"/>
    <w:rsid w:val="7FCD4419"/>
    <w:rsid w:val="7FD1FE73"/>
    <w:rsid w:val="7FDD5B28"/>
    <w:rsid w:val="7FF1E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B1532"/>
  <w15:docId w15:val="{6962FE01-BD8D-4A06-BFAA-0D5CA2B1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q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E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Numbered List Paragraph,Dot pt,F5 List Paragraph,List Paragraph1,No Spacing1,List Paragraph Char Char Char,Indicator Text,Numbered Para 1,Bullet 1,Colorful List - Accent 11,Bullet Points,List Paragraph2,MAIN CONTENT,ANNEX,EC,L,2,3"/>
    <w:basedOn w:val="Normal"/>
    <w:link w:val="ListParagraphChar"/>
    <w:uiPriority w:val="34"/>
    <w:qFormat/>
    <w:rsid w:val="008E53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E5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3F7"/>
  </w:style>
  <w:style w:type="character" w:customStyle="1" w:styleId="ListParagraphChar">
    <w:name w:val="List Paragraph Char"/>
    <w:aliases w:val="Bullets Char,Numbered List Paragraph Char,Dot pt Char,F5 List Paragraph Char,List Paragraph1 Char,No Spacing1 Char,List Paragraph Char Char Char Char,Indicator Text Char,Numbered Para 1 Char,Bullet 1 Char,Bullet Points Char,EC Char"/>
    <w:link w:val="ListParagraph"/>
    <w:uiPriority w:val="34"/>
    <w:qFormat/>
    <w:locked/>
    <w:rsid w:val="008E53F7"/>
  </w:style>
  <w:style w:type="paragraph" w:customStyle="1" w:styleId="INTbullets1text">
    <w:name w:val="INT bullets 1 text"/>
    <w:basedOn w:val="Normal"/>
    <w:qFormat/>
    <w:rsid w:val="008E53F7"/>
    <w:pPr>
      <w:keepLines/>
      <w:tabs>
        <w:tab w:val="num" w:pos="284"/>
        <w:tab w:val="num" w:pos="360"/>
      </w:tabs>
      <w:spacing w:before="120" w:after="120" w:line="276" w:lineRule="auto"/>
      <w:ind w:left="284" w:hanging="284"/>
      <w:contextualSpacing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normaltextrun">
    <w:name w:val="normaltextrun"/>
    <w:basedOn w:val="DefaultParagraphFont"/>
    <w:rsid w:val="008E53F7"/>
  </w:style>
  <w:style w:type="paragraph" w:styleId="Header">
    <w:name w:val="header"/>
    <w:basedOn w:val="Normal"/>
    <w:link w:val="HeaderChar"/>
    <w:uiPriority w:val="99"/>
    <w:unhideWhenUsed/>
    <w:rsid w:val="008E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3F7"/>
  </w:style>
  <w:style w:type="paragraph" w:styleId="Revision">
    <w:name w:val="Revision"/>
    <w:hidden/>
    <w:uiPriority w:val="99"/>
    <w:semiHidden/>
    <w:rsid w:val="008E53F7"/>
    <w:pPr>
      <w:spacing w:after="0" w:line="240" w:lineRule="auto"/>
    </w:pPr>
  </w:style>
  <w:style w:type="character" w:customStyle="1" w:styleId="eop">
    <w:name w:val="eop"/>
    <w:basedOn w:val="DefaultParagraphFont"/>
    <w:rsid w:val="008E53F7"/>
  </w:style>
  <w:style w:type="character" w:customStyle="1" w:styleId="tabchar">
    <w:name w:val="tabchar"/>
    <w:basedOn w:val="DefaultParagraphFont"/>
    <w:rsid w:val="008E53F7"/>
  </w:style>
  <w:style w:type="paragraph" w:styleId="CommentText">
    <w:name w:val="annotation text"/>
    <w:basedOn w:val="Normal"/>
    <w:link w:val="CommentTextChar"/>
    <w:uiPriority w:val="99"/>
    <w:unhideWhenUsed/>
    <w:rsid w:val="008E5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3F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53F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3F7"/>
    <w:rPr>
      <w:b/>
      <w:bCs/>
      <w:sz w:val="20"/>
      <w:szCs w:val="20"/>
    </w:rPr>
  </w:style>
  <w:style w:type="paragraph" w:customStyle="1" w:styleId="Default">
    <w:name w:val="Default"/>
    <w:rsid w:val="008E53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f0">
    <w:name w:val="pf0"/>
    <w:basedOn w:val="Normal"/>
    <w:rsid w:val="008E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f01">
    <w:name w:val="cf01"/>
    <w:basedOn w:val="DefaultParagraphFont"/>
    <w:rsid w:val="008E53F7"/>
    <w:rPr>
      <w:rFonts w:ascii="Segoe UI" w:hAnsi="Segoe UI" w:cs="Segoe UI" w:hint="default"/>
      <w:sz w:val="18"/>
      <w:szCs w:val="18"/>
    </w:rPr>
  </w:style>
  <w:style w:type="numbering" w:customStyle="1" w:styleId="Style1">
    <w:name w:val="Style1"/>
    <w:uiPriority w:val="99"/>
    <w:rsid w:val="000462F6"/>
    <w:pPr>
      <w:numPr>
        <w:numId w:val="2"/>
      </w:numPr>
    </w:pPr>
  </w:style>
  <w:style w:type="paragraph" w:customStyle="1" w:styleId="paragraph">
    <w:name w:val="paragraph"/>
    <w:basedOn w:val="Normal"/>
    <w:rsid w:val="00A0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findhit">
    <w:name w:val="findhit"/>
    <w:basedOn w:val="DefaultParagraphFont"/>
    <w:rsid w:val="00A0665A"/>
  </w:style>
  <w:style w:type="paragraph" w:styleId="NormalWeb">
    <w:name w:val="Normal (Web)"/>
    <w:basedOn w:val="Normal"/>
    <w:uiPriority w:val="99"/>
    <w:semiHidden/>
    <w:unhideWhenUsed/>
    <w:rsid w:val="00DE4EB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6F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F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66E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A66E0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66E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66E0"/>
    <w:pPr>
      <w:spacing w:after="0" w:line="240" w:lineRule="auto"/>
    </w:pPr>
    <w:rPr>
      <w:sz w:val="20"/>
      <w:szCs w:val="20"/>
    </w:rPr>
  </w:style>
  <w:style w:type="character" w:customStyle="1" w:styleId="ui-provider">
    <w:name w:val="ui-provider"/>
    <w:basedOn w:val="DefaultParagraphFont"/>
    <w:rsid w:val="004B758A"/>
  </w:style>
  <w:style w:type="character" w:customStyle="1" w:styleId="FootnoteTextChar1">
    <w:name w:val="Footnote Text Char1"/>
    <w:basedOn w:val="DefaultParagraphFont"/>
    <w:uiPriority w:val="99"/>
    <w:semiHidden/>
    <w:rsid w:val="00AA0202"/>
    <w:rPr>
      <w:sz w:val="20"/>
      <w:szCs w:val="20"/>
    </w:rPr>
  </w:style>
  <w:style w:type="paragraph" w:customStyle="1" w:styleId="commentcontentpara">
    <w:name w:val="commentcontentpara"/>
    <w:basedOn w:val="Normal"/>
    <w:rsid w:val="00F6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rsid w:val="00D45941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81B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B0E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0EEB"/>
    <w:rPr>
      <w:rFonts w:ascii="Consolas" w:hAnsi="Consolas"/>
      <w:sz w:val="20"/>
      <w:szCs w:val="20"/>
    </w:rPr>
  </w:style>
  <w:style w:type="paragraph" w:customStyle="1" w:styleId="pf1">
    <w:name w:val="pf1"/>
    <w:basedOn w:val="Normal"/>
    <w:rsid w:val="009E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f2">
    <w:name w:val="pf2"/>
    <w:basedOn w:val="Normal"/>
    <w:rsid w:val="009E0AC8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11">
    <w:name w:val="cf11"/>
    <w:basedOn w:val="DefaultParagraphFont"/>
    <w:rsid w:val="009E0AC8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21">
    <w:name w:val="cf21"/>
    <w:basedOn w:val="DefaultParagraphFont"/>
    <w:rsid w:val="009E0AC8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31">
    <w:name w:val="cf31"/>
    <w:basedOn w:val="DefaultParagraphFont"/>
    <w:rsid w:val="009E0AC8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41">
    <w:name w:val="cf41"/>
    <w:basedOn w:val="DefaultParagraphFont"/>
    <w:rsid w:val="009E0AC8"/>
    <w:rPr>
      <w:rFonts w:ascii="Segoe UI" w:hAnsi="Segoe UI" w:cs="Segoe UI" w:hint="default"/>
      <w:sz w:val="18"/>
      <w:szCs w:val="18"/>
    </w:rPr>
  </w:style>
  <w:style w:type="character" w:customStyle="1" w:styleId="cf51">
    <w:name w:val="cf51"/>
    <w:basedOn w:val="DefaultParagraphFont"/>
    <w:rsid w:val="009E0AC8"/>
    <w:rPr>
      <w:rFonts w:ascii="Segoe UI" w:hAnsi="Segoe UI" w:cs="Segoe UI" w:hint="default"/>
      <w:sz w:val="18"/>
      <w:szCs w:val="18"/>
    </w:rPr>
  </w:style>
  <w:style w:type="character" w:customStyle="1" w:styleId="cf61">
    <w:name w:val="cf61"/>
    <w:basedOn w:val="DefaultParagraphFont"/>
    <w:rsid w:val="009E0AC8"/>
    <w:rPr>
      <w:rFonts w:ascii="Segoe UI" w:hAnsi="Segoe UI" w:cs="Segoe UI" w:hint="default"/>
      <w:i/>
      <w:iCs/>
      <w:sz w:val="18"/>
      <w:szCs w:val="18"/>
    </w:rPr>
  </w:style>
  <w:style w:type="paragraph" w:customStyle="1" w:styleId="pf4">
    <w:name w:val="pf4"/>
    <w:basedOn w:val="Normal"/>
    <w:rsid w:val="009E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9A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CE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F15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4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7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0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585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32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a78ac4-7176-4dde-ad25-36245d50a152">
      <UserInfo>
        <DisplayName>SEMERAK Ondrej (NEAR)</DisplayName>
        <AccountId>44</AccountId>
        <AccountType/>
      </UserInfo>
      <UserInfo>
        <DisplayName>ANGHELAKIS Olga Luisa (NEAR)</DisplayName>
        <AccountId>45</AccountId>
        <AccountType/>
      </UserInfo>
      <UserInfo>
        <DisplayName>MAGLAVICEANU Cristina (NEAR)</DisplayName>
        <AccountId>46</AccountId>
        <AccountType/>
      </UserInfo>
      <UserInfo>
        <DisplayName>BUENO BARRIGA Maria Del Carmen (NEAR)</DisplayName>
        <AccountId>47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6901220668F4BB3A67BE672005023" ma:contentTypeVersion="6" ma:contentTypeDescription="Create a new document." ma:contentTypeScope="" ma:versionID="18ab341d270d619fb05309040c2e71be">
  <xsd:schema xmlns:xsd="http://www.w3.org/2001/XMLSchema" xmlns:xs="http://www.w3.org/2001/XMLSchema" xmlns:p="http://schemas.microsoft.com/office/2006/metadata/properties" xmlns:ns2="6f3ca250-38ff-4ce0-a943-575e2b64cba9" xmlns:ns3="e1a78ac4-7176-4dde-ad25-36245d50a152" targetNamespace="http://schemas.microsoft.com/office/2006/metadata/properties" ma:root="true" ma:fieldsID="74dd9036d91d6ff0daaeb1c8385debd6" ns2:_="" ns3:_="">
    <xsd:import namespace="6f3ca250-38ff-4ce0-a943-575e2b64cba9"/>
    <xsd:import namespace="e1a78ac4-7176-4dde-ad25-36245d50a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ca250-38ff-4ce0-a943-575e2b64c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78ac4-7176-4dde-ad25-36245d50a1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BAF17-5E2D-4327-BAF5-5757F5F9274D}">
  <ds:schemaRefs>
    <ds:schemaRef ds:uri="http://schemas.microsoft.com/office/2006/metadata/properties"/>
    <ds:schemaRef ds:uri="http://schemas.microsoft.com/office/infopath/2007/PartnerControls"/>
    <ds:schemaRef ds:uri="e1a78ac4-7176-4dde-ad25-36245d50a152"/>
  </ds:schemaRefs>
</ds:datastoreItem>
</file>

<file path=customXml/itemProps2.xml><?xml version="1.0" encoding="utf-8"?>
<ds:datastoreItem xmlns:ds="http://schemas.openxmlformats.org/officeDocument/2006/customXml" ds:itemID="{F4C71068-31FC-4EC8-8060-EA86EC454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7D7F6-B544-4AEB-9736-8F8C4C6847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B05325-DA83-4745-A1ED-FF3B28F2B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ca250-38ff-4ce0-a943-575e2b64cba9"/>
    <ds:schemaRef ds:uri="e1a78ac4-7176-4dde-ad25-36245d50a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4432</Words>
  <Characters>25267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ZECCA Giorgio (NEAR)</dc:creator>
  <cp:keywords/>
  <dc:description/>
  <cp:lastModifiedBy>ASUS VB15</cp:lastModifiedBy>
  <cp:revision>3</cp:revision>
  <cp:lastPrinted>2024-04-26T06:18:00Z</cp:lastPrinted>
  <dcterms:created xsi:type="dcterms:W3CDTF">2024-06-14T19:05:00Z</dcterms:created>
  <dcterms:modified xsi:type="dcterms:W3CDTF">2024-06-14T19:08:00Z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2023-11-06T12:38:24Z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e7e624bc-c270-4f3a-ad59-cecf72c1c03c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0x010100F696901220668F4BB3A67BE672005023</vt:lpwstr>
  </property>
</Properties>
</file>