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77777777" w:rsidR="008675CA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MODEL</w:t>
      </w:r>
      <w:r w:rsidR="00463C25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I 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P</w:t>
      </w:r>
      <w:r w:rsidR="00044810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Ë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R DOKUMENTIN KONSULTATIV</w:t>
      </w:r>
    </w:p>
    <w:p w14:paraId="6372D3DD" w14:textId="1599909A" w:rsidR="008675CA" w:rsidRDefault="00E54C97" w:rsidP="001E4573">
      <w:pPr>
        <w:pStyle w:val="BodyText"/>
        <w:jc w:val="center"/>
        <w:rPr>
          <w:rFonts w:asciiTheme="minorHAnsi" w:hAnsiTheme="minorHAnsi" w:cstheme="minorHAnsi"/>
          <w:bCs/>
          <w:szCs w:val="22"/>
          <w:u w:val="single"/>
          <w:lang w:val="fr-FR"/>
        </w:rPr>
      </w:pPr>
      <w:r w:rsidRPr="009940D3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sq-AL"/>
        </w:rPr>
        <w:t>P</w:t>
      </w:r>
      <w:r w:rsidR="00044810" w:rsidRPr="009940D3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sq-AL"/>
        </w:rPr>
        <w:t>ë</w:t>
      </w:r>
      <w:r w:rsidRPr="009940D3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sq-AL"/>
        </w:rPr>
        <w:t>r draftin</w:t>
      </w:r>
      <w:r w:rsidR="00BE5D02" w:rsidRPr="009940D3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sq-AL"/>
        </w:rPr>
        <w:t xml:space="preserve"> e Projekt-ligjit “Për disa shtesa dhe ndryshime në ligjin nr. 10091, datë  05.03.2009, “Për auditimin ligjor, organizimin e profesionit të </w:t>
      </w:r>
      <w:r w:rsidR="009940D3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sq-AL"/>
        </w:rPr>
        <w:t xml:space="preserve">audituesit ligjor </w:t>
      </w:r>
      <w:r w:rsidR="00BE5D02" w:rsidRPr="009940D3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lang w:val="sq-AL"/>
        </w:rPr>
        <w:t>dhe të kontabilistit të miratuar, i ndryshuar</w:t>
      </w:r>
      <w:r w:rsidR="00BE5D02" w:rsidRPr="009940D3">
        <w:rPr>
          <w:rFonts w:ascii="Times New Roman" w:hAnsi="Times New Roman"/>
          <w:bCs/>
          <w:color w:val="000000"/>
          <w:sz w:val="24"/>
          <w:szCs w:val="24"/>
          <w:u w:val="single"/>
          <w:lang w:val="sq-AL"/>
        </w:rPr>
        <w:t>”</w:t>
      </w:r>
      <w:r w:rsidR="008675CA" w:rsidRPr="009940D3">
        <w:rPr>
          <w:rFonts w:asciiTheme="minorHAnsi" w:hAnsiTheme="minorHAnsi" w:cstheme="minorHAnsi"/>
          <w:bCs/>
          <w:szCs w:val="22"/>
          <w:u w:val="single"/>
          <w:lang w:val="fr-FR"/>
        </w:rPr>
        <w:t>:</w:t>
      </w:r>
    </w:p>
    <w:p w14:paraId="3FB97530" w14:textId="77777777" w:rsidR="00DD529E" w:rsidRPr="00200893" w:rsidRDefault="00DD529E" w:rsidP="001E4573">
      <w:pPr>
        <w:pStyle w:val="BodyText"/>
        <w:jc w:val="center"/>
        <w:rPr>
          <w:rFonts w:asciiTheme="minorHAnsi" w:hAnsiTheme="minorHAnsi" w:cstheme="minorHAnsi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56A73E5A" w:rsidR="008675CA" w:rsidRPr="0031076E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200893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Përcaktoni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shkruani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komentet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kujt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po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veçanërisht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), p.sh.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komente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përgjithshme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)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komuniteti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ekspert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përfaqësuese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komunitetit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biznesit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organizatat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joqeveritare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përvojë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="00E54C97" w:rsidRPr="0031076E">
              <w:rPr>
                <w:rFonts w:asciiTheme="minorHAnsi" w:hAnsiTheme="minorHAnsi" w:cstheme="minorHAnsi"/>
                <w:i/>
                <w:szCs w:val="22"/>
              </w:rPr>
              <w:t>.)</w:t>
            </w:r>
          </w:p>
          <w:p w14:paraId="4E53E155" w14:textId="0EA4E753" w:rsidR="00C90EA0" w:rsidRPr="00EA3A45" w:rsidRDefault="00B21881" w:rsidP="00C90EA0">
            <w:pPr>
              <w:pStyle w:val="BodyText"/>
              <w:spacing w:line="259" w:lineRule="auto"/>
              <w:jc w:val="both"/>
              <w:rPr>
                <w:rStyle w:val="cf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="00C90EA0"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fton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qytetarë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organizata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shoqërisë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civile,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ekspertë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fushës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përfaqësues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publikut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interesuar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kontribuar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procesit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konsultimit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projektligjit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A45">
              <w:rPr>
                <w:rStyle w:val="cf31"/>
                <w:rFonts w:ascii="Times New Roman" w:hAnsi="Times New Roman" w:cs="Times New Roman"/>
                <w:sz w:val="24"/>
                <w:szCs w:val="24"/>
              </w:rPr>
              <w:t>“</w:t>
            </w:r>
            <w:r w:rsidRPr="00EA3A45">
              <w:rPr>
                <w:bCs/>
                <w:i/>
                <w:iCs/>
                <w:color w:val="000000"/>
                <w:lang w:val="sq-AL"/>
              </w:rPr>
              <w:t>Për disa shtesa dhe ndryshime në ligjin nr. 10091, datë  05.03.2009, “Për auditimin ligjor, organizimin e profesionit të audituesit ligjor dhe të kontabilistit të miratuar, i ndryshuar</w:t>
            </w:r>
            <w:r w:rsidRPr="00EA3A45">
              <w:rPr>
                <w:rStyle w:val="cf41"/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CEA29" w14:textId="5F655AA9" w:rsidR="00B21881" w:rsidRPr="00EA3A45" w:rsidRDefault="00B21881" w:rsidP="00C90EA0">
            <w:pPr>
              <w:pStyle w:val="BodyText"/>
              <w:spacing w:line="259" w:lineRule="auto"/>
              <w:jc w:val="both"/>
              <w:rPr>
                <w:rStyle w:val="cf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mirëpret</w:t>
            </w:r>
            <w:proofErr w:type="spellEnd"/>
            <w:r w:rsidR="00C90EA0"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0EA0" w:rsidRPr="00EA3A4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</w:t>
            </w:r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omente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përcaktimet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projektligjit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kryesisht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tërësinë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dispozitave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synojnë</w:t>
            </w:r>
            <w:proofErr w:type="spellEnd"/>
            <w:r w:rsidRPr="00EA3A45">
              <w:rPr>
                <w:rStyle w:val="cf2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CF993A" w14:textId="799881DA" w:rsidR="00B21881" w:rsidRPr="00EA3A45" w:rsidRDefault="00B21881" w:rsidP="00B21881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Përcaktim më të qartë të njësive që janë të detyruara të kryejnë auditimin ligjor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, element i r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sish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m sidomos p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r ato nj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si q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sishme p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r interesin publik.</w:t>
            </w:r>
          </w:p>
          <w:p w14:paraId="041680EE" w14:textId="50BC873F" w:rsidR="00B21881" w:rsidRPr="00EA3A45" w:rsidRDefault="00B21881" w:rsidP="00C90E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Qartësimin e procesit dhe koncepteve të lidhura me auditimin ligjor të NJEIP,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përforcimi i funksioneve të komitetit të auditimit, 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an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t e k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tij komiteti si dhe detyrat, 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përcaktimi i detyrimit të kryerjes së rishikimit të kontrollit  të cilësisë së angazhimit, raportimi ndaj komitetit të auditimit, etj).</w:t>
            </w:r>
          </w:p>
          <w:p w14:paraId="6A03FAC6" w14:textId="6CD846BF" w:rsidR="00B21881" w:rsidRPr="00EA3A45" w:rsidRDefault="00B21881" w:rsidP="00B21881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Qartësim më i plotë në lidhje me realizimin e disa procedurave bazë të punës që duhet të kryhen nga audituesit ligjorë, në mbështetje të përcaktimeve që ka dhe direktiva përkatëse. Kryesisht, kanë të bëjnë me përcaktimin e rregullave bazë të auditimit që lidhen me kohën e angazhimit të auditimit, me mbajtjen e regjistrave përkatës si për shkeljet e kryera dhe për çdo klient të audituesit, mbajtjen e një dosje auditimi për çdo auditim ligjor dhe dosje për çdo angazhim në dhënien e sigurisë për raportimin e qëndrueshmërisë si dhe regjistrimin nga ana e audituesit të çdo ankese të ardhur ndaj tij në lidhje me angazhimet në raportimin e qëndrueshmërisë.</w:t>
            </w:r>
          </w:p>
          <w:p w14:paraId="24F7BE50" w14:textId="0CCC3F4F" w:rsidR="00B21881" w:rsidRPr="00EA3A45" w:rsidRDefault="00B21881" w:rsidP="00B21881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Gjithashtu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komente priten dhe 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procesin e kontrollit të cilësisë, në qartësimin më të madh të roleve dhe funksioneve të institucioneve rregullatore të kësaj fush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rritjen e zbatueshmërisë së standardeve të auditimit si dhe në qartësimin e sistemit të masave sanksionuese (një detajim dhe qartësim i masave - të  shprehura në  % të  qarkullimit vjetor, 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mbi 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sanksionimi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n e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organeve drejtuese të NJEIP (në përputhje me rregulloren përkatëse të BE, element i cili mungon në ligjin aktual), 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mbi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publikimi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n e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masave, raportimi i shkeljeve si dhe 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mbi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përgjegjësi</w:t>
            </w:r>
            <w:r w:rsidR="00C90EA0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administrative të strukturave të organizatës profesionale të audituesve ligjorë, në  rast shkeljeje nga ana e tyre).</w:t>
            </w:r>
          </w:p>
          <w:p w14:paraId="4E74FA28" w14:textId="77777777" w:rsidR="001552A1" w:rsidRDefault="00C90EA0" w:rsidP="001552A1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A3A45">
              <w:rPr>
                <w:rFonts w:ascii="Times New Roman" w:hAnsi="Times New Roman"/>
                <w:sz w:val="24"/>
                <w:szCs w:val="24"/>
                <w:lang w:val="sq-AL"/>
              </w:rPr>
              <w:t>Një element i rëndësishëm që vjen si risi, mbështetur në direktivat e BE në lidhje me auditimin ligjor dhe të kontabilitetit të sektorit privat, është përfshirja e detyrimit ligjor për audituesit ligjorë të dhënies së sigurisë për raportimin e qëndrueshmërisë.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Ndaj, komente priten dhe n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k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raport, si do 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realizohet, si do p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rfshihet n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kurrikulat ky informacion gjat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trajnimit 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vijuesh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m profesional, kush do e ofroj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</w:t>
            </w:r>
            <w:r w:rsidR="00EA3A4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A3A45" w:rsidRPr="00EA3A45">
              <w:rPr>
                <w:rFonts w:ascii="Times New Roman" w:hAnsi="Times New Roman"/>
                <w:sz w:val="24"/>
                <w:szCs w:val="24"/>
                <w:lang w:val="sq-AL"/>
              </w:rPr>
              <w:t>rbim, etj.</w:t>
            </w:r>
          </w:p>
          <w:p w14:paraId="303D0B21" w14:textId="49A2188C" w:rsidR="001552A1" w:rsidRPr="001552A1" w:rsidRDefault="001552A1" w:rsidP="001552A1">
            <w:pPr>
              <w:spacing w:line="259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Kontributet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tuaja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konsiderohen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përgjatë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procesit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përmirësimit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mëtejshëm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projektligjit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Ministria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Financave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përmbledhë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gjitha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sugjerimet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komentet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tuaja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japë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sqarime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për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mënyrën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ato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janë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reflektuar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projektakt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edhe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rast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mendimet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nuk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reflektohen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projektligj</w:t>
            </w:r>
            <w:proofErr w:type="spellEnd"/>
            <w:r w:rsidRPr="001552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07036DC" w14:textId="13C504C9" w:rsidR="001552A1" w:rsidRPr="001552A1" w:rsidRDefault="001552A1" w:rsidP="000D4C66">
            <w:pPr>
              <w:spacing w:line="259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297458DA" w14:textId="2D7D2AC3" w:rsidR="001E4573" w:rsidRDefault="001E4573" w:rsidP="003F766E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5863E002" w14:textId="5A861312" w:rsidR="001552A1" w:rsidRPr="003F766E" w:rsidRDefault="001552A1" w:rsidP="003F766E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Konsultimi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publik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zgjasë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të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paktën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ditë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pune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sikurse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kërkon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ligji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nëpërmjet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publikimit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në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RENJK,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nga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data 06.06.2024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deri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>më</w:t>
            </w:r>
            <w:proofErr w:type="spellEnd"/>
            <w:r w:rsidRPr="001552A1">
              <w:rPr>
                <w:rFonts w:ascii="Times New Roman" w:hAnsi="Times New Roman"/>
                <w:bCs/>
                <w:sz w:val="24"/>
                <w:szCs w:val="24"/>
              </w:rPr>
              <w:t xml:space="preserve"> 04.07.2024</w:t>
            </w: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350DED6E" w14:textId="329D15A8" w:rsidR="008675CA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Shkrua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rgjigjen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palët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interesuara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publi</w:t>
            </w:r>
            <w:r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p.sh. Me </w:t>
            </w:r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email:,</w:t>
            </w:r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post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:, Duke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plotësuar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formularin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internet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RENJKP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siguroni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l</w:t>
            </w:r>
            <w:r>
              <w:rPr>
                <w:rFonts w:asciiTheme="minorHAnsi" w:hAnsiTheme="minorHAnsi" w:cstheme="minorHAnsi"/>
                <w:i/>
                <w:szCs w:val="22"/>
              </w:rPr>
              <w:t>inket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drejtpërdrejt</w:t>
            </w:r>
            <w:r>
              <w:rPr>
                <w:rFonts w:asciiTheme="minorHAnsi" w:hAnsiTheme="minorHAnsi" w:cstheme="minorHAnsi"/>
                <w:i/>
                <w:szCs w:val="22"/>
              </w:rPr>
              <w:t>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8675CA" w:rsidRPr="00200893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01476C66" w14:textId="77777777" w:rsidR="00603867" w:rsidRPr="00954742" w:rsidRDefault="00603867" w:rsidP="00603867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Palët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interesuara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mund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përgjigjen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me:</w:t>
            </w:r>
          </w:p>
          <w:p w14:paraId="2C163888" w14:textId="7B73CC44" w:rsidR="00603867" w:rsidRPr="00954742" w:rsidRDefault="0042770E" w:rsidP="00603867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Postë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elektronike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e-mail</w:t>
            </w:r>
            <w:proofErr w:type="gram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  <w:r w:rsidR="00A40401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proofErr w:type="gramEnd"/>
            <w:r w:rsidR="00031BAB" w:rsidRPr="00954742">
              <w:rPr>
                <w:rStyle w:val="Hyperlink"/>
                <w:iCs/>
              </w:rPr>
              <w:t xml:space="preserve">    </w:t>
            </w:r>
          </w:p>
          <w:p w14:paraId="3D3FDC35" w14:textId="0185A601" w:rsidR="008675CA" w:rsidRDefault="0042770E" w:rsidP="009F3A3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ostë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>zyrtare</w:t>
            </w:r>
            <w:proofErr w:type="spellEnd"/>
            <w:r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adresën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Bulevardi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“</w:t>
            </w:r>
            <w:proofErr w:type="spell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Dëshmorët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Kombit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”, Nr 3; </w:t>
            </w:r>
            <w:proofErr w:type="spell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Tiranë</w:t>
            </w:r>
            <w:proofErr w:type="spellEnd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gramStart"/>
            <w:r w:rsidR="00603867" w:rsidRPr="00954742">
              <w:rPr>
                <w:rFonts w:ascii="Times New Roman" w:hAnsi="Times New Roman"/>
                <w:iCs/>
                <w:sz w:val="24"/>
                <w:szCs w:val="24"/>
              </w:rPr>
              <w:t>Albania</w:t>
            </w:r>
            <w:r w:rsidR="00A40401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proofErr w:type="gramEnd"/>
          </w:p>
          <w:p w14:paraId="273FC5BE" w14:textId="77777777" w:rsidR="00A558F8" w:rsidRDefault="00A40401" w:rsidP="009F3A3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36298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DFA60E9" w14:textId="4140F8EF" w:rsidR="00DD529E" w:rsidRPr="000D4C66" w:rsidRDefault="00DD529E" w:rsidP="00A558F8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25A5EEA" w14:textId="22B693ED" w:rsidR="001552A1" w:rsidRPr="00603867" w:rsidRDefault="001552A1" w:rsidP="00A558F8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rmjet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pjesmarrjes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gjes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n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publike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do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ë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zhvillohet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nga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MF me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grupet</w:t>
            </w:r>
            <w:proofErr w:type="spellEnd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A558F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interesit</w:t>
            </w:r>
            <w:proofErr w:type="spellEnd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korrik</w:t>
            </w:r>
            <w:proofErr w:type="spellEnd"/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2024.</w:t>
            </w: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1B16AFF6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jepen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nat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kontaktit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koordinatorit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përkat</w:t>
            </w:r>
            <w:r>
              <w:rPr>
                <w:rFonts w:asciiTheme="minorHAnsi" w:hAnsiTheme="minorHAnsi" w:cstheme="minorHAnsi"/>
                <w:i/>
                <w:szCs w:val="22"/>
              </w:rPr>
              <w:t>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ndonjë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personi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tjetër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cilit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drejtohen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pyetjet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1DDF6498" w14:textId="77777777" w:rsidR="00DD529E" w:rsidRDefault="00DD529E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50692A49" w14:textId="77777777" w:rsidR="00603867" w:rsidRPr="00A40401" w:rsidRDefault="00603867" w:rsidP="000502A8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A4040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Amela Kora</w:t>
            </w:r>
          </w:p>
          <w:p w14:paraId="6D881C04" w14:textId="77777777" w:rsidR="00603867" w:rsidRPr="00A40401" w:rsidRDefault="00603867" w:rsidP="000502A8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A4040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Amela.kora@financa.gov.al </w:t>
            </w:r>
          </w:p>
          <w:p w14:paraId="3637B89E" w14:textId="00BD0CFA" w:rsidR="009F26EA" w:rsidRPr="00200893" w:rsidRDefault="009F26EA" w:rsidP="00D079DE">
            <w:pPr>
              <w:pStyle w:val="BodyText"/>
              <w:spacing w:line="259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48470D15" w14:textId="77777777" w:rsidR="00A558F8" w:rsidRDefault="00E54C97" w:rsidP="00A558F8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="00A558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Siguroni</w:t>
      </w:r>
      <w:proofErr w:type="spellEnd"/>
      <w:r w:rsidR="00A558F8" w:rsidRPr="00E54C97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informacionin</w:t>
      </w:r>
      <w:proofErr w:type="spellEnd"/>
      <w:r w:rsidR="00A558F8" w:rsidRPr="00E54C97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nëse</w:t>
      </w:r>
      <w:proofErr w:type="spellEnd"/>
      <w:r w:rsidR="00A558F8" w:rsidRPr="00E54C97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ato</w:t>
      </w:r>
      <w:proofErr w:type="spellEnd"/>
      <w:r w:rsidR="00A558F8" w:rsidRPr="00E54C97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janë</w:t>
      </w:r>
      <w:proofErr w:type="spellEnd"/>
      <w:r w:rsidR="00A558F8" w:rsidRPr="00E54C97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të</w:t>
      </w:r>
      <w:proofErr w:type="spellEnd"/>
      <w:r w:rsidR="00A558F8" w:rsidRPr="00E54C97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A558F8" w:rsidRPr="00E54C97">
        <w:rPr>
          <w:rFonts w:asciiTheme="minorHAnsi" w:hAnsiTheme="minorHAnsi" w:cstheme="minorHAnsi"/>
          <w:i/>
          <w:szCs w:val="22"/>
        </w:rPr>
        <w:t>organizuar</w:t>
      </w:r>
      <w:proofErr w:type="spellEnd"/>
      <w:r w:rsidR="00A558F8">
        <w:rPr>
          <w:rFonts w:asciiTheme="minorHAnsi" w:hAnsiTheme="minorHAnsi" w:cstheme="minorHAnsi"/>
          <w:i/>
          <w:szCs w:val="22"/>
        </w:rPr>
        <w:t>.</w:t>
      </w:r>
    </w:p>
    <w:p w14:paraId="3524433B" w14:textId="68CDBCD0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1C16210A" w14:textId="72192F2F" w:rsidR="00A558F8" w:rsidRDefault="009F26EA" w:rsidP="000502A8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Gjat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draftimit fillestar t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projekt-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ligjit, </w:t>
            </w:r>
            <w:r w:rsidR="009D5C0B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përgjatë muajve </w:t>
            </w:r>
            <w:r w:rsidR="001552A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</w:t>
            </w:r>
            <w:r w:rsidR="009D5C0B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htator – </w:t>
            </w:r>
            <w:r w:rsidR="001552A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</w:t>
            </w:r>
            <w:r w:rsidR="009D5C0B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hjetor 2023, 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konsulenti lokal i kontraktuar nga </w:t>
            </w:r>
            <w:r w:rsidR="00CA38B3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</w:t>
            </w:r>
            <w:r w:rsidR="0035666F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anka </w:t>
            </w:r>
            <w:r w:rsidR="00CA38B3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</w:t>
            </w:r>
            <w:r w:rsidR="0035666F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otërore</w:t>
            </w:r>
            <w:r w:rsidR="00CA38B3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ka organizuar 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takime </w:t>
            </w:r>
            <w:r w:rsidR="00422BBA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paraprake 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me I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nstitutin e 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kspertëve 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ontabël të 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utorizuar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(IEKA) 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dhe me 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Bordin e Mbikëqyrjes Publike (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BMP</w:t>
            </w:r>
            <w:r w:rsidR="00EA17C7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)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</w:t>
            </w:r>
            <w:r w:rsidR="0036298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t</w:t>
            </w:r>
            <w:r w:rsidR="0036298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marr</w:t>
            </w:r>
            <w:r w:rsidR="0036298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komentet e tyre</w:t>
            </w:r>
            <w:r w:rsidR="009864B2"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paraprake.</w:t>
            </w:r>
          </w:p>
          <w:p w14:paraId="225A0334" w14:textId="2E3E1639" w:rsidR="00525299" w:rsidRPr="009D5C0B" w:rsidRDefault="00E7396B" w:rsidP="000502A8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Nd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rkoh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, n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dat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 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18 Korrik 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parashikuar nj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takim konsultativ me nj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grup</w:t>
            </w:r>
            <w:r w:rsidR="009864B2" w:rsidRPr="009F26E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audituesit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</w:t>
            </w:r>
            <w:r w:rsidR="009864B2" w:rsidRPr="009F26E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ligjorë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si dhe me organizatat profesionale t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fush</w:t>
            </w:r>
            <w:r w:rsidR="0036298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174FC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</w:t>
            </w:r>
            <w:r w:rsidR="009864B2" w:rsidRPr="009F26E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27FAC696" w14:textId="77777777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ka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nevojë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rregulloren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re/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ndryshuar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d.m.th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gjendja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aktuale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rregulluar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janë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sfidat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problemet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mangësitë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praktikës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proofErr w:type="gramStart"/>
            <w:r w:rsidRPr="00E54C97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rregulloreve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ekzistuese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çfar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eshte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bërë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kaluarën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ashtu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siç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keto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politika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EE425BA" w14:textId="16ED1B09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Ministria e Financave (MF) po drejton zbatimin e reformës së përmirësimit të raportimit financiar në përputhje me standardet dhe praktikat e mira ndërkombëtare, me mbështetjen e Bankës Botërore (BB), duke përmirësuar kornizën ligjore, me qëllim rritjen e cilësisë së raportimit financiar në vend. Kjo reformë mbështetet në tre shtylla kryesore, të cilat kanë të bëjnë me:</w:t>
            </w:r>
          </w:p>
          <w:p w14:paraId="368C824C" w14:textId="602F4F7C" w:rsidR="00287567" w:rsidRPr="00287567" w:rsidRDefault="00287567" w:rsidP="005243BF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69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Përmirësimin e kuadrit institucional të palëve të përfshira në reformë;</w:t>
            </w:r>
          </w:p>
          <w:p w14:paraId="18A57B34" w14:textId="16E2A46A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këtë kuadër, janë realizuar një sërë ndryshimesh ligjore në fushën e raportimit financiar dhe auditimit ligjor, me qëllim kryesor miratimin e një kuadri të shëndoshë të raportimit financiar të përshtatur për nevojat e ekonomisë shqiptare dhe të harmonizuar me acquis communautaire të BE-së si dhe me praktikat më të mira ndërkombëtare.</w:t>
            </w:r>
          </w:p>
          <w:p w14:paraId="4A3BFB72" w14:textId="44F5E6F2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kuadër të prioriteteve të reformës, në fokus është përditësimi i vazhdueshëm i Standardeve Kombëtare të Kontabilitetit dhe në këtë kontekst është krijuar dhe mbështetur forcimi i Këshillit Kombëtar të Kontabilitetit, me qëllim kryesor përmbushjen e kërkesave rregullatore dhe përgatitjen e standardeve për profesionin e kontabilistit.</w:t>
            </w:r>
          </w:p>
          <w:p w14:paraId="3C841909" w14:textId="417FEB61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Po kështu, është krijuar sistemi i mbikëqyrjes publike të audituesve ligjorë dhe të shoqërive audituese duke patur si qëllim që të rrisë sigurinë, që auditimet ligjore kryhen në një mjedis transparent, të kontrolluar dhe të kujdesshëm e në shërbim të interesit publik.</w:t>
            </w:r>
          </w:p>
          <w:p w14:paraId="32C14C28" w14:textId="77777777" w:rsidR="00287567" w:rsidRPr="00287567" w:rsidRDefault="00287567" w:rsidP="005243BF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69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Konsolidimin e kapacitetit institucional për të zbatuar acquis communautaire të fushës së raportimit financiar; </w:t>
            </w:r>
          </w:p>
          <w:p w14:paraId="3C9364DC" w14:textId="77777777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këtë kontekst, përveç aktorëve kryesorë të tillë si KKK, BMP, organizatat profesionale të kontabilistëve dhe audituesve ligjorë, janë mbështetur edhe rregullatorë të tjerë të tillë si Banka e Shqipërisë dhe Autoriteti i Mbikëqyrjes Financiare, lidhur me krijimin e një sistemi të qëndrueshëm të trajnimit dhe edukimit mbi zbatimin dhe imponimin e zbatimit të standardeve të kontabilitetit dhe auditimit. Gjithashtu, në këtë kuadër është mbështetur administrata tatimore lidhur me përdorimin e standardeve ndërkombëtare të raportimit financiar dhe përdorimi i tyre në raportimin fiskal. Qendra Kombëtare e Biznesit gjithashtu, ka zhvilluar një sistem efikas të regjistrimit dhe publikimit të pasqyrave financiare të njësive ekonomike, në përputhje me pjesët përkatëse të acquis communautaire.</w:t>
            </w:r>
          </w:p>
          <w:p w14:paraId="7D912CF3" w14:textId="77777777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kuadër të reformës, mbështetje e veçantë është dhënë edhe për organizatën profesionale të audituesve ligjore (IEKA) me qëllim shndërrimin e saj në një organ profesional kompetent për kryerjen e detyrave të tij, si subjekt i mbikëqyrjes publike, në funksion të përmirësimit të cilëisë së auditimit ligjor dhe mbrojtjes së interesit publik.</w:t>
            </w:r>
          </w:p>
          <w:p w14:paraId="45766F19" w14:textId="77777777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Organizatat profesionale të kontabilitetit janë mbështetur në zhvillimin dhe zbatimin e proceseve dhe procedurave të përmirësuara të strukturuara, që do të lejojnë realizimin e veprimtarisë së tyre në mënyrë efektive, efikase dhe në përputhje me praktikat e mira ndërkombëtare. Objektivi është rregullimi i duhur i profesionit të kontabilistit, pa dëmtuar </w:t>
            </w: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konkurrencën, përveç sigurimit të mbrojtjes së palëve të treta që marrin shërbime nga një kontabilist.</w:t>
            </w:r>
          </w:p>
          <w:p w14:paraId="64DE521B" w14:textId="6476AFAA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Një rol të rëndësishëm në fushën e raportimit financiar luajnë dhe Institucionet e Arsimit të Lartë. Në këtë kontekst, këto institucione janë mbështetur për të përmirësuar modulet dhe programet mësimore lidhur me Standardet Ndërkombëtare të Auditimit dhe Kontabilitetit, me qëllimin përfundimtar përmirësimin e cilësisë së të diplomuarve në këto fusha.</w:t>
            </w:r>
          </w:p>
          <w:p w14:paraId="44C32F40" w14:textId="77777777" w:rsidR="00287567" w:rsidRPr="00287567" w:rsidRDefault="00287567" w:rsidP="005243BF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69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Rritjen e ndërgjegjësimit mbi raportimin financiar dhe auditimin ligjor në vend.</w:t>
            </w:r>
          </w:p>
          <w:p w14:paraId="7193B9A2" w14:textId="58C7FE5B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Në këtë drejtim janë ndërmarrë një sërë aktivitetesh lidhur me ndërgjegjësimin publik mbi ekonominë informale dhe përfitimet e përmirësimit të cilësisë së kontabilitetit dhe auditimit ligjor. </w:t>
            </w:r>
          </w:p>
          <w:p w14:paraId="423C67B3" w14:textId="064932E7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Një vëmendje e veçantë i është kushtuar rritjes së kapaciteteve të industrisë së kontabilitetit nëpërmjet gjenerimit të të ardhurave nga burime të reja, duke krijuar një mjedis më të mirë për prodhimin e raportimit financiar me cilësi të lartë në përgjithësi.</w:t>
            </w:r>
          </w:p>
          <w:p w14:paraId="4EF08D50" w14:textId="4ACDFA52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Sa më sipër, duke patur si qëllim kryesor përmirësimin e cilësisë së auditimit ligjor dhe përafrimin e mëtejshëm të kuadrit rregullator të fushës së kontabilitetit dhe auditimit të vendit tonë me praktikat më të mira, si dhe përafrimin e mëtejshëm me direktivat dhe rregulloret përkatëse të Bashkimit Evropian (BE), MF ka iniciiuar ndërmarrjen e aktiviteteve në kuadër të ndryshimit të ligjit nr. 10091, datë 05.03.2009 “Për auditimin ligjor, organizimin e profesionit të audituesit ligjor dhe të kontabilistit të miratuar, të ndryshuar”. Lidhur me përafrimin e mëtejshëm të kuadrit rregullator të fushës me acquis communautaire, realizimi i ndryshimeve të këtij ligji i përgjigjet kërkesave të paraqitura në Kapitullin 6 “Legjislacioni tregtar” të raportit të progresit të BE për vendin tonë, si dhe në Planin Kombëtar për Integrimin Evropian (2024–2026), të cilat kërkojnë harmonizimin e mëtejshëm të kuadrit ligjor për kontabilitetin, transparencën dhe auditimin ligjor me acquis më të fundit të BE-së në këto fusha; dhe forcimin e kapaciteteve të Bordit të Mbikëqyrjes Publike (BMP) përsa i përket burimeve njerëzore dhe financimit të këtij institucioni.  </w:t>
            </w:r>
          </w:p>
          <w:p w14:paraId="7D6A02C9" w14:textId="77777777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Gjithashtu, rishikimi i këtij ligji mbështet angazhimin e qeverisë shqiptare për përmbushjen e masave të ndërmarra në kuadër të kërkesave që ka dokumenti i BB mbi Huanë e Politikave Zhvillimore (DPL), i cili mbështetet në 3 shtylla kryesore. Një nga shtyllat kryesore të këtij dokumenti ka të bëjë me mbrojtjen e mjedisit dhe duke qenë se ndryshimet e propozuara në ligj lidhen edhe me dhënien e sigurisë mbi raportimin e qëndrueshmërisë të hartuar nga njësitë ekonomike përkatëse në vendin tonë, këto ndryshime do të japin kontribut në rritjen e ndërgjegjësimit ndaj çështjeve jofinanciare, si ato mjedisore, sociale, korrupsionin, etj.</w:t>
            </w:r>
          </w:p>
          <w:p w14:paraId="66F9D938" w14:textId="77777777" w:rsidR="00287567" w:rsidRPr="00287567" w:rsidRDefault="00287567" w:rsidP="00287567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Mbi sa më sipër, në tërësi, projekt-ligji synon të arrijë këto objektiva:</w:t>
            </w:r>
          </w:p>
          <w:p w14:paraId="28812BCB" w14:textId="77777777" w:rsidR="00CD2A64" w:rsidRDefault="00287567" w:rsidP="00CD2A64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78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Përafrimin e legjislacionit me atë të BE, në mënyrë që të përmbushë kërkesat e përcaktuara në Kapitullin 6 të acquis communautaire;</w:t>
            </w:r>
          </w:p>
          <w:p w14:paraId="12FF7EBA" w14:textId="77777777" w:rsidR="00CD2A64" w:rsidRDefault="00287567" w:rsidP="00CD2A64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78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D2A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Përcaktim më të qartë të njësive që janë të detyruara të kryejnë auditimin ligjor;</w:t>
            </w:r>
          </w:p>
          <w:p w14:paraId="63537A58" w14:textId="77777777" w:rsidR="00CD2A64" w:rsidRDefault="00287567" w:rsidP="00CD2A64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78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D2A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Përmirësimin e implementimit të mëtejshëm të ligjit, duke përmirësuar dhe forcuar rregullat për kryerjen e auditimit ligjor të njësive me interes publik (NJEIP)</w:t>
            </w:r>
            <w:r w:rsidR="00CD2A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;</w:t>
            </w:r>
          </w:p>
          <w:p w14:paraId="44672099" w14:textId="77777777" w:rsidR="00CD2A64" w:rsidRDefault="00287567" w:rsidP="00CD2A64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78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D2A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Përcaktimi i detyrimit për dhënien e sigurisë mbi raportimin e qëndrueshmërisë nga shoqëritë e auditimit;</w:t>
            </w:r>
          </w:p>
          <w:p w14:paraId="5F1664D1" w14:textId="77777777" w:rsidR="00CD2A64" w:rsidRDefault="00287567" w:rsidP="00CD2A64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78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D2A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Qartësim më të plotë në lidhje me realizimin e disa procedurave bazë të punës që duhet të kryhen nga audituesit ligjorë, në mbështetje të përcaktimeve që ka dhe direktiva përkatëse; si dhe</w:t>
            </w:r>
          </w:p>
          <w:p w14:paraId="49BAD1B8" w14:textId="4B358404" w:rsidR="00287567" w:rsidRPr="00CD2A64" w:rsidRDefault="00287567" w:rsidP="00CD2A64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780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D2A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Qartësimin e terminologjive përkatëse ku janë hasur problematika, me synim unifikimin dhe përmirësimin e zbatueshmërisë së këtij ligji.</w:t>
            </w:r>
          </w:p>
          <w:p w14:paraId="7590D3B8" w14:textId="297D8965" w:rsidR="001E4573" w:rsidRPr="00775063" w:rsidRDefault="00287567" w:rsidP="00775063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875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Realizimi i këtyre objektivave, në kuadër të ndryshimeve përkatëse, do të bëjë të mundur rritjen e cilësisë dhe përgjegjshmërisë së audituesve ligjorë dhe shoqërive të auditimit, duke forcuar qeverisjen e brendshme të njësive ekonomike me interes publik, përmirësuar punën e audituesve ligjorë, duke krijuar në këtë mënyrë një treg më profesional dhe transparent të auditimit ligjor. Në të njëjtën kohë, raportimi financiar i shëndoshë dhe transparent luan një rol kyç në rritjen e besimit të investitorëve të brendshëm dhe të huaj, si një kriter i rëndësishëm për inkurajimin e investimeve, inovacionit dhe rritjes ekonomike në vend. Një kuadër ligjor konçiz dhe i fortë, i shoqëruar nga profesione të forta të kontabilitetit dhe auditimit ligjor do të çojë në rritjen e besimit të investitorëve dhe publikut.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C2738A3" w14:textId="77777777" w:rsidR="00DD529E" w:rsidRDefault="00DD529E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39D97EB" w14:textId="77777777" w:rsidR="00DD529E" w:rsidRDefault="00DD529E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2C492EA2" w14:textId="77777777" w:rsidR="008675C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Renditni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mënyrë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shkurtër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koncize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propozimet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ndryshimet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doni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prezantoni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rregullore</w:t>
            </w:r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reja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Përdorni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nj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gjuhë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thjeshtë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226C4409" w14:textId="77777777" w:rsidR="009544C2" w:rsidRPr="00C07830" w:rsidRDefault="009544C2" w:rsidP="009544C2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Në këtë kuadër, </w:t>
            </w: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ndryshimet kryesore të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propozuara</w:t>
            </w: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lidhen me këto fusha kryesore:</w:t>
            </w:r>
          </w:p>
          <w:p w14:paraId="2E7ABF19" w14:textId="77777777" w:rsidR="009544C2" w:rsidRPr="00C07830" w:rsidRDefault="009544C2" w:rsidP="009544C2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Përcaktim më të qartë të njësive që janë të detyruara të kryejnë auditimin ligjor. </w:t>
            </w:r>
          </w:p>
          <w:p w14:paraId="3601F3E8" w14:textId="77777777" w:rsidR="009544C2" w:rsidRPr="00C07830" w:rsidRDefault="009544C2" w:rsidP="009544C2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Një element i rëndësishëm që vjen si risi, mbështetur në direktivat e BE në lidhje me auditimin ligjor dhe të kontabilitetit të sektorit privat, është përfshirja e detyrimit ligjor për audituesit ligjorë të dhënies së sigurisë për raportimin e qëndrueshmërisë (sipas direktivës përkatëse të kontabilitetit, raporti do të përgatitet nga njësitë ekonomike të mëdha, duke hyrë në fuqi gradualisht deri në vitin 2028). Aktualisht, një raportim i tillë në vendin tonë është përfshirë pjesërisht në ligjin nr. 25/2018 “Për kontabilitetin dhe pasqyrat financiare”.</w:t>
            </w:r>
          </w:p>
          <w:p w14:paraId="03F6CC40" w14:textId="77777777" w:rsidR="009544C2" w:rsidRPr="00C07830" w:rsidRDefault="009544C2" w:rsidP="009544C2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Qartësimin e procesit dhe koncepteve të lidhura me auditimin ligjor të NJEIP, bazuar në rregulloren e BE (përforcimi i funksioneve të komitetit të auditimit, përcaktimi i detyrimit të kryerjes së rishikimit të kontrollit  të cilësisë së angazhimit, raportimi ndaj komitetit të auditimit, etj).</w:t>
            </w:r>
          </w:p>
          <w:p w14:paraId="2E0652DF" w14:textId="77777777" w:rsidR="009544C2" w:rsidRPr="00C07830" w:rsidRDefault="009544C2" w:rsidP="009544C2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Qartësim më i plotë në lidhje me realizimin e disa procedurave bazë të punës që duhet të kryhen nga audituesit ligjorë, në mbështetje të përcaktimeve që ka dhe direktiva përkatëse. Kryesisht, shtesat kanë të bëjnë me përcaktimin e rregullave bazë të auditimit që lidhen me kohën e angazhimit të auditimit, me mbajtjen e regjistrave përkatës si për shkeljet e kryera dhe për çdo klient të audituesit, mbajtjen e një dosje auditimi për çdo auditim ligjor dhe dosje për çdo angazhim në dhënien e sigurisë për raportimin e qëndrueshmërisë si dhe regjistrimin nga ana e audituesit të çdo ankese të ardhur ndaj tij në lidhje me angazhimet në raportimin e qëndrueshmërisë.</w:t>
            </w:r>
          </w:p>
          <w:p w14:paraId="7A7AF454" w14:textId="1B55626A" w:rsidR="001E4573" w:rsidRPr="009544C2" w:rsidRDefault="009544C2" w:rsidP="009544C2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0783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Gjithashtu, në kuadër të qartësimit më të madh dhe përmirësimit të problematikave të evidentuara më parë në lidhje me zbatueshmërinë e ligjit aktual, ndryshime të vogla janë realizuar dhe në disa aspekte të përshtatura me kontekstin lokal si: në procesin e kontrollit të cilësisë, në qartësimin më të madh të roleve dhe funksioneve të institucioneve rregullatore të kësaj fushë, në rritjen e zbatueshmërisë së standardeve të auditimit si dhe në qartësimin e sistemit të masave sanksionuese (një detajim dhe qartësim i masave - të  shprehura në  % të  qarkullimit vjetor, është përcaktuar sanksionimi i organeve drejtuese të NJEIP (në përputhje me rregulloren përkatëse të BE, element i cili mungon në ligjin aktual), është qartësuar procesi i publikimit të masave, raportimi i shkeljeve si dhe është bërë një përcaktim më i qartë i përgjegjësive administrative të strukturave të organizatës profesionale të audituesve ligjorë, në  rast shkeljeje nga ana e tyre).</w:t>
            </w: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6F85D1AB" w14:textId="77777777" w:rsidTr="009F3A30">
        <w:tc>
          <w:tcPr>
            <w:tcW w:w="9212" w:type="dxa"/>
          </w:tcPr>
          <w:p w14:paraId="137B2358" w14:textId="77777777" w:rsidR="001E4573" w:rsidRPr="00DB3664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Listoni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pyetje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po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reagime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Ato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lidhen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propozimet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tuaja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(p.sh. A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propozimin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duhet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ndërmerren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veprime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mëtejshme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rritur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ne e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quajm</w:t>
            </w:r>
            <w:r w:rsidR="00044810" w:rsidRPr="00DB3664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shkelje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..., A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pajtoheni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përkufizimin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tonë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ri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...,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.)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thjesht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përdoren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mbledhur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dhëna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shtesë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ju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kërkoni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(p.sh. Cili do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ishte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ndikimi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propozimeve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tona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biznesin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tuaj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organizatat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 xml:space="preserve">A e </w:t>
            </w:r>
            <w:proofErr w:type="spellStart"/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>bën</w:t>
            </w:r>
            <w:proofErr w:type="spellEnd"/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>organizata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>j</w:t>
            </w:r>
            <w:r w:rsidRPr="00DB3664">
              <w:rPr>
                <w:rFonts w:asciiTheme="minorHAnsi" w:hAnsiTheme="minorHAnsi" w:cstheme="minorHAnsi"/>
                <w:i/>
                <w:szCs w:val="22"/>
              </w:rPr>
              <w:t>uaj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...,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etj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.). Ju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mund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merrni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parasysh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kufizimin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gjatësisë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përgjigjeve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proofErr w:type="gramStart"/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 w:rsidRPr="00DB3664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>r</w:t>
            </w:r>
            <w:proofErr w:type="spellEnd"/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pyetje</w:t>
            </w:r>
            <w:r w:rsidR="00785430" w:rsidRPr="00DB3664">
              <w:rPr>
                <w:rFonts w:asciiTheme="minorHAnsi" w:hAnsiTheme="minorHAnsi" w:cstheme="minorHAnsi"/>
                <w:i/>
                <w:szCs w:val="22"/>
              </w:rPr>
              <w:t>t</w:t>
            </w:r>
            <w:proofErr w:type="spellEnd"/>
            <w:proofErr w:type="gram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individuale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 xml:space="preserve"> (p.sh. 250/500 </w:t>
            </w:r>
            <w:proofErr w:type="spellStart"/>
            <w:r w:rsidRPr="00DB3664">
              <w:rPr>
                <w:rFonts w:asciiTheme="minorHAnsi" w:hAnsiTheme="minorHAnsi" w:cstheme="minorHAnsi"/>
                <w:i/>
                <w:szCs w:val="22"/>
              </w:rPr>
              <w:t>fjalë</w:t>
            </w:r>
            <w:proofErr w:type="spellEnd"/>
            <w:r w:rsidRPr="00DB3664">
              <w:rPr>
                <w:rFonts w:asciiTheme="minorHAnsi" w:hAnsiTheme="minorHAnsi" w:cstheme="minorHAnsi"/>
                <w:i/>
                <w:szCs w:val="22"/>
              </w:rPr>
              <w:t>).</w:t>
            </w:r>
          </w:p>
          <w:p w14:paraId="7F1F9E13" w14:textId="77777777" w:rsidR="001E4573" w:rsidRDefault="00003BCF" w:rsidP="00003BCF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kuadër të ndryshimeve të ligjit “</w:t>
            </w:r>
            <w:r w:rsidRPr="00DB366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Për disa shtesa dhe ndryshime në ligjin nr. 10091, datë  05.03.2009, </w:t>
            </w:r>
            <w:r w:rsidRPr="00DB366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“Për auditimin ligjor, organizimin e profesionit të </w:t>
            </w:r>
            <w:r w:rsidR="008B7A51" w:rsidRPr="00DB366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sq-AL"/>
              </w:rPr>
              <w:t>audituesit ligjor</w:t>
            </w:r>
            <w:r w:rsidRPr="00DB366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 dhe të kontabilistit të miratuar, i ndryshuar</w:t>
            </w:r>
            <w:r w:rsidRPr="00DB3664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”, </w:t>
            </w:r>
            <w:r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g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jatë gjysmës së dytë të Korrikut</w:t>
            </w:r>
            <w:r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,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në ambientet e Ministrisë së Financave </w:t>
            </w:r>
            <w:r w:rsidR="00BF68AE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do 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realizohen seancat dëgjimore</w:t>
            </w:r>
            <w:r w:rsidR="00BF68AE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me pal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F68AE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t e 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interesit. Në këto dëgjesa do ftohen të gjitha palët që të japin opinionet apo komentet e tyre në lidhje me draft-ligjin ku secila palë jep komentet e saj përsa i përket teknikës legjislative, tabelave të përputhshmërisë</w:t>
            </w:r>
            <w:r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, 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anës teknike për çështjet e zbatimit </w:t>
            </w:r>
            <w:r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apo për çdo aspekt tjetër sipas fushave përkatëse të kompetencës</w:t>
            </w:r>
            <w:r w:rsidR="0052219F" w:rsidRPr="00DB366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72D4489F" w14:textId="4373EE0A" w:rsidR="00DB3664" w:rsidRPr="00DB3664" w:rsidRDefault="00DB3664" w:rsidP="00003BCF">
            <w:pPr>
              <w:pStyle w:val="BodyText"/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Pyetjet q</w:t>
            </w:r>
            <w:r w:rsidR="003F766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 mund të diskutohen janë si më poshtë:</w:t>
            </w:r>
          </w:p>
          <w:p w14:paraId="40D556F0" w14:textId="77777777" w:rsidR="00E34BBA" w:rsidRPr="00DB3664" w:rsidRDefault="00EE7AE5" w:rsidP="003F766E">
            <w:pPr>
              <w:pStyle w:val="NormalWeb"/>
              <w:spacing w:before="0" w:beforeAutospacing="0" w:after="0" w:afterAutospacing="0"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 xml:space="preserve">Si i vlerësoni përcaktimet në projektligj, kryesisht mbi çështjet e: </w:t>
            </w:r>
          </w:p>
          <w:p w14:paraId="52EC4748" w14:textId="3DBCAC4F" w:rsidR="00EE7AE5" w:rsidRPr="00DB3664" w:rsidRDefault="00EE7AE5" w:rsidP="003F766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dhënies së sigurisë për raportimin e qëndrueshmërisë</w:t>
            </w:r>
            <w:r w:rsidR="00E34BBA" w:rsidRPr="00DB3664">
              <w:rPr>
                <w:bCs/>
                <w:lang w:val="sq-AL"/>
              </w:rPr>
              <w:t>,</w:t>
            </w:r>
          </w:p>
          <w:p w14:paraId="189570E4" w14:textId="47449FD7" w:rsidR="00E34BBA" w:rsidRPr="00DB3664" w:rsidRDefault="00EE7AE5" w:rsidP="003F766E">
            <w:pPr>
              <w:pStyle w:val="NormalWeb"/>
              <w:numPr>
                <w:ilvl w:val="0"/>
                <w:numId w:val="1"/>
              </w:numPr>
              <w:spacing w:before="0" w:beforeAutospacing="0"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përforcimi</w:t>
            </w:r>
            <w:r w:rsidR="00E34BBA" w:rsidRPr="00DB3664">
              <w:rPr>
                <w:bCs/>
                <w:lang w:val="sq-AL"/>
              </w:rPr>
              <w:t>n</w:t>
            </w:r>
            <w:r w:rsidRPr="00DB3664">
              <w:rPr>
                <w:bCs/>
                <w:lang w:val="sq-AL"/>
              </w:rPr>
              <w:t xml:space="preserve"> </w:t>
            </w:r>
            <w:r w:rsidR="00E34BBA" w:rsidRPr="00DB3664">
              <w:rPr>
                <w:bCs/>
                <w:lang w:val="sq-AL"/>
              </w:rPr>
              <w:t>e</w:t>
            </w:r>
            <w:r w:rsidRPr="00DB3664">
              <w:rPr>
                <w:bCs/>
                <w:lang w:val="sq-AL"/>
              </w:rPr>
              <w:t xml:space="preserve"> funksioneve të komitetit të auditimit, </w:t>
            </w:r>
          </w:p>
          <w:p w14:paraId="1FE685CD" w14:textId="77777777" w:rsidR="00E34BBA" w:rsidRPr="00DB3664" w:rsidRDefault="00EE7AE5" w:rsidP="00E34BBA">
            <w:pPr>
              <w:pStyle w:val="NormalWeb"/>
              <w:numPr>
                <w:ilvl w:val="0"/>
                <w:numId w:val="1"/>
              </w:numPr>
              <w:spacing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përcaktimi</w:t>
            </w:r>
            <w:r w:rsidR="00E34BBA" w:rsidRPr="00DB3664">
              <w:rPr>
                <w:bCs/>
                <w:lang w:val="sq-AL"/>
              </w:rPr>
              <w:t>n</w:t>
            </w:r>
            <w:r w:rsidRPr="00DB3664">
              <w:rPr>
                <w:bCs/>
                <w:lang w:val="sq-AL"/>
              </w:rPr>
              <w:t xml:space="preserve"> </w:t>
            </w:r>
            <w:r w:rsidR="00E34BBA" w:rsidRPr="00DB3664">
              <w:rPr>
                <w:bCs/>
                <w:lang w:val="sq-AL"/>
              </w:rPr>
              <w:t>e</w:t>
            </w:r>
            <w:r w:rsidRPr="00DB3664">
              <w:rPr>
                <w:bCs/>
                <w:lang w:val="sq-AL"/>
              </w:rPr>
              <w:t xml:space="preserve"> detyrimit të kryerjes së rishikimit të kontrollit të cilësisë së angazhimit,</w:t>
            </w:r>
          </w:p>
          <w:p w14:paraId="77C52326" w14:textId="150FF2E9" w:rsidR="00EE7AE5" w:rsidRPr="00DB3664" w:rsidRDefault="00EE7AE5" w:rsidP="00E34BBA">
            <w:pPr>
              <w:pStyle w:val="NormalWeb"/>
              <w:numPr>
                <w:ilvl w:val="0"/>
                <w:numId w:val="1"/>
              </w:numPr>
              <w:spacing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raportimi</w:t>
            </w:r>
            <w:r w:rsidR="00E34BBA" w:rsidRPr="00DB3664">
              <w:rPr>
                <w:bCs/>
                <w:lang w:val="sq-AL"/>
              </w:rPr>
              <w:t>n</w:t>
            </w:r>
            <w:r w:rsidRPr="00DB3664">
              <w:rPr>
                <w:bCs/>
                <w:lang w:val="sq-AL"/>
              </w:rPr>
              <w:t xml:space="preserve"> ndaj komitetit të auditimit</w:t>
            </w:r>
          </w:p>
          <w:p w14:paraId="71B707FC" w14:textId="77777777" w:rsidR="00EE7AE5" w:rsidRPr="00DB3664" w:rsidRDefault="00EE7AE5" w:rsidP="003F766E">
            <w:pPr>
              <w:pStyle w:val="NormalWeb"/>
              <w:spacing w:before="0" w:beforeAutospacing="0" w:after="0" w:afterAutospacing="0"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A jeni dakord me parashikimet e përcaktuara në projektligj, kryesisht për:</w:t>
            </w:r>
          </w:p>
          <w:p w14:paraId="5CDB41F2" w14:textId="77777777" w:rsidR="00E34BBA" w:rsidRPr="00DB3664" w:rsidRDefault="00E34BBA" w:rsidP="003F766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përcaktimin e rregullave bazë të auditimit që lidhen me kohën e angazhimit të auditimit,</w:t>
            </w:r>
          </w:p>
          <w:p w14:paraId="433C2DAB" w14:textId="77777777" w:rsidR="00E34BBA" w:rsidRPr="00DB3664" w:rsidRDefault="00E34BBA" w:rsidP="003F766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9" w:lineRule="auto"/>
              <w:jc w:val="both"/>
              <w:rPr>
                <w:bCs/>
                <w:lang w:val="sq-AL"/>
              </w:rPr>
            </w:pPr>
            <w:r w:rsidRPr="00DB3664">
              <w:rPr>
                <w:bCs/>
                <w:lang w:val="sq-AL"/>
              </w:rPr>
              <w:t>me mbajtjen e regjistrave përkatës si për shkeljet e kryera dhe për çdo klient të audituesit,</w:t>
            </w:r>
          </w:p>
          <w:p w14:paraId="3D4086F2" w14:textId="56021C1F" w:rsidR="00EE7AE5" w:rsidRPr="00DB3664" w:rsidRDefault="00E34BBA" w:rsidP="003F766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59" w:lineRule="auto"/>
              <w:jc w:val="both"/>
            </w:pPr>
            <w:r w:rsidRPr="00DB3664">
              <w:rPr>
                <w:bCs/>
                <w:lang w:val="sq-AL"/>
              </w:rPr>
              <w:t>mbajtjen e një dosje auditimi për çdo auditim ligjor dhe dosje për çdo angazhim në dhënien e sigurisë për raportimin e qëndrueshmërisë si dhe regjistrimin nga ana e audituesit të çdo ankese të ardhur ndaj tij në lidhje me angazhimet në raportimin e qëndrueshmërisë.</w:t>
            </w:r>
          </w:p>
        </w:tc>
      </w:tr>
    </w:tbl>
    <w:p w14:paraId="7F08B1D8" w14:textId="565324C5" w:rsidR="008675CA" w:rsidRDefault="008675CA"/>
    <w:sectPr w:rsidR="008675CA" w:rsidSect="00453FEB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199D8" w14:textId="77777777" w:rsidR="002748A1" w:rsidRDefault="002748A1" w:rsidP="0007611D">
      <w:r>
        <w:separator/>
      </w:r>
    </w:p>
  </w:endnote>
  <w:endnote w:type="continuationSeparator" w:id="0">
    <w:p w14:paraId="05803A52" w14:textId="77777777" w:rsidR="002748A1" w:rsidRDefault="002748A1" w:rsidP="0007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050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9543C" w14:textId="6A5A3C4C" w:rsidR="0007611D" w:rsidRDefault="000761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8821D" w14:textId="77777777" w:rsidR="0007611D" w:rsidRDefault="0007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BED0" w14:textId="77777777" w:rsidR="002748A1" w:rsidRDefault="002748A1" w:rsidP="0007611D">
      <w:r>
        <w:separator/>
      </w:r>
    </w:p>
  </w:footnote>
  <w:footnote w:type="continuationSeparator" w:id="0">
    <w:p w14:paraId="3837494A" w14:textId="77777777" w:rsidR="002748A1" w:rsidRDefault="002748A1" w:rsidP="0007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E74"/>
    <w:multiLevelType w:val="hybridMultilevel"/>
    <w:tmpl w:val="66EAA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EE"/>
    <w:multiLevelType w:val="hybridMultilevel"/>
    <w:tmpl w:val="D8DC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34F"/>
    <w:multiLevelType w:val="hybridMultilevel"/>
    <w:tmpl w:val="0070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62546"/>
    <w:multiLevelType w:val="hybridMultilevel"/>
    <w:tmpl w:val="4F4CAA4C"/>
    <w:lvl w:ilvl="0" w:tplc="A9EC599C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86F5F1C"/>
    <w:multiLevelType w:val="hybridMultilevel"/>
    <w:tmpl w:val="E0D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13E8F"/>
    <w:multiLevelType w:val="hybridMultilevel"/>
    <w:tmpl w:val="82EC241E"/>
    <w:lvl w:ilvl="0" w:tplc="0D3AE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187F3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C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C6F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6A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20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84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2432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00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701981">
    <w:abstractNumId w:val="3"/>
  </w:num>
  <w:num w:numId="2" w16cid:durableId="957684757">
    <w:abstractNumId w:val="2"/>
  </w:num>
  <w:num w:numId="3" w16cid:durableId="662854125">
    <w:abstractNumId w:val="5"/>
  </w:num>
  <w:num w:numId="4" w16cid:durableId="778141272">
    <w:abstractNumId w:val="4"/>
  </w:num>
  <w:num w:numId="5" w16cid:durableId="482311224">
    <w:abstractNumId w:val="0"/>
  </w:num>
  <w:num w:numId="6" w16cid:durableId="856575157">
    <w:abstractNumId w:val="1"/>
  </w:num>
  <w:num w:numId="7" w16cid:durableId="16028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03BCF"/>
    <w:rsid w:val="00031BAB"/>
    <w:rsid w:val="00044810"/>
    <w:rsid w:val="000502A8"/>
    <w:rsid w:val="00051B2A"/>
    <w:rsid w:val="0007611D"/>
    <w:rsid w:val="000A56E9"/>
    <w:rsid w:val="000D4C66"/>
    <w:rsid w:val="00103C86"/>
    <w:rsid w:val="001552A1"/>
    <w:rsid w:val="001E4573"/>
    <w:rsid w:val="002077D9"/>
    <w:rsid w:val="00267155"/>
    <w:rsid w:val="002748A1"/>
    <w:rsid w:val="00287567"/>
    <w:rsid w:val="002E09E6"/>
    <w:rsid w:val="0031076E"/>
    <w:rsid w:val="0035666F"/>
    <w:rsid w:val="00362982"/>
    <w:rsid w:val="003D0E30"/>
    <w:rsid w:val="003E1731"/>
    <w:rsid w:val="003E7849"/>
    <w:rsid w:val="003F766E"/>
    <w:rsid w:val="00422BBA"/>
    <w:rsid w:val="0042770E"/>
    <w:rsid w:val="00433791"/>
    <w:rsid w:val="00453FEB"/>
    <w:rsid w:val="00463C25"/>
    <w:rsid w:val="00473E2B"/>
    <w:rsid w:val="004C5AE2"/>
    <w:rsid w:val="0052219F"/>
    <w:rsid w:val="005243BF"/>
    <w:rsid w:val="00525299"/>
    <w:rsid w:val="00542172"/>
    <w:rsid w:val="00574E6C"/>
    <w:rsid w:val="00590287"/>
    <w:rsid w:val="005B3DED"/>
    <w:rsid w:val="00603867"/>
    <w:rsid w:val="00653E27"/>
    <w:rsid w:val="006A61FD"/>
    <w:rsid w:val="00775063"/>
    <w:rsid w:val="00785430"/>
    <w:rsid w:val="008109A8"/>
    <w:rsid w:val="0082734C"/>
    <w:rsid w:val="008675CA"/>
    <w:rsid w:val="008B7A51"/>
    <w:rsid w:val="009544C2"/>
    <w:rsid w:val="00954742"/>
    <w:rsid w:val="009864B2"/>
    <w:rsid w:val="009940D3"/>
    <w:rsid w:val="009D5C0B"/>
    <w:rsid w:val="009E3B92"/>
    <w:rsid w:val="009F26EA"/>
    <w:rsid w:val="00A40401"/>
    <w:rsid w:val="00A558F8"/>
    <w:rsid w:val="00A57AD2"/>
    <w:rsid w:val="00B21881"/>
    <w:rsid w:val="00B77F98"/>
    <w:rsid w:val="00B8325D"/>
    <w:rsid w:val="00BD2CC2"/>
    <w:rsid w:val="00BE5D02"/>
    <w:rsid w:val="00BF68AE"/>
    <w:rsid w:val="00C174FC"/>
    <w:rsid w:val="00C90EA0"/>
    <w:rsid w:val="00CA38B3"/>
    <w:rsid w:val="00CC3D10"/>
    <w:rsid w:val="00CD2A64"/>
    <w:rsid w:val="00D079DE"/>
    <w:rsid w:val="00DB3664"/>
    <w:rsid w:val="00DD529E"/>
    <w:rsid w:val="00DF1CEC"/>
    <w:rsid w:val="00E07C06"/>
    <w:rsid w:val="00E34BBA"/>
    <w:rsid w:val="00E54C97"/>
    <w:rsid w:val="00E7396B"/>
    <w:rsid w:val="00EA17C7"/>
    <w:rsid w:val="00EA3A45"/>
    <w:rsid w:val="00EE7AE5"/>
    <w:rsid w:val="00F201B3"/>
    <w:rsid w:val="00F32124"/>
    <w:rsid w:val="00F321EA"/>
    <w:rsid w:val="00F87100"/>
    <w:rsid w:val="00FE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20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1B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9864B2"/>
    <w:pPr>
      <w:spacing w:after="16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4B2"/>
    <w:rPr>
      <w:sz w:val="20"/>
      <w:szCs w:val="20"/>
      <w:lang w:val="en-US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OBC Bullet"/>
    <w:basedOn w:val="Normal"/>
    <w:link w:val="ListParagraphChar"/>
    <w:uiPriority w:val="1"/>
    <w:qFormat/>
    <w:rsid w:val="009864B2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1"/>
    <w:qFormat/>
    <w:locked/>
    <w:rsid w:val="009864B2"/>
    <w:rPr>
      <w:rFonts w:ascii="Calibri" w:eastAsia="Times New Roman" w:hAnsi="Calibri" w:cs="Times New Roman"/>
      <w:sz w:val="22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7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11D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11D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558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8F8"/>
    <w:pPr>
      <w:spacing w:after="0"/>
    </w:pPr>
    <w:rPr>
      <w:rFonts w:ascii="Arial" w:eastAsia="Times New Roman" w:hAnsi="Arial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8F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pf0">
    <w:name w:val="pf0"/>
    <w:basedOn w:val="Normal"/>
    <w:rsid w:val="00B2188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B2188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2188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B2188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B21881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DefaultParagraphFont"/>
    <w:rsid w:val="00B21881"/>
    <w:rPr>
      <w:rFonts w:ascii="Segoe UI" w:hAnsi="Segoe UI" w:cs="Segoe UI" w:hint="default"/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B2188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552A1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3</cp:revision>
  <dcterms:created xsi:type="dcterms:W3CDTF">2024-07-26T07:07:00Z</dcterms:created>
  <dcterms:modified xsi:type="dcterms:W3CDTF">2024-07-26T08:44:00Z</dcterms:modified>
</cp:coreProperties>
</file>