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9D1D" w14:textId="77777777" w:rsidR="00505E9E" w:rsidRPr="00061623" w:rsidRDefault="00505E9E" w:rsidP="00505E9E">
      <w:pPr>
        <w:jc w:val="center"/>
        <w:rPr>
          <w:rFonts w:ascii="Segoe UI Symbol" w:eastAsia="Malgun Gothic" w:hAnsi="Segoe UI Symbol"/>
          <w:b/>
          <w:lang w:val="sq-AL" w:eastAsia="ko-KR"/>
        </w:rPr>
      </w:pPr>
      <w:r w:rsidRPr="00061623">
        <w:rPr>
          <w:b/>
          <w:lang w:val="sq-AL"/>
        </w:rPr>
        <w:t>Raport vlerësues për numrin e gjyqtarëve në Gjykatën Administrative të Apelit</w:t>
      </w:r>
      <w:r w:rsidR="007A3C7B" w:rsidRPr="00061623">
        <w:rPr>
          <w:b/>
          <w:lang w:val="sq-AL"/>
        </w:rPr>
        <w:t xml:space="preserve"> dhe numrin e përgjithshëm të gjyqtarëve në Republikën e Shqipërisë</w:t>
      </w:r>
    </w:p>
    <w:p w14:paraId="6F7F41BE" w14:textId="77777777" w:rsidR="00C2644E" w:rsidRDefault="00C2644E" w:rsidP="00C2644E">
      <w:pPr>
        <w:pStyle w:val="Heading1"/>
        <w:ind w:left="900"/>
        <w:jc w:val="both"/>
        <w:rPr>
          <w:lang w:val="sq-AL"/>
        </w:rPr>
      </w:pPr>
      <w:r>
        <w:rPr>
          <w:lang w:val="sq-AL"/>
        </w:rPr>
        <w:t>Kuadri Vlerësues</w:t>
      </w:r>
    </w:p>
    <w:p w14:paraId="0009F88F" w14:textId="77777777" w:rsidR="00505E9E" w:rsidRPr="00061623" w:rsidRDefault="00505E9E" w:rsidP="00505E9E">
      <w:pPr>
        <w:jc w:val="both"/>
        <w:rPr>
          <w:lang w:val="sq-AL"/>
        </w:rPr>
      </w:pPr>
      <w:r w:rsidRPr="00061623">
        <w:rPr>
          <w:lang w:val="sq-AL"/>
        </w:rPr>
        <w:t xml:space="preserve">Këshilli i Lartë Gjyqësor, mbështetur në nenin 147, pika 1, 147/a, pika 1, shkronja ‘ë’, të Kushtetutës së Republikës së Shqipërisë, nenin 84, të ligjit nr. 115/2016, “Për organet e qeverisjes së sistemit të drejtësisë”, i ndryshuar, nenet 21 dhe 22 të ligjit nr. 98/2016, “Për organizimin e pushtetit gjyqësor në Republikën e Shqipërisë”, i ndryshuar, është organi përgjegjës për propozimin e numrit të përgjithshëm të gjyqtarëve në Republikën e Shqipërisë bashkë me propozimin për buxhetin e sistemit gjyqësor me qëllim sigurimin e ngarkesës së ekuilibruar të punës së të gjitha gjyqtarëve në Shqipëri. Këshilli i Lartë Gjyqësor mbikëqyr ngarkesën e çështjeve gjyqësore dhe punës së gjykatave dhe nëse është e nevojshme rishikon numrin e gjyqtarëve. </w:t>
      </w:r>
    </w:p>
    <w:p w14:paraId="19913408" w14:textId="77777777" w:rsidR="00747F55" w:rsidRPr="00061623" w:rsidRDefault="0016570F" w:rsidP="00505E9E">
      <w:pPr>
        <w:pStyle w:val="BodyText"/>
        <w:jc w:val="both"/>
        <w:rPr>
          <w:lang w:val="sq-AL"/>
        </w:rPr>
      </w:pPr>
      <w:r w:rsidRPr="00061623">
        <w:rPr>
          <w:lang w:val="sq-AL"/>
        </w:rPr>
        <w:t>Ky raport synon t</w:t>
      </w:r>
      <w:r w:rsidR="00DB5CA3" w:rsidRPr="00061623">
        <w:rPr>
          <w:lang w:val="sq-AL"/>
        </w:rPr>
        <w:t>ë</w:t>
      </w:r>
      <w:r w:rsidRPr="00061623">
        <w:rPr>
          <w:lang w:val="sq-AL"/>
        </w:rPr>
        <w:t xml:space="preserve"> vler</w:t>
      </w:r>
      <w:r w:rsidR="00DB5CA3" w:rsidRPr="00061623">
        <w:rPr>
          <w:lang w:val="sq-AL"/>
        </w:rPr>
        <w:t>ë</w:t>
      </w:r>
      <w:r w:rsidRPr="00061623">
        <w:rPr>
          <w:lang w:val="sq-AL"/>
        </w:rPr>
        <w:t>soj</w:t>
      </w:r>
      <w:r w:rsidR="00DB5CA3" w:rsidRPr="00061623">
        <w:rPr>
          <w:lang w:val="sq-AL"/>
        </w:rPr>
        <w:t>ë</w:t>
      </w:r>
      <w:r w:rsidRPr="00061623">
        <w:rPr>
          <w:lang w:val="sq-AL"/>
        </w:rPr>
        <w:t xml:space="preserve"> zhvillimet n</w:t>
      </w:r>
      <w:r w:rsidR="00DB5CA3" w:rsidRPr="00061623">
        <w:rPr>
          <w:lang w:val="sq-AL"/>
        </w:rPr>
        <w:t>ë</w:t>
      </w:r>
      <w:r w:rsidRPr="00061623">
        <w:rPr>
          <w:lang w:val="sq-AL"/>
        </w:rPr>
        <w:t xml:space="preserve"> lidhje me </w:t>
      </w:r>
      <w:r w:rsidR="00505E9E" w:rsidRPr="00061623">
        <w:rPr>
          <w:lang w:val="sq-AL"/>
        </w:rPr>
        <w:t>ngarkesën e ekuilibruar të punës dhe numrin</w:t>
      </w:r>
      <w:r w:rsidRPr="00061623">
        <w:rPr>
          <w:lang w:val="sq-AL"/>
        </w:rPr>
        <w:t xml:space="preserve"> </w:t>
      </w:r>
      <w:r w:rsidR="00505E9E" w:rsidRPr="00061623">
        <w:rPr>
          <w:lang w:val="sq-AL"/>
        </w:rPr>
        <w:t>e</w:t>
      </w:r>
      <w:r w:rsidRPr="00061623">
        <w:rPr>
          <w:lang w:val="sq-AL"/>
        </w:rPr>
        <w:t xml:space="preserve"> gjyqtar</w:t>
      </w:r>
      <w:r w:rsidR="00DB5CA3" w:rsidRPr="00061623">
        <w:rPr>
          <w:lang w:val="sq-AL"/>
        </w:rPr>
        <w:t>ë</w:t>
      </w:r>
      <w:r w:rsidRPr="00061623">
        <w:rPr>
          <w:lang w:val="sq-AL"/>
        </w:rPr>
        <w:t xml:space="preserve">ve </w:t>
      </w:r>
      <w:r w:rsidR="005F3867" w:rsidRPr="00061623">
        <w:rPr>
          <w:lang w:val="sq-AL"/>
        </w:rPr>
        <w:t>në Gjykatën Administrative të Apelit</w:t>
      </w:r>
      <w:r w:rsidRPr="00061623">
        <w:rPr>
          <w:lang w:val="sq-AL"/>
        </w:rPr>
        <w:t>.</w:t>
      </w:r>
      <w:r w:rsidR="005F3867" w:rsidRPr="00061623">
        <w:rPr>
          <w:lang w:val="sq-AL"/>
        </w:rPr>
        <w:t xml:space="preserve"> </w:t>
      </w:r>
      <w:r w:rsidR="00505E9E" w:rsidRPr="00061623">
        <w:rPr>
          <w:lang w:val="sq-AL"/>
        </w:rPr>
        <w:t>Si rrjedhojë, ky raport pas</w:t>
      </w:r>
      <w:r w:rsidR="006B5856" w:rsidRPr="00061623">
        <w:rPr>
          <w:lang w:val="sq-AL"/>
        </w:rPr>
        <w:t>sjell</w:t>
      </w:r>
      <w:r w:rsidR="00505E9E" w:rsidRPr="00061623">
        <w:rPr>
          <w:lang w:val="sq-AL"/>
        </w:rPr>
        <w:t xml:space="preserve"> edhe nevojën për ndryshimin e numrit të përgjithshëm të gjyqtarëve në Republikën e Shqipërisë. </w:t>
      </w:r>
      <w:r w:rsidRPr="00061623">
        <w:rPr>
          <w:lang w:val="sq-AL"/>
        </w:rPr>
        <w:t>T</w:t>
      </w:r>
      <w:r w:rsidR="00DB5CA3" w:rsidRPr="00061623">
        <w:rPr>
          <w:lang w:val="sq-AL"/>
        </w:rPr>
        <w:t>ë</w:t>
      </w:r>
      <w:r w:rsidRPr="00061623">
        <w:rPr>
          <w:lang w:val="sq-AL"/>
        </w:rPr>
        <w:t xml:space="preserve"> dh</w:t>
      </w:r>
      <w:r w:rsidR="000430CD" w:rsidRPr="00061623">
        <w:rPr>
          <w:lang w:val="sq-AL"/>
        </w:rPr>
        <w:t>ë</w:t>
      </w:r>
      <w:r w:rsidRPr="00061623">
        <w:rPr>
          <w:lang w:val="sq-AL"/>
        </w:rPr>
        <w:t>nat p</w:t>
      </w:r>
      <w:r w:rsidR="00DB5CA3" w:rsidRPr="00061623">
        <w:rPr>
          <w:lang w:val="sq-AL"/>
        </w:rPr>
        <w:t>ë</w:t>
      </w:r>
      <w:r w:rsidRPr="00061623">
        <w:rPr>
          <w:lang w:val="sq-AL"/>
        </w:rPr>
        <w:t>r analiz</w:t>
      </w:r>
      <w:r w:rsidR="00DB5CA3" w:rsidRPr="00061623">
        <w:rPr>
          <w:lang w:val="sq-AL"/>
        </w:rPr>
        <w:t>ë</w:t>
      </w:r>
      <w:r w:rsidRPr="00061623">
        <w:rPr>
          <w:lang w:val="sq-AL"/>
        </w:rPr>
        <w:t>n jan</w:t>
      </w:r>
      <w:r w:rsidR="00DB5CA3" w:rsidRPr="00061623">
        <w:rPr>
          <w:lang w:val="sq-AL"/>
        </w:rPr>
        <w:t>ë</w:t>
      </w:r>
      <w:r w:rsidRPr="00061623">
        <w:rPr>
          <w:lang w:val="sq-AL"/>
        </w:rPr>
        <w:t xml:space="preserve"> </w:t>
      </w:r>
      <w:r w:rsidR="005F3867" w:rsidRPr="00061623">
        <w:rPr>
          <w:lang w:val="sq-AL"/>
        </w:rPr>
        <w:t>vlerësuar nga Grupit i Punës për Hartimin e Strategjisë Për Uljen e Numrit të Çështjeve t</w:t>
      </w:r>
      <w:r w:rsidR="00A10E6C" w:rsidRPr="00061623">
        <w:rPr>
          <w:lang w:val="sq-AL"/>
        </w:rPr>
        <w:t>ë Prapambetura</w:t>
      </w:r>
      <w:r w:rsidR="00505E9E" w:rsidRPr="00061623">
        <w:rPr>
          <w:lang w:val="sq-AL"/>
        </w:rPr>
        <w:t xml:space="preserve">, </w:t>
      </w:r>
      <w:r w:rsidR="00AD6BCB" w:rsidRPr="00061623">
        <w:rPr>
          <w:lang w:val="sq-AL"/>
        </w:rPr>
        <w:t>bazuar në të dhënat e analizës vjetore të Gjykatës Administrative të Apelit dhe të dhënave të gjeneruara nga Sistemi Informatik i Menaxhimit të Çështjeve Gjyqësore.</w:t>
      </w:r>
      <w:r w:rsidR="00A10E6C" w:rsidRPr="00061623">
        <w:rPr>
          <w:lang w:val="sq-AL"/>
        </w:rPr>
        <w:t xml:space="preserve"> </w:t>
      </w:r>
      <w:r w:rsidR="00AD6BCB" w:rsidRPr="00061623">
        <w:rPr>
          <w:lang w:val="sq-AL"/>
        </w:rPr>
        <w:t>Grupi i punës është mbështetur</w:t>
      </w:r>
      <w:r w:rsidR="007A3C7B" w:rsidRPr="00061623">
        <w:rPr>
          <w:lang w:val="sq-AL"/>
        </w:rPr>
        <w:t xml:space="preserve"> në përpunimin dhe shpjegimin e të dhënave në këtë analizë</w:t>
      </w:r>
      <w:r w:rsidR="00AD6BCB" w:rsidRPr="00061623">
        <w:rPr>
          <w:lang w:val="sq-AL"/>
        </w:rPr>
        <w:t xml:space="preserve"> edhe nga Dr.</w:t>
      </w:r>
      <w:r w:rsidR="00A10E6C" w:rsidRPr="00061623">
        <w:rPr>
          <w:lang w:val="sq-AL"/>
        </w:rPr>
        <w:t xml:space="preserve"> Jesper Wittrup,</w:t>
      </w:r>
      <w:r w:rsidR="00AD6BCB" w:rsidRPr="00061623">
        <w:rPr>
          <w:lang w:val="sq-AL"/>
        </w:rPr>
        <w:t xml:space="preserve"> ekspert i lartë pranë Projektit</w:t>
      </w:r>
      <w:r w:rsidR="00CF0A7D">
        <w:rPr>
          <w:lang w:val="sq-AL"/>
        </w:rPr>
        <w:t xml:space="preserve"> </w:t>
      </w:r>
      <w:r w:rsidR="00CF0A7D" w:rsidRPr="00CF0A7D">
        <w:rPr>
          <w:lang w:val="sq-AL"/>
        </w:rPr>
        <w:t>“Reduktimi i çështjeve të prapambetura dhe rritja e efikasitetit të Gjykatës së Lartë”</w:t>
      </w:r>
      <w:r w:rsidR="00CF0A7D">
        <w:rPr>
          <w:lang w:val="sq-AL"/>
        </w:rPr>
        <w:t xml:space="preserve"> mbështetur nga </w:t>
      </w:r>
      <w:r w:rsidR="00CF0A7D" w:rsidRPr="00CF0A7D">
        <w:rPr>
          <w:lang w:val="sq-AL"/>
        </w:rPr>
        <w:t>Byro</w:t>
      </w:r>
      <w:r w:rsidR="00CF0A7D">
        <w:rPr>
          <w:lang w:val="sq-AL"/>
        </w:rPr>
        <w:t>ja</w:t>
      </w:r>
      <w:r w:rsidR="00CF0A7D" w:rsidRPr="00CF0A7D">
        <w:rPr>
          <w:lang w:val="sq-AL"/>
        </w:rPr>
        <w:t xml:space="preserve"> për Çështjet Ndërkombëtare të Narkotikëve dhe Ligjzbatimit (INL)</w:t>
      </w:r>
      <w:r w:rsidR="00CF0A7D">
        <w:rPr>
          <w:lang w:val="sq-AL"/>
        </w:rPr>
        <w:t xml:space="preserve">. </w:t>
      </w:r>
      <w:r w:rsidRPr="00061623">
        <w:rPr>
          <w:lang w:val="sq-AL"/>
        </w:rPr>
        <w:t xml:space="preserve"> </w:t>
      </w:r>
    </w:p>
    <w:p w14:paraId="7285E594" w14:textId="77777777" w:rsidR="00152486" w:rsidRDefault="00AD6BCB" w:rsidP="00CF0A7D">
      <w:pPr>
        <w:tabs>
          <w:tab w:val="left" w:pos="180"/>
        </w:tabs>
        <w:jc w:val="both"/>
        <w:rPr>
          <w:lang w:val="sq-AL"/>
        </w:rPr>
      </w:pPr>
      <w:r w:rsidRPr="00061623">
        <w:rPr>
          <w:lang w:val="sq-AL"/>
        </w:rPr>
        <w:t xml:space="preserve">Bazuar në dispozitën e mësipërme, pas miratimit të Vendimit të Këshillit të Ministrave nr. 495, datë 21.07.2022, “Për riorganizimin e rretheve gjyqësore dhe kompetencave tokësore të gjykatave”, Këshilli i Lartë Gjyqësor ka miratuar </w:t>
      </w:r>
      <w:r w:rsidR="00950D40" w:rsidRPr="00061623">
        <w:rPr>
          <w:lang w:val="sq-AL"/>
        </w:rPr>
        <w:t xml:space="preserve">Vendimin nr. 553, datë 29.12.2022, “Për caktimin e numrit të gjyqtarëve në gjykatën e apelit të juridiksionit të përgjithshëm”, </w:t>
      </w:r>
      <w:r w:rsidRPr="00061623">
        <w:rPr>
          <w:lang w:val="sq-AL"/>
        </w:rPr>
        <w:t xml:space="preserve">Vendimin nr. </w:t>
      </w:r>
      <w:r w:rsidR="007A3C7B" w:rsidRPr="00061623">
        <w:rPr>
          <w:lang w:val="sq-AL"/>
        </w:rPr>
        <w:t>146</w:t>
      </w:r>
      <w:r w:rsidRPr="00061623">
        <w:rPr>
          <w:lang w:val="sq-AL"/>
        </w:rPr>
        <w:t xml:space="preserve">, datë </w:t>
      </w:r>
      <w:r w:rsidR="007A3C7B" w:rsidRPr="00061623">
        <w:rPr>
          <w:lang w:val="sq-AL"/>
        </w:rPr>
        <w:t>29</w:t>
      </w:r>
      <w:r w:rsidRPr="00061623">
        <w:rPr>
          <w:lang w:val="sq-AL"/>
        </w:rPr>
        <w:t>.</w:t>
      </w:r>
      <w:r w:rsidR="007A3C7B" w:rsidRPr="00061623">
        <w:rPr>
          <w:lang w:val="sq-AL"/>
        </w:rPr>
        <w:t>03</w:t>
      </w:r>
      <w:r w:rsidRPr="00061623">
        <w:rPr>
          <w:lang w:val="sq-AL"/>
        </w:rPr>
        <w:t>.202</w:t>
      </w:r>
      <w:r w:rsidR="007A3C7B" w:rsidRPr="00061623">
        <w:rPr>
          <w:lang w:val="sq-AL"/>
        </w:rPr>
        <w:t>3</w:t>
      </w:r>
      <w:r w:rsidRPr="00061623">
        <w:rPr>
          <w:lang w:val="sq-AL"/>
        </w:rPr>
        <w:t>, “</w:t>
      </w:r>
      <w:r w:rsidR="007A3C7B" w:rsidRPr="00061623">
        <w:rPr>
          <w:lang w:val="sq-AL"/>
        </w:rPr>
        <w:t>Për caktimin e numrit të gjyqtarëve në gjykatat e shkallës së parë të juridiksionit të përgjithshëm”</w:t>
      </w:r>
      <w:r w:rsidR="00950D40" w:rsidRPr="00061623">
        <w:rPr>
          <w:lang w:val="sq-AL"/>
        </w:rPr>
        <w:t xml:space="preserve"> dhe</w:t>
      </w:r>
      <w:r w:rsidRPr="00061623">
        <w:rPr>
          <w:lang w:val="sq-AL"/>
        </w:rPr>
        <w:t xml:space="preserve"> Vendimin nr. </w:t>
      </w:r>
      <w:r w:rsidR="00950D40" w:rsidRPr="00061623">
        <w:rPr>
          <w:lang w:val="sq-AL"/>
        </w:rPr>
        <w:t>286</w:t>
      </w:r>
      <w:r w:rsidRPr="00061623">
        <w:rPr>
          <w:lang w:val="sq-AL"/>
        </w:rPr>
        <w:t xml:space="preserve">, datë </w:t>
      </w:r>
      <w:r w:rsidR="00950D40" w:rsidRPr="00061623">
        <w:rPr>
          <w:lang w:val="sq-AL"/>
        </w:rPr>
        <w:t>29</w:t>
      </w:r>
      <w:r w:rsidRPr="00061623">
        <w:rPr>
          <w:lang w:val="sq-AL"/>
        </w:rPr>
        <w:t>.</w:t>
      </w:r>
      <w:r w:rsidR="00950D40" w:rsidRPr="00061623">
        <w:rPr>
          <w:lang w:val="sq-AL"/>
        </w:rPr>
        <w:t>05</w:t>
      </w:r>
      <w:r w:rsidRPr="00061623">
        <w:rPr>
          <w:lang w:val="sq-AL"/>
        </w:rPr>
        <w:t>.202</w:t>
      </w:r>
      <w:r w:rsidR="00950D40" w:rsidRPr="00061623">
        <w:rPr>
          <w:lang w:val="sq-AL"/>
        </w:rPr>
        <w:t>3</w:t>
      </w:r>
      <w:r w:rsidRPr="00061623">
        <w:rPr>
          <w:lang w:val="sq-AL"/>
        </w:rPr>
        <w:t xml:space="preserve">, “Për </w:t>
      </w:r>
      <w:r w:rsidR="00950D40" w:rsidRPr="00061623">
        <w:rPr>
          <w:lang w:val="sq-AL"/>
        </w:rPr>
        <w:t>caktimin e numrit të gjyqtarëve në gjykatat administrative të shkallës së parë</w:t>
      </w:r>
      <w:r w:rsidRPr="00061623">
        <w:rPr>
          <w:lang w:val="sq-AL"/>
        </w:rPr>
        <w:t>”</w:t>
      </w:r>
      <w:r w:rsidR="00950D40" w:rsidRPr="00061623">
        <w:rPr>
          <w:lang w:val="sq-AL"/>
        </w:rPr>
        <w:t>. Në k</w:t>
      </w:r>
      <w:r w:rsidRPr="00061623">
        <w:rPr>
          <w:lang w:val="sq-AL"/>
        </w:rPr>
        <w:t>ëto vendime Këshilli ka parashikuar se</w:t>
      </w:r>
      <w:r w:rsidR="00152486" w:rsidRPr="00061623">
        <w:rPr>
          <w:lang w:val="sq-AL"/>
        </w:rPr>
        <w:t>,</w:t>
      </w:r>
      <w:r w:rsidRPr="00061623">
        <w:rPr>
          <w:lang w:val="sq-AL"/>
        </w:rPr>
        <w:t xml:space="preserve"> numri i gjyqtarëve të Gjykatës së Apelit me Juridiksion të Përgjithshëm </w:t>
      </w:r>
      <w:r w:rsidR="00152486" w:rsidRPr="00061623">
        <w:rPr>
          <w:lang w:val="sq-AL"/>
        </w:rPr>
        <w:t>është</w:t>
      </w:r>
      <w:r w:rsidR="00950D40" w:rsidRPr="00061623">
        <w:rPr>
          <w:lang w:val="sq-AL"/>
        </w:rPr>
        <w:t xml:space="preserve"> 78</w:t>
      </w:r>
      <w:r w:rsidRPr="00061623">
        <w:rPr>
          <w:lang w:val="sq-AL"/>
        </w:rPr>
        <w:t xml:space="preserve"> gjyqtarë, numri i </w:t>
      </w:r>
      <w:r w:rsidR="00950D40" w:rsidRPr="00061623">
        <w:rPr>
          <w:lang w:val="sq-AL"/>
        </w:rPr>
        <w:t>g</w:t>
      </w:r>
      <w:r w:rsidRPr="00061623">
        <w:rPr>
          <w:lang w:val="sq-AL"/>
        </w:rPr>
        <w:t xml:space="preserve">jyqtarëve në </w:t>
      </w:r>
      <w:r w:rsidR="00950D40" w:rsidRPr="00061623">
        <w:rPr>
          <w:lang w:val="sq-AL"/>
        </w:rPr>
        <w:t>g</w:t>
      </w:r>
      <w:r w:rsidRPr="00061623">
        <w:rPr>
          <w:lang w:val="sq-AL"/>
        </w:rPr>
        <w:t xml:space="preserve">jykatat e </w:t>
      </w:r>
      <w:r w:rsidR="00950D40" w:rsidRPr="00061623">
        <w:rPr>
          <w:lang w:val="sq-AL"/>
        </w:rPr>
        <w:t>s</w:t>
      </w:r>
      <w:r w:rsidRPr="00061623">
        <w:rPr>
          <w:lang w:val="sq-AL"/>
        </w:rPr>
        <w:t xml:space="preserve">hkallëve të </w:t>
      </w:r>
      <w:r w:rsidR="00950D40" w:rsidRPr="00061623">
        <w:rPr>
          <w:lang w:val="sq-AL"/>
        </w:rPr>
        <w:t>p</w:t>
      </w:r>
      <w:r w:rsidRPr="00061623">
        <w:rPr>
          <w:lang w:val="sq-AL"/>
        </w:rPr>
        <w:t xml:space="preserve">ara të juridiksionit të </w:t>
      </w:r>
      <w:r w:rsidR="00950D40" w:rsidRPr="00061623">
        <w:rPr>
          <w:lang w:val="sq-AL"/>
        </w:rPr>
        <w:t>p</w:t>
      </w:r>
      <w:r w:rsidRPr="00061623">
        <w:rPr>
          <w:lang w:val="sq-AL"/>
        </w:rPr>
        <w:t xml:space="preserve">ërgjithshëm </w:t>
      </w:r>
      <w:r w:rsidR="00152486" w:rsidRPr="00061623">
        <w:rPr>
          <w:lang w:val="sq-AL"/>
        </w:rPr>
        <w:t>është</w:t>
      </w:r>
      <w:r w:rsidRPr="00061623">
        <w:rPr>
          <w:lang w:val="sq-AL"/>
        </w:rPr>
        <w:t xml:space="preserve"> </w:t>
      </w:r>
      <w:r w:rsidR="00152486" w:rsidRPr="00061623">
        <w:rPr>
          <w:lang w:val="sq-AL"/>
        </w:rPr>
        <w:t>235</w:t>
      </w:r>
      <w:r w:rsidRPr="00061623">
        <w:rPr>
          <w:lang w:val="sq-AL"/>
        </w:rPr>
        <w:t xml:space="preserve"> gjyqtarë dhe numri i gjyqtarëve të gjykatave administrative të shkallës së parë </w:t>
      </w:r>
      <w:r w:rsidR="00152486" w:rsidRPr="00061623">
        <w:rPr>
          <w:lang w:val="sq-AL"/>
        </w:rPr>
        <w:t>është</w:t>
      </w:r>
      <w:r w:rsidR="00950D40" w:rsidRPr="00061623">
        <w:rPr>
          <w:lang w:val="sq-AL"/>
        </w:rPr>
        <w:t xml:space="preserve"> </w:t>
      </w:r>
      <w:r w:rsidR="00152486" w:rsidRPr="00061623">
        <w:rPr>
          <w:lang w:val="sq-AL"/>
        </w:rPr>
        <w:t xml:space="preserve">36 </w:t>
      </w:r>
      <w:r w:rsidR="00950D40" w:rsidRPr="00061623">
        <w:rPr>
          <w:lang w:val="sq-AL"/>
        </w:rPr>
        <w:t>gjyqtarë</w:t>
      </w:r>
      <w:r w:rsidRPr="00061623">
        <w:rPr>
          <w:lang w:val="sq-AL"/>
        </w:rPr>
        <w:t>.</w:t>
      </w:r>
      <w:r w:rsidR="00950D40" w:rsidRPr="00061623">
        <w:rPr>
          <w:lang w:val="sq-AL"/>
        </w:rPr>
        <w:t xml:space="preserve"> </w:t>
      </w:r>
      <w:r w:rsidR="00152486" w:rsidRPr="00061623">
        <w:rPr>
          <w:lang w:val="sq-AL"/>
        </w:rPr>
        <w:t>N</w:t>
      </w:r>
      <w:r w:rsidR="00950D40" w:rsidRPr="00061623">
        <w:rPr>
          <w:lang w:val="sq-AL"/>
        </w:rPr>
        <w:t>umri</w:t>
      </w:r>
      <w:r w:rsidR="00152486" w:rsidRPr="00061623">
        <w:rPr>
          <w:lang w:val="sq-AL"/>
        </w:rPr>
        <w:t xml:space="preserve"> i</w:t>
      </w:r>
      <w:r w:rsidR="00950D40" w:rsidRPr="00061623">
        <w:rPr>
          <w:lang w:val="sq-AL"/>
        </w:rPr>
        <w:t xml:space="preserve"> gjyqtarëve në </w:t>
      </w:r>
      <w:r w:rsidR="00152486" w:rsidRPr="00061623">
        <w:rPr>
          <w:lang w:val="sq-AL"/>
        </w:rPr>
        <w:t>Gjykatën e Posaçme të Shkallës së Parë për gjykimin e veprave penale të korrupsionit dhe krimit të organizuar është 16 gjyqtarë dhe numri i gjyqtarëve në Gjykatën e Posaçme të Apelit për gjykimin e veprave penale të korrupsionit dhe krimit të organizuar është 11 gjyqtarë, sipas numrit minimal të përcaktuar nga ligji dhe vendimeve përkatëse të Këshillit të Lartë Gjyqësor.  Numri i gjyqtarëve në Gjykatën Administrati</w:t>
      </w:r>
      <w:r w:rsidR="00C2644E">
        <w:rPr>
          <w:lang w:val="sq-AL"/>
        </w:rPr>
        <w:t>ve të Apelit është 13 gjyqtarë</w:t>
      </w:r>
      <w:r w:rsidR="00CF0A7D">
        <w:rPr>
          <w:lang w:val="sq-AL"/>
        </w:rPr>
        <w:t>, sipas Dekretit</w:t>
      </w:r>
      <w:r w:rsidR="00CF0A7D" w:rsidRPr="00CF0A7D">
        <w:rPr>
          <w:lang w:val="sq-AL"/>
        </w:rPr>
        <w:t xml:space="preserve"> </w:t>
      </w:r>
      <w:r w:rsidR="00CF0A7D">
        <w:rPr>
          <w:lang w:val="sq-AL"/>
        </w:rPr>
        <w:t xml:space="preserve">të Presidentit të Republikës </w:t>
      </w:r>
      <w:r w:rsidR="00CF0A7D" w:rsidRPr="00CF0A7D">
        <w:rPr>
          <w:lang w:val="sq-AL"/>
        </w:rPr>
        <w:t>nr. 7818, datë 16.11.2012, “Për cakt</w:t>
      </w:r>
      <w:r w:rsidR="00CF0A7D">
        <w:rPr>
          <w:lang w:val="sq-AL"/>
        </w:rPr>
        <w:t xml:space="preserve">imin e numrit të gjyqtarëve për </w:t>
      </w:r>
      <w:r w:rsidR="00CF0A7D" w:rsidRPr="00CF0A7D">
        <w:rPr>
          <w:lang w:val="sq-AL"/>
        </w:rPr>
        <w:t>çdo gjykatë të shkallës së parë, të apelit dhe të gjykatave ad</w:t>
      </w:r>
      <w:r w:rsidR="00CF0A7D">
        <w:rPr>
          <w:lang w:val="sq-AL"/>
        </w:rPr>
        <w:t xml:space="preserve">ministrative, si dhe caktimin e </w:t>
      </w:r>
      <w:r w:rsidR="00CF0A7D" w:rsidRPr="00CF0A7D">
        <w:rPr>
          <w:lang w:val="sq-AL"/>
        </w:rPr>
        <w:t>kompetencave tokësore dhe selisë qendrore të gjykatave administrative”, i ndryshuar</w:t>
      </w:r>
      <w:r w:rsidR="00C2644E">
        <w:rPr>
          <w:lang w:val="sq-AL"/>
        </w:rPr>
        <w:t xml:space="preserve">. </w:t>
      </w:r>
      <w:r w:rsidR="00152486" w:rsidRPr="00061623">
        <w:rPr>
          <w:lang w:val="sq-AL"/>
        </w:rPr>
        <w:t xml:space="preserve">Totali i numrit të përgjithshëm të gjyqtarëve në Republikën e Shqipërisë </w:t>
      </w:r>
      <w:r w:rsidR="00152486" w:rsidRPr="00061623">
        <w:rPr>
          <w:lang w:val="sq-AL"/>
        </w:rPr>
        <w:lastRenderedPageBreak/>
        <w:t xml:space="preserve">përcaktuar me Dekret të Presidentit (legjislacioni në fuqi, neni 90 i Ligjit 98/2016)) është aktualisht prej 408 gjyqtarësh. </w:t>
      </w:r>
    </w:p>
    <w:tbl>
      <w:tblPr>
        <w:tblStyle w:val="GridTable4-Accent1"/>
        <w:tblW w:w="0" w:type="auto"/>
        <w:jc w:val="center"/>
        <w:tblLook w:val="04A0" w:firstRow="1" w:lastRow="0" w:firstColumn="1" w:lastColumn="0" w:noHBand="0" w:noVBand="1"/>
      </w:tblPr>
      <w:tblGrid>
        <w:gridCol w:w="4698"/>
        <w:gridCol w:w="4698"/>
      </w:tblGrid>
      <w:tr w:rsidR="00C2644E" w14:paraId="2E886378" w14:textId="77777777" w:rsidTr="00C264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98" w:type="dxa"/>
          </w:tcPr>
          <w:p w14:paraId="15C561FD" w14:textId="77777777" w:rsidR="00C2644E" w:rsidRDefault="00C2644E" w:rsidP="00AD6BCB">
            <w:pPr>
              <w:tabs>
                <w:tab w:val="left" w:pos="180"/>
              </w:tabs>
              <w:jc w:val="both"/>
              <w:rPr>
                <w:lang w:val="sq-AL"/>
              </w:rPr>
            </w:pPr>
            <w:r>
              <w:rPr>
                <w:lang w:val="sq-AL"/>
              </w:rPr>
              <w:t>Gjykatat</w:t>
            </w:r>
          </w:p>
        </w:tc>
        <w:tc>
          <w:tcPr>
            <w:tcW w:w="4698" w:type="dxa"/>
          </w:tcPr>
          <w:p w14:paraId="504CD4B1" w14:textId="77777777" w:rsidR="00C2644E" w:rsidRDefault="00C2644E" w:rsidP="00AD6BCB">
            <w:pPr>
              <w:tabs>
                <w:tab w:val="left" w:pos="180"/>
              </w:tabs>
              <w:jc w:val="both"/>
              <w:cnfStyle w:val="100000000000" w:firstRow="1" w:lastRow="0" w:firstColumn="0" w:lastColumn="0" w:oddVBand="0" w:evenVBand="0" w:oddHBand="0" w:evenHBand="0" w:firstRowFirstColumn="0" w:firstRowLastColumn="0" w:lastRowFirstColumn="0" w:lastRowLastColumn="0"/>
              <w:rPr>
                <w:lang w:val="sq-AL"/>
              </w:rPr>
            </w:pPr>
            <w:r>
              <w:rPr>
                <w:lang w:val="sq-AL"/>
              </w:rPr>
              <w:t>Numri i gjyqtarëve në organikë</w:t>
            </w:r>
          </w:p>
        </w:tc>
      </w:tr>
      <w:tr w:rsidR="00C2644E" w14:paraId="69107E7A" w14:textId="77777777" w:rsidTr="00CF0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98" w:type="dxa"/>
          </w:tcPr>
          <w:p w14:paraId="415CABEA" w14:textId="77777777" w:rsidR="00C2644E" w:rsidRDefault="00C2644E" w:rsidP="00AD6BCB">
            <w:pPr>
              <w:tabs>
                <w:tab w:val="left" w:pos="180"/>
              </w:tabs>
              <w:jc w:val="both"/>
              <w:rPr>
                <w:lang w:val="sq-AL"/>
              </w:rPr>
            </w:pPr>
            <w:r>
              <w:rPr>
                <w:lang w:val="sq-AL"/>
              </w:rPr>
              <w:t>Gjykata e Lartë</w:t>
            </w:r>
          </w:p>
        </w:tc>
        <w:tc>
          <w:tcPr>
            <w:tcW w:w="4698" w:type="dxa"/>
            <w:vAlign w:val="center"/>
          </w:tcPr>
          <w:p w14:paraId="1B3C0820" w14:textId="77777777" w:rsidR="00C2644E" w:rsidRDefault="00C2644E" w:rsidP="00CF0A7D">
            <w:pPr>
              <w:tabs>
                <w:tab w:val="left" w:pos="180"/>
              </w:tabs>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19</w:t>
            </w:r>
          </w:p>
        </w:tc>
      </w:tr>
      <w:tr w:rsidR="00C2644E" w14:paraId="6B7B4E5E" w14:textId="77777777" w:rsidTr="00CF0A7D">
        <w:trPr>
          <w:jc w:val="center"/>
        </w:trPr>
        <w:tc>
          <w:tcPr>
            <w:cnfStyle w:val="001000000000" w:firstRow="0" w:lastRow="0" w:firstColumn="1" w:lastColumn="0" w:oddVBand="0" w:evenVBand="0" w:oddHBand="0" w:evenHBand="0" w:firstRowFirstColumn="0" w:firstRowLastColumn="0" w:lastRowFirstColumn="0" w:lastRowLastColumn="0"/>
            <w:tcW w:w="4698" w:type="dxa"/>
          </w:tcPr>
          <w:p w14:paraId="38D0F9C5" w14:textId="77777777" w:rsidR="00C2644E" w:rsidRDefault="00C2644E" w:rsidP="00AD6BCB">
            <w:pPr>
              <w:tabs>
                <w:tab w:val="left" w:pos="180"/>
              </w:tabs>
              <w:jc w:val="both"/>
              <w:rPr>
                <w:lang w:val="sq-AL"/>
              </w:rPr>
            </w:pPr>
            <w:r>
              <w:rPr>
                <w:lang w:val="sq-AL"/>
              </w:rPr>
              <w:t>Gjykata e Apelit të Juridiksionit të Përgjithshëm</w:t>
            </w:r>
          </w:p>
        </w:tc>
        <w:tc>
          <w:tcPr>
            <w:tcW w:w="4698" w:type="dxa"/>
            <w:vAlign w:val="center"/>
          </w:tcPr>
          <w:p w14:paraId="440AC02D" w14:textId="77777777" w:rsidR="00C2644E" w:rsidRDefault="00C2644E" w:rsidP="00CF0A7D">
            <w:pPr>
              <w:tabs>
                <w:tab w:val="left" w:pos="180"/>
              </w:tabs>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78</w:t>
            </w:r>
          </w:p>
        </w:tc>
      </w:tr>
      <w:tr w:rsidR="00C2644E" w14:paraId="0C0149ED" w14:textId="77777777" w:rsidTr="00CF0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98" w:type="dxa"/>
          </w:tcPr>
          <w:p w14:paraId="747A6C0C" w14:textId="77777777" w:rsidR="00C2644E" w:rsidRDefault="00C2644E" w:rsidP="00AD6BCB">
            <w:pPr>
              <w:tabs>
                <w:tab w:val="left" w:pos="180"/>
              </w:tabs>
              <w:jc w:val="both"/>
              <w:rPr>
                <w:lang w:val="sq-AL"/>
              </w:rPr>
            </w:pPr>
            <w:r>
              <w:rPr>
                <w:lang w:val="sq-AL"/>
              </w:rPr>
              <w:t>Gjykata Administrative e Apelit</w:t>
            </w:r>
          </w:p>
        </w:tc>
        <w:tc>
          <w:tcPr>
            <w:tcW w:w="4698" w:type="dxa"/>
            <w:vAlign w:val="center"/>
          </w:tcPr>
          <w:p w14:paraId="17900AF6" w14:textId="77777777" w:rsidR="00C2644E" w:rsidRDefault="00C2644E" w:rsidP="00CF0A7D">
            <w:pPr>
              <w:tabs>
                <w:tab w:val="left" w:pos="180"/>
              </w:tabs>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13</w:t>
            </w:r>
          </w:p>
        </w:tc>
      </w:tr>
      <w:tr w:rsidR="00C2644E" w14:paraId="6946D6B1" w14:textId="77777777" w:rsidTr="00CF0A7D">
        <w:trPr>
          <w:jc w:val="center"/>
        </w:trPr>
        <w:tc>
          <w:tcPr>
            <w:cnfStyle w:val="001000000000" w:firstRow="0" w:lastRow="0" w:firstColumn="1" w:lastColumn="0" w:oddVBand="0" w:evenVBand="0" w:oddHBand="0" w:evenHBand="0" w:firstRowFirstColumn="0" w:firstRowLastColumn="0" w:lastRowFirstColumn="0" w:lastRowLastColumn="0"/>
            <w:tcW w:w="4698" w:type="dxa"/>
          </w:tcPr>
          <w:p w14:paraId="287DB24F" w14:textId="77777777" w:rsidR="00C2644E" w:rsidRPr="00C2644E" w:rsidRDefault="00C2644E" w:rsidP="00C2644E">
            <w:pPr>
              <w:tabs>
                <w:tab w:val="left" w:pos="180"/>
              </w:tabs>
              <w:jc w:val="both"/>
              <w:rPr>
                <w:lang w:val="sq-AL"/>
              </w:rPr>
            </w:pPr>
            <w:r w:rsidRPr="00C2644E">
              <w:rPr>
                <w:lang w:val="sq-AL"/>
              </w:rPr>
              <w:t>Gjykata e Posaçme e Apelit për Korrupsionin dhe Krimin e</w:t>
            </w:r>
          </w:p>
          <w:p w14:paraId="792E56CA" w14:textId="77777777" w:rsidR="00C2644E" w:rsidRDefault="00C2644E" w:rsidP="00C2644E">
            <w:pPr>
              <w:tabs>
                <w:tab w:val="left" w:pos="180"/>
              </w:tabs>
              <w:jc w:val="both"/>
              <w:rPr>
                <w:lang w:val="sq-AL"/>
              </w:rPr>
            </w:pPr>
            <w:r w:rsidRPr="00C2644E">
              <w:rPr>
                <w:lang w:val="sq-AL"/>
              </w:rPr>
              <w:t>Organizuar</w:t>
            </w:r>
          </w:p>
        </w:tc>
        <w:tc>
          <w:tcPr>
            <w:tcW w:w="4698" w:type="dxa"/>
            <w:vAlign w:val="center"/>
          </w:tcPr>
          <w:p w14:paraId="01C47846" w14:textId="77777777" w:rsidR="00C2644E" w:rsidRDefault="00C2644E" w:rsidP="00CF0A7D">
            <w:pPr>
              <w:tabs>
                <w:tab w:val="left" w:pos="180"/>
              </w:tabs>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11</w:t>
            </w:r>
          </w:p>
        </w:tc>
      </w:tr>
      <w:tr w:rsidR="00C2644E" w14:paraId="0B0885BE" w14:textId="77777777" w:rsidTr="00CF0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98" w:type="dxa"/>
          </w:tcPr>
          <w:p w14:paraId="5DA72628" w14:textId="77777777" w:rsidR="00C2644E" w:rsidRPr="00C2644E" w:rsidRDefault="00C2644E" w:rsidP="00C2644E">
            <w:pPr>
              <w:tabs>
                <w:tab w:val="left" w:pos="180"/>
              </w:tabs>
              <w:jc w:val="both"/>
              <w:rPr>
                <w:lang w:val="sq-AL"/>
              </w:rPr>
            </w:pPr>
            <w:r w:rsidRPr="00C2644E">
              <w:rPr>
                <w:lang w:val="sq-AL"/>
              </w:rPr>
              <w:t>Gjykatat e Shkallës së Parë të Juridiksionit të Përgjithshëm</w:t>
            </w:r>
          </w:p>
        </w:tc>
        <w:tc>
          <w:tcPr>
            <w:tcW w:w="4698" w:type="dxa"/>
            <w:vAlign w:val="center"/>
          </w:tcPr>
          <w:p w14:paraId="706FC5EA" w14:textId="77777777" w:rsidR="00C2644E" w:rsidRDefault="00C2644E" w:rsidP="00CF0A7D">
            <w:pPr>
              <w:tabs>
                <w:tab w:val="left" w:pos="180"/>
              </w:tabs>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235</w:t>
            </w:r>
          </w:p>
        </w:tc>
      </w:tr>
      <w:tr w:rsidR="00C2644E" w14:paraId="0F93F37F" w14:textId="77777777" w:rsidTr="00CF0A7D">
        <w:trPr>
          <w:jc w:val="center"/>
        </w:trPr>
        <w:tc>
          <w:tcPr>
            <w:cnfStyle w:val="001000000000" w:firstRow="0" w:lastRow="0" w:firstColumn="1" w:lastColumn="0" w:oddVBand="0" w:evenVBand="0" w:oddHBand="0" w:evenHBand="0" w:firstRowFirstColumn="0" w:firstRowLastColumn="0" w:lastRowFirstColumn="0" w:lastRowLastColumn="0"/>
            <w:tcW w:w="4698" w:type="dxa"/>
          </w:tcPr>
          <w:p w14:paraId="60FF7482" w14:textId="77777777" w:rsidR="00C2644E" w:rsidRPr="00C2644E" w:rsidRDefault="00C2644E" w:rsidP="00C2644E">
            <w:pPr>
              <w:tabs>
                <w:tab w:val="left" w:pos="180"/>
              </w:tabs>
              <w:jc w:val="both"/>
              <w:rPr>
                <w:lang w:val="sq-AL"/>
              </w:rPr>
            </w:pPr>
            <w:r w:rsidRPr="00C2644E">
              <w:rPr>
                <w:lang w:val="sq-AL"/>
              </w:rPr>
              <w:t>Gjykatat Administrative të Shkallës së Parë</w:t>
            </w:r>
          </w:p>
        </w:tc>
        <w:tc>
          <w:tcPr>
            <w:tcW w:w="4698" w:type="dxa"/>
            <w:vAlign w:val="center"/>
          </w:tcPr>
          <w:p w14:paraId="432578B1" w14:textId="77777777" w:rsidR="00C2644E" w:rsidRDefault="00C2644E" w:rsidP="00CF0A7D">
            <w:pPr>
              <w:tabs>
                <w:tab w:val="left" w:pos="180"/>
              </w:tabs>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36</w:t>
            </w:r>
          </w:p>
        </w:tc>
      </w:tr>
      <w:tr w:rsidR="00C2644E" w14:paraId="3C84375C" w14:textId="77777777" w:rsidTr="00CF0A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98" w:type="dxa"/>
          </w:tcPr>
          <w:p w14:paraId="39F116C5" w14:textId="77777777" w:rsidR="00C2644E" w:rsidRPr="00C2644E" w:rsidRDefault="00C2644E" w:rsidP="00C2644E">
            <w:pPr>
              <w:tabs>
                <w:tab w:val="left" w:pos="180"/>
              </w:tabs>
              <w:jc w:val="both"/>
              <w:rPr>
                <w:lang w:val="sq-AL"/>
              </w:rPr>
            </w:pPr>
            <w:r w:rsidRPr="00C2644E">
              <w:rPr>
                <w:lang w:val="sq-AL"/>
              </w:rPr>
              <w:t>Gjykata e Posaçme e Shkallës së Parë për Korrupsionin dhe</w:t>
            </w:r>
          </w:p>
          <w:p w14:paraId="71034FEA" w14:textId="77777777" w:rsidR="00C2644E" w:rsidRPr="00C2644E" w:rsidRDefault="00C2644E" w:rsidP="00C2644E">
            <w:pPr>
              <w:tabs>
                <w:tab w:val="left" w:pos="180"/>
              </w:tabs>
              <w:jc w:val="both"/>
              <w:rPr>
                <w:lang w:val="sq-AL"/>
              </w:rPr>
            </w:pPr>
            <w:r w:rsidRPr="00C2644E">
              <w:rPr>
                <w:lang w:val="sq-AL"/>
              </w:rPr>
              <w:t>Krimin e Organizuar</w:t>
            </w:r>
          </w:p>
        </w:tc>
        <w:tc>
          <w:tcPr>
            <w:tcW w:w="4698" w:type="dxa"/>
            <w:vAlign w:val="center"/>
          </w:tcPr>
          <w:p w14:paraId="271DC7BC" w14:textId="77777777" w:rsidR="00C2644E" w:rsidRDefault="00C2644E" w:rsidP="00CF0A7D">
            <w:pPr>
              <w:tabs>
                <w:tab w:val="left" w:pos="180"/>
              </w:tabs>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16</w:t>
            </w:r>
          </w:p>
        </w:tc>
      </w:tr>
      <w:tr w:rsidR="00C2644E" w14:paraId="79736387" w14:textId="77777777" w:rsidTr="00CF0A7D">
        <w:trPr>
          <w:jc w:val="center"/>
        </w:trPr>
        <w:tc>
          <w:tcPr>
            <w:cnfStyle w:val="001000000000" w:firstRow="0" w:lastRow="0" w:firstColumn="1" w:lastColumn="0" w:oddVBand="0" w:evenVBand="0" w:oddHBand="0" w:evenHBand="0" w:firstRowFirstColumn="0" w:firstRowLastColumn="0" w:lastRowFirstColumn="0" w:lastRowLastColumn="0"/>
            <w:tcW w:w="4698" w:type="dxa"/>
          </w:tcPr>
          <w:p w14:paraId="374CA9E0" w14:textId="77777777" w:rsidR="00C2644E" w:rsidRPr="00C2644E" w:rsidRDefault="00C2644E" w:rsidP="00C2644E">
            <w:pPr>
              <w:tabs>
                <w:tab w:val="left" w:pos="180"/>
              </w:tabs>
              <w:jc w:val="both"/>
              <w:rPr>
                <w:lang w:val="sq-AL"/>
              </w:rPr>
            </w:pPr>
            <w:r>
              <w:rPr>
                <w:lang w:val="sq-AL"/>
              </w:rPr>
              <w:t>Gjithsej</w:t>
            </w:r>
          </w:p>
        </w:tc>
        <w:tc>
          <w:tcPr>
            <w:tcW w:w="4698" w:type="dxa"/>
            <w:vAlign w:val="center"/>
          </w:tcPr>
          <w:p w14:paraId="131DCDF8" w14:textId="77777777" w:rsidR="00C2644E" w:rsidRDefault="00C2644E" w:rsidP="00CF0A7D">
            <w:pPr>
              <w:tabs>
                <w:tab w:val="left" w:pos="180"/>
              </w:tabs>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408</w:t>
            </w:r>
          </w:p>
        </w:tc>
      </w:tr>
    </w:tbl>
    <w:p w14:paraId="5ABE3A56" w14:textId="77777777" w:rsidR="00C2644E" w:rsidRDefault="00C2644E" w:rsidP="00AD6BCB">
      <w:pPr>
        <w:tabs>
          <w:tab w:val="left" w:pos="180"/>
        </w:tabs>
        <w:jc w:val="both"/>
        <w:rPr>
          <w:lang w:val="sq-AL"/>
        </w:rPr>
      </w:pPr>
    </w:p>
    <w:p w14:paraId="4ED0DEAA" w14:textId="77777777" w:rsidR="00AD6BCB" w:rsidRPr="00061623" w:rsidRDefault="00AD6BCB" w:rsidP="00AD6BCB">
      <w:pPr>
        <w:tabs>
          <w:tab w:val="left" w:pos="180"/>
        </w:tabs>
        <w:jc w:val="both"/>
        <w:rPr>
          <w:lang w:val="sq-AL"/>
        </w:rPr>
      </w:pPr>
      <w:r w:rsidRPr="00061623">
        <w:rPr>
          <w:lang w:val="sq-AL"/>
        </w:rPr>
        <w:t xml:space="preserve">Detyrimi i Këshillit për përcaktimin e numrit të gjyqtarëve për çdo gjykatë buron nga neni 22 i Ligjit 98/2016 i ndryshuar, “ Për organizimin e pushtetit gjyqësor në Republikën e Shqipërisë”, i cili parashikon : </w:t>
      </w:r>
    </w:p>
    <w:p w14:paraId="3DFB0F67" w14:textId="77777777" w:rsidR="00AD6BCB" w:rsidRPr="00061623" w:rsidRDefault="00AD6BCB" w:rsidP="00AD6BCB">
      <w:pPr>
        <w:tabs>
          <w:tab w:val="left" w:pos="180"/>
        </w:tabs>
        <w:jc w:val="both"/>
        <w:rPr>
          <w:rFonts w:ascii="Calibri" w:hAnsi="Calibri" w:cs="Calibri"/>
          <w:i/>
          <w:lang w:val="sq-AL"/>
        </w:rPr>
      </w:pPr>
      <w:r w:rsidRPr="00061623">
        <w:rPr>
          <w:rFonts w:ascii="Times New Roman" w:hAnsi="Times New Roman"/>
          <w:i/>
          <w:lang w:val="sq-AL"/>
        </w:rPr>
        <w:t xml:space="preserve"> </w:t>
      </w:r>
      <w:r w:rsidRPr="00061623">
        <w:rPr>
          <w:rFonts w:ascii="Calibri" w:hAnsi="Calibri" w:cs="Calibri"/>
          <w:i/>
          <w:lang w:val="sq-AL"/>
        </w:rPr>
        <w:t xml:space="preserve">1. Këshilli i Lartë Gjyqësor mbikëqyr vazhdimisht ngarkesën e çështjeve gjyqësore dhe të punës së gjykatave, duke u bazuar në të dhënat e mbledhura, me qëllim përmirësimin e efiçencës së gjykatave ose zvogëlimin e ngarkesës së punës së gjyqtarëve dhe personelit të gjykatës. </w:t>
      </w:r>
    </w:p>
    <w:p w14:paraId="638AAE9E" w14:textId="77777777" w:rsidR="00AD6BCB" w:rsidRPr="00061623" w:rsidRDefault="00AD6BCB" w:rsidP="00AD6BCB">
      <w:pPr>
        <w:tabs>
          <w:tab w:val="left" w:pos="180"/>
        </w:tabs>
        <w:jc w:val="both"/>
        <w:rPr>
          <w:rFonts w:ascii="Calibri" w:hAnsi="Calibri" w:cs="Calibri"/>
          <w:i/>
          <w:lang w:val="sq-AL"/>
        </w:rPr>
      </w:pPr>
      <w:r w:rsidRPr="00061623">
        <w:rPr>
          <w:rFonts w:ascii="Calibri" w:hAnsi="Calibri" w:cs="Calibri"/>
          <w:i/>
          <w:lang w:val="sq-AL"/>
        </w:rPr>
        <w:t xml:space="preserve">2. Këshilli i Lartë Gjyqësor përgatit dhe publikon brenda muajit qershor të çdo viti raportin vjetor për ngarkesën e çështjeve gjyqësore dhe të punës së gjykatave për vitin kalendarik të mëparshëm, duke përfshirë rekomandime për përmirësimin e efiçencës së gjykatave ose për zvogëlimin e ngarkesës së punës së gjyqtarëve dhe personelit të gjykatës. </w:t>
      </w:r>
    </w:p>
    <w:p w14:paraId="5A59D92F" w14:textId="77777777" w:rsidR="00AD6BCB" w:rsidRPr="00061623" w:rsidRDefault="00AD6BCB" w:rsidP="00AD6BCB">
      <w:pPr>
        <w:tabs>
          <w:tab w:val="left" w:pos="180"/>
        </w:tabs>
        <w:jc w:val="both"/>
        <w:rPr>
          <w:rFonts w:ascii="Calibri" w:hAnsi="Calibri" w:cs="Calibri"/>
          <w:i/>
          <w:lang w:val="sq-AL"/>
        </w:rPr>
      </w:pPr>
      <w:r w:rsidRPr="00061623">
        <w:rPr>
          <w:rFonts w:ascii="Calibri" w:hAnsi="Calibri" w:cs="Calibri"/>
          <w:i/>
          <w:lang w:val="sq-AL"/>
        </w:rPr>
        <w:t xml:space="preserve">3. Të paktën çdo pesë vjet Këshilli i Lartë Gjyqësor vlerëson numrin e gjyqtarëve për çdo gjykatë dhe nëse është e nevojshme rishikon numrin e gjyqtarëve pas marrjes së mendimit nga Këshilli i Gjykatës. </w:t>
      </w:r>
    </w:p>
    <w:p w14:paraId="43EDCE98" w14:textId="77777777" w:rsidR="00AD6BCB" w:rsidRPr="00061623" w:rsidRDefault="00AD6BCB" w:rsidP="00AD6BCB">
      <w:pPr>
        <w:tabs>
          <w:tab w:val="left" w:pos="180"/>
        </w:tabs>
        <w:jc w:val="both"/>
        <w:rPr>
          <w:rFonts w:ascii="Calibri" w:hAnsi="Calibri" w:cs="Calibri"/>
          <w:i/>
          <w:lang w:val="sq-AL"/>
        </w:rPr>
      </w:pPr>
      <w:r w:rsidRPr="00061623">
        <w:rPr>
          <w:rFonts w:ascii="Calibri" w:hAnsi="Calibri" w:cs="Calibri"/>
          <w:i/>
          <w:lang w:val="sq-AL"/>
        </w:rPr>
        <w:t>4. Procesi i përcaktimit të numrit të gjyqtarëve për çdo gjykatë mbështetet në objektivat e parashikuar në nenin 14, të këtij ligji, me qëllim sigurimin e ngarkesës së ekuilibruar të punës së gjithë gjyqtarëve në Shqipëri. Procesi kryhet në mënyrë transparente, duke u bazuar në analizën e raporteve vjetore dhe efiçencës së masave të marra për zbatimin e rekomandimeve të përcaktuara në raportet vjetore, sipas pikës 2 të këtij neni.</w:t>
      </w:r>
    </w:p>
    <w:p w14:paraId="151B73FD" w14:textId="77777777" w:rsidR="00061623" w:rsidRDefault="00152486" w:rsidP="00AD6BCB">
      <w:pPr>
        <w:jc w:val="both"/>
        <w:rPr>
          <w:lang w:val="sq-AL"/>
        </w:rPr>
      </w:pPr>
      <w:r w:rsidRPr="00061623">
        <w:rPr>
          <w:lang w:val="sq-AL"/>
        </w:rPr>
        <w:t>I qartë për detyrimin ligjor si më sipër, Këshilli vlerës</w:t>
      </w:r>
      <w:r w:rsidR="00061623" w:rsidRPr="00061623">
        <w:rPr>
          <w:lang w:val="sq-AL"/>
        </w:rPr>
        <w:t>oi</w:t>
      </w:r>
      <w:r w:rsidRPr="00061623">
        <w:rPr>
          <w:lang w:val="sq-AL"/>
        </w:rPr>
        <w:t xml:space="preserve"> se rishikimi i numrit të gjyqtarëve për çdo gjykatë, ishte proces që lidhej pazgjidhshmërisht me procesin e riorganizimit e rishikimit të madhësisë së gjykatave (Harta Gjyqësore), sepse të dy proceset kërkonin analizë </w:t>
      </w:r>
      <w:r w:rsidRPr="00061623">
        <w:rPr>
          <w:lang w:val="sq-AL"/>
        </w:rPr>
        <w:lastRenderedPageBreak/>
        <w:t xml:space="preserve">disa vjeçare të ngarkesës së gjykatave </w:t>
      </w:r>
      <w:r w:rsidR="00061623" w:rsidRPr="00061623">
        <w:rPr>
          <w:lang w:val="sq-AL"/>
        </w:rPr>
        <w:t>ndaj edhe miratoi ndryshimet përkatëse në numrin e gjyqtarëve në gjykat</w:t>
      </w:r>
      <w:r w:rsidR="00061623">
        <w:rPr>
          <w:lang w:val="sq-AL"/>
        </w:rPr>
        <w:t xml:space="preserve">at e prekura nga ky riorganizim. </w:t>
      </w:r>
    </w:p>
    <w:p w14:paraId="593D716C" w14:textId="77777777" w:rsidR="00061623" w:rsidRPr="00061623" w:rsidRDefault="00061623" w:rsidP="00061623">
      <w:pPr>
        <w:jc w:val="both"/>
        <w:rPr>
          <w:lang w:val="sq-AL"/>
        </w:rPr>
      </w:pPr>
      <w:r w:rsidRPr="00061623">
        <w:rPr>
          <w:lang w:val="sq-AL"/>
        </w:rPr>
        <w:t xml:space="preserve">Pjesë e analizës që çoi në propozimin e hartës së re gjyqësore ishte edhe një vlerësim për shpërndarjen optimale të gjyqtarëve. Vlerësimi u bazua në një kategorizim të thjeshtë të çështjeve, duke i ndarë ato në çështje me një shkallë mesatare kompleksiteti, që kërkon më shumë kohë gjyqësore dhe burime nga gjykatat, si dhe çështje të thjeshta, të cilat kërkojnë më pak kohë e burime. Struktura e përgjithshme paraqitet në tabelën e mëposhtme. </w:t>
      </w:r>
    </w:p>
    <w:p w14:paraId="25352523" w14:textId="77777777" w:rsidR="00061623" w:rsidRDefault="00061623" w:rsidP="00061623">
      <w:pPr>
        <w:pStyle w:val="BodyText"/>
        <w:jc w:val="both"/>
        <w:rPr>
          <w:lang w:val="sq-AL"/>
        </w:rPr>
      </w:pPr>
      <w:r w:rsidRPr="00061623">
        <w:rPr>
          <w:lang w:val="sq-AL"/>
        </w:rPr>
        <w:t>Me këto supozime të thjeshta ishte e mundur që, duke zbatuar aplikimin e programimit matematikor (DEA)</w:t>
      </w:r>
      <w:r w:rsidRPr="00061623">
        <w:rPr>
          <w:rStyle w:val="FootnoteReference"/>
          <w:lang w:val="sq-AL"/>
        </w:rPr>
        <w:footnoteReference w:id="1"/>
      </w:r>
      <w:r w:rsidRPr="00061623">
        <w:rPr>
          <w:lang w:val="sq-AL"/>
        </w:rPr>
        <w:t>, të vlerësohej nëse një shpërndarje e ndryshme e gjyqtarëve krahasuar me atë ekzistuese, do të ishte më optimale.</w:t>
      </w:r>
    </w:p>
    <w:p w14:paraId="02DE6E95" w14:textId="77777777" w:rsidR="00061623" w:rsidRPr="00061623" w:rsidRDefault="00061623" w:rsidP="00061623">
      <w:pPr>
        <w:pStyle w:val="BodyText"/>
        <w:jc w:val="both"/>
        <w:rPr>
          <w:lang w:val="sq-AL"/>
        </w:rPr>
      </w:pPr>
    </w:p>
    <w:tbl>
      <w:tblPr>
        <w:tblW w:w="0" w:type="auto"/>
        <w:jc w:val="center"/>
        <w:tblLayout w:type="fixed"/>
        <w:tblLook w:val="0420" w:firstRow="1" w:lastRow="0" w:firstColumn="0" w:lastColumn="0" w:noHBand="0" w:noVBand="1"/>
      </w:tblPr>
      <w:tblGrid>
        <w:gridCol w:w="1080"/>
        <w:gridCol w:w="2880"/>
        <w:gridCol w:w="1080"/>
        <w:gridCol w:w="2880"/>
      </w:tblGrid>
      <w:tr w:rsidR="00061623" w:rsidRPr="00061623" w14:paraId="6D8C7B94" w14:textId="77777777" w:rsidTr="00DE5DE0">
        <w:trPr>
          <w:tblHeader/>
          <w:jc w:val="center"/>
        </w:trPr>
        <w:tc>
          <w:tcPr>
            <w:tcW w:w="1080" w:type="dxa"/>
            <w:tcBorders>
              <w:top w:val="single" w:sz="12" w:space="0" w:color="666666"/>
              <w:left w:val="none" w:sz="0" w:space="0" w:color="000000"/>
              <w:bottom w:val="single" w:sz="12" w:space="0" w:color="666666"/>
              <w:right w:val="single" w:sz="8" w:space="0" w:color="666666"/>
            </w:tcBorders>
            <w:shd w:val="clear" w:color="auto" w:fill="FFFFFF"/>
            <w:tcMar>
              <w:top w:w="0" w:type="dxa"/>
              <w:left w:w="0" w:type="dxa"/>
              <w:bottom w:w="0" w:type="dxa"/>
              <w:right w:w="0" w:type="dxa"/>
            </w:tcMar>
            <w:vAlign w:val="center"/>
          </w:tcPr>
          <w:p w14:paraId="2A450CD1" w14:textId="77777777" w:rsidR="00061623" w:rsidRPr="00061623" w:rsidRDefault="00061623" w:rsidP="00DE5DE0">
            <w:pPr>
              <w:pStyle w:val="BodyText"/>
              <w:jc w:val="both"/>
              <w:rPr>
                <w:sz w:val="22"/>
                <w:szCs w:val="22"/>
                <w:lang w:val="sq-AL"/>
              </w:rPr>
            </w:pPr>
            <w:r w:rsidRPr="00061623">
              <w:rPr>
                <w:rFonts w:eastAsia="Arial" w:cs="Times New Roman"/>
                <w:color w:val="000000"/>
                <w:sz w:val="22"/>
                <w:szCs w:val="22"/>
                <w:lang w:val="sq-AL"/>
              </w:rPr>
              <w:t xml:space="preserve">Lloji i </w:t>
            </w:r>
            <w:r w:rsidRPr="00061623">
              <w:rPr>
                <w:rFonts w:cs="Times New Roman"/>
                <w:sz w:val="22"/>
                <w:szCs w:val="22"/>
                <w:lang w:val="sq-AL"/>
              </w:rPr>
              <w:t>ç</w:t>
            </w:r>
            <w:r w:rsidRPr="00061623">
              <w:rPr>
                <w:rFonts w:eastAsia="Arial" w:cs="Times New Roman"/>
                <w:color w:val="000000"/>
                <w:sz w:val="22"/>
                <w:szCs w:val="22"/>
                <w:lang w:val="sq-AL"/>
              </w:rPr>
              <w:t>ështjes</w:t>
            </w:r>
          </w:p>
        </w:tc>
        <w:tc>
          <w:tcPr>
            <w:tcW w:w="2880" w:type="dxa"/>
            <w:tcBorders>
              <w:top w:val="single" w:sz="12" w:space="0" w:color="666666"/>
              <w:left w:val="single" w:sz="8" w:space="0" w:color="666666"/>
              <w:bottom w:val="single" w:sz="12" w:space="0" w:color="666666"/>
              <w:right w:val="none" w:sz="0" w:space="0" w:color="000000"/>
            </w:tcBorders>
            <w:shd w:val="clear" w:color="auto" w:fill="FFFFFF"/>
            <w:tcMar>
              <w:top w:w="0" w:type="dxa"/>
              <w:left w:w="0" w:type="dxa"/>
              <w:bottom w:w="0" w:type="dxa"/>
              <w:right w:w="0" w:type="dxa"/>
            </w:tcMar>
            <w:vAlign w:val="center"/>
          </w:tcPr>
          <w:p w14:paraId="36097ABB"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Më shumë komplekse (më shumë kohë dhe burime)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B62962"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p>
        </w:tc>
        <w:tc>
          <w:tcPr>
            <w:tcW w:w="28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5E5915"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Më të thjeshta (më pak kohë dhe burime)</w:t>
            </w:r>
          </w:p>
        </w:tc>
      </w:tr>
      <w:tr w:rsidR="00061623" w:rsidRPr="00061623" w14:paraId="624FDCD5" w14:textId="77777777" w:rsidTr="00DE5DE0">
        <w:trPr>
          <w:jc w:val="center"/>
        </w:trPr>
        <w:tc>
          <w:tcPr>
            <w:tcW w:w="1080" w:type="dxa"/>
            <w:tcBorders>
              <w:top w:val="single" w:sz="12" w:space="0" w:color="666666"/>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416DCDD5" w14:textId="77777777" w:rsidR="00061623" w:rsidRPr="00061623" w:rsidRDefault="00061623" w:rsidP="00DE5DE0">
            <w:pPr>
              <w:pStyle w:val="BodyText"/>
              <w:jc w:val="both"/>
              <w:rPr>
                <w:sz w:val="22"/>
                <w:szCs w:val="22"/>
                <w:lang w:val="sq-AL"/>
              </w:rPr>
            </w:pPr>
            <w:r w:rsidRPr="00061623">
              <w:rPr>
                <w:rFonts w:cs="Times New Roman"/>
                <w:sz w:val="22"/>
                <w:szCs w:val="22"/>
                <w:lang w:val="sq-AL"/>
              </w:rPr>
              <w:t>Ç</w:t>
            </w:r>
            <w:r w:rsidRPr="00061623">
              <w:rPr>
                <w:rFonts w:eastAsia="Arial" w:cs="Times New Roman"/>
                <w:color w:val="000000"/>
                <w:sz w:val="22"/>
                <w:szCs w:val="22"/>
                <w:lang w:val="sq-AL"/>
              </w:rPr>
              <w:t xml:space="preserve">ështje Civile </w:t>
            </w:r>
          </w:p>
        </w:tc>
        <w:tc>
          <w:tcPr>
            <w:tcW w:w="2880" w:type="dxa"/>
            <w:tcBorders>
              <w:top w:val="single" w:sz="12" w:space="0" w:color="666666"/>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2C7E41F7"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 xml:space="preserve">Me palë kundërshtare </w:t>
            </w:r>
          </w:p>
        </w:tc>
        <w:tc>
          <w:tcPr>
            <w:tcW w:w="1080" w:type="dxa"/>
            <w:tcBorders>
              <w:top w:val="single" w:sz="12"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B5758E"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&gt;</w:t>
            </w:r>
          </w:p>
        </w:tc>
        <w:tc>
          <w:tcPr>
            <w:tcW w:w="2880" w:type="dxa"/>
            <w:tcBorders>
              <w:top w:val="single" w:sz="12"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6B6D61"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 xml:space="preserve">Pa palë kundërshtare </w:t>
            </w:r>
          </w:p>
        </w:tc>
      </w:tr>
      <w:tr w:rsidR="00061623" w:rsidRPr="00061623" w14:paraId="3A635490" w14:textId="77777777" w:rsidTr="00DE5DE0">
        <w:trPr>
          <w:jc w:val="center"/>
        </w:trPr>
        <w:tc>
          <w:tcPr>
            <w:tcW w:w="1080" w:type="dxa"/>
            <w:tcBorders>
              <w:top w:val="single" w:sz="8" w:space="0" w:color="666666"/>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2CD7C9DD" w14:textId="77777777" w:rsidR="00061623" w:rsidRPr="00061623" w:rsidRDefault="00061623" w:rsidP="00DE5DE0">
            <w:pPr>
              <w:pStyle w:val="BodyText"/>
              <w:jc w:val="both"/>
              <w:rPr>
                <w:sz w:val="22"/>
                <w:szCs w:val="22"/>
                <w:lang w:val="sq-AL"/>
              </w:rPr>
            </w:pPr>
            <w:r w:rsidRPr="00061623">
              <w:rPr>
                <w:rFonts w:cs="Times New Roman"/>
                <w:sz w:val="22"/>
                <w:szCs w:val="22"/>
                <w:lang w:val="sq-AL"/>
              </w:rPr>
              <w:t>Ç</w:t>
            </w:r>
            <w:r w:rsidRPr="00061623">
              <w:rPr>
                <w:rFonts w:eastAsia="Arial" w:cs="Times New Roman"/>
                <w:color w:val="000000"/>
                <w:sz w:val="22"/>
                <w:szCs w:val="22"/>
                <w:lang w:val="sq-AL"/>
              </w:rPr>
              <w:t xml:space="preserve">ështje Penale </w:t>
            </w:r>
          </w:p>
        </w:tc>
        <w:tc>
          <w:tcPr>
            <w:tcW w:w="2880" w:type="dxa"/>
            <w:tcBorders>
              <w:top w:val="single" w:sz="8" w:space="0" w:color="666666"/>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6D67DC74"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Themeli</w:t>
            </w:r>
          </w:p>
        </w:tc>
        <w:tc>
          <w:tcPr>
            <w:tcW w:w="1080"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813EAF"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&gt;</w:t>
            </w:r>
          </w:p>
        </w:tc>
        <w:tc>
          <w:tcPr>
            <w:tcW w:w="2880"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4E92D2"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 xml:space="preserve">Hetime paraprake, Veprime paraprake, Kërkesa penale </w:t>
            </w:r>
          </w:p>
        </w:tc>
      </w:tr>
      <w:tr w:rsidR="00061623" w:rsidRPr="00061623" w14:paraId="52161601" w14:textId="77777777" w:rsidTr="00DE5DE0">
        <w:trPr>
          <w:jc w:val="center"/>
        </w:trPr>
        <w:tc>
          <w:tcPr>
            <w:tcW w:w="1080" w:type="dxa"/>
            <w:tcBorders>
              <w:top w:val="single" w:sz="8" w:space="0" w:color="666666"/>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0FAFDCBA" w14:textId="77777777" w:rsidR="00061623" w:rsidRPr="00061623" w:rsidRDefault="00061623" w:rsidP="00DE5DE0">
            <w:pPr>
              <w:pStyle w:val="BodyText"/>
              <w:jc w:val="both"/>
              <w:rPr>
                <w:sz w:val="22"/>
                <w:szCs w:val="22"/>
                <w:lang w:val="sq-AL"/>
              </w:rPr>
            </w:pPr>
            <w:r w:rsidRPr="00061623">
              <w:rPr>
                <w:rFonts w:cs="Times New Roman"/>
                <w:sz w:val="22"/>
                <w:szCs w:val="22"/>
                <w:lang w:val="sq-AL"/>
              </w:rPr>
              <w:t>Ç</w:t>
            </w:r>
            <w:r w:rsidRPr="00061623">
              <w:rPr>
                <w:rFonts w:eastAsia="Arial" w:cs="Times New Roman"/>
                <w:color w:val="000000"/>
                <w:sz w:val="22"/>
                <w:szCs w:val="22"/>
                <w:lang w:val="sq-AL"/>
              </w:rPr>
              <w:t xml:space="preserve">ështje Administrative </w:t>
            </w:r>
          </w:p>
        </w:tc>
        <w:tc>
          <w:tcPr>
            <w:tcW w:w="2880" w:type="dxa"/>
            <w:tcBorders>
              <w:top w:val="single" w:sz="8" w:space="0" w:color="666666"/>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68B378D3"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Të përgjithshme administrative</w:t>
            </w:r>
          </w:p>
        </w:tc>
        <w:tc>
          <w:tcPr>
            <w:tcW w:w="1080"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2F2BC4"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&gt;</w:t>
            </w:r>
          </w:p>
        </w:tc>
        <w:tc>
          <w:tcPr>
            <w:tcW w:w="2880"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AED45F" w14:textId="77777777" w:rsidR="00061623" w:rsidRPr="00061623" w:rsidRDefault="00061623" w:rsidP="00DE5DE0">
            <w:pPr>
              <w:pBdr>
                <w:top w:val="none" w:sz="0" w:space="0" w:color="000000"/>
                <w:left w:val="none" w:sz="0" w:space="0" w:color="000000"/>
                <w:bottom w:val="none" w:sz="0" w:space="0" w:color="000000"/>
                <w:right w:val="none" w:sz="0" w:space="0" w:color="000000"/>
              </w:pBdr>
              <w:spacing w:before="100" w:after="100"/>
              <w:ind w:left="100" w:right="100"/>
              <w:jc w:val="both"/>
              <w:rPr>
                <w:rFonts w:cs="Times New Roman"/>
                <w:lang w:val="sq-AL"/>
              </w:rPr>
            </w:pPr>
            <w:r w:rsidRPr="00061623">
              <w:rPr>
                <w:rFonts w:eastAsia="Arial" w:cs="Times New Roman"/>
                <w:color w:val="000000"/>
                <w:sz w:val="22"/>
                <w:szCs w:val="22"/>
                <w:lang w:val="sq-AL"/>
              </w:rPr>
              <w:t>Kërkesa të tjera</w:t>
            </w:r>
          </w:p>
        </w:tc>
      </w:tr>
    </w:tbl>
    <w:p w14:paraId="345707DE" w14:textId="77777777" w:rsidR="00061623" w:rsidRPr="00061623" w:rsidRDefault="00061623" w:rsidP="00061623">
      <w:pPr>
        <w:pStyle w:val="BodyText"/>
        <w:jc w:val="both"/>
        <w:rPr>
          <w:lang w:val="sq-AL"/>
        </w:rPr>
      </w:pPr>
      <w:r w:rsidRPr="00061623">
        <w:rPr>
          <w:lang w:val="sq-AL"/>
        </w:rPr>
        <w:t>Vlerësimi u bë ve</w:t>
      </w:r>
      <w:r w:rsidRPr="00061623">
        <w:rPr>
          <w:rFonts w:cs="Times New Roman"/>
          <w:lang w:val="sq-AL"/>
        </w:rPr>
        <w:t>ç</w:t>
      </w:r>
      <w:r w:rsidRPr="00061623">
        <w:rPr>
          <w:lang w:val="sq-AL"/>
        </w:rPr>
        <w:t xml:space="preserve">mas për </w:t>
      </w:r>
      <w:r w:rsidRPr="00061623">
        <w:rPr>
          <w:rFonts w:cs="Times New Roman"/>
          <w:lang w:val="sq-AL"/>
        </w:rPr>
        <w:t>ç</w:t>
      </w:r>
      <w:r w:rsidRPr="00061623">
        <w:rPr>
          <w:lang w:val="sq-AL"/>
        </w:rPr>
        <w:t xml:space="preserve">do lloj </w:t>
      </w:r>
      <w:r w:rsidRPr="00061623">
        <w:rPr>
          <w:rFonts w:cs="Times New Roman"/>
          <w:lang w:val="sq-AL"/>
        </w:rPr>
        <w:t>ç</w:t>
      </w:r>
      <w:r w:rsidRPr="00061623">
        <w:rPr>
          <w:lang w:val="sq-AL"/>
        </w:rPr>
        <w:t>ështjeje. Ndërsa kjo analizë do të na tregonte shpërndarjen optimale të gjyqtarëve mes rretheve gjyqësore, gjykatave të apelit të juridiksionit të përgjithshëm dhe gjykata administrative të shkallës së parë dhe riorganizimit të kompetencave të tyre tokësore, në të nuk u përfshi vlerësimi sa i takon shpërndarjes optimale të gjyqtarëve në Gjykatën Administrative të Apelit, për shkak se kjo gjykatë nuk preke</w:t>
      </w:r>
      <w:r>
        <w:rPr>
          <w:lang w:val="sq-AL"/>
        </w:rPr>
        <w:t>j</w:t>
      </w:r>
      <w:r w:rsidRPr="00061623">
        <w:rPr>
          <w:lang w:val="sq-AL"/>
        </w:rPr>
        <w:t xml:space="preserve"> nga riorganizimi i kompetencave tokësore të gjykatave. Kompetenca tokësore e Gjykatës Administrative të Apelit përcaktohet shprehimisht në nenin 12 të Ligjit 98/2016 “Për organizimin e pushtetit gjyqësor në Republikën e Shqipërisë” i ndryshuar. Sipas tij, Gjykata Administrative e Apelit organizohet dhe funksionon në të gjithë territorin e Republikës së Shqipërisë, me seli në Tiranë. </w:t>
      </w:r>
    </w:p>
    <w:p w14:paraId="09D5B1E2" w14:textId="77777777" w:rsidR="00061623" w:rsidRPr="00061623" w:rsidRDefault="00061623" w:rsidP="00AD6BCB">
      <w:pPr>
        <w:jc w:val="both"/>
        <w:rPr>
          <w:lang w:val="sq-AL"/>
        </w:rPr>
      </w:pPr>
      <w:r w:rsidRPr="00061623">
        <w:rPr>
          <w:lang w:val="sq-AL"/>
        </w:rPr>
        <w:lastRenderedPageBreak/>
        <w:t>Detyrimi i Këshillit për përcaktimin e numrit të përgjithshëm të gjyqtarëve buron nga neni 21 i Ligjit 98/2016 i ndryshuar, “ Për organizimin e pushtetit gjyqësor në Republikën e Shqipërisë”, i cili parashikon :</w:t>
      </w:r>
    </w:p>
    <w:p w14:paraId="6615E398" w14:textId="77777777" w:rsidR="00061623" w:rsidRPr="00061623" w:rsidRDefault="00061623" w:rsidP="00AD6BCB">
      <w:pPr>
        <w:jc w:val="both"/>
        <w:rPr>
          <w:i/>
          <w:lang w:val="sq-AL"/>
        </w:rPr>
      </w:pPr>
      <w:r w:rsidRPr="00061623">
        <w:rPr>
          <w:i/>
          <w:lang w:val="sq-AL"/>
        </w:rPr>
        <w:t xml:space="preserve">1. Këshilli i Lartë Gjyqësor propozon numrin e përgjithshëm të gjyqtarëve në Republikën e Shqipërisë bashkë me propozimin për buxhetin e sistemit gjyqësor, sipas procedurës së caktuar me ligj. </w:t>
      </w:r>
    </w:p>
    <w:p w14:paraId="70C93CC5" w14:textId="77777777" w:rsidR="00061623" w:rsidRPr="00061623" w:rsidRDefault="00061623" w:rsidP="00AD6BCB">
      <w:pPr>
        <w:jc w:val="both"/>
        <w:rPr>
          <w:i/>
          <w:lang w:val="sq-AL"/>
        </w:rPr>
      </w:pPr>
      <w:r w:rsidRPr="00061623">
        <w:rPr>
          <w:i/>
          <w:lang w:val="sq-AL"/>
        </w:rPr>
        <w:t xml:space="preserve">2. Përpara se të miratojë propozimin, Këshilli i Lartë Gjyqësor merr mendimin e Këshillave të Gjykatës, Ministrit të Drejtësisë, Ministrit të Financave dhe këshillohet me palë të tjera të interesuara, sipas rregullave të parashikuara në ligjin “Për njoftimin dhe konsultimin publik”. </w:t>
      </w:r>
    </w:p>
    <w:p w14:paraId="732D49C0" w14:textId="77777777" w:rsidR="00061623" w:rsidRPr="00061623" w:rsidRDefault="00061623" w:rsidP="00AD6BCB">
      <w:pPr>
        <w:jc w:val="both"/>
        <w:rPr>
          <w:i/>
          <w:lang w:val="sq-AL"/>
        </w:rPr>
      </w:pPr>
      <w:r w:rsidRPr="00061623">
        <w:rPr>
          <w:i/>
          <w:lang w:val="sq-AL"/>
        </w:rPr>
        <w:t>3. Procesi i përcaktimit të numrit të përgjithshëm të gjyqtarëve mbështetet në objektivat e parashikuar në nenin 14, të këtij ligji, si dhe kryhet në mënyrë transparente, duke u bazuar në vlerësime të plota të kritereve të administratës gjyqësore, siç përcaktohen nga neni 15 pika 3, shkronja “b”, e këtij ligji.</w:t>
      </w:r>
    </w:p>
    <w:p w14:paraId="2B733214" w14:textId="77777777" w:rsidR="00152486" w:rsidRPr="00061623" w:rsidRDefault="00061623" w:rsidP="00AD6BCB">
      <w:pPr>
        <w:jc w:val="both"/>
        <w:rPr>
          <w:lang w:val="sq-AL"/>
        </w:rPr>
      </w:pPr>
      <w:r w:rsidRPr="00061623">
        <w:rPr>
          <w:lang w:val="sq-AL"/>
        </w:rPr>
        <w:t>I qartë për detyrim</w:t>
      </w:r>
      <w:r w:rsidR="00B9301C">
        <w:rPr>
          <w:lang w:val="sq-AL"/>
        </w:rPr>
        <w:t>et</w:t>
      </w:r>
      <w:r w:rsidRPr="00061623">
        <w:rPr>
          <w:lang w:val="sq-AL"/>
        </w:rPr>
        <w:t xml:space="preserve"> ligjor</w:t>
      </w:r>
      <w:r w:rsidR="00B9301C">
        <w:rPr>
          <w:lang w:val="sq-AL"/>
        </w:rPr>
        <w:t>e</w:t>
      </w:r>
      <w:r w:rsidRPr="00061623">
        <w:rPr>
          <w:lang w:val="sq-AL"/>
        </w:rPr>
        <w:t xml:space="preserve"> si më sipër, Këshilli </w:t>
      </w:r>
      <w:r>
        <w:rPr>
          <w:lang w:val="sq-AL"/>
        </w:rPr>
        <w:t>t</w:t>
      </w:r>
      <w:r w:rsidRPr="00061623">
        <w:rPr>
          <w:lang w:val="sq-AL"/>
        </w:rPr>
        <w:t xml:space="preserve">ashmë e ka </w:t>
      </w:r>
      <w:r>
        <w:rPr>
          <w:lang w:val="sq-AL"/>
        </w:rPr>
        <w:t xml:space="preserve">edhe </w:t>
      </w:r>
      <w:r w:rsidRPr="00061623">
        <w:rPr>
          <w:lang w:val="sq-AL"/>
        </w:rPr>
        <w:t>një raport vlerësues të ngarkesës mbi të cilin mund të gjykojë për ndryshimin</w:t>
      </w:r>
      <w:r>
        <w:rPr>
          <w:lang w:val="sq-AL"/>
        </w:rPr>
        <w:t xml:space="preserve"> e numrit të gjyqtarëve</w:t>
      </w:r>
      <w:r w:rsidRPr="00061623">
        <w:rPr>
          <w:lang w:val="sq-AL"/>
        </w:rPr>
        <w:t xml:space="preserve"> në Gjykatën e </w:t>
      </w:r>
      <w:r>
        <w:rPr>
          <w:lang w:val="sq-AL"/>
        </w:rPr>
        <w:t>Administrative të A</w:t>
      </w:r>
      <w:r w:rsidR="00B9301C">
        <w:rPr>
          <w:lang w:val="sq-AL"/>
        </w:rPr>
        <w:t>pelit dhe</w:t>
      </w:r>
      <w:r w:rsidR="00133B41">
        <w:rPr>
          <w:lang w:val="sq-AL"/>
        </w:rPr>
        <w:t xml:space="preserve"> </w:t>
      </w:r>
      <w:r>
        <w:rPr>
          <w:lang w:val="sq-AL"/>
        </w:rPr>
        <w:t xml:space="preserve">rrjedhimisht edhe ndryshimin e numrit të përgjithshëm të gjyqtarëve në Republikën e Shqipërisë. </w:t>
      </w:r>
    </w:p>
    <w:p w14:paraId="7D54EF52" w14:textId="77777777" w:rsidR="00747F55" w:rsidRPr="00061623" w:rsidRDefault="0016570F" w:rsidP="00950D40">
      <w:pPr>
        <w:pStyle w:val="Heading1"/>
        <w:ind w:left="900"/>
        <w:jc w:val="both"/>
        <w:rPr>
          <w:lang w:val="sq-AL"/>
        </w:rPr>
      </w:pPr>
      <w:bookmarkStart w:id="0" w:name="current-status"/>
      <w:r w:rsidRPr="00061623">
        <w:rPr>
          <w:lang w:val="sq-AL"/>
        </w:rPr>
        <w:t>S</w:t>
      </w:r>
      <w:r w:rsidR="00E476A6" w:rsidRPr="00061623">
        <w:rPr>
          <w:lang w:val="sq-AL"/>
        </w:rPr>
        <w:t>tatus</w:t>
      </w:r>
      <w:r w:rsidRPr="00061623">
        <w:rPr>
          <w:lang w:val="sq-AL"/>
        </w:rPr>
        <w:t>i aktual</w:t>
      </w:r>
      <w:r w:rsidR="00AD6BCB" w:rsidRPr="00061623">
        <w:rPr>
          <w:lang w:val="sq-AL"/>
        </w:rPr>
        <w:t xml:space="preserve"> i numrit të gjyqtarëve në Gjykatën e Apelit Administrativ</w:t>
      </w:r>
    </w:p>
    <w:p w14:paraId="3E6E169F" w14:textId="77777777" w:rsidR="00747F55" w:rsidRPr="00061623" w:rsidRDefault="00412C8A" w:rsidP="00505E9E">
      <w:pPr>
        <w:pStyle w:val="BodyText"/>
        <w:jc w:val="both"/>
        <w:rPr>
          <w:lang w:val="sq-AL"/>
        </w:rPr>
      </w:pPr>
      <w:r w:rsidRPr="00061623">
        <w:rPr>
          <w:u w:val="single"/>
          <w:lang w:val="sq-AL"/>
        </w:rPr>
        <w:t xml:space="preserve">Gjykata </w:t>
      </w:r>
      <w:r w:rsidR="00E476A6" w:rsidRPr="00061623">
        <w:rPr>
          <w:u w:val="single"/>
          <w:lang w:val="sq-AL"/>
        </w:rPr>
        <w:t xml:space="preserve">Administrative </w:t>
      </w:r>
      <w:r w:rsidRPr="00061623">
        <w:rPr>
          <w:u w:val="single"/>
          <w:lang w:val="sq-AL"/>
        </w:rPr>
        <w:t>e Apelit Tiran</w:t>
      </w:r>
      <w:r w:rsidR="00DB5CA3" w:rsidRPr="00061623">
        <w:rPr>
          <w:u w:val="single"/>
          <w:lang w:val="sq-AL"/>
        </w:rPr>
        <w:t>ë</w:t>
      </w:r>
      <w:r w:rsidR="00E476A6" w:rsidRPr="00061623">
        <w:rPr>
          <w:lang w:val="sq-AL"/>
        </w:rPr>
        <w:t>:</w:t>
      </w:r>
    </w:p>
    <w:p w14:paraId="2066B917" w14:textId="77777777" w:rsidR="00747F55" w:rsidRDefault="00AA22BF" w:rsidP="00505E9E">
      <w:pPr>
        <w:numPr>
          <w:ilvl w:val="0"/>
          <w:numId w:val="30"/>
        </w:numPr>
        <w:jc w:val="both"/>
        <w:rPr>
          <w:lang w:val="sq-AL"/>
        </w:rPr>
      </w:pPr>
      <w:r>
        <w:rPr>
          <w:lang w:val="sq-AL"/>
        </w:rPr>
        <w:t>6</w:t>
      </w:r>
      <w:r w:rsidR="00E476A6" w:rsidRPr="00061623">
        <w:rPr>
          <w:lang w:val="sq-AL"/>
        </w:rPr>
        <w:t xml:space="preserve"> </w:t>
      </w:r>
      <w:r w:rsidR="00412C8A" w:rsidRPr="00061623">
        <w:rPr>
          <w:lang w:val="sq-AL"/>
        </w:rPr>
        <w:t>gjyqtar</w:t>
      </w:r>
      <w:r w:rsidR="00DB5CA3" w:rsidRPr="00061623">
        <w:rPr>
          <w:lang w:val="sq-AL"/>
        </w:rPr>
        <w:t>ë</w:t>
      </w:r>
      <w:r w:rsidR="00412C8A" w:rsidRPr="00061623">
        <w:rPr>
          <w:lang w:val="sq-AL"/>
        </w:rPr>
        <w:t xml:space="preserve"> n</w:t>
      </w:r>
      <w:r w:rsidR="00DB5CA3" w:rsidRPr="00061623">
        <w:rPr>
          <w:lang w:val="sq-AL"/>
        </w:rPr>
        <w:t>ë</w:t>
      </w:r>
      <w:r w:rsidR="00412C8A" w:rsidRPr="00061623">
        <w:rPr>
          <w:lang w:val="sq-AL"/>
        </w:rPr>
        <w:t xml:space="preserve"> detyr</w:t>
      </w:r>
      <w:r w:rsidR="00DB5CA3" w:rsidRPr="00061623">
        <w:rPr>
          <w:lang w:val="sq-AL"/>
        </w:rPr>
        <w:t>ë</w:t>
      </w:r>
      <w:r>
        <w:rPr>
          <w:lang w:val="sq-AL"/>
        </w:rPr>
        <w:t>;</w:t>
      </w:r>
    </w:p>
    <w:p w14:paraId="1FD76D57" w14:textId="77777777" w:rsidR="00AA22BF" w:rsidRPr="00061623" w:rsidRDefault="00AA22BF" w:rsidP="00505E9E">
      <w:pPr>
        <w:numPr>
          <w:ilvl w:val="0"/>
          <w:numId w:val="30"/>
        </w:numPr>
        <w:jc w:val="both"/>
        <w:rPr>
          <w:lang w:val="sq-AL"/>
        </w:rPr>
      </w:pPr>
      <w:r>
        <w:rPr>
          <w:lang w:val="sq-AL"/>
        </w:rPr>
        <w:t>5 gjyqtarë në skemë delegimi;</w:t>
      </w:r>
    </w:p>
    <w:p w14:paraId="268A6F1C" w14:textId="77777777" w:rsidR="00747F55" w:rsidRPr="00061623" w:rsidRDefault="00E476A6" w:rsidP="00505E9E">
      <w:pPr>
        <w:numPr>
          <w:ilvl w:val="0"/>
          <w:numId w:val="30"/>
        </w:numPr>
        <w:jc w:val="both"/>
        <w:rPr>
          <w:lang w:val="sq-AL"/>
        </w:rPr>
      </w:pPr>
      <w:r w:rsidRPr="00061623">
        <w:rPr>
          <w:lang w:val="sq-AL"/>
        </w:rPr>
        <w:t xml:space="preserve">2 </w:t>
      </w:r>
      <w:r w:rsidR="00412C8A" w:rsidRPr="00061623">
        <w:rPr>
          <w:lang w:val="sq-AL"/>
        </w:rPr>
        <w:t>gjyqtar</w:t>
      </w:r>
      <w:r w:rsidR="00DB5CA3" w:rsidRPr="00061623">
        <w:rPr>
          <w:lang w:val="sq-AL"/>
        </w:rPr>
        <w:t>ë</w:t>
      </w:r>
      <w:r w:rsidR="00412C8A" w:rsidRPr="00061623">
        <w:rPr>
          <w:lang w:val="sq-AL"/>
        </w:rPr>
        <w:t xml:space="preserve"> t</w:t>
      </w:r>
      <w:r w:rsidR="00DB5CA3" w:rsidRPr="00061623">
        <w:rPr>
          <w:lang w:val="sq-AL"/>
        </w:rPr>
        <w:t>ë</w:t>
      </w:r>
      <w:r w:rsidR="00412C8A" w:rsidRPr="00061623">
        <w:rPr>
          <w:lang w:val="sq-AL"/>
        </w:rPr>
        <w:t xml:space="preserve"> shkarkuar (n</w:t>
      </w:r>
      <w:r w:rsidR="00DB5CA3" w:rsidRPr="00061623">
        <w:rPr>
          <w:lang w:val="sq-AL"/>
        </w:rPr>
        <w:t>ë</w:t>
      </w:r>
      <w:r w:rsidR="00412C8A" w:rsidRPr="00061623">
        <w:rPr>
          <w:lang w:val="sq-AL"/>
        </w:rPr>
        <w:t xml:space="preserve"> pritje t</w:t>
      </w:r>
      <w:r w:rsidR="00DB5CA3" w:rsidRPr="00061623">
        <w:rPr>
          <w:lang w:val="sq-AL"/>
        </w:rPr>
        <w:t>ë</w:t>
      </w:r>
      <w:r w:rsidR="00412C8A" w:rsidRPr="00061623">
        <w:rPr>
          <w:lang w:val="sq-AL"/>
        </w:rPr>
        <w:t xml:space="preserve"> vendimit nga KPA</w:t>
      </w:r>
      <w:r w:rsidR="00CD099B" w:rsidRPr="00061623">
        <w:rPr>
          <w:lang w:val="sq-AL"/>
        </w:rPr>
        <w:t>-</w:t>
      </w:r>
      <w:r w:rsidR="00456A39" w:rsidRPr="00061623">
        <w:rPr>
          <w:lang w:val="sq-AL"/>
        </w:rPr>
        <w:t>ja</w:t>
      </w:r>
      <w:r w:rsidR="00412C8A" w:rsidRPr="00061623">
        <w:rPr>
          <w:lang w:val="sq-AL"/>
        </w:rPr>
        <w:t>)</w:t>
      </w:r>
      <w:r w:rsidR="00AA22BF">
        <w:rPr>
          <w:lang w:val="sq-AL"/>
        </w:rPr>
        <w:t>.</w:t>
      </w:r>
    </w:p>
    <w:p w14:paraId="27D54A1C" w14:textId="77777777" w:rsidR="00F57603" w:rsidRPr="00061623" w:rsidRDefault="00F57603" w:rsidP="00950D40">
      <w:pPr>
        <w:pStyle w:val="Heading1"/>
        <w:ind w:left="900"/>
        <w:jc w:val="both"/>
        <w:rPr>
          <w:lang w:val="sq-AL"/>
        </w:rPr>
      </w:pPr>
      <w:r w:rsidRPr="00061623">
        <w:rPr>
          <w:lang w:val="sq-AL"/>
        </w:rPr>
        <w:t>Numri i çështjeve të prapambetura dhe çështjeve të reja të regjistruara në Gjykatën Administrative të Apelit</w:t>
      </w:r>
    </w:p>
    <w:p w14:paraId="3C88CBD8" w14:textId="77777777" w:rsidR="00B9301C" w:rsidRDefault="00B9301C" w:rsidP="00505E9E">
      <w:pPr>
        <w:jc w:val="both"/>
        <w:rPr>
          <w:lang w:val="sq-AL"/>
        </w:rPr>
      </w:pPr>
    </w:p>
    <w:p w14:paraId="6700F5BB" w14:textId="77777777" w:rsidR="00F57603" w:rsidRPr="00061623" w:rsidRDefault="00F57603" w:rsidP="00505E9E">
      <w:pPr>
        <w:jc w:val="both"/>
        <w:rPr>
          <w:lang w:val="sq-AL"/>
        </w:rPr>
      </w:pPr>
      <w:r w:rsidRPr="00061623">
        <w:rPr>
          <w:lang w:val="sq-AL"/>
        </w:rPr>
        <w:t xml:space="preserve">Në 29 shtator 2023, Gjykata Administrative e Apelit kishte 23.104 çështje të papërfunduara. Mosha mesatare e çështjeve të papërfunduara ishte 3.3 vjet. Nëse konsiderojmë se çështje të prapambetura </w:t>
      </w:r>
      <w:r w:rsidRPr="00061623">
        <w:rPr>
          <w:i/>
          <w:lang w:val="sq-AL"/>
        </w:rPr>
        <w:t>(backlog)</w:t>
      </w:r>
      <w:r w:rsidRPr="00061623">
        <w:rPr>
          <w:lang w:val="sq-AL"/>
        </w:rPr>
        <w:t xml:space="preserve"> quhen </w:t>
      </w:r>
      <w:r w:rsidRPr="00061623">
        <w:rPr>
          <w:rFonts w:ascii="Segoe UI Symbol" w:eastAsiaTheme="minorHAnsi" w:hAnsi="Segoe UI Symbol"/>
          <w:lang w:val="sq-AL" w:eastAsia="ja-JP"/>
        </w:rPr>
        <w:t xml:space="preserve"> </w:t>
      </w:r>
      <w:r w:rsidRPr="00061623">
        <w:rPr>
          <w:lang w:val="sq-AL"/>
        </w:rPr>
        <w:t xml:space="preserve">çështjet më të vjetra se një vit, atëherë </w:t>
      </w:r>
      <w:r w:rsidRPr="00061623">
        <w:rPr>
          <w:i/>
          <w:lang w:val="sq-AL"/>
        </w:rPr>
        <w:t>backlogu</w:t>
      </w:r>
      <w:r w:rsidRPr="00061623">
        <w:rPr>
          <w:lang w:val="sq-AL"/>
        </w:rPr>
        <w:t xml:space="preserve"> përbëhet nga 19.930 çështje.</w:t>
      </w:r>
    </w:p>
    <w:p w14:paraId="2AE00617" w14:textId="77777777" w:rsidR="00C40288" w:rsidRPr="00061623" w:rsidRDefault="00CF0A7D" w:rsidP="00C40288">
      <w:pPr>
        <w:jc w:val="both"/>
        <w:rPr>
          <w:lang w:val="sq-AL"/>
        </w:rPr>
      </w:pPr>
      <w:r>
        <w:rPr>
          <w:noProof/>
        </w:rPr>
        <w:lastRenderedPageBreak/>
        <mc:AlternateContent>
          <mc:Choice Requires="wps">
            <w:drawing>
              <wp:anchor distT="0" distB="0" distL="114300" distR="114300" simplePos="0" relativeHeight="251664384" behindDoc="0" locked="0" layoutInCell="1" allowOverlap="1" wp14:anchorId="236CF5B7" wp14:editId="261B3E68">
                <wp:simplePos x="0" y="0"/>
                <wp:positionH relativeFrom="column">
                  <wp:posOffset>-194945</wp:posOffset>
                </wp:positionH>
                <wp:positionV relativeFrom="paragraph">
                  <wp:posOffset>462280</wp:posOffset>
                </wp:positionV>
                <wp:extent cx="438150" cy="3486150"/>
                <wp:effectExtent l="57150" t="19050" r="57150" b="76200"/>
                <wp:wrapNone/>
                <wp:docPr id="55" name="Rectangle 55"/>
                <wp:cNvGraphicFramePr/>
                <a:graphic xmlns:a="http://schemas.openxmlformats.org/drawingml/2006/main">
                  <a:graphicData uri="http://schemas.microsoft.com/office/word/2010/wordprocessingShape">
                    <wps:wsp>
                      <wps:cNvSpPr/>
                      <wps:spPr>
                        <a:xfrm>
                          <a:off x="0" y="0"/>
                          <a:ext cx="438150" cy="3486150"/>
                        </a:xfrm>
                        <a:prstGeom prst="rect">
                          <a:avLst/>
                        </a:prstGeom>
                        <a:solidFill>
                          <a:schemeClr val="accent5">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D66E63C" w14:textId="77777777" w:rsidR="00CF0A7D" w:rsidRPr="00CF0A7D" w:rsidRDefault="00CF0A7D" w:rsidP="00CF0A7D">
                            <w:pPr>
                              <w:jc w:val="center"/>
                              <w:rPr>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7D">
                              <w:rPr>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Numri çështjeve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left:0;text-align:left;margin-left:-15.35pt;margin-top:36.4pt;width:34.5pt;height:2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" fillcolor="#daeef3 [664]" stroked="f">
                <v:shadow on="t" color="black" opacity="22937f" origin=",.5" offset="0,.63889mm"/>
                <v:textbox style="layout-flow:vertical;mso-layout-flow-alt:bottom-to-top">
                  <w:txbxContent>
                    <w:p w:rsidR="00CF0A7D" w:rsidRPr="00CF0A7D" w:rsidRDefault="00CF0A7D" w:rsidP="00CF0A7D">
                      <w:pPr>
                        <w:jc w:val="center"/>
                        <w:rPr>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A7D">
                        <w:rPr>
                          <w:color w:val="000000" w:themeColor="text1"/>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Numri çështjeve</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E35D5D9" wp14:editId="7259DD44">
                <wp:simplePos x="0" y="0"/>
                <wp:positionH relativeFrom="column">
                  <wp:posOffset>4191635</wp:posOffset>
                </wp:positionH>
                <wp:positionV relativeFrom="paragraph">
                  <wp:posOffset>610235</wp:posOffset>
                </wp:positionV>
                <wp:extent cx="838200" cy="400050"/>
                <wp:effectExtent l="0" t="0" r="0" b="0"/>
                <wp:wrapNone/>
                <wp:docPr id="51" name="Rounded Rectangle 51"/>
                <wp:cNvGraphicFramePr/>
                <a:graphic xmlns:a="http://schemas.openxmlformats.org/drawingml/2006/main">
                  <a:graphicData uri="http://schemas.microsoft.com/office/word/2010/wordprocessingShape">
                    <wps:wsp>
                      <wps:cNvSpPr/>
                      <wps:spPr>
                        <a:xfrm>
                          <a:off x="0" y="0"/>
                          <a:ext cx="838200" cy="400050"/>
                        </a:xfrm>
                        <a:prstGeom prst="roundRect">
                          <a:avLst/>
                        </a:prstGeom>
                        <a:solidFill>
                          <a:schemeClr val="accent5">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1A73EEE9" w14:textId="77777777" w:rsidR="00CF0A7D" w:rsidRPr="00CF0A7D" w:rsidRDefault="00CF0A7D" w:rsidP="00CF0A7D">
                            <w:pPr>
                              <w:jc w:val="center"/>
                              <w:rPr>
                                <w:lang w:val="sq-AL"/>
                              </w:rPr>
                            </w:pPr>
                            <w:r w:rsidRPr="00CF0A7D">
                              <w:rPr>
                                <w:lang w:val="sq-AL"/>
                              </w:rPr>
                              <w:t>Në pritje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761F7" id="Rounded Rectangle 51" o:spid="_x0000_s1027" style="position:absolute;left:0;text-align:left;margin-left:330.05pt;margin-top:48.05pt;width:66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" fillcolor="#daeef3 [664]" stroked="f" strokeweight="2pt">
                <v:textbox>
                  <w:txbxContent>
                    <w:p w:rsidR="00CF0A7D" w:rsidRPr="00CF0A7D" w:rsidRDefault="00CF0A7D" w:rsidP="00CF0A7D">
                      <w:pPr>
                        <w:jc w:val="center"/>
                        <w:rPr>
                          <w:lang w:val="sq-AL"/>
                        </w:rPr>
                      </w:pPr>
                      <w:r w:rsidRPr="00CF0A7D">
                        <w:rPr>
                          <w:lang w:val="sq-AL"/>
                        </w:rPr>
                        <w:t>Në pritje</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C8A6838" wp14:editId="64CD298C">
                <wp:simplePos x="0" y="0"/>
                <wp:positionH relativeFrom="column">
                  <wp:posOffset>3129280</wp:posOffset>
                </wp:positionH>
                <wp:positionV relativeFrom="paragraph">
                  <wp:posOffset>633731</wp:posOffset>
                </wp:positionV>
                <wp:extent cx="838200" cy="400050"/>
                <wp:effectExtent l="0" t="0" r="0" b="0"/>
                <wp:wrapNone/>
                <wp:docPr id="39" name="Rounded Rectangle 39"/>
                <wp:cNvGraphicFramePr/>
                <a:graphic xmlns:a="http://schemas.openxmlformats.org/drawingml/2006/main">
                  <a:graphicData uri="http://schemas.microsoft.com/office/word/2010/wordprocessingShape">
                    <wps:wsp>
                      <wps:cNvSpPr/>
                      <wps:spPr>
                        <a:xfrm>
                          <a:off x="0" y="0"/>
                          <a:ext cx="838200" cy="400050"/>
                        </a:xfrm>
                        <a:prstGeom prst="roundRect">
                          <a:avLst/>
                        </a:prstGeom>
                        <a:solidFill>
                          <a:schemeClr val="accent5">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7DFA737C" w14:textId="77777777" w:rsidR="00CF0A7D" w:rsidRPr="00CF0A7D" w:rsidRDefault="00CF0A7D" w:rsidP="00CF0A7D">
                            <w:pPr>
                              <w:jc w:val="center"/>
                              <w:rPr>
                                <w:lang w:val="sq-AL"/>
                              </w:rPr>
                            </w:pPr>
                            <w:r w:rsidRPr="00CF0A7D">
                              <w:rPr>
                                <w:lang w:val="sq-AL"/>
                              </w:rPr>
                              <w:t>gjykuara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5DE5C" id="Rounded Rectangle 39" o:spid="_x0000_s1028" style="position:absolute;left:0;text-align:left;margin-left:246.4pt;margin-top:49.9pt;width:66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" fillcolor="#daeef3 [664]" stroked="f" strokeweight="2pt">
                <v:textbox>
                  <w:txbxContent>
                    <w:p w:rsidR="00CF0A7D" w:rsidRPr="00CF0A7D" w:rsidRDefault="00CF0A7D" w:rsidP="00CF0A7D">
                      <w:pPr>
                        <w:jc w:val="center"/>
                        <w:rPr>
                          <w:lang w:val="sq-AL"/>
                        </w:rPr>
                      </w:pPr>
                      <w:r w:rsidRPr="00CF0A7D">
                        <w:rPr>
                          <w:lang w:val="sq-AL"/>
                        </w:rPr>
                        <w:t>gjykuara</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2DBFCDC8" wp14:editId="3246370A">
                <wp:simplePos x="0" y="0"/>
                <wp:positionH relativeFrom="column">
                  <wp:posOffset>2148205</wp:posOffset>
                </wp:positionH>
                <wp:positionV relativeFrom="paragraph">
                  <wp:posOffset>662305</wp:posOffset>
                </wp:positionV>
                <wp:extent cx="704850" cy="333375"/>
                <wp:effectExtent l="0" t="0" r="0" b="9525"/>
                <wp:wrapNone/>
                <wp:docPr id="32" name="Rounded Rectangle 32"/>
                <wp:cNvGraphicFramePr/>
                <a:graphic xmlns:a="http://schemas.openxmlformats.org/drawingml/2006/main">
                  <a:graphicData uri="http://schemas.microsoft.com/office/word/2010/wordprocessingShape">
                    <wps:wsp>
                      <wps:cNvSpPr/>
                      <wps:spPr>
                        <a:xfrm>
                          <a:off x="0" y="0"/>
                          <a:ext cx="704850" cy="333375"/>
                        </a:xfrm>
                        <a:prstGeom prst="roundRect">
                          <a:avLst/>
                        </a:prstGeom>
                        <a:solidFill>
                          <a:schemeClr val="accent5">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448645FF" w14:textId="77777777" w:rsidR="00CF0A7D" w:rsidRPr="00CF0A7D" w:rsidRDefault="00CF0A7D" w:rsidP="00CF0A7D">
                            <w:pPr>
                              <w:jc w:val="center"/>
                              <w:rPr>
                                <w:lang w:val="sq-AL"/>
                              </w:rPr>
                            </w:pPr>
                            <w:r w:rsidRPr="00CF0A7D">
                              <w:rPr>
                                <w:lang w:val="sq-AL"/>
                              </w:rPr>
                              <w:t>Të reja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2" o:spid="_x0000_s1029" style="position:absolute;left:0;text-align:left;margin-left:169.15pt;margin-top:52.15pt;width:55.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" fillcolor="#daeef3 [664]" stroked="f" strokeweight="2pt">
                <v:textbox>
                  <w:txbxContent>
                    <w:p w:rsidR="00CF0A7D" w:rsidRPr="00CF0A7D" w:rsidRDefault="00CF0A7D" w:rsidP="00CF0A7D">
                      <w:pPr>
                        <w:jc w:val="center"/>
                        <w:rPr>
                          <w:lang w:val="sq-AL"/>
                        </w:rPr>
                      </w:pPr>
                      <w:r w:rsidRPr="00CF0A7D">
                        <w:rPr>
                          <w:lang w:val="sq-AL"/>
                        </w:rPr>
                        <w:t>Të reja</w:t>
                      </w:r>
                    </w:p>
                  </w:txbxContent>
                </v:textbox>
              </v:roundrect>
            </w:pict>
          </mc:Fallback>
        </mc:AlternateContent>
      </w:r>
      <w:r w:rsidR="00C40288" w:rsidRPr="00061623">
        <w:rPr>
          <w:noProof/>
          <w:lang w:val="sq-AL"/>
        </w:rPr>
        <w:drawing>
          <wp:anchor distT="0" distB="0" distL="114300" distR="114300" simplePos="0" relativeHeight="251658240" behindDoc="0" locked="0" layoutInCell="1" allowOverlap="1" wp14:anchorId="4ABA5C1D" wp14:editId="6A6CAA6F">
            <wp:simplePos x="0" y="0"/>
            <wp:positionH relativeFrom="margin">
              <wp:align>left</wp:align>
            </wp:positionH>
            <wp:positionV relativeFrom="paragraph">
              <wp:posOffset>475615</wp:posOffset>
            </wp:positionV>
            <wp:extent cx="6083935" cy="3476625"/>
            <wp:effectExtent l="0" t="0" r="0"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83935" cy="3476625"/>
                    </a:xfrm>
                    <a:prstGeom prst="rect">
                      <a:avLst/>
                    </a:prstGeom>
                    <a:noFill/>
                  </pic:spPr>
                </pic:pic>
              </a:graphicData>
            </a:graphic>
            <wp14:sizeRelH relativeFrom="page">
              <wp14:pctWidth>0</wp14:pctWidth>
            </wp14:sizeRelH>
            <wp14:sizeRelV relativeFrom="page">
              <wp14:pctHeight>0</wp14:pctHeight>
            </wp14:sizeRelV>
          </wp:anchor>
        </w:drawing>
      </w:r>
      <w:r w:rsidR="00C40288" w:rsidRPr="00061623">
        <w:rPr>
          <w:lang w:val="sq-AL"/>
        </w:rPr>
        <w:t xml:space="preserve">Me qëllim analizimin e ngarkesës së gjykatës, në grafikën më poshtë, tregohen zhvillimet në numrin e çështjeve të reja të ardhura në gjykatë, çështjeve të shqyrtuara dhe atyre në gjykim. </w:t>
      </w:r>
      <w:bookmarkStart w:id="1" w:name="general-backlog-development"/>
      <w:r w:rsidR="00C40288" w:rsidRPr="00061623">
        <w:rPr>
          <w:lang w:val="sq-AL"/>
        </w:rPr>
        <w:t xml:space="preserve">Siç shihet edhe nga grafika, Gjykata Administrative e Apelit që prej themelimit të saj ka pasur një numër të konsiderueshëm çështjes të prapambetura. Që prej vitit 2015, numri i çështjeve në shqyrtim pa vendim e ka tejkaluar numrin 10.000. Sipas të dhënave të shtatorit 2023, numri i çështjeve të prapambetura arrin 22643 çështje, ndërkohë që numri i çështjeve të reja që regjistrohen çdo vit në gjykatë është rreth 3000-3500 çështje. </w:t>
      </w:r>
      <w:bookmarkStart w:id="2" w:name="age-of-pending-cases"/>
      <w:bookmarkEnd w:id="1"/>
    </w:p>
    <w:p w14:paraId="6F565D32" w14:textId="77777777" w:rsidR="00B9301C" w:rsidRDefault="00B9301C" w:rsidP="00B9301C">
      <w:pPr>
        <w:jc w:val="both"/>
        <w:rPr>
          <w:lang w:val="sq-AL"/>
        </w:rPr>
      </w:pPr>
      <w:bookmarkStart w:id="3" w:name="case-types"/>
      <w:r>
        <w:rPr>
          <w:lang w:val="sq-AL"/>
        </w:rPr>
        <w:t xml:space="preserve">Lloji i çështjeve në Gjykatën Administrative të Apelit sipas të dhënave statistikore sipas kompleksitetit ndahet si më poshtë: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3097"/>
        <w:gridCol w:w="2473"/>
      </w:tblGrid>
      <w:tr w:rsidR="00DE5DE0" w:rsidRPr="00C01056" w14:paraId="4979059B" w14:textId="77777777" w:rsidTr="00DE5DE0">
        <w:trPr>
          <w:trHeight w:val="439"/>
          <w:jc w:val="center"/>
        </w:trPr>
        <w:tc>
          <w:tcPr>
            <w:tcW w:w="2065" w:type="dxa"/>
            <w:shd w:val="clear" w:color="auto" w:fill="D9E1F3"/>
          </w:tcPr>
          <w:p w14:paraId="5F4233E2" w14:textId="77777777" w:rsidR="00DE5DE0" w:rsidRPr="00C01056" w:rsidRDefault="00DE5DE0" w:rsidP="00DE5DE0">
            <w:pPr>
              <w:pStyle w:val="TableParagraph"/>
              <w:spacing w:before="99"/>
              <w:ind w:left="291" w:right="283"/>
              <w:jc w:val="center"/>
              <w:rPr>
                <w:rFonts w:ascii="Times New Roman" w:hAnsi="Times New Roman" w:cs="Times New Roman"/>
                <w:b/>
                <w:sz w:val="24"/>
                <w:szCs w:val="24"/>
                <w:lang w:val="sq-AL"/>
              </w:rPr>
            </w:pPr>
            <w:r w:rsidRPr="00C01056">
              <w:rPr>
                <w:rFonts w:ascii="Times New Roman" w:hAnsi="Times New Roman" w:cs="Times New Roman"/>
                <w:b/>
                <w:sz w:val="24"/>
                <w:szCs w:val="24"/>
                <w:lang w:val="sq-AL"/>
              </w:rPr>
              <w:t>Gjykata</w:t>
            </w:r>
          </w:p>
        </w:tc>
        <w:tc>
          <w:tcPr>
            <w:tcW w:w="1672" w:type="dxa"/>
            <w:tcBorders>
              <w:bottom w:val="single" w:sz="8" w:space="0" w:color="000000"/>
            </w:tcBorders>
            <w:shd w:val="clear" w:color="auto" w:fill="D9E1F3"/>
          </w:tcPr>
          <w:p w14:paraId="09CD5486" w14:textId="77777777" w:rsidR="00DE5DE0" w:rsidRPr="00C01056" w:rsidRDefault="00DE5DE0" w:rsidP="00DE5DE0">
            <w:pPr>
              <w:pStyle w:val="TableParagraph"/>
              <w:spacing w:before="99"/>
              <w:ind w:left="20" w:right="19"/>
              <w:jc w:val="center"/>
              <w:rPr>
                <w:rFonts w:ascii="Times New Roman" w:hAnsi="Times New Roman" w:cs="Times New Roman"/>
                <w:b/>
                <w:sz w:val="24"/>
                <w:szCs w:val="24"/>
                <w:lang w:val="sq-AL"/>
              </w:rPr>
            </w:pPr>
            <w:r w:rsidRPr="00C01056">
              <w:rPr>
                <w:rFonts w:ascii="Times New Roman" w:hAnsi="Times New Roman" w:cs="Times New Roman"/>
                <w:b/>
                <w:sz w:val="24"/>
                <w:szCs w:val="24"/>
                <w:lang w:val="sq-AL"/>
              </w:rPr>
              <w:t>% komplekse</w:t>
            </w:r>
          </w:p>
        </w:tc>
        <w:tc>
          <w:tcPr>
            <w:tcW w:w="1335" w:type="dxa"/>
            <w:tcBorders>
              <w:bottom w:val="single" w:sz="8" w:space="0" w:color="000000"/>
            </w:tcBorders>
            <w:shd w:val="clear" w:color="auto" w:fill="D9E1F3"/>
          </w:tcPr>
          <w:p w14:paraId="25304FFB" w14:textId="77777777" w:rsidR="00DE5DE0" w:rsidRPr="00C01056" w:rsidRDefault="00DE5DE0" w:rsidP="00DE5DE0">
            <w:pPr>
              <w:pStyle w:val="TableParagraph"/>
              <w:spacing w:before="99"/>
              <w:ind w:left="226" w:right="226"/>
              <w:jc w:val="center"/>
              <w:rPr>
                <w:rFonts w:ascii="Times New Roman" w:hAnsi="Times New Roman" w:cs="Times New Roman"/>
                <w:b/>
                <w:sz w:val="24"/>
                <w:szCs w:val="24"/>
                <w:lang w:val="sq-AL"/>
              </w:rPr>
            </w:pPr>
            <w:r w:rsidRPr="00C01056">
              <w:rPr>
                <w:rFonts w:ascii="Times New Roman" w:hAnsi="Times New Roman" w:cs="Times New Roman"/>
                <w:b/>
                <w:sz w:val="24"/>
                <w:szCs w:val="24"/>
                <w:lang w:val="sq-AL"/>
              </w:rPr>
              <w:t>% të lehta</w:t>
            </w:r>
          </w:p>
        </w:tc>
      </w:tr>
      <w:tr w:rsidR="00DE5DE0" w:rsidRPr="00C01056" w14:paraId="1A8F2A44" w14:textId="77777777" w:rsidTr="00DE5DE0">
        <w:trPr>
          <w:trHeight w:val="443"/>
          <w:jc w:val="center"/>
        </w:trPr>
        <w:tc>
          <w:tcPr>
            <w:tcW w:w="2065" w:type="dxa"/>
          </w:tcPr>
          <w:p w14:paraId="42D8F8B4" w14:textId="77777777" w:rsidR="00DE5DE0" w:rsidRPr="00C01056" w:rsidRDefault="00DE5DE0" w:rsidP="00DE5DE0">
            <w:pPr>
              <w:pStyle w:val="TableParagraph"/>
              <w:spacing w:before="104"/>
              <w:ind w:left="291" w:right="285"/>
              <w:jc w:val="center"/>
              <w:rPr>
                <w:rFonts w:ascii="Times New Roman" w:hAnsi="Times New Roman" w:cs="Times New Roman"/>
                <w:b/>
                <w:sz w:val="24"/>
                <w:szCs w:val="24"/>
                <w:lang w:val="sq-AL"/>
              </w:rPr>
            </w:pPr>
            <w:r w:rsidRPr="00C01056">
              <w:rPr>
                <w:rFonts w:ascii="Times New Roman" w:hAnsi="Times New Roman" w:cs="Times New Roman"/>
                <w:b/>
                <w:sz w:val="24"/>
                <w:szCs w:val="24"/>
                <w:lang w:val="sq-AL"/>
              </w:rPr>
              <w:t>Apeli</w:t>
            </w:r>
            <w:r>
              <w:rPr>
                <w:rFonts w:ascii="Times New Roman" w:hAnsi="Times New Roman" w:cs="Times New Roman"/>
                <w:b/>
                <w:sz w:val="24"/>
                <w:szCs w:val="24"/>
                <w:lang w:val="sq-AL"/>
              </w:rPr>
              <w:t xml:space="preserve"> Administrativ</w:t>
            </w:r>
          </w:p>
        </w:tc>
        <w:tc>
          <w:tcPr>
            <w:tcW w:w="1672" w:type="dxa"/>
            <w:tcBorders>
              <w:top w:val="single" w:sz="8" w:space="0" w:color="000000"/>
              <w:left w:val="single" w:sz="8" w:space="0" w:color="000000"/>
              <w:bottom w:val="single" w:sz="8" w:space="0" w:color="000000"/>
              <w:right w:val="single" w:sz="8" w:space="0" w:color="000000"/>
            </w:tcBorders>
          </w:tcPr>
          <w:p w14:paraId="18C9F2BA" w14:textId="77777777" w:rsidR="00DE5DE0" w:rsidRPr="00C01056" w:rsidRDefault="00DE5DE0" w:rsidP="00DE5DE0">
            <w:pPr>
              <w:pStyle w:val="TableParagraph"/>
              <w:spacing w:before="104"/>
              <w:ind w:right="31"/>
              <w:jc w:val="center"/>
              <w:rPr>
                <w:rFonts w:ascii="Times New Roman" w:hAnsi="Times New Roman" w:cs="Times New Roman"/>
                <w:sz w:val="24"/>
                <w:szCs w:val="24"/>
                <w:lang w:val="sq-AL"/>
              </w:rPr>
            </w:pPr>
            <w:r>
              <w:rPr>
                <w:rFonts w:ascii="Times New Roman" w:hAnsi="Times New Roman" w:cs="Times New Roman"/>
                <w:sz w:val="24"/>
                <w:szCs w:val="24"/>
                <w:lang w:val="sq-AL"/>
              </w:rPr>
              <w:t>84%</w:t>
            </w:r>
          </w:p>
        </w:tc>
        <w:tc>
          <w:tcPr>
            <w:tcW w:w="1335" w:type="dxa"/>
            <w:tcBorders>
              <w:top w:val="single" w:sz="8" w:space="0" w:color="000000"/>
              <w:left w:val="single" w:sz="8" w:space="0" w:color="000000"/>
              <w:bottom w:val="single" w:sz="8" w:space="0" w:color="000000"/>
              <w:right w:val="single" w:sz="8" w:space="0" w:color="000000"/>
            </w:tcBorders>
          </w:tcPr>
          <w:p w14:paraId="16717B2D" w14:textId="77777777" w:rsidR="00DE5DE0" w:rsidRPr="00C01056" w:rsidRDefault="00DE5DE0" w:rsidP="00DE5DE0">
            <w:pPr>
              <w:pStyle w:val="TableParagraph"/>
              <w:spacing w:before="104"/>
              <w:ind w:right="32"/>
              <w:jc w:val="center"/>
              <w:rPr>
                <w:rFonts w:ascii="Times New Roman" w:hAnsi="Times New Roman" w:cs="Times New Roman"/>
                <w:sz w:val="24"/>
                <w:szCs w:val="24"/>
                <w:lang w:val="sq-AL"/>
              </w:rPr>
            </w:pPr>
            <w:r>
              <w:rPr>
                <w:rFonts w:ascii="Times New Roman" w:hAnsi="Times New Roman" w:cs="Times New Roman"/>
                <w:sz w:val="24"/>
                <w:szCs w:val="24"/>
                <w:lang w:val="sq-AL"/>
              </w:rPr>
              <w:t>16</w:t>
            </w:r>
            <w:r w:rsidRPr="00C01056">
              <w:rPr>
                <w:rFonts w:ascii="Times New Roman" w:hAnsi="Times New Roman" w:cs="Times New Roman"/>
                <w:sz w:val="24"/>
                <w:szCs w:val="24"/>
                <w:lang w:val="sq-AL"/>
              </w:rPr>
              <w:t>%</w:t>
            </w:r>
          </w:p>
        </w:tc>
      </w:tr>
    </w:tbl>
    <w:p w14:paraId="01554009" w14:textId="77777777" w:rsidR="00CF0A7D" w:rsidRDefault="00CF0A7D" w:rsidP="00B9301C">
      <w:pPr>
        <w:pStyle w:val="BodyText"/>
        <w:jc w:val="both"/>
        <w:rPr>
          <w:lang w:val="sq-AL"/>
        </w:rPr>
      </w:pPr>
    </w:p>
    <w:p w14:paraId="3E8637C4" w14:textId="77777777" w:rsidR="00CF0A7D" w:rsidRDefault="00CF0A7D">
      <w:pPr>
        <w:rPr>
          <w:lang w:val="sq-AL"/>
        </w:rPr>
      </w:pPr>
      <w:r>
        <w:rPr>
          <w:lang w:val="sq-AL"/>
        </w:rPr>
        <w:br w:type="page"/>
      </w:r>
    </w:p>
    <w:p w14:paraId="3E163145" w14:textId="77777777" w:rsidR="00B9301C" w:rsidRPr="00061623" w:rsidRDefault="00B9301C" w:rsidP="00B9301C">
      <w:pPr>
        <w:pStyle w:val="BodyText"/>
        <w:jc w:val="both"/>
        <w:rPr>
          <w:lang w:val="sq-AL"/>
        </w:rPr>
      </w:pPr>
      <w:r>
        <w:rPr>
          <w:lang w:val="sq-AL"/>
        </w:rPr>
        <w:lastRenderedPageBreak/>
        <w:t xml:space="preserve">Tabela më poshtë prezanton </w:t>
      </w:r>
      <w:r w:rsidR="00DE5DE0">
        <w:rPr>
          <w:lang w:val="sq-AL"/>
        </w:rPr>
        <w:t>trendin e 10 llojeve</w:t>
      </w:r>
      <w:r>
        <w:rPr>
          <w:lang w:val="sq-AL"/>
        </w:rPr>
        <w:t xml:space="preserve"> më të shpeshta të </w:t>
      </w:r>
      <w:r w:rsidRPr="00B9301C">
        <w:rPr>
          <w:lang w:val="sq-AL"/>
        </w:rPr>
        <w:t>çështjeve gjyqësore</w:t>
      </w:r>
      <w:r w:rsidR="00DE5DE0">
        <w:rPr>
          <w:lang w:val="sq-AL"/>
        </w:rPr>
        <w:t xml:space="preserve"> të regjistruara në pjesën e parë të vitit 2023</w:t>
      </w:r>
      <w:r w:rsidRPr="00B9301C">
        <w:rPr>
          <w:lang w:val="sq-AL"/>
        </w:rPr>
        <w:t xml:space="preserve"> në Gjykatën e Administrative të Apelit.</w:t>
      </w:r>
      <w:r>
        <w:rPr>
          <w:rFonts w:ascii="Segoe UI Symbol" w:hAnsi="Segoe UI Symbol"/>
          <w:lang w:val="sq-AL"/>
        </w:rPr>
        <w:t xml:space="preserve"> </w:t>
      </w:r>
    </w:p>
    <w:p w14:paraId="746D0BEA" w14:textId="77777777" w:rsidR="00B9301C" w:rsidRPr="00061623" w:rsidRDefault="00B9301C" w:rsidP="00B9301C">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lang w:val="sq-AL"/>
        </w:rPr>
      </w:pPr>
      <w:r>
        <w:rPr>
          <w:lang w:val="sq-AL"/>
        </w:rPr>
        <w:t>Çështjet më të shpeshta të regjistruara në pjesën e parë të vitit 2023</w:t>
      </w:r>
    </w:p>
    <w:tbl>
      <w:tblPr>
        <w:tblW w:w="0" w:type="auto"/>
        <w:jc w:val="center"/>
        <w:tblLayout w:type="fixed"/>
        <w:tblLook w:val="0420" w:firstRow="1" w:lastRow="0" w:firstColumn="0" w:lastColumn="0" w:noHBand="0" w:noVBand="1"/>
      </w:tblPr>
      <w:tblGrid>
        <w:gridCol w:w="4320"/>
        <w:gridCol w:w="1080"/>
        <w:gridCol w:w="1080"/>
      </w:tblGrid>
      <w:tr w:rsidR="00B9301C" w:rsidRPr="00061623" w14:paraId="3E3BACFF" w14:textId="77777777" w:rsidTr="00DE5DE0">
        <w:trPr>
          <w:tblHeader/>
          <w:jc w:val="center"/>
        </w:trPr>
        <w:tc>
          <w:tcPr>
            <w:tcW w:w="43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6F06C6"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Lloji i çështjes</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6389A9"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Numri</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A4E6EB"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w:t>
            </w:r>
          </w:p>
        </w:tc>
      </w:tr>
      <w:tr w:rsidR="00B9301C" w:rsidRPr="00061623" w14:paraId="416ACFAE" w14:textId="77777777" w:rsidTr="00DE5DE0">
        <w:trPr>
          <w:jc w:val="center"/>
        </w:trPr>
        <w:tc>
          <w:tcPr>
            <w:tcW w:w="43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8947F" w14:textId="77777777" w:rsidR="00B9301C" w:rsidRPr="00061623" w:rsidRDefault="00B9301C" w:rsidP="00B9301C">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Çështje pronësie/shpronësime</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8827"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204</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52CF7"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16.2%</w:t>
            </w:r>
          </w:p>
        </w:tc>
      </w:tr>
      <w:tr w:rsidR="00B9301C" w:rsidRPr="00061623" w14:paraId="466AA030"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E18C8" w14:textId="77777777" w:rsidR="00B9301C" w:rsidRPr="00061623" w:rsidRDefault="00B9301C" w:rsidP="00B9301C">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Rishikim</w:t>
            </w:r>
            <w:r w:rsidRPr="00061623">
              <w:rPr>
                <w:rFonts w:ascii="Arial" w:eastAsia="Arial" w:hAnsi="Arial" w:cs="Arial"/>
                <w:color w:val="000000"/>
                <w:sz w:val="22"/>
                <w:szCs w:val="22"/>
                <w:lang w:val="sq-AL"/>
              </w:rPr>
              <w:t xml:space="preserve"> / </w:t>
            </w:r>
            <w:r>
              <w:rPr>
                <w:rFonts w:ascii="Arial" w:eastAsia="Arial" w:hAnsi="Arial" w:cs="Arial"/>
                <w:color w:val="000000"/>
                <w:sz w:val="22"/>
                <w:szCs w:val="22"/>
                <w:lang w:val="sq-AL"/>
              </w:rPr>
              <w:t>ndryshim akti administrativ</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990F0"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194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A30B1"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15.4%</w:t>
            </w:r>
          </w:p>
        </w:tc>
      </w:tr>
      <w:tr w:rsidR="00B9301C" w:rsidRPr="00061623" w14:paraId="7BAC4BEE"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01986"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Marrëdhënie pune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FD31D"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160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2EA89"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12.7%</w:t>
            </w:r>
          </w:p>
        </w:tc>
      </w:tr>
      <w:tr w:rsidR="00B9301C" w:rsidRPr="00061623" w14:paraId="03A86064"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9D237" w14:textId="77777777" w:rsidR="00B9301C" w:rsidRPr="00061623" w:rsidRDefault="00B9301C" w:rsidP="00B9301C">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 xml:space="preserve">Çështje të lidhura me Drejtorinë e Përgjithshme të Sigurimeve Shoqërore </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2390E"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151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3CD50"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12.0%</w:t>
            </w:r>
          </w:p>
        </w:tc>
      </w:tr>
      <w:tr w:rsidR="00B9301C" w:rsidRPr="00061623" w14:paraId="1F7F7057"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68623"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Çështje të lidhura me IKMT; INUK; IMT</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4D430"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122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D2FCB"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9.7%</w:t>
            </w:r>
          </w:p>
        </w:tc>
      </w:tr>
      <w:tr w:rsidR="00B9301C" w:rsidRPr="00061623" w14:paraId="36E06ADF"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57B2A"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Shkaktim Dëmi</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2F7FD"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103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076F6"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8.2%</w:t>
            </w:r>
          </w:p>
        </w:tc>
      </w:tr>
      <w:tr w:rsidR="00B9301C" w:rsidRPr="00061623" w14:paraId="61DB1E7C"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0CCFE"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Kundërshtim i veprimeve përmbarimore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52043"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96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38B13"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7.6%</w:t>
            </w:r>
          </w:p>
        </w:tc>
      </w:tr>
      <w:tr w:rsidR="00B9301C" w:rsidRPr="00061623" w14:paraId="749326FB"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D58EF" w14:textId="77777777" w:rsidR="00B9301C" w:rsidRPr="00061623" w:rsidRDefault="00B9301C" w:rsidP="00B9301C">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Rishikimi akti</w:t>
            </w:r>
            <w:r w:rsidRPr="00061623">
              <w:rPr>
                <w:rFonts w:ascii="Arial" w:eastAsia="Arial" w:hAnsi="Arial" w:cs="Arial"/>
                <w:color w:val="000000"/>
                <w:sz w:val="22"/>
                <w:szCs w:val="22"/>
                <w:lang w:val="sq-AL"/>
              </w:rPr>
              <w:t xml:space="preserve"> (</w:t>
            </w:r>
            <w:r>
              <w:rPr>
                <w:rFonts w:ascii="Arial" w:eastAsia="Arial" w:hAnsi="Arial" w:cs="Arial"/>
                <w:color w:val="000000"/>
                <w:sz w:val="22"/>
                <w:szCs w:val="22"/>
                <w:lang w:val="sq-AL"/>
              </w:rPr>
              <w:t xml:space="preserve"> leje drejtimi, gjoba) </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99328"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F2034"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6.7%</w:t>
            </w:r>
          </w:p>
        </w:tc>
      </w:tr>
      <w:tr w:rsidR="00B9301C" w:rsidRPr="00061623" w14:paraId="30EF14C5" w14:textId="77777777" w:rsidTr="00DE5DE0">
        <w:trPr>
          <w:jc w:val="center"/>
        </w:trPr>
        <w:tc>
          <w:tcPr>
            <w:tcW w:w="43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B5EF3" w14:textId="77777777" w:rsidR="00B9301C" w:rsidRPr="00061623" w:rsidRDefault="00B9301C" w:rsidP="00B9301C">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Përmbushje e detyrimeve kontraktore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65C2F"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43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B2A9F"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3.4%</w:t>
            </w:r>
          </w:p>
        </w:tc>
      </w:tr>
      <w:tr w:rsidR="00B9301C" w:rsidRPr="00061623" w14:paraId="323256B2" w14:textId="77777777" w:rsidTr="00DE5DE0">
        <w:trPr>
          <w:jc w:val="center"/>
        </w:trPr>
        <w:tc>
          <w:tcPr>
            <w:tcW w:w="432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FC8F79" w14:textId="77777777" w:rsidR="00B9301C" w:rsidRPr="00061623" w:rsidRDefault="00B9301C" w:rsidP="00B9301C">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Pr>
                <w:rFonts w:ascii="Arial" w:eastAsia="Arial" w:hAnsi="Arial" w:cs="Arial"/>
                <w:color w:val="000000"/>
                <w:sz w:val="22"/>
                <w:szCs w:val="22"/>
                <w:lang w:val="sq-AL"/>
              </w:rPr>
              <w:t>Komisioneri Anti diskriminim</w:t>
            </w:r>
          </w:p>
        </w:tc>
        <w:tc>
          <w:tcPr>
            <w:tcW w:w="108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1900DB"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29</w:t>
            </w:r>
          </w:p>
        </w:tc>
        <w:tc>
          <w:tcPr>
            <w:tcW w:w="108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429A9D"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2.3%</w:t>
            </w:r>
          </w:p>
        </w:tc>
      </w:tr>
      <w:tr w:rsidR="00B9301C" w:rsidRPr="00061623" w14:paraId="78CCFF63" w14:textId="77777777" w:rsidTr="00DE5DE0">
        <w:trPr>
          <w:jc w:val="center"/>
        </w:trPr>
        <w:tc>
          <w:tcPr>
            <w:tcW w:w="4320" w:type="dxa"/>
            <w:tcBorders>
              <w:top w:val="single" w:sz="8"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34C673"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Total</w:t>
            </w:r>
          </w:p>
        </w:tc>
        <w:tc>
          <w:tcPr>
            <w:tcW w:w="1080" w:type="dxa"/>
            <w:tcBorders>
              <w:top w:val="single" w:sz="8"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AE172D"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1,256</w:t>
            </w:r>
          </w:p>
        </w:tc>
        <w:tc>
          <w:tcPr>
            <w:tcW w:w="1080" w:type="dxa"/>
            <w:tcBorders>
              <w:top w:val="single" w:sz="8"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BBD452" w14:textId="77777777" w:rsidR="00B9301C" w:rsidRPr="00061623" w:rsidRDefault="00B9301C" w:rsidP="00DE5DE0">
            <w:pPr>
              <w:pBdr>
                <w:top w:val="none" w:sz="0" w:space="0" w:color="000000"/>
                <w:left w:val="none" w:sz="0" w:space="0" w:color="000000"/>
                <w:bottom w:val="none" w:sz="0" w:space="0" w:color="000000"/>
                <w:right w:val="none" w:sz="0" w:space="0" w:color="000000"/>
              </w:pBdr>
              <w:spacing w:before="100" w:after="100"/>
              <w:ind w:left="100" w:right="100"/>
              <w:jc w:val="both"/>
              <w:rPr>
                <w:lang w:val="sq-AL"/>
              </w:rPr>
            </w:pPr>
            <w:r w:rsidRPr="00061623">
              <w:rPr>
                <w:rFonts w:ascii="Arial" w:eastAsia="Arial" w:hAnsi="Arial" w:cs="Arial"/>
                <w:color w:val="000000"/>
                <w:sz w:val="22"/>
                <w:szCs w:val="22"/>
                <w:lang w:val="sq-AL"/>
              </w:rPr>
              <w:t>94.4%</w:t>
            </w:r>
          </w:p>
        </w:tc>
      </w:tr>
    </w:tbl>
    <w:p w14:paraId="6B6E829B" w14:textId="77777777" w:rsidR="00B9301C" w:rsidRPr="00061623" w:rsidRDefault="00B9301C" w:rsidP="00B9301C">
      <w:pPr>
        <w:pStyle w:val="BodyText"/>
        <w:jc w:val="both"/>
        <w:rPr>
          <w:lang w:val="sq-AL"/>
        </w:rPr>
      </w:pPr>
      <w:r>
        <w:rPr>
          <w:lang w:val="sq-AL"/>
        </w:rPr>
        <w:t xml:space="preserve">Të marra së bashku 10 llojet më të shpeshta të çështjeve të regjistruara gjatë pjesës së parë të vitit 2023 përbëjnë 94% ( komplekse) të çështjeve të regjistruara. </w:t>
      </w:r>
      <w:bookmarkEnd w:id="3"/>
    </w:p>
    <w:p w14:paraId="09956814" w14:textId="77777777" w:rsidR="00747F55" w:rsidRPr="00061623" w:rsidRDefault="00E476A6" w:rsidP="00950D40">
      <w:pPr>
        <w:pStyle w:val="Heading1"/>
        <w:ind w:left="900"/>
        <w:jc w:val="both"/>
        <w:rPr>
          <w:lang w:val="sq-AL"/>
        </w:rPr>
      </w:pPr>
      <w:bookmarkStart w:id="4" w:name="Xa8daec7f905ec9e7814d117d688a6b0f2fb5f40"/>
      <w:bookmarkEnd w:id="0"/>
      <w:bookmarkEnd w:id="2"/>
      <w:r w:rsidRPr="00061623">
        <w:rPr>
          <w:lang w:val="sq-AL"/>
        </w:rPr>
        <w:t>R</w:t>
      </w:r>
      <w:r w:rsidR="00B827C6" w:rsidRPr="00061623">
        <w:rPr>
          <w:lang w:val="sq-AL"/>
        </w:rPr>
        <w:t>ivler</w:t>
      </w:r>
      <w:r w:rsidR="00DB5CA3" w:rsidRPr="00061623">
        <w:rPr>
          <w:lang w:val="sq-AL"/>
        </w:rPr>
        <w:t>ë</w:t>
      </w:r>
      <w:r w:rsidR="00B827C6" w:rsidRPr="00061623">
        <w:rPr>
          <w:lang w:val="sq-AL"/>
        </w:rPr>
        <w:t>simi i nevoj</w:t>
      </w:r>
      <w:r w:rsidR="00DB5CA3" w:rsidRPr="00061623">
        <w:rPr>
          <w:lang w:val="sq-AL"/>
        </w:rPr>
        <w:t>ë</w:t>
      </w:r>
      <w:r w:rsidR="00B827C6" w:rsidRPr="00061623">
        <w:rPr>
          <w:lang w:val="sq-AL"/>
        </w:rPr>
        <w:t>s p</w:t>
      </w:r>
      <w:r w:rsidR="00DB5CA3" w:rsidRPr="00061623">
        <w:rPr>
          <w:lang w:val="sq-AL"/>
        </w:rPr>
        <w:t>ë</w:t>
      </w:r>
      <w:r w:rsidR="00B827C6" w:rsidRPr="00061623">
        <w:rPr>
          <w:lang w:val="sq-AL"/>
        </w:rPr>
        <w:t>r gjyqtar</w:t>
      </w:r>
      <w:r w:rsidR="00DB5CA3" w:rsidRPr="00061623">
        <w:rPr>
          <w:lang w:val="sq-AL"/>
        </w:rPr>
        <w:t>ë</w:t>
      </w:r>
      <w:r w:rsidR="00B827C6" w:rsidRPr="00061623">
        <w:rPr>
          <w:lang w:val="sq-AL"/>
        </w:rPr>
        <w:t xml:space="preserve"> n</w:t>
      </w:r>
      <w:r w:rsidR="00DB5CA3" w:rsidRPr="00061623">
        <w:rPr>
          <w:lang w:val="sq-AL"/>
        </w:rPr>
        <w:t>ë</w:t>
      </w:r>
      <w:r w:rsidR="00B827C6" w:rsidRPr="00061623">
        <w:rPr>
          <w:lang w:val="sq-AL"/>
        </w:rPr>
        <w:t xml:space="preserve"> gjykatat </w:t>
      </w:r>
      <w:r w:rsidRPr="00061623">
        <w:rPr>
          <w:lang w:val="sq-AL"/>
        </w:rPr>
        <w:t xml:space="preserve">administrative </w:t>
      </w:r>
    </w:p>
    <w:p w14:paraId="43C66CCE" w14:textId="77777777" w:rsidR="00A10E6C" w:rsidRPr="00061623" w:rsidRDefault="00E476A6" w:rsidP="00505E9E">
      <w:pPr>
        <w:pStyle w:val="BodyText"/>
        <w:jc w:val="both"/>
        <w:rPr>
          <w:lang w:val="sq-AL"/>
        </w:rPr>
      </w:pPr>
      <w:r w:rsidRPr="00061623">
        <w:rPr>
          <w:lang w:val="sq-AL"/>
        </w:rPr>
        <w:t>P</w:t>
      </w:r>
      <w:r w:rsidR="00DB5CA3" w:rsidRPr="00061623">
        <w:rPr>
          <w:lang w:val="sq-AL"/>
        </w:rPr>
        <w:t>ë</w:t>
      </w:r>
      <w:r w:rsidRPr="00061623">
        <w:rPr>
          <w:lang w:val="sq-AL"/>
        </w:rPr>
        <w:t>r t</w:t>
      </w:r>
      <w:r w:rsidR="00DB5CA3" w:rsidRPr="00061623">
        <w:rPr>
          <w:lang w:val="sq-AL"/>
        </w:rPr>
        <w:t>ë</w:t>
      </w:r>
      <w:r w:rsidRPr="00061623">
        <w:rPr>
          <w:lang w:val="sq-AL"/>
        </w:rPr>
        <w:t xml:space="preserve"> pasur nj</w:t>
      </w:r>
      <w:r w:rsidR="00DB5CA3" w:rsidRPr="00061623">
        <w:rPr>
          <w:lang w:val="sq-AL"/>
        </w:rPr>
        <w:t>ë</w:t>
      </w:r>
      <w:r w:rsidRPr="00061623">
        <w:rPr>
          <w:lang w:val="sq-AL"/>
        </w:rPr>
        <w:t xml:space="preserve"> vler</w:t>
      </w:r>
      <w:r w:rsidR="00DB5CA3" w:rsidRPr="00061623">
        <w:rPr>
          <w:lang w:val="sq-AL"/>
        </w:rPr>
        <w:t>ë</w:t>
      </w:r>
      <w:r w:rsidRPr="00061623">
        <w:rPr>
          <w:lang w:val="sq-AL"/>
        </w:rPr>
        <w:t>sim t</w:t>
      </w:r>
      <w:r w:rsidR="00DB5CA3" w:rsidRPr="00061623">
        <w:rPr>
          <w:lang w:val="sq-AL"/>
        </w:rPr>
        <w:t>ë</w:t>
      </w:r>
      <w:r w:rsidRPr="00061623">
        <w:rPr>
          <w:lang w:val="sq-AL"/>
        </w:rPr>
        <w:t xml:space="preserve"> nevoj</w:t>
      </w:r>
      <w:r w:rsidR="00DB5CA3" w:rsidRPr="00061623">
        <w:rPr>
          <w:lang w:val="sq-AL"/>
        </w:rPr>
        <w:t>ë</w:t>
      </w:r>
      <w:r w:rsidRPr="00061623">
        <w:rPr>
          <w:lang w:val="sq-AL"/>
        </w:rPr>
        <w:t>s s</w:t>
      </w:r>
      <w:r w:rsidR="00DB5CA3" w:rsidRPr="00061623">
        <w:rPr>
          <w:lang w:val="sq-AL"/>
        </w:rPr>
        <w:t>ë</w:t>
      </w:r>
      <w:r w:rsidRPr="00061623">
        <w:rPr>
          <w:lang w:val="sq-AL"/>
        </w:rPr>
        <w:t xml:space="preserve"> p</w:t>
      </w:r>
      <w:r w:rsidR="00DB5CA3" w:rsidRPr="00061623">
        <w:rPr>
          <w:lang w:val="sq-AL"/>
        </w:rPr>
        <w:t>ë</w:t>
      </w:r>
      <w:r w:rsidRPr="00061623">
        <w:rPr>
          <w:lang w:val="sq-AL"/>
        </w:rPr>
        <w:t>rgjithshme p</w:t>
      </w:r>
      <w:r w:rsidR="00DB5CA3" w:rsidRPr="00061623">
        <w:rPr>
          <w:lang w:val="sq-AL"/>
        </w:rPr>
        <w:t>ë</w:t>
      </w:r>
      <w:r w:rsidRPr="00061623">
        <w:rPr>
          <w:lang w:val="sq-AL"/>
        </w:rPr>
        <w:t>r gjyqtar</w:t>
      </w:r>
      <w:r w:rsidR="00DB5CA3" w:rsidRPr="00061623">
        <w:rPr>
          <w:lang w:val="sq-AL"/>
        </w:rPr>
        <w:t>ë</w:t>
      </w:r>
      <w:r w:rsidRPr="00061623">
        <w:rPr>
          <w:lang w:val="sq-AL"/>
        </w:rPr>
        <w:t xml:space="preserve"> t</w:t>
      </w:r>
      <w:r w:rsidR="00DB5CA3" w:rsidRPr="00061623">
        <w:rPr>
          <w:lang w:val="sq-AL"/>
        </w:rPr>
        <w:t>ë</w:t>
      </w:r>
      <w:r w:rsidRPr="00061623">
        <w:rPr>
          <w:lang w:val="sq-AL"/>
        </w:rPr>
        <w:t xml:space="preserve"> </w:t>
      </w:r>
      <w:r w:rsidR="00A10E6C" w:rsidRPr="00061623">
        <w:rPr>
          <w:lang w:val="sq-AL"/>
        </w:rPr>
        <w:t>G</w:t>
      </w:r>
      <w:r w:rsidRPr="00061623">
        <w:rPr>
          <w:lang w:val="sq-AL"/>
        </w:rPr>
        <w:t>jykat</w:t>
      </w:r>
      <w:r w:rsidR="00A10E6C" w:rsidRPr="00061623">
        <w:rPr>
          <w:lang w:val="sq-AL"/>
        </w:rPr>
        <w:t>ës A</w:t>
      </w:r>
      <w:r w:rsidRPr="00061623">
        <w:rPr>
          <w:lang w:val="sq-AL"/>
        </w:rPr>
        <w:t xml:space="preserve">dministrative, </w:t>
      </w:r>
      <w:r w:rsidR="00A10E6C" w:rsidRPr="00061623">
        <w:rPr>
          <w:lang w:val="sq-AL"/>
        </w:rPr>
        <w:t xml:space="preserve">të Apelit </w:t>
      </w:r>
      <w:r w:rsidR="00DB5CA3" w:rsidRPr="00061623">
        <w:rPr>
          <w:lang w:val="sq-AL"/>
        </w:rPr>
        <w:t>ë</w:t>
      </w:r>
      <w:r w:rsidRPr="00061623">
        <w:rPr>
          <w:lang w:val="sq-AL"/>
        </w:rPr>
        <w:t>sht</w:t>
      </w:r>
      <w:r w:rsidR="00DB5CA3" w:rsidRPr="00061623">
        <w:rPr>
          <w:lang w:val="sq-AL"/>
        </w:rPr>
        <w:t>ë</w:t>
      </w:r>
      <w:r w:rsidRPr="00061623">
        <w:rPr>
          <w:lang w:val="sq-AL"/>
        </w:rPr>
        <w:t xml:space="preserve"> vijuar me prezumimin shtes</w:t>
      </w:r>
      <w:r w:rsidR="00DB5CA3" w:rsidRPr="00061623">
        <w:rPr>
          <w:lang w:val="sq-AL"/>
        </w:rPr>
        <w:t>ë</w:t>
      </w:r>
      <w:r w:rsidRPr="00061623">
        <w:rPr>
          <w:lang w:val="sq-AL"/>
        </w:rPr>
        <w:t xml:space="preserve"> se kompleksiteti </w:t>
      </w:r>
      <w:r w:rsidR="00DB5CA3" w:rsidRPr="00061623">
        <w:rPr>
          <w:lang w:val="sq-AL"/>
        </w:rPr>
        <w:t>i</w:t>
      </w:r>
      <w:r w:rsidRPr="00061623">
        <w:rPr>
          <w:lang w:val="sq-AL"/>
        </w:rPr>
        <w:t xml:space="preserve"> </w:t>
      </w:r>
      <w:r w:rsidR="00DB5CA3" w:rsidRPr="00061623">
        <w:rPr>
          <w:rFonts w:cs="Times New Roman"/>
          <w:lang w:val="sq-AL"/>
        </w:rPr>
        <w:t>ç</w:t>
      </w:r>
      <w:r w:rsidR="00DB5CA3" w:rsidRPr="00061623">
        <w:rPr>
          <w:lang w:val="sq-AL"/>
        </w:rPr>
        <w:t>ë</w:t>
      </w:r>
      <w:r w:rsidRPr="00061623">
        <w:rPr>
          <w:lang w:val="sq-AL"/>
        </w:rPr>
        <w:t xml:space="preserve">shtjeve administrative </w:t>
      </w:r>
      <w:r w:rsidR="00DB5CA3" w:rsidRPr="00061623">
        <w:rPr>
          <w:lang w:val="sq-AL"/>
        </w:rPr>
        <w:t>ë</w:t>
      </w:r>
      <w:r w:rsidRPr="00061623">
        <w:rPr>
          <w:lang w:val="sq-AL"/>
        </w:rPr>
        <w:t>sht</w:t>
      </w:r>
      <w:r w:rsidR="00DB5CA3" w:rsidRPr="00061623">
        <w:rPr>
          <w:lang w:val="sq-AL"/>
        </w:rPr>
        <w:t>ë</w:t>
      </w:r>
      <w:r w:rsidRPr="00061623">
        <w:rPr>
          <w:lang w:val="sq-AL"/>
        </w:rPr>
        <w:t xml:space="preserve"> i krahasuesh</w:t>
      </w:r>
      <w:r w:rsidR="00DB5CA3" w:rsidRPr="00061623">
        <w:rPr>
          <w:lang w:val="sq-AL"/>
        </w:rPr>
        <w:t>ë</w:t>
      </w:r>
      <w:r w:rsidRPr="00061623">
        <w:rPr>
          <w:lang w:val="sq-AL"/>
        </w:rPr>
        <w:t>m me nj</w:t>
      </w:r>
      <w:r w:rsidR="00DB5CA3" w:rsidRPr="00061623">
        <w:rPr>
          <w:lang w:val="sq-AL"/>
        </w:rPr>
        <w:t xml:space="preserve">ë miks </w:t>
      </w:r>
      <w:r w:rsidR="00DB5CA3" w:rsidRPr="00061623">
        <w:rPr>
          <w:rFonts w:cs="Times New Roman"/>
          <w:lang w:val="sq-AL"/>
        </w:rPr>
        <w:t>ç</w:t>
      </w:r>
      <w:r w:rsidR="00DB5CA3" w:rsidRPr="00061623">
        <w:rPr>
          <w:lang w:val="sq-AL"/>
        </w:rPr>
        <w:t>ë</w:t>
      </w:r>
      <w:r w:rsidRPr="00061623">
        <w:rPr>
          <w:lang w:val="sq-AL"/>
        </w:rPr>
        <w:t xml:space="preserve">shtjesh civile </w:t>
      </w:r>
      <w:r w:rsidR="000430CD" w:rsidRPr="00061623">
        <w:rPr>
          <w:lang w:val="sq-AL"/>
        </w:rPr>
        <w:t>themeli me palë kundërshtare</w:t>
      </w:r>
      <w:r w:rsidRPr="00061623">
        <w:rPr>
          <w:lang w:val="sq-AL"/>
        </w:rPr>
        <w:t xml:space="preserve"> dhe </w:t>
      </w:r>
      <w:r w:rsidR="00DB5CA3" w:rsidRPr="00061623">
        <w:rPr>
          <w:rFonts w:cs="Times New Roman"/>
          <w:lang w:val="sq-AL"/>
        </w:rPr>
        <w:t>ç</w:t>
      </w:r>
      <w:r w:rsidR="00DB5CA3" w:rsidRPr="00061623">
        <w:rPr>
          <w:lang w:val="sq-AL"/>
        </w:rPr>
        <w:t>ë</w:t>
      </w:r>
      <w:r w:rsidRPr="00061623">
        <w:rPr>
          <w:lang w:val="sq-AL"/>
        </w:rPr>
        <w:t>shtje</w:t>
      </w:r>
      <w:r w:rsidR="00DB5CA3" w:rsidRPr="00061623">
        <w:rPr>
          <w:lang w:val="sq-AL"/>
        </w:rPr>
        <w:t xml:space="preserve">sh </w:t>
      </w:r>
      <w:r w:rsidRPr="00061623">
        <w:rPr>
          <w:lang w:val="sq-AL"/>
        </w:rPr>
        <w:t>penale themeli. N</w:t>
      </w:r>
      <w:r w:rsidR="00DB5CA3" w:rsidRPr="00061623">
        <w:rPr>
          <w:lang w:val="sq-AL"/>
        </w:rPr>
        <w:t>ë</w:t>
      </w:r>
      <w:r w:rsidRPr="00061623">
        <w:rPr>
          <w:lang w:val="sq-AL"/>
        </w:rPr>
        <w:t xml:space="preserve"> m</w:t>
      </w:r>
      <w:r w:rsidR="00DB5CA3" w:rsidRPr="00061623">
        <w:rPr>
          <w:lang w:val="sq-AL"/>
        </w:rPr>
        <w:t>ë</w:t>
      </w:r>
      <w:r w:rsidRPr="00061623">
        <w:rPr>
          <w:lang w:val="sq-AL"/>
        </w:rPr>
        <w:t>nyr</w:t>
      </w:r>
      <w:r w:rsidR="00DB5CA3" w:rsidRPr="00061623">
        <w:rPr>
          <w:lang w:val="sq-AL"/>
        </w:rPr>
        <w:t>ë</w:t>
      </w:r>
      <w:r w:rsidRPr="00061623">
        <w:rPr>
          <w:lang w:val="sq-AL"/>
        </w:rPr>
        <w:t xml:space="preserve"> t</w:t>
      </w:r>
      <w:r w:rsidR="00DB5CA3" w:rsidRPr="00061623">
        <w:rPr>
          <w:lang w:val="sq-AL"/>
        </w:rPr>
        <w:t>ë</w:t>
      </w:r>
      <w:r w:rsidRPr="00061623">
        <w:rPr>
          <w:lang w:val="sq-AL"/>
        </w:rPr>
        <w:t xml:space="preserve"> ngjashme, </w:t>
      </w:r>
      <w:r w:rsidR="00DB5CA3" w:rsidRPr="00061623">
        <w:rPr>
          <w:lang w:val="sq-AL"/>
        </w:rPr>
        <w:t>ë</w:t>
      </w:r>
      <w:r w:rsidRPr="00061623">
        <w:rPr>
          <w:lang w:val="sq-AL"/>
        </w:rPr>
        <w:t>sht</w:t>
      </w:r>
      <w:r w:rsidR="00DB5CA3" w:rsidRPr="00061623">
        <w:rPr>
          <w:lang w:val="sq-AL"/>
        </w:rPr>
        <w:t>ë</w:t>
      </w:r>
      <w:r w:rsidRPr="00061623">
        <w:rPr>
          <w:lang w:val="sq-AL"/>
        </w:rPr>
        <w:t xml:space="preserve"> prezumuar se k</w:t>
      </w:r>
      <w:r w:rsidR="00DB5CA3" w:rsidRPr="00061623">
        <w:rPr>
          <w:lang w:val="sq-AL"/>
        </w:rPr>
        <w:t>ë</w:t>
      </w:r>
      <w:r w:rsidRPr="00061623">
        <w:rPr>
          <w:lang w:val="sq-AL"/>
        </w:rPr>
        <w:t>rkesat e tjera administrative kan</w:t>
      </w:r>
      <w:r w:rsidR="00DB5CA3" w:rsidRPr="00061623">
        <w:rPr>
          <w:lang w:val="sq-AL"/>
        </w:rPr>
        <w:t>ë</w:t>
      </w:r>
      <w:r w:rsidRPr="00061623">
        <w:rPr>
          <w:lang w:val="sq-AL"/>
        </w:rPr>
        <w:t xml:space="preserve"> t</w:t>
      </w:r>
      <w:r w:rsidR="00DB5CA3" w:rsidRPr="00061623">
        <w:rPr>
          <w:lang w:val="sq-AL"/>
        </w:rPr>
        <w:t>ë</w:t>
      </w:r>
      <w:r w:rsidRPr="00061623">
        <w:rPr>
          <w:lang w:val="sq-AL"/>
        </w:rPr>
        <w:t xml:space="preserve"> nj</w:t>
      </w:r>
      <w:r w:rsidR="00DB5CA3" w:rsidRPr="00061623">
        <w:rPr>
          <w:lang w:val="sq-AL"/>
        </w:rPr>
        <w:t>ë</w:t>
      </w:r>
      <w:r w:rsidRPr="00061623">
        <w:rPr>
          <w:lang w:val="sq-AL"/>
        </w:rPr>
        <w:t>jt</w:t>
      </w:r>
      <w:r w:rsidR="00DB5CA3" w:rsidRPr="00061623">
        <w:rPr>
          <w:lang w:val="sq-AL"/>
        </w:rPr>
        <w:t>ë</w:t>
      </w:r>
      <w:r w:rsidRPr="00061623">
        <w:rPr>
          <w:lang w:val="sq-AL"/>
        </w:rPr>
        <w:t>n shkall</w:t>
      </w:r>
      <w:r w:rsidR="00DB5CA3" w:rsidRPr="00061623">
        <w:rPr>
          <w:lang w:val="sq-AL"/>
        </w:rPr>
        <w:t>ë</w:t>
      </w:r>
      <w:r w:rsidRPr="00061623">
        <w:rPr>
          <w:lang w:val="sq-AL"/>
        </w:rPr>
        <w:t xml:space="preserve"> kompleksiteti si </w:t>
      </w:r>
      <w:r w:rsidR="00DB5CA3" w:rsidRPr="00061623">
        <w:rPr>
          <w:rFonts w:cs="Times New Roman"/>
          <w:lang w:val="sq-AL"/>
        </w:rPr>
        <w:t>ç</w:t>
      </w:r>
      <w:r w:rsidR="00DB5CA3" w:rsidRPr="00061623">
        <w:rPr>
          <w:lang w:val="sq-AL"/>
        </w:rPr>
        <w:t>ë</w:t>
      </w:r>
      <w:r w:rsidRPr="00061623">
        <w:rPr>
          <w:lang w:val="sq-AL"/>
        </w:rPr>
        <w:t>shtjet civile pa pal</w:t>
      </w:r>
      <w:r w:rsidR="00DB5CA3" w:rsidRPr="00061623">
        <w:rPr>
          <w:lang w:val="sq-AL"/>
        </w:rPr>
        <w:t>ë</w:t>
      </w:r>
      <w:r w:rsidRPr="00061623">
        <w:rPr>
          <w:lang w:val="sq-AL"/>
        </w:rPr>
        <w:t xml:space="preserve"> kund</w:t>
      </w:r>
      <w:r w:rsidR="00DB5CA3" w:rsidRPr="00061623">
        <w:rPr>
          <w:lang w:val="sq-AL"/>
        </w:rPr>
        <w:t xml:space="preserve">ërshtare. </w:t>
      </w:r>
      <w:r w:rsidR="00A10E6C" w:rsidRPr="00061623">
        <w:rPr>
          <w:lang w:val="sq-AL"/>
        </w:rPr>
        <w:t xml:space="preserve">Është e qartë se një ushtrim më i thelluar për peshimin e </w:t>
      </w:r>
      <w:r w:rsidR="00A10E6C" w:rsidRPr="00061623">
        <w:rPr>
          <w:rFonts w:cs="Times New Roman"/>
          <w:lang w:val="sq-AL"/>
        </w:rPr>
        <w:t>ç</w:t>
      </w:r>
      <w:r w:rsidR="00A10E6C" w:rsidRPr="00061623">
        <w:rPr>
          <w:lang w:val="sq-AL"/>
        </w:rPr>
        <w:t xml:space="preserve">ështjeve (case weighting) do të përmirësonte cilësinë dhe saktësinë e parashikimeve, por ky është një ushtrim që kërkon kohë dhe një studim të detajuar të kohës gjyqësore. </w:t>
      </w:r>
    </w:p>
    <w:p w14:paraId="2E48F4C0" w14:textId="77777777" w:rsidR="001B6257" w:rsidRPr="00061623" w:rsidRDefault="001B6257" w:rsidP="00505E9E">
      <w:pPr>
        <w:jc w:val="both"/>
        <w:rPr>
          <w:lang w:val="sq-AL"/>
        </w:rPr>
      </w:pPr>
      <w:r w:rsidRPr="00061623">
        <w:rPr>
          <w:lang w:val="sq-AL"/>
        </w:rPr>
        <w:t xml:space="preserve">KLGJ-ja është e detyruar të shpërndajë gjyqtarët në një mënyrë të tillë që ngarkesa mes gjyqtarëve të jetë e barabartë, për aq sa është e mundur. Kjo është një detyrë e vështirë për sa kohë nuk ka analiza të thelluara me studime të peshës së çështjeve dhe ngarkesës të të gjitha llojeve të gjykatave. Në kuadër të analizës lidhur me hartën e re gjyqësore, është kryer një analizë e thjeshtë e shpjeguar më lart, e bërë veçmas për çdo lloj gjykate. Por, analiza në </w:t>
      </w:r>
      <w:r w:rsidRPr="00061623">
        <w:rPr>
          <w:lang w:val="sq-AL"/>
        </w:rPr>
        <w:lastRenderedPageBreak/>
        <w:t>fakt nuk synoi të krahasonte ngarkesën e gjykatave të apelit me atë të shkallëve të para, ose ngarkesën e gjykatave administrative me atë të gjykatave të juridiksionit të përgjithshëm.</w:t>
      </w:r>
    </w:p>
    <w:p w14:paraId="3FE24264" w14:textId="77777777" w:rsidR="00A10E6C" w:rsidRPr="00DE5DE0" w:rsidRDefault="00E476A6" w:rsidP="00505E9E">
      <w:pPr>
        <w:pStyle w:val="BodyText"/>
        <w:jc w:val="both"/>
        <w:rPr>
          <w:b/>
          <w:lang w:val="sq-AL"/>
        </w:rPr>
      </w:pPr>
      <w:r w:rsidRPr="00061623">
        <w:rPr>
          <w:lang w:val="sq-AL"/>
        </w:rPr>
        <w:t>M</w:t>
      </w:r>
      <w:r w:rsidR="00DB5CA3" w:rsidRPr="00061623">
        <w:rPr>
          <w:lang w:val="sq-AL"/>
        </w:rPr>
        <w:t>e</w:t>
      </w:r>
      <w:r w:rsidRPr="00061623">
        <w:rPr>
          <w:lang w:val="sq-AL"/>
        </w:rPr>
        <w:t xml:space="preserve"> k</w:t>
      </w:r>
      <w:r w:rsidR="00DB5CA3" w:rsidRPr="00061623">
        <w:rPr>
          <w:lang w:val="sq-AL"/>
        </w:rPr>
        <w:t>ë</w:t>
      </w:r>
      <w:r w:rsidRPr="00061623">
        <w:rPr>
          <w:lang w:val="sq-AL"/>
        </w:rPr>
        <w:t xml:space="preserve">to prezumime </w:t>
      </w:r>
      <w:r w:rsidR="00DB5CA3" w:rsidRPr="00061623">
        <w:rPr>
          <w:lang w:val="sq-AL"/>
        </w:rPr>
        <w:t>ë</w:t>
      </w:r>
      <w:r w:rsidRPr="00061623">
        <w:rPr>
          <w:lang w:val="sq-AL"/>
        </w:rPr>
        <w:t>sht</w:t>
      </w:r>
      <w:r w:rsidR="00DB5CA3" w:rsidRPr="00061623">
        <w:rPr>
          <w:lang w:val="sq-AL"/>
        </w:rPr>
        <w:t>ë</w:t>
      </w:r>
      <w:r w:rsidRPr="00061623">
        <w:rPr>
          <w:lang w:val="sq-AL"/>
        </w:rPr>
        <w:t xml:space="preserve"> e mundur t</w:t>
      </w:r>
      <w:r w:rsidR="00DB5CA3" w:rsidRPr="00061623">
        <w:rPr>
          <w:lang w:val="sq-AL"/>
        </w:rPr>
        <w:t>ë</w:t>
      </w:r>
      <w:r w:rsidRPr="00061623">
        <w:rPr>
          <w:lang w:val="sq-AL"/>
        </w:rPr>
        <w:t xml:space="preserve"> sigurohet nj</w:t>
      </w:r>
      <w:r w:rsidR="00DB5CA3" w:rsidRPr="00061623">
        <w:rPr>
          <w:lang w:val="sq-AL"/>
        </w:rPr>
        <w:t>ë parashikim i</w:t>
      </w:r>
      <w:r w:rsidRPr="00061623">
        <w:rPr>
          <w:lang w:val="sq-AL"/>
        </w:rPr>
        <w:t xml:space="preserve"> p</w:t>
      </w:r>
      <w:r w:rsidR="00DB5CA3" w:rsidRPr="00061623">
        <w:rPr>
          <w:lang w:val="sq-AL"/>
        </w:rPr>
        <w:t>ë</w:t>
      </w:r>
      <w:r w:rsidRPr="00061623">
        <w:rPr>
          <w:lang w:val="sq-AL"/>
        </w:rPr>
        <w:t>raf</w:t>
      </w:r>
      <w:r w:rsidR="00DB5CA3" w:rsidRPr="00061623">
        <w:rPr>
          <w:lang w:val="sq-AL"/>
        </w:rPr>
        <w:t>ë</w:t>
      </w:r>
      <w:r w:rsidRPr="00061623">
        <w:rPr>
          <w:lang w:val="sq-AL"/>
        </w:rPr>
        <w:t>rt mbi nevoj</w:t>
      </w:r>
      <w:r w:rsidR="00DB5CA3" w:rsidRPr="00061623">
        <w:rPr>
          <w:lang w:val="sq-AL"/>
        </w:rPr>
        <w:t>ë</w:t>
      </w:r>
      <w:r w:rsidRPr="00061623">
        <w:rPr>
          <w:lang w:val="sq-AL"/>
        </w:rPr>
        <w:t>n p</w:t>
      </w:r>
      <w:r w:rsidR="00DB5CA3" w:rsidRPr="00061623">
        <w:rPr>
          <w:lang w:val="sq-AL"/>
        </w:rPr>
        <w:t>ë</w:t>
      </w:r>
      <w:r w:rsidRPr="00061623">
        <w:rPr>
          <w:lang w:val="sq-AL"/>
        </w:rPr>
        <w:t>r gjyqtar</w:t>
      </w:r>
      <w:r w:rsidR="00DB5CA3" w:rsidRPr="00061623">
        <w:rPr>
          <w:lang w:val="sq-AL"/>
        </w:rPr>
        <w:t>ë</w:t>
      </w:r>
      <w:r w:rsidRPr="00061623">
        <w:rPr>
          <w:lang w:val="sq-AL"/>
        </w:rPr>
        <w:t xml:space="preserve"> t</w:t>
      </w:r>
      <w:r w:rsidR="00DB5CA3" w:rsidRPr="00061623">
        <w:rPr>
          <w:lang w:val="sq-AL"/>
        </w:rPr>
        <w:t>ë</w:t>
      </w:r>
      <w:r w:rsidRPr="00061623">
        <w:rPr>
          <w:lang w:val="sq-AL"/>
        </w:rPr>
        <w:t xml:space="preserve"> </w:t>
      </w:r>
      <w:r w:rsidR="00A10E6C" w:rsidRPr="00061623">
        <w:rPr>
          <w:lang w:val="sq-AL"/>
        </w:rPr>
        <w:t>G</w:t>
      </w:r>
      <w:r w:rsidRPr="00061623">
        <w:rPr>
          <w:lang w:val="sq-AL"/>
        </w:rPr>
        <w:t>jykat</w:t>
      </w:r>
      <w:r w:rsidR="00A10E6C" w:rsidRPr="00061623">
        <w:rPr>
          <w:lang w:val="sq-AL"/>
        </w:rPr>
        <w:t>ës</w:t>
      </w:r>
      <w:r w:rsidRPr="00061623">
        <w:rPr>
          <w:lang w:val="sq-AL"/>
        </w:rPr>
        <w:t xml:space="preserve"> </w:t>
      </w:r>
      <w:r w:rsidR="00A10E6C" w:rsidRPr="00061623">
        <w:rPr>
          <w:lang w:val="sq-AL"/>
        </w:rPr>
        <w:t>A</w:t>
      </w:r>
      <w:r w:rsidRPr="00061623">
        <w:rPr>
          <w:lang w:val="sq-AL"/>
        </w:rPr>
        <w:t>dministrative</w:t>
      </w:r>
      <w:r w:rsidR="00A10E6C" w:rsidRPr="00061623">
        <w:rPr>
          <w:lang w:val="sq-AL"/>
        </w:rPr>
        <w:t xml:space="preserve"> të Apelit</w:t>
      </w:r>
      <w:r w:rsidRPr="00061623">
        <w:rPr>
          <w:lang w:val="sq-AL"/>
        </w:rPr>
        <w:t xml:space="preserve">. </w:t>
      </w:r>
      <w:r w:rsidR="006B5856" w:rsidRPr="00061623">
        <w:rPr>
          <w:lang w:val="sq-AL"/>
        </w:rPr>
        <w:t>Pas një analize të kombinuar të të gjithë indikatorëve, faktorëve dhe objektivave të parashikuar nga neni 14 i Ligjit Nr. 98/2016 i ndryshuar, është konkluduar se</w:t>
      </w:r>
      <w:r w:rsidR="002E1708" w:rsidRPr="00061623">
        <w:rPr>
          <w:lang w:val="sq-AL"/>
        </w:rPr>
        <w:t>,</w:t>
      </w:r>
      <w:r w:rsidRPr="00061623">
        <w:rPr>
          <w:lang w:val="sq-AL"/>
        </w:rPr>
        <w:t xml:space="preserve"> n</w:t>
      </w:r>
      <w:r w:rsidR="00DB5CA3" w:rsidRPr="00061623">
        <w:rPr>
          <w:lang w:val="sq-AL"/>
        </w:rPr>
        <w:t>ë</w:t>
      </w:r>
      <w:r w:rsidRPr="00061623">
        <w:rPr>
          <w:lang w:val="sq-AL"/>
        </w:rPr>
        <w:t>se do t</w:t>
      </w:r>
      <w:r w:rsidR="00DB5CA3" w:rsidRPr="00061623">
        <w:rPr>
          <w:lang w:val="sq-AL"/>
        </w:rPr>
        <w:t>ë</w:t>
      </w:r>
      <w:r w:rsidRPr="00061623">
        <w:rPr>
          <w:lang w:val="sq-AL"/>
        </w:rPr>
        <w:t xml:space="preserve"> synohet eku</w:t>
      </w:r>
      <w:r w:rsidR="002E1708" w:rsidRPr="00061623">
        <w:rPr>
          <w:lang w:val="sq-AL"/>
        </w:rPr>
        <w:t>i</w:t>
      </w:r>
      <w:r w:rsidRPr="00061623">
        <w:rPr>
          <w:lang w:val="sq-AL"/>
        </w:rPr>
        <w:t>librimi i ngarkes</w:t>
      </w:r>
      <w:r w:rsidR="00DB5CA3" w:rsidRPr="00061623">
        <w:rPr>
          <w:lang w:val="sq-AL"/>
        </w:rPr>
        <w:t>ë</w:t>
      </w:r>
      <w:r w:rsidRPr="00061623">
        <w:rPr>
          <w:lang w:val="sq-AL"/>
        </w:rPr>
        <w:t>s, Gjykata Administrative e Apelit do t</w:t>
      </w:r>
      <w:r w:rsidR="00DB5CA3" w:rsidRPr="00061623">
        <w:rPr>
          <w:lang w:val="sq-AL"/>
        </w:rPr>
        <w:t>ë</w:t>
      </w:r>
      <w:r w:rsidRPr="00061623">
        <w:rPr>
          <w:lang w:val="sq-AL"/>
        </w:rPr>
        <w:t xml:space="preserve"> ket</w:t>
      </w:r>
      <w:r w:rsidR="00DB5CA3" w:rsidRPr="00061623">
        <w:rPr>
          <w:lang w:val="sq-AL"/>
        </w:rPr>
        <w:t>ë</w:t>
      </w:r>
      <w:r w:rsidRPr="00061623">
        <w:rPr>
          <w:lang w:val="sq-AL"/>
        </w:rPr>
        <w:t xml:space="preserve"> nevoj</w:t>
      </w:r>
      <w:r w:rsidR="00DB5CA3" w:rsidRPr="00061623">
        <w:rPr>
          <w:lang w:val="sq-AL"/>
        </w:rPr>
        <w:t>ë</w:t>
      </w:r>
      <w:r w:rsidRPr="00061623">
        <w:rPr>
          <w:lang w:val="sq-AL"/>
        </w:rPr>
        <w:t xml:space="preserve"> p</w:t>
      </w:r>
      <w:r w:rsidR="00DB5CA3" w:rsidRPr="00061623">
        <w:rPr>
          <w:lang w:val="sq-AL"/>
        </w:rPr>
        <w:t>ë</w:t>
      </w:r>
      <w:r w:rsidRPr="00061623">
        <w:rPr>
          <w:lang w:val="sq-AL"/>
        </w:rPr>
        <w:t>r t</w:t>
      </w:r>
      <w:r w:rsidR="00DB5CA3" w:rsidRPr="00061623">
        <w:rPr>
          <w:lang w:val="sq-AL"/>
        </w:rPr>
        <w:t>ë</w:t>
      </w:r>
      <w:r w:rsidRPr="00061623">
        <w:rPr>
          <w:lang w:val="sq-AL"/>
        </w:rPr>
        <w:t xml:space="preserve"> pakt</w:t>
      </w:r>
      <w:r w:rsidR="00DB5CA3" w:rsidRPr="00061623">
        <w:rPr>
          <w:lang w:val="sq-AL"/>
        </w:rPr>
        <w:t>ë</w:t>
      </w:r>
      <w:r w:rsidRPr="00061623">
        <w:rPr>
          <w:lang w:val="sq-AL"/>
        </w:rPr>
        <w:t>n 1</w:t>
      </w:r>
      <w:r w:rsidR="00A10E6C" w:rsidRPr="00061623">
        <w:rPr>
          <w:lang w:val="sq-AL"/>
        </w:rPr>
        <w:t>9</w:t>
      </w:r>
      <w:r w:rsidRPr="00061623">
        <w:rPr>
          <w:lang w:val="sq-AL"/>
        </w:rPr>
        <w:t xml:space="preserve"> pozicione gjyqtar</w:t>
      </w:r>
      <w:r w:rsidR="00DB5CA3" w:rsidRPr="00061623">
        <w:rPr>
          <w:lang w:val="sq-AL"/>
        </w:rPr>
        <w:t>ë</w:t>
      </w:r>
      <w:r w:rsidRPr="00061623">
        <w:rPr>
          <w:lang w:val="sq-AL"/>
        </w:rPr>
        <w:t>sh (krahasuar me 13 pozicione q</w:t>
      </w:r>
      <w:r w:rsidR="00DB5CA3" w:rsidRPr="00061623">
        <w:rPr>
          <w:lang w:val="sq-AL"/>
        </w:rPr>
        <w:t>ë</w:t>
      </w:r>
      <w:r w:rsidR="006B5856" w:rsidRPr="00061623">
        <w:rPr>
          <w:lang w:val="sq-AL"/>
        </w:rPr>
        <w:t xml:space="preserve"> ka aktualisht), </w:t>
      </w:r>
      <w:r w:rsidR="006B5856" w:rsidRPr="00DE5DE0">
        <w:rPr>
          <w:b/>
          <w:lang w:val="sq-AL"/>
        </w:rPr>
        <w:t xml:space="preserve">si mekanizmi kryesor i ekuilibrimit të ngarkesës së gjykatës dhe vetë gjyqtarëve, duke siguruar një rishpërndarje të drejtë të ngarkesës së gjyqtarëve në juridiksion apeli. </w:t>
      </w:r>
    </w:p>
    <w:p w14:paraId="6619CB98" w14:textId="77777777" w:rsidR="006B5856" w:rsidRPr="00061623" w:rsidRDefault="006B5856" w:rsidP="006B5856">
      <w:pPr>
        <w:pStyle w:val="BodyText"/>
        <w:jc w:val="both"/>
        <w:rPr>
          <w:lang w:val="sq-AL"/>
        </w:rPr>
      </w:pPr>
      <w:r w:rsidRPr="00061623">
        <w:rPr>
          <w:lang w:val="sq-AL"/>
        </w:rPr>
        <w:t>Për të përcaktuar ngarkesën e punës treguesit janë vlerësu</w:t>
      </w:r>
      <w:r w:rsidR="00DE5DE0">
        <w:rPr>
          <w:lang w:val="sq-AL"/>
        </w:rPr>
        <w:t xml:space="preserve">ar duke kërkuar vendosjen e një </w:t>
      </w:r>
      <w:r w:rsidRPr="00061623">
        <w:rPr>
          <w:lang w:val="sq-AL"/>
        </w:rPr>
        <w:t>ekuilibri midis shpërndarjes së ngarkesës së punës, shpë</w:t>
      </w:r>
      <w:r w:rsidR="00DE5DE0">
        <w:rPr>
          <w:lang w:val="sq-AL"/>
        </w:rPr>
        <w:t>rndarjes së gjyqtarëve</w:t>
      </w:r>
      <w:r w:rsidRPr="00061623">
        <w:rPr>
          <w:lang w:val="sq-AL"/>
        </w:rPr>
        <w:t>, si dhe numrit minima</w:t>
      </w:r>
      <w:r w:rsidR="00DE5DE0">
        <w:rPr>
          <w:lang w:val="sq-AL"/>
        </w:rPr>
        <w:t xml:space="preserve">l të gjyqtarëve në çdo gjykatë. </w:t>
      </w:r>
      <w:r w:rsidRPr="00061623">
        <w:rPr>
          <w:lang w:val="sq-AL"/>
        </w:rPr>
        <w:t>Ngarkesa e gjykatës është përcaktuar jo vetëm nga numri tota</w:t>
      </w:r>
      <w:r w:rsidR="00DE5DE0">
        <w:rPr>
          <w:lang w:val="sq-AL"/>
        </w:rPr>
        <w:t xml:space="preserve">l i çështjeve të reja, por edhe </w:t>
      </w:r>
      <w:r w:rsidRPr="00061623">
        <w:rPr>
          <w:lang w:val="sq-AL"/>
        </w:rPr>
        <w:t xml:space="preserve">nga lloji i këtyre çështjeve, pra nëse çështjet e ndërlikuara </w:t>
      </w:r>
      <w:r w:rsidR="00DE5DE0">
        <w:rPr>
          <w:lang w:val="sq-AL"/>
        </w:rPr>
        <w:t xml:space="preserve">dhe ato që marrin kohë përbëjnë </w:t>
      </w:r>
      <w:r w:rsidRPr="00061623">
        <w:rPr>
          <w:lang w:val="sq-AL"/>
        </w:rPr>
        <w:t>përqindjen më të vogël apo atë më të madhe të çështjeve të një gjykate.</w:t>
      </w:r>
    </w:p>
    <w:p w14:paraId="06A47B30" w14:textId="77777777" w:rsidR="00950D40" w:rsidRPr="00061623" w:rsidRDefault="00950D40" w:rsidP="00950D40">
      <w:pPr>
        <w:pStyle w:val="Heading1"/>
        <w:ind w:left="900"/>
        <w:jc w:val="both"/>
        <w:rPr>
          <w:lang w:val="sq-AL"/>
        </w:rPr>
      </w:pPr>
      <w:r w:rsidRPr="00061623">
        <w:rPr>
          <w:lang w:val="sq-AL"/>
        </w:rPr>
        <w:t xml:space="preserve">Rivlerësimi i nevojës për rritjen e numrit të përgjithshëm të gjyqtarëve në Republikën e Shqipërisë </w:t>
      </w:r>
    </w:p>
    <w:p w14:paraId="6F16824D" w14:textId="77777777" w:rsidR="00950D40" w:rsidRPr="00061623" w:rsidRDefault="00950D40" w:rsidP="00950D40">
      <w:pPr>
        <w:pStyle w:val="BodyText"/>
        <w:jc w:val="both"/>
        <w:rPr>
          <w:lang w:val="sq-AL"/>
        </w:rPr>
      </w:pPr>
      <w:r w:rsidRPr="00061623">
        <w:rPr>
          <w:lang w:val="sq-AL"/>
        </w:rPr>
        <w:t xml:space="preserve">Në përfundim, analiza tregon se numri i përgjithshëm i gjyqtarëve </w:t>
      </w:r>
      <w:r w:rsidR="00DE5DE0">
        <w:rPr>
          <w:lang w:val="sq-AL"/>
        </w:rPr>
        <w:t xml:space="preserve">për shkak të rritjes së numrit të gjyqtarëve në Gjykatën Administrative të Apelit me 6 gjyqtarëve ( pra nga 13 ne 19) </w:t>
      </w:r>
      <w:r w:rsidRPr="00061623">
        <w:rPr>
          <w:lang w:val="sq-AL"/>
        </w:rPr>
        <w:t>do të duhej të rritej nga 408 pozicione në 414 pozicione të ndara si më poshtë</w:t>
      </w:r>
      <w:r w:rsidR="00DE5DE0">
        <w:rPr>
          <w:lang w:val="sq-AL"/>
        </w:rPr>
        <w:t xml:space="preserve">: </w:t>
      </w:r>
    </w:p>
    <w:p w14:paraId="4D91C812" w14:textId="77777777" w:rsidR="00950D40" w:rsidRPr="00DE5DE0" w:rsidRDefault="00950D40" w:rsidP="00DE5DE0">
      <w:pPr>
        <w:pStyle w:val="BodyText"/>
        <w:numPr>
          <w:ilvl w:val="0"/>
          <w:numId w:val="37"/>
        </w:numPr>
        <w:jc w:val="both"/>
        <w:rPr>
          <w:lang w:val="sq-AL"/>
        </w:rPr>
      </w:pPr>
      <w:r w:rsidRPr="00061623">
        <w:rPr>
          <w:lang w:val="sq-AL"/>
        </w:rPr>
        <w:t>Numri i gjyqtarëve në gjykatat e shkallës së parë t</w:t>
      </w:r>
      <w:r w:rsidR="00DE5DE0">
        <w:rPr>
          <w:lang w:val="sq-AL"/>
        </w:rPr>
        <w:t xml:space="preserve">ë juridiksionit të përgjithshëm </w:t>
      </w:r>
      <w:r w:rsidR="00DE5DE0" w:rsidRPr="00DE5DE0">
        <w:rPr>
          <w:lang w:val="sq-AL"/>
        </w:rPr>
        <w:t>(sipas Vendimit të KLGJ nr.</w:t>
      </w:r>
      <w:r w:rsidR="00C2644E" w:rsidRPr="00C2644E">
        <w:rPr>
          <w:lang w:val="sq-AL"/>
        </w:rPr>
        <w:t xml:space="preserve"> </w:t>
      </w:r>
      <w:r w:rsidR="00C2644E" w:rsidRPr="00061623">
        <w:rPr>
          <w:lang w:val="sq-AL"/>
        </w:rPr>
        <w:t>146, datë 29.03.2023</w:t>
      </w:r>
      <w:r w:rsidR="00DE5DE0" w:rsidRPr="00DE5DE0">
        <w:rPr>
          <w:lang w:val="sq-AL"/>
        </w:rPr>
        <w:t xml:space="preserve"> )</w:t>
      </w:r>
      <w:r w:rsidRPr="00DE5DE0">
        <w:rPr>
          <w:lang w:val="sq-AL"/>
        </w:rPr>
        <w:t xml:space="preserve">: </w:t>
      </w:r>
    </w:p>
    <w:p w14:paraId="6CB53D5E"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Berat, 8 (tetë) gjyqtarë. </w:t>
      </w:r>
    </w:p>
    <w:p w14:paraId="00002F65"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Dibër, 7 (shtatë) gjyqtarë. </w:t>
      </w:r>
    </w:p>
    <w:p w14:paraId="2226ED11"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Durrës, 23 (njëzet e tre) gjyqtarë. </w:t>
      </w:r>
    </w:p>
    <w:p w14:paraId="4A616192"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Elbasan, 18 (tetëmbëdhjetë) gjyqtarë. </w:t>
      </w:r>
    </w:p>
    <w:p w14:paraId="14E8EEBD"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Fier, 21 (njëzet e një) gjyqtarë. </w:t>
      </w:r>
    </w:p>
    <w:p w14:paraId="471B9430"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Gjirokastër, 7 (shtatë) gjyqtarë. </w:t>
      </w:r>
    </w:p>
    <w:p w14:paraId="0810D2E0"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Korçë, 15 (pesëmbëdhjetë) gjyqtarë. </w:t>
      </w:r>
    </w:p>
    <w:p w14:paraId="0876A243"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Kukës, 7 (shtatë) gjyqtarë. </w:t>
      </w:r>
    </w:p>
    <w:p w14:paraId="4A3B915F" w14:textId="77777777" w:rsidR="00950D40" w:rsidRPr="00061623" w:rsidRDefault="00950D40" w:rsidP="006B5856">
      <w:pPr>
        <w:pStyle w:val="BodyText"/>
        <w:jc w:val="both"/>
        <w:rPr>
          <w:lang w:val="sq-AL"/>
        </w:rPr>
      </w:pPr>
      <w:r w:rsidRPr="00061623">
        <w:rPr>
          <w:lang w:val="sq-AL"/>
        </w:rPr>
        <w:lastRenderedPageBreak/>
        <w:t xml:space="preserve">Në Gjykatën e Shkallës së Parë të Juridiksionit të Përgjithshëm Lezhë, 11 (njëmbëdhjetë) gjyqtarë. </w:t>
      </w:r>
    </w:p>
    <w:p w14:paraId="6A44C9B8"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Sarandë, 7 (shtatë) gjyqtarë. </w:t>
      </w:r>
    </w:p>
    <w:p w14:paraId="6BFB7A5F"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Shkodër, 15 (pesëmbëdhjetë) gjyqtarë. </w:t>
      </w:r>
    </w:p>
    <w:p w14:paraId="2992893F" w14:textId="77777777" w:rsidR="00950D40" w:rsidRPr="00061623" w:rsidRDefault="00950D40" w:rsidP="006B5856">
      <w:pPr>
        <w:pStyle w:val="BodyText"/>
        <w:jc w:val="both"/>
        <w:rPr>
          <w:lang w:val="sq-AL"/>
        </w:rPr>
      </w:pPr>
      <w:r w:rsidRPr="00061623">
        <w:rPr>
          <w:lang w:val="sq-AL"/>
        </w:rPr>
        <w:t xml:space="preserve">Në Gjykatën e Shkallës së Parë të Juridiksionit të Përgjithshëm Tiranë, 80 (tetëdhjetë) gjyqtarë. </w:t>
      </w:r>
    </w:p>
    <w:p w14:paraId="75A7FDBD" w14:textId="77777777" w:rsidR="006B5856" w:rsidRPr="00061623" w:rsidRDefault="00DE5DE0" w:rsidP="006B5856">
      <w:pPr>
        <w:pStyle w:val="BodyText"/>
        <w:jc w:val="both"/>
        <w:rPr>
          <w:lang w:val="sq-AL"/>
        </w:rPr>
      </w:pPr>
      <w:r>
        <w:rPr>
          <w:lang w:val="sq-AL"/>
        </w:rPr>
        <w:t>1</w:t>
      </w:r>
      <w:r w:rsidR="00950D40" w:rsidRPr="00061623">
        <w:rPr>
          <w:lang w:val="sq-AL"/>
        </w:rPr>
        <w:t>Në Gjykatën e Shkallës së Parë të Juridiksionit të Përgjithshëm Vlorë, 16 (gjashtëmbëdhjetë) gjyqtarë.</w:t>
      </w:r>
    </w:p>
    <w:bookmarkEnd w:id="4"/>
    <w:p w14:paraId="48BE4348" w14:textId="77777777" w:rsidR="00950D40" w:rsidRPr="00061623" w:rsidRDefault="00950D40" w:rsidP="00950D40">
      <w:pPr>
        <w:pStyle w:val="BodyText"/>
        <w:numPr>
          <w:ilvl w:val="0"/>
          <w:numId w:val="37"/>
        </w:numPr>
        <w:jc w:val="both"/>
        <w:rPr>
          <w:lang w:val="sq-AL"/>
        </w:rPr>
      </w:pPr>
      <w:r w:rsidRPr="00061623">
        <w:rPr>
          <w:lang w:val="sq-AL"/>
        </w:rPr>
        <w:t xml:space="preserve">Numri i gjyqtarëve në gjykatat administrative të shkallës së parë është </w:t>
      </w:r>
      <w:r w:rsidR="00DE5DE0">
        <w:rPr>
          <w:lang w:val="sq-AL"/>
        </w:rPr>
        <w:t xml:space="preserve">(sipas Vendimit të KLGJ nr. </w:t>
      </w:r>
      <w:r w:rsidR="00C2644E" w:rsidRPr="00061623">
        <w:rPr>
          <w:lang w:val="sq-AL"/>
        </w:rPr>
        <w:t>286, datë 29.05.2023</w:t>
      </w:r>
      <w:r w:rsidR="00DE5DE0">
        <w:rPr>
          <w:lang w:val="sq-AL"/>
        </w:rPr>
        <w:t xml:space="preserve"> )</w:t>
      </w:r>
      <w:r w:rsidR="00DE5DE0" w:rsidRPr="00061623">
        <w:rPr>
          <w:lang w:val="sq-AL"/>
        </w:rPr>
        <w:t>:</w:t>
      </w:r>
      <w:r w:rsidRPr="00061623">
        <w:rPr>
          <w:lang w:val="sq-AL"/>
        </w:rPr>
        <w:t xml:space="preserve"> </w:t>
      </w:r>
    </w:p>
    <w:p w14:paraId="4627F24E" w14:textId="77777777" w:rsidR="00950D40" w:rsidRPr="00061623" w:rsidRDefault="00950D40" w:rsidP="00505E9E">
      <w:pPr>
        <w:pStyle w:val="BodyText"/>
        <w:jc w:val="both"/>
        <w:rPr>
          <w:lang w:val="sq-AL"/>
        </w:rPr>
      </w:pPr>
      <w:r w:rsidRPr="00061623">
        <w:rPr>
          <w:lang w:val="sq-AL"/>
        </w:rPr>
        <w:t>Në Gjykatën Administrative të Shkallës së Parë Tiranë, 27 (njëzet e shtatë) gjyqtarë.</w:t>
      </w:r>
    </w:p>
    <w:p w14:paraId="05876950" w14:textId="77777777" w:rsidR="001B6257" w:rsidRPr="00061623" w:rsidRDefault="00950D40" w:rsidP="00505E9E">
      <w:pPr>
        <w:pStyle w:val="BodyText"/>
        <w:jc w:val="both"/>
        <w:rPr>
          <w:lang w:val="sq-AL"/>
        </w:rPr>
      </w:pPr>
      <w:r w:rsidRPr="00061623">
        <w:rPr>
          <w:lang w:val="sq-AL"/>
        </w:rPr>
        <w:t>Në Gjykatën Administrative të Shkallës së Parë Lushnjë, 9 (nëntë) gjyqtarë.</w:t>
      </w:r>
    </w:p>
    <w:p w14:paraId="36DFE6C6" w14:textId="77777777" w:rsidR="00DE5DE0" w:rsidRPr="00061623" w:rsidRDefault="00DE5DE0" w:rsidP="00DE5DE0">
      <w:pPr>
        <w:pStyle w:val="BodyText"/>
        <w:numPr>
          <w:ilvl w:val="0"/>
          <w:numId w:val="37"/>
        </w:numPr>
        <w:jc w:val="both"/>
        <w:rPr>
          <w:lang w:val="sq-AL"/>
        </w:rPr>
      </w:pPr>
      <w:r w:rsidRPr="00061623">
        <w:rPr>
          <w:lang w:val="sq-AL"/>
        </w:rPr>
        <w:t xml:space="preserve">Numri i gjyqtarëve në </w:t>
      </w:r>
      <w:r>
        <w:rPr>
          <w:lang w:val="sq-AL"/>
        </w:rPr>
        <w:t>gjykatat e posaçme për gjykimin e veprave penale të korrupsionit dhe krimit të organizuar është si më poshtë (</w:t>
      </w:r>
      <w:r w:rsidRPr="00061623">
        <w:rPr>
          <w:lang w:val="sq-AL"/>
        </w:rPr>
        <w:t>sipas numrit minimal të përcaktuar nga ligji dhe vendimeve përkatëse të Këshillit të Lartë Gjyqësor</w:t>
      </w:r>
      <w:r>
        <w:rPr>
          <w:lang w:val="sq-AL"/>
        </w:rPr>
        <w:t>)</w:t>
      </w:r>
      <w:r w:rsidRPr="00061623">
        <w:rPr>
          <w:lang w:val="sq-AL"/>
        </w:rPr>
        <w:t>.</w:t>
      </w:r>
    </w:p>
    <w:p w14:paraId="46A5030F" w14:textId="77777777" w:rsidR="00DE5DE0" w:rsidRDefault="00DE5DE0" w:rsidP="00DE5DE0">
      <w:pPr>
        <w:pStyle w:val="BodyText"/>
        <w:jc w:val="both"/>
        <w:rPr>
          <w:lang w:val="sq-AL"/>
        </w:rPr>
      </w:pPr>
      <w:r>
        <w:rPr>
          <w:lang w:val="sq-AL"/>
        </w:rPr>
        <w:t>Numri i gjyqtarëve në G</w:t>
      </w:r>
      <w:r w:rsidRPr="00061623">
        <w:rPr>
          <w:lang w:val="sq-AL"/>
        </w:rPr>
        <w:t xml:space="preserve">jykatën e Posaçme të Shkallës së Parë për gjykimin e veprave penale të korrupsionit dhe krimit të organizuar është 16 </w:t>
      </w:r>
      <w:r w:rsidR="00C2644E">
        <w:rPr>
          <w:lang w:val="sq-AL"/>
        </w:rPr>
        <w:t xml:space="preserve">(gjashtëmbëdhjetë) </w:t>
      </w:r>
      <w:r w:rsidRPr="00061623">
        <w:rPr>
          <w:lang w:val="sq-AL"/>
        </w:rPr>
        <w:t xml:space="preserve">gjyqtarë </w:t>
      </w:r>
    </w:p>
    <w:p w14:paraId="43733B14" w14:textId="77777777" w:rsidR="00950D40" w:rsidRDefault="00DE5DE0" w:rsidP="00DE5DE0">
      <w:pPr>
        <w:pStyle w:val="BodyText"/>
        <w:jc w:val="both"/>
        <w:rPr>
          <w:lang w:val="sq-AL"/>
        </w:rPr>
      </w:pPr>
      <w:r>
        <w:rPr>
          <w:lang w:val="sq-AL"/>
        </w:rPr>
        <w:t>N</w:t>
      </w:r>
      <w:r w:rsidRPr="00061623">
        <w:rPr>
          <w:lang w:val="sq-AL"/>
        </w:rPr>
        <w:t>umri i gjyqtarëve në Gjykatën e Posaçme të Apelit për gjykimin e veprave penale të korrupsionit dhe krimit të organizuar është 11</w:t>
      </w:r>
      <w:r w:rsidR="00C2644E">
        <w:rPr>
          <w:lang w:val="sq-AL"/>
        </w:rPr>
        <w:t xml:space="preserve"> (njëmbëdhjetë)</w:t>
      </w:r>
      <w:r w:rsidRPr="00061623">
        <w:rPr>
          <w:lang w:val="sq-AL"/>
        </w:rPr>
        <w:t xml:space="preserve"> gjyqtarë</w:t>
      </w:r>
      <w:r>
        <w:rPr>
          <w:lang w:val="sq-AL"/>
        </w:rPr>
        <w:t xml:space="preserve">. </w:t>
      </w:r>
    </w:p>
    <w:p w14:paraId="36AE45EF" w14:textId="77777777" w:rsidR="00DE5DE0" w:rsidRDefault="00DE5DE0" w:rsidP="00DE5DE0">
      <w:pPr>
        <w:pStyle w:val="BodyText"/>
        <w:numPr>
          <w:ilvl w:val="0"/>
          <w:numId w:val="37"/>
        </w:numPr>
        <w:jc w:val="both"/>
        <w:rPr>
          <w:lang w:val="sq-AL"/>
        </w:rPr>
      </w:pPr>
      <w:r w:rsidRPr="00061623">
        <w:rPr>
          <w:lang w:val="sq-AL"/>
        </w:rPr>
        <w:t xml:space="preserve">Numri i gjyqtarëve në </w:t>
      </w:r>
      <w:r>
        <w:rPr>
          <w:lang w:val="sq-AL"/>
        </w:rPr>
        <w:t xml:space="preserve">Gjykatën e Apelit të Juridiksionit të Përgjithshëm </w:t>
      </w:r>
      <w:r w:rsidRPr="00061623">
        <w:rPr>
          <w:lang w:val="sq-AL"/>
        </w:rPr>
        <w:t xml:space="preserve">është </w:t>
      </w:r>
      <w:r>
        <w:rPr>
          <w:lang w:val="sq-AL"/>
        </w:rPr>
        <w:t xml:space="preserve">78 </w:t>
      </w:r>
      <w:r w:rsidR="00C2644E">
        <w:rPr>
          <w:lang w:val="sq-AL"/>
        </w:rPr>
        <w:t xml:space="preserve">(shtatëdhjetë e tetë) </w:t>
      </w:r>
      <w:r>
        <w:rPr>
          <w:lang w:val="sq-AL"/>
        </w:rPr>
        <w:t xml:space="preserve">gjyqtarë ( sipas Vendimit të KLGJ </w:t>
      </w:r>
      <w:r w:rsidR="00C2644E">
        <w:rPr>
          <w:lang w:val="sq-AL"/>
        </w:rPr>
        <w:t xml:space="preserve">nr. </w:t>
      </w:r>
      <w:r w:rsidR="00C2644E" w:rsidRPr="00061623">
        <w:rPr>
          <w:lang w:val="sq-AL"/>
        </w:rPr>
        <w:t>553, datë 29.12.2022</w:t>
      </w:r>
      <w:r>
        <w:rPr>
          <w:lang w:val="sq-AL"/>
        </w:rPr>
        <w:t xml:space="preserve"> ). </w:t>
      </w:r>
    </w:p>
    <w:p w14:paraId="56BDA93B" w14:textId="77777777" w:rsidR="00CF0A7D" w:rsidRDefault="00CF0A7D" w:rsidP="00DE5DE0">
      <w:pPr>
        <w:pStyle w:val="BodyText"/>
        <w:numPr>
          <w:ilvl w:val="0"/>
          <w:numId w:val="37"/>
        </w:numPr>
        <w:jc w:val="both"/>
        <w:rPr>
          <w:lang w:val="sq-AL"/>
        </w:rPr>
      </w:pPr>
      <w:r>
        <w:rPr>
          <w:lang w:val="sq-AL"/>
        </w:rPr>
        <w:t xml:space="preserve">Numri i gjyqtarë në Gjykatën e Lartë është 19 (nëntëmbëdhjetë) gjyqtarë. </w:t>
      </w:r>
    </w:p>
    <w:p w14:paraId="45121A3E" w14:textId="77777777" w:rsidR="00DE5DE0" w:rsidRDefault="00DE5DE0" w:rsidP="00DE5DE0">
      <w:pPr>
        <w:pStyle w:val="BodyText"/>
        <w:numPr>
          <w:ilvl w:val="0"/>
          <w:numId w:val="37"/>
        </w:numPr>
        <w:jc w:val="both"/>
        <w:rPr>
          <w:lang w:val="sq-AL"/>
        </w:rPr>
      </w:pPr>
      <w:r w:rsidRPr="00061623">
        <w:rPr>
          <w:lang w:val="sq-AL"/>
        </w:rPr>
        <w:t xml:space="preserve">Numri i </w:t>
      </w:r>
      <w:r>
        <w:rPr>
          <w:lang w:val="sq-AL"/>
        </w:rPr>
        <w:t xml:space="preserve">propozuar </w:t>
      </w:r>
      <w:r w:rsidRPr="00061623">
        <w:rPr>
          <w:lang w:val="sq-AL"/>
        </w:rPr>
        <w:t xml:space="preserve">gjyqtarëve në </w:t>
      </w:r>
      <w:r>
        <w:rPr>
          <w:lang w:val="sq-AL"/>
        </w:rPr>
        <w:t xml:space="preserve">Gjykatën Administrative të Apelit </w:t>
      </w:r>
      <w:r w:rsidRPr="00061623">
        <w:rPr>
          <w:lang w:val="sq-AL"/>
        </w:rPr>
        <w:t xml:space="preserve">është </w:t>
      </w:r>
      <w:r>
        <w:rPr>
          <w:lang w:val="sq-AL"/>
        </w:rPr>
        <w:t xml:space="preserve">19 </w:t>
      </w:r>
      <w:r w:rsidR="00C2644E">
        <w:rPr>
          <w:lang w:val="sq-AL"/>
        </w:rPr>
        <w:t xml:space="preserve">(nëntëmbëdhjetë) </w:t>
      </w:r>
      <w:r>
        <w:rPr>
          <w:lang w:val="sq-AL"/>
        </w:rPr>
        <w:t xml:space="preserve">gjyqtarë. </w:t>
      </w:r>
    </w:p>
    <w:p w14:paraId="6285A63F" w14:textId="77777777" w:rsidR="00DE5DE0" w:rsidRPr="00061623" w:rsidRDefault="00DE5DE0" w:rsidP="00DE5DE0">
      <w:pPr>
        <w:pStyle w:val="BodyText"/>
        <w:ind w:left="360"/>
        <w:jc w:val="both"/>
        <w:rPr>
          <w:lang w:val="sq-AL"/>
        </w:rPr>
      </w:pPr>
    </w:p>
    <w:p w14:paraId="3C47A40A" w14:textId="77777777" w:rsidR="00DE5DE0" w:rsidRPr="00061623" w:rsidRDefault="00DE5DE0" w:rsidP="00DE5DE0">
      <w:pPr>
        <w:pStyle w:val="BodyText"/>
        <w:jc w:val="both"/>
        <w:rPr>
          <w:lang w:val="sq-AL"/>
        </w:rPr>
      </w:pPr>
    </w:p>
    <w:sectPr w:rsidR="00DE5DE0" w:rsidRPr="00061623" w:rsidSect="00191412">
      <w:footerReference w:type="even" r:id="rId9"/>
      <w:footerReference w:type="default" r:id="rId10"/>
      <w:type w:val="continuous"/>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0D1D" w14:textId="77777777" w:rsidR="00191412" w:rsidRDefault="00191412">
      <w:pPr>
        <w:spacing w:after="0"/>
      </w:pPr>
      <w:r>
        <w:separator/>
      </w:r>
    </w:p>
  </w:endnote>
  <w:endnote w:type="continuationSeparator" w:id="0">
    <w:p w14:paraId="5E4EDE43" w14:textId="77777777" w:rsidR="00191412" w:rsidRDefault="001914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2282442"/>
      <w:docPartObj>
        <w:docPartGallery w:val="Page Numbers (Bottom of Page)"/>
        <w:docPartUnique/>
      </w:docPartObj>
    </w:sdtPr>
    <w:sdtContent>
      <w:p w14:paraId="4571EE23" w14:textId="77777777" w:rsidR="00DE5DE0" w:rsidRDefault="00DE5DE0" w:rsidP="00E476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EC988B6" w14:textId="77777777" w:rsidR="00DE5DE0" w:rsidRDefault="00DE5DE0" w:rsidP="00E476A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8616856"/>
      <w:docPartObj>
        <w:docPartGallery w:val="Page Numbers (Bottom of Page)"/>
        <w:docPartUnique/>
      </w:docPartObj>
    </w:sdtPr>
    <w:sdtContent>
      <w:p w14:paraId="78D20CE4" w14:textId="77777777" w:rsidR="00DE5DE0" w:rsidRDefault="00DE5DE0" w:rsidP="00E476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11E76">
          <w:rPr>
            <w:rStyle w:val="PageNumber"/>
            <w:noProof/>
          </w:rPr>
          <w:t>1</w:t>
        </w:r>
        <w:r>
          <w:rPr>
            <w:rStyle w:val="PageNumber"/>
          </w:rPr>
          <w:fldChar w:fldCharType="end"/>
        </w:r>
      </w:p>
    </w:sdtContent>
  </w:sdt>
  <w:p w14:paraId="2D45848F" w14:textId="77777777" w:rsidR="00DE5DE0" w:rsidRDefault="00DE5DE0" w:rsidP="00E476A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5724" w14:textId="77777777" w:rsidR="00191412" w:rsidRDefault="00191412">
      <w:pPr>
        <w:spacing w:after="0"/>
      </w:pPr>
      <w:r>
        <w:separator/>
      </w:r>
    </w:p>
  </w:footnote>
  <w:footnote w:type="continuationSeparator" w:id="0">
    <w:p w14:paraId="1EE60EC9" w14:textId="77777777" w:rsidR="00191412" w:rsidRDefault="00191412">
      <w:pPr>
        <w:spacing w:after="0"/>
      </w:pPr>
      <w:r>
        <w:continuationSeparator/>
      </w:r>
    </w:p>
  </w:footnote>
  <w:footnote w:id="1">
    <w:p w14:paraId="25559BD9" w14:textId="77777777" w:rsidR="00DE5DE0" w:rsidRPr="002E1708" w:rsidRDefault="00DE5DE0" w:rsidP="00061623">
      <w:pPr>
        <w:pStyle w:val="FootnoteText"/>
        <w:jc w:val="both"/>
        <w:rPr>
          <w:lang w:val="sq-AL"/>
        </w:rPr>
      </w:pPr>
      <w:r>
        <w:rPr>
          <w:rStyle w:val="FootnoteReference"/>
        </w:rPr>
        <w:footnoteRef/>
      </w:r>
      <w:r>
        <w:t xml:space="preserve"> </w:t>
      </w:r>
      <w:r w:rsidRPr="002E1708">
        <w:rPr>
          <w:lang w:val="sq-AL"/>
        </w:rPr>
        <w:t>Shih Bogetoft, P., &amp; Wittrup, J. (2021). Qasja ku merret në konsideratë dyshimi ndaj treguesve të ngarkesës: Të thjeshtojmë peshimi</w:t>
      </w:r>
      <w:r>
        <w:rPr>
          <w:lang w:val="sq-AL"/>
        </w:rPr>
        <w:t xml:space="preserve">n e </w:t>
      </w:r>
      <w:r w:rsidRPr="002E1708">
        <w:rPr>
          <w:lang w:val="sq-AL"/>
        </w:rPr>
        <w:t>çështjeve në vlerësimin e gjykatave, Omega, Vëll. 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B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642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B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8C5C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4A7C7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A412B4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68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D213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AE94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B4C3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AC6031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ECAE802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BC657B3"/>
    <w:multiLevelType w:val="multilevel"/>
    <w:tmpl w:val="040C001D"/>
    <w:numStyleLink w:val="Defaultul"/>
  </w:abstractNum>
  <w:abstractNum w:abstractNumId="13" w15:restartNumberingAfterBreak="0">
    <w:nsid w:val="10D56F51"/>
    <w:multiLevelType w:val="hybridMultilevel"/>
    <w:tmpl w:val="6826D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370A0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0CD2DE"/>
    <w:multiLevelType w:val="multilevel"/>
    <w:tmpl w:val="A94065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8E7783"/>
    <w:multiLevelType w:val="multilevel"/>
    <w:tmpl w:val="745A1C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9510A6"/>
    <w:multiLevelType w:val="multilevel"/>
    <w:tmpl w:val="439AF7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9B7C2A"/>
    <w:multiLevelType w:val="multilevel"/>
    <w:tmpl w:val="4B88F872"/>
    <w:numStyleLink w:val="Defaultol"/>
  </w:abstractNum>
  <w:abstractNum w:abstractNumId="20"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441560"/>
    <w:multiLevelType w:val="multilevel"/>
    <w:tmpl w:val="B1F2FF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CC70B2"/>
    <w:multiLevelType w:val="multilevel"/>
    <w:tmpl w:val="163C7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5D1FEA"/>
    <w:multiLevelType w:val="multilevel"/>
    <w:tmpl w:val="13A280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F16620"/>
    <w:multiLevelType w:val="multilevel"/>
    <w:tmpl w:val="92960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F44708"/>
    <w:multiLevelType w:val="multilevel"/>
    <w:tmpl w:val="31C4A1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191783"/>
    <w:multiLevelType w:val="multilevel"/>
    <w:tmpl w:val="4B88F872"/>
    <w:lvl w:ilvl="0">
      <w:start w:val="1"/>
      <w:numFmt w:val="decimal"/>
      <w:pStyle w:val="Heading1"/>
      <w:lvlText w:val="%1."/>
      <w:lvlJc w:val="left"/>
      <w:pPr>
        <w:ind w:left="4140" w:hanging="360"/>
      </w:pPr>
    </w:lvl>
    <w:lvl w:ilvl="1">
      <w:start w:val="1"/>
      <w:numFmt w:val="decimal"/>
      <w:pStyle w:val="Heading2"/>
      <w:lvlText w:val="%1.%2."/>
      <w:lvlJc w:val="left"/>
      <w:pPr>
        <w:ind w:left="583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7" w15:restartNumberingAfterBreak="0">
    <w:nsid w:val="7ECB79CB"/>
    <w:multiLevelType w:val="multilevel"/>
    <w:tmpl w:val="CDF26E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3310198">
    <w:abstractNumId w:val="15"/>
  </w:num>
  <w:num w:numId="2" w16cid:durableId="1947692871">
    <w:abstractNumId w:val="4"/>
  </w:num>
  <w:num w:numId="3" w16cid:durableId="1591085849">
    <w:abstractNumId w:val="5"/>
  </w:num>
  <w:num w:numId="4" w16cid:durableId="1986159371">
    <w:abstractNumId w:val="6"/>
  </w:num>
  <w:num w:numId="5" w16cid:durableId="817379995">
    <w:abstractNumId w:val="7"/>
  </w:num>
  <w:num w:numId="6" w16cid:durableId="1449396832">
    <w:abstractNumId w:val="9"/>
  </w:num>
  <w:num w:numId="7" w16cid:durableId="1467431645">
    <w:abstractNumId w:val="0"/>
  </w:num>
  <w:num w:numId="8" w16cid:durableId="1835534844">
    <w:abstractNumId w:val="1"/>
  </w:num>
  <w:num w:numId="9" w16cid:durableId="279147898">
    <w:abstractNumId w:val="2"/>
  </w:num>
  <w:num w:numId="10" w16cid:durableId="1075123267">
    <w:abstractNumId w:val="3"/>
  </w:num>
  <w:num w:numId="11" w16cid:durableId="996227461">
    <w:abstractNumId w:val="8"/>
  </w:num>
  <w:num w:numId="12" w16cid:durableId="1054693156">
    <w:abstractNumId w:val="25"/>
  </w:num>
  <w:num w:numId="13" w16cid:durableId="1552765650">
    <w:abstractNumId w:val="24"/>
  </w:num>
  <w:num w:numId="14" w16cid:durableId="1454013734">
    <w:abstractNumId w:val="23"/>
  </w:num>
  <w:num w:numId="15" w16cid:durableId="42562815">
    <w:abstractNumId w:val="22"/>
  </w:num>
  <w:num w:numId="16" w16cid:durableId="1504542110">
    <w:abstractNumId w:val="16"/>
  </w:num>
  <w:num w:numId="17" w16cid:durableId="1048340891">
    <w:abstractNumId w:val="17"/>
  </w:num>
  <w:num w:numId="18" w16cid:durableId="1400709061">
    <w:abstractNumId w:val="27"/>
  </w:num>
  <w:num w:numId="19" w16cid:durableId="1865435984">
    <w:abstractNumId w:val="21"/>
  </w:num>
  <w:num w:numId="20" w16cid:durableId="557398575">
    <w:abstractNumId w:val="26"/>
  </w:num>
  <w:num w:numId="21" w16cid:durableId="469131731">
    <w:abstractNumId w:val="14"/>
  </w:num>
  <w:num w:numId="22" w16cid:durableId="2047100511">
    <w:abstractNumId w:val="18"/>
  </w:num>
  <w:num w:numId="23" w16cid:durableId="1792167853">
    <w:abstractNumId w:val="20"/>
  </w:num>
  <w:num w:numId="24" w16cid:durableId="1604268982">
    <w:abstractNumId w:val="12"/>
  </w:num>
  <w:num w:numId="25" w16cid:durableId="299775846">
    <w:abstractNumId w:val="19"/>
  </w:num>
  <w:num w:numId="26" w16cid:durableId="1057167213">
    <w:abstractNumId w:val="10"/>
  </w:num>
  <w:num w:numId="27" w16cid:durableId="1313408441">
    <w:abstractNumId w:val="11"/>
  </w:num>
  <w:num w:numId="28" w16cid:durableId="334921097">
    <w:abstractNumId w:val="11"/>
  </w:num>
  <w:num w:numId="29" w16cid:durableId="51197393">
    <w:abstractNumId w:val="11"/>
  </w:num>
  <w:num w:numId="30" w16cid:durableId="1325084334">
    <w:abstractNumId w:val="11"/>
  </w:num>
  <w:num w:numId="31" w16cid:durableId="984314009">
    <w:abstractNumId w:val="11"/>
  </w:num>
  <w:num w:numId="32" w16cid:durableId="759330916">
    <w:abstractNumId w:val="11"/>
  </w:num>
  <w:num w:numId="33" w16cid:durableId="1839731193">
    <w:abstractNumId w:val="11"/>
  </w:num>
  <w:num w:numId="34" w16cid:durableId="296029673">
    <w:abstractNumId w:val="26"/>
  </w:num>
  <w:num w:numId="35" w16cid:durableId="909464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553985">
    <w:abstractNumId w:val="26"/>
  </w:num>
  <w:num w:numId="37" w16cid:durableId="1485118967">
    <w:abstractNumId w:val="13"/>
  </w:num>
  <w:num w:numId="38" w16cid:durableId="134035066">
    <w:abstractNumId w:val="26"/>
  </w:num>
  <w:num w:numId="39" w16cid:durableId="344941762">
    <w:abstractNumId w:val="26"/>
  </w:num>
  <w:num w:numId="40" w16cid:durableId="878204872">
    <w:abstractNumId w:val="26"/>
  </w:num>
  <w:num w:numId="41" w16cid:durableId="1677463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55"/>
    <w:rsid w:val="000042EB"/>
    <w:rsid w:val="000354F6"/>
    <w:rsid w:val="000430CD"/>
    <w:rsid w:val="00061623"/>
    <w:rsid w:val="000A719C"/>
    <w:rsid w:val="00133B41"/>
    <w:rsid w:val="00152486"/>
    <w:rsid w:val="0016570F"/>
    <w:rsid w:val="00191412"/>
    <w:rsid w:val="001A69F8"/>
    <w:rsid w:val="001B6257"/>
    <w:rsid w:val="00212636"/>
    <w:rsid w:val="002E1708"/>
    <w:rsid w:val="00304540"/>
    <w:rsid w:val="00333208"/>
    <w:rsid w:val="003417F4"/>
    <w:rsid w:val="00355D52"/>
    <w:rsid w:val="00364F59"/>
    <w:rsid w:val="003E654B"/>
    <w:rsid w:val="00403AF9"/>
    <w:rsid w:val="00412C8A"/>
    <w:rsid w:val="00430088"/>
    <w:rsid w:val="00456A39"/>
    <w:rsid w:val="004647C9"/>
    <w:rsid w:val="004775E5"/>
    <w:rsid w:val="00494B48"/>
    <w:rsid w:val="00505E9E"/>
    <w:rsid w:val="005520EC"/>
    <w:rsid w:val="00560EE5"/>
    <w:rsid w:val="005E37E1"/>
    <w:rsid w:val="005F3867"/>
    <w:rsid w:val="00617D03"/>
    <w:rsid w:val="0062113E"/>
    <w:rsid w:val="00627B41"/>
    <w:rsid w:val="00664AAC"/>
    <w:rsid w:val="00692368"/>
    <w:rsid w:val="006B5856"/>
    <w:rsid w:val="006F1D84"/>
    <w:rsid w:val="00711A63"/>
    <w:rsid w:val="00711E76"/>
    <w:rsid w:val="00745035"/>
    <w:rsid w:val="00745BF0"/>
    <w:rsid w:val="00747F55"/>
    <w:rsid w:val="00766052"/>
    <w:rsid w:val="007A3C7B"/>
    <w:rsid w:val="007A4521"/>
    <w:rsid w:val="007B2C17"/>
    <w:rsid w:val="007B33DA"/>
    <w:rsid w:val="007C60AD"/>
    <w:rsid w:val="008E3DA9"/>
    <w:rsid w:val="00950D40"/>
    <w:rsid w:val="009815E0"/>
    <w:rsid w:val="009917CC"/>
    <w:rsid w:val="009941B1"/>
    <w:rsid w:val="009C2E71"/>
    <w:rsid w:val="009D3701"/>
    <w:rsid w:val="00A10E6C"/>
    <w:rsid w:val="00A136A5"/>
    <w:rsid w:val="00A458B6"/>
    <w:rsid w:val="00A50B28"/>
    <w:rsid w:val="00A622B6"/>
    <w:rsid w:val="00AA22BF"/>
    <w:rsid w:val="00AD6BCB"/>
    <w:rsid w:val="00AF157C"/>
    <w:rsid w:val="00B164B3"/>
    <w:rsid w:val="00B27C93"/>
    <w:rsid w:val="00B3667E"/>
    <w:rsid w:val="00B451C0"/>
    <w:rsid w:val="00B71E4A"/>
    <w:rsid w:val="00B827C6"/>
    <w:rsid w:val="00B84743"/>
    <w:rsid w:val="00B9301C"/>
    <w:rsid w:val="00C2644E"/>
    <w:rsid w:val="00C40288"/>
    <w:rsid w:val="00CB6DD1"/>
    <w:rsid w:val="00CD099B"/>
    <w:rsid w:val="00CD0C32"/>
    <w:rsid w:val="00CF0A7D"/>
    <w:rsid w:val="00D1362D"/>
    <w:rsid w:val="00D226AF"/>
    <w:rsid w:val="00D36BE6"/>
    <w:rsid w:val="00D70B6A"/>
    <w:rsid w:val="00DB3DEF"/>
    <w:rsid w:val="00DB5CA3"/>
    <w:rsid w:val="00DC18AA"/>
    <w:rsid w:val="00DE5DE0"/>
    <w:rsid w:val="00E12755"/>
    <w:rsid w:val="00E13E52"/>
    <w:rsid w:val="00E476A6"/>
    <w:rsid w:val="00E5593D"/>
    <w:rsid w:val="00E834C5"/>
    <w:rsid w:val="00F06824"/>
    <w:rsid w:val="00F54009"/>
    <w:rsid w:val="00F57603"/>
    <w:rsid w:val="00FA61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64B8"/>
  <w15:docId w15:val="{30DC513B-97E1-4E35-8520-94A0935F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9137D8"/>
    <w:pPr>
      <w:keepNext/>
      <w:keepLines/>
      <w:numPr>
        <w:numId w:val="20"/>
      </w:numPr>
      <w:spacing w:before="480" w:after="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BodyText"/>
    <w:uiPriority w:val="9"/>
    <w:unhideWhenUsed/>
    <w:qFormat/>
    <w:rsid w:val="009137D8"/>
    <w:pPr>
      <w:keepNext/>
      <w:keepLines/>
      <w:numPr>
        <w:ilvl w:val="1"/>
        <w:numId w:val="20"/>
      </w:numPr>
      <w:spacing w:before="200" w:after="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BodyText"/>
    <w:uiPriority w:val="9"/>
    <w:unhideWhenUsed/>
    <w:qFormat/>
    <w:rsid w:val="009137D8"/>
    <w:pPr>
      <w:keepNext/>
      <w:keepLines/>
      <w:numPr>
        <w:ilvl w:val="2"/>
        <w:numId w:val="20"/>
      </w:numPr>
      <w:spacing w:before="200" w:after="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BodyText"/>
    <w:uiPriority w:val="9"/>
    <w:unhideWhenUsed/>
    <w:qFormat/>
    <w:rsid w:val="009137D8"/>
    <w:pPr>
      <w:keepNext/>
      <w:keepLines/>
      <w:numPr>
        <w:ilvl w:val="3"/>
        <w:numId w:val="20"/>
      </w:numPr>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Normal"/>
    <w:next w:val="BodyText"/>
    <w:uiPriority w:val="9"/>
    <w:unhideWhenUsed/>
    <w:qFormat/>
    <w:rsid w:val="009137D8"/>
    <w:pPr>
      <w:keepNext/>
      <w:keepLines/>
      <w:numPr>
        <w:ilvl w:val="4"/>
        <w:numId w:val="20"/>
      </w:numPr>
      <w:spacing w:before="200" w:after="0"/>
      <w:outlineLvl w:val="4"/>
    </w:pPr>
    <w:rPr>
      <w:rFonts w:asciiTheme="majorHAnsi" w:eastAsiaTheme="majorEastAsia" w:hAnsiTheme="majorHAnsi" w:cstheme="majorBidi"/>
      <w:i/>
      <w:iCs/>
      <w:color w:val="000000" w:themeColor="text1"/>
    </w:rPr>
  </w:style>
  <w:style w:type="paragraph" w:styleId="Heading6">
    <w:name w:val="heading 6"/>
    <w:basedOn w:val="Normal"/>
    <w:next w:val="BodyText"/>
    <w:uiPriority w:val="9"/>
    <w:unhideWhenUsed/>
    <w:qFormat/>
    <w:rsid w:val="009137D8"/>
    <w:pPr>
      <w:keepNext/>
      <w:keepLines/>
      <w:numPr>
        <w:ilvl w:val="5"/>
        <w:numId w:val="20"/>
      </w:numPr>
      <w:spacing w:before="200" w:after="0"/>
      <w:outlineLvl w:val="5"/>
    </w:pPr>
    <w:rPr>
      <w:rFonts w:asciiTheme="majorHAnsi" w:eastAsiaTheme="majorEastAsia" w:hAnsiTheme="majorHAnsi" w:cstheme="majorBidi"/>
      <w:color w:val="000000" w:themeColor="text1"/>
    </w:rPr>
  </w:style>
  <w:style w:type="paragraph" w:styleId="Heading7">
    <w:name w:val="heading 7"/>
    <w:basedOn w:val="Normal"/>
    <w:next w:val="BodyText"/>
    <w:uiPriority w:val="9"/>
    <w:unhideWhenUsed/>
    <w:qFormat/>
    <w:rsid w:val="009137D8"/>
    <w:pPr>
      <w:keepNext/>
      <w:keepLines/>
      <w:numPr>
        <w:ilvl w:val="6"/>
        <w:numId w:val="20"/>
      </w:numPr>
      <w:spacing w:before="200" w:after="0"/>
      <w:outlineLvl w:val="6"/>
    </w:pPr>
    <w:rPr>
      <w:rFonts w:asciiTheme="majorHAnsi" w:eastAsiaTheme="majorEastAsia" w:hAnsiTheme="majorHAnsi" w:cstheme="majorBidi"/>
      <w:color w:val="000000" w:themeColor="text1"/>
    </w:rPr>
  </w:style>
  <w:style w:type="paragraph" w:styleId="Heading8">
    <w:name w:val="heading 8"/>
    <w:basedOn w:val="Normal"/>
    <w:next w:val="BodyText"/>
    <w:uiPriority w:val="9"/>
    <w:unhideWhenUsed/>
    <w:qFormat/>
    <w:rsid w:val="009137D8"/>
    <w:pPr>
      <w:keepNext/>
      <w:keepLines/>
      <w:numPr>
        <w:ilvl w:val="7"/>
        <w:numId w:val="20"/>
      </w:numPr>
      <w:spacing w:before="200" w:after="0"/>
      <w:outlineLvl w:val="7"/>
    </w:pPr>
    <w:rPr>
      <w:rFonts w:asciiTheme="majorHAnsi" w:eastAsiaTheme="majorEastAsia" w:hAnsiTheme="majorHAnsi" w:cstheme="majorBidi"/>
      <w:color w:val="000000" w:themeColor="text1"/>
    </w:rPr>
  </w:style>
  <w:style w:type="paragraph" w:styleId="Heading9">
    <w:name w:val="heading 9"/>
    <w:basedOn w:val="Normal"/>
    <w:next w:val="BodyText"/>
    <w:uiPriority w:val="9"/>
    <w:unhideWhenUsed/>
    <w:qFormat/>
    <w:rsid w:val="009137D8"/>
    <w:pPr>
      <w:keepNext/>
      <w:keepLines/>
      <w:numPr>
        <w:ilvl w:val="8"/>
        <w:numId w:val="20"/>
      </w:numPr>
      <w:spacing w:before="200" w:after="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9137D8"/>
    <w:pPr>
      <w:keepNext/>
      <w:keepLines/>
      <w:pBdr>
        <w:bottom w:val="single" w:sz="4" w:space="1" w:color="auto"/>
      </w:pBdr>
      <w:spacing w:before="480" w:after="240"/>
      <w:jc w:val="center"/>
    </w:pPr>
    <w:rPr>
      <w:rFonts w:asciiTheme="majorHAnsi" w:eastAsiaTheme="majorEastAsia" w:hAnsiTheme="majorHAnsi" w:cstheme="majorBidi"/>
      <w:b/>
      <w:bCs/>
      <w:color w:val="000000" w:themeColor="text1"/>
      <w:sz w:val="36"/>
      <w:szCs w:val="36"/>
    </w:rPr>
  </w:style>
  <w:style w:type="paragraph" w:styleId="Subtitle">
    <w:name w:val="Subtitle"/>
    <w:basedOn w:val="Title"/>
    <w:next w:val="BodyText"/>
    <w:qFormat/>
    <w:rsid w:val="009137D8"/>
    <w:pPr>
      <w:pBdr>
        <w:bottom w:val="none" w:sz="0" w:space="0" w:color="auto"/>
      </w:pBd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rsid w:val="00A33FE1"/>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A33FE1"/>
    <w:pPr>
      <w:jc w:val="center"/>
    </w:pPr>
  </w:style>
  <w:style w:type="paragraph" w:customStyle="1" w:styleId="ImageCaption">
    <w:name w:val="Image Caption"/>
    <w:basedOn w:val="Caption"/>
    <w:rsid w:val="00A33FE1"/>
    <w:pPr>
      <w:widowControl w:val="0"/>
      <w:jc w:val="center"/>
    </w:pPr>
  </w:style>
  <w:style w:type="paragraph" w:customStyle="1" w:styleId="Figure">
    <w:name w:val="Figure"/>
    <w:basedOn w:val="Normal"/>
    <w:rsid w:val="009B2D46"/>
    <w:pPr>
      <w:keepNext/>
      <w:keepLines/>
      <w:spacing w:before="60"/>
      <w:jc w:val="center"/>
    </w:pPr>
  </w:style>
  <w:style w:type="paragraph" w:customStyle="1" w:styleId="CaptionedFigure">
    <w:name w:val="Captioned Figure"/>
    <w:basedOn w:val="Figure"/>
    <w:rsid w:val="00A33FE1"/>
    <w:pPr>
      <w:keepNext w:val="0"/>
      <w:keepLines w:val="0"/>
      <w:widowControl w:val="0"/>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9137D8"/>
    <w:rPr>
      <w:rFonts w:ascii="Consolas" w:hAnsi="Consolas"/>
      <w:color w:val="C00000"/>
      <w:sz w:val="22"/>
      <w:u w:val="none"/>
      <w:bdr w:val="none" w:sz="0" w:space="0" w:color="auto"/>
      <w:shd w:val="clear" w:color="auto" w:fill="F2F2F2" w:themeFill="background1" w:themeFillShade="F2"/>
    </w:rPr>
  </w:style>
  <w:style w:type="character" w:styleId="FootnoteReference">
    <w:name w:val="footnote reference"/>
    <w:basedOn w:val="CaptionChar"/>
    <w:rPr>
      <w:vertAlign w:val="superscript"/>
    </w:rPr>
  </w:style>
  <w:style w:type="character" w:styleId="Hyperlink">
    <w:name w:val="Hyperlink"/>
    <w:basedOn w:val="CaptionChar"/>
    <w:rsid w:val="009137D8"/>
    <w:rPr>
      <w:color w:val="C00000"/>
    </w:rPr>
  </w:style>
  <w:style w:type="paragraph" w:styleId="TOCHeading">
    <w:name w:val="TOC Heading"/>
    <w:basedOn w:val="Heading1"/>
    <w:next w:val="BodyText"/>
    <w:uiPriority w:val="39"/>
    <w:unhideWhenUsed/>
    <w:qFormat/>
    <w:rsid w:val="009137D8"/>
    <w:pPr>
      <w:numPr>
        <w:numId w:val="0"/>
      </w:numPr>
      <w:spacing w:before="240" w:line="259" w:lineRule="auto"/>
      <w:jc w:val="center"/>
      <w:outlineLvl w:val="9"/>
    </w:pPr>
    <w:rPr>
      <w:b w:val="0"/>
      <w:bCs w:val="0"/>
    </w:rPr>
  </w:style>
  <w:style w:type="character" w:customStyle="1" w:styleId="BodyTextChar">
    <w:name w:val="Body Text Char"/>
    <w:basedOn w:val="DefaultParagraphFont"/>
    <w:link w:val="BodyText"/>
    <w:rsid w:val="009137D8"/>
  </w:style>
  <w:style w:type="paragraph" w:styleId="ListParagraph">
    <w:name w:val="List Paragraph"/>
    <w:basedOn w:val="Normal"/>
    <w:rsid w:val="005E0C3D"/>
    <w:pPr>
      <w:ind w:left="720"/>
      <w:contextualSpacing/>
    </w:pPr>
  </w:style>
  <w:style w:type="numbering" w:customStyle="1" w:styleId="Defaultul">
    <w:name w:val="Default ul"/>
    <w:basedOn w:val="NoList"/>
    <w:uiPriority w:val="99"/>
    <w:rsid w:val="005E0C3D"/>
    <w:pPr>
      <w:numPr>
        <w:numId w:val="22"/>
      </w:numPr>
    </w:pPr>
  </w:style>
  <w:style w:type="numbering" w:customStyle="1" w:styleId="Defaultol">
    <w:name w:val="Default ol"/>
    <w:basedOn w:val="NoList"/>
    <w:uiPriority w:val="99"/>
    <w:rsid w:val="005E0C3D"/>
    <w:pPr>
      <w:numPr>
        <w:numId w:val="23"/>
      </w:numPr>
    </w:pPr>
  </w:style>
  <w:style w:type="paragraph" w:styleId="Footer">
    <w:name w:val="footer"/>
    <w:basedOn w:val="Normal"/>
    <w:link w:val="FooterChar"/>
    <w:unhideWhenUsed/>
    <w:rsid w:val="00676DF8"/>
    <w:pPr>
      <w:tabs>
        <w:tab w:val="center" w:pos="4536"/>
        <w:tab w:val="right" w:pos="9072"/>
      </w:tabs>
      <w:spacing w:after="0"/>
    </w:pPr>
  </w:style>
  <w:style w:type="character" w:customStyle="1" w:styleId="FooterChar">
    <w:name w:val="Footer Char"/>
    <w:basedOn w:val="DefaultParagraphFont"/>
    <w:link w:val="Footer"/>
    <w:rsid w:val="00676DF8"/>
  </w:style>
  <w:style w:type="character" w:styleId="PageNumber">
    <w:name w:val="page number"/>
    <w:basedOn w:val="DefaultParagraphFont"/>
    <w:semiHidden/>
    <w:unhideWhenUsed/>
    <w:rsid w:val="00676DF8"/>
  </w:style>
  <w:style w:type="paragraph" w:styleId="Header">
    <w:name w:val="header"/>
    <w:basedOn w:val="Normal"/>
    <w:link w:val="HeaderChar"/>
    <w:unhideWhenUsed/>
    <w:rsid w:val="003F65B2"/>
    <w:pPr>
      <w:tabs>
        <w:tab w:val="center" w:pos="4536"/>
        <w:tab w:val="right" w:pos="9072"/>
      </w:tabs>
      <w:spacing w:after="0"/>
    </w:pPr>
  </w:style>
  <w:style w:type="character" w:customStyle="1" w:styleId="HeaderChar">
    <w:name w:val="Header Char"/>
    <w:basedOn w:val="DefaultParagraphFont"/>
    <w:link w:val="Header"/>
    <w:rsid w:val="003F65B2"/>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u w:val="none"/>
      <w:bdr w:val="none" w:sz="0" w:space="0" w:color="auto"/>
      <w:shd w:val="clear" w:color="auto" w:fill="F8F8F8"/>
    </w:rPr>
  </w:style>
  <w:style w:type="character" w:customStyle="1" w:styleId="DataTypeTok">
    <w:name w:val="DataTypeTok"/>
    <w:basedOn w:val="VerbatimChar"/>
    <w:rPr>
      <w:rFonts w:ascii="Consolas" w:hAnsi="Consolas"/>
      <w:color w:val="204A87"/>
      <w:sz w:val="22"/>
      <w:u w:val="none"/>
      <w:bdr w:val="none" w:sz="0" w:space="0" w:color="auto"/>
      <w:shd w:val="clear" w:color="auto" w:fill="F8F8F8"/>
    </w:rPr>
  </w:style>
  <w:style w:type="character" w:customStyle="1" w:styleId="DecValTok">
    <w:name w:val="DecValTok"/>
    <w:basedOn w:val="VerbatimChar"/>
    <w:rPr>
      <w:rFonts w:ascii="Consolas" w:hAnsi="Consolas"/>
      <w:color w:val="0000CF"/>
      <w:sz w:val="22"/>
      <w:u w:val="none"/>
      <w:bdr w:val="none" w:sz="0" w:space="0" w:color="auto"/>
      <w:shd w:val="clear" w:color="auto" w:fill="F8F8F8"/>
    </w:rPr>
  </w:style>
  <w:style w:type="character" w:customStyle="1" w:styleId="BaseNTok">
    <w:name w:val="BaseNTok"/>
    <w:basedOn w:val="VerbatimChar"/>
    <w:rPr>
      <w:rFonts w:ascii="Consolas" w:hAnsi="Consolas"/>
      <w:color w:val="0000CF"/>
      <w:sz w:val="22"/>
      <w:u w:val="none"/>
      <w:bdr w:val="none" w:sz="0" w:space="0" w:color="auto"/>
      <w:shd w:val="clear" w:color="auto" w:fill="F8F8F8"/>
    </w:rPr>
  </w:style>
  <w:style w:type="character" w:customStyle="1" w:styleId="FloatTok">
    <w:name w:val="FloatTok"/>
    <w:basedOn w:val="VerbatimChar"/>
    <w:rPr>
      <w:rFonts w:ascii="Consolas" w:hAnsi="Consolas"/>
      <w:color w:val="0000CF"/>
      <w:sz w:val="22"/>
      <w:u w:val="none"/>
      <w:bdr w:val="none" w:sz="0" w:space="0" w:color="auto"/>
      <w:shd w:val="clear" w:color="auto" w:fill="F8F8F8"/>
    </w:rPr>
  </w:style>
  <w:style w:type="character" w:customStyle="1" w:styleId="ConstantTok">
    <w:name w:val="ConstantTok"/>
    <w:basedOn w:val="VerbatimChar"/>
    <w:rPr>
      <w:rFonts w:ascii="Consolas" w:hAnsi="Consolas"/>
      <w:color w:val="8F5902"/>
      <w:sz w:val="22"/>
      <w:u w:val="none"/>
      <w:bdr w:val="none" w:sz="0" w:space="0" w:color="auto"/>
      <w:shd w:val="clear" w:color="auto" w:fill="F8F8F8"/>
    </w:rPr>
  </w:style>
  <w:style w:type="character" w:customStyle="1" w:styleId="CharTok">
    <w:name w:val="CharTok"/>
    <w:basedOn w:val="VerbatimChar"/>
    <w:rPr>
      <w:rFonts w:ascii="Consolas" w:hAnsi="Consolas"/>
      <w:color w:val="4E9A06"/>
      <w:sz w:val="22"/>
      <w:u w:val="none"/>
      <w:bdr w:val="none" w:sz="0" w:space="0" w:color="auto"/>
      <w:shd w:val="clear" w:color="auto" w:fill="F8F8F8"/>
    </w:rPr>
  </w:style>
  <w:style w:type="character" w:customStyle="1" w:styleId="SpecialCharTok">
    <w:name w:val="SpecialCharTok"/>
    <w:basedOn w:val="VerbatimChar"/>
    <w:rPr>
      <w:rFonts w:ascii="Consolas" w:hAnsi="Consolas"/>
      <w:b/>
      <w:color w:val="CE5C00"/>
      <w:sz w:val="22"/>
      <w:u w:val="none"/>
      <w:bdr w:val="none" w:sz="0" w:space="0" w:color="auto"/>
      <w:shd w:val="clear" w:color="auto" w:fill="F8F8F8"/>
    </w:rPr>
  </w:style>
  <w:style w:type="character" w:customStyle="1" w:styleId="StringTok">
    <w:name w:val="StringTok"/>
    <w:basedOn w:val="VerbatimChar"/>
    <w:rPr>
      <w:rFonts w:ascii="Consolas" w:hAnsi="Consolas"/>
      <w:color w:val="4E9A06"/>
      <w:sz w:val="22"/>
      <w:u w:val="none"/>
      <w:bdr w:val="none" w:sz="0" w:space="0" w:color="auto"/>
      <w:shd w:val="clear" w:color="auto" w:fill="F8F8F8"/>
    </w:rPr>
  </w:style>
  <w:style w:type="character" w:customStyle="1" w:styleId="VerbatimStringTok">
    <w:name w:val="VerbatimStringTok"/>
    <w:basedOn w:val="VerbatimChar"/>
    <w:rPr>
      <w:rFonts w:ascii="Consolas" w:hAnsi="Consolas"/>
      <w:color w:val="4E9A06"/>
      <w:sz w:val="22"/>
      <w:u w:val="none"/>
      <w:bdr w:val="none" w:sz="0" w:space="0" w:color="auto"/>
      <w:shd w:val="clear" w:color="auto" w:fill="F8F8F8"/>
    </w:rPr>
  </w:style>
  <w:style w:type="character" w:customStyle="1" w:styleId="SpecialStringTok">
    <w:name w:val="SpecialStringTok"/>
    <w:basedOn w:val="VerbatimChar"/>
    <w:rPr>
      <w:rFonts w:ascii="Consolas" w:hAnsi="Consolas"/>
      <w:color w:val="4E9A06"/>
      <w:sz w:val="22"/>
      <w:u w:val="none"/>
      <w:bdr w:val="none" w:sz="0" w:space="0" w:color="auto"/>
      <w:shd w:val="clear" w:color="auto" w:fill="F8F8F8"/>
    </w:rPr>
  </w:style>
  <w:style w:type="character" w:customStyle="1" w:styleId="ImportTok">
    <w:name w:val="ImportTok"/>
    <w:basedOn w:val="VerbatimChar"/>
    <w:rPr>
      <w:rFonts w:ascii="Consolas" w:hAnsi="Consolas"/>
      <w:color w:val="C00000"/>
      <w:sz w:val="22"/>
      <w:u w:val="none"/>
      <w:bdr w:val="none" w:sz="0" w:space="0" w:color="auto"/>
      <w:shd w:val="clear" w:color="auto" w:fill="F8F8F8"/>
    </w:rPr>
  </w:style>
  <w:style w:type="character" w:customStyle="1" w:styleId="CommentTok">
    <w:name w:val="CommentTok"/>
    <w:basedOn w:val="VerbatimChar"/>
    <w:rPr>
      <w:rFonts w:ascii="Consolas" w:hAnsi="Consolas"/>
      <w:i/>
      <w:color w:val="8F5902"/>
      <w:sz w:val="22"/>
      <w:u w:val="none"/>
      <w:bdr w:val="none" w:sz="0" w:space="0" w:color="auto"/>
      <w:shd w:val="clear" w:color="auto" w:fill="F8F8F8"/>
    </w:rPr>
  </w:style>
  <w:style w:type="character" w:customStyle="1" w:styleId="DocumentationTok">
    <w:name w:val="DocumentationTok"/>
    <w:basedOn w:val="VerbatimChar"/>
    <w:rPr>
      <w:rFonts w:ascii="Consolas" w:hAnsi="Consolas"/>
      <w:b/>
      <w:i/>
      <w:color w:val="8F5902"/>
      <w:sz w:val="22"/>
      <w:u w:val="none"/>
      <w:bdr w:val="none" w:sz="0" w:space="0" w:color="auto"/>
      <w:shd w:val="clear" w:color="auto" w:fill="F8F8F8"/>
    </w:rPr>
  </w:style>
  <w:style w:type="character" w:customStyle="1" w:styleId="AnnotationTok">
    <w:name w:val="AnnotationTok"/>
    <w:basedOn w:val="VerbatimChar"/>
    <w:rPr>
      <w:rFonts w:ascii="Consolas" w:hAnsi="Consolas"/>
      <w:b/>
      <w:i/>
      <w:color w:val="8F5902"/>
      <w:sz w:val="22"/>
      <w:u w:val="none"/>
      <w:bdr w:val="none" w:sz="0" w:space="0" w:color="auto"/>
      <w:shd w:val="clear" w:color="auto" w:fill="F8F8F8"/>
    </w:rPr>
  </w:style>
  <w:style w:type="character" w:customStyle="1" w:styleId="CommentVarTok">
    <w:name w:val="CommentVarTok"/>
    <w:basedOn w:val="VerbatimChar"/>
    <w:rPr>
      <w:rFonts w:ascii="Consolas" w:hAnsi="Consolas"/>
      <w:b/>
      <w:i/>
      <w:color w:val="8F5902"/>
      <w:sz w:val="22"/>
      <w:u w:val="none"/>
      <w:bdr w:val="none" w:sz="0" w:space="0" w:color="auto"/>
      <w:shd w:val="clear" w:color="auto" w:fill="F8F8F8"/>
    </w:rPr>
  </w:style>
  <w:style w:type="character" w:customStyle="1" w:styleId="OtherTok">
    <w:name w:val="OtherTok"/>
    <w:basedOn w:val="VerbatimChar"/>
    <w:rPr>
      <w:rFonts w:ascii="Consolas" w:hAnsi="Consolas"/>
      <w:color w:val="8F5902"/>
      <w:sz w:val="22"/>
      <w:u w:val="none"/>
      <w:bdr w:val="none" w:sz="0" w:space="0" w:color="auto"/>
      <w:shd w:val="clear" w:color="auto" w:fill="F8F8F8"/>
    </w:rPr>
  </w:style>
  <w:style w:type="character" w:customStyle="1" w:styleId="FunctionTok">
    <w:name w:val="FunctionTok"/>
    <w:basedOn w:val="VerbatimChar"/>
    <w:rPr>
      <w:rFonts w:ascii="Consolas" w:hAnsi="Consolas"/>
      <w:b/>
      <w:color w:val="204A87"/>
      <w:sz w:val="22"/>
      <w:u w:val="none"/>
      <w:bdr w:val="none" w:sz="0" w:space="0" w:color="auto"/>
      <w:shd w:val="clear" w:color="auto" w:fill="F8F8F8"/>
    </w:rPr>
  </w:style>
  <w:style w:type="character" w:customStyle="1" w:styleId="VariableTok">
    <w:name w:val="VariableTok"/>
    <w:basedOn w:val="VerbatimChar"/>
    <w:rPr>
      <w:rFonts w:ascii="Consolas" w:hAnsi="Consolas"/>
      <w:color w:val="000000"/>
      <w:sz w:val="22"/>
      <w:u w:val="none"/>
      <w:bdr w:val="none" w:sz="0" w:space="0" w:color="auto"/>
      <w:shd w:val="clear" w:color="auto" w:fill="F8F8F8"/>
    </w:rPr>
  </w:style>
  <w:style w:type="character" w:customStyle="1" w:styleId="ControlFlowTok">
    <w:name w:val="ControlFlowTok"/>
    <w:basedOn w:val="VerbatimChar"/>
    <w:rPr>
      <w:rFonts w:ascii="Consolas" w:hAnsi="Consolas"/>
      <w:b/>
      <w:color w:val="204A87"/>
      <w:sz w:val="22"/>
      <w:u w:val="none"/>
      <w:bdr w:val="none" w:sz="0" w:space="0" w:color="auto"/>
      <w:shd w:val="clear" w:color="auto" w:fill="F8F8F8"/>
    </w:rPr>
  </w:style>
  <w:style w:type="character" w:customStyle="1" w:styleId="OperatorTok">
    <w:name w:val="OperatorTok"/>
    <w:basedOn w:val="VerbatimChar"/>
    <w:rPr>
      <w:rFonts w:ascii="Consolas" w:hAnsi="Consolas"/>
      <w:b/>
      <w:color w:val="CE5C00"/>
      <w:sz w:val="22"/>
      <w:u w:val="none"/>
      <w:bdr w:val="none" w:sz="0" w:space="0" w:color="auto"/>
      <w:shd w:val="clear" w:color="auto" w:fill="F8F8F8"/>
    </w:rPr>
  </w:style>
  <w:style w:type="character" w:customStyle="1" w:styleId="BuiltInTok">
    <w:name w:val="BuiltInTok"/>
    <w:basedOn w:val="VerbatimChar"/>
    <w:rPr>
      <w:rFonts w:ascii="Consolas" w:hAnsi="Consolas"/>
      <w:color w:val="C00000"/>
      <w:sz w:val="22"/>
      <w:u w:val="none"/>
      <w:bdr w:val="none" w:sz="0" w:space="0" w:color="auto"/>
      <w:shd w:val="clear" w:color="auto" w:fill="F8F8F8"/>
    </w:rPr>
  </w:style>
  <w:style w:type="character" w:customStyle="1" w:styleId="ExtensionTok">
    <w:name w:val="ExtensionTok"/>
    <w:basedOn w:val="VerbatimChar"/>
    <w:rPr>
      <w:rFonts w:ascii="Consolas" w:hAnsi="Consolas"/>
      <w:color w:val="C00000"/>
      <w:sz w:val="22"/>
      <w:u w:val="none"/>
      <w:bdr w:val="none" w:sz="0" w:space="0" w:color="auto"/>
      <w:shd w:val="clear" w:color="auto" w:fill="F8F8F8"/>
    </w:rPr>
  </w:style>
  <w:style w:type="character" w:customStyle="1" w:styleId="PreprocessorTok">
    <w:name w:val="PreprocessorTok"/>
    <w:basedOn w:val="VerbatimChar"/>
    <w:rPr>
      <w:rFonts w:ascii="Consolas" w:hAnsi="Consolas"/>
      <w:i/>
      <w:color w:val="8F5902"/>
      <w:sz w:val="22"/>
      <w:u w:val="none"/>
      <w:bdr w:val="none" w:sz="0" w:space="0" w:color="auto"/>
      <w:shd w:val="clear" w:color="auto" w:fill="F8F8F8"/>
    </w:rPr>
  </w:style>
  <w:style w:type="character" w:customStyle="1" w:styleId="AttributeTok">
    <w:name w:val="AttributeTok"/>
    <w:basedOn w:val="VerbatimChar"/>
    <w:rPr>
      <w:rFonts w:ascii="Consolas" w:hAnsi="Consolas"/>
      <w:color w:val="204A87"/>
      <w:sz w:val="22"/>
      <w:u w:val="none"/>
      <w:bdr w:val="none" w:sz="0" w:space="0" w:color="auto"/>
      <w:shd w:val="clear" w:color="auto" w:fill="F8F8F8"/>
    </w:rPr>
  </w:style>
  <w:style w:type="character" w:customStyle="1" w:styleId="RegionMarkerTok">
    <w:name w:val="RegionMarkerTok"/>
    <w:basedOn w:val="VerbatimChar"/>
    <w:rPr>
      <w:rFonts w:ascii="Consolas" w:hAnsi="Consolas"/>
      <w:color w:val="C00000"/>
      <w:sz w:val="22"/>
      <w:u w:val="none"/>
      <w:bdr w:val="none" w:sz="0" w:space="0" w:color="auto"/>
      <w:shd w:val="clear" w:color="auto" w:fill="F8F8F8"/>
    </w:rPr>
  </w:style>
  <w:style w:type="character" w:customStyle="1" w:styleId="InformationTok">
    <w:name w:val="InformationTok"/>
    <w:basedOn w:val="VerbatimChar"/>
    <w:rPr>
      <w:rFonts w:ascii="Consolas" w:hAnsi="Consolas"/>
      <w:b/>
      <w:i/>
      <w:color w:val="8F5902"/>
      <w:sz w:val="22"/>
      <w:u w:val="none"/>
      <w:bdr w:val="none" w:sz="0" w:space="0" w:color="auto"/>
      <w:shd w:val="clear" w:color="auto" w:fill="F8F8F8"/>
    </w:rPr>
  </w:style>
  <w:style w:type="character" w:customStyle="1" w:styleId="WarningTok">
    <w:name w:val="WarningTok"/>
    <w:basedOn w:val="VerbatimChar"/>
    <w:rPr>
      <w:rFonts w:ascii="Consolas" w:hAnsi="Consolas"/>
      <w:b/>
      <w:i/>
      <w:color w:val="8F5902"/>
      <w:sz w:val="22"/>
      <w:u w:val="none"/>
      <w:bdr w:val="none" w:sz="0" w:space="0" w:color="auto"/>
      <w:shd w:val="clear" w:color="auto" w:fill="F8F8F8"/>
    </w:rPr>
  </w:style>
  <w:style w:type="character" w:customStyle="1" w:styleId="AlertTok">
    <w:name w:val="AlertTok"/>
    <w:basedOn w:val="VerbatimChar"/>
    <w:rPr>
      <w:rFonts w:ascii="Consolas" w:hAnsi="Consolas"/>
      <w:color w:val="EF2929"/>
      <w:sz w:val="22"/>
      <w:u w:val="none"/>
      <w:bdr w:val="none" w:sz="0" w:space="0" w:color="auto"/>
      <w:shd w:val="clear" w:color="auto" w:fill="F8F8F8"/>
    </w:rPr>
  </w:style>
  <w:style w:type="character" w:customStyle="1" w:styleId="ErrorTok">
    <w:name w:val="ErrorTok"/>
    <w:basedOn w:val="VerbatimChar"/>
    <w:rPr>
      <w:rFonts w:ascii="Consolas" w:hAnsi="Consolas"/>
      <w:b/>
      <w:color w:val="A40000"/>
      <w:sz w:val="22"/>
      <w:u w:val="none"/>
      <w:bdr w:val="none" w:sz="0" w:space="0" w:color="auto"/>
      <w:shd w:val="clear" w:color="auto" w:fill="F8F8F8"/>
    </w:rPr>
  </w:style>
  <w:style w:type="character" w:customStyle="1" w:styleId="NormalTok">
    <w:name w:val="NormalTok"/>
    <w:basedOn w:val="VerbatimChar"/>
    <w:rPr>
      <w:rFonts w:ascii="Consolas" w:hAnsi="Consolas"/>
      <w:color w:val="C00000"/>
      <w:sz w:val="22"/>
      <w:u w:val="none"/>
      <w:bdr w:val="none" w:sz="0" w:space="0" w:color="auto"/>
      <w:shd w:val="clear" w:color="auto" w:fill="F8F8F8"/>
    </w:rPr>
  </w:style>
  <w:style w:type="paragraph" w:customStyle="1" w:styleId="TableParagraph">
    <w:name w:val="Table Paragraph"/>
    <w:basedOn w:val="Normal"/>
    <w:uiPriority w:val="1"/>
    <w:qFormat/>
    <w:rsid w:val="00B9301C"/>
    <w:pPr>
      <w:widowControl w:val="0"/>
      <w:autoSpaceDE w:val="0"/>
      <w:autoSpaceDN w:val="0"/>
      <w:spacing w:before="100" w:after="0"/>
    </w:pPr>
    <w:rPr>
      <w:rFonts w:ascii="Calibri" w:eastAsia="Calibri" w:hAnsi="Calibri" w:cs="Calibri"/>
      <w:sz w:val="22"/>
      <w:szCs w:val="22"/>
      <w:lang w:bidi="en-US"/>
    </w:rPr>
  </w:style>
  <w:style w:type="table" w:styleId="TableGrid">
    <w:name w:val="Table Grid"/>
    <w:basedOn w:val="TableNormal"/>
    <w:rsid w:val="00C264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2644E"/>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CF16-F25D-470D-8BF2-02509B03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2544</Words>
  <Characters>14505</Characters>
  <Application>Microsoft Office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Forecast of the future number of Albanian judges</vt:lpstr>
      <vt:lpstr>Title</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Forecast of the future number of Albanian judges</dc:title>
  <dc:creator>Jesper Wittrup, PhD</dc:creator>
  <cp:keywords/>
  <cp:lastModifiedBy>Irena Plaku</cp:lastModifiedBy>
  <cp:revision>2</cp:revision>
  <dcterms:created xsi:type="dcterms:W3CDTF">2024-02-27T11:31:00Z</dcterms:created>
  <dcterms:modified xsi:type="dcterms:W3CDTF">2024-02-27T11:31:00Z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17 november, 2023</vt:lpwstr>
  </property>
  <property fmtid="{D5CDD505-2E9C-101B-9397-08002B2CF9AE}" pid="3" name="editor_options">
    <vt:lpwstr/>
  </property>
  <property fmtid="{D5CDD505-2E9C-101B-9397-08002B2CF9AE}" pid="4" name="output">
    <vt:lpwstr/>
  </property>
</Properties>
</file>