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600F4" w14:textId="23614B61" w:rsidR="004270C5" w:rsidRPr="00154D8C" w:rsidRDefault="004270C5" w:rsidP="00427182">
      <w:pPr>
        <w:pStyle w:val="Heading1"/>
        <w:rPr>
          <w:rFonts w:ascii="Times New Roman" w:hAnsi="Times New Roman" w:cs="Times New Roman"/>
          <w:szCs w:val="24"/>
          <w:u w:val="none"/>
        </w:rPr>
      </w:pPr>
      <w:bookmarkStart w:id="0" w:name="_GoBack"/>
      <w:bookmarkEnd w:id="0"/>
      <w:r w:rsidRPr="00154D8C">
        <w:rPr>
          <w:rFonts w:ascii="Times New Roman" w:hAnsi="Times New Roman" w:cs="Times New Roman"/>
          <w:szCs w:val="24"/>
          <w:u w:val="none"/>
        </w:rPr>
        <w:t>RELACION</w:t>
      </w:r>
    </w:p>
    <w:p w14:paraId="3E4F3C79" w14:textId="618D8E14" w:rsidR="004270C5" w:rsidRPr="00154D8C" w:rsidRDefault="002D5EA9" w:rsidP="00427182">
      <w:pPr>
        <w:pStyle w:val="Heading1"/>
        <w:rPr>
          <w:rFonts w:ascii="Times New Roman" w:hAnsi="Times New Roman" w:cs="Times New Roman"/>
          <w:szCs w:val="24"/>
          <w:u w:val="none"/>
        </w:rPr>
      </w:pPr>
      <w:r w:rsidRPr="00154D8C">
        <w:rPr>
          <w:rFonts w:ascii="Times New Roman" w:hAnsi="Times New Roman" w:cs="Times New Roman"/>
          <w:szCs w:val="24"/>
          <w:u w:val="none"/>
        </w:rPr>
        <w:t>P</w:t>
      </w:r>
      <w:r w:rsidR="00020C66" w:rsidRPr="00154D8C">
        <w:rPr>
          <w:rFonts w:ascii="Times New Roman" w:hAnsi="Times New Roman" w:cs="Times New Roman"/>
          <w:szCs w:val="24"/>
          <w:u w:val="none"/>
        </w:rPr>
        <w:t>Ë</w:t>
      </w:r>
      <w:r w:rsidRPr="00154D8C">
        <w:rPr>
          <w:rFonts w:ascii="Times New Roman" w:hAnsi="Times New Roman" w:cs="Times New Roman"/>
          <w:szCs w:val="24"/>
          <w:u w:val="none"/>
        </w:rPr>
        <w:t>R</w:t>
      </w:r>
    </w:p>
    <w:p w14:paraId="0E907D0B" w14:textId="35349090" w:rsidR="005933DC" w:rsidRPr="00154D8C" w:rsidRDefault="004A6266" w:rsidP="00427182">
      <w:pPr>
        <w:spacing w:after="0" w:line="240" w:lineRule="auto"/>
        <w:jc w:val="center"/>
        <w:rPr>
          <w:rFonts w:ascii="Times New Roman" w:eastAsia="MS Mincho" w:hAnsi="Times New Roman" w:cs="Times New Roman"/>
          <w:b/>
          <w:sz w:val="24"/>
          <w:szCs w:val="24"/>
          <w:lang w:val="sq-AL"/>
        </w:rPr>
      </w:pPr>
      <w:r w:rsidRPr="00154D8C">
        <w:rPr>
          <w:rFonts w:ascii="Times New Roman" w:eastAsia="MS Mincho" w:hAnsi="Times New Roman" w:cs="Times New Roman"/>
          <w:b/>
          <w:sz w:val="24"/>
          <w:szCs w:val="24"/>
          <w:lang w:val="sq-AL"/>
        </w:rPr>
        <w:t>PROJEKT</w:t>
      </w:r>
      <w:r w:rsidR="007256EE" w:rsidRPr="00154D8C">
        <w:rPr>
          <w:rFonts w:ascii="Times New Roman" w:eastAsia="MS Mincho" w:hAnsi="Times New Roman" w:cs="Times New Roman"/>
          <w:b/>
          <w:sz w:val="24"/>
          <w:szCs w:val="24"/>
          <w:lang w:val="sq-AL"/>
        </w:rPr>
        <w:t>VENDIMIN</w:t>
      </w:r>
    </w:p>
    <w:p w14:paraId="5FBA2A69" w14:textId="347554AB" w:rsidR="005933DC" w:rsidRPr="00154D8C" w:rsidRDefault="007256EE" w:rsidP="00427182">
      <w:pPr>
        <w:spacing w:after="0" w:line="240" w:lineRule="auto"/>
        <w:jc w:val="center"/>
        <w:rPr>
          <w:rFonts w:ascii="Times New Roman" w:eastAsia="MS Mincho" w:hAnsi="Times New Roman" w:cs="Times New Roman"/>
          <w:b/>
          <w:sz w:val="24"/>
          <w:szCs w:val="24"/>
          <w:lang w:val="sq-AL"/>
        </w:rPr>
      </w:pPr>
      <w:r w:rsidRPr="00154D8C">
        <w:rPr>
          <w:rFonts w:ascii="Times New Roman" w:eastAsia="MS Mincho" w:hAnsi="Times New Roman" w:cs="Times New Roman"/>
          <w:b/>
          <w:sz w:val="24"/>
          <w:szCs w:val="24"/>
          <w:lang w:val="sq-AL"/>
        </w:rPr>
        <w:t>“</w:t>
      </w:r>
      <w:r w:rsidR="004A6266" w:rsidRPr="00154D8C">
        <w:rPr>
          <w:rFonts w:ascii="Times New Roman" w:eastAsia="MS Mincho" w:hAnsi="Times New Roman" w:cs="Times New Roman"/>
          <w:b/>
          <w:sz w:val="24"/>
          <w:szCs w:val="24"/>
          <w:lang w:val="sq-AL"/>
        </w:rPr>
        <w:t xml:space="preserve">PËR </w:t>
      </w:r>
      <w:r w:rsidRPr="00154D8C">
        <w:rPr>
          <w:rFonts w:ascii="Times New Roman" w:hAnsi="Times New Roman" w:cs="Times New Roman"/>
          <w:b/>
          <w:sz w:val="24"/>
          <w:szCs w:val="24"/>
          <w:lang w:val="sq-AL"/>
        </w:rPr>
        <w:t>MIRATIMIN E STRATEGJISË SEKTORIALE PËR MENAXHIMIN E FINANCAVE PUBLIKE 2023-2030”</w:t>
      </w:r>
    </w:p>
    <w:p w14:paraId="324A11C5" w14:textId="77777777" w:rsidR="005933DC" w:rsidRPr="00154D8C" w:rsidRDefault="005933DC" w:rsidP="00427182">
      <w:pPr>
        <w:spacing w:after="0" w:line="240" w:lineRule="auto"/>
        <w:jc w:val="both"/>
        <w:rPr>
          <w:rFonts w:ascii="Times New Roman" w:hAnsi="Times New Roman" w:cs="Times New Roman"/>
          <w:sz w:val="24"/>
          <w:szCs w:val="24"/>
          <w:lang w:val="sq-AL"/>
        </w:rPr>
      </w:pPr>
    </w:p>
    <w:p w14:paraId="0867C710" w14:textId="77777777" w:rsidR="00F953C0" w:rsidRPr="00154D8C" w:rsidRDefault="00F953C0" w:rsidP="00427182">
      <w:pPr>
        <w:tabs>
          <w:tab w:val="left" w:pos="3420"/>
        </w:tabs>
        <w:spacing w:after="0" w:line="240" w:lineRule="auto"/>
        <w:ind w:firstLine="180"/>
        <w:jc w:val="both"/>
        <w:rPr>
          <w:rFonts w:ascii="Times New Roman" w:hAnsi="Times New Roman" w:cs="Times New Roman"/>
          <w:sz w:val="24"/>
          <w:szCs w:val="24"/>
          <w:lang w:val="sq-AL"/>
        </w:rPr>
      </w:pPr>
    </w:p>
    <w:p w14:paraId="608E3573" w14:textId="77777777" w:rsidR="005F6E74" w:rsidRPr="00154D8C" w:rsidRDefault="002D5EA9" w:rsidP="00154D8C">
      <w:pPr>
        <w:numPr>
          <w:ilvl w:val="0"/>
          <w:numId w:val="1"/>
        </w:numPr>
        <w:spacing w:after="0" w:line="240" w:lineRule="auto"/>
        <w:ind w:left="360" w:hanging="270"/>
        <w:jc w:val="both"/>
        <w:rPr>
          <w:rFonts w:ascii="Times New Roman" w:eastAsia="Calibri" w:hAnsi="Times New Roman" w:cs="Times New Roman"/>
          <w:b/>
          <w:sz w:val="24"/>
          <w:szCs w:val="24"/>
          <w:lang w:val="sq-AL"/>
        </w:rPr>
      </w:pPr>
      <w:r w:rsidRPr="00154D8C">
        <w:rPr>
          <w:rFonts w:ascii="Times New Roman" w:eastAsia="Calibri" w:hAnsi="Times New Roman" w:cs="Times New Roman"/>
          <w:b/>
          <w:sz w:val="24"/>
          <w:szCs w:val="24"/>
          <w:lang w:val="sq-AL"/>
        </w:rPr>
        <w:t>QËLLIMI I PROJEKTAKTIT DHE OBJEKTIVAT QË SYNOHEN TË ARRIHEN</w:t>
      </w:r>
    </w:p>
    <w:p w14:paraId="0ACCBA49" w14:textId="77777777" w:rsidR="00427182" w:rsidRPr="00154D8C" w:rsidRDefault="00427182" w:rsidP="00427182">
      <w:pPr>
        <w:spacing w:after="0" w:line="240" w:lineRule="auto"/>
        <w:ind w:right="6"/>
        <w:jc w:val="both"/>
        <w:rPr>
          <w:rFonts w:ascii="Times New Roman" w:hAnsi="Times New Roman" w:cs="Times New Roman"/>
          <w:sz w:val="24"/>
          <w:szCs w:val="24"/>
          <w:lang w:val="sq-AL"/>
        </w:rPr>
      </w:pPr>
    </w:p>
    <w:p w14:paraId="73020213" w14:textId="6E9ABDDF" w:rsidR="007704A3" w:rsidRPr="00154D8C" w:rsidRDefault="007704A3" w:rsidP="00B00915">
      <w:pPr>
        <w:spacing w:after="0"/>
        <w:ind w:right="6"/>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Me an</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t</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projektvendimit “P</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miratimin e Strategjis</w:t>
      </w:r>
      <w:r w:rsidR="007256EE" w:rsidRPr="00154D8C">
        <w:rPr>
          <w:rFonts w:ascii="Times New Roman" w:hAnsi="Times New Roman" w:cs="Times New Roman"/>
          <w:sz w:val="24"/>
          <w:szCs w:val="24"/>
          <w:lang w:val="sq-AL"/>
        </w:rPr>
        <w:t>ë Sektoriale për Menaxhimin e</w:t>
      </w:r>
      <w:r w:rsidRPr="00154D8C">
        <w:rPr>
          <w:rFonts w:ascii="Times New Roman" w:hAnsi="Times New Roman" w:cs="Times New Roman"/>
          <w:sz w:val="24"/>
          <w:szCs w:val="24"/>
          <w:lang w:val="sq-AL"/>
        </w:rPr>
        <w:t xml:space="preserve"> Financave Publike 2023-2030” realizohet miratimi </w:t>
      </w:r>
      <w:r w:rsidR="00D42696" w:rsidRPr="00154D8C">
        <w:rPr>
          <w:rFonts w:ascii="Times New Roman" w:hAnsi="Times New Roman" w:cs="Times New Roman"/>
          <w:sz w:val="24"/>
          <w:szCs w:val="24"/>
          <w:lang w:val="sq-AL"/>
        </w:rPr>
        <w:t>i</w:t>
      </w:r>
      <w:r w:rsidRPr="00154D8C">
        <w:rPr>
          <w:rFonts w:ascii="Times New Roman" w:hAnsi="Times New Roman" w:cs="Times New Roman"/>
          <w:sz w:val="24"/>
          <w:szCs w:val="24"/>
          <w:lang w:val="sq-AL"/>
        </w:rPr>
        <w:t xml:space="preserve"> strategjis</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s</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Menaxhimit t</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Financave Publike (MFP) mbi reformat q</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ka nd</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rmarr</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Qeveria Shqiptare p</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periudh</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n 2023-2030. </w:t>
      </w:r>
    </w:p>
    <w:p w14:paraId="06740D1B" w14:textId="2CDD5344" w:rsidR="004A6266" w:rsidRPr="00154D8C" w:rsidRDefault="007704A3" w:rsidP="00B00915">
      <w:pPr>
        <w:spacing w:after="0"/>
        <w:ind w:right="6"/>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Strategjia Sektoriale për Menaxhimin e Financave Publike (SSMFP) parashtron një axhendë reformash ambicioze për të gjithë qeverinë, jo vetëm për Ministrinë e Financave. Deri më tani janë planifikuar, zbatuar dhe monitoruar SSMFP 2014-2020 dhe SSMFP 2019-2022. SSMFP 2014-2020 është miratuar me VKM nr. 908, datë 17.12.2014. SSMFP 2019 – 2022 është miratuar me VKM nr. 824, datë 18.12.2019 dhe zëvendësoi strategjinë e mëparshme që mbulonte periudhën 2014-2020. Për të rritur efektivitetin e shpenzimeve buxhetore dhe për të krijuar një mjedis më produktiv për shpenzime në afat të mesëm dhe afatgjatë, vazhdimi i reformave të MFP-së është thelbësor. Për këtë qëllim,</w:t>
      </w:r>
      <w:r w:rsidR="00560990" w:rsidRPr="00154D8C">
        <w:rPr>
          <w:rFonts w:ascii="Times New Roman" w:hAnsi="Times New Roman" w:cs="Times New Roman"/>
          <w:sz w:val="24"/>
          <w:szCs w:val="24"/>
          <w:lang w:val="sq-AL"/>
        </w:rPr>
        <w:t xml:space="preserve"> do të</w:t>
      </w:r>
      <w:r w:rsidRPr="00154D8C">
        <w:rPr>
          <w:rFonts w:ascii="Times New Roman" w:hAnsi="Times New Roman" w:cs="Times New Roman"/>
          <w:sz w:val="24"/>
          <w:szCs w:val="24"/>
          <w:lang w:val="sq-AL"/>
        </w:rPr>
        <w:t xml:space="preserve"> miratohet strategjia e tretë për menaxhimin e financave publike, që do të mbulojë periudhën 2023 – 2030.</w:t>
      </w:r>
    </w:p>
    <w:p w14:paraId="620DC047" w14:textId="37B6B6F3" w:rsidR="00FB6FD2" w:rsidRPr="00154D8C" w:rsidRDefault="00FB6FD2" w:rsidP="00B00915">
      <w:pPr>
        <w:spacing w:after="0"/>
        <w:ind w:right="6"/>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Strategjia 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r Menaxhimin e Financave Publike ka një rëndësi të konsiderueshme, </w:t>
      </w:r>
      <w:r w:rsidR="005D352A" w:rsidRPr="00154D8C">
        <w:rPr>
          <w:rFonts w:ascii="Times New Roman" w:hAnsi="Times New Roman" w:cs="Times New Roman"/>
          <w:sz w:val="24"/>
          <w:szCs w:val="24"/>
          <w:lang w:val="sq-AL"/>
        </w:rPr>
        <w:t>pasi jo vetëm përcakton rrugën për rivendosjen e financave publike në trajektoren e qëndrueshmërisë afatgjatë, duke krijuar kështu parakushtet për rritjen ekonomike, por, përbën edhe një detyrim që rrj</w:t>
      </w:r>
      <w:r w:rsidR="00FE4227" w:rsidRPr="00154D8C">
        <w:rPr>
          <w:rFonts w:ascii="Times New Roman" w:hAnsi="Times New Roman" w:cs="Times New Roman"/>
          <w:sz w:val="24"/>
          <w:szCs w:val="24"/>
          <w:lang w:val="sq-AL"/>
        </w:rPr>
        <w:t>edh nga marrëveshjet me partnerë</w:t>
      </w:r>
      <w:r w:rsidR="005D352A" w:rsidRPr="00154D8C">
        <w:rPr>
          <w:rFonts w:ascii="Times New Roman" w:hAnsi="Times New Roman" w:cs="Times New Roman"/>
          <w:sz w:val="24"/>
          <w:szCs w:val="24"/>
          <w:lang w:val="sq-AL"/>
        </w:rPr>
        <w:t>t ndërkombëtarë, në veçanti me Bankën Botërore, Fondin Monet</w:t>
      </w:r>
      <w:r w:rsidR="00BC5F1C" w:rsidRPr="00154D8C">
        <w:rPr>
          <w:rFonts w:ascii="Times New Roman" w:hAnsi="Times New Roman" w:cs="Times New Roman"/>
          <w:sz w:val="24"/>
          <w:szCs w:val="24"/>
          <w:lang w:val="sq-AL"/>
        </w:rPr>
        <w:t>ar Ndërkombëtar dhe Bashkimin Ev</w:t>
      </w:r>
      <w:r w:rsidR="005D352A" w:rsidRPr="00154D8C">
        <w:rPr>
          <w:rFonts w:ascii="Times New Roman" w:hAnsi="Times New Roman" w:cs="Times New Roman"/>
          <w:sz w:val="24"/>
          <w:szCs w:val="24"/>
          <w:lang w:val="sq-AL"/>
        </w:rPr>
        <w:t>ropian.</w:t>
      </w:r>
    </w:p>
    <w:p w14:paraId="1CFBB036" w14:textId="509E1174" w:rsidR="00FB6FD2" w:rsidRPr="00154D8C" w:rsidRDefault="003C140E" w:rsidP="00B00915">
      <w:pPr>
        <w:spacing w:after="0"/>
        <w:ind w:right="6"/>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xml:space="preserve">Strategjia e </w:t>
      </w:r>
      <w:r w:rsidR="005D352A" w:rsidRPr="00154D8C">
        <w:rPr>
          <w:rFonts w:ascii="Times New Roman" w:hAnsi="Times New Roman" w:cs="Times New Roman"/>
          <w:sz w:val="24"/>
          <w:szCs w:val="24"/>
          <w:lang w:val="sq-AL"/>
        </w:rPr>
        <w:t>MFP</w:t>
      </w:r>
      <w:r w:rsidRPr="00154D8C">
        <w:rPr>
          <w:rFonts w:ascii="Times New Roman" w:hAnsi="Times New Roman" w:cs="Times New Roman"/>
          <w:sz w:val="24"/>
          <w:szCs w:val="24"/>
          <w:lang w:val="sq-AL"/>
        </w:rPr>
        <w:t>-s</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 xml:space="preserve"> është një nga </w:t>
      </w:r>
      <w:r w:rsidRPr="00154D8C">
        <w:rPr>
          <w:rFonts w:ascii="Times New Roman" w:hAnsi="Times New Roman" w:cs="Times New Roman"/>
          <w:sz w:val="24"/>
          <w:szCs w:val="24"/>
          <w:lang w:val="sq-AL"/>
        </w:rPr>
        <w:t>kat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r </w:t>
      </w:r>
      <w:r w:rsidR="00FB6FD2" w:rsidRPr="00154D8C">
        <w:rPr>
          <w:rFonts w:ascii="Times New Roman" w:hAnsi="Times New Roman" w:cs="Times New Roman"/>
          <w:sz w:val="24"/>
          <w:szCs w:val="24"/>
          <w:lang w:val="sq-AL"/>
        </w:rPr>
        <w:t xml:space="preserve">kushtet e përgjithshme </w:t>
      </w:r>
      <w:r w:rsidRPr="00154D8C">
        <w:rPr>
          <w:rFonts w:ascii="Times New Roman" w:hAnsi="Times New Roman" w:cs="Times New Roman"/>
          <w:sz w:val="24"/>
          <w:szCs w:val="24"/>
          <w:lang w:val="sq-AL"/>
        </w:rPr>
        <w:t>q</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duhet 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plot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soj</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Shqip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ria n</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m</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nyr</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q</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disbursohen fondet e</w:t>
      </w:r>
      <w:r w:rsidR="005D352A" w:rsidRPr="00154D8C">
        <w:rPr>
          <w:rFonts w:ascii="Times New Roman" w:hAnsi="Times New Roman" w:cs="Times New Roman"/>
          <w:sz w:val="24"/>
          <w:szCs w:val="24"/>
          <w:lang w:val="sq-AL"/>
        </w:rPr>
        <w:t xml:space="preserve"> instrumenti</w:t>
      </w:r>
      <w:r w:rsidRPr="00154D8C">
        <w:rPr>
          <w:rFonts w:ascii="Times New Roman" w:hAnsi="Times New Roman" w:cs="Times New Roman"/>
          <w:sz w:val="24"/>
          <w:szCs w:val="24"/>
          <w:lang w:val="sq-AL"/>
        </w:rPr>
        <w:t>t t</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 xml:space="preserve"> </w:t>
      </w:r>
      <w:r w:rsidRPr="00154D8C">
        <w:rPr>
          <w:rFonts w:ascii="Times New Roman" w:hAnsi="Times New Roman" w:cs="Times New Roman"/>
          <w:sz w:val="24"/>
          <w:szCs w:val="24"/>
          <w:lang w:val="sq-AL"/>
        </w:rPr>
        <w:t>Mbështetjes B</w:t>
      </w:r>
      <w:r w:rsidR="005D352A" w:rsidRPr="00154D8C">
        <w:rPr>
          <w:rFonts w:ascii="Times New Roman" w:hAnsi="Times New Roman" w:cs="Times New Roman"/>
          <w:sz w:val="24"/>
          <w:szCs w:val="24"/>
          <w:lang w:val="sq-AL"/>
        </w:rPr>
        <w:t>uxhetore</w:t>
      </w:r>
      <w:r w:rsidR="00FB6FD2" w:rsidRPr="00154D8C">
        <w:rPr>
          <w:rFonts w:ascii="Times New Roman" w:hAnsi="Times New Roman" w:cs="Times New Roman"/>
          <w:sz w:val="24"/>
          <w:szCs w:val="24"/>
          <w:lang w:val="sq-AL"/>
        </w:rPr>
        <w:t>,</w:t>
      </w:r>
      <w:r w:rsidR="005D352A" w:rsidRPr="00154D8C">
        <w:rPr>
          <w:rFonts w:ascii="Times New Roman" w:hAnsi="Times New Roman" w:cs="Times New Roman"/>
          <w:sz w:val="24"/>
          <w:szCs w:val="24"/>
          <w:lang w:val="sq-AL"/>
        </w:rPr>
        <w:t xml:space="preserve"> p</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r t</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 xml:space="preserve"> gjitha Kontratat e Reformave Sektoriale n</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 xml:space="preserve"> Shqip</w:t>
      </w:r>
      <w:r w:rsidR="00F24623" w:rsidRPr="00154D8C">
        <w:rPr>
          <w:rFonts w:ascii="Times New Roman" w:hAnsi="Times New Roman" w:cs="Times New Roman"/>
          <w:sz w:val="24"/>
          <w:szCs w:val="24"/>
          <w:lang w:val="sq-AL"/>
        </w:rPr>
        <w:t>ë</w:t>
      </w:r>
      <w:r w:rsidR="005D352A" w:rsidRPr="00154D8C">
        <w:rPr>
          <w:rFonts w:ascii="Times New Roman" w:hAnsi="Times New Roman" w:cs="Times New Roman"/>
          <w:sz w:val="24"/>
          <w:szCs w:val="24"/>
          <w:lang w:val="sq-AL"/>
        </w:rPr>
        <w:t>ri</w:t>
      </w:r>
      <w:r w:rsidRPr="00154D8C">
        <w:rPr>
          <w:rFonts w:ascii="Times New Roman" w:hAnsi="Times New Roman" w:cs="Times New Roman"/>
          <w:sz w:val="24"/>
          <w:szCs w:val="24"/>
          <w:lang w:val="sq-AL"/>
        </w:rPr>
        <w:t>. 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m</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tep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Strategjia e MFP-s</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2014-2020 </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sht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mb</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shtetur nga Kontratat e Reformave Sektoriale, n</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n IPA 2014 n</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form</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n e Mb</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shtetjes Buxhetore, e cila ka 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rfunduar dhe aktualisht </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sht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pjes</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e Kontrat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 s</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Reform</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 Sektoriale “BE 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Mir</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qeverisjen”. </w:t>
      </w:r>
    </w:p>
    <w:p w14:paraId="704F76CB" w14:textId="0BF11056" w:rsidR="005D352A" w:rsidRPr="00154D8C" w:rsidRDefault="00594CBD" w:rsidP="00B00915">
      <w:pPr>
        <w:shd w:val="clear" w:color="auto" w:fill="FFFFFF"/>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xml:space="preserve">Menaxhimi i Financave Publike </w:t>
      </w:r>
      <w:r w:rsidR="00BC5F1C" w:rsidRPr="00154D8C">
        <w:rPr>
          <w:rFonts w:ascii="Times New Roman" w:hAnsi="Times New Roman" w:cs="Times New Roman"/>
          <w:sz w:val="24"/>
          <w:szCs w:val="24"/>
          <w:lang w:val="sq-AL"/>
        </w:rPr>
        <w:t>është pjesë thelbësore e Kriterit P</w:t>
      </w:r>
      <w:r w:rsidR="005D352A" w:rsidRPr="00154D8C">
        <w:rPr>
          <w:rFonts w:ascii="Times New Roman" w:hAnsi="Times New Roman" w:cs="Times New Roman"/>
          <w:sz w:val="24"/>
          <w:szCs w:val="24"/>
          <w:lang w:val="sq-AL"/>
        </w:rPr>
        <w:t>olitik e lidhur ngushtë me procesin e integrimit në Bashkimin Evropian.</w:t>
      </w:r>
    </w:p>
    <w:p w14:paraId="38CE922F" w14:textId="497A3727" w:rsidR="001B4726" w:rsidRPr="00154D8C" w:rsidRDefault="005D352A" w:rsidP="00B00915">
      <w:pPr>
        <w:shd w:val="clear" w:color="auto" w:fill="FFFFFF"/>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xml:space="preserve">Me </w:t>
      </w:r>
      <w:r w:rsidR="006D4E60">
        <w:rPr>
          <w:rFonts w:ascii="Times New Roman" w:hAnsi="Times New Roman" w:cs="Times New Roman"/>
          <w:sz w:val="24"/>
          <w:szCs w:val="24"/>
          <w:lang w:val="sq-AL"/>
        </w:rPr>
        <w:t>mbajtjen e Konferencës së parë Ndërqeveritare për procesin e negociatave me</w:t>
      </w:r>
      <w:r w:rsidRPr="00154D8C">
        <w:rPr>
          <w:rFonts w:ascii="Times New Roman" w:hAnsi="Times New Roman" w:cs="Times New Roman"/>
          <w:sz w:val="24"/>
          <w:szCs w:val="24"/>
          <w:lang w:val="sq-AL"/>
        </w:rPr>
        <w:t xml:space="preserve"> Bashkimin Evropian në 19 Korrik të 2022, </w:t>
      </w:r>
      <w:r w:rsidR="00594CBD" w:rsidRPr="00154D8C">
        <w:rPr>
          <w:rFonts w:ascii="Times New Roman" w:hAnsi="Times New Roman" w:cs="Times New Roman"/>
          <w:sz w:val="24"/>
          <w:szCs w:val="24"/>
          <w:lang w:val="sq-AL"/>
        </w:rPr>
        <w:t>Menaxhimi i Financave Publike si nj</w:t>
      </w:r>
      <w:r w:rsidR="00F24623" w:rsidRPr="00154D8C">
        <w:rPr>
          <w:rFonts w:ascii="Times New Roman" w:hAnsi="Times New Roman" w:cs="Times New Roman"/>
          <w:sz w:val="24"/>
          <w:szCs w:val="24"/>
          <w:lang w:val="sq-AL"/>
        </w:rPr>
        <w:t>ë</w:t>
      </w:r>
      <w:r w:rsidR="00594CBD" w:rsidRPr="00154D8C">
        <w:rPr>
          <w:rFonts w:ascii="Times New Roman" w:hAnsi="Times New Roman" w:cs="Times New Roman"/>
          <w:sz w:val="24"/>
          <w:szCs w:val="24"/>
          <w:lang w:val="sq-AL"/>
        </w:rPr>
        <w:t xml:space="preserve"> nga parimet e Reform</w:t>
      </w:r>
      <w:r w:rsidR="00F24623" w:rsidRPr="00154D8C">
        <w:rPr>
          <w:rFonts w:ascii="Times New Roman" w:hAnsi="Times New Roman" w:cs="Times New Roman"/>
          <w:sz w:val="24"/>
          <w:szCs w:val="24"/>
          <w:lang w:val="sq-AL"/>
        </w:rPr>
        <w:t>ë</w:t>
      </w:r>
      <w:r w:rsidR="00594CBD" w:rsidRPr="00154D8C">
        <w:rPr>
          <w:rFonts w:ascii="Times New Roman" w:hAnsi="Times New Roman" w:cs="Times New Roman"/>
          <w:sz w:val="24"/>
          <w:szCs w:val="24"/>
          <w:lang w:val="sq-AL"/>
        </w:rPr>
        <w:t xml:space="preserve">s </w:t>
      </w:r>
      <w:r w:rsidRPr="00154D8C">
        <w:rPr>
          <w:rFonts w:ascii="Times New Roman" w:hAnsi="Times New Roman" w:cs="Times New Roman"/>
          <w:sz w:val="24"/>
          <w:szCs w:val="24"/>
          <w:lang w:val="sq-AL"/>
        </w:rPr>
        <w:t xml:space="preserve">në Administratën Publike, është </w:t>
      </w:r>
      <w:r w:rsidR="00271764" w:rsidRPr="00154D8C">
        <w:rPr>
          <w:rFonts w:ascii="Times New Roman" w:hAnsi="Times New Roman" w:cs="Times New Roman"/>
          <w:sz w:val="24"/>
          <w:szCs w:val="24"/>
          <w:lang w:val="sq-AL"/>
        </w:rPr>
        <w:t>nj</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ndër çështjet e para që </w:t>
      </w:r>
      <w:r w:rsidR="00271764" w:rsidRPr="00154D8C">
        <w:rPr>
          <w:rFonts w:ascii="Times New Roman" w:hAnsi="Times New Roman" w:cs="Times New Roman"/>
          <w:sz w:val="24"/>
          <w:szCs w:val="24"/>
          <w:lang w:val="sq-AL"/>
        </w:rPr>
        <w:t xml:space="preserve">u </w:t>
      </w:r>
      <w:r w:rsidRPr="00154D8C">
        <w:rPr>
          <w:rFonts w:ascii="Times New Roman" w:hAnsi="Times New Roman" w:cs="Times New Roman"/>
          <w:sz w:val="24"/>
          <w:szCs w:val="24"/>
          <w:lang w:val="sq-AL"/>
        </w:rPr>
        <w:t>vlerës</w:t>
      </w:r>
      <w:r w:rsidR="00271764" w:rsidRPr="00154D8C">
        <w:rPr>
          <w:rFonts w:ascii="Times New Roman" w:hAnsi="Times New Roman" w:cs="Times New Roman"/>
          <w:sz w:val="24"/>
          <w:szCs w:val="24"/>
          <w:lang w:val="sq-AL"/>
        </w:rPr>
        <w:t>ua</w:t>
      </w:r>
      <w:r w:rsidR="00C76AA6" w:rsidRPr="00154D8C">
        <w:rPr>
          <w:rFonts w:ascii="Times New Roman" w:hAnsi="Times New Roman" w:cs="Times New Roman"/>
          <w:sz w:val="24"/>
          <w:szCs w:val="24"/>
          <w:lang w:val="sq-AL"/>
        </w:rPr>
        <w:t xml:space="preserve"> dhe </w:t>
      </w:r>
      <w:r w:rsidR="007256EE" w:rsidRPr="00154D8C">
        <w:rPr>
          <w:rFonts w:ascii="Times New Roman" w:hAnsi="Times New Roman" w:cs="Times New Roman"/>
          <w:sz w:val="24"/>
          <w:szCs w:val="24"/>
          <w:lang w:val="sq-AL"/>
        </w:rPr>
        <w:t>ë</w:t>
      </w:r>
      <w:r w:rsidR="00C76AA6" w:rsidRPr="00154D8C">
        <w:rPr>
          <w:rFonts w:ascii="Times New Roman" w:hAnsi="Times New Roman" w:cs="Times New Roman"/>
          <w:sz w:val="24"/>
          <w:szCs w:val="24"/>
          <w:lang w:val="sq-AL"/>
        </w:rPr>
        <w:t>sht</w:t>
      </w:r>
      <w:r w:rsidR="007256EE" w:rsidRPr="00154D8C">
        <w:rPr>
          <w:rFonts w:ascii="Times New Roman" w:hAnsi="Times New Roman" w:cs="Times New Roman"/>
          <w:sz w:val="24"/>
          <w:szCs w:val="24"/>
          <w:lang w:val="sq-AL"/>
        </w:rPr>
        <w:t>ë</w:t>
      </w:r>
      <w:r w:rsidR="00C76AA6" w:rsidRPr="00154D8C">
        <w:rPr>
          <w:rFonts w:ascii="Times New Roman" w:hAnsi="Times New Roman" w:cs="Times New Roman"/>
          <w:sz w:val="24"/>
          <w:szCs w:val="24"/>
          <w:lang w:val="sq-AL"/>
        </w:rPr>
        <w:t xml:space="preserve"> pjes</w:t>
      </w:r>
      <w:r w:rsidR="007256EE" w:rsidRPr="00154D8C">
        <w:rPr>
          <w:rFonts w:ascii="Times New Roman" w:hAnsi="Times New Roman" w:cs="Times New Roman"/>
          <w:sz w:val="24"/>
          <w:szCs w:val="24"/>
          <w:lang w:val="sq-AL"/>
        </w:rPr>
        <w:t>ë</w:t>
      </w:r>
      <w:r w:rsidR="00C76AA6" w:rsidRPr="00154D8C">
        <w:rPr>
          <w:rFonts w:ascii="Times New Roman" w:hAnsi="Times New Roman" w:cs="Times New Roman"/>
          <w:sz w:val="24"/>
          <w:szCs w:val="24"/>
          <w:lang w:val="sq-AL"/>
        </w:rPr>
        <w:t xml:space="preserve"> e </w:t>
      </w:r>
      <w:r w:rsidR="001B4726" w:rsidRPr="00154D8C">
        <w:rPr>
          <w:rFonts w:ascii="Times New Roman" w:hAnsi="Times New Roman" w:cs="Times New Roman"/>
          <w:sz w:val="24"/>
          <w:szCs w:val="24"/>
          <w:lang w:val="sq-AL"/>
        </w:rPr>
        <w:t>Udhërrëfyesit për Qeverisjen e Mirë 2030</w:t>
      </w:r>
      <w:r w:rsidRPr="00154D8C">
        <w:rPr>
          <w:rFonts w:ascii="Times New Roman" w:hAnsi="Times New Roman" w:cs="Times New Roman"/>
          <w:sz w:val="24"/>
          <w:szCs w:val="24"/>
          <w:lang w:val="sq-AL"/>
        </w:rPr>
        <w:t>.</w:t>
      </w:r>
    </w:p>
    <w:p w14:paraId="7FD54834" w14:textId="60B9E65B" w:rsidR="00560990" w:rsidRPr="00154D8C" w:rsidRDefault="00560990" w:rsidP="00B00915">
      <w:pPr>
        <w:pStyle w:val="NoSpacing2"/>
        <w:spacing w:line="276" w:lineRule="auto"/>
        <w:jc w:val="both"/>
        <w:rPr>
          <w:rFonts w:ascii="Times New Roman" w:hAnsi="Times New Roman"/>
          <w:sz w:val="24"/>
          <w:szCs w:val="24"/>
          <w:lang w:val="sq-AL"/>
        </w:rPr>
      </w:pPr>
      <w:r w:rsidRPr="00154D8C">
        <w:rPr>
          <w:rFonts w:ascii="Times New Roman" w:hAnsi="Times New Roman"/>
          <w:sz w:val="24"/>
          <w:szCs w:val="24"/>
          <w:lang w:val="sq-AL"/>
        </w:rPr>
        <w:t xml:space="preserve">SSMFP 2023 -2030 paraqet reformat e planifikuara për përmirësimin e sistemeve të Menaxhimit të Financave Publike. Në përputhje me </w:t>
      </w:r>
      <w:r w:rsidR="00462408" w:rsidRPr="00154D8C">
        <w:rPr>
          <w:rFonts w:ascii="Times New Roman" w:hAnsi="Times New Roman"/>
          <w:sz w:val="24"/>
          <w:szCs w:val="24"/>
          <w:lang w:val="sq-AL"/>
        </w:rPr>
        <w:t>Strategjinë Kombëtare për Zhvillim dhe Integrim Evropian (</w:t>
      </w:r>
      <w:r w:rsidRPr="00154D8C">
        <w:rPr>
          <w:rFonts w:ascii="Times New Roman" w:hAnsi="Times New Roman"/>
          <w:sz w:val="24"/>
          <w:szCs w:val="24"/>
          <w:lang w:val="sq-AL"/>
        </w:rPr>
        <w:t>SKZHIE</w:t>
      </w:r>
      <w:r w:rsidR="00462408" w:rsidRPr="00154D8C">
        <w:rPr>
          <w:rFonts w:ascii="Times New Roman" w:hAnsi="Times New Roman"/>
          <w:sz w:val="24"/>
          <w:szCs w:val="24"/>
          <w:lang w:val="sq-AL"/>
        </w:rPr>
        <w:t>)</w:t>
      </w:r>
      <w:r w:rsidRPr="00154D8C">
        <w:rPr>
          <w:rFonts w:ascii="Times New Roman" w:hAnsi="Times New Roman"/>
          <w:sz w:val="24"/>
          <w:szCs w:val="24"/>
          <w:lang w:val="sq-AL"/>
        </w:rPr>
        <w:t xml:space="preserve">, qëllimi i përgjithshëm i strategjisë është të krijojë një sistem të menaxhimit të financave publike që garanton transparencë, llogaridhënie, disiplinë fiskale dhe efikasitet në përdorimin e burimeve publike për ofrimin e shërbimeve </w:t>
      </w:r>
      <w:r w:rsidRPr="00154D8C">
        <w:rPr>
          <w:rFonts w:ascii="Times New Roman" w:hAnsi="Times New Roman"/>
          <w:sz w:val="24"/>
          <w:szCs w:val="24"/>
          <w:lang w:val="sq-AL"/>
        </w:rPr>
        <w:lastRenderedPageBreak/>
        <w:t>publik</w:t>
      </w:r>
      <w:r w:rsidR="007256EE" w:rsidRPr="00154D8C">
        <w:rPr>
          <w:rFonts w:ascii="Times New Roman" w:hAnsi="Times New Roman"/>
          <w:sz w:val="24"/>
          <w:szCs w:val="24"/>
          <w:lang w:val="sq-AL"/>
        </w:rPr>
        <w:t>e të përmirësuara dhe zhvillimin</w:t>
      </w:r>
      <w:r w:rsidRPr="00154D8C">
        <w:rPr>
          <w:rFonts w:ascii="Times New Roman" w:hAnsi="Times New Roman"/>
          <w:sz w:val="24"/>
          <w:szCs w:val="24"/>
          <w:lang w:val="sq-AL"/>
        </w:rPr>
        <w:t xml:space="preserve"> ekonom</w:t>
      </w:r>
      <w:r w:rsidR="000511E9" w:rsidRPr="00154D8C">
        <w:rPr>
          <w:rFonts w:ascii="Times New Roman" w:hAnsi="Times New Roman"/>
          <w:sz w:val="24"/>
          <w:szCs w:val="24"/>
          <w:lang w:val="sq-AL"/>
        </w:rPr>
        <w:t>ik dhe që siguron një integrim t</w:t>
      </w:r>
      <w:r w:rsidR="007256EE" w:rsidRPr="00154D8C">
        <w:rPr>
          <w:rFonts w:ascii="Times New Roman" w:hAnsi="Times New Roman"/>
          <w:sz w:val="24"/>
          <w:szCs w:val="24"/>
          <w:lang w:val="sq-AL"/>
        </w:rPr>
        <w:t>ë</w:t>
      </w:r>
      <w:r w:rsidR="000511E9" w:rsidRPr="00154D8C">
        <w:rPr>
          <w:rFonts w:ascii="Times New Roman" w:hAnsi="Times New Roman"/>
          <w:sz w:val="24"/>
          <w:szCs w:val="24"/>
          <w:lang w:val="sq-AL"/>
        </w:rPr>
        <w:t xml:space="preserve"> leht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të Shqipërisë në Bashkimin Evropian.</w:t>
      </w:r>
    </w:p>
    <w:p w14:paraId="2227BEC8" w14:textId="5E995331" w:rsidR="00C201B5" w:rsidRPr="00154D8C" w:rsidRDefault="00C201B5" w:rsidP="00427182">
      <w:pPr>
        <w:spacing w:after="0" w:line="240" w:lineRule="auto"/>
        <w:jc w:val="both"/>
        <w:rPr>
          <w:rFonts w:ascii="Times New Roman" w:hAnsi="Times New Roman" w:cs="Times New Roman"/>
          <w:sz w:val="24"/>
          <w:szCs w:val="24"/>
          <w:lang w:val="sq-AL"/>
        </w:rPr>
      </w:pPr>
    </w:p>
    <w:p w14:paraId="0A2D66C8" w14:textId="77777777" w:rsidR="00427182" w:rsidRPr="00154D8C" w:rsidRDefault="00427182" w:rsidP="00427182">
      <w:pPr>
        <w:spacing w:after="0" w:line="240" w:lineRule="auto"/>
        <w:jc w:val="both"/>
        <w:rPr>
          <w:rFonts w:ascii="Times New Roman" w:hAnsi="Times New Roman" w:cs="Times New Roman"/>
          <w:sz w:val="24"/>
          <w:szCs w:val="24"/>
          <w:lang w:val="sq-AL"/>
        </w:rPr>
      </w:pPr>
    </w:p>
    <w:p w14:paraId="2C754B03" w14:textId="77777777" w:rsidR="004C6DD9" w:rsidRPr="00154D8C" w:rsidRDefault="004C6DD9" w:rsidP="00154D8C">
      <w:pPr>
        <w:pStyle w:val="ListParagraph"/>
        <w:numPr>
          <w:ilvl w:val="0"/>
          <w:numId w:val="1"/>
        </w:numPr>
        <w:spacing w:after="0" w:line="240" w:lineRule="auto"/>
        <w:ind w:left="450" w:hanging="360"/>
        <w:contextualSpacing w:val="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t>VLERËSIMI I PROJEKTAKTIT NË RAPORT ME PROGRAMIN POLITIK TË KËSHILLIT TË MINISTRAVE, ME PROGRAMIN ANALITIK TË AKTEVE DHE DOKUMENTE TË TJERA POLITIKE</w:t>
      </w:r>
    </w:p>
    <w:p w14:paraId="2AE93577" w14:textId="77777777" w:rsidR="00DF04A1" w:rsidRPr="00154D8C" w:rsidRDefault="00DF04A1" w:rsidP="00427182">
      <w:pPr>
        <w:spacing w:after="0" w:line="240" w:lineRule="auto"/>
        <w:jc w:val="both"/>
        <w:rPr>
          <w:rFonts w:ascii="Times New Roman" w:hAnsi="Times New Roman" w:cs="Times New Roman"/>
          <w:sz w:val="24"/>
          <w:szCs w:val="24"/>
          <w:lang w:val="sq-AL"/>
        </w:rPr>
      </w:pPr>
    </w:p>
    <w:p w14:paraId="5D428017" w14:textId="6703CC4C" w:rsidR="00271764" w:rsidRPr="00154D8C" w:rsidRDefault="00271764" w:rsidP="00B00915">
      <w:pPr>
        <w:pStyle w:val="NoSpacing2"/>
        <w:spacing w:line="276" w:lineRule="auto"/>
        <w:jc w:val="both"/>
        <w:rPr>
          <w:rFonts w:ascii="Times New Roman" w:hAnsi="Times New Roman"/>
          <w:sz w:val="24"/>
          <w:szCs w:val="24"/>
          <w:lang w:val="sq-AL"/>
        </w:rPr>
      </w:pPr>
      <w:r w:rsidRPr="00154D8C">
        <w:rPr>
          <w:rFonts w:ascii="Times New Roman" w:hAnsi="Times New Roman"/>
          <w:sz w:val="24"/>
          <w:szCs w:val="24"/>
          <w:lang w:val="sq-AL"/>
        </w:rPr>
        <w:t>Strategjia Sektoriale p</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r Menaxhimin e Financave Publike </w:t>
      </w:r>
      <w:r w:rsidR="007256EE" w:rsidRPr="00154D8C">
        <w:rPr>
          <w:rFonts w:ascii="Times New Roman" w:hAnsi="Times New Roman"/>
          <w:sz w:val="24"/>
          <w:szCs w:val="24"/>
          <w:lang w:val="sq-AL"/>
        </w:rPr>
        <w:t>ë</w:t>
      </w:r>
      <w:r w:rsidRPr="00154D8C">
        <w:rPr>
          <w:rFonts w:ascii="Times New Roman" w:hAnsi="Times New Roman"/>
          <w:sz w:val="24"/>
          <w:szCs w:val="24"/>
          <w:lang w:val="sq-AL"/>
        </w:rPr>
        <w:t>sht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e parashikuar n</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w:t>
      </w:r>
      <w:r w:rsidR="007256EE" w:rsidRPr="00154D8C">
        <w:rPr>
          <w:rFonts w:ascii="Times New Roman" w:hAnsi="Times New Roman"/>
          <w:b/>
          <w:sz w:val="24"/>
          <w:szCs w:val="24"/>
          <w:lang w:val="sq-AL"/>
        </w:rPr>
        <w:t>Programin e</w:t>
      </w:r>
      <w:r w:rsidRPr="00154D8C">
        <w:rPr>
          <w:rFonts w:ascii="Times New Roman" w:hAnsi="Times New Roman"/>
          <w:b/>
          <w:sz w:val="24"/>
          <w:szCs w:val="24"/>
          <w:lang w:val="sq-AL"/>
        </w:rPr>
        <w:t xml:space="preserve"> Përgjithshëm Analitik të Projektaktev</w:t>
      </w:r>
      <w:r w:rsidRPr="00154D8C">
        <w:rPr>
          <w:rFonts w:ascii="Times New Roman" w:hAnsi="Times New Roman"/>
          <w:b/>
          <w:bCs/>
          <w:sz w:val="24"/>
          <w:szCs w:val="24"/>
          <w:lang w:val="sq-AL"/>
        </w:rPr>
        <w:t>e</w:t>
      </w:r>
      <w:r w:rsidRPr="00154D8C">
        <w:rPr>
          <w:rFonts w:ascii="Times New Roman" w:hAnsi="Times New Roman"/>
          <w:sz w:val="24"/>
          <w:szCs w:val="24"/>
          <w:lang w:val="sq-AL"/>
        </w:rPr>
        <w:t xml:space="preserve"> për vitin 2024. </w:t>
      </w:r>
    </w:p>
    <w:p w14:paraId="4FB4DB9D" w14:textId="5B38CC91" w:rsidR="00DF04A1" w:rsidRPr="00154D8C" w:rsidRDefault="00DF04A1" w:rsidP="00B00915">
      <w:pPr>
        <w:pStyle w:val="NoSpacing2"/>
        <w:spacing w:line="276" w:lineRule="auto"/>
        <w:jc w:val="both"/>
        <w:rPr>
          <w:rFonts w:ascii="Times New Roman" w:hAnsi="Times New Roman"/>
          <w:sz w:val="24"/>
          <w:szCs w:val="24"/>
          <w:lang w:val="sq-AL"/>
        </w:rPr>
      </w:pPr>
      <w:r w:rsidRPr="00154D8C">
        <w:rPr>
          <w:rFonts w:ascii="Times New Roman" w:hAnsi="Times New Roman"/>
          <w:b/>
          <w:sz w:val="24"/>
          <w:szCs w:val="24"/>
          <w:lang w:val="sq-AL"/>
        </w:rPr>
        <w:t>Strategjia Kombëtare për Zhvillim dhe Integrim Evropian 2022-2030</w:t>
      </w:r>
      <w:r w:rsidRPr="00154D8C">
        <w:rPr>
          <w:rFonts w:ascii="Times New Roman" w:hAnsi="Times New Roman"/>
          <w:sz w:val="24"/>
          <w:szCs w:val="24"/>
          <w:lang w:val="sq-AL"/>
        </w:rPr>
        <w:t xml:space="preserve"> (SKZHI III) ka parashikuar drejtimet kryesore n</w:t>
      </w:r>
      <w:r w:rsidR="00F24623" w:rsidRPr="00154D8C">
        <w:rPr>
          <w:rFonts w:ascii="Times New Roman" w:hAnsi="Times New Roman"/>
          <w:sz w:val="24"/>
          <w:szCs w:val="24"/>
          <w:lang w:val="sq-AL"/>
        </w:rPr>
        <w:t>ë</w:t>
      </w:r>
      <w:r w:rsidRPr="00154D8C">
        <w:rPr>
          <w:rFonts w:ascii="Times New Roman" w:hAnsi="Times New Roman"/>
          <w:sz w:val="24"/>
          <w:szCs w:val="24"/>
          <w:lang w:val="sq-AL"/>
        </w:rPr>
        <w:t xml:space="preserve"> lidhje me forcimin e sistemit t</w:t>
      </w:r>
      <w:r w:rsidR="00F24623" w:rsidRPr="00154D8C">
        <w:rPr>
          <w:rFonts w:ascii="Times New Roman" w:hAnsi="Times New Roman"/>
          <w:sz w:val="24"/>
          <w:szCs w:val="24"/>
          <w:lang w:val="sq-AL"/>
        </w:rPr>
        <w:t>ë</w:t>
      </w:r>
      <w:r w:rsidRPr="00154D8C">
        <w:rPr>
          <w:rFonts w:ascii="Times New Roman" w:hAnsi="Times New Roman"/>
          <w:sz w:val="24"/>
          <w:szCs w:val="24"/>
          <w:lang w:val="sq-AL"/>
        </w:rPr>
        <w:t xml:space="preserve"> financave publike. Qëllimi i Politikës: </w:t>
      </w:r>
      <w:r w:rsidRPr="00154D8C">
        <w:rPr>
          <w:rFonts w:ascii="Times New Roman" w:hAnsi="Times New Roman"/>
          <w:bCs/>
          <w:sz w:val="24"/>
          <w:szCs w:val="24"/>
          <w:lang w:val="sq-AL"/>
        </w:rPr>
        <w:t xml:space="preserve">Në seksionin “Fuqizimi i financave publike dhe stabiliteti fiskal” </w:t>
      </w:r>
      <w:r w:rsidRPr="00154D8C">
        <w:rPr>
          <w:rFonts w:ascii="Times New Roman" w:hAnsi="Times New Roman"/>
          <w:sz w:val="24"/>
          <w:szCs w:val="24"/>
          <w:lang w:val="sq-AL"/>
        </w:rPr>
        <w:t>të Strategjisë Kombëtare për Zhvillim dhe Integrimin Europian,</w:t>
      </w:r>
      <w:r w:rsidRPr="00154D8C">
        <w:rPr>
          <w:rFonts w:ascii="Times New Roman" w:hAnsi="Times New Roman"/>
          <w:bCs/>
          <w:sz w:val="24"/>
          <w:szCs w:val="24"/>
          <w:lang w:val="sq-AL"/>
        </w:rPr>
        <w:t xml:space="preserve"> </w:t>
      </w:r>
      <w:r w:rsidRPr="00154D8C">
        <w:rPr>
          <w:rFonts w:ascii="Times New Roman" w:hAnsi="Times New Roman"/>
          <w:sz w:val="24"/>
          <w:szCs w:val="24"/>
          <w:lang w:val="sq-AL"/>
        </w:rPr>
        <w:t>parashikohen çështjet kryesore që lidhen drejtpërdrejtë me financat publike: (1) Menaxhim financiar i matur, efektiv dhe efikas i qeverisjes vendore; (2) Planifikimi dhe mbikëqyrja e investimeve publike; (3) Forcimi dhe zbatimi i sistemit për Kontrollin e Brendshëm Financiar Publik në qeverisjen qendrore dhe vendore.</w:t>
      </w:r>
    </w:p>
    <w:p w14:paraId="6253B606" w14:textId="68FD6BAC" w:rsidR="00DB5FC7" w:rsidRPr="00154D8C" w:rsidRDefault="00DF04A1" w:rsidP="00B00915">
      <w:pPr>
        <w:pStyle w:val="NoSpacing2"/>
        <w:spacing w:line="276" w:lineRule="auto"/>
        <w:jc w:val="both"/>
        <w:rPr>
          <w:rFonts w:ascii="Times New Roman" w:hAnsi="Times New Roman"/>
          <w:sz w:val="24"/>
          <w:szCs w:val="24"/>
          <w:lang w:val="sq-AL"/>
        </w:rPr>
      </w:pPr>
      <w:r w:rsidRPr="00154D8C">
        <w:rPr>
          <w:rFonts w:ascii="Times New Roman" w:hAnsi="Times New Roman"/>
          <w:sz w:val="24"/>
          <w:szCs w:val="24"/>
          <w:lang w:val="sq-AL"/>
        </w:rPr>
        <w:t xml:space="preserve">SSMFP </w:t>
      </w:r>
      <w:r w:rsidR="00F24623" w:rsidRPr="00154D8C">
        <w:rPr>
          <w:rFonts w:ascii="Times New Roman" w:hAnsi="Times New Roman"/>
          <w:sz w:val="24"/>
          <w:szCs w:val="24"/>
          <w:lang w:val="sq-AL"/>
        </w:rPr>
        <w:t>ë</w:t>
      </w:r>
      <w:r w:rsidRPr="00154D8C">
        <w:rPr>
          <w:rFonts w:ascii="Times New Roman" w:hAnsi="Times New Roman"/>
          <w:sz w:val="24"/>
          <w:szCs w:val="24"/>
          <w:lang w:val="sq-AL"/>
        </w:rPr>
        <w:t>sht</w:t>
      </w:r>
      <w:r w:rsidR="00F24623" w:rsidRPr="00154D8C">
        <w:rPr>
          <w:rFonts w:ascii="Times New Roman" w:hAnsi="Times New Roman"/>
          <w:sz w:val="24"/>
          <w:szCs w:val="24"/>
          <w:lang w:val="sq-AL"/>
        </w:rPr>
        <w:t>ë</w:t>
      </w:r>
      <w:r w:rsidRPr="00154D8C">
        <w:rPr>
          <w:rFonts w:ascii="Times New Roman" w:hAnsi="Times New Roman"/>
          <w:sz w:val="24"/>
          <w:szCs w:val="24"/>
          <w:lang w:val="sq-AL"/>
        </w:rPr>
        <w:t xml:space="preserve"> i lidhur me </w:t>
      </w:r>
      <w:r w:rsidRPr="00154D8C">
        <w:rPr>
          <w:rFonts w:ascii="Times New Roman" w:hAnsi="Times New Roman"/>
          <w:b/>
          <w:sz w:val="24"/>
          <w:szCs w:val="24"/>
          <w:lang w:val="sq-AL"/>
        </w:rPr>
        <w:t>Dokumentin e Programit të Qeverisë për mandatin 2021-2025</w:t>
      </w:r>
      <w:r w:rsidRPr="00154D8C">
        <w:rPr>
          <w:rFonts w:ascii="Times New Roman" w:hAnsi="Times New Roman"/>
          <w:sz w:val="24"/>
          <w:szCs w:val="24"/>
          <w:lang w:val="sq-AL"/>
        </w:rPr>
        <w:t>, prioriteti “</w:t>
      </w:r>
      <w:r w:rsidR="005B5FB4" w:rsidRPr="00154D8C">
        <w:rPr>
          <w:rFonts w:ascii="Times New Roman" w:hAnsi="Times New Roman"/>
          <w:sz w:val="24"/>
          <w:szCs w:val="24"/>
          <w:lang w:val="sq-AL"/>
        </w:rPr>
        <w:t>Mirëqenie</w:t>
      </w:r>
      <w:r w:rsidRPr="00154D8C">
        <w:rPr>
          <w:rFonts w:ascii="Times New Roman" w:hAnsi="Times New Roman"/>
          <w:sz w:val="24"/>
          <w:szCs w:val="24"/>
          <w:lang w:val="sq-AL"/>
        </w:rPr>
        <w:t xml:space="preserve"> për të gjithë”. Ky prioritet përfshin mbështetje  dhe angazhim për të siguruar rritje e zhvillim ekonomik për më shumë të ardhura, një jetë dinjitoze e përfshirje në jetën ekonomike për të gjithë qytetarët, duke vënë theksin tek bizneset e vogla, tek familjet produktive, fshati dhe forca punëtore që shtyn përpara zhvillimet pozitive të vendit</w:t>
      </w:r>
      <w:r w:rsidR="00BC5F1C" w:rsidRPr="00154D8C">
        <w:rPr>
          <w:rFonts w:ascii="Times New Roman" w:hAnsi="Times New Roman"/>
          <w:sz w:val="24"/>
          <w:szCs w:val="24"/>
          <w:lang w:val="sq-AL"/>
        </w:rPr>
        <w:t>.</w:t>
      </w:r>
      <w:r w:rsidRPr="00154D8C">
        <w:rPr>
          <w:rFonts w:ascii="Times New Roman" w:hAnsi="Times New Roman"/>
          <w:sz w:val="24"/>
          <w:szCs w:val="24"/>
          <w:lang w:val="sq-AL"/>
        </w:rPr>
        <w:t xml:space="preserve"> Për këtë arsye, Qeveria Shqiptare është e angazhuar fort në drejtim të përmbushjes së objektivave (shënjestrave të mandatit qeverisës 2021-2025) për të siguruar një rritje ekonomike mesatarisht 4.5 % në vit dhe do të mbështesë një rritje edhe më të madhe të pagave në nivel vendi</w:t>
      </w:r>
      <w:r w:rsidR="00DD65F1" w:rsidRPr="00154D8C">
        <w:rPr>
          <w:rFonts w:ascii="Times New Roman" w:hAnsi="Times New Roman"/>
          <w:sz w:val="24"/>
          <w:szCs w:val="24"/>
          <w:lang w:val="sq-AL"/>
        </w:rPr>
        <w:t>.</w:t>
      </w:r>
      <w:r w:rsidRPr="00154D8C">
        <w:rPr>
          <w:rFonts w:ascii="Times New Roman" w:hAnsi="Times New Roman"/>
          <w:sz w:val="24"/>
          <w:szCs w:val="24"/>
          <w:lang w:val="sq-AL"/>
        </w:rPr>
        <w:t xml:space="preserve"> Konsolidim të përshpejtuar fiskal duke synuar borxh nën 60% në fund të mandatit dhe rritje të ardhurave të disponueshme me 20% deri në fund të mandatit.</w:t>
      </w:r>
    </w:p>
    <w:p w14:paraId="54895D8D" w14:textId="1126D5D3" w:rsidR="008A0A67" w:rsidRPr="00154D8C" w:rsidRDefault="00DB5FC7" w:rsidP="00B00915">
      <w:pPr>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 xml:space="preserve">Menaxhimi i Financave Publike është një nga gjashtë fushat nën Reformën e Administratës Publike, nën Grupin (Cluster) 1: Bazat e Procesit të Anëtarësimit. </w:t>
      </w:r>
      <w:r w:rsidR="001B4726" w:rsidRPr="00154D8C">
        <w:rPr>
          <w:rFonts w:ascii="Times New Roman" w:eastAsia="Times New Roman" w:hAnsi="Times New Roman" w:cs="Times New Roman"/>
          <w:sz w:val="24"/>
          <w:szCs w:val="24"/>
          <w:lang w:val="sq-AL"/>
        </w:rPr>
        <w:t xml:space="preserve">Menaxhimi i Financave Publike </w:t>
      </w:r>
      <w:r w:rsidR="007256EE" w:rsidRPr="00154D8C">
        <w:rPr>
          <w:rFonts w:ascii="Times New Roman" w:eastAsia="Times New Roman" w:hAnsi="Times New Roman" w:cs="Times New Roman"/>
          <w:sz w:val="24"/>
          <w:szCs w:val="24"/>
          <w:lang w:val="sq-AL"/>
        </w:rPr>
        <w:t>ë</w:t>
      </w:r>
      <w:r w:rsidR="001B4726" w:rsidRPr="00154D8C">
        <w:rPr>
          <w:rFonts w:ascii="Times New Roman" w:eastAsia="Times New Roman" w:hAnsi="Times New Roman" w:cs="Times New Roman"/>
          <w:sz w:val="24"/>
          <w:szCs w:val="24"/>
          <w:lang w:val="sq-AL"/>
        </w:rPr>
        <w:t>sht</w:t>
      </w:r>
      <w:r w:rsidR="007256EE" w:rsidRPr="00154D8C">
        <w:rPr>
          <w:rFonts w:ascii="Times New Roman" w:eastAsia="Times New Roman" w:hAnsi="Times New Roman" w:cs="Times New Roman"/>
          <w:sz w:val="24"/>
          <w:szCs w:val="24"/>
          <w:lang w:val="sq-AL"/>
        </w:rPr>
        <w:t>ë</w:t>
      </w:r>
      <w:r w:rsidR="001B4726" w:rsidRPr="00154D8C">
        <w:rPr>
          <w:rFonts w:ascii="Times New Roman" w:eastAsia="Times New Roman" w:hAnsi="Times New Roman" w:cs="Times New Roman"/>
          <w:sz w:val="24"/>
          <w:szCs w:val="24"/>
          <w:lang w:val="sq-AL"/>
        </w:rPr>
        <w:t xml:space="preserve"> e pjes</w:t>
      </w:r>
      <w:r w:rsidR="007256EE" w:rsidRPr="00154D8C">
        <w:rPr>
          <w:rFonts w:ascii="Times New Roman" w:eastAsia="Times New Roman" w:hAnsi="Times New Roman" w:cs="Times New Roman"/>
          <w:sz w:val="24"/>
          <w:szCs w:val="24"/>
          <w:lang w:val="sq-AL"/>
        </w:rPr>
        <w:t>ë</w:t>
      </w:r>
      <w:r w:rsidR="001B4726" w:rsidRPr="00154D8C">
        <w:rPr>
          <w:rFonts w:ascii="Times New Roman" w:eastAsia="Times New Roman" w:hAnsi="Times New Roman" w:cs="Times New Roman"/>
          <w:sz w:val="24"/>
          <w:szCs w:val="24"/>
          <w:lang w:val="sq-AL"/>
        </w:rPr>
        <w:t xml:space="preserve"> e </w:t>
      </w:r>
      <w:r w:rsidR="008A0A67" w:rsidRPr="00154D8C">
        <w:rPr>
          <w:rFonts w:ascii="Times New Roman" w:eastAsia="Times New Roman" w:hAnsi="Times New Roman" w:cs="Times New Roman"/>
          <w:b/>
          <w:sz w:val="24"/>
          <w:szCs w:val="24"/>
          <w:lang w:val="sq-AL"/>
        </w:rPr>
        <w:t xml:space="preserve">Udhërrëfyesit për Reformën në Administratën </w:t>
      </w:r>
      <w:r w:rsidR="005B5FB4" w:rsidRPr="00154D8C">
        <w:rPr>
          <w:rFonts w:ascii="Times New Roman" w:eastAsia="Times New Roman" w:hAnsi="Times New Roman" w:cs="Times New Roman"/>
          <w:b/>
          <w:sz w:val="24"/>
          <w:szCs w:val="24"/>
          <w:lang w:val="sq-AL"/>
        </w:rPr>
        <w:t>Publike</w:t>
      </w:r>
      <w:r w:rsidR="008A0A67" w:rsidRPr="00154D8C">
        <w:rPr>
          <w:rFonts w:ascii="Times New Roman" w:eastAsia="Times New Roman" w:hAnsi="Times New Roman" w:cs="Times New Roman"/>
          <w:b/>
          <w:sz w:val="24"/>
          <w:szCs w:val="24"/>
          <w:lang w:val="sq-AL"/>
        </w:rPr>
        <w:t xml:space="preserve"> 2023 – 2030</w:t>
      </w:r>
      <w:r w:rsidR="001B4726" w:rsidRPr="00154D8C">
        <w:rPr>
          <w:rFonts w:ascii="Times New Roman" w:eastAsia="Times New Roman" w:hAnsi="Times New Roman" w:cs="Times New Roman"/>
          <w:sz w:val="24"/>
          <w:szCs w:val="24"/>
          <w:lang w:val="sq-AL"/>
        </w:rPr>
        <w:t xml:space="preserve">. Udhërrëfyesi </w:t>
      </w:r>
      <w:r w:rsidR="008A0A67" w:rsidRPr="00154D8C">
        <w:rPr>
          <w:rFonts w:ascii="Times New Roman" w:eastAsia="Times New Roman" w:hAnsi="Times New Roman" w:cs="Times New Roman"/>
          <w:sz w:val="24"/>
          <w:szCs w:val="24"/>
          <w:lang w:val="sq-AL"/>
        </w:rPr>
        <w:t xml:space="preserve">për Reformën në Administratën </w:t>
      </w:r>
      <w:r w:rsidR="005B5FB4" w:rsidRPr="00154D8C">
        <w:rPr>
          <w:rFonts w:ascii="Times New Roman" w:eastAsia="Times New Roman" w:hAnsi="Times New Roman" w:cs="Times New Roman"/>
          <w:sz w:val="24"/>
          <w:szCs w:val="24"/>
          <w:lang w:val="sq-AL"/>
        </w:rPr>
        <w:t>Publike</w:t>
      </w:r>
      <w:r w:rsidR="008A0A67" w:rsidRPr="00154D8C">
        <w:rPr>
          <w:rFonts w:ascii="Times New Roman" w:eastAsia="Times New Roman" w:hAnsi="Times New Roman" w:cs="Times New Roman"/>
          <w:sz w:val="24"/>
          <w:szCs w:val="24"/>
          <w:lang w:val="sq-AL"/>
        </w:rPr>
        <w:t xml:space="preserve"> 2023 – 2030 është një dokument që mbështet reformën në administratën publike, me një plan masash konkrete prioritare, për periudhën kohore 2023 – 2030. Qëllimi i hartimit të tij është adresimi i sfidave të identifikuara në kuadër të reformës së administratës publike, si dhe prioritizimi i masave në këtë drejtim, për të siguruar përmbushjen e standardeve dhe progresin në procesin e integrimit evropian. Masat prioritare organizohen në 5 shtylla, bazuar në parimet e Bashkimit Evropian mbi administratën publike:</w:t>
      </w:r>
    </w:p>
    <w:p w14:paraId="2EEFE2B1" w14:textId="77777777" w:rsidR="008A0A67" w:rsidRPr="00154D8C" w:rsidRDefault="008A0A67" w:rsidP="00B00915">
      <w:pPr>
        <w:pStyle w:val="ListParagraph"/>
        <w:numPr>
          <w:ilvl w:val="0"/>
          <w:numId w:val="9"/>
        </w:numPr>
        <w:spacing w:after="0"/>
        <w:contextualSpacing w:val="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Zhvillimi dhe koordinimi i politikave;</w:t>
      </w:r>
    </w:p>
    <w:p w14:paraId="43D86E00" w14:textId="77777777" w:rsidR="008A0A67" w:rsidRPr="00154D8C" w:rsidRDefault="008A0A67" w:rsidP="00B00915">
      <w:pPr>
        <w:pStyle w:val="ListParagraph"/>
        <w:numPr>
          <w:ilvl w:val="0"/>
          <w:numId w:val="9"/>
        </w:numPr>
        <w:spacing w:after="0"/>
        <w:contextualSpacing w:val="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Shërbimi civil dhe menaxhimi i burimeve njerëzore;</w:t>
      </w:r>
    </w:p>
    <w:p w14:paraId="6100DDB3" w14:textId="77777777" w:rsidR="008A0A67" w:rsidRPr="00154D8C" w:rsidRDefault="008A0A67" w:rsidP="00B00915">
      <w:pPr>
        <w:pStyle w:val="ListParagraph"/>
        <w:numPr>
          <w:ilvl w:val="0"/>
          <w:numId w:val="9"/>
        </w:numPr>
        <w:spacing w:after="0"/>
        <w:contextualSpacing w:val="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Organizimi, llogaridhënia dhe transparenca;</w:t>
      </w:r>
    </w:p>
    <w:p w14:paraId="794604D9" w14:textId="77777777" w:rsidR="008A0A67" w:rsidRPr="00154D8C" w:rsidRDefault="008A0A67" w:rsidP="00B00915">
      <w:pPr>
        <w:pStyle w:val="ListParagraph"/>
        <w:numPr>
          <w:ilvl w:val="0"/>
          <w:numId w:val="9"/>
        </w:numPr>
        <w:spacing w:after="0"/>
        <w:contextualSpacing w:val="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Ofrimi i shërbimeve;</w:t>
      </w:r>
    </w:p>
    <w:p w14:paraId="0E34FD75" w14:textId="77777777" w:rsidR="008A0A67" w:rsidRPr="00154D8C" w:rsidRDefault="008A0A67" w:rsidP="00B00915">
      <w:pPr>
        <w:pStyle w:val="ListParagraph"/>
        <w:numPr>
          <w:ilvl w:val="0"/>
          <w:numId w:val="9"/>
        </w:numPr>
        <w:spacing w:after="0"/>
        <w:contextualSpacing w:val="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Menaxhimi i financave publike.</w:t>
      </w:r>
    </w:p>
    <w:p w14:paraId="21EC3877" w14:textId="77777777" w:rsidR="008A0A67" w:rsidRPr="00154D8C" w:rsidRDefault="008A0A67" w:rsidP="00B00915">
      <w:pPr>
        <w:spacing w:after="0"/>
        <w:jc w:val="both"/>
        <w:rPr>
          <w:rFonts w:ascii="Times New Roman" w:eastAsia="Times New Roman" w:hAnsi="Times New Roman" w:cs="Times New Roman"/>
          <w:sz w:val="24"/>
          <w:szCs w:val="24"/>
          <w:lang w:val="sq-AL"/>
        </w:rPr>
      </w:pPr>
    </w:p>
    <w:p w14:paraId="2EDCF529" w14:textId="59503D43" w:rsidR="00FF0654" w:rsidRPr="00154D8C" w:rsidRDefault="008A0A67" w:rsidP="00B00915">
      <w:pPr>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lastRenderedPageBreak/>
        <w:t>Në secilën prej shtyllave të mësipërme planifikohen masa në drejtim të: (i) fushave dhe nënfushave / parimeve; (ii) kuadrit</w:t>
      </w:r>
      <w:r w:rsidR="00550561" w:rsidRPr="00154D8C">
        <w:rPr>
          <w:rFonts w:ascii="Times New Roman" w:eastAsia="Times New Roman" w:hAnsi="Times New Roman" w:cs="Times New Roman"/>
          <w:sz w:val="24"/>
          <w:szCs w:val="24"/>
          <w:lang w:val="sq-AL"/>
        </w:rPr>
        <w:t xml:space="preserve"> </w:t>
      </w:r>
      <w:r w:rsidRPr="00154D8C">
        <w:rPr>
          <w:rFonts w:ascii="Times New Roman" w:eastAsia="Times New Roman" w:hAnsi="Times New Roman" w:cs="Times New Roman"/>
          <w:sz w:val="24"/>
          <w:szCs w:val="24"/>
          <w:lang w:val="sq-AL"/>
        </w:rPr>
        <w:t xml:space="preserve">strategjik/legjislativ/institucional; (iii) zbatimit të reformave dhe kapaciteteve </w:t>
      </w:r>
      <w:r w:rsidR="005B5FB4" w:rsidRPr="00154D8C">
        <w:rPr>
          <w:rFonts w:ascii="Times New Roman" w:eastAsia="Times New Roman" w:hAnsi="Times New Roman" w:cs="Times New Roman"/>
          <w:sz w:val="24"/>
          <w:szCs w:val="24"/>
          <w:lang w:val="sq-AL"/>
        </w:rPr>
        <w:t>institucionale</w:t>
      </w:r>
      <w:r w:rsidRPr="00154D8C">
        <w:rPr>
          <w:rFonts w:ascii="Times New Roman" w:eastAsia="Times New Roman" w:hAnsi="Times New Roman" w:cs="Times New Roman"/>
          <w:sz w:val="24"/>
          <w:szCs w:val="24"/>
          <w:lang w:val="sq-AL"/>
        </w:rPr>
        <w:t xml:space="preserve">; (iv) funksionimit dhe performancës së </w:t>
      </w:r>
      <w:r w:rsidR="005B5FB4" w:rsidRPr="00154D8C">
        <w:rPr>
          <w:rFonts w:ascii="Times New Roman" w:eastAsia="Times New Roman" w:hAnsi="Times New Roman" w:cs="Times New Roman"/>
          <w:sz w:val="24"/>
          <w:szCs w:val="24"/>
          <w:lang w:val="sq-AL"/>
        </w:rPr>
        <w:t>administratës</w:t>
      </w:r>
      <w:r w:rsidRPr="00154D8C">
        <w:rPr>
          <w:rFonts w:ascii="Times New Roman" w:eastAsia="Times New Roman" w:hAnsi="Times New Roman" w:cs="Times New Roman"/>
          <w:sz w:val="24"/>
          <w:szCs w:val="24"/>
          <w:lang w:val="sq-AL"/>
        </w:rPr>
        <w:t xml:space="preserve"> publike.</w:t>
      </w:r>
    </w:p>
    <w:p w14:paraId="03DEE2F2" w14:textId="77777777" w:rsidR="008A0A67" w:rsidRPr="00154D8C" w:rsidRDefault="008A0A67" w:rsidP="00B00915">
      <w:pPr>
        <w:spacing w:after="0"/>
        <w:jc w:val="both"/>
        <w:rPr>
          <w:rFonts w:ascii="Times New Roman" w:eastAsia="Times New Roman" w:hAnsi="Times New Roman" w:cs="Times New Roman"/>
          <w:sz w:val="24"/>
          <w:szCs w:val="24"/>
          <w:lang w:val="sq-AL"/>
        </w:rPr>
      </w:pPr>
    </w:p>
    <w:p w14:paraId="3DF2E587" w14:textId="60BD7DCD" w:rsidR="00884AAF" w:rsidRPr="00154D8C" w:rsidRDefault="00FF0654"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MFP si pjesë e Reformës së Administratë</w:t>
      </w:r>
      <w:r w:rsidR="00004134" w:rsidRPr="00154D8C">
        <w:rPr>
          <w:rFonts w:ascii="Times New Roman" w:hAnsi="Times New Roman" w:cs="Times New Roman"/>
          <w:sz w:val="24"/>
          <w:szCs w:val="24"/>
          <w:lang w:val="sq-AL"/>
        </w:rPr>
        <w:t>s Publike në kuadër të Kriterit</w:t>
      </w:r>
      <w:r w:rsidRPr="00154D8C">
        <w:rPr>
          <w:rFonts w:ascii="Times New Roman" w:hAnsi="Times New Roman" w:cs="Times New Roman"/>
          <w:sz w:val="24"/>
          <w:szCs w:val="24"/>
          <w:lang w:val="sq-AL"/>
        </w:rPr>
        <w:t xml:space="preserve"> Polit</w:t>
      </w:r>
      <w:r w:rsidR="00004134" w:rsidRPr="00154D8C">
        <w:rPr>
          <w:rFonts w:ascii="Times New Roman" w:hAnsi="Times New Roman" w:cs="Times New Roman"/>
          <w:sz w:val="24"/>
          <w:szCs w:val="24"/>
          <w:lang w:val="sq-AL"/>
        </w:rPr>
        <w:t>ik</w:t>
      </w:r>
      <w:r w:rsidRPr="00154D8C">
        <w:rPr>
          <w:rFonts w:ascii="Times New Roman" w:hAnsi="Times New Roman" w:cs="Times New Roman"/>
          <w:sz w:val="24"/>
          <w:szCs w:val="24"/>
          <w:lang w:val="sq-AL"/>
        </w:rPr>
        <w:t xml:space="preserve"> është pjesë përbërëse e </w:t>
      </w:r>
      <w:r w:rsidRPr="00154D8C">
        <w:rPr>
          <w:rFonts w:ascii="Times New Roman" w:hAnsi="Times New Roman" w:cs="Times New Roman"/>
          <w:b/>
          <w:sz w:val="24"/>
          <w:szCs w:val="24"/>
          <w:lang w:val="sq-AL"/>
        </w:rPr>
        <w:t>Plani</w:t>
      </w:r>
      <w:r w:rsidR="00550561" w:rsidRPr="00154D8C">
        <w:rPr>
          <w:rFonts w:ascii="Times New Roman" w:hAnsi="Times New Roman" w:cs="Times New Roman"/>
          <w:b/>
          <w:sz w:val="24"/>
          <w:szCs w:val="24"/>
          <w:lang w:val="sq-AL"/>
        </w:rPr>
        <w:t>t</w:t>
      </w:r>
      <w:r w:rsidRPr="00154D8C">
        <w:rPr>
          <w:rFonts w:ascii="Times New Roman" w:hAnsi="Times New Roman" w:cs="Times New Roman"/>
          <w:b/>
          <w:sz w:val="24"/>
          <w:szCs w:val="24"/>
          <w:lang w:val="sq-AL"/>
        </w:rPr>
        <w:t xml:space="preserve"> Kombëtar për Integrimin Evropian</w:t>
      </w:r>
      <w:r w:rsidRPr="00154D8C">
        <w:rPr>
          <w:rFonts w:ascii="Times New Roman" w:hAnsi="Times New Roman" w:cs="Times New Roman"/>
          <w:sz w:val="24"/>
          <w:szCs w:val="24"/>
          <w:lang w:val="sq-AL"/>
        </w:rPr>
        <w:t xml:space="preserve"> (PKIE), i cili synon të bashkërendojë procesin e përafrimit me BE-në duke synuar njëkohësisht përmbushjen e detyrimeve nga Marrëveshja e Stabilizim-Asociimit dhe detyrimet që dalin si pjesë e procesit të anëtarësimit në Bashkimin Evropian. Gjithashtu, ka shumë kapituj që kanë të bëjnë me një fushë specifike të politikës së BE-së, të cilat në të njëjtën kohë janë pjesë e strategjisë së MFP. </w:t>
      </w:r>
    </w:p>
    <w:p w14:paraId="4A4231EB" w14:textId="77777777" w:rsidR="00DB5FC7" w:rsidRPr="00154D8C" w:rsidRDefault="00DB5FC7" w:rsidP="00B00915">
      <w:pPr>
        <w:spacing w:after="0"/>
        <w:jc w:val="both"/>
        <w:rPr>
          <w:rFonts w:ascii="Times New Roman" w:hAnsi="Times New Roman" w:cs="Times New Roman"/>
          <w:sz w:val="24"/>
          <w:szCs w:val="24"/>
          <w:lang w:val="sq-AL"/>
        </w:rPr>
      </w:pPr>
    </w:p>
    <w:p w14:paraId="385EC5D4" w14:textId="77777777" w:rsidR="00DB5FC7" w:rsidRPr="00154D8C" w:rsidRDefault="00DB5FC7" w:rsidP="00B00915">
      <w:pPr>
        <w:spacing w:after="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 xml:space="preserve">Rëndësia e menaxhimit të financave publike vihet në dukje nga përfshirja e çështjeve specifike në </w:t>
      </w:r>
      <w:r w:rsidRPr="00154D8C">
        <w:rPr>
          <w:rFonts w:ascii="Times New Roman" w:eastAsia="Calibri" w:hAnsi="Times New Roman" w:cs="Times New Roman"/>
          <w:b/>
          <w:sz w:val="24"/>
          <w:szCs w:val="24"/>
          <w:lang w:val="sq-AL"/>
        </w:rPr>
        <w:t>dokumentet strategjike/programe, po ashtu edhe pjesë e vlerësimeve</w:t>
      </w:r>
      <w:r w:rsidRPr="00154D8C">
        <w:rPr>
          <w:rFonts w:ascii="Times New Roman" w:eastAsia="Calibri" w:hAnsi="Times New Roman" w:cs="Times New Roman"/>
          <w:sz w:val="24"/>
          <w:szCs w:val="24"/>
          <w:lang w:val="sq-AL"/>
        </w:rPr>
        <w:t xml:space="preserve"> të ndryshme, si:</w:t>
      </w:r>
    </w:p>
    <w:p w14:paraId="26D82824" w14:textId="77777777" w:rsidR="00DB5FC7" w:rsidRPr="00154D8C" w:rsidRDefault="00DB5FC7" w:rsidP="00B00915">
      <w:pPr>
        <w:pStyle w:val="ListParagraph"/>
        <w:numPr>
          <w:ilvl w:val="0"/>
          <w:numId w:val="2"/>
        </w:numPr>
        <w:tabs>
          <w:tab w:val="left" w:pos="567"/>
        </w:tabs>
        <w:spacing w:after="0"/>
        <w:contextualSpacing w:val="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Marrëveshja e Stabilizim Asociimit (MSA) midis BE dhe anëtarëve dhe Republikës së Shqipërisë (2006).</w:t>
      </w:r>
    </w:p>
    <w:p w14:paraId="4D88A38D" w14:textId="77777777" w:rsidR="00DB5FC7" w:rsidRPr="00154D8C" w:rsidRDefault="00DB5FC7" w:rsidP="00B00915">
      <w:pPr>
        <w:pStyle w:val="ListParagraph"/>
        <w:numPr>
          <w:ilvl w:val="0"/>
          <w:numId w:val="2"/>
        </w:numPr>
        <w:tabs>
          <w:tab w:val="left" w:pos="567"/>
        </w:tabs>
        <w:spacing w:after="0"/>
        <w:contextualSpacing w:val="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Marrëveshjet e ratifikimit IPA II dhe IPA III, ku pjesë e tyre janë marrëveshjet e financimit të instrumentit të mbështetjes buxhetore sektoriale.</w:t>
      </w:r>
    </w:p>
    <w:p w14:paraId="0DF73417" w14:textId="77777777" w:rsidR="00DB5FC7" w:rsidRPr="00154D8C" w:rsidRDefault="00DB5FC7" w:rsidP="00B00915">
      <w:pPr>
        <w:pStyle w:val="ListParagraph"/>
        <w:numPr>
          <w:ilvl w:val="0"/>
          <w:numId w:val="2"/>
        </w:numPr>
        <w:tabs>
          <w:tab w:val="left" w:pos="567"/>
        </w:tabs>
        <w:spacing w:after="0"/>
        <w:contextualSpacing w:val="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Vlerësimi i fushës së menaxhimit të financave publike nga SIGMA/OECD.</w:t>
      </w:r>
    </w:p>
    <w:p w14:paraId="5F95FDFE" w14:textId="77777777" w:rsidR="00DB5FC7" w:rsidRPr="00154D8C" w:rsidRDefault="00DB5FC7" w:rsidP="00B00915">
      <w:pPr>
        <w:pStyle w:val="ListParagraph"/>
        <w:numPr>
          <w:ilvl w:val="0"/>
          <w:numId w:val="2"/>
        </w:numPr>
        <w:tabs>
          <w:tab w:val="left" w:pos="567"/>
        </w:tabs>
        <w:spacing w:after="0"/>
        <w:contextualSpacing w:val="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Vlerësimi i Bankës Botërore Llogaridhënia Financiare e Shpenzimeve Publike (PEFA).</w:t>
      </w:r>
    </w:p>
    <w:p w14:paraId="183DD67D" w14:textId="77777777" w:rsidR="00DB5FC7" w:rsidRPr="00154D8C" w:rsidRDefault="00DB5FC7" w:rsidP="00B00915">
      <w:pPr>
        <w:pStyle w:val="ListParagraph"/>
        <w:numPr>
          <w:ilvl w:val="0"/>
          <w:numId w:val="2"/>
        </w:numPr>
        <w:tabs>
          <w:tab w:val="left" w:pos="567"/>
        </w:tabs>
        <w:spacing w:after="0"/>
        <w:contextualSpacing w:val="0"/>
        <w:jc w:val="both"/>
        <w:rPr>
          <w:rFonts w:ascii="Times New Roman" w:eastAsia="Calibri" w:hAnsi="Times New Roman" w:cs="Times New Roman"/>
          <w:sz w:val="24"/>
          <w:szCs w:val="24"/>
          <w:lang w:val="sq-AL"/>
        </w:rPr>
      </w:pPr>
      <w:r w:rsidRPr="00154D8C">
        <w:rPr>
          <w:rFonts w:ascii="Times New Roman" w:eastAsia="Calibri" w:hAnsi="Times New Roman" w:cs="Times New Roman"/>
          <w:sz w:val="24"/>
          <w:szCs w:val="24"/>
          <w:lang w:val="sq-AL"/>
        </w:rPr>
        <w:t>Vlerësimet nga misionet e Fondit Monetar Ndërkombëtar.</w:t>
      </w:r>
    </w:p>
    <w:p w14:paraId="09F16648" w14:textId="77777777" w:rsidR="00C76AA6" w:rsidRPr="00154D8C" w:rsidRDefault="00C76AA6" w:rsidP="00B00915">
      <w:pPr>
        <w:spacing w:after="0"/>
        <w:jc w:val="both"/>
        <w:rPr>
          <w:rFonts w:ascii="Times New Roman" w:hAnsi="Times New Roman" w:cs="Times New Roman"/>
          <w:sz w:val="24"/>
          <w:szCs w:val="24"/>
          <w:lang w:val="sq-AL"/>
        </w:rPr>
      </w:pPr>
    </w:p>
    <w:p w14:paraId="51EC942A" w14:textId="3A30F945" w:rsidR="00C76AA6"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P</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r m</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tep</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r, SSMFP është zhvilluar në përputhje me </w:t>
      </w:r>
      <w:r w:rsidR="001B4726" w:rsidRPr="00154D8C">
        <w:rPr>
          <w:rFonts w:ascii="Times New Roman" w:hAnsi="Times New Roman" w:cs="Times New Roman"/>
          <w:b/>
          <w:sz w:val="24"/>
          <w:szCs w:val="24"/>
          <w:lang w:val="sq-AL"/>
        </w:rPr>
        <w:t>dokumente te tjera strategjike dhe politike</w:t>
      </w:r>
      <w:r w:rsidR="001B4726" w:rsidRPr="00154D8C">
        <w:rPr>
          <w:rFonts w:ascii="Times New Roman" w:hAnsi="Times New Roman" w:cs="Times New Roman"/>
          <w:sz w:val="24"/>
          <w:szCs w:val="24"/>
          <w:lang w:val="sq-AL"/>
        </w:rPr>
        <w:t xml:space="preserve"> si:</w:t>
      </w:r>
    </w:p>
    <w:p w14:paraId="7BFCE1E6" w14:textId="77777777" w:rsidR="00C76AA6"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Ndërsektoriale për Decentralizimin dhe Qeverisjen Lokale 2023-2030</w:t>
      </w:r>
    </w:p>
    <w:p w14:paraId="2F73422C" w14:textId="17982A90" w:rsidR="00C76AA6"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kundër korr</w:t>
      </w:r>
      <w:r w:rsidR="000511E9" w:rsidRPr="00154D8C">
        <w:rPr>
          <w:rFonts w:ascii="Times New Roman" w:hAnsi="Times New Roman" w:cs="Times New Roman"/>
          <w:sz w:val="24"/>
          <w:szCs w:val="24"/>
          <w:lang w:val="sq-AL"/>
        </w:rPr>
        <w:t>upsionit 2024-2030</w:t>
      </w:r>
    </w:p>
    <w:p w14:paraId="73BE5125" w14:textId="423C09B1" w:rsidR="00C76AA6"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Progra</w:t>
      </w:r>
      <w:r w:rsidR="000511E9" w:rsidRPr="00154D8C">
        <w:rPr>
          <w:rFonts w:ascii="Times New Roman" w:hAnsi="Times New Roman" w:cs="Times New Roman"/>
          <w:sz w:val="24"/>
          <w:szCs w:val="24"/>
          <w:lang w:val="sq-AL"/>
        </w:rPr>
        <w:t xml:space="preserve">mi i Statistikave Zyrtare </w:t>
      </w:r>
      <w:r w:rsidRPr="00154D8C">
        <w:rPr>
          <w:rFonts w:ascii="Times New Roman" w:hAnsi="Times New Roman" w:cs="Times New Roman"/>
          <w:sz w:val="24"/>
          <w:szCs w:val="24"/>
          <w:lang w:val="sq-AL"/>
        </w:rPr>
        <w:t>2022–2026</w:t>
      </w:r>
    </w:p>
    <w:p w14:paraId="673BFD5D" w14:textId="00D6E00C" w:rsidR="00C76AA6"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Pro</w:t>
      </w:r>
      <w:r w:rsidR="000511E9" w:rsidRPr="00154D8C">
        <w:rPr>
          <w:rFonts w:ascii="Times New Roman" w:hAnsi="Times New Roman" w:cs="Times New Roman"/>
          <w:sz w:val="24"/>
          <w:szCs w:val="24"/>
          <w:lang w:val="sq-AL"/>
        </w:rPr>
        <w:t xml:space="preserve">grami i </w:t>
      </w:r>
      <w:r w:rsidR="00845815" w:rsidRPr="00154D8C">
        <w:rPr>
          <w:rFonts w:ascii="Times New Roman" w:hAnsi="Times New Roman" w:cs="Times New Roman"/>
          <w:sz w:val="24"/>
          <w:szCs w:val="24"/>
          <w:lang w:val="sq-AL"/>
        </w:rPr>
        <w:t xml:space="preserve">Reformave </w:t>
      </w:r>
      <w:r w:rsidR="000511E9" w:rsidRPr="00154D8C">
        <w:rPr>
          <w:rFonts w:ascii="Times New Roman" w:hAnsi="Times New Roman" w:cs="Times New Roman"/>
          <w:sz w:val="24"/>
          <w:szCs w:val="24"/>
          <w:lang w:val="sq-AL"/>
        </w:rPr>
        <w:t xml:space="preserve">Ekonomike </w:t>
      </w:r>
    </w:p>
    <w:p w14:paraId="0B78E7BC" w14:textId="0373BB9F" w:rsidR="00DB5FC7" w:rsidRPr="00154D8C" w:rsidRDefault="00C76AA6"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Axhenda e Kombeve të Bashkuara 2030 për Zhvillim të Qëndrueshëm</w:t>
      </w:r>
    </w:p>
    <w:p w14:paraId="02AEA13E" w14:textId="0DD717A7"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Afatmesme e të Ardhurave 2022-2026</w:t>
      </w:r>
    </w:p>
    <w:p w14:paraId="006C7E00" w14:textId="77777777"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e Biznesit të Administratës Doganore Shqiptare 2023-2027</w:t>
      </w:r>
    </w:p>
    <w:p w14:paraId="5D2A7B80" w14:textId="40B9102B"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Afatmesme e Menaxhimit të Borxhit 2022-2026</w:t>
      </w:r>
    </w:p>
    <w:p w14:paraId="41D0C27F" w14:textId="2D7D90C7"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Kombëtare për Prokurimin Publik 2020-2023</w:t>
      </w:r>
    </w:p>
    <w:p w14:paraId="00C2698B" w14:textId="77777777"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dhe Plani i Veprimit për Kontabilitetin e Sektorit Publik</w:t>
      </w:r>
    </w:p>
    <w:p w14:paraId="53BBFF7D" w14:textId="5DC3C644" w:rsidR="00F562B1" w:rsidRPr="00154D8C" w:rsidRDefault="00F562B1" w:rsidP="00B00915">
      <w:pPr>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 Strategjia e Zhvillimit e Kontrolli t</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Lart</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t</w:t>
      </w:r>
      <w:r w:rsidR="007256EE"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Shtetit 2023-2027</w:t>
      </w:r>
    </w:p>
    <w:p w14:paraId="5C654AE9" w14:textId="77777777" w:rsidR="00951151" w:rsidRPr="00154D8C" w:rsidRDefault="00951151" w:rsidP="00427182">
      <w:pPr>
        <w:spacing w:after="0" w:line="240" w:lineRule="auto"/>
        <w:jc w:val="both"/>
        <w:rPr>
          <w:rFonts w:ascii="Times New Roman" w:hAnsi="Times New Roman" w:cs="Times New Roman"/>
          <w:sz w:val="24"/>
          <w:szCs w:val="24"/>
          <w:lang w:val="sq-AL"/>
        </w:rPr>
      </w:pPr>
    </w:p>
    <w:p w14:paraId="6B133BC3" w14:textId="77777777" w:rsidR="00427182" w:rsidRPr="00154D8C" w:rsidRDefault="00427182" w:rsidP="00427182">
      <w:pPr>
        <w:spacing w:after="0" w:line="240" w:lineRule="auto"/>
        <w:jc w:val="both"/>
        <w:rPr>
          <w:rFonts w:ascii="Times New Roman" w:hAnsi="Times New Roman" w:cs="Times New Roman"/>
          <w:sz w:val="24"/>
          <w:szCs w:val="24"/>
          <w:lang w:val="sq-AL"/>
        </w:rPr>
      </w:pPr>
    </w:p>
    <w:p w14:paraId="564A3E41" w14:textId="77777777" w:rsidR="00BF24D3" w:rsidRPr="00154D8C" w:rsidRDefault="003E0AAC" w:rsidP="00154D8C">
      <w:pPr>
        <w:numPr>
          <w:ilvl w:val="0"/>
          <w:numId w:val="1"/>
        </w:numPr>
        <w:spacing w:after="0" w:line="240" w:lineRule="auto"/>
        <w:ind w:left="540" w:hanging="45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t>ARGUMENTIMI I PROJEKTAKTIT LIDHUR ME PËRPARËSITË, PROBLEMATIKAT, EFEKTET E PRITSHME</w:t>
      </w:r>
    </w:p>
    <w:p w14:paraId="5BE89F59" w14:textId="77777777" w:rsidR="00427182" w:rsidRPr="00154D8C" w:rsidRDefault="00427182" w:rsidP="00427182">
      <w:pPr>
        <w:pStyle w:val="NoSpacing2"/>
        <w:jc w:val="both"/>
        <w:rPr>
          <w:rFonts w:ascii="Times New Roman" w:hAnsi="Times New Roman"/>
          <w:sz w:val="24"/>
          <w:szCs w:val="24"/>
          <w:lang w:val="sq-AL"/>
        </w:rPr>
      </w:pPr>
    </w:p>
    <w:p w14:paraId="062A53C2" w14:textId="1C4AE77E" w:rsidR="000511E9" w:rsidRPr="00154D8C" w:rsidRDefault="000511E9" w:rsidP="00B00915">
      <w:pPr>
        <w:pStyle w:val="NoSpacing2"/>
        <w:spacing w:line="360" w:lineRule="auto"/>
        <w:jc w:val="both"/>
        <w:rPr>
          <w:rFonts w:ascii="Times New Roman" w:hAnsi="Times New Roman"/>
          <w:sz w:val="24"/>
          <w:szCs w:val="24"/>
          <w:lang w:val="sq-AL"/>
        </w:rPr>
      </w:pPr>
      <w:r w:rsidRPr="00154D8C">
        <w:rPr>
          <w:rFonts w:ascii="Times New Roman" w:hAnsi="Times New Roman"/>
          <w:sz w:val="24"/>
          <w:szCs w:val="24"/>
          <w:lang w:val="sq-AL"/>
        </w:rPr>
        <w:t xml:space="preserve">SSMFP 2023 -2030 paraqet reformat e planifikuara për përmirësimin e sistemeve të Menaxhimit të Financave Publike. Në përputhje me SKZHIE, qëllimi i përgjithshëm i </w:t>
      </w:r>
      <w:r w:rsidRPr="00154D8C">
        <w:rPr>
          <w:rFonts w:ascii="Times New Roman" w:hAnsi="Times New Roman"/>
          <w:sz w:val="24"/>
          <w:szCs w:val="24"/>
          <w:lang w:val="sq-AL"/>
        </w:rPr>
        <w:lastRenderedPageBreak/>
        <w:t>strategjisë është të krijojë një sistem të menaxhimit të financave publike që garanton transparencë, llogaridhënie, disiplinë fiskale dhe efikasitet në përdorimin e burimeve publike për ofrimin e shërbimeve publik</w:t>
      </w:r>
      <w:r w:rsidR="00DB0F4F" w:rsidRPr="00154D8C">
        <w:rPr>
          <w:rFonts w:ascii="Times New Roman" w:hAnsi="Times New Roman"/>
          <w:sz w:val="24"/>
          <w:szCs w:val="24"/>
          <w:lang w:val="sq-AL"/>
        </w:rPr>
        <w:t>e të përmirësuara dhe zhvillimin</w:t>
      </w:r>
      <w:r w:rsidRPr="00154D8C">
        <w:rPr>
          <w:rFonts w:ascii="Times New Roman" w:hAnsi="Times New Roman"/>
          <w:sz w:val="24"/>
          <w:szCs w:val="24"/>
          <w:lang w:val="sq-AL"/>
        </w:rPr>
        <w:t xml:space="preserve"> ekonomik dhe që siguron një integrim 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leht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w:t>
      </w:r>
      <w:r w:rsidR="00B00915">
        <w:rPr>
          <w:rFonts w:ascii="Times New Roman" w:hAnsi="Times New Roman"/>
          <w:sz w:val="24"/>
          <w:szCs w:val="24"/>
          <w:lang w:val="sq-AL"/>
        </w:rPr>
        <w:t xml:space="preserve">dhe të shpejtë </w:t>
      </w:r>
      <w:r w:rsidRPr="00154D8C">
        <w:rPr>
          <w:rFonts w:ascii="Times New Roman" w:hAnsi="Times New Roman"/>
          <w:sz w:val="24"/>
          <w:szCs w:val="24"/>
          <w:lang w:val="sq-AL"/>
        </w:rPr>
        <w:t>të Shqipërisë në Bashkimin Evropian.</w:t>
      </w:r>
    </w:p>
    <w:p w14:paraId="4F9AE02B" w14:textId="44F2F79B" w:rsidR="00614E29" w:rsidRPr="00154D8C" w:rsidRDefault="00DB5FC7" w:rsidP="00B00915">
      <w:pPr>
        <w:spacing w:after="0" w:line="360" w:lineRule="auto"/>
        <w:jc w:val="both"/>
        <w:rPr>
          <w:rFonts w:ascii="Times New Roman" w:hAnsi="Times New Roman" w:cs="Times New Roman"/>
          <w:color w:val="222222"/>
          <w:sz w:val="24"/>
          <w:szCs w:val="24"/>
          <w:lang w:val="sq-AL"/>
        </w:rPr>
      </w:pPr>
      <w:r w:rsidRPr="00154D8C">
        <w:rPr>
          <w:rFonts w:ascii="Times New Roman" w:hAnsi="Times New Roman" w:cs="Times New Roman"/>
          <w:color w:val="222222"/>
          <w:sz w:val="24"/>
          <w:szCs w:val="24"/>
          <w:lang w:val="sq-AL"/>
        </w:rPr>
        <w:t xml:space="preserve">Strategjia </w:t>
      </w:r>
      <w:r w:rsidRPr="00154D8C">
        <w:rPr>
          <w:rFonts w:ascii="Times New Roman" w:hAnsi="Times New Roman" w:cs="Times New Roman"/>
          <w:sz w:val="24"/>
          <w:szCs w:val="24"/>
          <w:lang w:val="sq-AL"/>
        </w:rPr>
        <w:t>Sektoriale e Menaxhimit të Financave Publike</w:t>
      </w:r>
      <w:r w:rsidRPr="00154D8C">
        <w:rPr>
          <w:rFonts w:ascii="Times New Roman" w:hAnsi="Times New Roman" w:cs="Times New Roman"/>
          <w:color w:val="222222"/>
          <w:sz w:val="24"/>
          <w:szCs w:val="24"/>
          <w:lang w:val="sq-AL"/>
        </w:rPr>
        <w:t xml:space="preserve"> (SSMFP), 2019-2022,</w:t>
      </w:r>
      <w:r w:rsidR="000511E9" w:rsidRPr="00154D8C">
        <w:rPr>
          <w:rFonts w:ascii="Times New Roman" w:hAnsi="Times New Roman" w:cs="Times New Roman"/>
          <w:color w:val="222222"/>
          <w:sz w:val="24"/>
          <w:szCs w:val="24"/>
          <w:lang w:val="sq-AL"/>
        </w:rPr>
        <w:t xml:space="preserve"> si dhe plani i veprimit</w:t>
      </w:r>
      <w:r w:rsidRPr="00154D8C">
        <w:rPr>
          <w:rFonts w:ascii="Times New Roman" w:hAnsi="Times New Roman" w:cs="Times New Roman"/>
          <w:color w:val="222222"/>
          <w:sz w:val="24"/>
          <w:szCs w:val="24"/>
          <w:lang w:val="sq-AL"/>
        </w:rPr>
        <w:t xml:space="preserve"> 2020-2022, ka përfunduar në dhjetor 2022. </w:t>
      </w:r>
    </w:p>
    <w:p w14:paraId="05F5FBA9" w14:textId="5AC20F7B" w:rsidR="00B00915" w:rsidRDefault="00DB5FC7" w:rsidP="00B00915">
      <w:pPr>
        <w:spacing w:after="0" w:line="360" w:lineRule="auto"/>
        <w:ind w:right="6"/>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Për të rritur efektivitetin e shpenzimeve buxhetore dhe për të krijuar një mjedis më produktiv për shpenzime në afat të mesëm dhe afatgjatë, vazhdimi i reformave të MFP-së është thelbësor. Për këtë qëllim, do të hartohet dhe miratohet strategjia e tret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për menaxhimin e financave publike, q</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do 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mbuloj</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periudhën 2023 – 2030.</w:t>
      </w:r>
      <w:r w:rsidR="00B00915">
        <w:rPr>
          <w:rFonts w:ascii="Times New Roman" w:hAnsi="Times New Roman" w:cs="Times New Roman"/>
          <w:sz w:val="24"/>
          <w:szCs w:val="24"/>
          <w:lang w:val="sq-AL"/>
        </w:rPr>
        <w:t xml:space="preserve"> </w:t>
      </w:r>
    </w:p>
    <w:p w14:paraId="48C444DB" w14:textId="77777777" w:rsidR="00B00915" w:rsidRPr="00154D8C" w:rsidRDefault="00B00915" w:rsidP="00427182">
      <w:pPr>
        <w:spacing w:after="0" w:line="240" w:lineRule="auto"/>
        <w:jc w:val="both"/>
        <w:rPr>
          <w:rFonts w:ascii="Times New Roman" w:hAnsi="Times New Roman" w:cs="Times New Roman"/>
          <w:sz w:val="24"/>
          <w:szCs w:val="24"/>
          <w:lang w:val="sq-AL"/>
        </w:rPr>
      </w:pPr>
    </w:p>
    <w:p w14:paraId="1A5FC8BF" w14:textId="77777777" w:rsidR="00CB11A8" w:rsidRPr="00154D8C" w:rsidRDefault="00CB11A8" w:rsidP="00154D8C">
      <w:pPr>
        <w:pStyle w:val="ListParagraph"/>
        <w:numPr>
          <w:ilvl w:val="0"/>
          <w:numId w:val="1"/>
        </w:numPr>
        <w:spacing w:after="0" w:line="240" w:lineRule="auto"/>
        <w:ind w:left="540" w:hanging="450"/>
        <w:contextualSpacing w:val="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t>VLERËSIMI I LIGJSHMËRISË, KUSHTETUTSHMËRISË DHE HARMONIZIMI ME LEGJISLACIONIN NË FUQI VENDAS E NDËRKOMBËTAR</w:t>
      </w:r>
    </w:p>
    <w:p w14:paraId="62E08110" w14:textId="77777777" w:rsidR="00427182" w:rsidRPr="00154D8C" w:rsidRDefault="00427182" w:rsidP="00427182">
      <w:pPr>
        <w:spacing w:after="0" w:line="240" w:lineRule="auto"/>
        <w:ind w:right="432"/>
        <w:jc w:val="both"/>
        <w:rPr>
          <w:rFonts w:ascii="Times New Roman" w:hAnsi="Times New Roman" w:cs="Times New Roman"/>
          <w:sz w:val="24"/>
          <w:szCs w:val="24"/>
          <w:lang w:val="sq-AL"/>
        </w:rPr>
      </w:pPr>
    </w:p>
    <w:p w14:paraId="3F6223B6" w14:textId="446DCD9C" w:rsidR="00C479BA" w:rsidRPr="00B00915" w:rsidRDefault="00F24BFD" w:rsidP="00B00915">
      <w:pPr>
        <w:spacing w:after="0"/>
        <w:ind w:right="432"/>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Projekt</w:t>
      </w:r>
      <w:r w:rsidR="00D078D9" w:rsidRPr="00154D8C">
        <w:rPr>
          <w:rFonts w:ascii="Times New Roman" w:hAnsi="Times New Roman" w:cs="Times New Roman"/>
          <w:sz w:val="24"/>
          <w:szCs w:val="24"/>
          <w:lang w:val="sq-AL"/>
        </w:rPr>
        <w:t>vendimi</w:t>
      </w:r>
      <w:r w:rsidRPr="00154D8C">
        <w:rPr>
          <w:rFonts w:ascii="Times New Roman" w:hAnsi="Times New Roman" w:cs="Times New Roman"/>
          <w:sz w:val="24"/>
          <w:szCs w:val="24"/>
          <w:lang w:val="sq-AL"/>
        </w:rPr>
        <w:t>, “</w:t>
      </w:r>
      <w:r w:rsidRPr="00154D8C">
        <w:rPr>
          <w:rFonts w:ascii="Times New Roman" w:hAnsi="Times New Roman" w:cs="Times New Roman"/>
          <w:bCs/>
          <w:sz w:val="24"/>
          <w:szCs w:val="24"/>
          <w:lang w:val="sq-AL"/>
        </w:rPr>
        <w:t xml:space="preserve">Për </w:t>
      </w:r>
      <w:r w:rsidR="00D078D9" w:rsidRPr="00154D8C">
        <w:rPr>
          <w:rFonts w:ascii="Times New Roman" w:hAnsi="Times New Roman" w:cs="Times New Roman"/>
          <w:bCs/>
          <w:sz w:val="24"/>
          <w:szCs w:val="24"/>
          <w:lang w:val="sq-AL"/>
        </w:rPr>
        <w:t>miratimin e Strategjis</w:t>
      </w:r>
      <w:r w:rsidR="000E1B33" w:rsidRPr="00154D8C">
        <w:rPr>
          <w:rFonts w:ascii="Times New Roman" w:hAnsi="Times New Roman" w:cs="Times New Roman"/>
          <w:bCs/>
          <w:sz w:val="24"/>
          <w:szCs w:val="24"/>
          <w:lang w:val="sq-AL"/>
        </w:rPr>
        <w:t>ë</w:t>
      </w:r>
      <w:r w:rsidR="00D078D9" w:rsidRPr="00154D8C">
        <w:rPr>
          <w:rFonts w:ascii="Times New Roman" w:hAnsi="Times New Roman" w:cs="Times New Roman"/>
          <w:bCs/>
          <w:sz w:val="24"/>
          <w:szCs w:val="24"/>
          <w:lang w:val="sq-AL"/>
        </w:rPr>
        <w:t xml:space="preserve"> Sektoriale p</w:t>
      </w:r>
      <w:r w:rsidR="000E1B33" w:rsidRPr="00154D8C">
        <w:rPr>
          <w:rFonts w:ascii="Times New Roman" w:hAnsi="Times New Roman" w:cs="Times New Roman"/>
          <w:bCs/>
          <w:sz w:val="24"/>
          <w:szCs w:val="24"/>
          <w:lang w:val="sq-AL"/>
        </w:rPr>
        <w:t>ë</w:t>
      </w:r>
      <w:r w:rsidR="00D078D9" w:rsidRPr="00154D8C">
        <w:rPr>
          <w:rFonts w:ascii="Times New Roman" w:hAnsi="Times New Roman" w:cs="Times New Roman"/>
          <w:bCs/>
          <w:sz w:val="24"/>
          <w:szCs w:val="24"/>
          <w:lang w:val="sq-AL"/>
        </w:rPr>
        <w:t xml:space="preserve">r Menaxhimin e Financave Publike 2023-2030” </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sht</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 p</w:t>
      </w:r>
      <w:r w:rsidR="00F24623" w:rsidRPr="00154D8C">
        <w:rPr>
          <w:rFonts w:ascii="Times New Roman" w:hAnsi="Times New Roman" w:cs="Times New Roman"/>
          <w:sz w:val="24"/>
          <w:szCs w:val="24"/>
          <w:lang w:val="sq-AL"/>
        </w:rPr>
        <w:t>ë</w:t>
      </w:r>
      <w:r w:rsidRPr="00154D8C">
        <w:rPr>
          <w:rFonts w:ascii="Times New Roman" w:hAnsi="Times New Roman" w:cs="Times New Roman"/>
          <w:sz w:val="24"/>
          <w:szCs w:val="24"/>
          <w:lang w:val="sq-AL"/>
        </w:rPr>
        <w:t xml:space="preserve">rgatitur </w:t>
      </w:r>
      <w:r w:rsidR="00160B43" w:rsidRPr="00154D8C">
        <w:rPr>
          <w:rFonts w:ascii="Times New Roman" w:hAnsi="Times New Roman" w:cs="Times New Roman"/>
          <w:sz w:val="24"/>
          <w:szCs w:val="24"/>
          <w:lang w:val="sq-AL"/>
        </w:rPr>
        <w:t>në mbështetje të nenit 100, të Kushtetutës dhe të nenit 13</w:t>
      </w:r>
      <w:r w:rsidR="00C75CC8" w:rsidRPr="00154D8C">
        <w:rPr>
          <w:rFonts w:ascii="Times New Roman" w:hAnsi="Times New Roman" w:cs="Times New Roman"/>
          <w:sz w:val="24"/>
          <w:szCs w:val="24"/>
          <w:lang w:val="sq-AL"/>
        </w:rPr>
        <w:t>, të ligjit nr.9000, datë 30.1.2003, “Për organizimin dhe funksionimin e Këshillit të Ministrave”</w:t>
      </w:r>
      <w:r w:rsidR="00160B43" w:rsidRPr="00154D8C">
        <w:rPr>
          <w:rFonts w:ascii="Times New Roman" w:hAnsi="Times New Roman" w:cs="Times New Roman"/>
          <w:sz w:val="24"/>
          <w:szCs w:val="24"/>
          <w:lang w:val="sq-AL"/>
        </w:rPr>
        <w:t>.</w:t>
      </w:r>
    </w:p>
    <w:p w14:paraId="59C42E2F" w14:textId="77777777" w:rsidR="00427182" w:rsidRPr="00154D8C" w:rsidRDefault="00427182" w:rsidP="00427182">
      <w:pPr>
        <w:spacing w:after="0" w:line="240" w:lineRule="auto"/>
        <w:jc w:val="both"/>
        <w:rPr>
          <w:rFonts w:ascii="Times New Roman" w:eastAsia="Times New Roman" w:hAnsi="Times New Roman" w:cs="Times New Roman"/>
          <w:color w:val="000000"/>
          <w:sz w:val="24"/>
          <w:szCs w:val="24"/>
          <w:lang w:val="sq-AL"/>
        </w:rPr>
      </w:pPr>
    </w:p>
    <w:p w14:paraId="7875E962" w14:textId="77777777" w:rsidR="005F1004" w:rsidRPr="00154D8C" w:rsidRDefault="005F1004" w:rsidP="00154D8C">
      <w:pPr>
        <w:pStyle w:val="ListParagraph"/>
        <w:numPr>
          <w:ilvl w:val="0"/>
          <w:numId w:val="1"/>
        </w:numPr>
        <w:spacing w:after="0" w:line="240" w:lineRule="auto"/>
        <w:ind w:left="450" w:hanging="360"/>
        <w:contextualSpacing w:val="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t xml:space="preserve">VLERËSIMI I SHKALLËS SË PËRAFRIMIT ME </w:t>
      </w:r>
      <w:r w:rsidRPr="00154D8C">
        <w:rPr>
          <w:rFonts w:ascii="Times New Roman" w:eastAsia="Times New Roman" w:hAnsi="Times New Roman" w:cs="Times New Roman"/>
          <w:b/>
          <w:i/>
          <w:sz w:val="24"/>
          <w:szCs w:val="24"/>
          <w:lang w:val="sq-AL"/>
        </w:rPr>
        <w:t>ACQUIS COMMUNAUTAIRE</w:t>
      </w:r>
      <w:r w:rsidRPr="00154D8C">
        <w:rPr>
          <w:rFonts w:ascii="Times New Roman" w:eastAsia="Times New Roman" w:hAnsi="Times New Roman" w:cs="Times New Roman"/>
          <w:b/>
          <w:sz w:val="24"/>
          <w:szCs w:val="24"/>
          <w:lang w:val="sq-AL"/>
        </w:rPr>
        <w:t xml:space="preserve"> (PËR PROJEKTAK</w:t>
      </w:r>
      <w:r w:rsidR="00F9308E" w:rsidRPr="00154D8C">
        <w:rPr>
          <w:rFonts w:ascii="Times New Roman" w:eastAsia="Times New Roman" w:hAnsi="Times New Roman" w:cs="Times New Roman"/>
          <w:b/>
          <w:sz w:val="24"/>
          <w:szCs w:val="24"/>
          <w:lang w:val="sq-AL"/>
        </w:rPr>
        <w:t>T</w:t>
      </w:r>
      <w:r w:rsidRPr="00154D8C">
        <w:rPr>
          <w:rFonts w:ascii="Times New Roman" w:eastAsia="Times New Roman" w:hAnsi="Times New Roman" w:cs="Times New Roman"/>
          <w:b/>
          <w:sz w:val="24"/>
          <w:szCs w:val="24"/>
          <w:lang w:val="sq-AL"/>
        </w:rPr>
        <w:t>ET NORMATIVE)</w:t>
      </w:r>
    </w:p>
    <w:p w14:paraId="5E874F7B" w14:textId="77777777" w:rsidR="002B0CCD" w:rsidRPr="00154D8C" w:rsidRDefault="002B0CCD" w:rsidP="00427182">
      <w:pPr>
        <w:pStyle w:val="ListParagraph"/>
        <w:spacing w:after="0" w:line="240" w:lineRule="auto"/>
        <w:ind w:left="1080"/>
        <w:contextualSpacing w:val="0"/>
        <w:jc w:val="both"/>
        <w:rPr>
          <w:rFonts w:ascii="Times New Roman" w:eastAsia="Times New Roman" w:hAnsi="Times New Roman" w:cs="Times New Roman"/>
          <w:b/>
          <w:sz w:val="24"/>
          <w:szCs w:val="24"/>
          <w:lang w:val="sq-AL"/>
        </w:rPr>
      </w:pPr>
    </w:p>
    <w:p w14:paraId="3A13B1AE" w14:textId="723FEEFB" w:rsidR="00C064A3" w:rsidRPr="00154D8C" w:rsidRDefault="002A10A4" w:rsidP="00B00915">
      <w:pPr>
        <w:pStyle w:val="ListParagraph"/>
        <w:spacing w:after="0"/>
        <w:ind w:left="1080" w:hanging="1080"/>
        <w:contextualSpacing w:val="0"/>
        <w:jc w:val="both"/>
        <w:rPr>
          <w:rFonts w:ascii="Times New Roman" w:eastAsia="Times New Roman" w:hAnsi="Times New Roman" w:cs="Times New Roman"/>
          <w:bCs/>
          <w:sz w:val="24"/>
          <w:szCs w:val="24"/>
          <w:lang w:val="sq-AL"/>
        </w:rPr>
      </w:pPr>
      <w:r w:rsidRPr="00154D8C">
        <w:rPr>
          <w:rFonts w:ascii="Times New Roman" w:eastAsia="Times New Roman" w:hAnsi="Times New Roman" w:cs="Times New Roman"/>
          <w:bCs/>
          <w:sz w:val="24"/>
          <w:szCs w:val="24"/>
          <w:lang w:val="sq-AL"/>
        </w:rPr>
        <w:t>Projetk</w:t>
      </w:r>
      <w:r w:rsidR="00550561" w:rsidRPr="00154D8C">
        <w:rPr>
          <w:rFonts w:ascii="Times New Roman" w:eastAsia="Times New Roman" w:hAnsi="Times New Roman" w:cs="Times New Roman"/>
          <w:bCs/>
          <w:sz w:val="24"/>
          <w:szCs w:val="24"/>
          <w:lang w:val="sq-AL"/>
        </w:rPr>
        <w:t>vendimi</w:t>
      </w:r>
      <w:r w:rsidRPr="00154D8C">
        <w:rPr>
          <w:rFonts w:ascii="Times New Roman" w:eastAsia="Times New Roman" w:hAnsi="Times New Roman" w:cs="Times New Roman"/>
          <w:bCs/>
          <w:sz w:val="24"/>
          <w:szCs w:val="24"/>
          <w:lang w:val="sq-AL"/>
        </w:rPr>
        <w:t xml:space="preserve"> nuk synon p</w:t>
      </w:r>
      <w:r w:rsidR="004272F0" w:rsidRPr="00154D8C">
        <w:rPr>
          <w:rFonts w:ascii="Times New Roman" w:eastAsia="Times New Roman" w:hAnsi="Times New Roman" w:cs="Times New Roman"/>
          <w:bCs/>
          <w:sz w:val="24"/>
          <w:szCs w:val="24"/>
          <w:lang w:val="sq-AL"/>
        </w:rPr>
        <w:t>ë</w:t>
      </w:r>
      <w:r w:rsidRPr="00154D8C">
        <w:rPr>
          <w:rFonts w:ascii="Times New Roman" w:eastAsia="Times New Roman" w:hAnsi="Times New Roman" w:cs="Times New Roman"/>
          <w:bCs/>
          <w:sz w:val="24"/>
          <w:szCs w:val="24"/>
          <w:lang w:val="sq-AL"/>
        </w:rPr>
        <w:t xml:space="preserve">rafrimin me </w:t>
      </w:r>
      <w:r w:rsidRPr="00154D8C">
        <w:rPr>
          <w:rFonts w:ascii="Times New Roman" w:eastAsia="Times New Roman" w:hAnsi="Times New Roman" w:cs="Times New Roman"/>
          <w:bCs/>
          <w:i/>
          <w:iCs/>
          <w:sz w:val="24"/>
          <w:szCs w:val="24"/>
          <w:lang w:val="sq-AL"/>
        </w:rPr>
        <w:t>Acquis Communautaire</w:t>
      </w:r>
      <w:r w:rsidRPr="00154D8C">
        <w:rPr>
          <w:rFonts w:ascii="Times New Roman" w:eastAsia="Times New Roman" w:hAnsi="Times New Roman" w:cs="Times New Roman"/>
          <w:bCs/>
          <w:sz w:val="24"/>
          <w:szCs w:val="24"/>
          <w:lang w:val="sq-AL"/>
        </w:rPr>
        <w:t>.</w:t>
      </w:r>
    </w:p>
    <w:p w14:paraId="562CA614" w14:textId="77777777" w:rsidR="00427182" w:rsidRPr="00154D8C" w:rsidRDefault="00427182" w:rsidP="00427182">
      <w:pPr>
        <w:pStyle w:val="ListParagraph"/>
        <w:spacing w:after="0" w:line="240" w:lineRule="auto"/>
        <w:ind w:left="1080" w:hanging="1080"/>
        <w:contextualSpacing w:val="0"/>
        <w:jc w:val="both"/>
        <w:rPr>
          <w:rFonts w:ascii="Times New Roman" w:eastAsia="Times New Roman" w:hAnsi="Times New Roman" w:cs="Times New Roman"/>
          <w:bCs/>
          <w:sz w:val="24"/>
          <w:szCs w:val="24"/>
          <w:lang w:val="sq-AL"/>
        </w:rPr>
      </w:pPr>
    </w:p>
    <w:p w14:paraId="09EC216A" w14:textId="77777777" w:rsidR="00427182" w:rsidRPr="00154D8C" w:rsidRDefault="00427182" w:rsidP="00427182">
      <w:pPr>
        <w:pStyle w:val="ListParagraph"/>
        <w:spacing w:after="0" w:line="240" w:lineRule="auto"/>
        <w:ind w:left="1080" w:hanging="1080"/>
        <w:contextualSpacing w:val="0"/>
        <w:jc w:val="both"/>
        <w:rPr>
          <w:rFonts w:ascii="Times New Roman" w:eastAsia="Times New Roman" w:hAnsi="Times New Roman" w:cs="Times New Roman"/>
          <w:bCs/>
          <w:sz w:val="24"/>
          <w:szCs w:val="24"/>
          <w:lang w:val="sq-AL"/>
        </w:rPr>
      </w:pPr>
    </w:p>
    <w:p w14:paraId="3C8F2E69" w14:textId="77777777" w:rsidR="005F1004" w:rsidRPr="00154D8C" w:rsidRDefault="005F1004" w:rsidP="00154D8C">
      <w:pPr>
        <w:numPr>
          <w:ilvl w:val="0"/>
          <w:numId w:val="1"/>
        </w:numPr>
        <w:spacing w:after="0" w:line="240" w:lineRule="auto"/>
        <w:ind w:left="540" w:hanging="45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t>PËRMBLEDHJE SHPJEGUESE E PËRMBAJTJES SË PROJEKTAKTIT</w:t>
      </w:r>
    </w:p>
    <w:p w14:paraId="42CA924F" w14:textId="77777777" w:rsidR="00427182" w:rsidRPr="00154D8C" w:rsidRDefault="00427182" w:rsidP="00427182">
      <w:pPr>
        <w:tabs>
          <w:tab w:val="left" w:pos="2448"/>
        </w:tabs>
        <w:spacing w:after="0" w:line="240" w:lineRule="auto"/>
        <w:jc w:val="both"/>
        <w:rPr>
          <w:rFonts w:ascii="Times New Roman" w:eastAsia="Times New Roman" w:hAnsi="Times New Roman" w:cs="Times New Roman"/>
          <w:sz w:val="24"/>
          <w:szCs w:val="24"/>
          <w:lang w:val="sq-AL"/>
        </w:rPr>
      </w:pPr>
    </w:p>
    <w:p w14:paraId="5BA90C65" w14:textId="657763A9" w:rsidR="002E4886" w:rsidRPr="00154D8C" w:rsidRDefault="00C23771" w:rsidP="00B00915">
      <w:pPr>
        <w:tabs>
          <w:tab w:val="left" w:pos="2448"/>
        </w:tabs>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Shqipëria ka zbatuar me sukses disa reforma të MFP-së gjatë dekadave të fundit. Kjo strategji paraqet një vizion të funksionit të MFP-s</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deri në vitin 2030 dhe një plan veprimi që identifikon një sërë masash dhe aktivitetesh shoqëruese dhe tregues të performancës për të vazhduar reformat në sistemet e MFP-s</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deri në vitin 2026. Kjo strategji fokusohet në përmirësimin e sistemeve të MFP</w:t>
      </w:r>
      <w:r w:rsidR="00DB0F4F" w:rsidRPr="00154D8C">
        <w:rPr>
          <w:rFonts w:ascii="Times New Roman" w:eastAsia="Times New Roman" w:hAnsi="Times New Roman" w:cs="Times New Roman"/>
          <w:sz w:val="24"/>
          <w:szCs w:val="24"/>
          <w:lang w:val="sq-AL"/>
        </w:rPr>
        <w:t>-së</w:t>
      </w:r>
      <w:r w:rsidRPr="00154D8C">
        <w:rPr>
          <w:rFonts w:ascii="Times New Roman" w:eastAsia="Times New Roman" w:hAnsi="Times New Roman" w:cs="Times New Roman"/>
          <w:sz w:val="24"/>
          <w:szCs w:val="24"/>
          <w:lang w:val="sq-AL"/>
        </w:rPr>
        <w:t xml:space="preserve">. </w:t>
      </w:r>
    </w:p>
    <w:p w14:paraId="30D0200A" w14:textId="2049F56E" w:rsidR="00C23771" w:rsidRPr="00154D8C" w:rsidRDefault="00C23771" w:rsidP="00B00915">
      <w:pPr>
        <w:pStyle w:val="NoSpacing2"/>
        <w:spacing w:line="276" w:lineRule="auto"/>
        <w:jc w:val="both"/>
        <w:rPr>
          <w:rFonts w:ascii="Times New Roman" w:hAnsi="Times New Roman"/>
          <w:sz w:val="24"/>
          <w:szCs w:val="24"/>
          <w:lang w:val="sq-AL"/>
        </w:rPr>
      </w:pPr>
      <w:r w:rsidRPr="00154D8C">
        <w:rPr>
          <w:rFonts w:ascii="Times New Roman" w:hAnsi="Times New Roman"/>
          <w:sz w:val="24"/>
          <w:szCs w:val="24"/>
          <w:lang w:val="sq-AL"/>
        </w:rPr>
        <w:t>Në përputhje me SKZHIE, qëllimi i përgjithshëm i strategjisë është të krijojë një sistem të menaxhimit të financave publike që garanton transparencë, llogaridhënie, disiplinë fiskale dhe efikasitet në përdorimin e burimeve publike për ofrimin e shërbimeve publike të përmirësuara dhe zhvillimit ekonomik dhe që siguron një integrim 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leht</w:t>
      </w:r>
      <w:r w:rsidR="007256EE" w:rsidRPr="00154D8C">
        <w:rPr>
          <w:rFonts w:ascii="Times New Roman" w:hAnsi="Times New Roman"/>
          <w:sz w:val="24"/>
          <w:szCs w:val="24"/>
          <w:lang w:val="sq-AL"/>
        </w:rPr>
        <w:t>ë</w:t>
      </w:r>
      <w:r w:rsidRPr="00154D8C">
        <w:rPr>
          <w:rFonts w:ascii="Times New Roman" w:hAnsi="Times New Roman"/>
          <w:sz w:val="24"/>
          <w:szCs w:val="24"/>
          <w:lang w:val="sq-AL"/>
        </w:rPr>
        <w:t xml:space="preserve"> të Shqipërisë në Bashkimin Evropian.</w:t>
      </w:r>
    </w:p>
    <w:p w14:paraId="08E1C293" w14:textId="77777777" w:rsidR="00C23771" w:rsidRPr="00154D8C" w:rsidRDefault="00C23771" w:rsidP="00B00915">
      <w:pPr>
        <w:pStyle w:val="NoSpacing2"/>
        <w:spacing w:line="276" w:lineRule="auto"/>
        <w:jc w:val="both"/>
        <w:rPr>
          <w:rFonts w:ascii="Times New Roman" w:hAnsi="Times New Roman"/>
          <w:sz w:val="24"/>
          <w:szCs w:val="24"/>
          <w:highlight w:val="yellow"/>
          <w:lang w:val="sq-AL"/>
        </w:rPr>
      </w:pPr>
    </w:p>
    <w:p w14:paraId="51E0A047" w14:textId="19FE5E38" w:rsidR="003F0FB4" w:rsidRPr="00154D8C" w:rsidRDefault="00C23771" w:rsidP="00B00915">
      <w:pPr>
        <w:pStyle w:val="NoSpacing2"/>
        <w:spacing w:line="276" w:lineRule="auto"/>
        <w:jc w:val="both"/>
        <w:rPr>
          <w:rFonts w:ascii="Times New Roman" w:hAnsi="Times New Roman"/>
          <w:sz w:val="24"/>
          <w:szCs w:val="24"/>
          <w:lang w:val="sq-AL"/>
        </w:rPr>
      </w:pPr>
      <w:r w:rsidRPr="00154D8C">
        <w:rPr>
          <w:rFonts w:ascii="Times New Roman" w:hAnsi="Times New Roman"/>
          <w:sz w:val="24"/>
          <w:szCs w:val="24"/>
          <w:lang w:val="sq-AL"/>
        </w:rPr>
        <w:t xml:space="preserve">Strategjia </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sht</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 xml:space="preserve"> e strukturuar n</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 xml:space="preserve"> gjasht</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 xml:space="preserve"> </w:t>
      </w:r>
      <w:r w:rsidR="00177FF9" w:rsidRPr="00154D8C">
        <w:rPr>
          <w:rFonts w:ascii="Times New Roman" w:hAnsi="Times New Roman"/>
          <w:sz w:val="24"/>
          <w:szCs w:val="24"/>
          <w:lang w:val="sq-AL"/>
        </w:rPr>
        <w:t>shtylla</w:t>
      </w:r>
      <w:r w:rsidRPr="00154D8C">
        <w:rPr>
          <w:rFonts w:ascii="Times New Roman" w:hAnsi="Times New Roman"/>
          <w:sz w:val="24"/>
          <w:szCs w:val="24"/>
          <w:lang w:val="sq-AL"/>
        </w:rPr>
        <w:t xml:space="preserve">, </w:t>
      </w:r>
      <w:r w:rsidR="003F0FB4" w:rsidRPr="00154D8C">
        <w:rPr>
          <w:rFonts w:ascii="Times New Roman" w:hAnsi="Times New Roman"/>
          <w:sz w:val="24"/>
          <w:szCs w:val="24"/>
          <w:lang w:val="sq-AL"/>
        </w:rPr>
        <w:t>me disa komponent</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 xml:space="preserve"> p</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r secil</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n shtyll</w:t>
      </w:r>
      <w:r w:rsidR="000E1B33" w:rsidRPr="00154D8C">
        <w:rPr>
          <w:rFonts w:ascii="Times New Roman" w:hAnsi="Times New Roman"/>
          <w:sz w:val="24"/>
          <w:szCs w:val="24"/>
          <w:lang w:val="sq-AL"/>
        </w:rPr>
        <w:t>ë</w:t>
      </w:r>
      <w:r w:rsidR="003F0FB4" w:rsidRPr="00154D8C">
        <w:rPr>
          <w:rFonts w:ascii="Times New Roman" w:hAnsi="Times New Roman"/>
          <w:sz w:val="24"/>
          <w:szCs w:val="24"/>
          <w:lang w:val="sq-AL"/>
        </w:rPr>
        <w:t>.</w:t>
      </w:r>
    </w:p>
    <w:p w14:paraId="6F3A7BB4" w14:textId="77777777" w:rsidR="003F0FB4" w:rsidRPr="00154D8C" w:rsidRDefault="003F0FB4" w:rsidP="00427182">
      <w:pPr>
        <w:pStyle w:val="NoSpacing2"/>
        <w:jc w:val="both"/>
        <w:rPr>
          <w:rFonts w:ascii="Times New Roman" w:hAnsi="Times New Roman"/>
          <w:sz w:val="24"/>
          <w:szCs w:val="24"/>
          <w:lang w:val="sq-AL"/>
        </w:rPr>
      </w:pPr>
    </w:p>
    <w:p w14:paraId="7B8CAA57" w14:textId="3171A101" w:rsidR="00C23771"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C23771" w:rsidRPr="00B00915">
        <w:rPr>
          <w:rFonts w:ascii="Times New Roman" w:hAnsi="Times New Roman"/>
          <w:b/>
          <w:sz w:val="24"/>
          <w:szCs w:val="24"/>
          <w:lang w:val="sq-AL"/>
        </w:rPr>
        <w:t xml:space="preserve"> 1:  Programimi makroekonomik dhe monitorimi i riskut.</w:t>
      </w:r>
    </w:p>
    <w:p w14:paraId="70F22D12" w14:textId="5C00DCD2"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 xml:space="preserve">Sistemet për zhvillimin dhe monitorimin e një politike të shëndoshë fiskale të bazuar në rregulla fiskale, parashikime të avancuara makroekonomike dhe praktika solide të </w:t>
      </w:r>
      <w:r w:rsidRPr="00B00915">
        <w:rPr>
          <w:rFonts w:ascii="Times New Roman" w:eastAsia="Times New Roman" w:hAnsi="Times New Roman" w:cs="Times New Roman"/>
          <w:sz w:val="24"/>
          <w:szCs w:val="24"/>
          <w:lang w:val="sq-AL"/>
        </w:rPr>
        <w:lastRenderedPageBreak/>
        <w:t>menaxhimit të riskut fiskal mirëmbahen dhe përmirësohen më tej. Krijohet Këshilli Fiskal.</w:t>
      </w:r>
    </w:p>
    <w:p w14:paraId="5D571720" w14:textId="0131DCD9" w:rsidR="00C23771" w:rsidRPr="00B00915" w:rsidRDefault="00DA3F41"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saj shtylle</w:t>
      </w:r>
      <w:r w:rsidRPr="00B00915">
        <w:rPr>
          <w:rFonts w:ascii="Times New Roman" w:hAnsi="Times New Roman"/>
          <w:sz w:val="24"/>
          <w:szCs w:val="24"/>
          <w:lang w:val="sq-AL"/>
        </w:rPr>
        <w:t xml:space="preserve"> 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16582A67" w14:textId="05D74ADE" w:rsidR="00DA3F41" w:rsidRPr="00B00915" w:rsidRDefault="00DA3F41" w:rsidP="00B00915">
      <w:pPr>
        <w:pStyle w:val="NoSpacing2"/>
        <w:numPr>
          <w:ilvl w:val="0"/>
          <w:numId w:val="3"/>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Programim makroekonomik i matur dhe realist;</w:t>
      </w:r>
    </w:p>
    <w:p w14:paraId="3B56BDF7" w14:textId="23B7D096" w:rsidR="00DA3F41" w:rsidRPr="00B00915" w:rsidRDefault="00DA3F41" w:rsidP="00B00915">
      <w:pPr>
        <w:pStyle w:val="NoSpacing2"/>
        <w:numPr>
          <w:ilvl w:val="0"/>
          <w:numId w:val="3"/>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Krijimi t</w:t>
      </w:r>
      <w:r w:rsidR="007256EE" w:rsidRPr="00B00915">
        <w:rPr>
          <w:rFonts w:ascii="Times New Roman" w:hAnsi="Times New Roman"/>
          <w:sz w:val="24"/>
          <w:szCs w:val="24"/>
          <w:lang w:val="sq-AL"/>
        </w:rPr>
        <w:t>ë</w:t>
      </w:r>
      <w:r w:rsidR="00734B09" w:rsidRPr="00B00915">
        <w:rPr>
          <w:rFonts w:ascii="Times New Roman" w:hAnsi="Times New Roman"/>
          <w:sz w:val="24"/>
          <w:szCs w:val="24"/>
          <w:lang w:val="sq-AL"/>
        </w:rPr>
        <w:t xml:space="preserve"> një Analize gjithëpërfshirëse të Qëndrueshmërisë së B</w:t>
      </w:r>
      <w:r w:rsidRPr="00B00915">
        <w:rPr>
          <w:rFonts w:ascii="Times New Roman" w:hAnsi="Times New Roman"/>
          <w:sz w:val="24"/>
          <w:szCs w:val="24"/>
          <w:lang w:val="sq-AL"/>
        </w:rPr>
        <w:t>orxhit;</w:t>
      </w:r>
    </w:p>
    <w:p w14:paraId="542D726F" w14:textId="0C114342" w:rsidR="00DA3F41" w:rsidRPr="00B00915" w:rsidRDefault="00DA3F41" w:rsidP="00B00915">
      <w:pPr>
        <w:pStyle w:val="NoSpacing2"/>
        <w:numPr>
          <w:ilvl w:val="0"/>
          <w:numId w:val="3"/>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w:t>
      </w:r>
      <w:r w:rsidR="00DB0F4F" w:rsidRPr="00B00915">
        <w:rPr>
          <w:rFonts w:ascii="Times New Roman" w:hAnsi="Times New Roman"/>
          <w:sz w:val="24"/>
          <w:szCs w:val="24"/>
          <w:lang w:val="sq-AL"/>
        </w:rPr>
        <w:t xml:space="preserve"> i</w:t>
      </w:r>
      <w:r w:rsidR="00734B09" w:rsidRPr="00B00915">
        <w:rPr>
          <w:rFonts w:ascii="Times New Roman" w:hAnsi="Times New Roman"/>
          <w:sz w:val="24"/>
          <w:szCs w:val="24"/>
          <w:lang w:val="sq-AL"/>
        </w:rPr>
        <w:t xml:space="preserve"> Risqeve</w:t>
      </w:r>
      <w:r w:rsidRPr="00B00915">
        <w:rPr>
          <w:rFonts w:ascii="Times New Roman" w:hAnsi="Times New Roman"/>
          <w:sz w:val="24"/>
          <w:szCs w:val="24"/>
          <w:lang w:val="sq-AL"/>
        </w:rPr>
        <w:t xml:space="preserve"> Fiskal</w:t>
      </w:r>
      <w:r w:rsidR="00734B09" w:rsidRPr="00B00915">
        <w:rPr>
          <w:rFonts w:ascii="Times New Roman" w:hAnsi="Times New Roman"/>
          <w:sz w:val="24"/>
          <w:szCs w:val="24"/>
          <w:lang w:val="sq-AL"/>
        </w:rPr>
        <w:t>e</w:t>
      </w:r>
      <w:r w:rsidRPr="00B00915">
        <w:rPr>
          <w:rFonts w:ascii="Times New Roman" w:hAnsi="Times New Roman"/>
          <w:sz w:val="24"/>
          <w:szCs w:val="24"/>
          <w:lang w:val="sq-AL"/>
        </w:rPr>
        <w:t>;</w:t>
      </w:r>
    </w:p>
    <w:p w14:paraId="73EDF7A9" w14:textId="2263A5A5" w:rsidR="00DA3F41" w:rsidRPr="00B00915" w:rsidRDefault="00DA3F41" w:rsidP="00B00915">
      <w:pPr>
        <w:pStyle w:val="NoSpacing2"/>
        <w:numPr>
          <w:ilvl w:val="0"/>
          <w:numId w:val="3"/>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Këshilli Fiskal</w:t>
      </w:r>
    </w:p>
    <w:p w14:paraId="5B70566C" w14:textId="77777777" w:rsidR="00DA3F41" w:rsidRPr="00B00915" w:rsidRDefault="00DA3F41" w:rsidP="00B00915">
      <w:pPr>
        <w:pStyle w:val="NoSpacing2"/>
        <w:spacing w:line="276" w:lineRule="auto"/>
        <w:jc w:val="both"/>
        <w:rPr>
          <w:rFonts w:ascii="Times New Roman" w:hAnsi="Times New Roman"/>
          <w:sz w:val="24"/>
          <w:szCs w:val="24"/>
          <w:highlight w:val="yellow"/>
          <w:lang w:val="sq-AL"/>
        </w:rPr>
      </w:pPr>
    </w:p>
    <w:p w14:paraId="2D604A16" w14:textId="296BA5CA" w:rsidR="00C23771"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DA3F41" w:rsidRPr="00B00915">
        <w:rPr>
          <w:rFonts w:ascii="Times New Roman" w:hAnsi="Times New Roman"/>
          <w:b/>
          <w:sz w:val="24"/>
          <w:szCs w:val="24"/>
          <w:lang w:val="sq-AL"/>
        </w:rPr>
        <w:t xml:space="preserve"> 2: Planifikimi i integruar strategjik dhe buxhetor, monitorimi dhe raportimi transparent</w:t>
      </w:r>
    </w:p>
    <w:p w14:paraId="05E1FC3B" w14:textId="77777777"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Ekziston një sistem i avancuar për planifikimin strategjik të integruar dhe planifikimin buxhetor afatmesëm në të gjitha nivelet e qeverisjes. Praktikat për planifikimin e investimeve publike janë të profesionalizuara. Sigurohet monitorim dhe raportim transparent dhe pjesëmarrja e publikut në proceset buxhetore në përputhje me standardet përkatëse.</w:t>
      </w:r>
    </w:p>
    <w:p w14:paraId="77E15FD2" w14:textId="12D4B9A0" w:rsidR="00DC665D" w:rsidRPr="00B00915" w:rsidRDefault="00DC665D"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saj shtylle</w:t>
      </w:r>
      <w:r w:rsidRPr="00B00915">
        <w:rPr>
          <w:rFonts w:ascii="Times New Roman" w:hAnsi="Times New Roman"/>
          <w:sz w:val="24"/>
          <w:szCs w:val="24"/>
          <w:lang w:val="sq-AL"/>
        </w:rPr>
        <w:t xml:space="preserve"> 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0EB494F5" w14:textId="45FE09AD" w:rsidR="00DA3F41" w:rsidRPr="00B00915" w:rsidRDefault="00DC665D" w:rsidP="00B00915">
      <w:pPr>
        <w:pStyle w:val="NoSpacing2"/>
        <w:numPr>
          <w:ilvl w:val="0"/>
          <w:numId w:val="4"/>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Planifikimi Strategjik i Integruar;</w:t>
      </w:r>
    </w:p>
    <w:p w14:paraId="322B663D" w14:textId="2E160656" w:rsidR="00DC665D" w:rsidRPr="00B00915" w:rsidRDefault="00DC665D" w:rsidP="00B00915">
      <w:pPr>
        <w:pStyle w:val="NoSpacing2"/>
        <w:numPr>
          <w:ilvl w:val="0"/>
          <w:numId w:val="4"/>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Planifikimi Buxhetor Afatmesëm;</w:t>
      </w:r>
    </w:p>
    <w:p w14:paraId="2B45C151" w14:textId="13172FCE" w:rsidR="00DC665D" w:rsidRPr="00B00915" w:rsidRDefault="00DC665D" w:rsidP="00B00915">
      <w:pPr>
        <w:pStyle w:val="NoSpacing2"/>
        <w:numPr>
          <w:ilvl w:val="0"/>
          <w:numId w:val="4"/>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Investimeve Publike;</w:t>
      </w:r>
    </w:p>
    <w:p w14:paraId="040B1180" w14:textId="67243D4B" w:rsidR="00DC665D" w:rsidRPr="00B00915" w:rsidRDefault="00DC665D" w:rsidP="00B00915">
      <w:pPr>
        <w:pStyle w:val="NoSpacing2"/>
        <w:numPr>
          <w:ilvl w:val="0"/>
          <w:numId w:val="4"/>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Financat Vendore;</w:t>
      </w:r>
    </w:p>
    <w:p w14:paraId="08F1B94E" w14:textId="78D29C02" w:rsidR="00DC665D" w:rsidRPr="00B00915" w:rsidRDefault="00DC665D" w:rsidP="00B00915">
      <w:pPr>
        <w:pStyle w:val="NoSpacing2"/>
        <w:numPr>
          <w:ilvl w:val="0"/>
          <w:numId w:val="4"/>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 xml:space="preserve">Raportimi </w:t>
      </w:r>
      <w:r w:rsidR="00734B09" w:rsidRPr="00B00915">
        <w:rPr>
          <w:rFonts w:ascii="Times New Roman" w:hAnsi="Times New Roman"/>
          <w:sz w:val="24"/>
          <w:szCs w:val="24"/>
          <w:lang w:val="sq-AL"/>
        </w:rPr>
        <w:t xml:space="preserve">dhe Monitorimi </w:t>
      </w:r>
      <w:r w:rsidRPr="00B00915">
        <w:rPr>
          <w:rFonts w:ascii="Times New Roman" w:hAnsi="Times New Roman"/>
          <w:sz w:val="24"/>
          <w:szCs w:val="24"/>
          <w:lang w:val="sq-AL"/>
        </w:rPr>
        <w:t>i Zbatimit të Buxhetit</w:t>
      </w:r>
    </w:p>
    <w:p w14:paraId="1D634CA8" w14:textId="77777777" w:rsidR="00DC665D" w:rsidRPr="00B00915" w:rsidRDefault="00DC665D" w:rsidP="00B00915">
      <w:pPr>
        <w:pStyle w:val="NoSpacing2"/>
        <w:spacing w:line="276" w:lineRule="auto"/>
        <w:jc w:val="both"/>
        <w:rPr>
          <w:rFonts w:ascii="Times New Roman" w:hAnsi="Times New Roman"/>
          <w:sz w:val="24"/>
          <w:szCs w:val="24"/>
          <w:highlight w:val="yellow"/>
          <w:lang w:val="sq-AL"/>
        </w:rPr>
      </w:pPr>
    </w:p>
    <w:p w14:paraId="5BDCC322" w14:textId="6C6BFD0A" w:rsidR="00DC665D"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DC665D" w:rsidRPr="00B00915">
        <w:rPr>
          <w:rFonts w:ascii="Times New Roman" w:hAnsi="Times New Roman"/>
          <w:b/>
          <w:sz w:val="24"/>
          <w:szCs w:val="24"/>
          <w:lang w:val="sq-AL"/>
        </w:rPr>
        <w:t xml:space="preserve"> 3: M</w:t>
      </w:r>
      <w:r w:rsidR="00734B09" w:rsidRPr="00B00915">
        <w:rPr>
          <w:rFonts w:ascii="Times New Roman" w:hAnsi="Times New Roman"/>
          <w:b/>
          <w:sz w:val="24"/>
          <w:szCs w:val="24"/>
          <w:lang w:val="sq-AL"/>
        </w:rPr>
        <w:t xml:space="preserve">enaxhimi dhe mobilizimi </w:t>
      </w:r>
      <w:r w:rsidR="00DC665D" w:rsidRPr="00B00915">
        <w:rPr>
          <w:rFonts w:ascii="Times New Roman" w:hAnsi="Times New Roman"/>
          <w:b/>
          <w:sz w:val="24"/>
          <w:szCs w:val="24"/>
          <w:lang w:val="sq-AL"/>
        </w:rPr>
        <w:t>i të ardhurave</w:t>
      </w:r>
    </w:p>
    <w:p w14:paraId="092D3795" w14:textId="77777777"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Mobilizimi i të ardhurave vendase është rritur përmes zhvillimit dhe zbatimit të politikave të avancuara tatimore; sistemet për menaxhimin e taksave dhe doganave janë përmirësuar më tej dhe aty ku është e aplikueshme janë në përputhje me kërkesat ligjore të BE-së. Strategjia Afatmesme e të Ardhurave zbatohet, përditësohet rregullisht dhe reformat tatimore menaxhohen në mënyrë adekuate.</w:t>
      </w:r>
    </w:p>
    <w:p w14:paraId="2B2F5E95" w14:textId="3B09FC9F" w:rsidR="00F95B40" w:rsidRPr="00B00915" w:rsidRDefault="00F95B40"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saj shtylle</w:t>
      </w:r>
      <w:r w:rsidRPr="00B00915">
        <w:rPr>
          <w:rFonts w:ascii="Times New Roman" w:hAnsi="Times New Roman"/>
          <w:sz w:val="24"/>
          <w:szCs w:val="24"/>
          <w:lang w:val="sq-AL"/>
        </w:rPr>
        <w:t xml:space="preserve"> 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1D3DEE99" w14:textId="1019632A" w:rsidR="00F95B40" w:rsidRPr="00B00915" w:rsidRDefault="00177FF9" w:rsidP="00B00915">
      <w:pPr>
        <w:pStyle w:val="NoSpacing2"/>
        <w:numPr>
          <w:ilvl w:val="0"/>
          <w:numId w:val="5"/>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taksave</w:t>
      </w:r>
      <w:r w:rsidR="00F95B40" w:rsidRPr="00B00915">
        <w:rPr>
          <w:rFonts w:ascii="Times New Roman" w:hAnsi="Times New Roman"/>
          <w:sz w:val="24"/>
          <w:szCs w:val="24"/>
          <w:lang w:val="sq-AL"/>
        </w:rPr>
        <w:t>;</w:t>
      </w:r>
    </w:p>
    <w:p w14:paraId="7E8502A4" w14:textId="50EE1C81" w:rsidR="00F95B40" w:rsidRPr="00B00915" w:rsidRDefault="00F95B40" w:rsidP="00B00915">
      <w:pPr>
        <w:pStyle w:val="NoSpacing2"/>
        <w:numPr>
          <w:ilvl w:val="0"/>
          <w:numId w:val="5"/>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Taks</w:t>
      </w:r>
      <w:r w:rsidR="007256EE" w:rsidRPr="00B00915">
        <w:rPr>
          <w:rFonts w:ascii="Times New Roman" w:hAnsi="Times New Roman"/>
          <w:sz w:val="24"/>
          <w:szCs w:val="24"/>
          <w:lang w:val="sq-AL"/>
        </w:rPr>
        <w:t>ë</w:t>
      </w:r>
      <w:r w:rsidRPr="00B00915">
        <w:rPr>
          <w:rFonts w:ascii="Times New Roman" w:hAnsi="Times New Roman"/>
          <w:sz w:val="24"/>
          <w:szCs w:val="24"/>
          <w:lang w:val="sq-AL"/>
        </w:rPr>
        <w:t>s s</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Pasuris</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253FA508" w14:textId="38D4BD14" w:rsidR="00F95B40" w:rsidRPr="00B00915" w:rsidRDefault="00F95B40" w:rsidP="00B00915">
      <w:pPr>
        <w:pStyle w:val="NoSpacing2"/>
        <w:numPr>
          <w:ilvl w:val="0"/>
          <w:numId w:val="5"/>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Doganor.</w:t>
      </w:r>
    </w:p>
    <w:p w14:paraId="5781AB0C" w14:textId="77777777" w:rsidR="00F95B40" w:rsidRPr="00B00915" w:rsidRDefault="00F95B40" w:rsidP="00B00915">
      <w:pPr>
        <w:pStyle w:val="NoSpacing2"/>
        <w:spacing w:line="276" w:lineRule="auto"/>
        <w:jc w:val="both"/>
        <w:rPr>
          <w:rFonts w:ascii="Times New Roman" w:hAnsi="Times New Roman"/>
          <w:b/>
          <w:sz w:val="24"/>
          <w:szCs w:val="24"/>
          <w:highlight w:val="yellow"/>
          <w:lang w:val="sq-AL"/>
        </w:rPr>
      </w:pPr>
    </w:p>
    <w:p w14:paraId="49E8A1C7" w14:textId="3C26C8FE" w:rsidR="00DC665D"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F95B40" w:rsidRPr="00B00915">
        <w:rPr>
          <w:rFonts w:ascii="Times New Roman" w:hAnsi="Times New Roman"/>
          <w:b/>
          <w:sz w:val="24"/>
          <w:szCs w:val="24"/>
          <w:lang w:val="sq-AL"/>
        </w:rPr>
        <w:t xml:space="preserve"> 4: Kontabiliteti dhe Menaxhimi i Zbatimit të Buxhetit</w:t>
      </w:r>
    </w:p>
    <w:p w14:paraId="306A521A" w14:textId="0A7314ED"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Praktikat e menaxhimit të zbatimit të buxhetit janë forcuar, duke përfshirë përmirësimin dhe rritjen e përdorimit të Sistemit Informativ Financiar Qeveritar (S</w:t>
      </w:r>
      <w:r w:rsidR="009121A7" w:rsidRPr="00B00915">
        <w:rPr>
          <w:rFonts w:ascii="Times New Roman" w:eastAsia="Times New Roman" w:hAnsi="Times New Roman" w:cs="Times New Roman"/>
          <w:sz w:val="24"/>
          <w:szCs w:val="24"/>
          <w:lang w:val="sq-AL"/>
        </w:rPr>
        <w:t>I</w:t>
      </w:r>
      <w:r w:rsidRPr="00B00915">
        <w:rPr>
          <w:rFonts w:ascii="Times New Roman" w:eastAsia="Times New Roman" w:hAnsi="Times New Roman" w:cs="Times New Roman"/>
          <w:sz w:val="24"/>
          <w:szCs w:val="24"/>
          <w:lang w:val="sq-AL"/>
        </w:rPr>
        <w:t>FQ), zbatimin e reformave të Standardeve Ndërkombëtare të Kontabilitetit Publik, duke lehtësuar kalimin në kontabilitetin në bazë të drejtash dhe detyrimesh të konstatuara. Sistemet e prokurimit janë përmirësuar dhe në veçanti është siguruar pajtueshmëria me legjislacionin e prokurimit. Praktikat e menaxhimit të borxhit dhe parasë janë përmirësuar më tej dhe sistemet e menaxhimit të aseteve janë përmirësuar.</w:t>
      </w:r>
    </w:p>
    <w:p w14:paraId="71F39A41" w14:textId="0DB69477" w:rsidR="00F95B40" w:rsidRPr="00B00915" w:rsidRDefault="00F95B40"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saj shtylle</w:t>
      </w:r>
      <w:r w:rsidRPr="00B00915">
        <w:rPr>
          <w:rFonts w:ascii="Times New Roman" w:hAnsi="Times New Roman"/>
          <w:sz w:val="24"/>
          <w:szCs w:val="24"/>
          <w:lang w:val="sq-AL"/>
        </w:rPr>
        <w:t xml:space="preserve"> 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1EF1DCC9" w14:textId="3D662CA9" w:rsidR="00F95B40" w:rsidRPr="00B00915" w:rsidRDefault="00F95B40"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Llogaritë Kombëtare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Qeveris</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2FB2DE23" w14:textId="1F615ED5" w:rsidR="00F95B40" w:rsidRPr="00B00915" w:rsidRDefault="002972CB"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Kontabiliteti;</w:t>
      </w:r>
    </w:p>
    <w:p w14:paraId="2F6111CA" w14:textId="0FA5E24A" w:rsidR="002972CB" w:rsidRPr="00B00915" w:rsidRDefault="002972CB"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lastRenderedPageBreak/>
        <w:t>Prokurimi Publik;</w:t>
      </w:r>
    </w:p>
    <w:p w14:paraId="2A57CEF7" w14:textId="4BBD1360" w:rsidR="002972CB" w:rsidRPr="00B00915" w:rsidRDefault="002972CB"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Borxhit;</w:t>
      </w:r>
    </w:p>
    <w:p w14:paraId="5E18DFE4" w14:textId="3F95124F" w:rsidR="002972CB" w:rsidRPr="00B00915" w:rsidRDefault="002972CB"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Likuiditetit;</w:t>
      </w:r>
    </w:p>
    <w:p w14:paraId="54EC3EE2" w14:textId="141AB596" w:rsidR="002972CB" w:rsidRPr="00B00915" w:rsidRDefault="002972CB" w:rsidP="00B00915">
      <w:pPr>
        <w:pStyle w:val="NoSpacing2"/>
        <w:numPr>
          <w:ilvl w:val="0"/>
          <w:numId w:val="6"/>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Aseteve.</w:t>
      </w:r>
    </w:p>
    <w:p w14:paraId="7910C9CD" w14:textId="77777777" w:rsidR="002972CB" w:rsidRPr="00B00915" w:rsidRDefault="002972CB" w:rsidP="00B00915">
      <w:pPr>
        <w:pStyle w:val="NoSpacing2"/>
        <w:spacing w:line="276" w:lineRule="auto"/>
        <w:ind w:left="720"/>
        <w:jc w:val="both"/>
        <w:rPr>
          <w:rFonts w:ascii="Times New Roman" w:hAnsi="Times New Roman"/>
          <w:sz w:val="24"/>
          <w:szCs w:val="24"/>
          <w:highlight w:val="yellow"/>
          <w:lang w:val="sq-AL"/>
        </w:rPr>
      </w:pPr>
    </w:p>
    <w:p w14:paraId="45CDACCB" w14:textId="0C9C8F41" w:rsidR="00B062FD"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2972CB" w:rsidRPr="00B00915">
        <w:rPr>
          <w:rFonts w:ascii="Times New Roman" w:hAnsi="Times New Roman"/>
          <w:b/>
          <w:sz w:val="24"/>
          <w:szCs w:val="24"/>
          <w:lang w:val="sq-AL"/>
        </w:rPr>
        <w:t xml:space="preserve"> 5: Kontrolli i Brendshëm Financiar Publik</w:t>
      </w:r>
    </w:p>
    <w:p w14:paraId="23291FBA" w14:textId="77777777"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Sistemet për Kontrollin e Brendshëm Financiar Publik janë përmirësuar më tej në përputhje me praktikat e pranuara nga BE-ja për menaxhim të shëndoshë financiar. Koncepti i llogaridhënies menaxheriale dhe delegimit të autoriteteve është forcuar dhe janë adresuar të gjitha mangësitë e Menaxhimit Financiar dhe Kontrollit në institucionet publike. Auditimet e brendshme me vlerë të shtuar zbatohen në të gjitha institucionet publike në përputhje me standardet në fuqi. Rastet e mashtrimit dhe parregullsive trajtohen në mënyrë efektive nga inspektimi financiar publik dhe rrjeti i shërbimit të koordinimit kundër mashtrimit (AFCOS) zbaton strategjinë kundër mashtrimit. Janë krijuar sisteme adekuate të menaxhimit financiar për të absorbuar mbështetjen financiare të IPA-III dhe të ardhshme të BE-së.</w:t>
      </w:r>
    </w:p>
    <w:p w14:paraId="60CDC672" w14:textId="325933E8" w:rsidR="00B062FD" w:rsidRPr="00B00915" w:rsidRDefault="00B062FD"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saj shtylle</w:t>
      </w:r>
      <w:r w:rsidRPr="00B00915">
        <w:rPr>
          <w:rFonts w:ascii="Times New Roman" w:hAnsi="Times New Roman"/>
          <w:sz w:val="24"/>
          <w:szCs w:val="24"/>
          <w:lang w:val="sq-AL"/>
        </w:rPr>
        <w:t xml:space="preserve"> 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3722532B" w14:textId="0D0D2B15" w:rsidR="00B062FD" w:rsidRPr="00B00915" w:rsidRDefault="00B062FD" w:rsidP="00B00915">
      <w:pPr>
        <w:pStyle w:val="NoSpacing2"/>
        <w:numPr>
          <w:ilvl w:val="0"/>
          <w:numId w:val="7"/>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Financiar dhe Kontrolli;</w:t>
      </w:r>
    </w:p>
    <w:p w14:paraId="71921A70" w14:textId="0850A7ED" w:rsidR="00B062FD" w:rsidRPr="00B00915" w:rsidRDefault="00B062FD" w:rsidP="00B00915">
      <w:pPr>
        <w:pStyle w:val="NoSpacing2"/>
        <w:numPr>
          <w:ilvl w:val="0"/>
          <w:numId w:val="7"/>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Auditimi i brendshëm;</w:t>
      </w:r>
    </w:p>
    <w:p w14:paraId="6889C4D2" w14:textId="72742019" w:rsidR="00B062FD" w:rsidRPr="00B00915" w:rsidRDefault="00B062FD" w:rsidP="00B00915">
      <w:pPr>
        <w:pStyle w:val="NoSpacing2"/>
        <w:numPr>
          <w:ilvl w:val="0"/>
          <w:numId w:val="7"/>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Inspektimi Financiar Publik dhe Shërbimet e Koordinimit Kundër Mashtrimit;</w:t>
      </w:r>
    </w:p>
    <w:p w14:paraId="78C552CA" w14:textId="54C6A1AD" w:rsidR="00B062FD" w:rsidRPr="00B00915" w:rsidRDefault="00B062FD" w:rsidP="00B00915">
      <w:pPr>
        <w:pStyle w:val="NoSpacing2"/>
        <w:numPr>
          <w:ilvl w:val="0"/>
          <w:numId w:val="7"/>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Menaxhimi i fondeve të BE-së.</w:t>
      </w:r>
    </w:p>
    <w:p w14:paraId="7371E465" w14:textId="77777777" w:rsidR="00B062FD" w:rsidRPr="00B00915" w:rsidRDefault="00B062FD" w:rsidP="00B00915">
      <w:pPr>
        <w:pStyle w:val="NoSpacing2"/>
        <w:spacing w:line="276" w:lineRule="auto"/>
        <w:jc w:val="both"/>
        <w:rPr>
          <w:rFonts w:ascii="Times New Roman" w:hAnsi="Times New Roman"/>
          <w:sz w:val="24"/>
          <w:szCs w:val="24"/>
          <w:highlight w:val="yellow"/>
          <w:lang w:val="sq-AL"/>
        </w:rPr>
      </w:pPr>
    </w:p>
    <w:p w14:paraId="2BA1B82D" w14:textId="47AC2C14" w:rsidR="002972CB" w:rsidRPr="00B00915" w:rsidRDefault="00177FF9" w:rsidP="00B00915">
      <w:pPr>
        <w:pStyle w:val="NoSpacing2"/>
        <w:spacing w:line="276" w:lineRule="auto"/>
        <w:jc w:val="both"/>
        <w:rPr>
          <w:rFonts w:ascii="Times New Roman" w:hAnsi="Times New Roman"/>
          <w:b/>
          <w:sz w:val="24"/>
          <w:szCs w:val="24"/>
          <w:lang w:val="sq-AL"/>
        </w:rPr>
      </w:pPr>
      <w:r w:rsidRPr="00B00915">
        <w:rPr>
          <w:rFonts w:ascii="Times New Roman" w:hAnsi="Times New Roman"/>
          <w:b/>
          <w:sz w:val="24"/>
          <w:szCs w:val="24"/>
          <w:lang w:val="sq-AL"/>
        </w:rPr>
        <w:t>Shtylla</w:t>
      </w:r>
      <w:r w:rsidR="002972CB" w:rsidRPr="00B00915">
        <w:rPr>
          <w:rFonts w:ascii="Times New Roman" w:hAnsi="Times New Roman"/>
          <w:b/>
          <w:sz w:val="24"/>
          <w:szCs w:val="24"/>
          <w:lang w:val="sq-AL"/>
        </w:rPr>
        <w:t xml:space="preserve"> 6: Mbikëqyrja e Jashtme</w:t>
      </w:r>
    </w:p>
    <w:p w14:paraId="4D4BAF55" w14:textId="77777777" w:rsidR="00683F9B" w:rsidRPr="00B00915" w:rsidRDefault="00683F9B" w:rsidP="00B00915">
      <w:pPr>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Funksioni i pavarur i Kontrollit të Lartë është profesionalizuar më tej në përputhje me parimet e ONISA-s dhe standardet ndërkombëtare të auditimit dhe funksioni mbështetës për parlamentin është forcuar për t'i mundësuar Komisionit Parlamentar për Financat dhe Buxhetin të zbatojë në mënyrë adekuate rolin e tij mbikëqyrës.</w:t>
      </w:r>
    </w:p>
    <w:p w14:paraId="35438934" w14:textId="21016350" w:rsidR="00B062FD" w:rsidRPr="00B00915" w:rsidRDefault="00B062FD"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Komponent</w:t>
      </w:r>
      <w:r w:rsidR="007256EE" w:rsidRPr="00B00915">
        <w:rPr>
          <w:rFonts w:ascii="Times New Roman" w:hAnsi="Times New Roman"/>
          <w:sz w:val="24"/>
          <w:szCs w:val="24"/>
          <w:lang w:val="sq-AL"/>
        </w:rPr>
        <w:t>ë</w:t>
      </w:r>
      <w:r w:rsidRPr="00B00915">
        <w:rPr>
          <w:rFonts w:ascii="Times New Roman" w:hAnsi="Times New Roman"/>
          <w:sz w:val="24"/>
          <w:szCs w:val="24"/>
          <w:lang w:val="sq-AL"/>
        </w:rPr>
        <w:t>t p</w:t>
      </w:r>
      <w:r w:rsidR="007256EE" w:rsidRPr="00B00915">
        <w:rPr>
          <w:rFonts w:ascii="Times New Roman" w:hAnsi="Times New Roman"/>
          <w:sz w:val="24"/>
          <w:szCs w:val="24"/>
          <w:lang w:val="sq-AL"/>
        </w:rPr>
        <w:t>ë</w:t>
      </w:r>
      <w:r w:rsidRPr="00B00915">
        <w:rPr>
          <w:rFonts w:ascii="Times New Roman" w:hAnsi="Times New Roman"/>
          <w:sz w:val="24"/>
          <w:szCs w:val="24"/>
          <w:lang w:val="sq-AL"/>
        </w:rPr>
        <w:t>rb</w:t>
      </w:r>
      <w:r w:rsidR="007256EE" w:rsidRPr="00B00915">
        <w:rPr>
          <w:rFonts w:ascii="Times New Roman" w:hAnsi="Times New Roman"/>
          <w:sz w:val="24"/>
          <w:szCs w:val="24"/>
          <w:lang w:val="sq-AL"/>
        </w:rPr>
        <w:t>ë</w:t>
      </w:r>
      <w:r w:rsidRPr="00B00915">
        <w:rPr>
          <w:rFonts w:ascii="Times New Roman" w:hAnsi="Times New Roman"/>
          <w:sz w:val="24"/>
          <w:szCs w:val="24"/>
          <w:lang w:val="sq-AL"/>
        </w:rPr>
        <w:t>r</w:t>
      </w:r>
      <w:r w:rsidR="007256EE" w:rsidRPr="00B00915">
        <w:rPr>
          <w:rFonts w:ascii="Times New Roman" w:hAnsi="Times New Roman"/>
          <w:sz w:val="24"/>
          <w:szCs w:val="24"/>
          <w:lang w:val="sq-AL"/>
        </w:rPr>
        <w:t>ë</w:t>
      </w:r>
      <w:r w:rsidRPr="00B00915">
        <w:rPr>
          <w:rFonts w:ascii="Times New Roman" w:hAnsi="Times New Roman"/>
          <w:sz w:val="24"/>
          <w:szCs w:val="24"/>
          <w:lang w:val="sq-AL"/>
        </w:rPr>
        <w:t>s t</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k</w:t>
      </w:r>
      <w:r w:rsidR="007256EE" w:rsidRPr="00B00915">
        <w:rPr>
          <w:rFonts w:ascii="Times New Roman" w:hAnsi="Times New Roman"/>
          <w:sz w:val="24"/>
          <w:szCs w:val="24"/>
          <w:lang w:val="sq-AL"/>
        </w:rPr>
        <w:t>ë</w:t>
      </w:r>
      <w:r w:rsidR="00177FF9" w:rsidRPr="00B00915">
        <w:rPr>
          <w:rFonts w:ascii="Times New Roman" w:hAnsi="Times New Roman"/>
          <w:sz w:val="24"/>
          <w:szCs w:val="24"/>
          <w:lang w:val="sq-AL"/>
        </w:rPr>
        <w:t xml:space="preserve">saj shtylle </w:t>
      </w:r>
      <w:r w:rsidRPr="00B00915">
        <w:rPr>
          <w:rFonts w:ascii="Times New Roman" w:hAnsi="Times New Roman"/>
          <w:sz w:val="24"/>
          <w:szCs w:val="24"/>
          <w:lang w:val="sq-AL"/>
        </w:rPr>
        <w:t>jan</w:t>
      </w:r>
      <w:r w:rsidR="007256EE" w:rsidRPr="00B00915">
        <w:rPr>
          <w:rFonts w:ascii="Times New Roman" w:hAnsi="Times New Roman"/>
          <w:sz w:val="24"/>
          <w:szCs w:val="24"/>
          <w:lang w:val="sq-AL"/>
        </w:rPr>
        <w:t>ë</w:t>
      </w:r>
      <w:r w:rsidRPr="00B00915">
        <w:rPr>
          <w:rFonts w:ascii="Times New Roman" w:hAnsi="Times New Roman"/>
          <w:sz w:val="24"/>
          <w:szCs w:val="24"/>
          <w:lang w:val="sq-AL"/>
        </w:rPr>
        <w:t>:</w:t>
      </w:r>
    </w:p>
    <w:p w14:paraId="1C9FA686" w14:textId="1124CBBF" w:rsidR="00B062FD" w:rsidRPr="00B00915" w:rsidRDefault="00B062FD" w:rsidP="00B00915">
      <w:pPr>
        <w:pStyle w:val="NoSpacing2"/>
        <w:numPr>
          <w:ilvl w:val="0"/>
          <w:numId w:val="8"/>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Auditimi i Jashtëm</w:t>
      </w:r>
      <w:r w:rsidR="00F2073B" w:rsidRPr="00B00915">
        <w:rPr>
          <w:rFonts w:ascii="Times New Roman" w:hAnsi="Times New Roman"/>
          <w:sz w:val="24"/>
          <w:szCs w:val="24"/>
          <w:lang w:val="sq-AL"/>
        </w:rPr>
        <w:t>;</w:t>
      </w:r>
    </w:p>
    <w:p w14:paraId="42960AB0" w14:textId="2ED2F319" w:rsidR="00F2073B" w:rsidRPr="00B00915" w:rsidRDefault="00F2073B" w:rsidP="00B00915">
      <w:pPr>
        <w:pStyle w:val="NoSpacing2"/>
        <w:numPr>
          <w:ilvl w:val="0"/>
          <w:numId w:val="8"/>
        </w:numPr>
        <w:spacing w:line="276" w:lineRule="auto"/>
        <w:jc w:val="both"/>
        <w:rPr>
          <w:rFonts w:ascii="Times New Roman" w:hAnsi="Times New Roman"/>
          <w:sz w:val="24"/>
          <w:szCs w:val="24"/>
          <w:lang w:val="sq-AL"/>
        </w:rPr>
      </w:pPr>
      <w:r w:rsidRPr="00B00915">
        <w:rPr>
          <w:rFonts w:ascii="Times New Roman" w:hAnsi="Times New Roman"/>
          <w:sz w:val="24"/>
          <w:szCs w:val="24"/>
          <w:lang w:val="sq-AL"/>
        </w:rPr>
        <w:t>Mbikëqyrja Parlamentare;</w:t>
      </w:r>
    </w:p>
    <w:p w14:paraId="40A70F85" w14:textId="77777777" w:rsidR="00B062FD" w:rsidRPr="00B00915" w:rsidRDefault="00B062FD" w:rsidP="00B00915">
      <w:pPr>
        <w:pStyle w:val="NoSpacing2"/>
        <w:spacing w:line="276" w:lineRule="auto"/>
        <w:ind w:left="720"/>
        <w:jc w:val="both"/>
        <w:rPr>
          <w:rFonts w:ascii="Times New Roman" w:hAnsi="Times New Roman"/>
          <w:sz w:val="24"/>
          <w:szCs w:val="24"/>
          <w:highlight w:val="yellow"/>
          <w:lang w:val="sq-AL"/>
        </w:rPr>
      </w:pPr>
    </w:p>
    <w:p w14:paraId="77E3FA54" w14:textId="19C00527" w:rsidR="00F2073B" w:rsidRPr="00B00915" w:rsidRDefault="00F2073B"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Kapitulli 9 i strategjis</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 p</w:t>
      </w:r>
      <w:r w:rsidR="007256EE" w:rsidRPr="00B00915">
        <w:rPr>
          <w:rFonts w:ascii="Times New Roman" w:hAnsi="Times New Roman"/>
          <w:sz w:val="24"/>
          <w:szCs w:val="24"/>
          <w:lang w:val="sq-AL"/>
        </w:rPr>
        <w:t>ë</w:t>
      </w:r>
      <w:r w:rsidRPr="00B00915">
        <w:rPr>
          <w:rFonts w:ascii="Times New Roman" w:hAnsi="Times New Roman"/>
          <w:sz w:val="24"/>
          <w:szCs w:val="24"/>
          <w:lang w:val="sq-AL"/>
        </w:rPr>
        <w:t xml:space="preserve">rfshin </w:t>
      </w:r>
      <w:r w:rsidR="00D412D8" w:rsidRPr="00B00915">
        <w:rPr>
          <w:rFonts w:ascii="Times New Roman" w:hAnsi="Times New Roman"/>
          <w:sz w:val="24"/>
          <w:szCs w:val="24"/>
          <w:lang w:val="sq-AL"/>
        </w:rPr>
        <w:t>kuadrin institucional për monitorimin dhe raportimin</w:t>
      </w:r>
      <w:r w:rsidRPr="00B00915">
        <w:rPr>
          <w:rFonts w:ascii="Times New Roman" w:hAnsi="Times New Roman"/>
          <w:sz w:val="24"/>
          <w:szCs w:val="24"/>
          <w:lang w:val="sq-AL"/>
        </w:rPr>
        <w:t>.</w:t>
      </w:r>
    </w:p>
    <w:p w14:paraId="2BA20E75" w14:textId="77777777" w:rsidR="00F2073B" w:rsidRPr="00B00915" w:rsidRDefault="00F2073B" w:rsidP="00B00915">
      <w:pPr>
        <w:pStyle w:val="NoSpacing2"/>
        <w:spacing w:line="276" w:lineRule="auto"/>
        <w:jc w:val="both"/>
        <w:rPr>
          <w:rFonts w:ascii="Times New Roman" w:hAnsi="Times New Roman"/>
          <w:sz w:val="24"/>
          <w:szCs w:val="24"/>
          <w:lang w:val="sq-AL"/>
        </w:rPr>
      </w:pPr>
    </w:p>
    <w:p w14:paraId="021F3D7E" w14:textId="77777777" w:rsidR="00D412D8" w:rsidRPr="00B00915" w:rsidRDefault="00F2073B"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Kapitulli 10 p</w:t>
      </w:r>
      <w:r w:rsidR="007256EE" w:rsidRPr="00B00915">
        <w:rPr>
          <w:rFonts w:ascii="Times New Roman" w:hAnsi="Times New Roman"/>
          <w:sz w:val="24"/>
          <w:szCs w:val="24"/>
          <w:lang w:val="sq-AL"/>
        </w:rPr>
        <w:t>ë</w:t>
      </w:r>
      <w:r w:rsidRPr="00B00915">
        <w:rPr>
          <w:rFonts w:ascii="Times New Roman" w:hAnsi="Times New Roman"/>
          <w:sz w:val="24"/>
          <w:szCs w:val="24"/>
          <w:lang w:val="sq-AL"/>
        </w:rPr>
        <w:t>rfshin risqet dhe mazat zbut</w:t>
      </w:r>
      <w:r w:rsidR="007256EE" w:rsidRPr="00B00915">
        <w:rPr>
          <w:rFonts w:ascii="Times New Roman" w:hAnsi="Times New Roman"/>
          <w:sz w:val="24"/>
          <w:szCs w:val="24"/>
          <w:lang w:val="sq-AL"/>
        </w:rPr>
        <w:t>ë</w:t>
      </w:r>
      <w:r w:rsidRPr="00B00915">
        <w:rPr>
          <w:rFonts w:ascii="Times New Roman" w:hAnsi="Times New Roman"/>
          <w:sz w:val="24"/>
          <w:szCs w:val="24"/>
          <w:lang w:val="sq-AL"/>
        </w:rPr>
        <w:t>se</w:t>
      </w:r>
      <w:r w:rsidR="00D412D8" w:rsidRPr="00B00915">
        <w:rPr>
          <w:rFonts w:ascii="Times New Roman" w:hAnsi="Times New Roman"/>
          <w:sz w:val="24"/>
          <w:szCs w:val="24"/>
          <w:lang w:val="sq-AL"/>
        </w:rPr>
        <w:t>.</w:t>
      </w:r>
    </w:p>
    <w:p w14:paraId="6412255A" w14:textId="77777777" w:rsidR="00D412D8" w:rsidRPr="00B00915" w:rsidRDefault="00D412D8" w:rsidP="00B00915">
      <w:pPr>
        <w:pStyle w:val="NoSpacing2"/>
        <w:spacing w:line="276" w:lineRule="auto"/>
        <w:jc w:val="both"/>
        <w:rPr>
          <w:rFonts w:ascii="Times New Roman" w:hAnsi="Times New Roman"/>
          <w:sz w:val="24"/>
          <w:szCs w:val="24"/>
          <w:lang w:val="sq-AL"/>
        </w:rPr>
      </w:pPr>
    </w:p>
    <w:p w14:paraId="391084E3" w14:textId="7D616577" w:rsidR="00D412D8" w:rsidRPr="00B00915" w:rsidRDefault="00D412D8" w:rsidP="00B00915">
      <w:pPr>
        <w:pStyle w:val="NoSpacing2"/>
        <w:spacing w:line="276" w:lineRule="auto"/>
        <w:jc w:val="both"/>
        <w:rPr>
          <w:rFonts w:ascii="Times New Roman" w:hAnsi="Times New Roman"/>
          <w:sz w:val="24"/>
          <w:szCs w:val="24"/>
          <w:lang w:val="sq-AL"/>
        </w:rPr>
      </w:pPr>
      <w:r w:rsidRPr="00B00915">
        <w:rPr>
          <w:rFonts w:ascii="Times New Roman" w:hAnsi="Times New Roman"/>
          <w:sz w:val="24"/>
          <w:szCs w:val="24"/>
          <w:lang w:val="sq-AL"/>
        </w:rPr>
        <w:t>Kapitulli 11 përfshin vlerësimin e kostove dhe financimin e planit të veprimit 2023-2026.</w:t>
      </w:r>
    </w:p>
    <w:p w14:paraId="5376744B" w14:textId="77777777" w:rsidR="00C23771" w:rsidRPr="00B00915" w:rsidRDefault="00C23771" w:rsidP="00B00915">
      <w:pPr>
        <w:tabs>
          <w:tab w:val="left" w:pos="2448"/>
        </w:tabs>
        <w:spacing w:after="0"/>
        <w:jc w:val="both"/>
        <w:rPr>
          <w:rFonts w:ascii="Times New Roman" w:eastAsia="Times New Roman" w:hAnsi="Times New Roman" w:cs="Times New Roman"/>
          <w:sz w:val="24"/>
          <w:szCs w:val="24"/>
          <w:lang w:val="sq-AL"/>
        </w:rPr>
      </w:pPr>
    </w:p>
    <w:p w14:paraId="6A0E1DB4" w14:textId="36C10D48" w:rsidR="00F2073B" w:rsidRPr="00B00915" w:rsidRDefault="00F2073B" w:rsidP="00B00915">
      <w:pPr>
        <w:tabs>
          <w:tab w:val="left" w:pos="2448"/>
        </w:tabs>
        <w:spacing w:after="0"/>
        <w:jc w:val="both"/>
        <w:rPr>
          <w:rFonts w:ascii="Times New Roman" w:eastAsia="Times New Roman" w:hAnsi="Times New Roman" w:cs="Times New Roman"/>
          <w:sz w:val="24"/>
          <w:szCs w:val="24"/>
          <w:lang w:val="sq-AL"/>
        </w:rPr>
      </w:pPr>
      <w:r w:rsidRPr="00B00915">
        <w:rPr>
          <w:rFonts w:ascii="Times New Roman" w:eastAsia="Times New Roman" w:hAnsi="Times New Roman" w:cs="Times New Roman"/>
          <w:sz w:val="24"/>
          <w:szCs w:val="24"/>
          <w:lang w:val="sq-AL"/>
        </w:rPr>
        <w:t>Pjesa e fundit e strategjis</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 xml:space="preserve"> p</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rb</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 xml:space="preserve">het nga </w:t>
      </w:r>
      <w:r w:rsidR="00D412D8" w:rsidRPr="00B00915">
        <w:rPr>
          <w:rFonts w:ascii="Times New Roman" w:eastAsia="Times New Roman" w:hAnsi="Times New Roman" w:cs="Times New Roman"/>
          <w:sz w:val="24"/>
          <w:szCs w:val="24"/>
          <w:lang w:val="sq-AL"/>
        </w:rPr>
        <w:t>5</w:t>
      </w:r>
      <w:r w:rsidRPr="00B00915">
        <w:rPr>
          <w:rFonts w:ascii="Times New Roman" w:eastAsia="Times New Roman" w:hAnsi="Times New Roman" w:cs="Times New Roman"/>
          <w:sz w:val="24"/>
          <w:szCs w:val="24"/>
          <w:lang w:val="sq-AL"/>
        </w:rPr>
        <w:t xml:space="preserve"> </w:t>
      </w:r>
      <w:r w:rsidR="00D412D8" w:rsidRPr="00B00915">
        <w:rPr>
          <w:rFonts w:ascii="Times New Roman" w:eastAsia="Times New Roman" w:hAnsi="Times New Roman" w:cs="Times New Roman"/>
          <w:sz w:val="24"/>
          <w:szCs w:val="24"/>
          <w:lang w:val="sq-AL"/>
        </w:rPr>
        <w:t>shtojca</w:t>
      </w:r>
      <w:r w:rsidRPr="00B00915">
        <w:rPr>
          <w:rFonts w:ascii="Times New Roman" w:eastAsia="Times New Roman" w:hAnsi="Times New Roman" w:cs="Times New Roman"/>
          <w:sz w:val="24"/>
          <w:szCs w:val="24"/>
          <w:lang w:val="sq-AL"/>
        </w:rPr>
        <w:t xml:space="preserve">: </w:t>
      </w:r>
      <w:r w:rsidR="00D412D8" w:rsidRPr="00B00915">
        <w:rPr>
          <w:rFonts w:ascii="Times New Roman" w:eastAsia="Times New Roman" w:hAnsi="Times New Roman" w:cs="Times New Roman"/>
          <w:sz w:val="24"/>
          <w:szCs w:val="24"/>
          <w:lang w:val="sq-AL"/>
        </w:rPr>
        <w:t xml:space="preserve">Shtojca </w:t>
      </w:r>
      <w:r w:rsidRPr="00B00915">
        <w:rPr>
          <w:rFonts w:ascii="Times New Roman" w:eastAsia="Times New Roman" w:hAnsi="Times New Roman" w:cs="Times New Roman"/>
          <w:sz w:val="24"/>
          <w:szCs w:val="24"/>
          <w:lang w:val="sq-AL"/>
        </w:rPr>
        <w:t>1: Nj</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sit</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 xml:space="preserve"> p</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rgjegj</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se p</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r Reform</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n e MFP-s</w:t>
      </w:r>
      <w:r w:rsidR="007256EE" w:rsidRPr="00B00915">
        <w:rPr>
          <w:rFonts w:ascii="Times New Roman" w:eastAsia="Times New Roman" w:hAnsi="Times New Roman" w:cs="Times New Roman"/>
          <w:sz w:val="24"/>
          <w:szCs w:val="24"/>
          <w:lang w:val="sq-AL"/>
        </w:rPr>
        <w:t>ë</w:t>
      </w:r>
      <w:r w:rsidRPr="00B00915">
        <w:rPr>
          <w:rFonts w:ascii="Times New Roman" w:eastAsia="Times New Roman" w:hAnsi="Times New Roman" w:cs="Times New Roman"/>
          <w:sz w:val="24"/>
          <w:szCs w:val="24"/>
          <w:lang w:val="sq-AL"/>
        </w:rPr>
        <w:t xml:space="preserve">; </w:t>
      </w:r>
      <w:r w:rsidR="00D412D8" w:rsidRPr="00B00915">
        <w:rPr>
          <w:rFonts w:ascii="Times New Roman" w:eastAsia="Times New Roman" w:hAnsi="Times New Roman" w:cs="Times New Roman"/>
          <w:sz w:val="24"/>
          <w:szCs w:val="24"/>
          <w:lang w:val="sq-AL"/>
        </w:rPr>
        <w:t xml:space="preserve">Shtojca </w:t>
      </w:r>
      <w:r w:rsidRPr="00B00915">
        <w:rPr>
          <w:rFonts w:ascii="Times New Roman" w:eastAsia="Times New Roman" w:hAnsi="Times New Roman" w:cs="Times New Roman"/>
          <w:sz w:val="24"/>
          <w:szCs w:val="24"/>
          <w:lang w:val="sq-AL"/>
        </w:rPr>
        <w:t xml:space="preserve">2: </w:t>
      </w:r>
      <w:r w:rsidR="006545DC" w:rsidRPr="00B00915">
        <w:rPr>
          <w:rFonts w:ascii="Times New Roman" w:eastAsia="Times New Roman" w:hAnsi="Times New Roman" w:cs="Times New Roman"/>
          <w:sz w:val="24"/>
          <w:szCs w:val="24"/>
          <w:lang w:val="sq-AL"/>
        </w:rPr>
        <w:t>P</w:t>
      </w:r>
      <w:r w:rsidR="007256EE" w:rsidRPr="00B00915">
        <w:rPr>
          <w:rFonts w:ascii="Times New Roman" w:eastAsia="Times New Roman" w:hAnsi="Times New Roman" w:cs="Times New Roman"/>
          <w:sz w:val="24"/>
          <w:szCs w:val="24"/>
          <w:lang w:val="sq-AL"/>
        </w:rPr>
        <w:t>ë</w:t>
      </w:r>
      <w:r w:rsidR="006545DC" w:rsidRPr="00B00915">
        <w:rPr>
          <w:rFonts w:ascii="Times New Roman" w:eastAsia="Times New Roman" w:hAnsi="Times New Roman" w:cs="Times New Roman"/>
          <w:sz w:val="24"/>
          <w:szCs w:val="24"/>
          <w:lang w:val="sq-AL"/>
        </w:rPr>
        <w:t>rmbledhje</w:t>
      </w:r>
      <w:r w:rsidRPr="00B00915">
        <w:rPr>
          <w:rFonts w:ascii="Times New Roman" w:eastAsia="Times New Roman" w:hAnsi="Times New Roman" w:cs="Times New Roman"/>
          <w:sz w:val="24"/>
          <w:szCs w:val="24"/>
          <w:lang w:val="sq-AL"/>
        </w:rPr>
        <w:t xml:space="preserve"> e mbështetjes së vazhdueshme dhe të planif</w:t>
      </w:r>
      <w:r w:rsidR="006545DC" w:rsidRPr="00B00915">
        <w:rPr>
          <w:rFonts w:ascii="Times New Roman" w:eastAsia="Times New Roman" w:hAnsi="Times New Roman" w:cs="Times New Roman"/>
          <w:sz w:val="24"/>
          <w:szCs w:val="24"/>
          <w:lang w:val="sq-AL"/>
        </w:rPr>
        <w:t>ikuar nga partnerët p</w:t>
      </w:r>
      <w:r w:rsidR="007256EE" w:rsidRPr="00B00915">
        <w:rPr>
          <w:rFonts w:ascii="Times New Roman" w:eastAsia="Times New Roman" w:hAnsi="Times New Roman" w:cs="Times New Roman"/>
          <w:sz w:val="24"/>
          <w:szCs w:val="24"/>
          <w:lang w:val="sq-AL"/>
        </w:rPr>
        <w:t>ë</w:t>
      </w:r>
      <w:r w:rsidR="006545DC" w:rsidRPr="00B00915">
        <w:rPr>
          <w:rFonts w:ascii="Times New Roman" w:eastAsia="Times New Roman" w:hAnsi="Times New Roman" w:cs="Times New Roman"/>
          <w:sz w:val="24"/>
          <w:szCs w:val="24"/>
          <w:lang w:val="sq-AL"/>
        </w:rPr>
        <w:t>r zhvillim</w:t>
      </w:r>
      <w:r w:rsidR="00D412D8" w:rsidRPr="00B00915">
        <w:rPr>
          <w:rFonts w:ascii="Times New Roman" w:eastAsia="Times New Roman" w:hAnsi="Times New Roman" w:cs="Times New Roman"/>
          <w:sz w:val="24"/>
          <w:szCs w:val="24"/>
          <w:lang w:val="sq-AL"/>
        </w:rPr>
        <w:t>; Shtojca 3 Vlerësimi i kostove dhe financimi sipas objektivave specifikë (komponentëve); Shtojca 4 Plani i Veprimit i Menaxhimit të Financave Publike 2023 – 2026; Shtojca 5 Pasaporta e Treguesve të Menaxhimit të Financave Publike 2023 – 2026.</w:t>
      </w:r>
    </w:p>
    <w:p w14:paraId="705BC061" w14:textId="77777777" w:rsidR="00427182" w:rsidRPr="00154D8C" w:rsidRDefault="00427182" w:rsidP="00B00915">
      <w:pPr>
        <w:tabs>
          <w:tab w:val="left" w:pos="2448"/>
        </w:tabs>
        <w:spacing w:after="0"/>
        <w:jc w:val="both"/>
        <w:rPr>
          <w:rFonts w:ascii="Times New Roman" w:eastAsia="Times New Roman" w:hAnsi="Times New Roman" w:cs="Times New Roman"/>
          <w:sz w:val="24"/>
          <w:szCs w:val="24"/>
          <w:lang w:val="sq-AL"/>
        </w:rPr>
      </w:pPr>
    </w:p>
    <w:p w14:paraId="57793B22" w14:textId="5B88668B" w:rsidR="001515B5" w:rsidRPr="00154D8C" w:rsidRDefault="00DE4059" w:rsidP="00154D8C">
      <w:pPr>
        <w:pStyle w:val="ListParagraph"/>
        <w:numPr>
          <w:ilvl w:val="0"/>
          <w:numId w:val="1"/>
        </w:numPr>
        <w:spacing w:after="0" w:line="240" w:lineRule="auto"/>
        <w:ind w:left="630" w:hanging="540"/>
        <w:contextualSpacing w:val="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lastRenderedPageBreak/>
        <w:t>INSTITUCIONET DHE ORGANET QË NGARKOHEN PËR ZBATIMIN E AKTIT</w:t>
      </w:r>
    </w:p>
    <w:p w14:paraId="0AF047B9" w14:textId="77777777" w:rsidR="00427182" w:rsidRPr="00154D8C" w:rsidRDefault="00427182" w:rsidP="00427182">
      <w:pPr>
        <w:tabs>
          <w:tab w:val="left" w:pos="0"/>
        </w:tabs>
        <w:spacing w:after="0" w:line="240" w:lineRule="auto"/>
        <w:jc w:val="both"/>
        <w:rPr>
          <w:rFonts w:ascii="Times New Roman" w:eastAsia="Times New Roman" w:hAnsi="Times New Roman" w:cs="Times New Roman"/>
          <w:sz w:val="24"/>
          <w:szCs w:val="24"/>
          <w:lang w:val="sq-AL" w:eastAsia="x-none"/>
        </w:rPr>
      </w:pPr>
    </w:p>
    <w:p w14:paraId="6A1E8365" w14:textId="5F96005C" w:rsidR="00623333" w:rsidRPr="00154D8C" w:rsidRDefault="006545DC" w:rsidP="00227F4B">
      <w:pPr>
        <w:tabs>
          <w:tab w:val="left" w:pos="0"/>
        </w:tabs>
        <w:spacing w:after="0"/>
        <w:jc w:val="both"/>
        <w:rPr>
          <w:rFonts w:ascii="Times New Roman" w:eastAsia="Times New Roman" w:hAnsi="Times New Roman" w:cs="Times New Roman"/>
          <w:sz w:val="24"/>
          <w:szCs w:val="24"/>
          <w:lang w:val="sq-AL" w:eastAsia="x-none"/>
        </w:rPr>
      </w:pPr>
      <w:r w:rsidRPr="00154D8C">
        <w:rPr>
          <w:rFonts w:ascii="Times New Roman" w:eastAsia="Times New Roman" w:hAnsi="Times New Roman" w:cs="Times New Roman"/>
          <w:sz w:val="24"/>
          <w:szCs w:val="24"/>
          <w:lang w:val="sq-AL" w:eastAsia="x-none"/>
        </w:rPr>
        <w:t>Institucionet dhe organet q</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 xml:space="preserve"> ngarkohen p</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r zbatimin e k</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tij projektvendimi jan</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 xml:space="preserve">: Ministria e Financave, </w:t>
      </w:r>
      <w:r w:rsidR="00A16D3A">
        <w:rPr>
          <w:rFonts w:ascii="Times New Roman" w:eastAsia="Times New Roman" w:hAnsi="Times New Roman" w:cs="Times New Roman"/>
          <w:sz w:val="24"/>
          <w:szCs w:val="24"/>
          <w:lang w:val="sq-AL" w:eastAsia="x-none"/>
        </w:rPr>
        <w:t xml:space="preserve">Ministria e Ekonomisë, Kulturës dhe Inovacionit, </w:t>
      </w:r>
      <w:r w:rsidRPr="00154D8C">
        <w:rPr>
          <w:rFonts w:ascii="Times New Roman" w:eastAsia="Times New Roman" w:hAnsi="Times New Roman" w:cs="Times New Roman"/>
          <w:sz w:val="24"/>
          <w:szCs w:val="24"/>
          <w:lang w:val="sq-AL" w:eastAsia="x-none"/>
        </w:rPr>
        <w:t xml:space="preserve">SASPAC, </w:t>
      </w:r>
      <w:r w:rsidR="00177FF9" w:rsidRPr="00154D8C">
        <w:rPr>
          <w:rFonts w:ascii="Times New Roman" w:eastAsia="Times New Roman" w:hAnsi="Times New Roman" w:cs="Times New Roman"/>
          <w:sz w:val="24"/>
          <w:szCs w:val="24"/>
          <w:lang w:val="sq-AL" w:eastAsia="x-none"/>
        </w:rPr>
        <w:t xml:space="preserve">ATRAKO, </w:t>
      </w:r>
      <w:r w:rsidRPr="00154D8C">
        <w:rPr>
          <w:rFonts w:ascii="Times New Roman" w:eastAsia="Times New Roman" w:hAnsi="Times New Roman" w:cs="Times New Roman"/>
          <w:sz w:val="24"/>
          <w:szCs w:val="24"/>
          <w:lang w:val="sq-AL" w:eastAsia="x-none"/>
        </w:rPr>
        <w:t>Kontrolli i Lart</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 xml:space="preserve"> i Shtetit, INSTAT, Agjencia e Prokurimit Publik, Komisioni </w:t>
      </w:r>
      <w:r w:rsidR="00FB0417" w:rsidRPr="00154D8C">
        <w:rPr>
          <w:rFonts w:ascii="Times New Roman" w:eastAsia="Times New Roman" w:hAnsi="Times New Roman" w:cs="Times New Roman"/>
          <w:sz w:val="24"/>
          <w:szCs w:val="24"/>
          <w:lang w:val="sq-AL" w:eastAsia="x-none"/>
        </w:rPr>
        <w:t>i</w:t>
      </w:r>
      <w:r w:rsidRPr="00154D8C">
        <w:rPr>
          <w:rFonts w:ascii="Times New Roman" w:eastAsia="Times New Roman" w:hAnsi="Times New Roman" w:cs="Times New Roman"/>
          <w:sz w:val="24"/>
          <w:szCs w:val="24"/>
          <w:lang w:val="sq-AL" w:eastAsia="x-none"/>
        </w:rPr>
        <w:t xml:space="preserve"> Prokurimit Publik, Drejtoria e P</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rgjithshme e Tatimeve, Drejtoria e P</w:t>
      </w:r>
      <w:r w:rsidR="007256EE" w:rsidRPr="00154D8C">
        <w:rPr>
          <w:rFonts w:ascii="Times New Roman" w:eastAsia="Times New Roman" w:hAnsi="Times New Roman" w:cs="Times New Roman"/>
          <w:sz w:val="24"/>
          <w:szCs w:val="24"/>
          <w:lang w:val="sq-AL" w:eastAsia="x-none"/>
        </w:rPr>
        <w:t>ë</w:t>
      </w:r>
      <w:r w:rsidRPr="00154D8C">
        <w:rPr>
          <w:rFonts w:ascii="Times New Roman" w:eastAsia="Times New Roman" w:hAnsi="Times New Roman" w:cs="Times New Roman"/>
          <w:sz w:val="24"/>
          <w:szCs w:val="24"/>
          <w:lang w:val="sq-AL" w:eastAsia="x-none"/>
        </w:rPr>
        <w:t>rgjithshme e Doganave</w:t>
      </w:r>
      <w:r w:rsidR="00FB0417" w:rsidRPr="00154D8C">
        <w:rPr>
          <w:rFonts w:ascii="Times New Roman" w:eastAsia="Times New Roman" w:hAnsi="Times New Roman" w:cs="Times New Roman"/>
          <w:sz w:val="24"/>
          <w:szCs w:val="24"/>
          <w:lang w:val="sq-AL" w:eastAsia="x-none"/>
        </w:rPr>
        <w:t xml:space="preserve">, Komisioni </w:t>
      </w:r>
      <w:r w:rsidR="00A16D3A">
        <w:rPr>
          <w:rFonts w:ascii="Times New Roman" w:eastAsia="Times New Roman" w:hAnsi="Times New Roman" w:cs="Times New Roman"/>
          <w:sz w:val="24"/>
          <w:szCs w:val="24"/>
          <w:lang w:val="sq-AL" w:eastAsia="x-none"/>
        </w:rPr>
        <w:t xml:space="preserve">Parlamentar për </w:t>
      </w:r>
      <w:r w:rsidR="00FB0417" w:rsidRPr="00154D8C">
        <w:rPr>
          <w:rFonts w:ascii="Times New Roman" w:eastAsia="Times New Roman" w:hAnsi="Times New Roman" w:cs="Times New Roman"/>
          <w:sz w:val="24"/>
          <w:szCs w:val="24"/>
          <w:lang w:val="sq-AL" w:eastAsia="x-none"/>
        </w:rPr>
        <w:t>Ekonomi</w:t>
      </w:r>
      <w:r w:rsidR="00A16D3A">
        <w:rPr>
          <w:rFonts w:ascii="Times New Roman" w:eastAsia="Times New Roman" w:hAnsi="Times New Roman" w:cs="Times New Roman"/>
          <w:sz w:val="24"/>
          <w:szCs w:val="24"/>
          <w:lang w:val="sq-AL" w:eastAsia="x-none"/>
        </w:rPr>
        <w:t>n</w:t>
      </w:r>
      <w:r w:rsidR="007256EE" w:rsidRPr="00154D8C">
        <w:rPr>
          <w:rFonts w:ascii="Times New Roman" w:eastAsia="Times New Roman" w:hAnsi="Times New Roman" w:cs="Times New Roman"/>
          <w:sz w:val="24"/>
          <w:szCs w:val="24"/>
          <w:lang w:val="sq-AL" w:eastAsia="x-none"/>
        </w:rPr>
        <w:t>ë</w:t>
      </w:r>
      <w:r w:rsidR="00FB0417" w:rsidRPr="00154D8C">
        <w:rPr>
          <w:rFonts w:ascii="Times New Roman" w:eastAsia="Times New Roman" w:hAnsi="Times New Roman" w:cs="Times New Roman"/>
          <w:sz w:val="24"/>
          <w:szCs w:val="24"/>
          <w:lang w:val="sq-AL" w:eastAsia="x-none"/>
        </w:rPr>
        <w:t xml:space="preserve"> dhe Financa</w:t>
      </w:r>
      <w:r w:rsidR="00A16D3A">
        <w:rPr>
          <w:rFonts w:ascii="Times New Roman" w:eastAsia="Times New Roman" w:hAnsi="Times New Roman" w:cs="Times New Roman"/>
          <w:sz w:val="24"/>
          <w:szCs w:val="24"/>
          <w:lang w:val="sq-AL" w:eastAsia="x-none"/>
        </w:rPr>
        <w:t>t</w:t>
      </w:r>
      <w:r w:rsidR="00177FF9" w:rsidRPr="00154D8C">
        <w:rPr>
          <w:rFonts w:ascii="Times New Roman" w:eastAsia="Times New Roman" w:hAnsi="Times New Roman" w:cs="Times New Roman"/>
          <w:sz w:val="24"/>
          <w:szCs w:val="24"/>
          <w:lang w:val="sq-AL" w:eastAsia="x-none"/>
        </w:rPr>
        <w:t>.</w:t>
      </w:r>
    </w:p>
    <w:p w14:paraId="3EFC28B3" w14:textId="77777777" w:rsidR="00427182" w:rsidRPr="00154D8C" w:rsidRDefault="00427182" w:rsidP="00427182">
      <w:pPr>
        <w:tabs>
          <w:tab w:val="left" w:pos="0"/>
        </w:tabs>
        <w:spacing w:after="0" w:line="240" w:lineRule="auto"/>
        <w:jc w:val="both"/>
        <w:rPr>
          <w:rFonts w:ascii="Times New Roman" w:eastAsia="Times New Roman" w:hAnsi="Times New Roman" w:cs="Times New Roman"/>
          <w:sz w:val="24"/>
          <w:szCs w:val="24"/>
          <w:lang w:val="sq-AL" w:eastAsia="x-none"/>
        </w:rPr>
      </w:pPr>
    </w:p>
    <w:p w14:paraId="6AB2201C" w14:textId="77777777" w:rsidR="00427182" w:rsidRPr="00154D8C" w:rsidRDefault="00427182" w:rsidP="00427182">
      <w:pPr>
        <w:tabs>
          <w:tab w:val="left" w:pos="0"/>
        </w:tabs>
        <w:spacing w:after="0" w:line="240" w:lineRule="auto"/>
        <w:jc w:val="both"/>
        <w:rPr>
          <w:rFonts w:ascii="Times New Roman" w:eastAsia="Times New Roman" w:hAnsi="Times New Roman" w:cs="Times New Roman"/>
          <w:sz w:val="24"/>
          <w:szCs w:val="24"/>
          <w:lang w:val="sq-AL"/>
        </w:rPr>
      </w:pPr>
    </w:p>
    <w:p w14:paraId="2FA3A43E" w14:textId="51620DE5" w:rsidR="00623333" w:rsidRPr="00154D8C" w:rsidRDefault="00B8523B" w:rsidP="00154D8C">
      <w:pPr>
        <w:pStyle w:val="ListParagraph"/>
        <w:numPr>
          <w:ilvl w:val="0"/>
          <w:numId w:val="1"/>
        </w:numPr>
        <w:spacing w:after="0" w:line="240" w:lineRule="auto"/>
        <w:ind w:left="720" w:hanging="630"/>
        <w:contextualSpacing w:val="0"/>
        <w:jc w:val="both"/>
        <w:rPr>
          <w:rFonts w:ascii="Times New Roman" w:hAnsi="Times New Roman" w:cs="Times New Roman"/>
          <w:b/>
          <w:sz w:val="24"/>
          <w:szCs w:val="24"/>
          <w:lang w:val="sq-AL"/>
        </w:rPr>
      </w:pPr>
      <w:r w:rsidRPr="00154D8C">
        <w:rPr>
          <w:rFonts w:ascii="Times New Roman" w:hAnsi="Times New Roman" w:cs="Times New Roman"/>
          <w:b/>
          <w:sz w:val="24"/>
          <w:szCs w:val="24"/>
          <w:lang w:val="sq-AL"/>
        </w:rPr>
        <w:t xml:space="preserve"> </w:t>
      </w:r>
      <w:r w:rsidR="00623333" w:rsidRPr="00154D8C">
        <w:rPr>
          <w:rFonts w:ascii="Times New Roman" w:hAnsi="Times New Roman" w:cs="Times New Roman"/>
          <w:b/>
          <w:sz w:val="24"/>
          <w:szCs w:val="24"/>
          <w:lang w:val="sq-AL"/>
        </w:rPr>
        <w:t>MINISTRITË, INSTITUCIONET DHE SUBJEKTET E TJERA QË KANË KONTRIBUAR NË HARTIMIN E PROJEKTAKTIT</w:t>
      </w:r>
    </w:p>
    <w:p w14:paraId="4E86BE25" w14:textId="77777777" w:rsidR="00427182" w:rsidRPr="00154D8C" w:rsidRDefault="00427182" w:rsidP="00427182">
      <w:pPr>
        <w:tabs>
          <w:tab w:val="left" w:pos="0"/>
        </w:tabs>
        <w:spacing w:after="0" w:line="240" w:lineRule="auto"/>
        <w:jc w:val="both"/>
        <w:rPr>
          <w:rFonts w:ascii="Times New Roman" w:eastAsia="Times New Roman" w:hAnsi="Times New Roman" w:cs="Times New Roman"/>
          <w:sz w:val="24"/>
          <w:szCs w:val="24"/>
          <w:lang w:val="sq-AL"/>
        </w:rPr>
      </w:pPr>
    </w:p>
    <w:p w14:paraId="1A574C39" w14:textId="1898B792" w:rsidR="003177E1" w:rsidRPr="00154D8C" w:rsidRDefault="006545DC" w:rsidP="00227F4B">
      <w:pPr>
        <w:tabs>
          <w:tab w:val="left" w:pos="0"/>
        </w:tabs>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P</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r hartimin e k</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tij projektvendimi kan</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kontribuar institucionet q</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jan</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pjes</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e Grupit Nd</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rinstitucional t</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Pun</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s p</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r hartimin e Strategjis</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Sektoriale p</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r Menaxhimin e Financave Publike 2023-2030 dhe Planit t</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Veprimit, t</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miratuar me Urdhrin e Kryeministrit nr. 195, dat</w:t>
      </w:r>
      <w:r w:rsidR="007256EE" w:rsidRPr="00154D8C">
        <w:rPr>
          <w:rFonts w:ascii="Times New Roman" w:eastAsia="Times New Roman" w:hAnsi="Times New Roman" w:cs="Times New Roman"/>
          <w:sz w:val="24"/>
          <w:szCs w:val="24"/>
          <w:lang w:val="sq-AL"/>
        </w:rPr>
        <w:t>ë</w:t>
      </w:r>
      <w:r w:rsidRPr="00154D8C">
        <w:rPr>
          <w:rFonts w:ascii="Times New Roman" w:eastAsia="Times New Roman" w:hAnsi="Times New Roman" w:cs="Times New Roman"/>
          <w:sz w:val="24"/>
          <w:szCs w:val="24"/>
          <w:lang w:val="sq-AL"/>
        </w:rPr>
        <w:t xml:space="preserve"> 08.11.2023.</w:t>
      </w:r>
      <w:r w:rsidR="00B120C2" w:rsidRPr="00154D8C">
        <w:rPr>
          <w:rFonts w:ascii="Times New Roman" w:eastAsia="Times New Roman" w:hAnsi="Times New Roman" w:cs="Times New Roman"/>
          <w:sz w:val="24"/>
          <w:szCs w:val="24"/>
          <w:lang w:val="sq-AL"/>
        </w:rPr>
        <w:t xml:space="preserve"> </w:t>
      </w:r>
    </w:p>
    <w:p w14:paraId="58730DF5" w14:textId="77777777" w:rsidR="00354A97" w:rsidRPr="00154D8C" w:rsidRDefault="00354A97" w:rsidP="00227F4B">
      <w:pPr>
        <w:tabs>
          <w:tab w:val="left" w:pos="0"/>
        </w:tabs>
        <w:spacing w:after="0"/>
        <w:jc w:val="both"/>
        <w:rPr>
          <w:rFonts w:ascii="Times New Roman" w:eastAsia="Times New Roman" w:hAnsi="Times New Roman" w:cs="Times New Roman"/>
          <w:sz w:val="24"/>
          <w:szCs w:val="24"/>
          <w:lang w:val="sq-AL"/>
        </w:rPr>
      </w:pPr>
    </w:p>
    <w:p w14:paraId="336D8CE2" w14:textId="172A2779" w:rsidR="005B6C97" w:rsidRPr="00154D8C" w:rsidRDefault="005B6C97" w:rsidP="00227F4B">
      <w:pPr>
        <w:tabs>
          <w:tab w:val="left" w:pos="0"/>
        </w:tabs>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Me anë të shkres</w:t>
      </w:r>
      <w:r w:rsidR="00293B62">
        <w:rPr>
          <w:rFonts w:ascii="Times New Roman" w:eastAsia="Times New Roman" w:hAnsi="Times New Roman" w:cs="Times New Roman"/>
          <w:sz w:val="24"/>
          <w:szCs w:val="24"/>
          <w:lang w:val="sq-AL"/>
        </w:rPr>
        <w:t>ë</w:t>
      </w:r>
      <w:r w:rsidR="00A16D3A">
        <w:rPr>
          <w:rFonts w:ascii="Times New Roman" w:eastAsia="Times New Roman" w:hAnsi="Times New Roman" w:cs="Times New Roman"/>
          <w:sz w:val="24"/>
          <w:szCs w:val="24"/>
          <w:lang w:val="sq-AL"/>
        </w:rPr>
        <w:t>s</w:t>
      </w:r>
      <w:r w:rsidRPr="00154D8C">
        <w:rPr>
          <w:rFonts w:ascii="Times New Roman" w:eastAsia="Times New Roman" w:hAnsi="Times New Roman" w:cs="Times New Roman"/>
          <w:sz w:val="24"/>
          <w:szCs w:val="24"/>
          <w:lang w:val="sq-AL"/>
        </w:rPr>
        <w:t xml:space="preserve"> 2285 prot.</w:t>
      </w:r>
      <w:r w:rsidR="00777310" w:rsidRPr="00154D8C">
        <w:rPr>
          <w:rFonts w:ascii="Times New Roman" w:eastAsia="Times New Roman" w:hAnsi="Times New Roman" w:cs="Times New Roman"/>
          <w:sz w:val="24"/>
          <w:szCs w:val="24"/>
          <w:lang w:val="sq-AL"/>
        </w:rPr>
        <w:t>,</w:t>
      </w:r>
      <w:r w:rsidRPr="00154D8C">
        <w:rPr>
          <w:rFonts w:ascii="Times New Roman" w:eastAsia="Times New Roman" w:hAnsi="Times New Roman" w:cs="Times New Roman"/>
          <w:sz w:val="24"/>
          <w:szCs w:val="24"/>
          <w:lang w:val="sq-AL"/>
        </w:rPr>
        <w:t xml:space="preserve"> datë 23.02.2024 </w:t>
      </w:r>
      <w:r w:rsidR="0041498A" w:rsidRPr="00154D8C">
        <w:rPr>
          <w:rFonts w:ascii="Times New Roman" w:eastAsia="Times New Roman" w:hAnsi="Times New Roman" w:cs="Times New Roman"/>
          <w:sz w:val="24"/>
          <w:szCs w:val="24"/>
          <w:lang w:val="sq-AL"/>
        </w:rPr>
        <w:t>draft Strategjia</w:t>
      </w:r>
      <w:r w:rsidR="0014334F" w:rsidRPr="00154D8C">
        <w:rPr>
          <w:rFonts w:ascii="Times New Roman" w:eastAsia="Times New Roman" w:hAnsi="Times New Roman" w:cs="Times New Roman"/>
          <w:sz w:val="24"/>
          <w:szCs w:val="24"/>
          <w:lang w:val="sq-AL"/>
        </w:rPr>
        <w:t xml:space="preserve"> Sektoriale për Menaxhimin e Financave Publike 2023-2030”</w:t>
      </w:r>
      <w:r w:rsidR="0041498A" w:rsidRPr="00154D8C">
        <w:rPr>
          <w:rFonts w:ascii="Times New Roman" w:eastAsia="Times New Roman" w:hAnsi="Times New Roman" w:cs="Times New Roman"/>
          <w:sz w:val="24"/>
          <w:szCs w:val="24"/>
          <w:lang w:val="sq-AL"/>
        </w:rPr>
        <w:t xml:space="preserve"> dhe Plani i saj i Veprimit 2023-2026 </w:t>
      </w:r>
      <w:r w:rsidR="0014334F" w:rsidRPr="00154D8C">
        <w:rPr>
          <w:rFonts w:ascii="Times New Roman" w:eastAsia="Times New Roman" w:hAnsi="Times New Roman" w:cs="Times New Roman"/>
          <w:sz w:val="24"/>
          <w:szCs w:val="24"/>
          <w:lang w:val="sq-AL"/>
        </w:rPr>
        <w:t>janë</w:t>
      </w:r>
      <w:r w:rsidRPr="00154D8C">
        <w:rPr>
          <w:rFonts w:ascii="Times New Roman" w:eastAsia="Times New Roman" w:hAnsi="Times New Roman" w:cs="Times New Roman"/>
          <w:sz w:val="24"/>
          <w:szCs w:val="24"/>
          <w:lang w:val="sq-AL"/>
        </w:rPr>
        <w:t xml:space="preserve"> përcjellë për mendim </w:t>
      </w:r>
      <w:r w:rsidR="00777310" w:rsidRPr="00154D8C">
        <w:rPr>
          <w:rFonts w:ascii="Times New Roman" w:eastAsia="Times New Roman" w:hAnsi="Times New Roman" w:cs="Times New Roman"/>
          <w:sz w:val="24"/>
          <w:szCs w:val="24"/>
          <w:lang w:val="sq-AL"/>
        </w:rPr>
        <w:t>te</w:t>
      </w:r>
      <w:r w:rsidRPr="00154D8C">
        <w:rPr>
          <w:rFonts w:ascii="Times New Roman" w:eastAsia="Times New Roman" w:hAnsi="Times New Roman" w:cs="Times New Roman"/>
          <w:sz w:val="24"/>
          <w:szCs w:val="24"/>
          <w:lang w:val="sq-AL"/>
        </w:rPr>
        <w:t xml:space="preserve"> ministritë e linjës,</w:t>
      </w:r>
      <w:r w:rsidR="0014334F" w:rsidRPr="00154D8C">
        <w:rPr>
          <w:rFonts w:ascii="Times New Roman" w:eastAsia="Times New Roman" w:hAnsi="Times New Roman" w:cs="Times New Roman"/>
          <w:sz w:val="24"/>
          <w:szCs w:val="24"/>
          <w:lang w:val="sq-AL"/>
        </w:rPr>
        <w:t xml:space="preserve">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inistri</w:t>
      </w:r>
      <w:r w:rsidRPr="00154D8C">
        <w:rPr>
          <w:rFonts w:ascii="Times New Roman" w:eastAsia="Times New Roman" w:hAnsi="Times New Roman" w:cs="Times New Roman"/>
          <w:sz w:val="24"/>
          <w:szCs w:val="24"/>
          <w:lang w:val="sq-AL"/>
        </w:rPr>
        <w:t xml:space="preserve"> </w:t>
      </w:r>
      <w:r w:rsidR="0014334F" w:rsidRPr="00154D8C">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Shtetit për Administratën Publike dhe Antikorrupsionin,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 xml:space="preserve">inistri i </w:t>
      </w:r>
      <w:r w:rsidRPr="00154D8C">
        <w:rPr>
          <w:rFonts w:ascii="Times New Roman" w:eastAsia="Times New Roman" w:hAnsi="Times New Roman" w:cs="Times New Roman"/>
          <w:sz w:val="24"/>
          <w:szCs w:val="24"/>
          <w:lang w:val="sq-AL"/>
        </w:rPr>
        <w:t xml:space="preserve">Shtetit për Sipërmarrjen dhe Klimën e Biznesit,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 xml:space="preserve">inistri i </w:t>
      </w:r>
      <w:r w:rsidRPr="00154D8C">
        <w:rPr>
          <w:rFonts w:ascii="Times New Roman" w:eastAsia="Times New Roman" w:hAnsi="Times New Roman" w:cs="Times New Roman"/>
          <w:sz w:val="24"/>
          <w:szCs w:val="24"/>
          <w:lang w:val="sq-AL"/>
        </w:rPr>
        <w:t xml:space="preserve">Shtetit për Marrëdhëniet me Parlamentin,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 xml:space="preserve">inistri i </w:t>
      </w:r>
      <w:r w:rsidRPr="00154D8C">
        <w:rPr>
          <w:rFonts w:ascii="Times New Roman" w:eastAsia="Times New Roman" w:hAnsi="Times New Roman" w:cs="Times New Roman"/>
          <w:sz w:val="24"/>
          <w:szCs w:val="24"/>
          <w:lang w:val="sq-AL"/>
        </w:rPr>
        <w:t xml:space="preserve">Shtetit dhe Kryenegociatorit,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 xml:space="preserve">inistri i </w:t>
      </w:r>
      <w:r w:rsidRPr="00154D8C">
        <w:rPr>
          <w:rFonts w:ascii="Times New Roman" w:eastAsia="Times New Roman" w:hAnsi="Times New Roman" w:cs="Times New Roman"/>
          <w:sz w:val="24"/>
          <w:szCs w:val="24"/>
          <w:lang w:val="sq-AL"/>
        </w:rPr>
        <w:t xml:space="preserve">Shtetit për Pushtetin Vendor, </w:t>
      </w:r>
      <w:r w:rsidR="00A16D3A">
        <w:rPr>
          <w:rFonts w:ascii="Times New Roman" w:eastAsia="Times New Roman" w:hAnsi="Times New Roman" w:cs="Times New Roman"/>
          <w:sz w:val="24"/>
          <w:szCs w:val="24"/>
          <w:lang w:val="sq-AL"/>
        </w:rPr>
        <w:t>M</w:t>
      </w:r>
      <w:r w:rsidR="0014334F" w:rsidRPr="00154D8C">
        <w:rPr>
          <w:rFonts w:ascii="Times New Roman" w:eastAsia="Times New Roman" w:hAnsi="Times New Roman" w:cs="Times New Roman"/>
          <w:sz w:val="24"/>
          <w:szCs w:val="24"/>
          <w:lang w:val="sq-AL"/>
        </w:rPr>
        <w:t xml:space="preserve">inistri i </w:t>
      </w:r>
      <w:r w:rsidRPr="00154D8C">
        <w:rPr>
          <w:rFonts w:ascii="Times New Roman" w:eastAsia="Times New Roman" w:hAnsi="Times New Roman" w:cs="Times New Roman"/>
          <w:sz w:val="24"/>
          <w:szCs w:val="24"/>
          <w:lang w:val="sq-AL"/>
        </w:rPr>
        <w:t xml:space="preserve">Shtetit për Rininë dhe Fëmijët, Kontrolli </w:t>
      </w:r>
      <w:r w:rsidR="00227F4B">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Lartë </w:t>
      </w:r>
      <w:r w:rsidR="00227F4B">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Shtetit, Komisioni Parlamentar për Ekonominë dhe Financat, Komisioni </w:t>
      </w:r>
      <w:r w:rsidR="00227F4B">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Prokurimit Publik, Instituti </w:t>
      </w:r>
      <w:r w:rsidR="00227F4B">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Statistikave, Departamenti </w:t>
      </w:r>
      <w:r w:rsidR="00227F4B">
        <w:rPr>
          <w:rFonts w:ascii="Times New Roman" w:eastAsia="Times New Roman" w:hAnsi="Times New Roman" w:cs="Times New Roman"/>
          <w:sz w:val="24"/>
          <w:szCs w:val="24"/>
          <w:lang w:val="sq-AL"/>
        </w:rPr>
        <w:t>i</w:t>
      </w:r>
      <w:r w:rsidRPr="00154D8C">
        <w:rPr>
          <w:rFonts w:ascii="Times New Roman" w:eastAsia="Times New Roman" w:hAnsi="Times New Roman" w:cs="Times New Roman"/>
          <w:sz w:val="24"/>
          <w:szCs w:val="24"/>
          <w:lang w:val="sq-AL"/>
        </w:rPr>
        <w:t xml:space="preserve"> Administratë</w:t>
      </w:r>
      <w:r w:rsidR="00227F4B">
        <w:rPr>
          <w:rFonts w:ascii="Times New Roman" w:eastAsia="Times New Roman" w:hAnsi="Times New Roman" w:cs="Times New Roman"/>
          <w:sz w:val="24"/>
          <w:szCs w:val="24"/>
          <w:lang w:val="sq-AL"/>
        </w:rPr>
        <w:t>s Publike, Agjencisë</w:t>
      </w:r>
      <w:r w:rsidRPr="00154D8C">
        <w:rPr>
          <w:rFonts w:ascii="Times New Roman" w:eastAsia="Times New Roman" w:hAnsi="Times New Roman" w:cs="Times New Roman"/>
          <w:sz w:val="24"/>
          <w:szCs w:val="24"/>
          <w:lang w:val="sq-AL"/>
        </w:rPr>
        <w:t xml:space="preserve"> Shtetërore të Programimit Strategjik dhe Koordinimit të Ndihmë</w:t>
      </w:r>
      <w:r w:rsidR="0014334F" w:rsidRPr="00154D8C">
        <w:rPr>
          <w:rFonts w:ascii="Times New Roman" w:eastAsia="Times New Roman" w:hAnsi="Times New Roman" w:cs="Times New Roman"/>
          <w:sz w:val="24"/>
          <w:szCs w:val="24"/>
          <w:lang w:val="sq-AL"/>
        </w:rPr>
        <w:t>s, Agjenci</w:t>
      </w:r>
      <w:r w:rsidR="00227F4B">
        <w:rPr>
          <w:rFonts w:ascii="Times New Roman" w:eastAsia="Times New Roman" w:hAnsi="Times New Roman" w:cs="Times New Roman"/>
          <w:sz w:val="24"/>
          <w:szCs w:val="24"/>
          <w:lang w:val="sq-AL"/>
        </w:rPr>
        <w:t>a</w:t>
      </w:r>
      <w:r w:rsidRPr="00154D8C">
        <w:rPr>
          <w:rFonts w:ascii="Times New Roman" w:eastAsia="Times New Roman" w:hAnsi="Times New Roman" w:cs="Times New Roman"/>
          <w:sz w:val="24"/>
          <w:szCs w:val="24"/>
          <w:lang w:val="sq-AL"/>
        </w:rPr>
        <w:t xml:space="preserve"> </w:t>
      </w:r>
      <w:r w:rsidR="00227F4B">
        <w:rPr>
          <w:rFonts w:ascii="Times New Roman" w:eastAsia="Times New Roman" w:hAnsi="Times New Roman" w:cs="Times New Roman"/>
          <w:sz w:val="24"/>
          <w:szCs w:val="24"/>
          <w:lang w:val="sq-AL"/>
        </w:rPr>
        <w:t>e</w:t>
      </w:r>
      <w:r w:rsidRPr="00154D8C">
        <w:rPr>
          <w:rFonts w:ascii="Times New Roman" w:eastAsia="Times New Roman" w:hAnsi="Times New Roman" w:cs="Times New Roman"/>
          <w:sz w:val="24"/>
          <w:szCs w:val="24"/>
          <w:lang w:val="sq-AL"/>
        </w:rPr>
        <w:t xml:space="preserve"> Prokurimit Publik, Drejtori</w:t>
      </w:r>
      <w:r w:rsidR="00227F4B">
        <w:rPr>
          <w:rFonts w:ascii="Times New Roman" w:eastAsia="Times New Roman" w:hAnsi="Times New Roman" w:cs="Times New Roman"/>
          <w:sz w:val="24"/>
          <w:szCs w:val="24"/>
          <w:lang w:val="sq-AL"/>
        </w:rPr>
        <w:t>a</w:t>
      </w:r>
      <w:r w:rsidRPr="00154D8C">
        <w:rPr>
          <w:rFonts w:ascii="Times New Roman" w:eastAsia="Times New Roman" w:hAnsi="Times New Roman" w:cs="Times New Roman"/>
          <w:sz w:val="24"/>
          <w:szCs w:val="24"/>
          <w:lang w:val="sq-AL"/>
        </w:rPr>
        <w:t xml:space="preserve"> </w:t>
      </w:r>
      <w:r w:rsidR="0014334F" w:rsidRPr="00154D8C">
        <w:rPr>
          <w:rFonts w:ascii="Times New Roman" w:eastAsia="Times New Roman" w:hAnsi="Times New Roman" w:cs="Times New Roman"/>
          <w:sz w:val="24"/>
          <w:szCs w:val="24"/>
          <w:lang w:val="sq-AL"/>
        </w:rPr>
        <w:t>e</w:t>
      </w:r>
      <w:r w:rsidRPr="00154D8C">
        <w:rPr>
          <w:rFonts w:ascii="Times New Roman" w:eastAsia="Times New Roman" w:hAnsi="Times New Roman" w:cs="Times New Roman"/>
          <w:sz w:val="24"/>
          <w:szCs w:val="24"/>
          <w:lang w:val="sq-AL"/>
        </w:rPr>
        <w:t xml:space="preserve"> Përgjithshme </w:t>
      </w:r>
      <w:r w:rsidR="00227F4B">
        <w:rPr>
          <w:rFonts w:ascii="Times New Roman" w:eastAsia="Times New Roman" w:hAnsi="Times New Roman" w:cs="Times New Roman"/>
          <w:sz w:val="24"/>
          <w:szCs w:val="24"/>
          <w:lang w:val="sq-AL"/>
        </w:rPr>
        <w:t>e</w:t>
      </w:r>
      <w:r w:rsidR="0014334F" w:rsidRPr="00154D8C">
        <w:rPr>
          <w:rFonts w:ascii="Times New Roman" w:eastAsia="Times New Roman" w:hAnsi="Times New Roman" w:cs="Times New Roman"/>
          <w:sz w:val="24"/>
          <w:szCs w:val="24"/>
          <w:lang w:val="sq-AL"/>
        </w:rPr>
        <w:t xml:space="preserve"> Tatimeve, Drejtori</w:t>
      </w:r>
      <w:r w:rsidR="00227F4B">
        <w:rPr>
          <w:rFonts w:ascii="Times New Roman" w:eastAsia="Times New Roman" w:hAnsi="Times New Roman" w:cs="Times New Roman"/>
          <w:sz w:val="24"/>
          <w:szCs w:val="24"/>
          <w:lang w:val="sq-AL"/>
        </w:rPr>
        <w:t>a</w:t>
      </w:r>
      <w:r w:rsidRPr="00154D8C">
        <w:rPr>
          <w:rFonts w:ascii="Times New Roman" w:eastAsia="Times New Roman" w:hAnsi="Times New Roman" w:cs="Times New Roman"/>
          <w:sz w:val="24"/>
          <w:szCs w:val="24"/>
          <w:lang w:val="sq-AL"/>
        </w:rPr>
        <w:t xml:space="preserve"> </w:t>
      </w:r>
      <w:r w:rsidR="0014334F" w:rsidRPr="00154D8C">
        <w:rPr>
          <w:rFonts w:ascii="Times New Roman" w:eastAsia="Times New Roman" w:hAnsi="Times New Roman" w:cs="Times New Roman"/>
          <w:sz w:val="24"/>
          <w:szCs w:val="24"/>
          <w:lang w:val="sq-AL"/>
        </w:rPr>
        <w:t>e</w:t>
      </w:r>
      <w:r w:rsidRPr="00154D8C">
        <w:rPr>
          <w:rFonts w:ascii="Times New Roman" w:eastAsia="Times New Roman" w:hAnsi="Times New Roman" w:cs="Times New Roman"/>
          <w:sz w:val="24"/>
          <w:szCs w:val="24"/>
          <w:lang w:val="sq-AL"/>
        </w:rPr>
        <w:t xml:space="preserve"> Përgjithshme </w:t>
      </w:r>
      <w:r w:rsidR="00227F4B">
        <w:rPr>
          <w:rFonts w:ascii="Times New Roman" w:eastAsia="Times New Roman" w:hAnsi="Times New Roman" w:cs="Times New Roman"/>
          <w:sz w:val="24"/>
          <w:szCs w:val="24"/>
          <w:lang w:val="sq-AL"/>
        </w:rPr>
        <w:t>e</w:t>
      </w:r>
      <w:r w:rsidR="0014334F" w:rsidRPr="00154D8C">
        <w:rPr>
          <w:rFonts w:ascii="Times New Roman" w:eastAsia="Times New Roman" w:hAnsi="Times New Roman" w:cs="Times New Roman"/>
          <w:sz w:val="24"/>
          <w:szCs w:val="24"/>
          <w:lang w:val="sq-AL"/>
        </w:rPr>
        <w:t xml:space="preserve"> Doganave dhe Agjenci</w:t>
      </w:r>
      <w:r w:rsidR="00227F4B">
        <w:rPr>
          <w:rFonts w:ascii="Times New Roman" w:eastAsia="Times New Roman" w:hAnsi="Times New Roman" w:cs="Times New Roman"/>
          <w:sz w:val="24"/>
          <w:szCs w:val="24"/>
          <w:lang w:val="sq-AL"/>
        </w:rPr>
        <w:t>a</w:t>
      </w:r>
      <w:r w:rsidRPr="00154D8C">
        <w:rPr>
          <w:rFonts w:ascii="Times New Roman" w:eastAsia="Times New Roman" w:hAnsi="Times New Roman" w:cs="Times New Roman"/>
          <w:sz w:val="24"/>
          <w:szCs w:val="24"/>
          <w:lang w:val="sq-AL"/>
        </w:rPr>
        <w:t xml:space="preserve"> </w:t>
      </w:r>
      <w:r w:rsidR="0014334F" w:rsidRPr="00154D8C">
        <w:rPr>
          <w:rFonts w:ascii="Times New Roman" w:eastAsia="Times New Roman" w:hAnsi="Times New Roman" w:cs="Times New Roman"/>
          <w:sz w:val="24"/>
          <w:szCs w:val="24"/>
          <w:lang w:val="sq-AL"/>
        </w:rPr>
        <w:t>e</w:t>
      </w:r>
      <w:r w:rsidRPr="00154D8C">
        <w:rPr>
          <w:rFonts w:ascii="Times New Roman" w:eastAsia="Times New Roman" w:hAnsi="Times New Roman" w:cs="Times New Roman"/>
          <w:sz w:val="24"/>
          <w:szCs w:val="24"/>
          <w:lang w:val="sq-AL"/>
        </w:rPr>
        <w:t xml:space="preserve"> Trajtimit të Koncesioneve.</w:t>
      </w:r>
    </w:p>
    <w:p w14:paraId="7EEF1E52" w14:textId="61097CBD" w:rsidR="0014334F" w:rsidRPr="00154D8C" w:rsidRDefault="0014334F" w:rsidP="00227F4B">
      <w:pPr>
        <w:tabs>
          <w:tab w:val="left" w:pos="0"/>
        </w:tabs>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 xml:space="preserve">Me anë të </w:t>
      </w:r>
      <w:r w:rsidR="00A16D3A">
        <w:rPr>
          <w:rFonts w:ascii="Times New Roman" w:eastAsia="Times New Roman" w:hAnsi="Times New Roman" w:cs="Times New Roman"/>
          <w:sz w:val="24"/>
          <w:szCs w:val="24"/>
          <w:lang w:val="sq-AL"/>
        </w:rPr>
        <w:t>shkres</w:t>
      </w:r>
      <w:r w:rsidR="00293B62">
        <w:rPr>
          <w:rFonts w:ascii="Times New Roman" w:eastAsia="Times New Roman" w:hAnsi="Times New Roman" w:cs="Times New Roman"/>
          <w:sz w:val="24"/>
          <w:szCs w:val="24"/>
          <w:lang w:val="sq-AL"/>
        </w:rPr>
        <w:t>ë</w:t>
      </w:r>
      <w:r w:rsidR="00A16D3A">
        <w:rPr>
          <w:rFonts w:ascii="Times New Roman" w:eastAsia="Times New Roman" w:hAnsi="Times New Roman" w:cs="Times New Roman"/>
          <w:sz w:val="24"/>
          <w:szCs w:val="24"/>
          <w:lang w:val="sq-AL"/>
        </w:rPr>
        <w:t>s</w:t>
      </w:r>
      <w:r w:rsidRPr="00154D8C">
        <w:rPr>
          <w:rFonts w:ascii="Times New Roman" w:eastAsia="Times New Roman" w:hAnsi="Times New Roman" w:cs="Times New Roman"/>
          <w:sz w:val="24"/>
          <w:szCs w:val="24"/>
          <w:lang w:val="sq-AL"/>
        </w:rPr>
        <w:t xml:space="preserve"> nr. 2285/1 prot., datë 23.02.2024,</w:t>
      </w:r>
      <w:r w:rsidR="00C02410" w:rsidRPr="00154D8C">
        <w:rPr>
          <w:rFonts w:ascii="Times New Roman" w:eastAsia="Times New Roman" w:hAnsi="Times New Roman" w:cs="Times New Roman"/>
          <w:sz w:val="24"/>
          <w:szCs w:val="24"/>
          <w:lang w:val="sq-AL"/>
        </w:rPr>
        <w:t xml:space="preserve"> </w:t>
      </w:r>
      <w:r w:rsidR="0041498A" w:rsidRPr="00154D8C">
        <w:rPr>
          <w:rFonts w:ascii="Times New Roman" w:eastAsia="Times New Roman" w:hAnsi="Times New Roman" w:cs="Times New Roman"/>
          <w:sz w:val="24"/>
          <w:szCs w:val="24"/>
          <w:lang w:val="sq-AL"/>
        </w:rPr>
        <w:t xml:space="preserve">draft strategjia dhe plani i saj i veprimit </w:t>
      </w:r>
      <w:r w:rsidR="00C02410" w:rsidRPr="00154D8C">
        <w:rPr>
          <w:rFonts w:ascii="Times New Roman" w:eastAsia="Times New Roman" w:hAnsi="Times New Roman" w:cs="Times New Roman"/>
          <w:sz w:val="24"/>
          <w:szCs w:val="24"/>
          <w:lang w:val="sq-AL"/>
        </w:rPr>
        <w:t>janë përcjellë për mendim te strukturat brenda Ministrisë së Financave.</w:t>
      </w:r>
    </w:p>
    <w:p w14:paraId="6914A040" w14:textId="77777777" w:rsidR="00517945" w:rsidRPr="00154D8C" w:rsidRDefault="00517945" w:rsidP="00227F4B">
      <w:pPr>
        <w:tabs>
          <w:tab w:val="left" w:pos="0"/>
        </w:tabs>
        <w:spacing w:after="0"/>
        <w:jc w:val="both"/>
        <w:rPr>
          <w:rFonts w:ascii="Times New Roman" w:eastAsia="Times New Roman" w:hAnsi="Times New Roman" w:cs="Times New Roman"/>
          <w:sz w:val="24"/>
          <w:szCs w:val="24"/>
          <w:lang w:val="sq-AL"/>
        </w:rPr>
      </w:pPr>
    </w:p>
    <w:p w14:paraId="03442A3A" w14:textId="2F1B74A6" w:rsidR="00517945" w:rsidRPr="00154D8C" w:rsidRDefault="00517945" w:rsidP="00227F4B">
      <w:pPr>
        <w:tabs>
          <w:tab w:val="left" w:pos="0"/>
        </w:tabs>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Kontrolli i Lartë i Shtetit, Ministri i Shtetit për Rininë dhe Fëmijët, Min</w:t>
      </w:r>
      <w:r w:rsidR="00E96854" w:rsidRPr="00154D8C">
        <w:rPr>
          <w:rFonts w:ascii="Times New Roman" w:hAnsi="Times New Roman" w:cs="Times New Roman"/>
          <w:sz w:val="24"/>
          <w:szCs w:val="24"/>
          <w:lang w:val="sq-AL"/>
        </w:rPr>
        <w:t>ist</w:t>
      </w:r>
      <w:r w:rsidR="00227F4B">
        <w:rPr>
          <w:rFonts w:ascii="Times New Roman" w:hAnsi="Times New Roman" w:cs="Times New Roman"/>
          <w:sz w:val="24"/>
          <w:szCs w:val="24"/>
          <w:lang w:val="sq-AL"/>
        </w:rPr>
        <w:t>ri i</w:t>
      </w:r>
      <w:r w:rsidR="00E96854" w:rsidRPr="00154D8C">
        <w:rPr>
          <w:rFonts w:ascii="Times New Roman" w:hAnsi="Times New Roman" w:cs="Times New Roman"/>
          <w:sz w:val="24"/>
          <w:szCs w:val="24"/>
          <w:lang w:val="sq-AL"/>
        </w:rPr>
        <w:t xml:space="preserve"> Shteti</w:t>
      </w:r>
      <w:r w:rsidR="00227F4B">
        <w:rPr>
          <w:rFonts w:ascii="Times New Roman" w:hAnsi="Times New Roman" w:cs="Times New Roman"/>
          <w:sz w:val="24"/>
          <w:szCs w:val="24"/>
          <w:lang w:val="sq-AL"/>
        </w:rPr>
        <w:t>t</w:t>
      </w:r>
      <w:r w:rsidR="00E96854" w:rsidRPr="00154D8C">
        <w:rPr>
          <w:rFonts w:ascii="Times New Roman" w:hAnsi="Times New Roman" w:cs="Times New Roman"/>
          <w:sz w:val="24"/>
          <w:szCs w:val="24"/>
          <w:lang w:val="sq-AL"/>
        </w:rPr>
        <w:t xml:space="preserve"> dhe Kryenegociator</w:t>
      </w:r>
      <w:r w:rsidR="00227F4B">
        <w:rPr>
          <w:rFonts w:ascii="Times New Roman" w:hAnsi="Times New Roman" w:cs="Times New Roman"/>
          <w:sz w:val="24"/>
          <w:szCs w:val="24"/>
          <w:lang w:val="sq-AL"/>
        </w:rPr>
        <w:t>i</w:t>
      </w:r>
      <w:r w:rsidR="00E96854" w:rsidRPr="00154D8C">
        <w:rPr>
          <w:rFonts w:ascii="Times New Roman" w:hAnsi="Times New Roman" w:cs="Times New Roman"/>
          <w:sz w:val="24"/>
          <w:szCs w:val="24"/>
          <w:lang w:val="sq-AL"/>
        </w:rPr>
        <w:t>,</w:t>
      </w:r>
      <w:r w:rsidRPr="00154D8C">
        <w:rPr>
          <w:rFonts w:ascii="Times New Roman" w:hAnsi="Times New Roman" w:cs="Times New Roman"/>
          <w:sz w:val="24"/>
          <w:szCs w:val="24"/>
          <w:lang w:val="sq-AL"/>
        </w:rPr>
        <w:t xml:space="preserve"> Ministria e Arsimit dhe Sportit, Ministria e Infrastrukturës dhe Energjisë, </w:t>
      </w:r>
      <w:r w:rsidR="005760ED">
        <w:rPr>
          <w:rFonts w:ascii="Times New Roman" w:hAnsi="Times New Roman" w:cs="Times New Roman"/>
          <w:sz w:val="24"/>
          <w:szCs w:val="24"/>
          <w:lang w:val="sq-AL"/>
        </w:rPr>
        <w:t xml:space="preserve">Ministria e Brendshme, </w:t>
      </w:r>
      <w:r w:rsidR="009E6931">
        <w:rPr>
          <w:rFonts w:ascii="Times New Roman" w:hAnsi="Times New Roman" w:cs="Times New Roman"/>
          <w:sz w:val="24"/>
          <w:szCs w:val="24"/>
          <w:lang w:val="sq-AL"/>
        </w:rPr>
        <w:t xml:space="preserve">Ministria e Shëndetësisë dhe Mbrojtjes Sociale, </w:t>
      </w:r>
      <w:r w:rsidR="00705AD4">
        <w:rPr>
          <w:rFonts w:ascii="Times New Roman" w:hAnsi="Times New Roman" w:cs="Times New Roman"/>
          <w:sz w:val="24"/>
          <w:szCs w:val="24"/>
          <w:lang w:val="sq-AL"/>
        </w:rPr>
        <w:t xml:space="preserve">Ministria e Turizmit dhe Mjedisit, Ministria e Drejtësisë, </w:t>
      </w:r>
      <w:r w:rsidRPr="00154D8C">
        <w:rPr>
          <w:rFonts w:ascii="Times New Roman" w:eastAsia="Times New Roman" w:hAnsi="Times New Roman" w:cs="Times New Roman"/>
          <w:sz w:val="24"/>
          <w:szCs w:val="24"/>
          <w:lang w:val="sq-AL"/>
        </w:rPr>
        <w:t>Drejtoria e Harmonizimit të Menaxhimit Financiar, Kontrollit dhe Kontabilitetit</w:t>
      </w:r>
      <w:r w:rsidR="00E96854" w:rsidRPr="00154D8C">
        <w:rPr>
          <w:rFonts w:ascii="Times New Roman" w:eastAsia="Times New Roman" w:hAnsi="Times New Roman" w:cs="Times New Roman"/>
          <w:sz w:val="24"/>
          <w:szCs w:val="24"/>
          <w:lang w:val="sq-AL"/>
        </w:rPr>
        <w:t xml:space="preserve"> në MF</w:t>
      </w:r>
      <w:r w:rsidRPr="00154D8C">
        <w:rPr>
          <w:rFonts w:ascii="Times New Roman" w:eastAsia="Times New Roman" w:hAnsi="Times New Roman" w:cs="Times New Roman"/>
          <w:sz w:val="24"/>
          <w:szCs w:val="24"/>
          <w:lang w:val="sq-AL"/>
        </w:rPr>
        <w:t xml:space="preserve">, Drejtoria e Inspektimit Financiar Publik </w:t>
      </w:r>
      <w:r w:rsidR="00E96854" w:rsidRPr="00154D8C">
        <w:rPr>
          <w:rFonts w:ascii="Times New Roman" w:eastAsia="Times New Roman" w:hAnsi="Times New Roman" w:cs="Times New Roman"/>
          <w:sz w:val="24"/>
          <w:szCs w:val="24"/>
          <w:lang w:val="sq-AL"/>
        </w:rPr>
        <w:t>në MF</w:t>
      </w:r>
      <w:r w:rsidRPr="00154D8C">
        <w:rPr>
          <w:rFonts w:ascii="Times New Roman" w:eastAsia="Times New Roman" w:hAnsi="Times New Roman" w:cs="Times New Roman"/>
          <w:sz w:val="24"/>
          <w:szCs w:val="24"/>
          <w:lang w:val="sq-AL"/>
        </w:rPr>
        <w:t xml:space="preserve">, Drejtoria e Konçesioneve </w:t>
      </w:r>
      <w:r w:rsidR="00E96854" w:rsidRPr="00154D8C">
        <w:rPr>
          <w:rFonts w:ascii="Times New Roman" w:eastAsia="Times New Roman" w:hAnsi="Times New Roman" w:cs="Times New Roman"/>
          <w:sz w:val="24"/>
          <w:szCs w:val="24"/>
          <w:lang w:val="sq-AL"/>
        </w:rPr>
        <w:t>në MF</w:t>
      </w:r>
      <w:r w:rsidRPr="00154D8C">
        <w:rPr>
          <w:rFonts w:ascii="Times New Roman" w:eastAsia="Times New Roman" w:hAnsi="Times New Roman" w:cs="Times New Roman"/>
          <w:sz w:val="24"/>
          <w:szCs w:val="24"/>
          <w:lang w:val="sq-AL"/>
        </w:rPr>
        <w:t xml:space="preserve">, </w:t>
      </w:r>
      <w:r w:rsidRPr="00154D8C">
        <w:rPr>
          <w:rFonts w:ascii="Times New Roman" w:hAnsi="Times New Roman" w:cs="Times New Roman"/>
          <w:sz w:val="24"/>
          <w:szCs w:val="24"/>
          <w:lang w:val="sq-AL"/>
        </w:rPr>
        <w:t>Drejtoria e Përgjithshme e Doganave, Drejtoria e Përgjithshme e Financimeve dhe Kontraktimeve për Fondet e BE, BB dhe Donatorëve të Tjerë</w:t>
      </w:r>
      <w:r w:rsidR="00E96854" w:rsidRPr="00154D8C">
        <w:rPr>
          <w:rFonts w:ascii="Times New Roman" w:hAnsi="Times New Roman" w:cs="Times New Roman"/>
          <w:sz w:val="24"/>
          <w:szCs w:val="24"/>
          <w:lang w:val="sq-AL"/>
        </w:rPr>
        <w:t>,</w:t>
      </w:r>
      <w:r w:rsidRPr="00154D8C">
        <w:rPr>
          <w:rFonts w:ascii="Times New Roman" w:hAnsi="Times New Roman" w:cs="Times New Roman"/>
          <w:sz w:val="24"/>
          <w:szCs w:val="24"/>
          <w:lang w:val="sq-AL"/>
        </w:rPr>
        <w:t xml:space="preserve"> Drejtoria e Përgjithshme e Tatimeve, </w:t>
      </w:r>
      <w:r w:rsidR="009E6931">
        <w:rPr>
          <w:rFonts w:ascii="Times New Roman" w:eastAsia="Times New Roman" w:hAnsi="Times New Roman" w:cs="Times New Roman"/>
          <w:sz w:val="24"/>
          <w:szCs w:val="24"/>
          <w:lang w:val="sq-AL"/>
        </w:rPr>
        <w:t>Drejtoria e Përgjithshme e Programimit Makroekonomik në MF, Drejtoria e Analizave dhe Programimit Buxhetor, Drejtoria e Financave Vendore, Drejtoria e Menaxhimit të Investimeve Publike në Drejtor</w:t>
      </w:r>
      <w:r w:rsidR="0070608C">
        <w:rPr>
          <w:rFonts w:ascii="Times New Roman" w:eastAsia="Times New Roman" w:hAnsi="Times New Roman" w:cs="Times New Roman"/>
          <w:sz w:val="24"/>
          <w:szCs w:val="24"/>
          <w:lang w:val="sq-AL"/>
        </w:rPr>
        <w:t>inë e Përgjithshme të Buxhetit n</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 xml:space="preserve"> MF, Drejtoria e P</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rgjithshme e Politikave Fiskale n</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 xml:space="preserve"> MF, Drejtoria e P</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rgjithshme e Thesarit n</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 xml:space="preserve"> MF, Drejtoria e Harmonizimit dhe Auditimit të Brendsh</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m n</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 xml:space="preserve"> MF dhe Drejtoria Mb</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shtet</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se e Zyrtarit Komb</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tar Autorizues n</w:t>
      </w:r>
      <w:r w:rsidR="00293B62">
        <w:rPr>
          <w:rFonts w:ascii="Times New Roman" w:eastAsia="Times New Roman" w:hAnsi="Times New Roman" w:cs="Times New Roman"/>
          <w:sz w:val="24"/>
          <w:szCs w:val="24"/>
          <w:lang w:val="sq-AL"/>
        </w:rPr>
        <w:t>ë</w:t>
      </w:r>
      <w:r w:rsidR="0070608C">
        <w:rPr>
          <w:rFonts w:ascii="Times New Roman" w:eastAsia="Times New Roman" w:hAnsi="Times New Roman" w:cs="Times New Roman"/>
          <w:sz w:val="24"/>
          <w:szCs w:val="24"/>
          <w:lang w:val="sq-AL"/>
        </w:rPr>
        <w:t xml:space="preserve"> MF</w:t>
      </w:r>
      <w:r w:rsidR="009E6931" w:rsidRPr="00D412D8">
        <w:rPr>
          <w:rFonts w:ascii="Times New Roman" w:eastAsia="Times New Roman" w:hAnsi="Times New Roman" w:cs="Times New Roman"/>
          <w:sz w:val="24"/>
          <w:szCs w:val="24"/>
          <w:lang w:val="sq-AL"/>
        </w:rPr>
        <w:t xml:space="preserve"> </w:t>
      </w:r>
      <w:r w:rsidRPr="00154D8C">
        <w:rPr>
          <w:rFonts w:ascii="Times New Roman" w:eastAsia="Times New Roman" w:hAnsi="Times New Roman" w:cs="Times New Roman"/>
          <w:sz w:val="24"/>
          <w:szCs w:val="24"/>
          <w:lang w:val="sq-AL"/>
        </w:rPr>
        <w:t>janë shprehur dakord</w:t>
      </w:r>
      <w:r w:rsidRPr="00154D8C">
        <w:rPr>
          <w:rFonts w:ascii="Times New Roman" w:hAnsi="Times New Roman" w:cs="Times New Roman"/>
          <w:sz w:val="24"/>
          <w:szCs w:val="24"/>
          <w:lang w:val="sq-AL"/>
        </w:rPr>
        <w:t>.</w:t>
      </w:r>
    </w:p>
    <w:p w14:paraId="643E0DC8" w14:textId="77777777" w:rsidR="00517945" w:rsidRPr="00154D8C" w:rsidRDefault="00517945" w:rsidP="00227F4B">
      <w:pPr>
        <w:tabs>
          <w:tab w:val="left" w:pos="0"/>
        </w:tabs>
        <w:spacing w:after="0"/>
        <w:jc w:val="both"/>
        <w:rPr>
          <w:rFonts w:ascii="Times New Roman" w:eastAsia="Times New Roman" w:hAnsi="Times New Roman" w:cs="Times New Roman"/>
          <w:sz w:val="24"/>
          <w:szCs w:val="24"/>
          <w:lang w:val="sq-AL"/>
        </w:rPr>
      </w:pPr>
    </w:p>
    <w:p w14:paraId="7A5EEDE0" w14:textId="004FC1D0" w:rsidR="0014334F" w:rsidRPr="00154D8C" w:rsidRDefault="0014334F" w:rsidP="00227F4B">
      <w:pPr>
        <w:tabs>
          <w:tab w:val="left" w:pos="0"/>
        </w:tabs>
        <w:spacing w:after="0"/>
        <w:jc w:val="both"/>
        <w:rPr>
          <w:rFonts w:ascii="Times New Roman" w:eastAsia="Times New Roman" w:hAnsi="Times New Roman" w:cs="Times New Roman"/>
          <w:sz w:val="24"/>
          <w:szCs w:val="24"/>
          <w:lang w:val="sq-AL"/>
        </w:rPr>
      </w:pPr>
      <w:r w:rsidRPr="00154D8C">
        <w:rPr>
          <w:rFonts w:ascii="Times New Roman" w:eastAsia="Times New Roman" w:hAnsi="Times New Roman" w:cs="Times New Roman"/>
          <w:sz w:val="24"/>
          <w:szCs w:val="24"/>
          <w:lang w:val="sq-AL"/>
        </w:rPr>
        <w:t xml:space="preserve">Institucionet </w:t>
      </w:r>
      <w:r w:rsidR="00DF3B17">
        <w:rPr>
          <w:rFonts w:ascii="Times New Roman" w:eastAsia="Times New Roman" w:hAnsi="Times New Roman" w:cs="Times New Roman"/>
          <w:sz w:val="24"/>
          <w:szCs w:val="24"/>
          <w:lang w:val="sq-AL"/>
        </w:rPr>
        <w:t xml:space="preserve">dhe drejtoritë </w:t>
      </w:r>
      <w:r w:rsidRPr="00154D8C">
        <w:rPr>
          <w:rFonts w:ascii="Times New Roman" w:eastAsia="Times New Roman" w:hAnsi="Times New Roman" w:cs="Times New Roman"/>
          <w:sz w:val="24"/>
          <w:szCs w:val="24"/>
          <w:lang w:val="sq-AL"/>
        </w:rPr>
        <w:t>e tjera janë shprehur parimisht dakord, me disa komente dhe sugjerime, si vijon:</w:t>
      </w:r>
    </w:p>
    <w:p w14:paraId="2D54A1F0" w14:textId="77777777" w:rsidR="005D0EED" w:rsidRDefault="005D0EED" w:rsidP="005B6C97">
      <w:pPr>
        <w:tabs>
          <w:tab w:val="left" w:pos="0"/>
        </w:tabs>
        <w:spacing w:after="0" w:line="240" w:lineRule="auto"/>
        <w:jc w:val="both"/>
        <w:rPr>
          <w:rFonts w:ascii="Times New Roman" w:eastAsia="Times New Roman" w:hAnsi="Times New Roman" w:cs="Times New Roman"/>
          <w:sz w:val="24"/>
          <w:szCs w:val="24"/>
          <w:lang w:val="sq-AL"/>
        </w:rPr>
      </w:pPr>
    </w:p>
    <w:p w14:paraId="4A3E68CA" w14:textId="6A74377C" w:rsidR="00DF3B17" w:rsidRPr="00227F4B" w:rsidRDefault="00DF3B17" w:rsidP="00227F4B">
      <w:p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b/>
          <w:sz w:val="24"/>
          <w:szCs w:val="24"/>
          <w:lang w:val="sq-AL"/>
        </w:rPr>
        <w:t>Drejtoria e Përgjithme e Borxhit Shtetëror</w:t>
      </w:r>
      <w:r w:rsidRPr="00227F4B">
        <w:rPr>
          <w:rFonts w:ascii="Times New Roman" w:eastAsia="Times New Roman" w:hAnsi="Times New Roman" w:cs="Times New Roman"/>
          <w:sz w:val="24"/>
          <w:szCs w:val="24"/>
          <w:lang w:val="sq-AL"/>
        </w:rPr>
        <w:t xml:space="preserve"> 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rmjet memo Nr. 2285/8 Prot., dat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05.03.2024 ka përcjell</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disa sakt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sime 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formulim apo terminologji, si vijon:</w:t>
      </w:r>
    </w:p>
    <w:p w14:paraId="57C4F47F" w14:textId="1204233F" w:rsidR="00DF3B17"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 përmbledhja ekzekutive,</w:t>
      </w:r>
      <w:r w:rsidR="00DF3B17" w:rsidRPr="00227F4B">
        <w:rPr>
          <w:rFonts w:ascii="Times New Roman" w:eastAsia="Times New Roman" w:hAnsi="Times New Roman" w:cs="Times New Roman"/>
          <w:sz w:val="24"/>
          <w:szCs w:val="24"/>
          <w:lang w:val="sq-AL"/>
        </w:rPr>
        <w:t xml:space="preserve"> tek Shtylla 4: Kontabiliteti dhe Menaxhimi i Zbatimit të Buxhetit, pika 10,... “Forcimi i raporti</w:t>
      </w:r>
      <w:r w:rsidR="00A51263" w:rsidRPr="00227F4B">
        <w:rPr>
          <w:rFonts w:ascii="Times New Roman" w:eastAsia="Times New Roman" w:hAnsi="Times New Roman" w:cs="Times New Roman"/>
          <w:sz w:val="24"/>
          <w:szCs w:val="24"/>
          <w:lang w:val="sq-AL"/>
        </w:rPr>
        <w:t>mit</w:t>
      </w:r>
      <w:r w:rsidR="00DF3B17" w:rsidRPr="00227F4B">
        <w:rPr>
          <w:rFonts w:ascii="Times New Roman" w:eastAsia="Times New Roman" w:hAnsi="Times New Roman" w:cs="Times New Roman"/>
          <w:sz w:val="24"/>
          <w:szCs w:val="24"/>
          <w:lang w:val="sq-AL"/>
        </w:rPr>
        <w:t xml:space="preserve"> t</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 xml:space="preserve"> menaxhimit t</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 xml:space="preserve"> borxhit dhe Marr</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dh</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nieve me investitor</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w:t>
      </w:r>
      <w:r w:rsidR="008F7A33" w:rsidRPr="00227F4B">
        <w:rPr>
          <w:rFonts w:ascii="Times New Roman" w:eastAsia="Times New Roman" w:hAnsi="Times New Roman" w:cs="Times New Roman"/>
          <w:sz w:val="24"/>
          <w:szCs w:val="24"/>
          <w:lang w:val="sq-AL"/>
        </w:rPr>
        <w:t xml:space="preserve">, </w:t>
      </w:r>
      <w:r w:rsidR="008F7A33" w:rsidRPr="00227F4B">
        <w:rPr>
          <w:rFonts w:ascii="Times New Roman" w:eastAsia="Times New Roman" w:hAnsi="Times New Roman" w:cs="Times New Roman"/>
          <w:b/>
          <w:sz w:val="24"/>
          <w:szCs w:val="24"/>
          <w:lang w:val="sq-AL"/>
        </w:rPr>
        <w:t>propozohet t</w:t>
      </w:r>
      <w:r w:rsidR="00293B62" w:rsidRPr="00227F4B">
        <w:rPr>
          <w:rFonts w:ascii="Times New Roman" w:eastAsia="Times New Roman" w:hAnsi="Times New Roman" w:cs="Times New Roman"/>
          <w:b/>
          <w:sz w:val="24"/>
          <w:szCs w:val="24"/>
          <w:lang w:val="sq-AL"/>
        </w:rPr>
        <w:t>ë</w:t>
      </w:r>
      <w:r w:rsidR="008F7A33" w:rsidRPr="00227F4B">
        <w:rPr>
          <w:rFonts w:ascii="Times New Roman" w:eastAsia="Times New Roman" w:hAnsi="Times New Roman" w:cs="Times New Roman"/>
          <w:b/>
          <w:sz w:val="24"/>
          <w:szCs w:val="24"/>
          <w:lang w:val="sq-AL"/>
        </w:rPr>
        <w:t xml:space="preserve"> ndryshohet</w:t>
      </w:r>
      <w:r w:rsidR="008F7A33" w:rsidRPr="00227F4B">
        <w:rPr>
          <w:rFonts w:ascii="Times New Roman" w:eastAsia="Times New Roman" w:hAnsi="Times New Roman" w:cs="Times New Roman"/>
          <w:sz w:val="24"/>
          <w:szCs w:val="24"/>
          <w:lang w:val="sq-AL"/>
        </w:rPr>
        <w:t xml:space="preserve"> n</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 xml:space="preserve"> “Forcimi i </w:t>
      </w:r>
      <w:r w:rsidR="00A51263" w:rsidRPr="00227F4B">
        <w:rPr>
          <w:rFonts w:ascii="Times New Roman" w:eastAsia="Times New Roman" w:hAnsi="Times New Roman" w:cs="Times New Roman"/>
          <w:sz w:val="24"/>
          <w:szCs w:val="24"/>
          <w:lang w:val="sq-AL"/>
        </w:rPr>
        <w:t>raportimit</w:t>
      </w:r>
      <w:r w:rsidR="00DF3B17" w:rsidRPr="00227F4B">
        <w:rPr>
          <w:rFonts w:ascii="Times New Roman" w:eastAsia="Times New Roman" w:hAnsi="Times New Roman" w:cs="Times New Roman"/>
          <w:sz w:val="24"/>
          <w:szCs w:val="24"/>
          <w:lang w:val="sq-AL"/>
        </w:rPr>
        <w:t xml:space="preserve"> mbi menaxhimin e borxhit dhe marr</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dh</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nieve me investitor</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t”.</w:t>
      </w:r>
    </w:p>
    <w:p w14:paraId="2C6E1208" w14:textId="03D8BFEC" w:rsidR="00DF3B17"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 përmbledhja ekzekutive,</w:t>
      </w:r>
      <w:r w:rsidR="00DF3B17" w:rsidRPr="00227F4B">
        <w:rPr>
          <w:rFonts w:ascii="Times New Roman" w:eastAsia="Times New Roman" w:hAnsi="Times New Roman" w:cs="Times New Roman"/>
          <w:sz w:val="24"/>
          <w:szCs w:val="24"/>
          <w:lang w:val="sq-AL"/>
        </w:rPr>
        <w:t xml:space="preserve"> tek Shtylla 4: Kontabiliteti dhe Menaxhimi i Zbatimit të Buxhetit, pika 11,... “Zhvillimi i nj</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 xml:space="preserve"> kuadri gjith</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rfshir</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s p</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r sigurimin e garancive dhe huadh</w:t>
      </w:r>
      <w:r w:rsidR="00293B62" w:rsidRPr="00227F4B">
        <w:rPr>
          <w:rFonts w:ascii="Times New Roman" w:eastAsia="Times New Roman" w:hAnsi="Times New Roman" w:cs="Times New Roman"/>
          <w:sz w:val="24"/>
          <w:szCs w:val="24"/>
          <w:lang w:val="sq-AL"/>
        </w:rPr>
        <w:t>ë</w:t>
      </w:r>
      <w:r w:rsidR="00DF3B17" w:rsidRPr="00227F4B">
        <w:rPr>
          <w:rFonts w:ascii="Times New Roman" w:eastAsia="Times New Roman" w:hAnsi="Times New Roman" w:cs="Times New Roman"/>
          <w:sz w:val="24"/>
          <w:szCs w:val="24"/>
          <w:lang w:val="sq-AL"/>
        </w:rPr>
        <w:t>nies”</w:t>
      </w:r>
      <w:r w:rsidR="00A51263" w:rsidRPr="00227F4B">
        <w:rPr>
          <w:rFonts w:ascii="Times New Roman" w:eastAsia="Times New Roman" w:hAnsi="Times New Roman" w:cs="Times New Roman"/>
          <w:sz w:val="24"/>
          <w:szCs w:val="24"/>
          <w:lang w:val="sq-AL"/>
        </w:rPr>
        <w:t xml:space="preserve"> propozohet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“Zhvillimi i nj</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kuadri gjith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rfshir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s 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dh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nien e garancive dhe n</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nhuave”.</w:t>
      </w:r>
    </w:p>
    <w:p w14:paraId="213BD397" w14:textId="2E93AB90" w:rsidR="00A5126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 përmbledhja ekzekutive,</w:t>
      </w:r>
      <w:r w:rsidR="00A51263" w:rsidRPr="00227F4B">
        <w:rPr>
          <w:rFonts w:ascii="Times New Roman" w:eastAsia="Times New Roman" w:hAnsi="Times New Roman" w:cs="Times New Roman"/>
          <w:sz w:val="24"/>
          <w:szCs w:val="24"/>
          <w:lang w:val="sq-AL"/>
        </w:rPr>
        <w:t xml:space="preserve"> tek Shtylla 4: Kontabiliteti dhe Menaxhimi i Zbatimit të Buxhetit, pika 12,... “Fillimi i zhvillimit gradual i vler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simit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nevojsh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m 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instrumente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reja alternative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financimit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gjelb</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Social ose Q</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ndrueshm</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ri ose Instrumente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tjera)” </w:t>
      </w:r>
      <w:r w:rsidR="008F7A33" w:rsidRPr="00227F4B">
        <w:rPr>
          <w:rFonts w:ascii="Times New Roman" w:eastAsia="Times New Roman" w:hAnsi="Times New Roman" w:cs="Times New Roman"/>
          <w:sz w:val="24"/>
          <w:szCs w:val="24"/>
          <w:lang w:val="sq-AL"/>
        </w:rPr>
        <w:t>propozohet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“Fillimi i zhvillimit gradualisht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vler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simit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nevojsh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m 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instrumente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reja alternative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financimit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Gjelb</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Social</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të Qëndrueshmërisë ose instrumente të tjera)”.</w:t>
      </w:r>
    </w:p>
    <w:p w14:paraId="3058C08F" w14:textId="454489EA" w:rsidR="00A5126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w:t>
      </w:r>
      <w:r w:rsidR="00A51263" w:rsidRPr="00227F4B">
        <w:rPr>
          <w:rFonts w:ascii="Times New Roman" w:eastAsia="Times New Roman" w:hAnsi="Times New Roman" w:cs="Times New Roman"/>
          <w:sz w:val="24"/>
          <w:szCs w:val="24"/>
          <w:lang w:val="sq-AL"/>
        </w:rPr>
        <w:t xml:space="preserve"> komponenti 4.4 Menaxhimi i Borxhit, masa 4.4.1 “Forcimi i raportimit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menaxhimit t</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borxhit dhe Marr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dh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nieve me investitor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w:t>
      </w:r>
      <w:r w:rsidR="008F7A33" w:rsidRPr="00227F4B">
        <w:rPr>
          <w:rFonts w:ascii="Times New Roman" w:eastAsia="Times New Roman" w:hAnsi="Times New Roman" w:cs="Times New Roman"/>
          <w:sz w:val="24"/>
          <w:szCs w:val="24"/>
          <w:lang w:val="sq-AL"/>
        </w:rPr>
        <w:t>, propozohet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“Forcimi i raportimit mbi menaxhimin e borxhit dhe marr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dh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nieve me investitor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t”.</w:t>
      </w:r>
    </w:p>
    <w:p w14:paraId="2F62D199" w14:textId="10E425EA" w:rsidR="00A5126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w:t>
      </w:r>
      <w:r w:rsidR="00A51263" w:rsidRPr="00227F4B">
        <w:rPr>
          <w:rFonts w:ascii="Times New Roman" w:eastAsia="Times New Roman" w:hAnsi="Times New Roman" w:cs="Times New Roman"/>
          <w:sz w:val="24"/>
          <w:szCs w:val="24"/>
          <w:lang w:val="sq-AL"/>
        </w:rPr>
        <w:t xml:space="preserve"> komponenti 4.4 Menaxhimi i Borxhit, masa 4.4.2 “Zhvillimi i nj</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kuadri gjith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rfshir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s 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sigurimin e garancive dhe huadh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nies” </w:t>
      </w:r>
      <w:r w:rsidR="008F7A33" w:rsidRPr="00227F4B">
        <w:rPr>
          <w:rFonts w:ascii="Times New Roman" w:eastAsia="Times New Roman" w:hAnsi="Times New Roman" w:cs="Times New Roman"/>
          <w:sz w:val="24"/>
          <w:szCs w:val="24"/>
          <w:lang w:val="sq-AL"/>
        </w:rPr>
        <w:t>propozohet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“Zhvillimi i nj</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 kuadri gjith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rfshir</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s p</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r dh</w:t>
      </w:r>
      <w:r w:rsidR="00293B62" w:rsidRPr="00227F4B">
        <w:rPr>
          <w:rFonts w:ascii="Times New Roman" w:eastAsia="Times New Roman" w:hAnsi="Times New Roman" w:cs="Times New Roman"/>
          <w:sz w:val="24"/>
          <w:szCs w:val="24"/>
          <w:lang w:val="sq-AL"/>
        </w:rPr>
        <w:t>ë</w:t>
      </w:r>
      <w:r w:rsidR="00A51263" w:rsidRPr="00227F4B">
        <w:rPr>
          <w:rFonts w:ascii="Times New Roman" w:eastAsia="Times New Roman" w:hAnsi="Times New Roman" w:cs="Times New Roman"/>
          <w:sz w:val="24"/>
          <w:szCs w:val="24"/>
          <w:lang w:val="sq-AL"/>
        </w:rPr>
        <w:t xml:space="preserve">nien e garancive dhe </w:t>
      </w:r>
      <w:r w:rsidR="008F7A33"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nhuadh</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nies</w:t>
      </w:r>
      <w:r w:rsidR="00A51263" w:rsidRPr="00227F4B">
        <w:rPr>
          <w:rFonts w:ascii="Times New Roman" w:eastAsia="Times New Roman" w:hAnsi="Times New Roman" w:cs="Times New Roman"/>
          <w:sz w:val="24"/>
          <w:szCs w:val="24"/>
          <w:lang w:val="sq-AL"/>
        </w:rPr>
        <w:t>”.</w:t>
      </w:r>
    </w:p>
    <w:p w14:paraId="5F1CE659" w14:textId="754E46E8" w:rsidR="008F7A3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w:t>
      </w:r>
      <w:r w:rsidR="008F7A33" w:rsidRPr="00227F4B">
        <w:rPr>
          <w:rFonts w:ascii="Times New Roman" w:eastAsia="Times New Roman" w:hAnsi="Times New Roman" w:cs="Times New Roman"/>
          <w:sz w:val="24"/>
          <w:szCs w:val="24"/>
          <w:lang w:val="sq-AL"/>
        </w:rPr>
        <w:t xml:space="preserve"> komponenti 4.4 Menaxhimi i Borxhit, masa 4.4.3 “Fillimi i zhvillimit gradual i vler</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simit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nevojsh</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m p</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r instrumente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reja alternative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financimit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gjelb</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r, Social ose Q</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ndrueshm</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ri ose Instrumente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tjera)” propozohet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“Fillimi i zhvillimit gradualisht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vler</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simit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nevojsh</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m p</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r instrumente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reja alternative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financimit (t</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xml:space="preserve"> Gjelb</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r, Social</w:t>
      </w:r>
      <w:r w:rsidR="00293B62" w:rsidRPr="00227F4B">
        <w:rPr>
          <w:rFonts w:ascii="Times New Roman" w:eastAsia="Times New Roman" w:hAnsi="Times New Roman" w:cs="Times New Roman"/>
          <w:sz w:val="24"/>
          <w:szCs w:val="24"/>
          <w:lang w:val="sq-AL"/>
        </w:rPr>
        <w:t>ë</w:t>
      </w:r>
      <w:r w:rsidR="008F7A33" w:rsidRPr="00227F4B">
        <w:rPr>
          <w:rFonts w:ascii="Times New Roman" w:eastAsia="Times New Roman" w:hAnsi="Times New Roman" w:cs="Times New Roman"/>
          <w:sz w:val="24"/>
          <w:szCs w:val="24"/>
          <w:lang w:val="sq-AL"/>
        </w:rPr>
        <w:t>, të Qëndrueshmërisë ose instrumente të tjera)”.</w:t>
      </w:r>
    </w:p>
    <w:p w14:paraId="7E4837AD" w14:textId="30921259" w:rsidR="00A5126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w:t>
      </w:r>
      <w:r w:rsidR="00527D73" w:rsidRPr="00227F4B">
        <w:rPr>
          <w:rFonts w:ascii="Times New Roman" w:eastAsia="Times New Roman" w:hAnsi="Times New Roman" w:cs="Times New Roman"/>
          <w:sz w:val="24"/>
          <w:szCs w:val="24"/>
          <w:lang w:val="sq-AL"/>
        </w:rPr>
        <w:t>e konteksti, fjalia “Kuadri ligjor ligjor i menaxhimit të borxhit është konsoliduar, me disa ndryshime të zbatuara kohët e fundit për të reflektuar përmirësimet p</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r përgatitjen e Strategjisë së Menaxhimit të Borxhit (SMB)” propozohet të ndryshohet n</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“Kuadri ligjor i menaxhimit të borxhit është konsoliduar, me disa ndryshime të realizuara kohët e fundit për të reflektuar përmirësime mbi përgatitjen e Strategjisë së Menaxhimit të Borxhit (SMB)”.</w:t>
      </w:r>
    </w:p>
    <w:p w14:paraId="7E5FA394" w14:textId="5482A1C8" w:rsidR="00527D7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w:t>
      </w:r>
      <w:r w:rsidR="00527D73" w:rsidRPr="00227F4B">
        <w:rPr>
          <w:rFonts w:ascii="Times New Roman" w:eastAsia="Times New Roman" w:hAnsi="Times New Roman" w:cs="Times New Roman"/>
          <w:sz w:val="24"/>
          <w:szCs w:val="24"/>
          <w:lang w:val="sq-AL"/>
        </w:rPr>
        <w:t>e konteksti, fjalia “Nj</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kalendar tremujor i ankandeve publikohet në kohë, duke plotësuar një plan vjetor të emetimit të brendshëm të përfshirë në planin vjetor të huamarrjes”</w:t>
      </w:r>
      <w:r w:rsidR="00527D73" w:rsidRPr="00227F4B">
        <w:rPr>
          <w:rFonts w:ascii="Times New Roman" w:hAnsi="Times New Roman" w:cs="Times New Roman"/>
          <w:sz w:val="24"/>
          <w:szCs w:val="24"/>
          <w:lang w:val="en-GB"/>
        </w:rPr>
        <w:t xml:space="preserve"> </w:t>
      </w:r>
      <w:r w:rsidR="00527D73" w:rsidRPr="00227F4B">
        <w:rPr>
          <w:rFonts w:ascii="Times New Roman" w:eastAsia="Times New Roman" w:hAnsi="Times New Roman" w:cs="Times New Roman"/>
          <w:sz w:val="24"/>
          <w:szCs w:val="24"/>
          <w:lang w:val="sq-AL"/>
        </w:rPr>
        <w:t>propozohet t</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“Kalendari tremujor i </w:t>
      </w:r>
      <w:r w:rsidR="00527D73" w:rsidRPr="00227F4B">
        <w:rPr>
          <w:rFonts w:ascii="Times New Roman" w:eastAsia="Times New Roman" w:hAnsi="Times New Roman" w:cs="Times New Roman"/>
          <w:sz w:val="24"/>
          <w:szCs w:val="24"/>
          <w:lang w:val="sq-AL"/>
        </w:rPr>
        <w:lastRenderedPageBreak/>
        <w:t>ankandeve publikohet në kohë, duke plotësuar një plan vjetor të emetimit të brendshëm të përfshirë në planin vjetor të huamarrjes”.</w:t>
      </w:r>
    </w:p>
    <w:p w14:paraId="44CC8D60" w14:textId="0D6C8ADC" w:rsidR="00527D73"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w:t>
      </w:r>
      <w:r w:rsidR="00527D73" w:rsidRPr="00227F4B">
        <w:rPr>
          <w:rFonts w:ascii="Times New Roman" w:eastAsia="Times New Roman" w:hAnsi="Times New Roman" w:cs="Times New Roman"/>
          <w:sz w:val="24"/>
          <w:szCs w:val="24"/>
          <w:lang w:val="sq-AL"/>
        </w:rPr>
        <w:t xml:space="preserve"> konteksti, fjalit</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“Garancitë dhe huadhënia është e rregulluar mirë në ligjin e borxhit, megjithatë një kuadër i duhur mbetet ende për t'u zhvilluar. DPB kryen një vlerësim të riskut të kredisë për NSH-të dhe qeverinë vendore që kërkojnë garanci ose kur përfitojnë nga operacionet e huadhënies” propozohet t</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ndryshohen n</w:t>
      </w:r>
      <w:r w:rsidR="00293B62" w:rsidRPr="00227F4B">
        <w:rPr>
          <w:rFonts w:ascii="Times New Roman" w:eastAsia="Times New Roman" w:hAnsi="Times New Roman" w:cs="Times New Roman"/>
          <w:sz w:val="24"/>
          <w:szCs w:val="24"/>
          <w:lang w:val="sq-AL"/>
        </w:rPr>
        <w:t>ë</w:t>
      </w:r>
      <w:r w:rsidR="00527D73" w:rsidRPr="00227F4B">
        <w:rPr>
          <w:rFonts w:ascii="Times New Roman" w:eastAsia="Times New Roman" w:hAnsi="Times New Roman" w:cs="Times New Roman"/>
          <w:sz w:val="24"/>
          <w:szCs w:val="24"/>
          <w:lang w:val="sq-AL"/>
        </w:rPr>
        <w:t xml:space="preserve"> “Garancitë dhe nën-huadhënia është e rregulluar mirë në ligjin e borxhit, megjithatë një kuadër i duhur mbetet ende për t'u zhvilluar. DPB kryen një vlerësim të riskut të kredisë për NSH-të dhe qeverinë vendore që kërkojnë garanci ose kur përfitojnë nga operacionet e nën-huadhënies”.</w:t>
      </w:r>
    </w:p>
    <w:p w14:paraId="31CCCEA2" w14:textId="7C071440" w:rsidR="00531685" w:rsidRPr="00227F4B"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Te</w:t>
      </w:r>
      <w:r w:rsidR="00531685" w:rsidRPr="00227F4B">
        <w:rPr>
          <w:rFonts w:ascii="Times New Roman" w:eastAsia="Times New Roman" w:hAnsi="Times New Roman" w:cs="Times New Roman"/>
          <w:sz w:val="24"/>
          <w:szCs w:val="24"/>
          <w:lang w:val="sq-AL"/>
        </w:rPr>
        <w:t xml:space="preserve"> prioritetet, pikat “Forcimi i raportimit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menaxhimit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borxhit dhe marr</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dh</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niet me investitor</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t” dhe “Zhvillimi i nj</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kuadri gjith</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p</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rfshir</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s p</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r dh</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nien e garancive dhe huadh</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nies ,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mb</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shtetur mbështetur nga një metodologji vlerësimi e formalizuar e fokusuar në menaxhimin e riskut të portofolit të mundshëm të ardhshëm” propozohet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ndryshohen n</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“Forcimi i raportimit mbi menaxhimin e borxhit dhe marrëdhënieve me investitorët” dhe “Zhvillimi i një kuadri gjithëpërfshirës për dhënien e garancive dhe nën-huave, të mbështetur nga një metodologji vlerësimi e formalizuar e fokusuar në menaxhimin e riskut të portofolit të mundshëm të ardhshëm”. </w:t>
      </w:r>
    </w:p>
    <w:p w14:paraId="7261FDD3" w14:textId="2B6D8F0C" w:rsidR="00531685" w:rsidRDefault="00227F4B" w:rsidP="00227F4B">
      <w:pPr>
        <w:pStyle w:val="ListParagraph"/>
        <w:numPr>
          <w:ilvl w:val="0"/>
          <w:numId w:val="22"/>
        </w:num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w:t>
      </w:r>
      <w:r w:rsidR="00531685" w:rsidRPr="00227F4B">
        <w:rPr>
          <w:rFonts w:ascii="Times New Roman" w:eastAsia="Times New Roman" w:hAnsi="Times New Roman" w:cs="Times New Roman"/>
          <w:sz w:val="24"/>
          <w:szCs w:val="24"/>
          <w:lang w:val="sq-AL"/>
        </w:rPr>
        <w:t>ktiviteti “Kryerja e nj</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vler</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simi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bonove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ndryshme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gjelbra dhe instrumenteve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tjera alternative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financimit dhe se si ato mund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zbatohen” propozohet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ndryshohet n</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“Kryerja e nj</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vler</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simi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instrumentave/obligacioneve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ndryshme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gjelbra dhe instrumenteve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tjera alternative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financimit dhe se si ato mund t</w:t>
      </w:r>
      <w:r w:rsidR="00293B62" w:rsidRPr="00227F4B">
        <w:rPr>
          <w:rFonts w:ascii="Times New Roman" w:eastAsia="Times New Roman" w:hAnsi="Times New Roman" w:cs="Times New Roman"/>
          <w:sz w:val="24"/>
          <w:szCs w:val="24"/>
          <w:lang w:val="sq-AL"/>
        </w:rPr>
        <w:t>ë</w:t>
      </w:r>
      <w:r w:rsidR="00531685" w:rsidRPr="00227F4B">
        <w:rPr>
          <w:rFonts w:ascii="Times New Roman" w:eastAsia="Times New Roman" w:hAnsi="Times New Roman" w:cs="Times New Roman"/>
          <w:sz w:val="24"/>
          <w:szCs w:val="24"/>
          <w:lang w:val="sq-AL"/>
        </w:rPr>
        <w:t xml:space="preserve"> zbatohen” </w:t>
      </w:r>
    </w:p>
    <w:p w14:paraId="253F2E36" w14:textId="77777777" w:rsidR="00227F4B" w:rsidRDefault="00227F4B" w:rsidP="00227F4B">
      <w:pPr>
        <w:tabs>
          <w:tab w:val="left" w:pos="0"/>
        </w:tabs>
        <w:spacing w:after="0"/>
        <w:jc w:val="both"/>
        <w:rPr>
          <w:rFonts w:ascii="Times New Roman" w:eastAsia="Times New Roman" w:hAnsi="Times New Roman" w:cs="Times New Roman"/>
          <w:sz w:val="24"/>
          <w:szCs w:val="24"/>
          <w:lang w:val="sq-AL"/>
        </w:rPr>
      </w:pPr>
    </w:p>
    <w:p w14:paraId="251577C8" w14:textId="5CEDFE21" w:rsidR="00227F4B" w:rsidRPr="00227F4B" w:rsidRDefault="00227F4B" w:rsidP="00227F4B">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gjitha ndryshimet e mësipërme janë reflektuar ashtu sikurse përcjellë nga Drejtoria e Përgjithshme e Borxhit Shtetëror.</w:t>
      </w:r>
    </w:p>
    <w:p w14:paraId="0ECAEF74" w14:textId="5746F229" w:rsidR="00DF3B17" w:rsidRPr="00227F4B" w:rsidRDefault="00DF3B17" w:rsidP="00227F4B">
      <w:p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 </w:t>
      </w:r>
    </w:p>
    <w:p w14:paraId="0CFCCC9E" w14:textId="77777777" w:rsidR="005A5353" w:rsidRPr="00227F4B" w:rsidRDefault="00845815" w:rsidP="00227F4B">
      <w:p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b/>
          <w:bCs/>
          <w:sz w:val="24"/>
          <w:szCs w:val="24"/>
          <w:lang w:val="sq-AL"/>
        </w:rPr>
        <w:t>Agjencia e Prokurimit Publik</w:t>
      </w:r>
      <w:r w:rsidRPr="00227F4B">
        <w:rPr>
          <w:rFonts w:ascii="Times New Roman" w:eastAsia="Times New Roman" w:hAnsi="Times New Roman" w:cs="Times New Roman"/>
          <w:sz w:val="24"/>
          <w:szCs w:val="24"/>
          <w:lang w:val="sq-AL"/>
        </w:rPr>
        <w:t xml:space="preserve"> </w:t>
      </w:r>
      <w:r w:rsidR="00470FA0" w:rsidRPr="00227F4B">
        <w:rPr>
          <w:rFonts w:ascii="Times New Roman" w:eastAsia="Times New Roman" w:hAnsi="Times New Roman" w:cs="Times New Roman"/>
          <w:sz w:val="24"/>
          <w:szCs w:val="24"/>
          <w:lang w:val="sq-AL"/>
        </w:rPr>
        <w:t xml:space="preserve">nëpërmjet </w:t>
      </w:r>
      <w:r w:rsidRPr="00227F4B">
        <w:rPr>
          <w:rFonts w:ascii="Times New Roman" w:eastAsia="Times New Roman" w:hAnsi="Times New Roman" w:cs="Times New Roman"/>
          <w:sz w:val="24"/>
          <w:szCs w:val="24"/>
          <w:lang w:val="sq-AL"/>
        </w:rPr>
        <w:t>shkresë</w:t>
      </w:r>
      <w:r w:rsidR="00470FA0" w:rsidRPr="00227F4B">
        <w:rPr>
          <w:rFonts w:ascii="Times New Roman" w:eastAsia="Times New Roman" w:hAnsi="Times New Roman" w:cs="Times New Roman"/>
          <w:sz w:val="24"/>
          <w:szCs w:val="24"/>
          <w:lang w:val="sq-AL"/>
        </w:rPr>
        <w:t>s</w:t>
      </w:r>
      <w:r w:rsidRPr="00227F4B">
        <w:rPr>
          <w:rFonts w:ascii="Times New Roman" w:eastAsia="Times New Roman" w:hAnsi="Times New Roman" w:cs="Times New Roman"/>
          <w:sz w:val="24"/>
          <w:szCs w:val="24"/>
          <w:lang w:val="sq-AL"/>
        </w:rPr>
        <w:t xml:space="preserve"> nr. 1987/1 prot, datë 01.03.2024</w:t>
      </w:r>
      <w:r w:rsidR="00470FA0" w:rsidRPr="00227F4B">
        <w:rPr>
          <w:rFonts w:ascii="Times New Roman" w:eastAsia="Times New Roman" w:hAnsi="Times New Roman" w:cs="Times New Roman"/>
          <w:sz w:val="24"/>
          <w:szCs w:val="24"/>
          <w:lang w:val="sq-AL"/>
        </w:rPr>
        <w:t xml:space="preserve"> ka </w:t>
      </w:r>
      <w:r w:rsidR="005A5353" w:rsidRPr="00227F4B">
        <w:rPr>
          <w:rFonts w:ascii="Times New Roman" w:eastAsia="Times New Roman" w:hAnsi="Times New Roman" w:cs="Times New Roman"/>
          <w:sz w:val="24"/>
          <w:szCs w:val="24"/>
          <w:lang w:val="sq-AL"/>
        </w:rPr>
        <w:t>p</w:t>
      </w:r>
      <w:r w:rsidR="00470FA0" w:rsidRPr="00227F4B">
        <w:rPr>
          <w:rFonts w:ascii="Times New Roman" w:eastAsia="Times New Roman" w:hAnsi="Times New Roman" w:cs="Times New Roman"/>
          <w:sz w:val="24"/>
          <w:szCs w:val="24"/>
          <w:lang w:val="sq-AL"/>
        </w:rPr>
        <w:t>ër</w:t>
      </w:r>
      <w:r w:rsidR="005A5353" w:rsidRPr="00227F4B">
        <w:rPr>
          <w:rFonts w:ascii="Times New Roman" w:eastAsia="Times New Roman" w:hAnsi="Times New Roman" w:cs="Times New Roman"/>
          <w:sz w:val="24"/>
          <w:szCs w:val="24"/>
          <w:lang w:val="sq-AL"/>
        </w:rPr>
        <w:t>cjell</w:t>
      </w:r>
      <w:r w:rsidR="00470FA0" w:rsidRPr="00227F4B">
        <w:rPr>
          <w:rFonts w:ascii="Times New Roman" w:eastAsia="Times New Roman" w:hAnsi="Times New Roman" w:cs="Times New Roman"/>
          <w:sz w:val="24"/>
          <w:szCs w:val="24"/>
          <w:lang w:val="sq-AL"/>
        </w:rPr>
        <w:t>ë disa saktësime dhe sugjerime</w:t>
      </w:r>
      <w:r w:rsidR="005A5353" w:rsidRPr="00227F4B">
        <w:rPr>
          <w:rFonts w:ascii="Times New Roman" w:eastAsia="Times New Roman" w:hAnsi="Times New Roman" w:cs="Times New Roman"/>
          <w:sz w:val="24"/>
          <w:szCs w:val="24"/>
          <w:lang w:val="sq-AL"/>
        </w:rPr>
        <w:t>,</w:t>
      </w:r>
      <w:r w:rsidR="00470FA0" w:rsidRPr="00227F4B">
        <w:rPr>
          <w:rFonts w:ascii="Times New Roman" w:eastAsia="Times New Roman" w:hAnsi="Times New Roman" w:cs="Times New Roman"/>
          <w:sz w:val="24"/>
          <w:szCs w:val="24"/>
          <w:lang w:val="sq-AL"/>
        </w:rPr>
        <w:t xml:space="preserve"> si vijon:</w:t>
      </w:r>
    </w:p>
    <w:p w14:paraId="68895A5A" w14:textId="120E626E" w:rsidR="005A5353"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EB349C" w:rsidRPr="00227F4B">
        <w:rPr>
          <w:rFonts w:ascii="Times New Roman" w:eastAsia="Times New Roman" w:hAnsi="Times New Roman" w:cs="Times New Roman"/>
          <w:sz w:val="24"/>
          <w:szCs w:val="24"/>
          <w:lang w:val="sq-AL"/>
        </w:rPr>
        <w:t>ë faqen 7 të dokumentit tek Shtylla 4: Kontabiliteti dhe Menaxhimi i Zbatimit të Buxhetit, pika 6, ... “Përmirësimi i përputhshmërisë me procedurat e prokurimit dhe parandalimit të korrupsionit në ciklin e prokurimit”, propozojnë të ndryshohet në ... “Përmirësimi i eficencës në procedurat e prokurimit”</w:t>
      </w:r>
      <w:r w:rsidRPr="00227F4B">
        <w:rPr>
          <w:rFonts w:ascii="Times New Roman" w:eastAsia="Times New Roman" w:hAnsi="Times New Roman" w:cs="Times New Roman"/>
          <w:sz w:val="24"/>
          <w:szCs w:val="24"/>
          <w:lang w:val="sq-AL"/>
        </w:rPr>
        <w:t>.</w:t>
      </w:r>
    </w:p>
    <w:p w14:paraId="39381554" w14:textId="2A4934D1" w:rsidR="00845815"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EB349C" w:rsidRPr="00227F4B">
        <w:rPr>
          <w:rFonts w:ascii="Times New Roman" w:eastAsia="Times New Roman" w:hAnsi="Times New Roman" w:cs="Times New Roman"/>
          <w:sz w:val="24"/>
          <w:szCs w:val="24"/>
          <w:lang w:val="sq-AL"/>
        </w:rPr>
        <w:t xml:space="preserve">ë faqen 38 të dokumentit Komponenti 4.3 “Prokurimi Publik” në vend të shprehjes  ... “garantimi i një sistemi prokurimi efikas dhe efektiv në përputhje me parimet e transparencës, konkurrencës së lirë dhe të ndershme, mosdiskriminimit dhe trajtimit të barabartë, duke promovuar dhe inkurajuar një sistem të qëndrueshëm që garanton vlerën e parasë”, propozojnë të ndryshohet ... “garantimi i një sistemi eficent dhe të qëndrueshëm duke promovuar përmirësimin e tij drejt një qasjeje moderne dhe eficente të bazuar në praktikat më të mira ndërkombëtare, në përputhje me parimet e transparencës, konkurrencës së lirë dhe të ndershme, mosdiskriminimit dhe </w:t>
      </w:r>
      <w:r w:rsidR="00EB349C" w:rsidRPr="00227F4B">
        <w:rPr>
          <w:rFonts w:ascii="Times New Roman" w:eastAsia="Times New Roman" w:hAnsi="Times New Roman" w:cs="Times New Roman"/>
          <w:sz w:val="24"/>
          <w:szCs w:val="24"/>
          <w:lang w:val="sq-AL"/>
        </w:rPr>
        <w:lastRenderedPageBreak/>
        <w:t>trajtimit të barabartë, duke promovuar dhe nxitur një sistem të qëndrueshëm që garanton vlerën për para”</w:t>
      </w:r>
      <w:r w:rsidR="000743D7" w:rsidRPr="00227F4B">
        <w:rPr>
          <w:rFonts w:ascii="Times New Roman" w:eastAsia="Times New Roman" w:hAnsi="Times New Roman" w:cs="Times New Roman"/>
          <w:sz w:val="24"/>
          <w:szCs w:val="24"/>
          <w:lang w:val="sq-AL"/>
        </w:rPr>
        <w:t>.</w:t>
      </w:r>
    </w:p>
    <w:p w14:paraId="18D8A5A7" w14:textId="68A3B3D0" w:rsidR="005A5353"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38, Masa 4.3.1 ... “Përmirësimi i përputhshmërisë me procedurat e prokurimit dhe parandalimi i korrupsionit në ciklin e prokurimit”, propozojnë të ndryshohet ... “Përmirësimi i cilësisë dhe eficencës në procedurat e prokurimit”.</w:t>
      </w:r>
    </w:p>
    <w:p w14:paraId="7FFDFC52" w14:textId="0698C267" w:rsidR="005A5353"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42, tek Konteksti, shprehja ... “duke përfshirë miratimin e rregullave të prokurimit publik, udhëzimet për komunikimin në procedurat e prokurimit publik dhe fjalorin e përbashkët të prokurimit”, propozojnë të ndryshohet ... “duke përfshirë miratimin e rregullave të prokurimit publik, VKM për prokurimin e shërbimeve sociale dhe shërbimeve të tjera specifike, fjalorin e përbashkët të prokurimit etj.”.</w:t>
      </w:r>
    </w:p>
    <w:p w14:paraId="4B6897EA" w14:textId="290C1EE9" w:rsidR="005A5353"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42, tek Konteksti, shprehja ... “Përpjekjet për përmirësimin e Sistemit të Prokurimit Elektronik (SPE) u zbatuan me sukses në vitin 2021” propozojnë të ndryshohet ... “Sistemi i Prokurimit Elektronik ka ardhur duke u përmirësuar, duke përfshirë realizimin e funksionaliteteve të reja në SPE për tu përshtatur me ndryshimet e ligjit të ri”.</w:t>
      </w:r>
    </w:p>
    <w:p w14:paraId="4A68943F" w14:textId="3021488E" w:rsidR="005A5353" w:rsidRPr="00227F4B" w:rsidRDefault="005A5353"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43, tek Masat dhe aktivitetet, “Masa 4.3.1 Përmirësimi i përputhshmërisë me procedurat e prokurimit dhe parandalimi i korrupsionit në ciklin e prokurimit” propozojnë të ndryshohet ... “Përmirësimi i cilësisë dhe eficencës në procedurat e prokurimit” dhe te e njëjta pikë, Aktiviteti ... “Të nxjerrë udhërrëfyesin për përdorimin e tenderit ekonomikisht më të favorshëm bazuar në kriteret e kostove (TEMF bazuar në kosto”</w:t>
      </w:r>
      <w:r w:rsidR="001359BC" w:rsidRPr="00227F4B">
        <w:rPr>
          <w:rFonts w:ascii="Times New Roman" w:eastAsia="Times New Roman" w:hAnsi="Times New Roman" w:cs="Times New Roman"/>
          <w:sz w:val="24"/>
          <w:szCs w:val="24"/>
          <w:lang w:val="sq-AL"/>
        </w:rPr>
        <w:t>, propozojnë të ndryshohet ... “Për përdorimin e kriterit të vlerësimit “Oferta ekonomikisht më e favorshme bazuar në kosto” (MEAT) bazuar në kosto”.</w:t>
      </w:r>
    </w:p>
    <w:p w14:paraId="05FB6FEA" w14:textId="6D42057C" w:rsidR="004F6EDB" w:rsidRPr="00227F4B" w:rsidRDefault="004F6EDB"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60, ... Komiteti Drejtues i MFP-së, në vend të ... “Kryetari i Agjencisë së Prokurimit Publik”, propozojnë të ndryshohet ... “Drejtori i Përgjithshëm i APP”.</w:t>
      </w:r>
    </w:p>
    <w:p w14:paraId="7133DA13" w14:textId="58C9E3E7" w:rsidR="004F6EDB" w:rsidRDefault="004F6EDB" w:rsidP="00227F4B">
      <w:pPr>
        <w:pStyle w:val="ListParagraph"/>
        <w:numPr>
          <w:ilvl w:val="0"/>
          <w:numId w:val="10"/>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Në faqen 64, Agjencia e Prokurimit Publik (institucion i pavarur) të spostohet nga institucionet e pavarura tek institucionet në varësi të Kryeministrit.</w:t>
      </w:r>
    </w:p>
    <w:p w14:paraId="0A7E2ADE" w14:textId="77777777" w:rsidR="00227F4B" w:rsidRDefault="00227F4B" w:rsidP="00227F4B">
      <w:pPr>
        <w:tabs>
          <w:tab w:val="left" w:pos="0"/>
        </w:tabs>
        <w:spacing w:after="0"/>
        <w:jc w:val="both"/>
        <w:rPr>
          <w:rFonts w:ascii="Times New Roman" w:eastAsia="Times New Roman" w:hAnsi="Times New Roman" w:cs="Times New Roman"/>
          <w:sz w:val="24"/>
          <w:szCs w:val="24"/>
          <w:lang w:val="sq-AL"/>
        </w:rPr>
      </w:pPr>
    </w:p>
    <w:p w14:paraId="278EE1B7" w14:textId="4479AA11" w:rsidR="00227F4B" w:rsidRPr="00227F4B" w:rsidRDefault="00227F4B" w:rsidP="00227F4B">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gjitha ndryshimet e mësipërme janë reflektuar ashtu sikurse përcjellë nga Agjencia e Prokurimit Publik.</w:t>
      </w:r>
    </w:p>
    <w:p w14:paraId="2C0F88A2" w14:textId="77777777" w:rsidR="00E96854" w:rsidRPr="00227F4B" w:rsidRDefault="00E96854" w:rsidP="00227F4B">
      <w:pPr>
        <w:tabs>
          <w:tab w:val="left" w:pos="0"/>
        </w:tabs>
        <w:spacing w:after="0"/>
        <w:jc w:val="both"/>
        <w:rPr>
          <w:rFonts w:ascii="Times New Roman" w:eastAsia="Times New Roman" w:hAnsi="Times New Roman" w:cs="Times New Roman"/>
          <w:sz w:val="24"/>
          <w:szCs w:val="24"/>
          <w:lang w:val="sq-AL"/>
        </w:rPr>
      </w:pPr>
    </w:p>
    <w:p w14:paraId="0DCECF18" w14:textId="6425DA9D" w:rsidR="004F6EDB" w:rsidRPr="00227F4B" w:rsidRDefault="00845815" w:rsidP="00227F4B">
      <w:p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b/>
          <w:bCs/>
          <w:sz w:val="24"/>
          <w:szCs w:val="24"/>
          <w:lang w:val="sq-AL"/>
        </w:rPr>
        <w:t>Departamenti i Administratës Publike</w:t>
      </w:r>
      <w:r w:rsidR="00EB349C" w:rsidRPr="00227F4B">
        <w:rPr>
          <w:rFonts w:ascii="Times New Roman" w:eastAsia="Times New Roman" w:hAnsi="Times New Roman" w:cs="Times New Roman"/>
          <w:sz w:val="24"/>
          <w:szCs w:val="24"/>
          <w:lang w:val="sq-AL"/>
        </w:rPr>
        <w:t xml:space="preserve"> </w:t>
      </w:r>
      <w:r w:rsidR="004F6EDB" w:rsidRPr="00227F4B">
        <w:rPr>
          <w:rFonts w:ascii="Times New Roman" w:eastAsia="Times New Roman" w:hAnsi="Times New Roman" w:cs="Times New Roman"/>
          <w:sz w:val="24"/>
          <w:szCs w:val="24"/>
          <w:lang w:val="sq-AL"/>
        </w:rPr>
        <w:t>nëpërmjet shkresës nr. 1295/1 prot, datë 07.03.2024</w:t>
      </w:r>
      <w:r w:rsidR="00154D8C" w:rsidRPr="00227F4B">
        <w:rPr>
          <w:rFonts w:ascii="Times New Roman" w:eastAsia="Times New Roman" w:hAnsi="Times New Roman" w:cs="Times New Roman"/>
          <w:sz w:val="24"/>
          <w:szCs w:val="24"/>
          <w:lang w:val="sq-AL"/>
        </w:rPr>
        <w:t xml:space="preserve"> </w:t>
      </w:r>
      <w:r w:rsidR="00EB349C" w:rsidRPr="00227F4B">
        <w:rPr>
          <w:rFonts w:ascii="Times New Roman" w:eastAsia="Times New Roman" w:hAnsi="Times New Roman" w:cs="Times New Roman"/>
          <w:sz w:val="24"/>
          <w:szCs w:val="24"/>
          <w:lang w:val="sq-AL"/>
        </w:rPr>
        <w:t>është shprehur parimisht dakord</w:t>
      </w:r>
      <w:r w:rsidR="004F6EDB" w:rsidRPr="00227F4B">
        <w:rPr>
          <w:rFonts w:ascii="Times New Roman" w:eastAsia="Times New Roman" w:hAnsi="Times New Roman" w:cs="Times New Roman"/>
          <w:sz w:val="24"/>
          <w:szCs w:val="24"/>
          <w:lang w:val="sq-AL"/>
        </w:rPr>
        <w:t xml:space="preserve"> me disa komente:</w:t>
      </w:r>
    </w:p>
    <w:p w14:paraId="34C13BAF" w14:textId="6B51EDA5" w:rsidR="00845815" w:rsidRPr="00227F4B" w:rsidRDefault="004F6EDB" w:rsidP="00227F4B">
      <w:pPr>
        <w:pStyle w:val="ListParagraph"/>
        <w:numPr>
          <w:ilvl w:val="0"/>
          <w:numId w:val="11"/>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D</w:t>
      </w:r>
      <w:r w:rsidR="00EB349C" w:rsidRPr="00227F4B">
        <w:rPr>
          <w:rFonts w:ascii="Times New Roman" w:eastAsia="Times New Roman" w:hAnsi="Times New Roman" w:cs="Times New Roman"/>
          <w:sz w:val="24"/>
          <w:szCs w:val="24"/>
          <w:lang w:val="sq-AL"/>
        </w:rPr>
        <w:t>uke referuar se duhet të sigurohet që në planin e veprimit të strategjisë së MFP-së të detajohen masat dhe aktivitetet që parashikohen të implementohen në vijim të zbatimit të masave për udhërrëfyesin e RAP për pjesën e Menaxhimit të Financave Publike. Në këtë kuadër duhet të sigurohet gjithashtu, që afatet kohore të përcaktuara në udhërrëfyesin e RAP-it të korrespondojnë me afatet e përcaktuara në planin e veprimit të strategjisë në ato ra</w:t>
      </w:r>
      <w:r w:rsidRPr="00227F4B">
        <w:rPr>
          <w:rFonts w:ascii="Times New Roman" w:eastAsia="Times New Roman" w:hAnsi="Times New Roman" w:cs="Times New Roman"/>
          <w:sz w:val="24"/>
          <w:szCs w:val="24"/>
          <w:lang w:val="sq-AL"/>
        </w:rPr>
        <w:t>ste ku aktivitetet e propozuara janë në vijim dhe derivat i masave të parashikuara në udhërrëfyes, duke shmangur mospërputhjet në afate.</w:t>
      </w:r>
      <w:r w:rsidR="00FF2F49" w:rsidRPr="00227F4B">
        <w:rPr>
          <w:rFonts w:ascii="Times New Roman" w:eastAsia="Times New Roman" w:hAnsi="Times New Roman" w:cs="Times New Roman"/>
          <w:sz w:val="24"/>
          <w:szCs w:val="24"/>
          <w:lang w:val="sq-AL"/>
        </w:rPr>
        <w:t xml:space="preserve"> </w:t>
      </w:r>
      <w:r w:rsidR="005602DB" w:rsidRPr="00227F4B">
        <w:rPr>
          <w:rFonts w:ascii="Times New Roman" w:eastAsia="Times New Roman" w:hAnsi="Times New Roman" w:cs="Times New Roman"/>
          <w:sz w:val="24"/>
          <w:szCs w:val="24"/>
          <w:lang w:val="sq-AL"/>
        </w:rPr>
        <w:t>Për të dh dhënë dy shembuj:</w:t>
      </w:r>
    </w:p>
    <w:p w14:paraId="47AF9779" w14:textId="603CE2A7" w:rsidR="005602DB" w:rsidRPr="00227F4B" w:rsidRDefault="005602DB" w:rsidP="00227F4B">
      <w:pPr>
        <w:pStyle w:val="ListParagraph"/>
        <w:numPr>
          <w:ilvl w:val="1"/>
          <w:numId w:val="11"/>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lastRenderedPageBreak/>
        <w:t>N</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udh</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rr</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fyes </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parashikuar masa p</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p</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rdit</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simin e legjislacionit p</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PPP-t</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8C3BD4" w:rsidRPr="00227F4B">
        <w:rPr>
          <w:rFonts w:ascii="Times New Roman" w:eastAsia="Times New Roman" w:hAnsi="Times New Roman" w:cs="Times New Roman"/>
          <w:sz w:val="24"/>
          <w:szCs w:val="24"/>
          <w:lang w:val="sq-AL"/>
        </w:rPr>
        <w:t xml:space="preserve">dhe </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sht</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 xml:space="preserve"> vendosur afati Dhjetor 2024, nd</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rsa n</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 xml:space="preserve"> draftstrategji </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sht</w:t>
      </w:r>
      <w:r w:rsidR="007207FF" w:rsidRPr="00227F4B">
        <w:rPr>
          <w:rFonts w:ascii="Times New Roman" w:eastAsia="Times New Roman" w:hAnsi="Times New Roman" w:cs="Times New Roman"/>
          <w:sz w:val="24"/>
          <w:szCs w:val="24"/>
          <w:lang w:val="sq-AL"/>
        </w:rPr>
        <w:t>ë</w:t>
      </w:r>
      <w:r w:rsidR="008C3BD4" w:rsidRPr="00227F4B">
        <w:rPr>
          <w:rFonts w:ascii="Times New Roman" w:eastAsia="Times New Roman" w:hAnsi="Times New Roman" w:cs="Times New Roman"/>
          <w:sz w:val="24"/>
          <w:szCs w:val="24"/>
          <w:lang w:val="sq-AL"/>
        </w:rPr>
        <w:t xml:space="preserve"> parashikuar afati Dhjetor 2025 (Masa 2.5.3)</w:t>
      </w:r>
    </w:p>
    <w:p w14:paraId="0D8E3767" w14:textId="02818E87" w:rsidR="008C3BD4" w:rsidRPr="00227F4B" w:rsidRDefault="008C3BD4" w:rsidP="00227F4B">
      <w:pPr>
        <w:pStyle w:val="ListParagraph"/>
        <w:tabs>
          <w:tab w:val="left" w:pos="0"/>
        </w:tabs>
        <w:spacing w:after="0"/>
        <w:ind w:left="144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P</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rsa m</w:t>
      </w:r>
      <w:r w:rsidR="007207F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lart, </w:t>
      </w:r>
      <w:r w:rsidRPr="00227F4B">
        <w:rPr>
          <w:rFonts w:ascii="Times New Roman" w:eastAsia="Times New Roman" w:hAnsi="Times New Roman" w:cs="Times New Roman"/>
          <w:b/>
          <w:sz w:val="24"/>
          <w:szCs w:val="24"/>
          <w:lang w:val="sq-AL"/>
        </w:rPr>
        <w:t xml:space="preserve">komenti nuk </w:t>
      </w:r>
      <w:r w:rsidR="007207FF"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sht</w:t>
      </w:r>
      <w:r w:rsidR="007207FF"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reflektuar</w:t>
      </w:r>
      <w:r w:rsidRPr="00227F4B">
        <w:rPr>
          <w:rFonts w:ascii="Times New Roman" w:eastAsia="Times New Roman" w:hAnsi="Times New Roman" w:cs="Times New Roman"/>
          <w:sz w:val="24"/>
          <w:szCs w:val="24"/>
          <w:lang w:val="sq-AL"/>
        </w:rPr>
        <w:t xml:space="preserve">. </w:t>
      </w:r>
      <w:r w:rsidR="007207FF" w:rsidRPr="00227F4B">
        <w:rPr>
          <w:rFonts w:ascii="Times New Roman" w:eastAsia="Times New Roman" w:hAnsi="Times New Roman" w:cs="Times New Roman"/>
          <w:sz w:val="24"/>
          <w:szCs w:val="24"/>
          <w:lang w:val="sq-AL"/>
        </w:rPr>
        <w:t xml:space="preserve">Aktiviteti i përfshirë në strategjinë e MFP-së përfshin jo vetëm përditësimin e legjislacionit, por edhe të akteve nënligjore.  </w:t>
      </w:r>
    </w:p>
    <w:p w14:paraId="670E2A1A" w14:textId="69895ABB" w:rsidR="007207FF" w:rsidRPr="00227F4B" w:rsidRDefault="00D01039" w:rsidP="00227F4B">
      <w:pPr>
        <w:pStyle w:val="ListParagraph"/>
        <w:numPr>
          <w:ilvl w:val="1"/>
          <w:numId w:val="11"/>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Në udhërrëfyes është parashikuar masa për miratimin e ligjit për taksën e pasurisë së paluajtshme dhe është vendosur afati Dhjetor 2024, ndërsa në draftstrategji është parashikuar afati Dhjetor 2025 (masa 3.2.1). </w:t>
      </w:r>
    </w:p>
    <w:p w14:paraId="3F4577B5" w14:textId="24085C8F" w:rsidR="007207FF" w:rsidRPr="00227F4B" w:rsidRDefault="00D01039" w:rsidP="00227F4B">
      <w:pPr>
        <w:pStyle w:val="ListParagraph"/>
        <w:tabs>
          <w:tab w:val="left" w:pos="0"/>
        </w:tabs>
        <w:spacing w:after="0"/>
        <w:ind w:left="144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P</w:t>
      </w:r>
      <w:r w:rsidR="001476AE"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rsa m</w:t>
      </w:r>
      <w:r w:rsidR="001476AE"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lart, </w:t>
      </w:r>
      <w:r w:rsidRPr="00227F4B">
        <w:rPr>
          <w:rFonts w:ascii="Times New Roman" w:eastAsia="Times New Roman" w:hAnsi="Times New Roman" w:cs="Times New Roman"/>
          <w:b/>
          <w:sz w:val="24"/>
          <w:szCs w:val="24"/>
          <w:lang w:val="sq-AL"/>
        </w:rPr>
        <w:t xml:space="preserve">komenti nuk </w:t>
      </w:r>
      <w:r w:rsidR="001476AE"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sht</w:t>
      </w:r>
      <w:r w:rsidR="001476AE"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reflektuar</w:t>
      </w:r>
      <w:r w:rsidRPr="00227F4B">
        <w:rPr>
          <w:rFonts w:ascii="Times New Roman" w:eastAsia="Times New Roman" w:hAnsi="Times New Roman" w:cs="Times New Roman"/>
          <w:sz w:val="24"/>
          <w:szCs w:val="24"/>
          <w:lang w:val="sq-AL"/>
        </w:rPr>
        <w:t xml:space="preserve">. </w:t>
      </w:r>
      <w:r w:rsidR="001476AE" w:rsidRPr="00227F4B">
        <w:rPr>
          <w:rFonts w:ascii="Times New Roman" w:eastAsia="Times New Roman" w:hAnsi="Times New Roman" w:cs="Times New Roman"/>
          <w:sz w:val="24"/>
          <w:szCs w:val="24"/>
          <w:lang w:val="sq-AL"/>
        </w:rPr>
        <w:t xml:space="preserve">Aktiviteti 3.2.1.1 në strategji përfshin dhe aktin nënligjor për vlerësimin e tokës dhe pasurisë. </w:t>
      </w:r>
    </w:p>
    <w:p w14:paraId="11B7FEE0" w14:textId="2DE6DFAB" w:rsidR="004F6EDB" w:rsidRPr="00227F4B" w:rsidRDefault="004F6EDB" w:rsidP="00227F4B">
      <w:pPr>
        <w:pStyle w:val="ListParagraph"/>
        <w:numPr>
          <w:ilvl w:val="0"/>
          <w:numId w:val="11"/>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Lidhur me referencën e dokumentit strategjik mbi Planin Kombëtar të Integrimit Evropian 2023-2025, sugjerojnë të përditësohen vitet duke mbajtur në konsideratë se është miratuar PKIE 2024-2026.</w:t>
      </w:r>
      <w:r w:rsidR="00BA52B7" w:rsidRPr="00227F4B">
        <w:rPr>
          <w:rFonts w:ascii="Times New Roman" w:eastAsia="Times New Roman" w:hAnsi="Times New Roman" w:cs="Times New Roman"/>
          <w:sz w:val="24"/>
          <w:szCs w:val="24"/>
          <w:lang w:val="sq-AL"/>
        </w:rPr>
        <w:t xml:space="preserve"> </w:t>
      </w:r>
      <w:r w:rsidR="00BA52B7" w:rsidRPr="00227F4B">
        <w:rPr>
          <w:rFonts w:ascii="Times New Roman" w:eastAsia="Times New Roman" w:hAnsi="Times New Roman" w:cs="Times New Roman"/>
          <w:b/>
          <w:sz w:val="24"/>
          <w:szCs w:val="24"/>
          <w:lang w:val="sq-AL"/>
        </w:rPr>
        <w:t>Ky koment është reflektuar.</w:t>
      </w:r>
    </w:p>
    <w:p w14:paraId="43E01A03" w14:textId="20428F55" w:rsidR="004F6EDB" w:rsidRPr="00227F4B" w:rsidRDefault="004F6EDB" w:rsidP="00227F4B">
      <w:pPr>
        <w:pStyle w:val="ListParagraph"/>
        <w:numPr>
          <w:ilvl w:val="0"/>
          <w:numId w:val="11"/>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Referenca e strategjisë së MFP-së me strategjinë e reformës së administratës publike, të hiqet pasi nën SNRAP-in e ri që po draftohet nuk ka masa që ndërlidhen me MFP-në (pasi MFP ka një strategji të dedikuar tashmë).</w:t>
      </w:r>
      <w:r w:rsidR="00BA52B7" w:rsidRPr="00227F4B">
        <w:rPr>
          <w:rFonts w:ascii="Times New Roman" w:eastAsia="Times New Roman" w:hAnsi="Times New Roman" w:cs="Times New Roman"/>
          <w:sz w:val="24"/>
          <w:szCs w:val="24"/>
          <w:lang w:val="sq-AL"/>
        </w:rPr>
        <w:t xml:space="preserve"> </w:t>
      </w:r>
      <w:r w:rsidR="00BA52B7" w:rsidRPr="00227F4B">
        <w:rPr>
          <w:rFonts w:ascii="Times New Roman" w:eastAsia="Times New Roman" w:hAnsi="Times New Roman" w:cs="Times New Roman"/>
          <w:b/>
          <w:sz w:val="24"/>
          <w:szCs w:val="24"/>
          <w:lang w:val="sq-AL"/>
        </w:rPr>
        <w:t>Ky koment është reflektuar.</w:t>
      </w:r>
    </w:p>
    <w:p w14:paraId="58C287DA" w14:textId="77777777" w:rsidR="00833CCD" w:rsidRDefault="004F6EDB" w:rsidP="00227F4B">
      <w:pPr>
        <w:pStyle w:val="ListParagraph"/>
        <w:numPr>
          <w:ilvl w:val="0"/>
          <w:numId w:val="11"/>
        </w:numPr>
        <w:tabs>
          <w:tab w:val="left" w:pos="0"/>
        </w:tabs>
        <w:spacing w:after="0"/>
        <w:jc w:val="both"/>
        <w:rPr>
          <w:rFonts w:ascii="Times New Roman" w:eastAsia="Times New Roman" w:hAnsi="Times New Roman" w:cs="Times New Roman"/>
          <w:sz w:val="24"/>
          <w:szCs w:val="24"/>
          <w:lang w:val="sq-AL"/>
        </w:rPr>
      </w:pPr>
      <w:r w:rsidRPr="00833CCD">
        <w:rPr>
          <w:rFonts w:ascii="Times New Roman" w:eastAsia="Times New Roman" w:hAnsi="Times New Roman" w:cs="Times New Roman"/>
          <w:sz w:val="24"/>
          <w:szCs w:val="24"/>
          <w:lang w:val="sq-AL"/>
        </w:rPr>
        <w:t>Të saktësohet me SASPAC mbi kohëzgjatjen e strategjisë, pasi duhet marrë në vendim mbi faktin që strategjia po miratohet në vitin 2024.</w:t>
      </w:r>
      <w:r w:rsidR="00833CCD">
        <w:rPr>
          <w:rFonts w:ascii="Times New Roman" w:eastAsia="Times New Roman" w:hAnsi="Times New Roman" w:cs="Times New Roman"/>
          <w:sz w:val="24"/>
          <w:szCs w:val="24"/>
          <w:lang w:val="sq-AL"/>
        </w:rPr>
        <w:t xml:space="preserve"> </w:t>
      </w:r>
    </w:p>
    <w:p w14:paraId="0CDFDE3F" w14:textId="5A73CE7B" w:rsidR="004F6EDB" w:rsidRPr="00833CCD" w:rsidRDefault="00833CCD" w:rsidP="00833CCD">
      <w:pPr>
        <w:pStyle w:val="ListParagraph"/>
        <w:tabs>
          <w:tab w:val="left" w:pos="0"/>
        </w:tabs>
        <w:spacing w:after="0"/>
        <w:ind w:left="108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Përsa i përket këtij komenti të përcjellë nga DAP, sqarojmë se kohëzgjatja e strategjisë së MFP-së është saktësuar me SASPAC. Gjithashtu, pavarësisht se strategjia po miratohet në vitin 2024, puna për hartimin e strategjisë ka filluar në vitin 2022.</w:t>
      </w:r>
    </w:p>
    <w:p w14:paraId="5E5B4002" w14:textId="77777777" w:rsidR="000743D7" w:rsidRPr="00227F4B" w:rsidRDefault="000743D7" w:rsidP="00227F4B">
      <w:pPr>
        <w:tabs>
          <w:tab w:val="left" w:pos="0"/>
        </w:tabs>
        <w:spacing w:after="0"/>
        <w:jc w:val="both"/>
        <w:rPr>
          <w:rFonts w:ascii="Times New Roman" w:hAnsi="Times New Roman" w:cs="Times New Roman"/>
          <w:sz w:val="24"/>
          <w:szCs w:val="24"/>
          <w:lang w:val="sq-AL"/>
        </w:rPr>
      </w:pPr>
    </w:p>
    <w:p w14:paraId="36FF6E07" w14:textId="24FB2A8A" w:rsidR="00427182" w:rsidRPr="00227F4B" w:rsidRDefault="00427182"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b/>
          <w:bCs/>
          <w:sz w:val="24"/>
          <w:szCs w:val="24"/>
          <w:lang w:val="sq-AL"/>
        </w:rPr>
        <w:t>Drejtoria e Menaxhimit të Buxhetit</w:t>
      </w:r>
      <w:r w:rsidRPr="00227F4B">
        <w:rPr>
          <w:rFonts w:ascii="Times New Roman" w:hAnsi="Times New Roman" w:cs="Times New Roman"/>
          <w:sz w:val="24"/>
          <w:szCs w:val="24"/>
          <w:lang w:val="sq-AL"/>
        </w:rPr>
        <w:t xml:space="preserve"> (memo nr.2285/3 prot, datë 04.03.2024)</w:t>
      </w:r>
      <w:r w:rsidR="00C02410" w:rsidRPr="00227F4B">
        <w:rPr>
          <w:rFonts w:ascii="Times New Roman" w:hAnsi="Times New Roman" w:cs="Times New Roman"/>
          <w:sz w:val="24"/>
          <w:szCs w:val="24"/>
          <w:lang w:val="sq-AL"/>
        </w:rPr>
        <w:t xml:space="preserve"> </w:t>
      </w:r>
      <w:r w:rsidR="00424B7E" w:rsidRPr="00227F4B">
        <w:rPr>
          <w:rFonts w:ascii="Times New Roman" w:hAnsi="Times New Roman" w:cs="Times New Roman"/>
          <w:sz w:val="24"/>
          <w:szCs w:val="24"/>
          <w:lang w:val="sq-AL"/>
        </w:rPr>
        <w:t>ka bërë komente p</w:t>
      </w:r>
      <w:r w:rsidR="00424B7E" w:rsidRPr="00227F4B">
        <w:rPr>
          <w:rFonts w:ascii="Times New Roman" w:eastAsia="Times New Roman" w:hAnsi="Times New Roman" w:cs="Times New Roman"/>
          <w:sz w:val="24"/>
          <w:szCs w:val="24"/>
          <w:lang w:val="sq-AL"/>
        </w:rPr>
        <w:t>ër</w:t>
      </w:r>
      <w:r w:rsidR="00424B7E" w:rsidRPr="00227F4B">
        <w:rPr>
          <w:rFonts w:ascii="Times New Roman" w:hAnsi="Times New Roman" w:cs="Times New Roman"/>
          <w:sz w:val="24"/>
          <w:szCs w:val="24"/>
          <w:lang w:val="sq-AL"/>
        </w:rPr>
        <w:t xml:space="preserve"> (i) Komponentin 1.3 “Menaxhimi i Riskut Fiskal”, Masa 1.3.1 “Prezantimi i Deklarat</w:t>
      </w:r>
      <w:r w:rsidR="00424B7E" w:rsidRPr="00227F4B">
        <w:rPr>
          <w:rFonts w:ascii="Times New Roman" w:eastAsia="Times New Roman" w:hAnsi="Times New Roman" w:cs="Times New Roman"/>
          <w:sz w:val="24"/>
          <w:szCs w:val="24"/>
          <w:lang w:val="sq-AL"/>
        </w:rPr>
        <w:t>ës vjetore të Riskut Fiskal dhe zgjerimi gradual i fushës së monitorimit dhe raportimit të riskut fiskal</w:t>
      </w:r>
      <w:r w:rsidR="00424B7E" w:rsidRPr="00227F4B">
        <w:rPr>
          <w:rFonts w:ascii="Times New Roman" w:hAnsi="Times New Roman" w:cs="Times New Roman"/>
          <w:sz w:val="24"/>
          <w:szCs w:val="24"/>
          <w:lang w:val="sq-AL"/>
        </w:rPr>
        <w:t>” dhe Masa 1.3.3 “Forcimi i Mbik</w:t>
      </w:r>
      <w:r w:rsidR="00424B7E" w:rsidRPr="00227F4B">
        <w:rPr>
          <w:rFonts w:ascii="Times New Roman" w:eastAsia="Times New Roman" w:hAnsi="Times New Roman" w:cs="Times New Roman"/>
          <w:sz w:val="24"/>
          <w:szCs w:val="24"/>
          <w:lang w:val="sq-AL"/>
        </w:rPr>
        <w:t>ëqyrjes fiskale të Ndërmarrjeve Shtetërore</w:t>
      </w:r>
      <w:r w:rsidR="00424B7E" w:rsidRPr="00227F4B">
        <w:rPr>
          <w:rFonts w:ascii="Times New Roman" w:hAnsi="Times New Roman" w:cs="Times New Roman"/>
          <w:sz w:val="24"/>
          <w:szCs w:val="24"/>
          <w:lang w:val="sq-AL"/>
        </w:rPr>
        <w:t>” dhe (ii) Komponentin 2.5 “Raportimi dhe Monitorimi i Zbatimit t</w:t>
      </w:r>
      <w:r w:rsidR="00424B7E" w:rsidRPr="00227F4B">
        <w:rPr>
          <w:rFonts w:ascii="Times New Roman" w:eastAsia="Times New Roman" w:hAnsi="Times New Roman" w:cs="Times New Roman"/>
          <w:sz w:val="24"/>
          <w:szCs w:val="24"/>
          <w:lang w:val="sq-AL"/>
        </w:rPr>
        <w:t>ë Buxhetit</w:t>
      </w:r>
      <w:r w:rsidR="00424B7E" w:rsidRPr="00227F4B">
        <w:rPr>
          <w:rFonts w:ascii="Times New Roman" w:hAnsi="Times New Roman" w:cs="Times New Roman"/>
          <w:sz w:val="24"/>
          <w:szCs w:val="24"/>
          <w:lang w:val="sq-AL"/>
        </w:rPr>
        <w:t>”, Masa “P</w:t>
      </w:r>
      <w:r w:rsidR="00424B7E" w:rsidRPr="00227F4B">
        <w:rPr>
          <w:rFonts w:ascii="Times New Roman" w:eastAsia="Times New Roman" w:hAnsi="Times New Roman" w:cs="Times New Roman"/>
          <w:sz w:val="24"/>
          <w:szCs w:val="24"/>
          <w:lang w:val="sq-AL"/>
        </w:rPr>
        <w:t>ërmirësimi i raportimit dhe monitorimit të zbatimit të buxhetit dhe prezantimi i raportit të Zbatimit të Buxhetit për Qytetarët</w:t>
      </w:r>
      <w:r w:rsidR="00424B7E" w:rsidRPr="00227F4B">
        <w:rPr>
          <w:rFonts w:ascii="Times New Roman" w:hAnsi="Times New Roman" w:cs="Times New Roman"/>
          <w:sz w:val="24"/>
          <w:szCs w:val="24"/>
          <w:lang w:val="sq-AL"/>
        </w:rPr>
        <w:t>”.</w:t>
      </w:r>
    </w:p>
    <w:p w14:paraId="386F90F0" w14:textId="11AECDC5" w:rsidR="00201323" w:rsidRPr="00227F4B" w:rsidRDefault="00201323" w:rsidP="00227F4B">
      <w:pPr>
        <w:pStyle w:val="ListParagraph"/>
        <w:numPr>
          <w:ilvl w:val="0"/>
          <w:numId w:val="26"/>
        </w:num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sz w:val="24"/>
          <w:szCs w:val="24"/>
          <w:lang w:val="sq-AL"/>
        </w:rPr>
        <w:t>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lidhje me kontekstin e komponentit 1.3 Menaxhimi i Risqeve Fiskale, </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propozuar me koment perifrazimi i kontekstit duke marr</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konsiderat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edhe miratimin e struktur</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re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MF</w:t>
      </w:r>
      <w:r w:rsidR="000D0B7C" w:rsidRPr="00227F4B">
        <w:rPr>
          <w:rFonts w:ascii="Times New Roman" w:hAnsi="Times New Roman" w:cs="Times New Roman"/>
          <w:sz w:val="24"/>
          <w:szCs w:val="24"/>
          <w:lang w:val="sq-AL"/>
        </w:rPr>
        <w:t>-s</w:t>
      </w:r>
      <w:r w:rsidR="00293B62" w:rsidRPr="00227F4B">
        <w:rPr>
          <w:rFonts w:ascii="Times New Roman" w:hAnsi="Times New Roman" w:cs="Times New Roman"/>
          <w:sz w:val="24"/>
          <w:szCs w:val="24"/>
          <w:lang w:val="sq-AL"/>
        </w:rPr>
        <w:t>ë</w:t>
      </w:r>
      <w:r w:rsidR="000D0B7C" w:rsidRPr="00227F4B">
        <w:rPr>
          <w:rFonts w:ascii="Times New Roman" w:hAnsi="Times New Roman" w:cs="Times New Roman"/>
          <w:sz w:val="24"/>
          <w:szCs w:val="24"/>
          <w:lang w:val="sq-AL"/>
        </w:rPr>
        <w:t xml:space="preserve"> dhe krijimin e Drejtoris</w:t>
      </w:r>
      <w:r w:rsidR="00293B62" w:rsidRPr="00227F4B">
        <w:rPr>
          <w:rFonts w:ascii="Times New Roman" w:hAnsi="Times New Roman" w:cs="Times New Roman"/>
          <w:sz w:val="24"/>
          <w:szCs w:val="24"/>
          <w:lang w:val="sq-AL"/>
        </w:rPr>
        <w:t>ë</w:t>
      </w:r>
      <w:r w:rsidR="000D0B7C" w:rsidRPr="00227F4B">
        <w:rPr>
          <w:rFonts w:ascii="Times New Roman" w:hAnsi="Times New Roman" w:cs="Times New Roman"/>
          <w:sz w:val="24"/>
          <w:szCs w:val="24"/>
          <w:lang w:val="sq-AL"/>
        </w:rPr>
        <w:t xml:space="preserve"> s</w:t>
      </w:r>
      <w:r w:rsidR="00293B62" w:rsidRPr="00227F4B">
        <w:rPr>
          <w:rFonts w:ascii="Times New Roman" w:hAnsi="Times New Roman" w:cs="Times New Roman"/>
          <w:sz w:val="24"/>
          <w:szCs w:val="24"/>
          <w:lang w:val="sq-AL"/>
        </w:rPr>
        <w:t>ë</w:t>
      </w:r>
      <w:r w:rsidR="000D0B7C" w:rsidRPr="00227F4B">
        <w:rPr>
          <w:rFonts w:ascii="Times New Roman" w:hAnsi="Times New Roman" w:cs="Times New Roman"/>
          <w:sz w:val="24"/>
          <w:szCs w:val="24"/>
          <w:lang w:val="sq-AL"/>
        </w:rPr>
        <w:t xml:space="preserve"> Risqeve Fiskale. </w:t>
      </w:r>
      <w:r w:rsidR="000D0B7C" w:rsidRPr="00DB151F">
        <w:rPr>
          <w:rFonts w:ascii="Times New Roman" w:hAnsi="Times New Roman" w:cs="Times New Roman"/>
          <w:b/>
          <w:sz w:val="24"/>
          <w:szCs w:val="24"/>
          <w:lang w:val="sq-AL"/>
        </w:rPr>
        <w:t xml:space="preserve">Konteksti </w:t>
      </w:r>
      <w:r w:rsidR="00293B62" w:rsidRPr="00DB151F">
        <w:rPr>
          <w:rFonts w:ascii="Times New Roman" w:hAnsi="Times New Roman" w:cs="Times New Roman"/>
          <w:b/>
          <w:sz w:val="24"/>
          <w:szCs w:val="24"/>
          <w:lang w:val="sq-AL"/>
        </w:rPr>
        <w:t>ë</w:t>
      </w:r>
      <w:r w:rsidR="000D0B7C" w:rsidRPr="00DB151F">
        <w:rPr>
          <w:rFonts w:ascii="Times New Roman" w:hAnsi="Times New Roman" w:cs="Times New Roman"/>
          <w:b/>
          <w:sz w:val="24"/>
          <w:szCs w:val="24"/>
          <w:lang w:val="sq-AL"/>
        </w:rPr>
        <w:t>sht</w:t>
      </w:r>
      <w:r w:rsidR="00293B62" w:rsidRPr="00DB151F">
        <w:rPr>
          <w:rFonts w:ascii="Times New Roman" w:hAnsi="Times New Roman" w:cs="Times New Roman"/>
          <w:b/>
          <w:sz w:val="24"/>
          <w:szCs w:val="24"/>
          <w:lang w:val="sq-AL"/>
        </w:rPr>
        <w:t>ë</w:t>
      </w:r>
      <w:r w:rsidR="000D0B7C" w:rsidRPr="00DB151F">
        <w:rPr>
          <w:rFonts w:ascii="Times New Roman" w:hAnsi="Times New Roman" w:cs="Times New Roman"/>
          <w:b/>
          <w:sz w:val="24"/>
          <w:szCs w:val="24"/>
          <w:lang w:val="sq-AL"/>
        </w:rPr>
        <w:t xml:space="preserve"> perifrazuar si </w:t>
      </w:r>
      <w:r w:rsidR="000D0B7C" w:rsidRPr="00DB151F">
        <w:rPr>
          <w:rFonts w:ascii="Times New Roman" w:eastAsia="Times New Roman" w:hAnsi="Times New Roman" w:cs="Times New Roman"/>
          <w:b/>
          <w:sz w:val="24"/>
          <w:szCs w:val="24"/>
          <w:lang w:val="sq-AL"/>
        </w:rPr>
        <w:t>vijon</w:t>
      </w:r>
      <w:r w:rsidR="000D0B7C" w:rsidRPr="00227F4B">
        <w:rPr>
          <w:rFonts w:ascii="Times New Roman" w:eastAsia="Times New Roman" w:hAnsi="Times New Roman" w:cs="Times New Roman"/>
          <w:sz w:val="24"/>
          <w:szCs w:val="24"/>
          <w:lang w:val="sq-AL"/>
        </w:rPr>
        <w:t xml:space="preserve"> “Procesi i menaxhimit të risqeve fiskale në Shqipëri është përmirësuar në mënyrë të vazhdueshme që nga viti 2016, me krijimin e Sektorit të Risqeve Fiskale si pjesë e Drejtorisë së Menaxhimit të Buxhetit / Drejtorisë së Përgjithshme të Buxhetit. Sektori i Risqeve Fiskale është fokusuar në monitorimin e detyrimeve të prapambetura, monitorimin dhe raportimin e pagesave faktike dhe të planifikuara për kontratat e koncesioneve/ PPP me mbështetje buxhetore, monitorimin e detyrimeve kontigjente për vendimet gjyqësore (Vendimet e Arbitrazhit dhe Gjykatës Evropiane të të Drejtave të Njeriut), vlerësimin e risqeve që vijnë </w:t>
      </w:r>
      <w:r w:rsidR="000D0B7C" w:rsidRPr="00227F4B">
        <w:rPr>
          <w:rFonts w:ascii="Times New Roman" w:eastAsia="Times New Roman" w:hAnsi="Times New Roman" w:cs="Times New Roman"/>
          <w:sz w:val="24"/>
          <w:szCs w:val="24"/>
          <w:lang w:val="sq-AL"/>
        </w:rPr>
        <w:lastRenderedPageBreak/>
        <w:t>nga ndërmarrjet shtetërore. Gjatë viteve të fundit, janë bërë disa përmirësime në drejtim të forcimit të monitorimit të ndërmarrjeve shtetërore (NSH), nëpërmjet zgjerimit të monitorimit të NSH-ve duke përfshirë dhe ndërmarrjet e Shoqërive të Ujësjellës Kanalizime, dhe ndërmarrje të tjera shtetërore të cilat mund të kenë impakt buxhetor. Në këtë mënyrë objektivi i MFP-së është përmbushur çdo vit. Për më tepër, me nënshkrimin e urdhrit të përbashkët të Ministrisë së Infrastrukturës dhe Energjisë (MIE) dhe MF-së Nr. 304 datë 17.12.2020 “Për miratimin e planit të veprimit për uljen e detyrimeve të prapambetura në sektorin e energjisë elektrike” dhe urdhrin e përbashkët të MIE-së dhe MF-së nr. 379 datë 30.09.2021 “Për zbatimin e planit të masave për uljen e detyrimeve të prapambetura në sektorin e energjisë elektrike”, Sektori i Risqeve Fiskale në baza mujore mbledh informacion lidhur detyrimet e ndërsjella që kanë ndërmarrjet shtetërore të sektorit të energjisë ndërmjet tyure dhe me entet e tjera shtetërore (Ujësjellës-kanalizime, DPT etj.), modalitetet e të cilave përfshihen në udhëzimin plotësues vjetor të Ministrisë së Financave. Shtrirja e risqeve fiskale që po monitorohen dhe raportohen është rritur gradualisht dhe përfshin aktualisht risqet që lidhen me borxhin, zhvillimet makroekonomike, NSH-të, PPP-të dhe kontratat koncesionare, detyrimet e prapambetura, të ardhurat, pushtetin vendor, procedurat ligjore dhe çështjet gjyqësore. Parashikohet përmirësimi i cilësisë dhe zgjerimi i fushës së menaxhimit të riskut fiskal, për shembull duke përfshirë gradualisht në kuadrin e monitorimit risqet që lidhen me fatkeqësitë natyrore dhe ndryshimet klimatike. Krahas kapitujve të dedikuar në Raportet Buxhetore si: Relacioni i Projektbuxhetit për vitin pasardhës, Raporti i konsoliduar i Buxhetit vjetor dhe Raporti i Mesvitit, në fund të muajit Maj 2024 do të publikohet për herë të parë Deklarata e Risqeve Fiskale për vitin 2023, si një dokument i mirëfilltë dhe gjithëpërfshirës mbi vlerësimin dhe monitorimin e risqeve fiskale që karakterizojnë menaxhimin e financave publike (përfshirë risqet nga fatkeqësitë natyrore), në linjë me kriteret dhe rekomandimet e partnerëve ndërkombëtarë. Me qëllim përmirësimin e mëtejshëm të procesit të menaxhimit të risqeve fiskale, në strukturën e re organike të MF-së, miratuar në Shkurt 2024, është krijuar “Drejtoria e Risqeve Fiskale (DRF)”, e cila tashmë do të jetë lider në koordinimin, zhvillimin dhe shtyrjen përpara të punës në MF, në drejtim të menaxhimit të risqeve fiskale në tërësi, dhe Sektori i Risqeve Buxhetore (SRB) si pjesë e Drejtorisë së Menaxhimit të Buxhetit / Drejtorisë së Përgjithshme të Buxhetit, me fokus ndjekjen e performancës së zbatimit të buxhetit të shtetit, me qëllim monitorimin dhe raportimin e risqeve që shoqërojnë zbatimin e tij”.</w:t>
      </w:r>
    </w:p>
    <w:p w14:paraId="248ADB58" w14:textId="2619A9CA" w:rsidR="000D0B7C" w:rsidRPr="00227F4B" w:rsidRDefault="000D0B7C" w:rsidP="00227F4B">
      <w:pPr>
        <w:pStyle w:val="ListParagraph"/>
        <w:numPr>
          <w:ilvl w:val="0"/>
          <w:numId w:val="26"/>
        </w:numPr>
        <w:tabs>
          <w:tab w:val="left" w:pos="0"/>
        </w:tabs>
        <w:spacing w:after="0"/>
        <w:jc w:val="both"/>
        <w:rPr>
          <w:rFonts w:ascii="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mas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1.3.1 “Prezantimi i Deklarat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vjetore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Riskut Fiskal dhe zgjerimi gradual i fush</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monitorimit dhe raportimit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riskut fiskal” </w:t>
      </w:r>
      <w:r w:rsidRPr="00DB151F">
        <w:rPr>
          <w:rFonts w:ascii="Times New Roman" w:eastAsia="Times New Roman" w:hAnsi="Times New Roman" w:cs="Times New Roman"/>
          <w:b/>
          <w:sz w:val="24"/>
          <w:szCs w:val="24"/>
          <w:lang w:val="sq-AL"/>
        </w:rPr>
        <w:t>propozohet t</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ndryshohet n</w:t>
      </w:r>
      <w:r w:rsidR="00293B62" w:rsidRPr="00DB151F">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sz w:val="24"/>
          <w:szCs w:val="24"/>
          <w:lang w:val="sq-AL"/>
        </w:rPr>
        <w:t xml:space="preserve"> “Prezantimi i Deklarat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vjetore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Risqeve Fiskale dhe zgjerimi gradual i fush</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monitorimit dhe raportimit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risqeve fiskale”. </w:t>
      </w:r>
      <w:r w:rsidR="00DB151F" w:rsidRPr="00DB151F">
        <w:rPr>
          <w:rFonts w:ascii="Times New Roman" w:eastAsia="Times New Roman" w:hAnsi="Times New Roman" w:cs="Times New Roman"/>
          <w:b/>
          <w:sz w:val="24"/>
          <w:szCs w:val="24"/>
          <w:lang w:val="sq-AL"/>
        </w:rPr>
        <w:t>Komenti është reflektuar.</w:t>
      </w:r>
      <w:r w:rsidR="00DB151F">
        <w:rPr>
          <w:rFonts w:ascii="Times New Roman" w:eastAsia="Times New Roman" w:hAnsi="Times New Roman" w:cs="Times New Roman"/>
          <w:sz w:val="24"/>
          <w:szCs w:val="24"/>
          <w:lang w:val="sq-AL"/>
        </w:rPr>
        <w:t xml:space="preserve"> </w:t>
      </w:r>
    </w:p>
    <w:p w14:paraId="0ED6297B" w14:textId="0AF079A8" w:rsidR="000D0B7C" w:rsidRPr="00227F4B" w:rsidRDefault="000D0B7C" w:rsidP="00227F4B">
      <w:pPr>
        <w:pStyle w:val="ListParagraph"/>
        <w:numPr>
          <w:ilvl w:val="0"/>
          <w:numId w:val="26"/>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Duke qen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tre aktivitetet e mas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rme dhe aktiviteti i par</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 mas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s 1.3.3 </w:t>
      </w:r>
      <w:r w:rsidRPr="00227F4B">
        <w:rPr>
          <w:rFonts w:ascii="Times New Roman" w:eastAsia="Times New Roman" w:hAnsi="Times New Roman" w:cs="Times New Roman"/>
          <w:i/>
          <w:sz w:val="24"/>
          <w:szCs w:val="24"/>
          <w:lang w:val="sq-AL"/>
        </w:rPr>
        <w:t>Forcimi i mbik</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qyrjes fiskale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Nd</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rmarrjeve Shtet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rore</w:t>
      </w:r>
      <w:r w:rsidRPr="00227F4B">
        <w:rPr>
          <w:rFonts w:ascii="Times New Roman" w:eastAsia="Times New Roman" w:hAnsi="Times New Roman" w:cs="Times New Roman"/>
          <w:sz w:val="24"/>
          <w:szCs w:val="24"/>
          <w:lang w:val="sq-AL"/>
        </w:rPr>
        <w:t xml:space="preserve"> kan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Pr="00227F4B">
        <w:rPr>
          <w:rFonts w:ascii="Times New Roman" w:eastAsia="Times New Roman" w:hAnsi="Times New Roman" w:cs="Times New Roman"/>
          <w:sz w:val="24"/>
          <w:szCs w:val="24"/>
          <w:lang w:val="sq-AL"/>
        </w:rPr>
        <w:lastRenderedPageBreak/>
        <w:t>qen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rgjegj</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Nj</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Risqeve Fiskale, kjo nj</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 ka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komentin si vijon mbi nj</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rgjegj</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tre k</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to aktivitete bazuar 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rshkrimin e pun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Drejtoris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Risqeve Fiskale 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MF jan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kompetenc</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k</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saj drejtorie dhe jo m</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Sektorit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Risqeve Buxhetore.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z</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vend</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sohet me DRF”. </w:t>
      </w:r>
      <w:r w:rsidR="00DB151F" w:rsidRPr="00DB151F">
        <w:rPr>
          <w:rFonts w:ascii="Times New Roman" w:eastAsia="Times New Roman" w:hAnsi="Times New Roman" w:cs="Times New Roman"/>
          <w:b/>
          <w:sz w:val="24"/>
          <w:szCs w:val="24"/>
          <w:lang w:val="sq-AL"/>
        </w:rPr>
        <w:t>Komenti është reflektuar.</w:t>
      </w:r>
    </w:p>
    <w:p w14:paraId="08F8C50E" w14:textId="62B94CA2" w:rsidR="000D0B7C" w:rsidRPr="00227F4B" w:rsidRDefault="000D0B7C" w:rsidP="00227F4B">
      <w:pPr>
        <w:pStyle w:val="ListParagraph"/>
        <w:numPr>
          <w:ilvl w:val="0"/>
          <w:numId w:val="26"/>
        </w:numPr>
        <w:tabs>
          <w:tab w:val="left" w:pos="0"/>
        </w:tabs>
        <w:spacing w:after="0"/>
        <w:jc w:val="both"/>
        <w:rPr>
          <w:rFonts w:ascii="Times New Roman" w:eastAsia="Times New Roman" w:hAnsi="Times New Roman" w:cs="Times New Roman"/>
          <w:i/>
          <w:sz w:val="24"/>
          <w:szCs w:val="24"/>
          <w:lang w:val="sq-AL"/>
        </w:rPr>
      </w:pPr>
      <w:r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mas</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1.3.3 Forcimi i mbik</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qyrjes fiskale 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Nd</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rmarrjeve Shtet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rore</w:t>
      </w:r>
      <w:r w:rsidR="00716415" w:rsidRPr="00227F4B">
        <w:rPr>
          <w:rFonts w:ascii="Times New Roman" w:eastAsia="Times New Roman" w:hAnsi="Times New Roman" w:cs="Times New Roman"/>
          <w:sz w:val="24"/>
          <w:szCs w:val="24"/>
          <w:lang w:val="sq-AL"/>
        </w:rPr>
        <w:t>, p</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r aktivitetin “P</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rmir</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simi i metodologjis</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 xml:space="preserve"> dhe rregulloreve për vlerësimin, monitorimin dhe mbikëqyrjen e risqeve fiskale që lidhen me Ndërmarrjet Shtetërore në nivel kombëtar dhe vendor” </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sht</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rcjell</w:t>
      </w:r>
      <w:r w:rsidR="00293B62" w:rsidRPr="00227F4B">
        <w:rPr>
          <w:rFonts w:ascii="Times New Roman" w:eastAsia="Times New Roman" w:hAnsi="Times New Roman" w:cs="Times New Roman"/>
          <w:sz w:val="24"/>
          <w:szCs w:val="24"/>
          <w:lang w:val="sq-AL"/>
        </w:rPr>
        <w:t>ë</w:t>
      </w:r>
      <w:r w:rsidR="00716415" w:rsidRPr="00227F4B">
        <w:rPr>
          <w:rFonts w:ascii="Times New Roman" w:eastAsia="Times New Roman" w:hAnsi="Times New Roman" w:cs="Times New Roman"/>
          <w:sz w:val="24"/>
          <w:szCs w:val="24"/>
          <w:lang w:val="sq-AL"/>
        </w:rPr>
        <w:t xml:space="preserve"> nga Sektori i Risqeve Buxhetore komenti si vijon: </w:t>
      </w:r>
      <w:r w:rsidR="00716415" w:rsidRPr="00227F4B">
        <w:rPr>
          <w:rFonts w:ascii="Times New Roman" w:eastAsia="Times New Roman" w:hAnsi="Times New Roman" w:cs="Times New Roman"/>
          <w:i/>
          <w:sz w:val="24"/>
          <w:szCs w:val="24"/>
          <w:lang w:val="sq-AL"/>
        </w:rPr>
        <w:t>Ky aktivitet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z</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vend</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sohet me aktivitetin “P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rmir</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simi i monitorimit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Nd</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rmarrjeve Shtet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rore duke shtuar numrin e Nd</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rmarrjeve Shtet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rore n</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monitorim”. Nd</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rkoh</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siç e kemi shprehur vazhdimisht, lidershipi 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 k</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aktivitet </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sht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jasht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kompetencave dhe tagrit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nj</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strukture n</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nivel Sektori, q</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 m</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tep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 quhet Sektori i risqeve Buxhetore, jo NJRF. Tashm</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MF ka nj</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Drejtori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Risqeve Fiskale, e cila mund dhe duhet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marr</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rsip</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r t</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upgrade n</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nivel drejtorie , disa nga detyrat e Sektorit, sidomos ato me natyr</w:t>
      </w:r>
      <w:r w:rsidR="00293B62" w:rsidRPr="00227F4B">
        <w:rPr>
          <w:rFonts w:ascii="Times New Roman" w:eastAsia="Times New Roman" w:hAnsi="Times New Roman" w:cs="Times New Roman"/>
          <w:i/>
          <w:sz w:val="24"/>
          <w:szCs w:val="24"/>
          <w:lang w:val="sq-AL"/>
        </w:rPr>
        <w:t>ë</w:t>
      </w:r>
      <w:r w:rsidR="00716415" w:rsidRPr="00227F4B">
        <w:rPr>
          <w:rFonts w:ascii="Times New Roman" w:eastAsia="Times New Roman" w:hAnsi="Times New Roman" w:cs="Times New Roman"/>
          <w:i/>
          <w:sz w:val="24"/>
          <w:szCs w:val="24"/>
          <w:lang w:val="sq-AL"/>
        </w:rPr>
        <w:t xml:space="preserve"> koordinuese dhe lidershipi. </w:t>
      </w:r>
      <w:r w:rsidR="00716415" w:rsidRPr="00227F4B">
        <w:rPr>
          <w:rFonts w:ascii="Times New Roman" w:eastAsia="Times New Roman" w:hAnsi="Times New Roman" w:cs="Times New Roman"/>
          <w:b/>
          <w:sz w:val="24"/>
          <w:szCs w:val="24"/>
          <w:lang w:val="sq-AL"/>
        </w:rPr>
        <w:t>Ky</w:t>
      </w:r>
      <w:r w:rsidR="00716415" w:rsidRPr="00227F4B">
        <w:rPr>
          <w:rFonts w:ascii="Times New Roman" w:eastAsia="Times New Roman" w:hAnsi="Times New Roman" w:cs="Times New Roman"/>
          <w:i/>
          <w:sz w:val="24"/>
          <w:szCs w:val="24"/>
          <w:lang w:val="sq-AL"/>
        </w:rPr>
        <w:t xml:space="preserve"> </w:t>
      </w:r>
      <w:r w:rsidR="00716415" w:rsidRPr="00227F4B">
        <w:rPr>
          <w:rFonts w:ascii="Times New Roman" w:eastAsia="Times New Roman" w:hAnsi="Times New Roman" w:cs="Times New Roman"/>
          <w:b/>
          <w:sz w:val="24"/>
          <w:szCs w:val="24"/>
          <w:lang w:val="sq-AL"/>
        </w:rPr>
        <w:t xml:space="preserve">koment nuk </w:t>
      </w:r>
      <w:r w:rsidR="00293B62" w:rsidRPr="00227F4B">
        <w:rPr>
          <w:rFonts w:ascii="Times New Roman" w:eastAsia="Times New Roman" w:hAnsi="Times New Roman" w:cs="Times New Roman"/>
          <w:b/>
          <w:sz w:val="24"/>
          <w:szCs w:val="24"/>
          <w:lang w:val="sq-AL"/>
        </w:rPr>
        <w:t>ë</w:t>
      </w:r>
      <w:r w:rsidR="00716415" w:rsidRPr="00227F4B">
        <w:rPr>
          <w:rFonts w:ascii="Times New Roman" w:eastAsia="Times New Roman" w:hAnsi="Times New Roman" w:cs="Times New Roman"/>
          <w:b/>
          <w:sz w:val="24"/>
          <w:szCs w:val="24"/>
          <w:lang w:val="sq-AL"/>
        </w:rPr>
        <w:t>sht</w:t>
      </w:r>
      <w:r w:rsidR="00293B62" w:rsidRPr="00227F4B">
        <w:rPr>
          <w:rFonts w:ascii="Times New Roman" w:eastAsia="Times New Roman" w:hAnsi="Times New Roman" w:cs="Times New Roman"/>
          <w:b/>
          <w:sz w:val="24"/>
          <w:szCs w:val="24"/>
          <w:lang w:val="sq-AL"/>
        </w:rPr>
        <w:t>ë</w:t>
      </w:r>
      <w:r w:rsidR="00716415" w:rsidRPr="00227F4B">
        <w:rPr>
          <w:rFonts w:ascii="Times New Roman" w:eastAsia="Times New Roman" w:hAnsi="Times New Roman" w:cs="Times New Roman"/>
          <w:b/>
          <w:sz w:val="24"/>
          <w:szCs w:val="24"/>
          <w:lang w:val="sq-AL"/>
        </w:rPr>
        <w:t xml:space="preserve"> reflektuar. Priten komentet n</w:t>
      </w:r>
      <w:r w:rsidR="00BA52B7" w:rsidRPr="00227F4B">
        <w:rPr>
          <w:rFonts w:ascii="Times New Roman" w:eastAsia="Times New Roman" w:hAnsi="Times New Roman" w:cs="Times New Roman"/>
          <w:b/>
          <w:sz w:val="24"/>
          <w:szCs w:val="24"/>
          <w:lang w:val="sq-AL"/>
        </w:rPr>
        <w:t>g</w:t>
      </w:r>
      <w:r w:rsidR="00716415" w:rsidRPr="00227F4B">
        <w:rPr>
          <w:rFonts w:ascii="Times New Roman" w:eastAsia="Times New Roman" w:hAnsi="Times New Roman" w:cs="Times New Roman"/>
          <w:b/>
          <w:sz w:val="24"/>
          <w:szCs w:val="24"/>
          <w:lang w:val="sq-AL"/>
        </w:rPr>
        <w:t>a Drejtoria e Risqeve Fiskale, e cila do t</w:t>
      </w:r>
      <w:r w:rsidR="00293B62" w:rsidRPr="00227F4B">
        <w:rPr>
          <w:rFonts w:ascii="Times New Roman" w:eastAsia="Times New Roman" w:hAnsi="Times New Roman" w:cs="Times New Roman"/>
          <w:b/>
          <w:sz w:val="24"/>
          <w:szCs w:val="24"/>
          <w:lang w:val="sq-AL"/>
        </w:rPr>
        <w:t>ë</w:t>
      </w:r>
      <w:r w:rsidR="00716415" w:rsidRPr="00227F4B">
        <w:rPr>
          <w:rFonts w:ascii="Times New Roman" w:eastAsia="Times New Roman" w:hAnsi="Times New Roman" w:cs="Times New Roman"/>
          <w:b/>
          <w:sz w:val="24"/>
          <w:szCs w:val="24"/>
          <w:lang w:val="sq-AL"/>
        </w:rPr>
        <w:t xml:space="preserve"> jet</w:t>
      </w:r>
      <w:r w:rsidR="00293B62" w:rsidRPr="00227F4B">
        <w:rPr>
          <w:rFonts w:ascii="Times New Roman" w:eastAsia="Times New Roman" w:hAnsi="Times New Roman" w:cs="Times New Roman"/>
          <w:b/>
          <w:sz w:val="24"/>
          <w:szCs w:val="24"/>
          <w:lang w:val="sq-AL"/>
        </w:rPr>
        <w:t>ë</w:t>
      </w:r>
      <w:r w:rsidR="00716415" w:rsidRPr="00227F4B">
        <w:rPr>
          <w:rFonts w:ascii="Times New Roman" w:eastAsia="Times New Roman" w:hAnsi="Times New Roman" w:cs="Times New Roman"/>
          <w:b/>
          <w:sz w:val="24"/>
          <w:szCs w:val="24"/>
          <w:lang w:val="sq-AL"/>
        </w:rPr>
        <w:t xml:space="preserve"> lidere e aktivitetit.</w:t>
      </w:r>
      <w:r w:rsidR="00716415" w:rsidRPr="00227F4B">
        <w:rPr>
          <w:rFonts w:ascii="Times New Roman" w:eastAsia="Times New Roman" w:hAnsi="Times New Roman" w:cs="Times New Roman"/>
          <w:sz w:val="24"/>
          <w:szCs w:val="24"/>
          <w:lang w:val="sq-AL"/>
        </w:rPr>
        <w:t xml:space="preserve">  </w:t>
      </w:r>
      <w:r w:rsidR="00716415" w:rsidRPr="00227F4B">
        <w:rPr>
          <w:rFonts w:ascii="Times New Roman" w:eastAsia="Times New Roman" w:hAnsi="Times New Roman" w:cs="Times New Roman"/>
          <w:i/>
          <w:sz w:val="24"/>
          <w:szCs w:val="24"/>
          <w:lang w:val="sq-AL"/>
        </w:rPr>
        <w:t xml:space="preserve">     </w:t>
      </w:r>
    </w:p>
    <w:p w14:paraId="59CC0238" w14:textId="2A087C8F" w:rsidR="00FA411F" w:rsidRPr="00227F4B" w:rsidRDefault="004E0615" w:rsidP="00227F4B">
      <w:pPr>
        <w:pStyle w:val="ListParagraph"/>
        <w:numPr>
          <w:ilvl w:val="0"/>
          <w:numId w:val="26"/>
        </w:numPr>
        <w:tabs>
          <w:tab w:val="left" w:pos="0"/>
        </w:tabs>
        <w:spacing w:after="0"/>
        <w:jc w:val="both"/>
        <w:rPr>
          <w:rFonts w:ascii="Times New Roman" w:eastAsia="Times New Roman" w:hAnsi="Times New Roman" w:cs="Times New Roman"/>
          <w:i/>
          <w:sz w:val="24"/>
          <w:szCs w:val="24"/>
          <w:lang w:val="sq-AL"/>
        </w:rPr>
      </w:pPr>
      <w:r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w:t>
      </w:r>
      <w:r w:rsidR="00362AD9" w:rsidRPr="00227F4B">
        <w:rPr>
          <w:rFonts w:ascii="Times New Roman" w:eastAsia="Times New Roman" w:hAnsi="Times New Roman" w:cs="Times New Roman"/>
          <w:sz w:val="24"/>
          <w:szCs w:val="24"/>
          <w:lang w:val="sq-AL"/>
        </w:rPr>
        <w:t>kontekstin e komponentit</w:t>
      </w:r>
      <w:r w:rsidRPr="00227F4B">
        <w:rPr>
          <w:rFonts w:ascii="Times New Roman" w:eastAsia="Times New Roman" w:hAnsi="Times New Roman" w:cs="Times New Roman"/>
          <w:sz w:val="24"/>
          <w:szCs w:val="24"/>
          <w:lang w:val="sq-AL"/>
        </w:rPr>
        <w:t xml:space="preserve"> 2.5</w:t>
      </w:r>
      <w:r w:rsidR="00362AD9" w:rsidRPr="00227F4B">
        <w:rPr>
          <w:rFonts w:ascii="Times New Roman" w:eastAsia="Times New Roman" w:hAnsi="Times New Roman" w:cs="Times New Roman"/>
          <w:sz w:val="24"/>
          <w:szCs w:val="24"/>
          <w:lang w:val="sq-AL"/>
        </w:rPr>
        <w:t xml:space="preserve"> Raportimi dhe Monitorimi i Zbatimit t</w:t>
      </w:r>
      <w:r w:rsidR="00293B62" w:rsidRPr="00227F4B">
        <w:rPr>
          <w:rFonts w:ascii="Times New Roman" w:eastAsia="Times New Roman" w:hAnsi="Times New Roman" w:cs="Times New Roman"/>
          <w:sz w:val="24"/>
          <w:szCs w:val="24"/>
          <w:lang w:val="sq-AL"/>
        </w:rPr>
        <w:t>ë</w:t>
      </w:r>
      <w:r w:rsidR="00362AD9" w:rsidRPr="00227F4B">
        <w:rPr>
          <w:rFonts w:ascii="Times New Roman" w:eastAsia="Times New Roman" w:hAnsi="Times New Roman" w:cs="Times New Roman"/>
          <w:sz w:val="24"/>
          <w:szCs w:val="24"/>
          <w:lang w:val="sq-AL"/>
        </w:rPr>
        <w:t xml:space="preserve"> Buxhetit</w:t>
      </w:r>
      <w:r w:rsidR="00FA411F" w:rsidRPr="00227F4B">
        <w:rPr>
          <w:rFonts w:ascii="Times New Roman" w:eastAsia="Times New Roman" w:hAnsi="Times New Roman" w:cs="Times New Roman"/>
          <w:sz w:val="24"/>
          <w:szCs w:val="24"/>
          <w:lang w:val="sq-AL"/>
        </w:rPr>
        <w:t xml:space="preserve"> </w:t>
      </w:r>
      <w:r w:rsidR="00293B62" w:rsidRPr="00DB151F">
        <w:rPr>
          <w:rFonts w:ascii="Times New Roman" w:eastAsia="Times New Roman" w:hAnsi="Times New Roman" w:cs="Times New Roman"/>
          <w:b/>
          <w:sz w:val="24"/>
          <w:szCs w:val="24"/>
          <w:lang w:val="sq-AL"/>
        </w:rPr>
        <w:t>ë</w:t>
      </w:r>
      <w:r w:rsidR="00FA411F" w:rsidRPr="00DB151F">
        <w:rPr>
          <w:rFonts w:ascii="Times New Roman" w:eastAsia="Times New Roman" w:hAnsi="Times New Roman" w:cs="Times New Roman"/>
          <w:b/>
          <w:sz w:val="24"/>
          <w:szCs w:val="24"/>
          <w:lang w:val="sq-AL"/>
        </w:rPr>
        <w:t>sht</w:t>
      </w:r>
      <w:r w:rsidR="00293B62" w:rsidRPr="00DB151F">
        <w:rPr>
          <w:rFonts w:ascii="Times New Roman" w:eastAsia="Times New Roman" w:hAnsi="Times New Roman" w:cs="Times New Roman"/>
          <w:b/>
          <w:sz w:val="24"/>
          <w:szCs w:val="24"/>
          <w:lang w:val="sq-AL"/>
        </w:rPr>
        <w:t>ë</w:t>
      </w:r>
      <w:r w:rsidR="00FA411F" w:rsidRPr="00DB151F">
        <w:rPr>
          <w:rFonts w:ascii="Times New Roman" w:eastAsia="Times New Roman" w:hAnsi="Times New Roman" w:cs="Times New Roman"/>
          <w:b/>
          <w:sz w:val="24"/>
          <w:szCs w:val="24"/>
          <w:lang w:val="sq-AL"/>
        </w:rPr>
        <w:t xml:space="preserve"> reflektuar komenti</w:t>
      </w:r>
      <w:r w:rsidR="00FA411F" w:rsidRPr="00227F4B">
        <w:rPr>
          <w:rFonts w:ascii="Times New Roman" w:eastAsia="Times New Roman" w:hAnsi="Times New Roman" w:cs="Times New Roman"/>
          <w:sz w:val="24"/>
          <w:szCs w:val="24"/>
          <w:lang w:val="sq-AL"/>
        </w:rPr>
        <w:t xml:space="preserve"> i p</w:t>
      </w:r>
      <w:r w:rsidR="00293B62" w:rsidRPr="00227F4B">
        <w:rPr>
          <w:rFonts w:ascii="Times New Roman" w:eastAsia="Times New Roman" w:hAnsi="Times New Roman" w:cs="Times New Roman"/>
          <w:sz w:val="24"/>
          <w:szCs w:val="24"/>
          <w:lang w:val="sq-AL"/>
        </w:rPr>
        <w:t>ë</w:t>
      </w:r>
      <w:r w:rsidR="00FA411F" w:rsidRPr="00227F4B">
        <w:rPr>
          <w:rFonts w:ascii="Times New Roman" w:eastAsia="Times New Roman" w:hAnsi="Times New Roman" w:cs="Times New Roman"/>
          <w:sz w:val="24"/>
          <w:szCs w:val="24"/>
          <w:lang w:val="sq-AL"/>
        </w:rPr>
        <w:t>rcjell</w:t>
      </w:r>
      <w:r w:rsidR="00293B62" w:rsidRPr="00227F4B">
        <w:rPr>
          <w:rFonts w:ascii="Times New Roman" w:eastAsia="Times New Roman" w:hAnsi="Times New Roman" w:cs="Times New Roman"/>
          <w:sz w:val="24"/>
          <w:szCs w:val="24"/>
          <w:lang w:val="sq-AL"/>
        </w:rPr>
        <w:t>ë</w:t>
      </w:r>
      <w:r w:rsidR="00FA411F"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00FA411F" w:rsidRPr="00227F4B">
        <w:rPr>
          <w:rFonts w:ascii="Times New Roman" w:eastAsia="Times New Roman" w:hAnsi="Times New Roman" w:cs="Times New Roman"/>
          <w:sz w:val="24"/>
          <w:szCs w:val="24"/>
          <w:lang w:val="sq-AL"/>
        </w:rPr>
        <w:t xml:space="preserve">r perifrazimin e kontekstit. </w:t>
      </w:r>
    </w:p>
    <w:p w14:paraId="7743488C" w14:textId="5A894976" w:rsidR="00731779" w:rsidRPr="00227F4B" w:rsidRDefault="00FA411F" w:rsidP="00227F4B">
      <w:pPr>
        <w:pStyle w:val="ListParagraph"/>
        <w:numPr>
          <w:ilvl w:val="0"/>
          <w:numId w:val="26"/>
        </w:numPr>
        <w:tabs>
          <w:tab w:val="left" w:pos="0"/>
        </w:tabs>
        <w:spacing w:after="0"/>
        <w:jc w:val="both"/>
        <w:rPr>
          <w:rFonts w:ascii="Times New Roman" w:eastAsia="Times New Roman" w:hAnsi="Times New Roman" w:cs="Times New Roman"/>
          <w:i/>
          <w:sz w:val="24"/>
          <w:szCs w:val="24"/>
          <w:lang w:val="sq-AL"/>
        </w:rPr>
      </w:pPr>
      <w:r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prioritetin e par</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731779" w:rsidRPr="00227F4B">
        <w:rPr>
          <w:rFonts w:ascii="Times New Roman" w:eastAsia="Times New Roman" w:hAnsi="Times New Roman" w:cs="Times New Roman"/>
          <w:sz w:val="24"/>
          <w:szCs w:val="24"/>
          <w:lang w:val="sq-AL"/>
        </w:rPr>
        <w:t>Përmirësimi i monitorimit dhe raportimit të zbatimit të buxhetit nga institucionet buxhetore dhe në nivel të përmbledhur duke përfshirë përgatitjen e raportit të zbatimit të buxhetit për qytetarët dhe përfshirjen e informacionit mbi përgjegjësinë gjinore dhe klimatike”</w:t>
      </w:r>
      <w:r w:rsidRPr="00227F4B">
        <w:rPr>
          <w:rFonts w:ascii="Times New Roman" w:eastAsia="Times New Roman" w:hAnsi="Times New Roman" w:cs="Times New Roman"/>
          <w:sz w:val="24"/>
          <w:szCs w:val="24"/>
          <w:lang w:val="sq-AL"/>
        </w:rPr>
        <w:t xml:space="preserve">, </w:t>
      </w:r>
      <w:r w:rsidR="00293B62"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sht</w:t>
      </w:r>
      <w:r w:rsidR="00293B62"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reflektuar komenti</w:t>
      </w:r>
      <w:r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w:t>
      </w:r>
      <w:r w:rsidR="00731779" w:rsidRPr="00227F4B">
        <w:rPr>
          <w:rFonts w:ascii="Times New Roman" w:eastAsia="Times New Roman" w:hAnsi="Times New Roman" w:cs="Times New Roman"/>
          <w:sz w:val="24"/>
          <w:szCs w:val="24"/>
          <w:lang w:val="sq-AL"/>
        </w:rPr>
        <w:t xml:space="preserve"> ndryshim e aktivitetit si vijon “Përmirësimi i monitorimit dhe raportimit të zbatimit të buxhetit nga institucionet buxhetore dhe në nivel të përmbledhur duke përfshirë përgatitjen e raportit të zbatimit të buxhetit për qytetarët”.</w:t>
      </w:r>
    </w:p>
    <w:p w14:paraId="19AE4C82" w14:textId="6E18FF78" w:rsidR="00731779" w:rsidRPr="00227F4B" w:rsidRDefault="00731779" w:rsidP="00227F4B">
      <w:pPr>
        <w:pStyle w:val="ListParagraph"/>
        <w:numPr>
          <w:ilvl w:val="0"/>
          <w:numId w:val="26"/>
        </w:numPr>
        <w:tabs>
          <w:tab w:val="left" w:pos="0"/>
        </w:tabs>
        <w:spacing w:after="0"/>
        <w:jc w:val="both"/>
        <w:rPr>
          <w:rFonts w:ascii="Times New Roman" w:eastAsia="Times New Roman" w:hAnsi="Times New Roman" w:cs="Times New Roman"/>
          <w:i/>
          <w:sz w:val="24"/>
          <w:szCs w:val="24"/>
          <w:lang w:val="sq-AL"/>
        </w:rPr>
      </w:pPr>
      <w:r w:rsidRPr="00227F4B">
        <w:rPr>
          <w:rFonts w:ascii="Times New Roman" w:eastAsia="Times New Roman" w:hAnsi="Times New Roman" w:cs="Times New Roman"/>
          <w:sz w:val="24"/>
          <w:szCs w:val="24"/>
          <w:lang w:val="sq-AL"/>
        </w:rPr>
        <w:t>N</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aktivitetin 2.5.1.1 “Rishikimi dhe përditësimi i udhëzimeve për procedurën dhe përmbajtjen / formatin e raporteve vjetore të zbatimit të buxhetit duke përfshirë publikimin e Raportit të Zbatimit të Buxhetit për Qytetarët si pjesë e raportit vjetor të zbatimit të buxhetit” </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293B62"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komenti nga DMB si vijon: </w:t>
      </w:r>
      <w:r w:rsidRPr="00227F4B">
        <w:rPr>
          <w:rFonts w:ascii="Times New Roman" w:eastAsia="Times New Roman" w:hAnsi="Times New Roman" w:cs="Times New Roman"/>
          <w:i/>
          <w:sz w:val="24"/>
          <w:szCs w:val="24"/>
          <w:lang w:val="sq-AL"/>
        </w:rPr>
        <w:t>DPTH duhet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shprehet n</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se </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sht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dakord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marr</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p</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rsip</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r raportimin e tabelave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buxhetit faktik, n</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terma plan/fakt p</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r cdo institucion, pra identik n</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nj</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jtin format si tabelat e planit t</w:t>
      </w:r>
      <w:r w:rsidR="00293B62"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 xml:space="preserve"> buxhetit vjetor</w:t>
      </w:r>
      <w:r w:rsidRPr="00227F4B">
        <w:rPr>
          <w:rFonts w:ascii="Times New Roman" w:eastAsia="Times New Roman" w:hAnsi="Times New Roman" w:cs="Times New Roman"/>
          <w:sz w:val="24"/>
          <w:szCs w:val="24"/>
          <w:lang w:val="sq-AL"/>
        </w:rPr>
        <w:t xml:space="preserve">. </w:t>
      </w:r>
      <w:r w:rsidRPr="00DB151F">
        <w:rPr>
          <w:rFonts w:ascii="Times New Roman" w:eastAsia="Times New Roman" w:hAnsi="Times New Roman" w:cs="Times New Roman"/>
          <w:b/>
          <w:sz w:val="24"/>
          <w:szCs w:val="24"/>
          <w:lang w:val="sq-AL"/>
        </w:rPr>
        <w:t>Aktiviteti q</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ndron bazuar n</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komunikimin elektronik t</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Drejtoris</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s</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P</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rgjithshme t</w:t>
      </w:r>
      <w:r w:rsidR="00293B62" w:rsidRPr="00DB151F">
        <w:rPr>
          <w:rFonts w:ascii="Times New Roman" w:eastAsia="Times New Roman" w:hAnsi="Times New Roman" w:cs="Times New Roman"/>
          <w:b/>
          <w:sz w:val="24"/>
          <w:szCs w:val="24"/>
          <w:lang w:val="sq-AL"/>
        </w:rPr>
        <w:t>ë</w:t>
      </w:r>
      <w:r w:rsidRPr="00DB151F">
        <w:rPr>
          <w:rFonts w:ascii="Times New Roman" w:eastAsia="Times New Roman" w:hAnsi="Times New Roman" w:cs="Times New Roman"/>
          <w:b/>
          <w:sz w:val="24"/>
          <w:szCs w:val="24"/>
          <w:lang w:val="sq-AL"/>
        </w:rPr>
        <w:t xml:space="preserve"> Thesarit</w:t>
      </w:r>
      <w:r w:rsidR="00E67F5D" w:rsidRPr="00DB151F">
        <w:rPr>
          <w:rFonts w:ascii="Times New Roman" w:eastAsia="Times New Roman" w:hAnsi="Times New Roman" w:cs="Times New Roman"/>
          <w:b/>
          <w:sz w:val="24"/>
          <w:szCs w:val="24"/>
          <w:lang w:val="sq-AL"/>
        </w:rPr>
        <w:t xml:space="preserve"> si vijon</w:t>
      </w:r>
      <w:r w:rsidR="00E67F5D" w:rsidRPr="00227F4B">
        <w:rPr>
          <w:rFonts w:ascii="Times New Roman" w:eastAsia="Times New Roman" w:hAnsi="Times New Roman" w:cs="Times New Roman"/>
          <w:sz w:val="24"/>
          <w:szCs w:val="24"/>
          <w:lang w:val="sq-AL"/>
        </w:rPr>
        <w:t>: duke qen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se vet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masa ka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b</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j</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me monitorimin dhe raportimin e ekzekutimit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buxhetit dhe aktiviteti respektiv lidhet me rishikimin dhe azhornimin e procedurave dhe formateve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raportimit, ç</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shtje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cilat nuk jan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kompetenc</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struktur</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 s</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thesarit, shprehem se kjo mas</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dhe aktivitet nuk mund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jen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n p</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rgjegj</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sin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e DPTH-së. DPTH patjet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 q</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do te jet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bashk</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punuese p</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 realizimin e mas</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 dhe aktivitetit n</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se do 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jet</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i nevojsh</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m ky bashk</w:t>
      </w:r>
      <w:r w:rsidR="00293B62"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punim.</w:t>
      </w:r>
      <w:r w:rsidRPr="00227F4B">
        <w:rPr>
          <w:rFonts w:ascii="Times New Roman" w:eastAsia="Times New Roman" w:hAnsi="Times New Roman" w:cs="Times New Roman"/>
          <w:sz w:val="24"/>
          <w:szCs w:val="24"/>
          <w:lang w:val="sq-AL"/>
        </w:rPr>
        <w:t xml:space="preserve"> </w:t>
      </w:r>
    </w:p>
    <w:p w14:paraId="760A7CE5" w14:textId="6FEF0BFE" w:rsidR="004E0615" w:rsidRPr="00227F4B" w:rsidRDefault="00293B62" w:rsidP="00227F4B">
      <w:pPr>
        <w:pStyle w:val="ListParagraph"/>
        <w:numPr>
          <w:ilvl w:val="0"/>
          <w:numId w:val="26"/>
        </w:numPr>
        <w:tabs>
          <w:tab w:val="left" w:pos="0"/>
        </w:tabs>
        <w:spacing w:after="0"/>
        <w:jc w:val="both"/>
        <w:rPr>
          <w:rFonts w:ascii="Times New Roman" w:eastAsia="Times New Roman" w:hAnsi="Times New Roman" w:cs="Times New Roman"/>
          <w:i/>
          <w:sz w:val="24"/>
          <w:szCs w:val="24"/>
          <w:lang w:val="sq-AL"/>
        </w:rPr>
      </w:pPr>
      <w:r w:rsidRPr="00DB151F">
        <w:rPr>
          <w:rFonts w:ascii="Times New Roman" w:eastAsia="Times New Roman" w:hAnsi="Times New Roman" w:cs="Times New Roman"/>
          <w:b/>
          <w:sz w:val="24"/>
          <w:szCs w:val="24"/>
          <w:lang w:val="sq-AL"/>
        </w:rPr>
        <w:lastRenderedPageBreak/>
        <w:t>Ë</w:t>
      </w:r>
      <w:r w:rsidR="00E67F5D" w:rsidRPr="00DB151F">
        <w:rPr>
          <w:rFonts w:ascii="Times New Roman" w:eastAsia="Times New Roman" w:hAnsi="Times New Roman" w:cs="Times New Roman"/>
          <w:b/>
          <w:sz w:val="24"/>
          <w:szCs w:val="24"/>
          <w:lang w:val="sq-AL"/>
        </w:rPr>
        <w:t>sht</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reflektuar komenti i p</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rcjell</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nga DMB</w:t>
      </w:r>
      <w:r w:rsidR="00E67F5D" w:rsidRPr="00227F4B">
        <w:rPr>
          <w:rFonts w:ascii="Times New Roman" w:eastAsia="Times New Roman" w:hAnsi="Times New Roman" w:cs="Times New Roman"/>
          <w:sz w:val="24"/>
          <w:szCs w:val="24"/>
          <w:lang w:val="sq-AL"/>
        </w:rPr>
        <w:t xml:space="preserve"> p</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 fshirjen e aktivitetit 2.5.1.2</w:t>
      </w:r>
      <w:r w:rsidR="00731779" w:rsidRPr="00227F4B">
        <w:rPr>
          <w:rFonts w:ascii="Times New Roman" w:eastAsia="Times New Roman" w:hAnsi="Times New Roman" w:cs="Times New Roman"/>
          <w:sz w:val="24"/>
          <w:szCs w:val="24"/>
          <w:lang w:val="sq-AL"/>
        </w:rPr>
        <w:t xml:space="preserve"> </w:t>
      </w:r>
      <w:r w:rsidR="00E67F5D" w:rsidRPr="00227F4B">
        <w:rPr>
          <w:rFonts w:ascii="Times New Roman" w:eastAsia="Times New Roman" w:hAnsi="Times New Roman" w:cs="Times New Roman"/>
          <w:sz w:val="24"/>
          <w:szCs w:val="24"/>
          <w:lang w:val="sq-AL"/>
        </w:rPr>
        <w:t>“Rishikimi dhe p</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rdit</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simi i udh</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zimeve p</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r procedur</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n dhe modelin e raportimit financiar” duke qen</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se rezaurohet n</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aktivitetin 2.5.2.1. </w:t>
      </w:r>
    </w:p>
    <w:p w14:paraId="40D5B5E2" w14:textId="4E4F3AE7" w:rsidR="00E67F5D" w:rsidRPr="00227F4B" w:rsidRDefault="00293B62" w:rsidP="00227F4B">
      <w:pPr>
        <w:pStyle w:val="ListParagraph"/>
        <w:numPr>
          <w:ilvl w:val="0"/>
          <w:numId w:val="26"/>
        </w:numPr>
        <w:tabs>
          <w:tab w:val="left" w:pos="0"/>
        </w:tabs>
        <w:spacing w:after="0"/>
        <w:jc w:val="both"/>
        <w:rPr>
          <w:rFonts w:ascii="Times New Roman" w:eastAsia="Times New Roman" w:hAnsi="Times New Roman" w:cs="Times New Roman"/>
          <w:sz w:val="24"/>
          <w:szCs w:val="24"/>
          <w:lang w:val="sq-AL"/>
        </w:rPr>
      </w:pP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sht</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reflektuar komenti p</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r ndryshimin e treguesit t</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tret</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t</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 xml:space="preserve"> performanc</w:t>
      </w:r>
      <w:r w:rsidRPr="00DB151F">
        <w:rPr>
          <w:rFonts w:ascii="Times New Roman" w:eastAsia="Times New Roman" w:hAnsi="Times New Roman" w:cs="Times New Roman"/>
          <w:b/>
          <w:sz w:val="24"/>
          <w:szCs w:val="24"/>
          <w:lang w:val="sq-AL"/>
        </w:rPr>
        <w:t>ë</w:t>
      </w:r>
      <w:r w:rsidR="00E67F5D" w:rsidRPr="00DB151F">
        <w:rPr>
          <w:rFonts w:ascii="Times New Roman" w:eastAsia="Times New Roman" w:hAnsi="Times New Roman" w:cs="Times New Roman"/>
          <w:b/>
          <w:sz w:val="24"/>
          <w:szCs w:val="24"/>
          <w:lang w:val="sq-AL"/>
        </w:rPr>
        <w:t>s</w:t>
      </w:r>
      <w:r w:rsidR="00E67F5D" w:rsidRPr="00227F4B">
        <w:rPr>
          <w:rFonts w:ascii="Times New Roman" w:eastAsia="Times New Roman" w:hAnsi="Times New Roman" w:cs="Times New Roman"/>
          <w:sz w:val="24"/>
          <w:szCs w:val="24"/>
          <w:lang w:val="sq-AL"/>
        </w:rPr>
        <w:t xml:space="preserve"> nga “Janë zbatuar formatet e reja për raportet gjatë vitit dhe raportet vjetore të monitorimit të buxhetit, duke përfshirë raportet e konsoliduara të zbatimit të buxhetit të shtetit” </w:t>
      </w:r>
      <w:r w:rsidR="00E67F5D" w:rsidRPr="00227F4B">
        <w:rPr>
          <w:rFonts w:ascii="Times New Roman" w:eastAsia="Times New Roman" w:hAnsi="Times New Roman" w:cs="Times New Roman"/>
          <w:b/>
          <w:sz w:val="24"/>
          <w:szCs w:val="24"/>
          <w:lang w:val="sq-AL"/>
        </w:rPr>
        <w:t>n</w:t>
      </w:r>
      <w:r w:rsidRPr="00227F4B">
        <w:rPr>
          <w:rFonts w:ascii="Times New Roman" w:eastAsia="Times New Roman" w:hAnsi="Times New Roman" w:cs="Times New Roman"/>
          <w:b/>
          <w:sz w:val="24"/>
          <w:szCs w:val="24"/>
          <w:lang w:val="sq-AL"/>
        </w:rPr>
        <w:t>ë</w:t>
      </w:r>
      <w:r w:rsidR="00E67F5D" w:rsidRPr="00227F4B">
        <w:rPr>
          <w:rFonts w:ascii="Times New Roman" w:eastAsia="Times New Roman" w:hAnsi="Times New Roman" w:cs="Times New Roman"/>
          <w:sz w:val="24"/>
          <w:szCs w:val="24"/>
          <w:lang w:val="sq-AL"/>
        </w:rPr>
        <w:t xml:space="preserve"> “Jan</w:t>
      </w:r>
      <w:r w:rsidRPr="00227F4B">
        <w:rPr>
          <w:rFonts w:ascii="Times New Roman" w:eastAsia="Times New Roman" w:hAnsi="Times New Roman" w:cs="Times New Roman"/>
          <w:sz w:val="24"/>
          <w:szCs w:val="24"/>
          <w:lang w:val="sq-AL"/>
        </w:rPr>
        <w:t>ë</w:t>
      </w:r>
      <w:r w:rsidR="00E67F5D" w:rsidRPr="00227F4B">
        <w:rPr>
          <w:rFonts w:ascii="Times New Roman" w:eastAsia="Times New Roman" w:hAnsi="Times New Roman" w:cs="Times New Roman"/>
          <w:sz w:val="24"/>
          <w:szCs w:val="24"/>
          <w:lang w:val="sq-AL"/>
        </w:rPr>
        <w:t xml:space="preserve"> përfshirë formatet e reja analitike, në raportin e konsoliduar të zbatimit të buxhetit të shtetit”.   </w:t>
      </w:r>
    </w:p>
    <w:p w14:paraId="6DB374B9" w14:textId="77777777" w:rsidR="000743D7" w:rsidRPr="00227F4B" w:rsidRDefault="000743D7" w:rsidP="00227F4B">
      <w:pPr>
        <w:tabs>
          <w:tab w:val="left" w:pos="0"/>
        </w:tabs>
        <w:spacing w:after="0"/>
        <w:jc w:val="both"/>
        <w:rPr>
          <w:rFonts w:ascii="Times New Roman" w:hAnsi="Times New Roman" w:cs="Times New Roman"/>
          <w:sz w:val="24"/>
          <w:szCs w:val="24"/>
          <w:lang w:val="sq-AL"/>
        </w:rPr>
      </w:pPr>
    </w:p>
    <w:p w14:paraId="3E18A051" w14:textId="7475C1DC" w:rsidR="00427182" w:rsidRPr="00227F4B" w:rsidRDefault="00427182"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b/>
          <w:bCs/>
          <w:sz w:val="24"/>
          <w:szCs w:val="24"/>
          <w:lang w:val="sq-AL"/>
        </w:rPr>
        <w:t>Drejtoria e Përgjithshme e Taksës së Pasurisë</w:t>
      </w:r>
      <w:r w:rsidRPr="00227F4B">
        <w:rPr>
          <w:rFonts w:ascii="Times New Roman" w:hAnsi="Times New Roman" w:cs="Times New Roman"/>
          <w:sz w:val="24"/>
          <w:szCs w:val="24"/>
          <w:lang w:val="sq-AL"/>
        </w:rPr>
        <w:t xml:space="preserve"> </w:t>
      </w:r>
      <w:r w:rsidR="00DB151F">
        <w:rPr>
          <w:rFonts w:ascii="Times New Roman" w:hAnsi="Times New Roman" w:cs="Times New Roman"/>
          <w:sz w:val="24"/>
          <w:szCs w:val="24"/>
          <w:lang w:val="sq-AL"/>
        </w:rPr>
        <w:t>është</w:t>
      </w:r>
      <w:r w:rsidR="00470FA0" w:rsidRPr="00227F4B">
        <w:rPr>
          <w:rFonts w:ascii="Times New Roman" w:hAnsi="Times New Roman" w:cs="Times New Roman"/>
          <w:sz w:val="24"/>
          <w:szCs w:val="24"/>
          <w:lang w:val="sq-AL"/>
        </w:rPr>
        <w:t xml:space="preserve"> shprehur me komente </w:t>
      </w:r>
      <w:r w:rsidRPr="00227F4B">
        <w:rPr>
          <w:rFonts w:ascii="Times New Roman" w:hAnsi="Times New Roman" w:cs="Times New Roman"/>
          <w:sz w:val="24"/>
          <w:szCs w:val="24"/>
          <w:lang w:val="sq-AL"/>
        </w:rPr>
        <w:t>(shkresë</w:t>
      </w:r>
      <w:r w:rsidR="00DB151F">
        <w:rPr>
          <w:rFonts w:ascii="Times New Roman" w:hAnsi="Times New Roman" w:cs="Times New Roman"/>
          <w:sz w:val="24"/>
          <w:szCs w:val="24"/>
          <w:lang w:val="sq-AL"/>
        </w:rPr>
        <w:t xml:space="preserve"> nr.85/1 prot, datë 04.03.2024):</w:t>
      </w:r>
    </w:p>
    <w:p w14:paraId="4C4CD2B0" w14:textId="4C270E4D" w:rsidR="00210BDA" w:rsidRPr="00227F4B" w:rsidRDefault="00DB151F" w:rsidP="00227F4B">
      <w:pPr>
        <w:pStyle w:val="ListParagraph"/>
        <w:numPr>
          <w:ilvl w:val="0"/>
          <w:numId w:val="23"/>
        </w:numPr>
        <w:jc w:val="both"/>
        <w:rPr>
          <w:rFonts w:ascii="Times New Roman" w:hAnsi="Times New Roman" w:cs="Times New Roman"/>
          <w:sz w:val="24"/>
          <w:szCs w:val="24"/>
          <w:lang w:val="en-GB"/>
        </w:rPr>
      </w:pPr>
      <w:r>
        <w:rPr>
          <w:rFonts w:ascii="Times New Roman" w:hAnsi="Times New Roman" w:cs="Times New Roman"/>
          <w:sz w:val="24"/>
          <w:szCs w:val="24"/>
          <w:lang w:val="sq-AL"/>
        </w:rPr>
        <w:t>Te</w:t>
      </w:r>
      <w:r w:rsidR="00566954" w:rsidRPr="00227F4B">
        <w:rPr>
          <w:rFonts w:ascii="Times New Roman" w:hAnsi="Times New Roman" w:cs="Times New Roman"/>
          <w:sz w:val="24"/>
          <w:szCs w:val="24"/>
          <w:lang w:val="sq-AL"/>
        </w:rPr>
        <w:t xml:space="preserve"> konteksti, fjalitë “Reforma e fundit 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fush</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n e taks</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pasuris</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synon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rris</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ardhurat p</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 bashkit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duke kaluar nga nj</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sistem i taksimit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bazuar 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vler</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p</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 nd</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rtesat dhe nj</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sistem i thjesht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tatimor mbi sip</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rfaqen p</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 tok</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n, 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nj</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sistem taksimi modern q</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takson edhe nd</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tesat edhe tok</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n, bazuar 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vler</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n e tregut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k</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tyre  aseteve. Sfid</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kryesore ka qen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krijimi i nj</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baze të dhënash gjithëpërfshirëse të integruar të pasurive.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gjitha pronat e regjistruara do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vler</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sohen n</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baz</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t</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vler</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tregut. DPTP-ja luan nj</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rol vendimtar, duke p</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rfshir</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 mbik</w:t>
      </w:r>
      <w:r w:rsidR="00293B62" w:rsidRPr="00227F4B">
        <w:rPr>
          <w:rFonts w:ascii="Times New Roman" w:hAnsi="Times New Roman" w:cs="Times New Roman"/>
          <w:sz w:val="24"/>
          <w:szCs w:val="24"/>
          <w:lang w:val="sq-AL"/>
        </w:rPr>
        <w:t>ë</w:t>
      </w:r>
      <w:r w:rsidR="00566954" w:rsidRPr="00227F4B">
        <w:rPr>
          <w:rFonts w:ascii="Times New Roman" w:hAnsi="Times New Roman" w:cs="Times New Roman"/>
          <w:sz w:val="24"/>
          <w:szCs w:val="24"/>
          <w:lang w:val="sq-AL"/>
        </w:rPr>
        <w:t xml:space="preserve">qyrjen e menaxhimit </w:t>
      </w:r>
      <w:r w:rsidR="006811EF" w:rsidRPr="00227F4B">
        <w:rPr>
          <w:rFonts w:ascii="Times New Roman" w:hAnsi="Times New Roman" w:cs="Times New Roman"/>
          <w:sz w:val="24"/>
          <w:szCs w:val="24"/>
          <w:lang w:val="sq-AL"/>
        </w:rPr>
        <w:t>t</w:t>
      </w:r>
      <w:r w:rsidR="00293B62" w:rsidRPr="00227F4B">
        <w:rPr>
          <w:rFonts w:ascii="Times New Roman" w:hAnsi="Times New Roman" w:cs="Times New Roman"/>
          <w:sz w:val="24"/>
          <w:szCs w:val="24"/>
          <w:lang w:val="sq-AL"/>
        </w:rPr>
        <w:t>ë</w:t>
      </w:r>
      <w:r w:rsidR="006811EF" w:rsidRPr="00227F4B">
        <w:rPr>
          <w:rFonts w:ascii="Times New Roman" w:hAnsi="Times New Roman" w:cs="Times New Roman"/>
          <w:sz w:val="24"/>
          <w:szCs w:val="24"/>
          <w:lang w:val="sq-AL"/>
        </w:rPr>
        <w:t xml:space="preserve"> Kadast</w:t>
      </w:r>
      <w:r w:rsidR="00293B62" w:rsidRPr="00227F4B">
        <w:rPr>
          <w:rFonts w:ascii="Times New Roman" w:hAnsi="Times New Roman" w:cs="Times New Roman"/>
          <w:sz w:val="24"/>
          <w:szCs w:val="24"/>
          <w:lang w:val="sq-AL"/>
        </w:rPr>
        <w:t>ë</w:t>
      </w:r>
      <w:r w:rsidR="006811EF" w:rsidRPr="00227F4B">
        <w:rPr>
          <w:rFonts w:ascii="Times New Roman" w:hAnsi="Times New Roman" w:cs="Times New Roman"/>
          <w:sz w:val="24"/>
          <w:szCs w:val="24"/>
          <w:lang w:val="sq-AL"/>
        </w:rPr>
        <w:t xml:space="preserve">s Fiskale </w:t>
      </w:r>
      <w:r w:rsidR="00F40FAF" w:rsidRPr="00227F4B">
        <w:rPr>
          <w:rFonts w:ascii="Times New Roman" w:hAnsi="Times New Roman" w:cs="Times New Roman"/>
          <w:sz w:val="24"/>
          <w:szCs w:val="24"/>
          <w:lang w:val="sq-AL"/>
        </w:rPr>
        <w:t>dhe marrjen e drejtimit, metodologjikisht, n</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 administrimin e taks</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 pasuris</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P</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r t</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 rritur nd</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rgjegj</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simin e tatimpaguesve p</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r p</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rgjegj</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sin</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 e tyre p</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n e pasuris</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 DPTP-ja ka </w:t>
      </w:r>
      <w:r w:rsidR="00F40FAF" w:rsidRPr="00227F4B">
        <w:rPr>
          <w:rFonts w:ascii="Times New Roman" w:hAnsi="Times New Roman" w:cs="Times New Roman"/>
          <w:sz w:val="24"/>
          <w:szCs w:val="24"/>
        </w:rPr>
        <w:t xml:space="preserve">bashkëpunuar me bashkitë, duke ndarë materiale informative për t'u shpërndarë përmes kanaleve të tyre. Në </w:t>
      </w:r>
      <w:r w:rsidR="00F40FAF" w:rsidRPr="00227F4B">
        <w:rPr>
          <w:rFonts w:ascii="Times New Roman" w:hAnsi="Times New Roman" w:cs="Times New Roman"/>
          <w:sz w:val="24"/>
          <w:szCs w:val="24"/>
          <w:lang w:val="sq-AL"/>
        </w:rPr>
        <w:t>këtë drejtim, DPTP-ja ka p</w:t>
      </w:r>
      <w:r w:rsidR="00293B62" w:rsidRPr="00227F4B">
        <w:rPr>
          <w:rFonts w:ascii="Times New Roman" w:hAnsi="Times New Roman" w:cs="Times New Roman"/>
          <w:sz w:val="24"/>
          <w:szCs w:val="24"/>
          <w:lang w:val="sq-AL"/>
        </w:rPr>
        <w:t>ë</w:t>
      </w:r>
      <w:r w:rsidR="00F40FAF" w:rsidRPr="00227F4B">
        <w:rPr>
          <w:rFonts w:ascii="Times New Roman" w:hAnsi="Times New Roman" w:cs="Times New Roman"/>
          <w:sz w:val="24"/>
          <w:szCs w:val="24"/>
          <w:lang w:val="sq-AL"/>
        </w:rPr>
        <w:t xml:space="preserve">rdorur fletushka dhe burime të tjera </w:t>
      </w:r>
      <w:r w:rsidR="00210BDA" w:rsidRPr="00227F4B">
        <w:rPr>
          <w:rFonts w:ascii="Times New Roman" w:hAnsi="Times New Roman" w:cs="Times New Roman"/>
          <w:sz w:val="24"/>
          <w:szCs w:val="24"/>
          <w:lang w:val="sq-AL"/>
        </w:rPr>
        <w:t>informative 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printueshme, 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dizanjuara p</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r 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sqaruar taksapaguesit për detyrimet e tyre. Gjat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faz</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dyt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t</w:t>
      </w:r>
      <w:r w:rsidR="00293B62" w:rsidRPr="00227F4B">
        <w:rPr>
          <w:rFonts w:ascii="Times New Roman" w:hAnsi="Times New Roman" w:cs="Times New Roman"/>
          <w:sz w:val="24"/>
          <w:szCs w:val="24"/>
          <w:lang w:val="sq-AL"/>
        </w:rPr>
        <w:t>ë</w:t>
      </w:r>
      <w:r w:rsidR="00210BDA" w:rsidRPr="00227F4B">
        <w:rPr>
          <w:rFonts w:ascii="Times New Roman" w:hAnsi="Times New Roman" w:cs="Times New Roman"/>
          <w:sz w:val="24"/>
          <w:szCs w:val="24"/>
          <w:lang w:val="sq-AL"/>
        </w:rPr>
        <w:t xml:space="preserve"> vazhdimit të reformës, </w:t>
      </w:r>
      <w:r w:rsidR="00210BDA" w:rsidRPr="00227F4B">
        <w:rPr>
          <w:rFonts w:ascii="Times New Roman" w:hAnsi="Times New Roman" w:cs="Times New Roman"/>
          <w:sz w:val="24"/>
          <w:szCs w:val="24"/>
        </w:rPr>
        <w:t>është hartuar projektligji “Për taksën mbi pasurinë e paluajtshme”. Dispozitat e projektligjit të ri përfshijnë rregullimin e mandatit të DPTP-së për vlerësimin e ndërtesave dhe Agjencisë Shtetërore të Kadastrës për vlerësimin e tok</w:t>
      </w:r>
      <w:r w:rsidR="00293B62" w:rsidRPr="00227F4B">
        <w:rPr>
          <w:rFonts w:ascii="Times New Roman" w:hAnsi="Times New Roman" w:cs="Times New Roman"/>
          <w:sz w:val="24"/>
          <w:szCs w:val="24"/>
        </w:rPr>
        <w:t>ë</w:t>
      </w:r>
      <w:r w:rsidR="00210BDA" w:rsidRPr="00227F4B">
        <w:rPr>
          <w:rFonts w:ascii="Times New Roman" w:hAnsi="Times New Roman" w:cs="Times New Roman"/>
          <w:sz w:val="24"/>
          <w:szCs w:val="24"/>
        </w:rPr>
        <w:t xml:space="preserve">s. Gjithashtu, projektligji i ri rregullon mënyrat e faturimit dhe mbledhjes së taksave, si dhe mekanizmat e ankesave dhe ankimimeve”, </w:t>
      </w:r>
      <w:r w:rsidR="00210BDA" w:rsidRPr="00227F4B">
        <w:rPr>
          <w:rFonts w:ascii="Times New Roman" w:hAnsi="Times New Roman" w:cs="Times New Roman"/>
          <w:b/>
          <w:sz w:val="24"/>
          <w:szCs w:val="24"/>
        </w:rPr>
        <w:t>propozohet t</w:t>
      </w:r>
      <w:r w:rsidR="00293B62" w:rsidRPr="00227F4B">
        <w:rPr>
          <w:rFonts w:ascii="Times New Roman" w:hAnsi="Times New Roman" w:cs="Times New Roman"/>
          <w:b/>
          <w:sz w:val="24"/>
          <w:szCs w:val="24"/>
        </w:rPr>
        <w:t>ë</w:t>
      </w:r>
      <w:r w:rsidR="00210BDA" w:rsidRPr="00227F4B">
        <w:rPr>
          <w:rFonts w:ascii="Times New Roman" w:hAnsi="Times New Roman" w:cs="Times New Roman"/>
          <w:b/>
          <w:sz w:val="24"/>
          <w:szCs w:val="24"/>
        </w:rPr>
        <w:t xml:space="preserve"> ndryshohen n</w:t>
      </w:r>
      <w:r w:rsidR="00293B62" w:rsidRPr="00227F4B">
        <w:rPr>
          <w:rFonts w:ascii="Times New Roman" w:hAnsi="Times New Roman" w:cs="Times New Roman"/>
          <w:b/>
          <w:sz w:val="24"/>
          <w:szCs w:val="24"/>
        </w:rPr>
        <w:t>ë</w:t>
      </w:r>
      <w:r w:rsidR="00210BDA" w:rsidRPr="00227F4B">
        <w:rPr>
          <w:rFonts w:ascii="Times New Roman" w:hAnsi="Times New Roman" w:cs="Times New Roman"/>
          <w:b/>
          <w:sz w:val="24"/>
          <w:szCs w:val="24"/>
        </w:rPr>
        <w:t xml:space="preserve"> </w:t>
      </w:r>
      <w:r w:rsidR="00210BDA" w:rsidRPr="00227F4B">
        <w:rPr>
          <w:rFonts w:ascii="Times New Roman" w:hAnsi="Times New Roman" w:cs="Times New Roman"/>
          <w:sz w:val="24"/>
          <w:szCs w:val="24"/>
          <w:lang w:val="sq-AL"/>
        </w:rPr>
        <w:t xml:space="preserve">“Reforma e fundit në fushën e taksës së pasurisë synon të rrisë të ardhurat për bashkitë, duke kaluar nga një sistem i taksimit të bazuar në vlerë për ndërtesat dhe një sistem i thjeshtë tatimor bazuar në sipërfaqen për tokën bujqësore dhe truallin, në një sistem taksimi modern që takson edhe ndërtesat edhe parcelat, bazuar në vlerën e tregut të këtyre pasurive të paluajtshme. Sfidë kryesore ka qenë krijimi i një baze të dhënash gjithëpërfshirëse të integruar të pasurive të paluajtshme. Të gjitha </w:t>
      </w:r>
      <w:r w:rsidR="00210BDA" w:rsidRPr="00227F4B">
        <w:rPr>
          <w:rFonts w:ascii="Times New Roman" w:hAnsi="Times New Roman" w:cs="Times New Roman"/>
          <w:sz w:val="24"/>
          <w:szCs w:val="24"/>
        </w:rPr>
        <w:t xml:space="preserve">pasuritë e paluajtshme të regjistruara do të vlerësohen në bazë të vlerës së tregut. DPTP-ja luan një rol vendimtar, duke përfshirë menaxhimin e regjistrit qendror të bazës së të dhënave të pasurive të paluajtshme (Kadastra Fiskale), si dhe udhëheqjen nga pikëpamja metodologjike, në lidhje me administrimin e taksës mbi pasuritë e paluajtshme. Për të rritur ndërgjegjësimin e taksapaguesve për përgjegjësitë e tyre për taksën e pasurisë së paluajtshme, DPTP-ja ka bashkëpunuar me bashkitë, duke ndarë materiale informuese për t'u shpërndarë përmes kanaleve </w:t>
      </w:r>
      <w:r w:rsidR="00210BDA" w:rsidRPr="00227F4B">
        <w:rPr>
          <w:rFonts w:ascii="Times New Roman" w:hAnsi="Times New Roman" w:cs="Times New Roman"/>
          <w:sz w:val="24"/>
          <w:szCs w:val="24"/>
        </w:rPr>
        <w:lastRenderedPageBreak/>
        <w:t xml:space="preserve">të tyre. Në këtë drejtim, DPTP-ja ka hartuar fletushka dhe burime të tjera informuese të printueshme, të hartuara për të sqaruar taksapaguesit për detyrimet e tyre. </w:t>
      </w:r>
      <w:r w:rsidR="00504E2F" w:rsidRPr="00227F4B">
        <w:rPr>
          <w:rFonts w:ascii="Times New Roman" w:hAnsi="Times New Roman" w:cs="Times New Roman"/>
          <w:sz w:val="24"/>
          <w:szCs w:val="24"/>
        </w:rPr>
        <w:t xml:space="preserve">Gjatë fazës së dytë në vazhdim të reformës, është hartuar projektligji “Për taksën mbi pasurinë e paluajtshme”. Dispozitat e projektligjit të ri përfshijnë rregullimin e mandatit të DPTP-së për vlerësimin e ndërtesave dhe Agjencisë Shtetërore të Kadastrës për vlerësimin e parcelave. Gjithashtu, projektligji i ri rregullon mënyrat e faturimit dhe mbledhjes së taksave, si dhe mekanizmat e ankimimeve dhe apelimeve”. </w:t>
      </w:r>
    </w:p>
    <w:p w14:paraId="6F2E29CD" w14:textId="27B4F6B8" w:rsidR="00504E2F"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504E2F" w:rsidRPr="00227F4B">
        <w:rPr>
          <w:rFonts w:ascii="Times New Roman" w:hAnsi="Times New Roman" w:cs="Times New Roman"/>
          <w:sz w:val="24"/>
          <w:szCs w:val="24"/>
          <w:lang w:val="sq-AL"/>
        </w:rPr>
        <w:t xml:space="preserve"> prioriteti “P</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rgatitja e kadastr</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s fiskale dhe sistemit </w:t>
      </w:r>
      <w:r w:rsidR="00504E2F" w:rsidRPr="00227F4B">
        <w:rPr>
          <w:rFonts w:ascii="Times New Roman" w:hAnsi="Times New Roman" w:cs="Times New Roman"/>
          <w:sz w:val="24"/>
          <w:szCs w:val="24"/>
        </w:rPr>
        <w:t>t</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mbledhjes s</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taks</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s s</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pasuris</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p</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r zbatim t</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plot</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n</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periudh</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n pas vitit 2023...”, propozohet t</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ndryshohet n</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 xml:space="preserve"> “P</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rgatitja e kadastr</w:t>
      </w:r>
      <w:r w:rsidR="00293B62" w:rsidRPr="00227F4B">
        <w:rPr>
          <w:rFonts w:ascii="Times New Roman" w:hAnsi="Times New Roman" w:cs="Times New Roman"/>
          <w:sz w:val="24"/>
          <w:szCs w:val="24"/>
        </w:rPr>
        <w:t>ë</w:t>
      </w:r>
      <w:r w:rsidR="00504E2F" w:rsidRPr="00227F4B">
        <w:rPr>
          <w:rFonts w:ascii="Times New Roman" w:hAnsi="Times New Roman" w:cs="Times New Roman"/>
          <w:sz w:val="24"/>
          <w:szCs w:val="24"/>
        </w:rPr>
        <w:t>s fiskale dhe zbatimi i taksimit bazuar në vlerën e tregut për ndërtesat duke filluar nga viti 2026, si dhe zbatimi i taksimit bazuar në vlerën e tregut për parcelat duke filluar nga viti 2028…”.</w:t>
      </w:r>
      <w:r w:rsidR="00504E2F" w:rsidRPr="00227F4B">
        <w:rPr>
          <w:rFonts w:ascii="Times New Roman" w:hAnsi="Times New Roman" w:cs="Times New Roman"/>
          <w:sz w:val="24"/>
          <w:szCs w:val="24"/>
          <w:lang w:val="sq-AL"/>
        </w:rPr>
        <w:t xml:space="preserve">  </w:t>
      </w:r>
      <w:r w:rsidR="00860928" w:rsidRPr="00227F4B">
        <w:rPr>
          <w:rFonts w:ascii="Times New Roman" w:hAnsi="Times New Roman" w:cs="Times New Roman"/>
          <w:sz w:val="24"/>
          <w:szCs w:val="24"/>
          <w:lang w:val="sq-AL"/>
        </w:rPr>
        <w:t>N</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 xml:space="preserve"> lidhje me k</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t</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 xml:space="preserve"> prioritet nga DPTP-ja </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 xml:space="preserve"> p</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rcjell</w:t>
      </w:r>
      <w:r w:rsidR="00293B62" w:rsidRPr="00227F4B">
        <w:rPr>
          <w:rFonts w:ascii="Times New Roman" w:hAnsi="Times New Roman" w:cs="Times New Roman"/>
          <w:sz w:val="24"/>
          <w:szCs w:val="24"/>
          <w:lang w:val="sq-AL"/>
        </w:rPr>
        <w:t>ë</w:t>
      </w:r>
      <w:r w:rsidR="00860928" w:rsidRPr="00227F4B">
        <w:rPr>
          <w:rFonts w:ascii="Times New Roman" w:hAnsi="Times New Roman" w:cs="Times New Roman"/>
          <w:sz w:val="24"/>
          <w:szCs w:val="24"/>
          <w:lang w:val="sq-AL"/>
        </w:rPr>
        <w:t xml:space="preserve"> komenti si vijon: </w:t>
      </w:r>
      <w:r w:rsidR="00860928" w:rsidRPr="00227F4B">
        <w:rPr>
          <w:rFonts w:ascii="Times New Roman" w:hAnsi="Times New Roman" w:cs="Times New Roman"/>
          <w:i/>
          <w:sz w:val="24"/>
          <w:szCs w:val="24"/>
          <w:lang w:val="sq-AL"/>
        </w:rPr>
        <w:t xml:space="preserve">Ashtu siç </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sht</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 xml:space="preserve"> p</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rcaktuar nga komentet e m</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parshme t</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 xml:space="preserve"> DPTP-s</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 sqarojm</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 xml:space="preserve"> p</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rs</w:t>
      </w:r>
      <w:r w:rsidR="00293B62" w:rsidRPr="00227F4B">
        <w:rPr>
          <w:rFonts w:ascii="Times New Roman" w:hAnsi="Times New Roman" w:cs="Times New Roman"/>
          <w:i/>
          <w:sz w:val="24"/>
          <w:szCs w:val="24"/>
          <w:lang w:val="sq-AL"/>
        </w:rPr>
        <w:t>ë</w:t>
      </w:r>
      <w:r w:rsidR="00860928" w:rsidRPr="00227F4B">
        <w:rPr>
          <w:rFonts w:ascii="Times New Roman" w:hAnsi="Times New Roman" w:cs="Times New Roman"/>
          <w:i/>
          <w:sz w:val="24"/>
          <w:szCs w:val="24"/>
          <w:lang w:val="sq-AL"/>
        </w:rPr>
        <w:t xml:space="preserve">ri </w:t>
      </w:r>
      <w:r w:rsidR="001166BF" w:rsidRPr="00227F4B">
        <w:rPr>
          <w:rFonts w:ascii="Times New Roman" w:hAnsi="Times New Roman" w:cs="Times New Roman"/>
          <w:i/>
          <w:sz w:val="24"/>
          <w:szCs w:val="24"/>
          <w:lang w:val="sq-AL"/>
        </w:rPr>
        <w:t>se n</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projektligj </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sht</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parashikuar se zbatimi i taksimit bazuar n</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vler</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n e tregut p</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r nd</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rtes</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n do t</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filloj</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n</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vitin 2026 dhe zbatimi i taksimit bazuar n</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vler</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n e tregut p</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r parcel</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n do t</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filloj</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n</w:t>
      </w:r>
      <w:r w:rsidR="00293B62" w:rsidRPr="00227F4B">
        <w:rPr>
          <w:rFonts w:ascii="Times New Roman" w:hAnsi="Times New Roman" w:cs="Times New Roman"/>
          <w:i/>
          <w:sz w:val="24"/>
          <w:szCs w:val="24"/>
          <w:lang w:val="sq-AL"/>
        </w:rPr>
        <w:t>ë</w:t>
      </w:r>
      <w:r w:rsidR="001166BF" w:rsidRPr="00227F4B">
        <w:rPr>
          <w:rFonts w:ascii="Times New Roman" w:hAnsi="Times New Roman" w:cs="Times New Roman"/>
          <w:i/>
          <w:sz w:val="24"/>
          <w:szCs w:val="24"/>
          <w:lang w:val="sq-AL"/>
        </w:rPr>
        <w:t xml:space="preserve"> vitin 2028.</w:t>
      </w:r>
    </w:p>
    <w:p w14:paraId="2DB3A9C4" w14:textId="7F35D1E0" w:rsidR="00504E2F"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504E2F" w:rsidRPr="00227F4B">
        <w:rPr>
          <w:rFonts w:ascii="Times New Roman" w:hAnsi="Times New Roman" w:cs="Times New Roman"/>
          <w:sz w:val="24"/>
          <w:szCs w:val="24"/>
          <w:lang w:val="sq-AL"/>
        </w:rPr>
        <w:t xml:space="preserve"> aktiviteti 1 “Hartimi dhe miratimi i kuadrit ligjor (ligjore dhe 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nligjore) p</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r kadastr</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n fiskale, taks</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n mbi pron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n dhe pasurin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dhe aktin 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nligjor p</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r vler</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simin e tok</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s dhe pasuris</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propozohet t</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“Hartimi dhe miratimi i kuadrit ligjor (aktet ligjore dhe aktet nënligjore) për kadastrën fiskale, taksën mbi tokën dhe pasurinë e paluajtshme dhe aktin nënligjor për vlerësimin e tokës dhe pasurisë”. </w:t>
      </w:r>
      <w:r w:rsidR="00F40FAF" w:rsidRPr="00227F4B">
        <w:rPr>
          <w:rFonts w:ascii="Times New Roman" w:hAnsi="Times New Roman" w:cs="Times New Roman"/>
          <w:sz w:val="24"/>
          <w:szCs w:val="24"/>
          <w:lang w:val="sq-AL"/>
        </w:rPr>
        <w:t xml:space="preserve">   </w:t>
      </w:r>
    </w:p>
    <w:p w14:paraId="7ECE1496" w14:textId="14392EF1" w:rsidR="00504E2F"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504E2F" w:rsidRPr="00227F4B">
        <w:rPr>
          <w:rFonts w:ascii="Times New Roman" w:hAnsi="Times New Roman" w:cs="Times New Roman"/>
          <w:sz w:val="24"/>
          <w:szCs w:val="24"/>
          <w:lang w:val="sq-AL"/>
        </w:rPr>
        <w:t xml:space="preserve"> aktiviteti 2 “Hartimi i kuadrit institucional p</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r menaxhimin dhe administrimin e taks</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nd</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rtes</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s” </w:t>
      </w:r>
      <w:r w:rsidR="00504E2F"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504E2F"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504E2F" w:rsidRPr="00227F4B">
        <w:rPr>
          <w:rFonts w:ascii="Times New Roman" w:hAnsi="Times New Roman" w:cs="Times New Roman"/>
          <w:sz w:val="24"/>
          <w:szCs w:val="24"/>
          <w:lang w:val="sq-AL"/>
        </w:rPr>
        <w:t xml:space="preserve"> “Hartimi i kuadrit institucional për menaxhimin dhe administrimin e taksës mbi ndërtesën”.</w:t>
      </w:r>
    </w:p>
    <w:p w14:paraId="4C5C0980" w14:textId="78F59745" w:rsidR="00F86367"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504E2F" w:rsidRPr="00227F4B">
        <w:rPr>
          <w:rFonts w:ascii="Times New Roman" w:hAnsi="Times New Roman" w:cs="Times New Roman"/>
          <w:sz w:val="24"/>
          <w:szCs w:val="24"/>
          <w:lang w:val="sq-AL"/>
        </w:rPr>
        <w:t xml:space="preserve"> aktiviteti 4 “Pilotimi, ndërtimi i kapaciteteve dhe institucionalizimi i procedurave për vlerësimin e pasurisë, popullimin dhe mirëmbajtjen e të dhënave të pasurisë 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SIFK” propozohet t</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504E2F" w:rsidRPr="00227F4B">
        <w:rPr>
          <w:rFonts w:ascii="Times New Roman" w:hAnsi="Times New Roman" w:cs="Times New Roman"/>
          <w:sz w:val="24"/>
          <w:szCs w:val="24"/>
          <w:lang w:val="sq-AL"/>
        </w:rPr>
        <w:t xml:space="preserve"> </w:t>
      </w:r>
      <w:r w:rsidR="00F86367" w:rsidRPr="00227F4B">
        <w:rPr>
          <w:rFonts w:ascii="Times New Roman" w:hAnsi="Times New Roman" w:cs="Times New Roman"/>
          <w:sz w:val="24"/>
          <w:szCs w:val="24"/>
          <w:lang w:val="sq-AL"/>
        </w:rPr>
        <w:t>“Pilotimi, ndërtimi i kapaciteteve dhe institucionalizimi i procedurave për vlerësimin e pasurisë së paluajtshme, popullimin dhe mirëmbajtjen e të dhënave të pasurisë së paluajtshme në SIKF”.</w:t>
      </w:r>
    </w:p>
    <w:p w14:paraId="4644A384" w14:textId="2B910625" w:rsidR="00E052C1"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E052C1" w:rsidRPr="00227F4B">
        <w:rPr>
          <w:rFonts w:ascii="Times New Roman" w:hAnsi="Times New Roman" w:cs="Times New Roman"/>
          <w:sz w:val="24"/>
          <w:szCs w:val="24"/>
          <w:lang w:val="sq-AL"/>
        </w:rPr>
        <w:t xml:space="preserve"> aktiviteti 5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rmir</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simi i proceseve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mbledhjen e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pasuris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dhe rritja e nd</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rgjegj</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simit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taksapaguesve” propozohet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rmir</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simi i proceseve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mbledhjen e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 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pasuris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paluajtshme dhe rritja e nd</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rgjegj</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simit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taksapaguesve”. </w:t>
      </w:r>
    </w:p>
    <w:p w14:paraId="2ECAEBA6" w14:textId="06B22685" w:rsidR="00E052C1"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E052C1" w:rsidRPr="00227F4B">
        <w:rPr>
          <w:rFonts w:ascii="Times New Roman" w:hAnsi="Times New Roman" w:cs="Times New Roman"/>
          <w:sz w:val="24"/>
          <w:szCs w:val="24"/>
          <w:lang w:val="sq-AL"/>
        </w:rPr>
        <w:t>e treguesit e performanc</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 dhe vlerat e synuara, treguesi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rgatitja dhe miratimi I ligjit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 e pasuris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propozohet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“Hartimi dhe miratimi i ligjit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 mbi pasurin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e paluajtshme”. </w:t>
      </w:r>
    </w:p>
    <w:p w14:paraId="5FFE6357" w14:textId="63A2A3AD" w:rsidR="00E052C1" w:rsidRPr="00227F4B" w:rsidRDefault="00E052C1" w:rsidP="00227F4B">
      <w:pPr>
        <w:pStyle w:val="ListParagraph"/>
        <w:numPr>
          <w:ilvl w:val="0"/>
          <w:numId w:val="23"/>
        </w:num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sz w:val="24"/>
          <w:szCs w:val="24"/>
          <w:lang w:val="sq-AL"/>
        </w:rPr>
        <w:t>Te treguesi i pik</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 (vii), vlera e synuar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vitin 20223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rgatitja e ligjit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n e pasuris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propozohet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“Hartimi i ligjit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n mbi pasurin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e paluajtshme” dhe vlera e synuar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vitin 2025 “Miratimi i ligjit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r </w:t>
      </w:r>
      <w:r w:rsidRPr="00227F4B">
        <w:rPr>
          <w:rFonts w:ascii="Times New Roman" w:hAnsi="Times New Roman" w:cs="Times New Roman"/>
          <w:sz w:val="24"/>
          <w:szCs w:val="24"/>
          <w:lang w:val="sq-AL"/>
        </w:rPr>
        <w:lastRenderedPageBreak/>
        <w:t>taks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n e pasuris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propozohet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“Miratimi i ligjit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n mbi pasurin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e paluajtshme”. </w:t>
      </w:r>
    </w:p>
    <w:p w14:paraId="668E86AF" w14:textId="3CF4B456" w:rsidR="00531685" w:rsidRPr="00227F4B" w:rsidRDefault="00DB151F" w:rsidP="00227F4B">
      <w:pPr>
        <w:pStyle w:val="ListParagraph"/>
        <w:numPr>
          <w:ilvl w:val="0"/>
          <w:numId w:val="23"/>
        </w:numPr>
        <w:tabs>
          <w:tab w:val="left" w:pos="0"/>
        </w:tabs>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E052C1" w:rsidRPr="00227F4B">
        <w:rPr>
          <w:rFonts w:ascii="Times New Roman" w:hAnsi="Times New Roman" w:cs="Times New Roman"/>
          <w:sz w:val="24"/>
          <w:szCs w:val="24"/>
          <w:lang w:val="sq-AL"/>
        </w:rPr>
        <w:t>e treguesit e performanc</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s dhe vlerat e synuara, treguesi</w:t>
      </w:r>
      <w:r w:rsidR="00566954" w:rsidRPr="00227F4B">
        <w:rPr>
          <w:rFonts w:ascii="Times New Roman" w:hAnsi="Times New Roman" w:cs="Times New Roman"/>
          <w:sz w:val="24"/>
          <w:szCs w:val="24"/>
          <w:lang w:val="sq-AL"/>
        </w:rPr>
        <w:t xml:space="preserve"> </w:t>
      </w:r>
      <w:r w:rsidR="00E052C1" w:rsidRPr="00227F4B">
        <w:rPr>
          <w:rFonts w:ascii="Times New Roman" w:hAnsi="Times New Roman" w:cs="Times New Roman"/>
          <w:sz w:val="24"/>
          <w:szCs w:val="24"/>
          <w:lang w:val="sq-AL"/>
        </w:rPr>
        <w:t>“Miratimi i akteve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nligjore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zbatimin e ligjit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 e pasuris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propozohet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“Miratimi i akteve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nligjore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zbatimin e ligjit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taks</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 mbi pasurin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e paluajtshme” dhe vlera e synuar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 vitin 2025 “P</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rgatitja dhe miratimi i akteve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nligjore” propozohet t</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 “Hartimi dhe miratimi i akteve n</w:t>
      </w:r>
      <w:r w:rsidR="00293B62" w:rsidRPr="00227F4B">
        <w:rPr>
          <w:rFonts w:ascii="Times New Roman" w:hAnsi="Times New Roman" w:cs="Times New Roman"/>
          <w:sz w:val="24"/>
          <w:szCs w:val="24"/>
          <w:lang w:val="sq-AL"/>
        </w:rPr>
        <w:t>ë</w:t>
      </w:r>
      <w:r w:rsidR="00E052C1" w:rsidRPr="00227F4B">
        <w:rPr>
          <w:rFonts w:ascii="Times New Roman" w:hAnsi="Times New Roman" w:cs="Times New Roman"/>
          <w:sz w:val="24"/>
          <w:szCs w:val="24"/>
          <w:lang w:val="sq-AL"/>
        </w:rPr>
        <w:t xml:space="preserve">nligjore”. </w:t>
      </w:r>
      <w:r w:rsidR="00566954" w:rsidRPr="00227F4B">
        <w:rPr>
          <w:rFonts w:ascii="Times New Roman" w:hAnsi="Times New Roman" w:cs="Times New Roman"/>
          <w:sz w:val="24"/>
          <w:szCs w:val="24"/>
          <w:lang w:val="sq-AL"/>
        </w:rPr>
        <w:t xml:space="preserve"> </w:t>
      </w:r>
    </w:p>
    <w:p w14:paraId="3CB92CA4" w14:textId="77777777" w:rsidR="00DB151F" w:rsidRDefault="00DB151F" w:rsidP="00227F4B">
      <w:pPr>
        <w:tabs>
          <w:tab w:val="left" w:pos="0"/>
        </w:tabs>
        <w:spacing w:after="0"/>
        <w:jc w:val="both"/>
        <w:rPr>
          <w:rFonts w:ascii="Times New Roman" w:eastAsia="Times New Roman" w:hAnsi="Times New Roman" w:cs="Times New Roman"/>
          <w:sz w:val="24"/>
          <w:szCs w:val="24"/>
          <w:lang w:val="sq-AL"/>
        </w:rPr>
      </w:pPr>
    </w:p>
    <w:p w14:paraId="07A3ADF1" w14:textId="76DA24F6" w:rsidR="005D0EED" w:rsidRDefault="00DB151F" w:rsidP="00227F4B">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gjitha ndryshimet e mësipërme janë reflektuar ashtu sikurse përcjellë nga Drejtoria e Përgjithshme e Taksës së Pasurisë.</w:t>
      </w:r>
    </w:p>
    <w:p w14:paraId="3352497E" w14:textId="77777777" w:rsidR="00DB151F" w:rsidRPr="00227F4B" w:rsidRDefault="00DB151F" w:rsidP="00227F4B">
      <w:pPr>
        <w:tabs>
          <w:tab w:val="left" w:pos="0"/>
        </w:tabs>
        <w:spacing w:after="0"/>
        <w:jc w:val="both"/>
        <w:rPr>
          <w:rFonts w:ascii="Times New Roman" w:hAnsi="Times New Roman" w:cs="Times New Roman"/>
          <w:sz w:val="24"/>
          <w:szCs w:val="24"/>
          <w:lang w:val="sq-AL"/>
        </w:rPr>
      </w:pPr>
    </w:p>
    <w:p w14:paraId="11503D86" w14:textId="66D0F74A" w:rsidR="00427182" w:rsidRPr="00227F4B" w:rsidRDefault="00427182"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b/>
          <w:bCs/>
          <w:sz w:val="24"/>
          <w:szCs w:val="24"/>
          <w:lang w:val="sq-AL"/>
        </w:rPr>
        <w:t>Instituti i Statistikave</w:t>
      </w:r>
      <w:r w:rsidRPr="00227F4B">
        <w:rPr>
          <w:rFonts w:ascii="Times New Roman" w:hAnsi="Times New Roman" w:cs="Times New Roman"/>
          <w:sz w:val="24"/>
          <w:szCs w:val="24"/>
          <w:lang w:val="sq-AL"/>
        </w:rPr>
        <w:t xml:space="preserve"> </w:t>
      </w:r>
      <w:r w:rsidR="00DB151F">
        <w:rPr>
          <w:rFonts w:ascii="Times New Roman" w:hAnsi="Times New Roman" w:cs="Times New Roman"/>
          <w:sz w:val="24"/>
          <w:szCs w:val="24"/>
          <w:lang w:val="sq-AL"/>
        </w:rPr>
        <w:t xml:space="preserve">nëpërmjet </w:t>
      </w:r>
      <w:r w:rsidRPr="00227F4B">
        <w:rPr>
          <w:rFonts w:ascii="Times New Roman" w:hAnsi="Times New Roman" w:cs="Times New Roman"/>
          <w:sz w:val="24"/>
          <w:szCs w:val="24"/>
          <w:lang w:val="sq-AL"/>
        </w:rPr>
        <w:t>shkresë nr 369/1 prot, datë 04.03.2024</w:t>
      </w:r>
      <w:r w:rsidR="00DB151F">
        <w:rPr>
          <w:rFonts w:ascii="Times New Roman" w:hAnsi="Times New Roman" w:cs="Times New Roman"/>
          <w:sz w:val="24"/>
          <w:szCs w:val="24"/>
          <w:lang w:val="sq-AL"/>
        </w:rPr>
        <w:t>, ka përcjellë komentet si vijon:</w:t>
      </w:r>
    </w:p>
    <w:p w14:paraId="148F3AA7" w14:textId="6646BF64" w:rsidR="002532DD" w:rsidRPr="00227F4B" w:rsidRDefault="00DB151F" w:rsidP="00227F4B">
      <w:pPr>
        <w:pStyle w:val="ListParagraph"/>
        <w:numPr>
          <w:ilvl w:val="0"/>
          <w:numId w:val="25"/>
        </w:numPr>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2532DD" w:rsidRPr="00227F4B">
        <w:rPr>
          <w:rFonts w:ascii="Times New Roman" w:hAnsi="Times New Roman" w:cs="Times New Roman"/>
          <w:sz w:val="24"/>
          <w:szCs w:val="24"/>
          <w:lang w:val="sq-AL"/>
        </w:rPr>
        <w:t>e Programi i Statistikave Zyrtare 2022-2026, fjalit</w:t>
      </w:r>
      <w:r w:rsidR="00293B62" w:rsidRPr="00227F4B">
        <w:rPr>
          <w:rFonts w:ascii="Times New Roman" w:hAnsi="Times New Roman" w:cs="Times New Roman"/>
          <w:sz w:val="24"/>
          <w:szCs w:val="24"/>
          <w:lang w:val="sq-AL"/>
        </w:rPr>
        <w:t>ë</w:t>
      </w:r>
      <w:r w:rsidR="002532DD" w:rsidRPr="00227F4B">
        <w:rPr>
          <w:rFonts w:ascii="Times New Roman" w:hAnsi="Times New Roman" w:cs="Times New Roman"/>
          <w:sz w:val="24"/>
          <w:szCs w:val="24"/>
          <w:lang w:val="sq-AL"/>
        </w:rPr>
        <w:t xml:space="preserve"> “Programi i Statistikave Zyrtare 2022-2026 i Shqip</w:t>
      </w:r>
      <w:r w:rsidR="00293B62" w:rsidRPr="00227F4B">
        <w:rPr>
          <w:rFonts w:ascii="Times New Roman" w:hAnsi="Times New Roman" w:cs="Times New Roman"/>
          <w:sz w:val="24"/>
          <w:szCs w:val="24"/>
          <w:lang w:val="sq-AL"/>
        </w:rPr>
        <w:t>ë</w:t>
      </w:r>
      <w:r w:rsidR="002532DD" w:rsidRPr="00227F4B">
        <w:rPr>
          <w:rFonts w:ascii="Times New Roman" w:hAnsi="Times New Roman" w:cs="Times New Roman"/>
          <w:sz w:val="24"/>
          <w:szCs w:val="24"/>
          <w:lang w:val="sq-AL"/>
        </w:rPr>
        <w:t>ris</w:t>
      </w:r>
      <w:r w:rsidR="00293B62" w:rsidRPr="00227F4B">
        <w:rPr>
          <w:rFonts w:ascii="Times New Roman" w:hAnsi="Times New Roman" w:cs="Times New Roman"/>
          <w:sz w:val="24"/>
          <w:szCs w:val="24"/>
          <w:lang w:val="sq-AL"/>
        </w:rPr>
        <w:t>ë</w:t>
      </w:r>
      <w:r w:rsidR="002532DD" w:rsidRPr="00227F4B">
        <w:rPr>
          <w:rFonts w:ascii="Times New Roman" w:hAnsi="Times New Roman" w:cs="Times New Roman"/>
          <w:sz w:val="24"/>
          <w:szCs w:val="24"/>
          <w:lang w:val="sq-AL"/>
        </w:rPr>
        <w:t>, i krijuar n</w:t>
      </w:r>
      <w:r w:rsidR="00293B62" w:rsidRPr="00227F4B">
        <w:rPr>
          <w:rFonts w:ascii="Times New Roman" w:hAnsi="Times New Roman" w:cs="Times New Roman"/>
          <w:sz w:val="24"/>
          <w:szCs w:val="24"/>
          <w:lang w:val="sq-AL"/>
        </w:rPr>
        <w:t>ë</w:t>
      </w:r>
      <w:r w:rsidR="002532DD" w:rsidRPr="00227F4B">
        <w:rPr>
          <w:rFonts w:ascii="Times New Roman" w:hAnsi="Times New Roman" w:cs="Times New Roman"/>
          <w:sz w:val="24"/>
          <w:szCs w:val="24"/>
          <w:lang w:val="sq-AL"/>
        </w:rPr>
        <w:t xml:space="preserve"> baz</w:t>
      </w:r>
      <w:r w:rsidR="00293B62" w:rsidRPr="00227F4B">
        <w:rPr>
          <w:rFonts w:ascii="Times New Roman" w:hAnsi="Times New Roman" w:cs="Times New Roman"/>
          <w:sz w:val="24"/>
          <w:szCs w:val="24"/>
          <w:lang w:val="sq-AL"/>
        </w:rPr>
        <w:t>ë</w:t>
      </w:r>
      <w:r w:rsidR="002532DD" w:rsidRPr="00227F4B">
        <w:rPr>
          <w:rFonts w:ascii="Times New Roman" w:hAnsi="Times New Roman" w:cs="Times New Roman"/>
          <w:sz w:val="24"/>
          <w:szCs w:val="24"/>
          <w:lang w:val="sq-AL"/>
        </w:rPr>
        <w:t xml:space="preserve"> </w:t>
      </w:r>
      <w:r w:rsidR="00467D20" w:rsidRPr="00227F4B">
        <w:rPr>
          <w:rFonts w:ascii="Times New Roman" w:hAnsi="Times New Roman" w:cs="Times New Roman"/>
          <w:sz w:val="24"/>
          <w:szCs w:val="24"/>
          <w:lang w:val="sq-AL"/>
        </w:rPr>
        <w:t xml:space="preserve">të ligjit nr. 30/2022, përshkruan strategjinë për zhvillimin e statistikave zyrtare për një periudhë pesëvjeçare. Programi synon përputhjen me standardet statistikore të BE-së, të adresojë nevojat specifike të përdoruesve dhe të përmirësojë efikasitetin, transparencën dhe cilësinë e proceseve dhe shërbimeve statistikore. Në lidhje me MFP-në, PSZ-ja planifikon të zgjerojë statistikat makroekonomike, harmonizimin e mëtejshëm me sistemin evropian të llogarive SELL 2010 dhe procedurën e deficitit të tepruar (PDT), zgjerimin e bazës së të dhënave për njësitë ekstra-buxhetore dhe integrimin e tyre në sistemin e të dhënave të qeverisë së përgjithshme; integrimin e të gjitha njësive të qeverisjes së përgjithshme në sistemin SIFQ dhe hartimin e bilanceve të llogarive të qeverisë në përputhje me standardet ndërkombëtare të llogarive të sektorit publik” </w:t>
      </w:r>
      <w:r w:rsidR="00467D20"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467D20" w:rsidRPr="00227F4B">
        <w:rPr>
          <w:rFonts w:ascii="Times New Roman" w:hAnsi="Times New Roman" w:cs="Times New Roman"/>
          <w:b/>
          <w:sz w:val="24"/>
          <w:szCs w:val="24"/>
          <w:lang w:val="sq-AL"/>
        </w:rPr>
        <w:t xml:space="preserve"> ndryshohen n</w:t>
      </w:r>
      <w:r w:rsidR="00293B62" w:rsidRPr="00227F4B">
        <w:rPr>
          <w:rFonts w:ascii="Times New Roman" w:hAnsi="Times New Roman" w:cs="Times New Roman"/>
          <w:b/>
          <w:sz w:val="24"/>
          <w:szCs w:val="24"/>
          <w:lang w:val="sq-AL"/>
        </w:rPr>
        <w:t>ë</w:t>
      </w:r>
      <w:r w:rsidR="00467D20" w:rsidRPr="00227F4B">
        <w:rPr>
          <w:rFonts w:ascii="Times New Roman" w:hAnsi="Times New Roman" w:cs="Times New Roman"/>
          <w:sz w:val="24"/>
          <w:szCs w:val="24"/>
          <w:lang w:val="sq-AL"/>
        </w:rPr>
        <w:t xml:space="preserve"> “Programi i Statistikave Zyrtare 2022-2026” i Shqipërisë, i miratuar nga Kuvendi i Republikës së Shqipërisë me Ligjin nr. 30/2022, përshkruan strategjinë për zhvillimin e statistikave zyrtare për një periudhë pesëvjeçare. Programi synon përputhjen me standardet statistikore të BE-së, adresimin e nevojave specifike të përdoruesve dhe të përmirësojë efikasitetin, transparencën dhe cilësinë e proceseve dhe shërbimeve statistikore. Në lidhje me MFP-në, PSZ-ja planifikon përmirësimin e statistikave makroekonomike përfshirë Statistikat Financiare të Qeverisë dhe Tabelat e Procedurës së Deficitit të Tejkaluar (PDT); harmonizimin e mëtejshëm të tyre me sistemin evropian të llogarive SELL 2010 nëpërmjet zgjerimit të bazë së të dhënave për njësitë ekstra-buxhetore dhe integrimin e tyre në sistemin e të dhënave të qeverisë së përgjithshme; integrimin e të gjitha njësive të qeverisjes së përgjithshme në sistemin SIFQ dhe hartimin e bilanceve të llogarive të qeverisë në përputhje me standardet ndërkombëtare të llogarive të sektorit publik”.</w:t>
      </w:r>
    </w:p>
    <w:p w14:paraId="46B91B83" w14:textId="60605749" w:rsidR="00467D20" w:rsidRPr="00227F4B" w:rsidRDefault="00DB151F" w:rsidP="00227F4B">
      <w:pPr>
        <w:pStyle w:val="ListParagraph"/>
        <w:numPr>
          <w:ilvl w:val="0"/>
          <w:numId w:val="25"/>
        </w:numPr>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4129D8" w:rsidRPr="00227F4B">
        <w:rPr>
          <w:rFonts w:ascii="Times New Roman" w:hAnsi="Times New Roman" w:cs="Times New Roman"/>
          <w:sz w:val="24"/>
          <w:szCs w:val="24"/>
          <w:lang w:val="sq-AL"/>
        </w:rPr>
        <w:t xml:space="preserve"> komponenti 4.1 Llogarit</w:t>
      </w:r>
      <w:r w:rsidR="00293B62" w:rsidRPr="00227F4B">
        <w:rPr>
          <w:rFonts w:ascii="Times New Roman" w:hAnsi="Times New Roman" w:cs="Times New Roman"/>
          <w:sz w:val="24"/>
          <w:szCs w:val="24"/>
          <w:lang w:val="sq-AL"/>
        </w:rPr>
        <w:t>ë</w:t>
      </w:r>
      <w:r w:rsidR="004129D8" w:rsidRPr="00227F4B">
        <w:rPr>
          <w:rFonts w:ascii="Times New Roman" w:hAnsi="Times New Roman" w:cs="Times New Roman"/>
          <w:sz w:val="24"/>
          <w:szCs w:val="24"/>
          <w:lang w:val="sq-AL"/>
        </w:rPr>
        <w:t xml:space="preserve"> Komb</w:t>
      </w:r>
      <w:r w:rsidR="00293B62" w:rsidRPr="00227F4B">
        <w:rPr>
          <w:rFonts w:ascii="Times New Roman" w:hAnsi="Times New Roman" w:cs="Times New Roman"/>
          <w:sz w:val="24"/>
          <w:szCs w:val="24"/>
          <w:lang w:val="sq-AL"/>
        </w:rPr>
        <w:t>ë</w:t>
      </w:r>
      <w:r w:rsidR="004129D8" w:rsidRPr="00227F4B">
        <w:rPr>
          <w:rFonts w:ascii="Times New Roman" w:hAnsi="Times New Roman" w:cs="Times New Roman"/>
          <w:sz w:val="24"/>
          <w:szCs w:val="24"/>
          <w:lang w:val="sq-AL"/>
        </w:rPr>
        <w:t>tare t</w:t>
      </w:r>
      <w:r w:rsidR="00293B62" w:rsidRPr="00227F4B">
        <w:rPr>
          <w:rFonts w:ascii="Times New Roman" w:hAnsi="Times New Roman" w:cs="Times New Roman"/>
          <w:sz w:val="24"/>
          <w:szCs w:val="24"/>
          <w:lang w:val="sq-AL"/>
        </w:rPr>
        <w:t>ë</w:t>
      </w:r>
      <w:r w:rsidR="004129D8" w:rsidRPr="00227F4B">
        <w:rPr>
          <w:rFonts w:ascii="Times New Roman" w:hAnsi="Times New Roman" w:cs="Times New Roman"/>
          <w:sz w:val="24"/>
          <w:szCs w:val="24"/>
          <w:lang w:val="sq-AL"/>
        </w:rPr>
        <w:t xml:space="preserve"> Qeveris</w:t>
      </w:r>
      <w:r w:rsidR="00293B62" w:rsidRPr="00227F4B">
        <w:rPr>
          <w:rFonts w:ascii="Times New Roman" w:hAnsi="Times New Roman" w:cs="Times New Roman"/>
          <w:sz w:val="24"/>
          <w:szCs w:val="24"/>
          <w:lang w:val="sq-AL"/>
        </w:rPr>
        <w:t>ë</w:t>
      </w:r>
      <w:r w:rsidR="004129D8" w:rsidRPr="00227F4B">
        <w:rPr>
          <w:rFonts w:ascii="Times New Roman" w:hAnsi="Times New Roman" w:cs="Times New Roman"/>
          <w:sz w:val="24"/>
          <w:szCs w:val="24"/>
          <w:lang w:val="sq-AL"/>
        </w:rPr>
        <w:t>, objektivi “</w:t>
      </w:r>
      <w:r w:rsidR="00CE3AE2" w:rsidRPr="00227F4B">
        <w:rPr>
          <w:rFonts w:ascii="Times New Roman" w:hAnsi="Times New Roman" w:cs="Times New Roman"/>
          <w:sz w:val="24"/>
          <w:szCs w:val="24"/>
          <w:lang w:val="sq-AL"/>
        </w:rPr>
        <w:t>Synimi p</w:t>
      </w:r>
      <w:r w:rsidR="00293B62" w:rsidRPr="00227F4B">
        <w:rPr>
          <w:rFonts w:ascii="Times New Roman" w:hAnsi="Times New Roman" w:cs="Times New Roman"/>
          <w:sz w:val="24"/>
          <w:szCs w:val="24"/>
          <w:lang w:val="sq-AL"/>
        </w:rPr>
        <w:t>ë</w:t>
      </w:r>
      <w:r w:rsidR="00CE3AE2" w:rsidRPr="00227F4B">
        <w:rPr>
          <w:rFonts w:ascii="Times New Roman" w:hAnsi="Times New Roman" w:cs="Times New Roman"/>
          <w:sz w:val="24"/>
          <w:szCs w:val="24"/>
          <w:lang w:val="sq-AL"/>
        </w:rPr>
        <w:t xml:space="preserve">r vitin 2030 është të sigurohet që Statistikat Financiare të Qeverisë (SFQ) dhe statistikat e Procedurës së Deficitit të Tepruar (PDT) janë në përputhje me </w:t>
      </w:r>
      <w:r w:rsidR="00CE3AE2" w:rsidRPr="00227F4B">
        <w:rPr>
          <w:rFonts w:ascii="Times New Roman" w:hAnsi="Times New Roman" w:cs="Times New Roman"/>
          <w:sz w:val="24"/>
          <w:szCs w:val="24"/>
          <w:lang w:val="sq-AL"/>
        </w:rPr>
        <w:lastRenderedPageBreak/>
        <w:t xml:space="preserve">standardet e BE-së (SELL 2010)” </w:t>
      </w:r>
      <w:r w:rsidR="00CE3AE2"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CE3AE2"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CE3AE2" w:rsidRPr="00227F4B">
        <w:rPr>
          <w:rFonts w:ascii="Times New Roman" w:hAnsi="Times New Roman" w:cs="Times New Roman"/>
          <w:b/>
          <w:sz w:val="24"/>
          <w:szCs w:val="24"/>
          <w:lang w:val="sq-AL"/>
        </w:rPr>
        <w:t xml:space="preserve"> </w:t>
      </w:r>
      <w:r w:rsidR="00CE3AE2" w:rsidRPr="00227F4B">
        <w:rPr>
          <w:rFonts w:ascii="Times New Roman" w:hAnsi="Times New Roman" w:cs="Times New Roman"/>
          <w:sz w:val="24"/>
          <w:szCs w:val="24"/>
          <w:lang w:val="sq-AL"/>
        </w:rPr>
        <w:t>“Synimi p</w:t>
      </w:r>
      <w:r w:rsidR="00293B62" w:rsidRPr="00227F4B">
        <w:rPr>
          <w:rFonts w:ascii="Times New Roman" w:hAnsi="Times New Roman" w:cs="Times New Roman"/>
          <w:sz w:val="24"/>
          <w:szCs w:val="24"/>
          <w:lang w:val="sq-AL"/>
        </w:rPr>
        <w:t>ë</w:t>
      </w:r>
      <w:r w:rsidR="00CE3AE2" w:rsidRPr="00227F4B">
        <w:rPr>
          <w:rFonts w:ascii="Times New Roman" w:hAnsi="Times New Roman" w:cs="Times New Roman"/>
          <w:sz w:val="24"/>
          <w:szCs w:val="24"/>
          <w:lang w:val="sq-AL"/>
        </w:rPr>
        <w:t>r vitin 2030 është prodhimi i Statistikave Financiare të Qeverisë (SFQ) dhe Tabeave të Procedurës së Deficitit të Tejkaluar (PDT) në përputhje me kërkesat e Sistemit Evropian të Llogarive (SELL 2010)”.</w:t>
      </w:r>
      <w:r w:rsidR="004129D8" w:rsidRPr="00227F4B">
        <w:rPr>
          <w:rFonts w:ascii="Times New Roman" w:hAnsi="Times New Roman" w:cs="Times New Roman"/>
          <w:sz w:val="24"/>
          <w:szCs w:val="24"/>
          <w:lang w:val="sq-AL"/>
        </w:rPr>
        <w:t xml:space="preserve"> </w:t>
      </w:r>
    </w:p>
    <w:p w14:paraId="03B698E8" w14:textId="58912C47" w:rsidR="00CE3AE2" w:rsidRPr="00227F4B" w:rsidRDefault="00DB151F" w:rsidP="00227F4B">
      <w:pPr>
        <w:pStyle w:val="ListParagraph"/>
        <w:numPr>
          <w:ilvl w:val="0"/>
          <w:numId w:val="25"/>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Te </w:t>
      </w:r>
      <w:r w:rsidR="00CE3AE2" w:rsidRPr="00227F4B">
        <w:rPr>
          <w:rFonts w:ascii="Times New Roman" w:hAnsi="Times New Roman" w:cs="Times New Roman"/>
          <w:sz w:val="24"/>
          <w:szCs w:val="24"/>
          <w:lang w:val="sq-AL"/>
        </w:rPr>
        <w:t xml:space="preserve">konteksti “Burimi kryesor kryesor i të dhënave të përdorura për përpilimin e Statistikave Financiare të Qeverisë janë: (i) Sistemi i Informacionit Financiar të Qeverisë së Shqipërisë (SIFQSh) për të dhënat që lidhen me njësitë buxhetore dhe në një farë mase njësitë e tjera ku qeveria është përfshirë dhe (ii) pasqyrat financiare dhe burime të tjera të dhënash për njësitë jashtëbuxhetore. INSTAT mbështetet nga Eurostat për përafrimin e Statistikave Financiare të Qeverisë (SFQ) me kërkesat e BE-së dhe transmeton rregullisht tabelat e SFQ dhe Procedurën e Deficitit të Tepruar në Eurostat dhe me statusin “jo për botim”. Aktualisht, ekziston nevoja për të përmirësuar më tej statistikat SFQ dhe PDT për të qenë në përputhje me standardet ndërkombëtare dhe metodologjinë SELL 2010. Programi i miratuar i Statistikave Zyrtare (PSZ) 2022–2026 paraqet strategjinë për zhvillimin e statistikave zyrtare dhe të sistemit kombëtar statistikor, duke përfshirë përmirësimin e SFQ. Gjithashtu, INSTAT, MF dhe Banka e Shqipërisë kanë rënë dakord për një Memorandum Mirëkuptimi i cili përfshin angazhime për rritjen e përputhshmërisë së kuadrit ligjor që rregullon statistikat, si dhe intensifikimin e bashkëpunimit ndërinstitucional për hartimin e tabelave të SFQ dhe PDT në përputhje me kërkesat e SELL 2010” </w:t>
      </w:r>
      <w:r w:rsidR="00CE3AE2"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CE3AE2"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CE3AE2" w:rsidRPr="00227F4B">
        <w:rPr>
          <w:rFonts w:ascii="Times New Roman" w:hAnsi="Times New Roman" w:cs="Times New Roman"/>
          <w:sz w:val="24"/>
          <w:szCs w:val="24"/>
          <w:lang w:val="sq-AL"/>
        </w:rPr>
        <w:t xml:space="preserve"> “Burimi </w:t>
      </w:r>
      <w:r w:rsidR="00CE3AE2" w:rsidRPr="00227F4B">
        <w:rPr>
          <w:rFonts w:ascii="Times New Roman" w:hAnsi="Times New Roman" w:cs="Times New Roman"/>
          <w:sz w:val="24"/>
          <w:szCs w:val="24"/>
          <w:lang w:val="en-GB"/>
        </w:rPr>
        <w:t>krye</w:t>
      </w:r>
      <w:r w:rsidR="00CE3AE2" w:rsidRPr="00227F4B">
        <w:rPr>
          <w:rFonts w:ascii="Times New Roman" w:hAnsi="Times New Roman" w:cs="Times New Roman"/>
          <w:sz w:val="24"/>
          <w:szCs w:val="24"/>
          <w:lang w:val="sq-AL"/>
        </w:rPr>
        <w:t>sor i të dhënave të përdorura për përpilimin e Statistikave Financiare të Qeverisë janë: (i) Sistemi i Informacionit Financiar të Qeverisë së Shqipërisë (SIFQSh) për të dhënat që lidhen me njësitë buxhetore dhe në një farë mase njësitë e tjera ku qeveria është përfshirë dhe (ii) pasqyrat financiare dhe burime të tjera të dhënash për njësitë ekstra-buxhetore. INSTAT mbështetet nga Eurostat për përafrimin e Statistikave Financiare të Qeverisë me kërkesat e BE-së dhe transmeton rregullisht tabelat e SFQ dhe Tabelat e Procedurës së Deficitit të Tejkaluar në Eurostat me statusin “jo për publikim”. Aktualisht, ekziston nevoja për të përmirësuar më tej statistikat SFQ dhe PDT për të qenë në përputhje me standardet ndërkombëtare dhe metodologjinë SELL 2010. Programi Pesëvjeçar i Statistikave Zyrtare i miratuar nga Kuvendi i Republikës së Shqipërisë (PSZ) 2022–2026 paraqet strategjinë për zhvillimin e statistikave zyrtare dhe të sistemit kombëtar statistikor, duke përfshirë përmirësimin e SFQ. Memorandumi i Bashkëpunimit ndërmjet INSTAT, MF-së dhe Bankës së Shqipërisë për Statistikat Financiare të Qeverisë dhe Tabelave të Procedurës së Deficitit të Tejkaluar përfshin detyrimet dhe përgjegjësitë e secilit institucion të cilat rregullohen me akte ligjore të Bashkimit Evropian në fushën e prodhimit të Statistikave Financiare të Qeverisë dhe raportimit të Procedurës së Deficitit të Tejkaluar”.</w:t>
      </w:r>
    </w:p>
    <w:p w14:paraId="15D408B8" w14:textId="142863AD" w:rsidR="00CE3AE2" w:rsidRPr="00227F4B" w:rsidRDefault="00DB151F" w:rsidP="00227F4B">
      <w:pPr>
        <w:pStyle w:val="ListParagraph"/>
        <w:numPr>
          <w:ilvl w:val="0"/>
          <w:numId w:val="25"/>
        </w:numPr>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CE3AE2" w:rsidRPr="00227F4B">
        <w:rPr>
          <w:rFonts w:ascii="Times New Roman" w:hAnsi="Times New Roman" w:cs="Times New Roman"/>
          <w:sz w:val="24"/>
          <w:szCs w:val="24"/>
          <w:lang w:val="sq-AL"/>
        </w:rPr>
        <w:t xml:space="preserve"> aktiviteti 1 “Investimi n</w:t>
      </w:r>
      <w:r w:rsidR="00293B62" w:rsidRPr="00227F4B">
        <w:rPr>
          <w:rFonts w:ascii="Times New Roman" w:hAnsi="Times New Roman" w:cs="Times New Roman"/>
          <w:sz w:val="24"/>
          <w:szCs w:val="24"/>
          <w:lang w:val="sq-AL"/>
        </w:rPr>
        <w:t>ë</w:t>
      </w:r>
      <w:r w:rsidR="00CE3AE2" w:rsidRPr="00227F4B">
        <w:rPr>
          <w:rFonts w:ascii="Times New Roman" w:hAnsi="Times New Roman" w:cs="Times New Roman"/>
          <w:sz w:val="24"/>
          <w:szCs w:val="24"/>
          <w:lang w:val="sq-AL"/>
        </w:rPr>
        <w:t xml:space="preserve"> nj</w:t>
      </w:r>
      <w:r w:rsidR="00293B62" w:rsidRPr="00227F4B">
        <w:rPr>
          <w:rFonts w:ascii="Times New Roman" w:hAnsi="Times New Roman" w:cs="Times New Roman"/>
          <w:sz w:val="24"/>
          <w:szCs w:val="24"/>
          <w:lang w:val="sq-AL"/>
        </w:rPr>
        <w:t>ë</w:t>
      </w:r>
      <w:r w:rsidR="00CE3AE2" w:rsidRPr="00227F4B">
        <w:rPr>
          <w:rFonts w:ascii="Times New Roman" w:hAnsi="Times New Roman" w:cs="Times New Roman"/>
          <w:sz w:val="24"/>
          <w:szCs w:val="24"/>
          <w:lang w:val="sq-AL"/>
        </w:rPr>
        <w:t xml:space="preserve"> sh</w:t>
      </w:r>
      <w:r w:rsidR="00293B62" w:rsidRPr="00227F4B">
        <w:rPr>
          <w:rFonts w:ascii="Times New Roman" w:hAnsi="Times New Roman" w:cs="Times New Roman"/>
          <w:sz w:val="24"/>
          <w:szCs w:val="24"/>
          <w:lang w:val="sq-AL"/>
        </w:rPr>
        <w:t>ë</w:t>
      </w:r>
      <w:r w:rsidR="00CE3AE2" w:rsidRPr="00227F4B">
        <w:rPr>
          <w:rFonts w:ascii="Times New Roman" w:hAnsi="Times New Roman" w:cs="Times New Roman"/>
          <w:sz w:val="24"/>
          <w:szCs w:val="24"/>
          <w:lang w:val="sq-AL"/>
        </w:rPr>
        <w:t xml:space="preserve">rbim </w:t>
      </w:r>
      <w:r w:rsidR="00293B62" w:rsidRPr="00227F4B">
        <w:rPr>
          <w:rFonts w:ascii="Times New Roman" w:hAnsi="Times New Roman" w:cs="Times New Roman"/>
          <w:sz w:val="24"/>
          <w:szCs w:val="24"/>
          <w:lang w:val="sq-AL"/>
        </w:rPr>
        <w:t>W</w:t>
      </w:r>
      <w:r w:rsidR="00CE3AE2" w:rsidRPr="00227F4B">
        <w:rPr>
          <w:rFonts w:ascii="Times New Roman" w:hAnsi="Times New Roman" w:cs="Times New Roman"/>
          <w:sz w:val="24"/>
          <w:szCs w:val="24"/>
          <w:lang w:val="sq-AL"/>
        </w:rPr>
        <w:t>eb</w:t>
      </w:r>
      <w:r w:rsidR="00AA1B83" w:rsidRPr="00227F4B">
        <w:rPr>
          <w:rFonts w:ascii="Times New Roman" w:hAnsi="Times New Roman" w:cs="Times New Roman"/>
          <w:sz w:val="24"/>
          <w:szCs w:val="24"/>
          <w:lang w:val="sq-AL"/>
        </w:rPr>
        <w:t xml:space="preserve"> i cili do të lehtësojë shkëmbimin e të dhënave ndërmjet MF-së, INSTAT dhe Bankës së Shqipërisë” </w:t>
      </w:r>
      <w:r w:rsidR="00AA1B83"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AA1B83"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AA1B83" w:rsidRPr="00227F4B">
        <w:rPr>
          <w:rFonts w:ascii="Times New Roman" w:hAnsi="Times New Roman" w:cs="Times New Roman"/>
          <w:sz w:val="24"/>
          <w:szCs w:val="24"/>
          <w:lang w:val="sq-AL"/>
        </w:rPr>
        <w:t xml:space="preserve"> “Investimi në ndërtimin e sistemit të </w:t>
      </w:r>
      <w:r w:rsidR="00AA1B83" w:rsidRPr="00227F4B">
        <w:rPr>
          <w:rFonts w:ascii="Times New Roman" w:hAnsi="Times New Roman" w:cs="Times New Roman"/>
          <w:sz w:val="24"/>
          <w:szCs w:val="24"/>
          <w:lang w:val="sq-AL"/>
        </w:rPr>
        <w:lastRenderedPageBreak/>
        <w:t>shkëmbimit të informacionit (</w:t>
      </w:r>
      <w:r w:rsidR="00293B62" w:rsidRPr="00227F4B">
        <w:rPr>
          <w:rFonts w:ascii="Times New Roman" w:hAnsi="Times New Roman" w:cs="Times New Roman"/>
          <w:sz w:val="24"/>
          <w:szCs w:val="24"/>
          <w:lang w:val="sq-AL"/>
        </w:rPr>
        <w:t>W</w:t>
      </w:r>
      <w:r w:rsidR="00AA1B83" w:rsidRPr="00227F4B">
        <w:rPr>
          <w:rFonts w:ascii="Times New Roman" w:hAnsi="Times New Roman" w:cs="Times New Roman"/>
          <w:sz w:val="24"/>
          <w:szCs w:val="24"/>
          <w:lang w:val="sq-AL"/>
        </w:rPr>
        <w:t>eb service) i cili do të lehtësojë shkëmbimin e të dhënave ndërmjet MF-së, INSTAT dhe Bankës së Shqipërisë”. Lidhur me k</w:t>
      </w:r>
      <w:r w:rsidR="00293B62" w:rsidRPr="00227F4B">
        <w:rPr>
          <w:rFonts w:ascii="Times New Roman" w:hAnsi="Times New Roman" w:cs="Times New Roman"/>
          <w:sz w:val="24"/>
          <w:szCs w:val="24"/>
          <w:lang w:val="sq-AL"/>
        </w:rPr>
        <w:t>ë</w:t>
      </w:r>
      <w:r w:rsidR="00AA1B83" w:rsidRPr="00227F4B">
        <w:rPr>
          <w:rFonts w:ascii="Times New Roman" w:hAnsi="Times New Roman" w:cs="Times New Roman"/>
          <w:sz w:val="24"/>
          <w:szCs w:val="24"/>
          <w:lang w:val="sq-AL"/>
        </w:rPr>
        <w:t>t</w:t>
      </w:r>
      <w:r w:rsidR="00293B62" w:rsidRPr="00227F4B">
        <w:rPr>
          <w:rFonts w:ascii="Times New Roman" w:hAnsi="Times New Roman" w:cs="Times New Roman"/>
          <w:sz w:val="24"/>
          <w:szCs w:val="24"/>
          <w:lang w:val="sq-AL"/>
        </w:rPr>
        <w:t>ë</w:t>
      </w:r>
      <w:r w:rsidR="00AA1B83" w:rsidRPr="00227F4B">
        <w:rPr>
          <w:rFonts w:ascii="Times New Roman" w:hAnsi="Times New Roman" w:cs="Times New Roman"/>
          <w:sz w:val="24"/>
          <w:szCs w:val="24"/>
          <w:lang w:val="sq-AL"/>
        </w:rPr>
        <w:t xml:space="preserve"> aktivitet, afati i fillimit “T1 2024” </w:t>
      </w:r>
      <w:r w:rsidR="00AA1B83"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AA1B83" w:rsidRPr="00227F4B">
        <w:rPr>
          <w:rFonts w:ascii="Times New Roman" w:hAnsi="Times New Roman" w:cs="Times New Roman"/>
          <w:b/>
          <w:sz w:val="24"/>
          <w:szCs w:val="24"/>
          <w:lang w:val="sq-AL"/>
        </w:rPr>
        <w:t xml:space="preserve"> ndryshohet</w:t>
      </w:r>
      <w:r w:rsidR="00AA1B83" w:rsidRPr="00227F4B">
        <w:rPr>
          <w:rFonts w:ascii="Times New Roman" w:hAnsi="Times New Roman" w:cs="Times New Roman"/>
          <w:sz w:val="24"/>
          <w:szCs w:val="24"/>
          <w:lang w:val="sq-AL"/>
        </w:rPr>
        <w:t xml:space="preserve"> n</w:t>
      </w:r>
      <w:r w:rsidR="00293B62" w:rsidRPr="00227F4B">
        <w:rPr>
          <w:rFonts w:ascii="Times New Roman" w:hAnsi="Times New Roman" w:cs="Times New Roman"/>
          <w:sz w:val="24"/>
          <w:szCs w:val="24"/>
          <w:lang w:val="sq-AL"/>
        </w:rPr>
        <w:t>ë</w:t>
      </w:r>
      <w:r w:rsidR="00AA1B83" w:rsidRPr="00227F4B">
        <w:rPr>
          <w:rFonts w:ascii="Times New Roman" w:hAnsi="Times New Roman" w:cs="Times New Roman"/>
          <w:sz w:val="24"/>
          <w:szCs w:val="24"/>
          <w:lang w:val="sq-AL"/>
        </w:rPr>
        <w:t xml:space="preserve"> “T1 2025” dhe afati i mbarimit “T4 2024” </w:t>
      </w:r>
      <w:r w:rsidR="00AA1B83"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AA1B83"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AA1B83" w:rsidRPr="00227F4B">
        <w:rPr>
          <w:rFonts w:ascii="Times New Roman" w:hAnsi="Times New Roman" w:cs="Times New Roman"/>
          <w:sz w:val="24"/>
          <w:szCs w:val="24"/>
          <w:lang w:val="sq-AL"/>
        </w:rPr>
        <w:t xml:space="preserve"> “T4 2026”.</w:t>
      </w:r>
    </w:p>
    <w:p w14:paraId="7E25EAAA" w14:textId="0E935F51" w:rsidR="00FA5516" w:rsidRPr="00227F4B" w:rsidRDefault="00DB151F" w:rsidP="00227F4B">
      <w:pPr>
        <w:pStyle w:val="ListParagraph"/>
        <w:numPr>
          <w:ilvl w:val="0"/>
          <w:numId w:val="25"/>
        </w:numPr>
        <w:jc w:val="both"/>
        <w:rPr>
          <w:rFonts w:ascii="Times New Roman" w:hAnsi="Times New Roman" w:cs="Times New Roman"/>
          <w:sz w:val="24"/>
          <w:szCs w:val="24"/>
          <w:lang w:val="sq-AL"/>
        </w:rPr>
      </w:pPr>
      <w:r>
        <w:rPr>
          <w:rFonts w:ascii="Times New Roman" w:hAnsi="Times New Roman" w:cs="Times New Roman"/>
          <w:sz w:val="24"/>
          <w:szCs w:val="24"/>
          <w:lang w:val="sq-AL"/>
        </w:rPr>
        <w:t>Te</w:t>
      </w:r>
      <w:r w:rsidR="00FA5516" w:rsidRPr="00227F4B">
        <w:rPr>
          <w:rFonts w:ascii="Times New Roman" w:hAnsi="Times New Roman" w:cs="Times New Roman"/>
          <w:sz w:val="24"/>
          <w:szCs w:val="24"/>
          <w:lang w:val="sq-AL"/>
        </w:rPr>
        <w:t xml:space="preserve"> treguesit e performanc</w:t>
      </w:r>
      <w:r w:rsidR="00293B62" w:rsidRPr="00227F4B">
        <w:rPr>
          <w:rFonts w:ascii="Times New Roman" w:hAnsi="Times New Roman" w:cs="Times New Roman"/>
          <w:sz w:val="24"/>
          <w:szCs w:val="24"/>
          <w:lang w:val="sq-AL"/>
        </w:rPr>
        <w:t>ë</w:t>
      </w:r>
      <w:r w:rsidR="00FA5516" w:rsidRPr="00227F4B">
        <w:rPr>
          <w:rFonts w:ascii="Times New Roman" w:hAnsi="Times New Roman" w:cs="Times New Roman"/>
          <w:sz w:val="24"/>
          <w:szCs w:val="24"/>
          <w:lang w:val="sq-AL"/>
        </w:rPr>
        <w:t xml:space="preserve">s dhe vlerat e synuara, treguesi “Është krijuar një shërbim në </w:t>
      </w:r>
      <w:r w:rsidR="007A42D5" w:rsidRPr="00227F4B">
        <w:rPr>
          <w:rFonts w:ascii="Times New Roman" w:hAnsi="Times New Roman" w:cs="Times New Roman"/>
          <w:sz w:val="24"/>
          <w:szCs w:val="24"/>
          <w:lang w:val="sq-AL"/>
        </w:rPr>
        <w:t>W</w:t>
      </w:r>
      <w:r w:rsidR="00FA5516" w:rsidRPr="00227F4B">
        <w:rPr>
          <w:rFonts w:ascii="Times New Roman" w:hAnsi="Times New Roman" w:cs="Times New Roman"/>
          <w:sz w:val="24"/>
          <w:szCs w:val="24"/>
          <w:lang w:val="sq-AL"/>
        </w:rPr>
        <w:t xml:space="preserve">eb që lehtëson shkëmbimin e të dhënave ndërmjet MF, INSTAT dhe BSH” </w:t>
      </w:r>
      <w:r w:rsidR="00FA5516" w:rsidRPr="00227F4B">
        <w:rPr>
          <w:rFonts w:ascii="Times New Roman" w:hAnsi="Times New Roman" w:cs="Times New Roman"/>
          <w:b/>
          <w:sz w:val="24"/>
          <w:szCs w:val="24"/>
          <w:lang w:val="sq-AL"/>
        </w:rPr>
        <w:t>propozohet t</w:t>
      </w:r>
      <w:r w:rsidR="00293B62" w:rsidRPr="00227F4B">
        <w:rPr>
          <w:rFonts w:ascii="Times New Roman" w:hAnsi="Times New Roman" w:cs="Times New Roman"/>
          <w:b/>
          <w:sz w:val="24"/>
          <w:szCs w:val="24"/>
          <w:lang w:val="sq-AL"/>
        </w:rPr>
        <w:t>ë</w:t>
      </w:r>
      <w:r w:rsidR="00FA5516" w:rsidRPr="00227F4B">
        <w:rPr>
          <w:rFonts w:ascii="Times New Roman" w:hAnsi="Times New Roman" w:cs="Times New Roman"/>
          <w:b/>
          <w:sz w:val="24"/>
          <w:szCs w:val="24"/>
          <w:lang w:val="sq-AL"/>
        </w:rPr>
        <w:t xml:space="preserve"> ndryshohet n</w:t>
      </w:r>
      <w:r w:rsidR="00293B62" w:rsidRPr="00227F4B">
        <w:rPr>
          <w:rFonts w:ascii="Times New Roman" w:hAnsi="Times New Roman" w:cs="Times New Roman"/>
          <w:b/>
          <w:sz w:val="24"/>
          <w:szCs w:val="24"/>
          <w:lang w:val="sq-AL"/>
        </w:rPr>
        <w:t>ë</w:t>
      </w:r>
      <w:r w:rsidR="00FA5516" w:rsidRPr="00227F4B">
        <w:rPr>
          <w:rFonts w:ascii="Times New Roman" w:hAnsi="Times New Roman" w:cs="Times New Roman"/>
          <w:sz w:val="24"/>
          <w:szCs w:val="24"/>
          <w:lang w:val="sq-AL"/>
        </w:rPr>
        <w:t xml:space="preserve"> “Sistemi i shkëmbimit të informacionit (</w:t>
      </w:r>
      <w:r w:rsidR="007A42D5" w:rsidRPr="00227F4B">
        <w:rPr>
          <w:rFonts w:ascii="Times New Roman" w:hAnsi="Times New Roman" w:cs="Times New Roman"/>
          <w:sz w:val="24"/>
          <w:szCs w:val="24"/>
          <w:lang w:val="sq-AL"/>
        </w:rPr>
        <w:t>W</w:t>
      </w:r>
      <w:r w:rsidR="00FA5516" w:rsidRPr="00227F4B">
        <w:rPr>
          <w:rFonts w:ascii="Times New Roman" w:hAnsi="Times New Roman" w:cs="Times New Roman"/>
          <w:sz w:val="24"/>
          <w:szCs w:val="24"/>
          <w:lang w:val="sq-AL"/>
        </w:rPr>
        <w:t xml:space="preserve">eb service) i krijuar për të lehtësuar shkëmbimin e të dhënave ndërmjet MF, INSTAT dhe BSH”. </w:t>
      </w:r>
    </w:p>
    <w:p w14:paraId="1539282D" w14:textId="7175BD7D" w:rsidR="00FA5516" w:rsidRPr="00227F4B" w:rsidRDefault="00FA5516" w:rsidP="00227F4B">
      <w:pPr>
        <w:pStyle w:val="ListParagraph"/>
        <w:numPr>
          <w:ilvl w:val="0"/>
          <w:numId w:val="25"/>
        </w:numPr>
        <w:jc w:val="both"/>
        <w:rPr>
          <w:rFonts w:ascii="Times New Roman" w:hAnsi="Times New Roman" w:cs="Times New Roman"/>
          <w:sz w:val="24"/>
          <w:szCs w:val="24"/>
          <w:lang w:val="sq-AL"/>
        </w:rPr>
      </w:pPr>
      <w:r w:rsidRPr="00227F4B">
        <w:rPr>
          <w:rFonts w:ascii="Times New Roman" w:hAnsi="Times New Roman" w:cs="Times New Roman"/>
          <w:sz w:val="24"/>
          <w:szCs w:val="24"/>
          <w:lang w:val="sq-AL"/>
        </w:rPr>
        <w:t>Lidhur me treguesin e pik</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 (v) vlera e synuar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 vitin 2024 “Sh</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rbim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w:t>
      </w:r>
      <w:r w:rsidR="007A42D5" w:rsidRPr="00227F4B">
        <w:rPr>
          <w:rFonts w:ascii="Times New Roman" w:hAnsi="Times New Roman" w:cs="Times New Roman"/>
          <w:sz w:val="24"/>
          <w:szCs w:val="24"/>
          <w:lang w:val="sq-AL"/>
        </w:rPr>
        <w:t>W</w:t>
      </w:r>
      <w:r w:rsidRPr="00227F4B">
        <w:rPr>
          <w:rFonts w:ascii="Times New Roman" w:hAnsi="Times New Roman" w:cs="Times New Roman"/>
          <w:sz w:val="24"/>
          <w:szCs w:val="24"/>
          <w:lang w:val="sq-AL"/>
        </w:rPr>
        <w:t xml:space="preserve">eb </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zhvilluar” </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propozuar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fshihet. Vlera e synuar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r vitin 2025 “Shërbimi në </w:t>
      </w:r>
      <w:r w:rsidR="007A42D5" w:rsidRPr="00227F4B">
        <w:rPr>
          <w:rFonts w:ascii="Times New Roman" w:hAnsi="Times New Roman" w:cs="Times New Roman"/>
          <w:sz w:val="24"/>
          <w:szCs w:val="24"/>
          <w:lang w:val="sq-AL"/>
        </w:rPr>
        <w:t>W</w:t>
      </w:r>
      <w:r w:rsidRPr="00227F4B">
        <w:rPr>
          <w:rFonts w:ascii="Times New Roman" w:hAnsi="Times New Roman" w:cs="Times New Roman"/>
          <w:sz w:val="24"/>
          <w:szCs w:val="24"/>
          <w:lang w:val="sq-AL"/>
        </w:rPr>
        <w:t>eb është vendosur” propozohet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“Zhvillimi i Sistemit të Shkëmbimit të Informacionit (</w:t>
      </w:r>
      <w:r w:rsidR="007A42D5" w:rsidRPr="00227F4B">
        <w:rPr>
          <w:rFonts w:ascii="Times New Roman" w:hAnsi="Times New Roman" w:cs="Times New Roman"/>
          <w:sz w:val="24"/>
          <w:szCs w:val="24"/>
          <w:lang w:val="sq-AL"/>
        </w:rPr>
        <w:t>W</w:t>
      </w:r>
      <w:r w:rsidRPr="00227F4B">
        <w:rPr>
          <w:rFonts w:ascii="Times New Roman" w:hAnsi="Times New Roman" w:cs="Times New Roman"/>
          <w:sz w:val="24"/>
          <w:szCs w:val="24"/>
          <w:lang w:val="sq-AL"/>
        </w:rPr>
        <w:t>eb service)” dhe vlera e synuar p</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r vitin 2026 “Shërbimi në </w:t>
      </w:r>
      <w:r w:rsidR="007A42D5" w:rsidRPr="00227F4B">
        <w:rPr>
          <w:rFonts w:ascii="Times New Roman" w:hAnsi="Times New Roman" w:cs="Times New Roman"/>
          <w:sz w:val="24"/>
          <w:szCs w:val="24"/>
          <w:lang w:val="sq-AL"/>
        </w:rPr>
        <w:t>W</w:t>
      </w:r>
      <w:r w:rsidRPr="00227F4B">
        <w:rPr>
          <w:rFonts w:ascii="Times New Roman" w:hAnsi="Times New Roman" w:cs="Times New Roman"/>
          <w:sz w:val="24"/>
          <w:szCs w:val="24"/>
          <w:lang w:val="sq-AL"/>
        </w:rPr>
        <w:t>eb është vendosur” propozohet t</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ndryshohet n</w:t>
      </w:r>
      <w:r w:rsidR="00293B62" w:rsidRPr="00227F4B">
        <w:rPr>
          <w:rFonts w:ascii="Times New Roman" w:hAnsi="Times New Roman" w:cs="Times New Roman"/>
          <w:sz w:val="24"/>
          <w:szCs w:val="24"/>
          <w:lang w:val="sq-AL"/>
        </w:rPr>
        <w:t>ë</w:t>
      </w:r>
      <w:r w:rsidRPr="00227F4B">
        <w:rPr>
          <w:rFonts w:ascii="Times New Roman" w:hAnsi="Times New Roman" w:cs="Times New Roman"/>
          <w:sz w:val="24"/>
          <w:szCs w:val="24"/>
          <w:lang w:val="sq-AL"/>
        </w:rPr>
        <w:t xml:space="preserve"> “Sistemi i shkëmbimit të informacionit (</w:t>
      </w:r>
      <w:r w:rsidR="007A42D5" w:rsidRPr="00227F4B">
        <w:rPr>
          <w:rFonts w:ascii="Times New Roman" w:hAnsi="Times New Roman" w:cs="Times New Roman"/>
          <w:sz w:val="24"/>
          <w:szCs w:val="24"/>
          <w:lang w:val="sq-AL"/>
        </w:rPr>
        <w:t>w</w:t>
      </w:r>
      <w:r w:rsidRPr="00227F4B">
        <w:rPr>
          <w:rFonts w:ascii="Times New Roman" w:hAnsi="Times New Roman" w:cs="Times New Roman"/>
          <w:sz w:val="24"/>
          <w:szCs w:val="24"/>
          <w:lang w:val="sq-AL"/>
        </w:rPr>
        <w:t>eb service) i zhvilluar”.</w:t>
      </w:r>
      <w:r w:rsidRPr="00227F4B">
        <w:rPr>
          <w:rStyle w:val="rynqvb"/>
          <w:rFonts w:ascii="Times New Roman" w:hAnsi="Times New Roman" w:cs="Times New Roman"/>
          <w:sz w:val="24"/>
          <w:szCs w:val="24"/>
        </w:rPr>
        <w:t xml:space="preserve"> </w:t>
      </w:r>
      <w:r w:rsidRPr="00227F4B">
        <w:rPr>
          <w:rFonts w:ascii="Times New Roman" w:hAnsi="Times New Roman" w:cs="Times New Roman"/>
          <w:sz w:val="24"/>
          <w:szCs w:val="24"/>
          <w:lang w:val="sq-AL"/>
        </w:rPr>
        <w:t xml:space="preserve"> </w:t>
      </w:r>
    </w:p>
    <w:p w14:paraId="1891E1E8" w14:textId="4944EA8D" w:rsidR="000743D7" w:rsidRDefault="00DB151F" w:rsidP="00227F4B">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Të gjitha ndryshimet e mësipërme janë reflektuar ashtu sikurse përcjellë nga Instituti i Statistikave. </w:t>
      </w:r>
    </w:p>
    <w:p w14:paraId="5ECFB915" w14:textId="77777777" w:rsidR="00DB151F" w:rsidRPr="00227F4B" w:rsidRDefault="00DB151F" w:rsidP="00227F4B">
      <w:pPr>
        <w:tabs>
          <w:tab w:val="left" w:pos="0"/>
        </w:tabs>
        <w:spacing w:after="0"/>
        <w:jc w:val="both"/>
        <w:rPr>
          <w:rFonts w:ascii="Times New Roman" w:hAnsi="Times New Roman" w:cs="Times New Roman"/>
          <w:sz w:val="24"/>
          <w:szCs w:val="24"/>
          <w:lang w:val="sq-AL"/>
        </w:rPr>
      </w:pPr>
    </w:p>
    <w:p w14:paraId="1F573CFA" w14:textId="4B77654D" w:rsidR="00427182" w:rsidRPr="00227F4B" w:rsidRDefault="00427182" w:rsidP="00227F4B">
      <w:pPr>
        <w:tabs>
          <w:tab w:val="left" w:pos="0"/>
        </w:tabs>
        <w:spacing w:after="0"/>
        <w:jc w:val="both"/>
        <w:rPr>
          <w:rFonts w:ascii="Times New Roman" w:hAnsi="Times New Roman" w:cs="Times New Roman"/>
          <w:b/>
          <w:sz w:val="24"/>
          <w:szCs w:val="24"/>
          <w:lang w:val="sq-AL"/>
        </w:rPr>
      </w:pPr>
      <w:r w:rsidRPr="00227F4B">
        <w:rPr>
          <w:rFonts w:ascii="Times New Roman" w:hAnsi="Times New Roman" w:cs="Times New Roman"/>
          <w:b/>
          <w:bCs/>
          <w:sz w:val="24"/>
          <w:szCs w:val="24"/>
          <w:lang w:val="sq-AL"/>
        </w:rPr>
        <w:t>Ministria për Evropën dhe Punët e Jashtme</w:t>
      </w:r>
      <w:r w:rsidR="00470FA0" w:rsidRPr="00227F4B">
        <w:rPr>
          <w:rFonts w:ascii="Times New Roman" w:hAnsi="Times New Roman" w:cs="Times New Roman"/>
          <w:sz w:val="24"/>
          <w:szCs w:val="24"/>
          <w:lang w:val="sq-AL"/>
        </w:rPr>
        <w:t xml:space="preserve"> </w:t>
      </w:r>
      <w:r w:rsidR="00470FA0" w:rsidRPr="00227F4B">
        <w:rPr>
          <w:rFonts w:ascii="Times New Roman" w:eastAsia="Times New Roman" w:hAnsi="Times New Roman" w:cs="Times New Roman"/>
          <w:sz w:val="24"/>
          <w:szCs w:val="24"/>
          <w:lang w:val="sq-AL"/>
        </w:rPr>
        <w:t>është shprehur dakord por sugjeron të zëvendësohet Ministria për Evropën dhe Punët e Jashtme</w:t>
      </w:r>
      <w:r w:rsidR="00470FA0" w:rsidRPr="00227F4B">
        <w:rPr>
          <w:rFonts w:ascii="Times New Roman" w:hAnsi="Times New Roman" w:cs="Times New Roman"/>
          <w:sz w:val="24"/>
          <w:szCs w:val="24"/>
          <w:lang w:val="sq-AL"/>
        </w:rPr>
        <w:t xml:space="preserve"> si an</w:t>
      </w:r>
      <w:r w:rsidR="00470FA0" w:rsidRPr="00227F4B">
        <w:rPr>
          <w:rFonts w:ascii="Times New Roman" w:eastAsia="Times New Roman" w:hAnsi="Times New Roman" w:cs="Times New Roman"/>
          <w:sz w:val="24"/>
          <w:szCs w:val="24"/>
          <w:lang w:val="sq-AL"/>
        </w:rPr>
        <w:t>ë</w:t>
      </w:r>
      <w:r w:rsidR="00470FA0" w:rsidRPr="00227F4B">
        <w:rPr>
          <w:rFonts w:ascii="Times New Roman" w:hAnsi="Times New Roman" w:cs="Times New Roman"/>
          <w:sz w:val="24"/>
          <w:szCs w:val="24"/>
          <w:lang w:val="sq-AL"/>
        </w:rPr>
        <w:t>tar i Komitetit drejtues t</w:t>
      </w:r>
      <w:r w:rsidR="00470FA0" w:rsidRPr="00227F4B">
        <w:rPr>
          <w:rFonts w:ascii="Times New Roman" w:eastAsia="Times New Roman" w:hAnsi="Times New Roman" w:cs="Times New Roman"/>
          <w:sz w:val="24"/>
          <w:szCs w:val="24"/>
          <w:lang w:val="sq-AL"/>
        </w:rPr>
        <w:t xml:space="preserve">ë </w:t>
      </w:r>
      <w:r w:rsidR="00470FA0" w:rsidRPr="00227F4B">
        <w:rPr>
          <w:rFonts w:ascii="Times New Roman" w:hAnsi="Times New Roman" w:cs="Times New Roman"/>
          <w:sz w:val="24"/>
          <w:szCs w:val="24"/>
          <w:lang w:val="sq-AL"/>
        </w:rPr>
        <w:t>MFP-s</w:t>
      </w:r>
      <w:r w:rsidR="00470FA0" w:rsidRPr="00227F4B">
        <w:rPr>
          <w:rFonts w:ascii="Times New Roman" w:eastAsia="Times New Roman" w:hAnsi="Times New Roman" w:cs="Times New Roman"/>
          <w:sz w:val="24"/>
          <w:szCs w:val="24"/>
          <w:lang w:val="sq-AL"/>
        </w:rPr>
        <w:t xml:space="preserve">ë </w:t>
      </w:r>
      <w:r w:rsidR="00470FA0" w:rsidRPr="00227F4B">
        <w:rPr>
          <w:rFonts w:ascii="Times New Roman" w:hAnsi="Times New Roman" w:cs="Times New Roman"/>
          <w:sz w:val="24"/>
          <w:szCs w:val="24"/>
          <w:lang w:val="sq-AL"/>
        </w:rPr>
        <w:t xml:space="preserve">me Ministrin e Shtetit dhe Kryenegociatorin </w:t>
      </w:r>
      <w:r w:rsidRPr="00227F4B">
        <w:rPr>
          <w:rFonts w:ascii="Times New Roman" w:hAnsi="Times New Roman" w:cs="Times New Roman"/>
          <w:sz w:val="24"/>
          <w:szCs w:val="24"/>
          <w:lang w:val="sq-AL"/>
        </w:rPr>
        <w:t>(shkresë nr.3056/1 prot, datë 07.03.2024).</w:t>
      </w:r>
      <w:r w:rsidR="00F611E7" w:rsidRPr="00227F4B">
        <w:rPr>
          <w:rFonts w:ascii="Times New Roman" w:hAnsi="Times New Roman" w:cs="Times New Roman"/>
          <w:sz w:val="24"/>
          <w:szCs w:val="24"/>
          <w:lang w:val="sq-AL"/>
        </w:rPr>
        <w:t xml:space="preserve"> </w:t>
      </w:r>
      <w:r w:rsidR="00F611E7" w:rsidRPr="00227F4B">
        <w:rPr>
          <w:rFonts w:ascii="Times New Roman" w:hAnsi="Times New Roman" w:cs="Times New Roman"/>
          <w:b/>
          <w:sz w:val="24"/>
          <w:szCs w:val="24"/>
          <w:lang w:val="sq-AL"/>
        </w:rPr>
        <w:t xml:space="preserve">Komenti </w:t>
      </w:r>
      <w:r w:rsidR="00293B62" w:rsidRPr="00227F4B">
        <w:rPr>
          <w:rFonts w:ascii="Times New Roman" w:hAnsi="Times New Roman" w:cs="Times New Roman"/>
          <w:b/>
          <w:sz w:val="24"/>
          <w:szCs w:val="24"/>
          <w:lang w:val="sq-AL"/>
        </w:rPr>
        <w:t>ë</w:t>
      </w:r>
      <w:r w:rsidR="00F611E7" w:rsidRPr="00227F4B">
        <w:rPr>
          <w:rFonts w:ascii="Times New Roman" w:hAnsi="Times New Roman" w:cs="Times New Roman"/>
          <w:b/>
          <w:sz w:val="24"/>
          <w:szCs w:val="24"/>
          <w:lang w:val="sq-AL"/>
        </w:rPr>
        <w:t>shte reflektuar.</w:t>
      </w:r>
    </w:p>
    <w:p w14:paraId="1500C6EA" w14:textId="77777777" w:rsidR="00F611E7" w:rsidRPr="00227F4B" w:rsidRDefault="00F611E7" w:rsidP="00227F4B">
      <w:pPr>
        <w:tabs>
          <w:tab w:val="left" w:pos="0"/>
        </w:tabs>
        <w:spacing w:after="0"/>
        <w:jc w:val="both"/>
        <w:rPr>
          <w:rFonts w:ascii="Times New Roman" w:hAnsi="Times New Roman" w:cs="Times New Roman"/>
          <w:b/>
          <w:sz w:val="24"/>
          <w:szCs w:val="24"/>
          <w:lang w:val="sq-AL"/>
        </w:rPr>
      </w:pPr>
    </w:p>
    <w:p w14:paraId="539782D4" w14:textId="60E342B0" w:rsidR="009F587C" w:rsidRPr="00227F4B" w:rsidRDefault="00F611E7"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b/>
          <w:sz w:val="24"/>
          <w:szCs w:val="24"/>
          <w:lang w:val="sq-AL"/>
        </w:rPr>
        <w:t>Ministria e Ekonomisë, Kulturës dhe Inovacionit</w:t>
      </w:r>
      <w:r w:rsidR="00A539FF" w:rsidRPr="00227F4B">
        <w:rPr>
          <w:rFonts w:ascii="Times New Roman" w:hAnsi="Times New Roman" w:cs="Times New Roman"/>
          <w:b/>
          <w:sz w:val="24"/>
          <w:szCs w:val="24"/>
          <w:lang w:val="sq-AL"/>
        </w:rPr>
        <w:t xml:space="preserve"> </w:t>
      </w:r>
      <w:r w:rsidR="00A539FF" w:rsidRPr="00227F4B">
        <w:rPr>
          <w:rFonts w:ascii="Times New Roman" w:hAnsi="Times New Roman" w:cs="Times New Roman"/>
          <w:sz w:val="24"/>
          <w:szCs w:val="24"/>
          <w:lang w:val="sq-AL"/>
        </w:rPr>
        <w:t>ka p</w:t>
      </w:r>
      <w:r w:rsidR="00293B62" w:rsidRPr="00227F4B">
        <w:rPr>
          <w:rFonts w:ascii="Times New Roman" w:hAnsi="Times New Roman" w:cs="Times New Roman"/>
          <w:sz w:val="24"/>
          <w:szCs w:val="24"/>
          <w:lang w:val="sq-AL"/>
        </w:rPr>
        <w:t>ë</w:t>
      </w:r>
      <w:r w:rsidR="00A539FF" w:rsidRPr="00227F4B">
        <w:rPr>
          <w:rFonts w:ascii="Times New Roman" w:hAnsi="Times New Roman" w:cs="Times New Roman"/>
          <w:sz w:val="24"/>
          <w:szCs w:val="24"/>
          <w:lang w:val="sq-AL"/>
        </w:rPr>
        <w:t>rcjell</w:t>
      </w:r>
      <w:r w:rsidR="00293B62" w:rsidRPr="00227F4B">
        <w:rPr>
          <w:rFonts w:ascii="Times New Roman" w:hAnsi="Times New Roman" w:cs="Times New Roman"/>
          <w:sz w:val="24"/>
          <w:szCs w:val="24"/>
          <w:lang w:val="sq-AL"/>
        </w:rPr>
        <w:t>ë</w:t>
      </w:r>
      <w:r w:rsidR="00A539FF" w:rsidRPr="00227F4B">
        <w:rPr>
          <w:rFonts w:ascii="Times New Roman" w:hAnsi="Times New Roman" w:cs="Times New Roman"/>
          <w:sz w:val="24"/>
          <w:szCs w:val="24"/>
          <w:lang w:val="sq-AL"/>
        </w:rPr>
        <w:t xml:space="preserve"> </w:t>
      </w:r>
      <w:r w:rsidR="009F587C" w:rsidRPr="00227F4B">
        <w:rPr>
          <w:rFonts w:ascii="Times New Roman" w:hAnsi="Times New Roman" w:cs="Times New Roman"/>
          <w:sz w:val="24"/>
          <w:szCs w:val="24"/>
          <w:lang w:val="sq-AL"/>
        </w:rPr>
        <w:t>elektronikisht komentet dhe sugjerimet e Drejtoris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P</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rgjithshme 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Zhvillimit Ekonomik, Nxitjes 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Biznesit dhe Ç</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shtjeve 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tregtis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p</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r p</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rfshirjen e disa masave n</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komponentin 3.1 “Menaxhimi i Taksave”. Duke qen</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se informacioni i p</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rcjell</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ishte i paplot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ky koment nuk </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reflektuar, por Ministris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Ekonomis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Kultur</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s dhe Inovacionit i </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sht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komunikuar se s</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shpejti do 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hartohet strategjia e dedikuar p</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r k</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komponent, Strategjia Afatmesme e 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Ardhurave dhe n</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nj</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vler</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sim paraprak u sugjerua q</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 xml:space="preserve"> masat e propozuara  t</w:t>
      </w:r>
      <w:r w:rsidR="00293B62" w:rsidRPr="00227F4B">
        <w:rPr>
          <w:rFonts w:ascii="Times New Roman" w:hAnsi="Times New Roman" w:cs="Times New Roman"/>
          <w:sz w:val="24"/>
          <w:szCs w:val="24"/>
          <w:lang w:val="sq-AL"/>
        </w:rPr>
        <w:t>ë</w:t>
      </w:r>
      <w:r w:rsidR="009F587C" w:rsidRPr="00227F4B">
        <w:rPr>
          <w:rFonts w:ascii="Times New Roman" w:hAnsi="Times New Roman" w:cs="Times New Roman"/>
          <w:sz w:val="24"/>
          <w:szCs w:val="24"/>
          <w:lang w:val="sq-AL"/>
        </w:rPr>
        <w:t>adresohen te kjo strategji.</w:t>
      </w:r>
    </w:p>
    <w:p w14:paraId="59DBC045" w14:textId="7682E79D" w:rsidR="00F611E7" w:rsidRPr="00227F4B" w:rsidRDefault="009F587C" w:rsidP="00227F4B">
      <w:pPr>
        <w:tabs>
          <w:tab w:val="left" w:pos="0"/>
        </w:tabs>
        <w:spacing w:after="0"/>
        <w:jc w:val="both"/>
        <w:rPr>
          <w:rFonts w:ascii="Times New Roman" w:hAnsi="Times New Roman" w:cs="Times New Roman"/>
          <w:b/>
          <w:sz w:val="24"/>
          <w:szCs w:val="24"/>
          <w:lang w:val="sq-AL"/>
        </w:rPr>
      </w:pPr>
      <w:r w:rsidRPr="00227F4B">
        <w:rPr>
          <w:rFonts w:ascii="Times New Roman" w:hAnsi="Times New Roman" w:cs="Times New Roman"/>
          <w:sz w:val="24"/>
          <w:szCs w:val="24"/>
          <w:lang w:val="sq-AL"/>
        </w:rPr>
        <w:t xml:space="preserve">  </w:t>
      </w:r>
    </w:p>
    <w:p w14:paraId="61CE4585" w14:textId="1669AF31" w:rsidR="007A42D5" w:rsidRPr="00227F4B" w:rsidRDefault="00A539FF" w:rsidP="00227F4B">
      <w:pPr>
        <w:tabs>
          <w:tab w:val="left" w:pos="0"/>
        </w:tabs>
        <w:spacing w:after="0"/>
        <w:jc w:val="both"/>
        <w:rPr>
          <w:rFonts w:ascii="Times New Roman" w:eastAsia="Times New Roman" w:hAnsi="Times New Roman" w:cs="Times New Roman"/>
          <w:sz w:val="24"/>
          <w:szCs w:val="24"/>
          <w:lang w:val="sq-AL"/>
        </w:rPr>
      </w:pPr>
      <w:r w:rsidRPr="00227F4B">
        <w:rPr>
          <w:rFonts w:ascii="Times New Roman" w:hAnsi="Times New Roman" w:cs="Times New Roman"/>
          <w:b/>
          <w:sz w:val="24"/>
          <w:szCs w:val="24"/>
          <w:lang w:val="sq-AL"/>
        </w:rPr>
        <w:t>Ministri i Shtetit për Administratën Publike dhe Antikorrupsionin</w:t>
      </w:r>
      <w:r w:rsidR="00154D8C" w:rsidRPr="00227F4B">
        <w:rPr>
          <w:rFonts w:ascii="Times New Roman" w:hAnsi="Times New Roman" w:cs="Times New Roman"/>
          <w:b/>
          <w:sz w:val="24"/>
          <w:szCs w:val="24"/>
          <w:lang w:val="sq-AL"/>
        </w:rPr>
        <w:t xml:space="preserve"> </w:t>
      </w:r>
      <w:r w:rsidR="00154D8C" w:rsidRPr="00227F4B">
        <w:rPr>
          <w:rFonts w:ascii="Times New Roman" w:eastAsia="Times New Roman" w:hAnsi="Times New Roman" w:cs="Times New Roman"/>
          <w:sz w:val="24"/>
          <w:szCs w:val="24"/>
          <w:lang w:val="sq-AL"/>
        </w:rPr>
        <w:t>nëpërmjet shkresës nr. 1248/5 Prot, datë 08.03.2024 është shprehur parimisht d</w:t>
      </w:r>
      <w:r w:rsidR="007A42D5" w:rsidRPr="00227F4B">
        <w:rPr>
          <w:rFonts w:ascii="Times New Roman" w:eastAsia="Times New Roman" w:hAnsi="Times New Roman" w:cs="Times New Roman"/>
          <w:sz w:val="24"/>
          <w:szCs w:val="24"/>
          <w:lang w:val="sq-AL"/>
        </w:rPr>
        <w:t>akord me disa komente</w:t>
      </w:r>
      <w:r w:rsidR="004A1C84" w:rsidRPr="00227F4B">
        <w:rPr>
          <w:rFonts w:ascii="Times New Roman" w:eastAsia="Times New Roman" w:hAnsi="Times New Roman" w:cs="Times New Roman"/>
          <w:sz w:val="24"/>
          <w:szCs w:val="24"/>
          <w:lang w:val="sq-AL"/>
        </w:rPr>
        <w:t>, si vijon:</w:t>
      </w:r>
      <w:r w:rsidR="007A42D5" w:rsidRPr="00227F4B">
        <w:rPr>
          <w:rFonts w:ascii="Times New Roman" w:eastAsia="Times New Roman" w:hAnsi="Times New Roman" w:cs="Times New Roman"/>
          <w:sz w:val="24"/>
          <w:szCs w:val="24"/>
          <w:lang w:val="sq-AL"/>
        </w:rPr>
        <w:t xml:space="preserve"> </w:t>
      </w:r>
    </w:p>
    <w:p w14:paraId="6F729848" w14:textId="25F86014" w:rsidR="004A1C84" w:rsidRPr="00227F4B" w:rsidRDefault="00C7248C" w:rsidP="00227F4B">
      <w:pPr>
        <w:pStyle w:val="ListParagraph"/>
        <w:numPr>
          <w:ilvl w:val="0"/>
          <w:numId w:val="28"/>
        </w:numPr>
        <w:tabs>
          <w:tab w:val="left" w:pos="0"/>
        </w:tabs>
        <w:spacing w:after="0"/>
        <w:jc w:val="both"/>
        <w:rPr>
          <w:rFonts w:ascii="Times New Roman" w:eastAsia="Times New Roman" w:hAnsi="Times New Roman" w:cs="Times New Roman"/>
          <w:b/>
          <w:sz w:val="24"/>
          <w:szCs w:val="24"/>
          <w:lang w:val="sq-AL"/>
        </w:rPr>
      </w:pPr>
      <w:r w:rsidRPr="00227F4B">
        <w:rPr>
          <w:rFonts w:ascii="Times New Roman" w:eastAsia="Times New Roman" w:hAnsi="Times New Roman" w:cs="Times New Roman"/>
          <w:sz w:val="24"/>
          <w:szCs w:val="24"/>
          <w:lang w:val="sq-AL"/>
        </w:rPr>
        <w:t>Në terma të masave specifike të parashikuara, teksa paralelisht vijon puna për hartimin dhe miratimin e mëpasshëm të Strategjisë Ndërsektoriale të Reformës së Administratës Publike, t</w:t>
      </w:r>
      <w:r w:rsidR="004A1C84" w:rsidRPr="00227F4B">
        <w:rPr>
          <w:rFonts w:ascii="Times New Roman" w:eastAsia="Times New Roman" w:hAnsi="Times New Roman" w:cs="Times New Roman"/>
          <w:sz w:val="24"/>
          <w:szCs w:val="24"/>
          <w:lang w:val="sq-AL"/>
        </w:rPr>
        <w:t>heksohet se nevojitet t</w:t>
      </w:r>
      <w:r w:rsidRPr="00227F4B">
        <w:rPr>
          <w:rFonts w:ascii="Times New Roman" w:eastAsia="Times New Roman" w:hAnsi="Times New Roman" w:cs="Times New Roman"/>
          <w:sz w:val="24"/>
          <w:szCs w:val="24"/>
          <w:lang w:val="sq-AL"/>
        </w:rPr>
        <w:t>ë</w:t>
      </w:r>
      <w:r w:rsidR="004A1C84" w:rsidRPr="00227F4B">
        <w:rPr>
          <w:rFonts w:ascii="Times New Roman" w:eastAsia="Times New Roman" w:hAnsi="Times New Roman" w:cs="Times New Roman"/>
          <w:sz w:val="24"/>
          <w:szCs w:val="24"/>
          <w:lang w:val="sq-AL"/>
        </w:rPr>
        <w:t xml:space="preserve"> shmanget çdo referenc</w:t>
      </w:r>
      <w:r w:rsidRPr="00227F4B">
        <w:rPr>
          <w:rFonts w:ascii="Times New Roman" w:eastAsia="Times New Roman" w:hAnsi="Times New Roman" w:cs="Times New Roman"/>
          <w:sz w:val="24"/>
          <w:szCs w:val="24"/>
          <w:lang w:val="sq-AL"/>
        </w:rPr>
        <w:t>ë</w:t>
      </w:r>
      <w:r w:rsidR="004A1C84" w:rsidRPr="00227F4B">
        <w:rPr>
          <w:rFonts w:ascii="Times New Roman" w:eastAsia="Times New Roman" w:hAnsi="Times New Roman" w:cs="Times New Roman"/>
          <w:sz w:val="24"/>
          <w:szCs w:val="24"/>
          <w:lang w:val="sq-AL"/>
        </w:rPr>
        <w:t xml:space="preserve"> q</w:t>
      </w:r>
      <w:r w:rsidRPr="00227F4B">
        <w:rPr>
          <w:rFonts w:ascii="Times New Roman" w:eastAsia="Times New Roman" w:hAnsi="Times New Roman" w:cs="Times New Roman"/>
          <w:sz w:val="24"/>
          <w:szCs w:val="24"/>
          <w:lang w:val="sq-AL"/>
        </w:rPr>
        <w:t>ë</w:t>
      </w:r>
      <w:r w:rsidR="004A1C84" w:rsidRPr="00227F4B">
        <w:rPr>
          <w:rFonts w:ascii="Times New Roman" w:eastAsia="Times New Roman" w:hAnsi="Times New Roman" w:cs="Times New Roman"/>
          <w:sz w:val="24"/>
          <w:szCs w:val="24"/>
          <w:lang w:val="sq-AL"/>
        </w:rPr>
        <w:t xml:space="preserve"> dokumenti </w:t>
      </w:r>
      <w:r w:rsidRPr="00227F4B">
        <w:rPr>
          <w:rFonts w:ascii="Times New Roman" w:eastAsia="Times New Roman" w:hAnsi="Times New Roman" w:cs="Times New Roman"/>
          <w:sz w:val="24"/>
          <w:szCs w:val="24"/>
          <w:lang w:val="sq-AL"/>
        </w:rPr>
        <w:t xml:space="preserve">bën te kjo Strategji; kjo e fundit mbulon shtyllat e tjera të reformës dhe jo Menaxhimin e Financave Publike, për të cilin strategjia e dedikuar është dokumenti objekt vlerësimi i kësaj shkrese. </w:t>
      </w:r>
      <w:r w:rsidRPr="00227F4B">
        <w:rPr>
          <w:rFonts w:ascii="Times New Roman" w:eastAsia="Times New Roman" w:hAnsi="Times New Roman" w:cs="Times New Roman"/>
          <w:b/>
          <w:sz w:val="24"/>
          <w:szCs w:val="24"/>
          <w:lang w:val="sq-AL"/>
        </w:rPr>
        <w:t>Ky koment është reflektuar.</w:t>
      </w:r>
    </w:p>
    <w:p w14:paraId="448AB62F" w14:textId="212F4B4B" w:rsidR="00C7248C" w:rsidRPr="00227F4B" w:rsidRDefault="00C7248C" w:rsidP="00227F4B">
      <w:pPr>
        <w:pStyle w:val="ListParagraph"/>
        <w:numPr>
          <w:ilvl w:val="0"/>
          <w:numId w:val="28"/>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lastRenderedPageBreak/>
        <w:t>Njëherësh dhe po aq me rëndësi, risjellim në vëmendje rëndësinë e linjëzimit të masave të parashikuara nga Strategjia për MFP-në si në angazhime, edhe në afate, me Udhërrëfyesin për Administratën Publike, miratuar me Vendim Nr. 737, datë 13.12.2023, të Këshillit të Ministrave, e cili është dokumenti kyç udhëheqës i veprimtarisë sonë të koordinuar ndërinstitucionale në raportimet pranë Komisionit Evropian.</w:t>
      </w:r>
    </w:p>
    <w:p w14:paraId="5D0B9A67" w14:textId="7F060265" w:rsidR="00C7248C" w:rsidRPr="00227F4B" w:rsidRDefault="00C7248C" w:rsidP="00227F4B">
      <w:pPr>
        <w:pStyle w:val="ListParagraph"/>
        <w:tabs>
          <w:tab w:val="left" w:pos="0"/>
        </w:tabs>
        <w:spacing w:after="0"/>
        <w:ind w:left="1080"/>
        <w:jc w:val="both"/>
        <w:rPr>
          <w:rFonts w:ascii="Times New Roman" w:eastAsia="Times New Roman" w:hAnsi="Times New Roman" w:cs="Times New Roman"/>
          <w:b/>
          <w:sz w:val="24"/>
          <w:szCs w:val="24"/>
          <w:lang w:val="sq-AL"/>
        </w:rPr>
      </w:pPr>
      <w:r w:rsidRPr="00227F4B">
        <w:rPr>
          <w:rFonts w:ascii="Times New Roman" w:eastAsia="Times New Roman" w:hAnsi="Times New Roman" w:cs="Times New Roman"/>
          <w:b/>
          <w:sz w:val="24"/>
          <w:szCs w:val="24"/>
          <w:lang w:val="sq-AL"/>
        </w:rPr>
        <w:t>N</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lidhje me k</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t</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koment, masat</w:t>
      </w:r>
      <w:r w:rsidR="00EA2D2B" w:rsidRPr="00227F4B">
        <w:rPr>
          <w:rFonts w:ascii="Times New Roman" w:eastAsia="Times New Roman" w:hAnsi="Times New Roman" w:cs="Times New Roman"/>
          <w:b/>
          <w:sz w:val="24"/>
          <w:szCs w:val="24"/>
          <w:lang w:val="sq-AL"/>
        </w:rPr>
        <w:t xml:space="preserve"> e përfshira në strategjinë e MFP-së</w:t>
      </w:r>
      <w:r w:rsidRPr="00227F4B">
        <w:rPr>
          <w:rFonts w:ascii="Times New Roman" w:eastAsia="Times New Roman" w:hAnsi="Times New Roman" w:cs="Times New Roman"/>
          <w:b/>
          <w:sz w:val="24"/>
          <w:szCs w:val="24"/>
          <w:lang w:val="sq-AL"/>
        </w:rPr>
        <w:t xml:space="preserve"> jan</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w:t>
      </w:r>
      <w:r w:rsidR="00EA2D2B" w:rsidRPr="00227F4B">
        <w:rPr>
          <w:rFonts w:ascii="Times New Roman" w:eastAsia="Times New Roman" w:hAnsi="Times New Roman" w:cs="Times New Roman"/>
          <w:b/>
          <w:sz w:val="24"/>
          <w:szCs w:val="24"/>
          <w:lang w:val="sq-AL"/>
        </w:rPr>
        <w:t>përcaktuar</w:t>
      </w:r>
      <w:r w:rsidRPr="00227F4B">
        <w:rPr>
          <w:rFonts w:ascii="Times New Roman" w:eastAsia="Times New Roman" w:hAnsi="Times New Roman" w:cs="Times New Roman"/>
          <w:b/>
          <w:sz w:val="24"/>
          <w:szCs w:val="24"/>
          <w:lang w:val="sq-AL"/>
        </w:rPr>
        <w:t xml:space="preserve"> n</w:t>
      </w:r>
      <w:r w:rsidR="00EA2D2B" w:rsidRPr="00227F4B">
        <w:rPr>
          <w:rFonts w:ascii="Times New Roman" w:eastAsia="Times New Roman" w:hAnsi="Times New Roman" w:cs="Times New Roman"/>
          <w:b/>
          <w:sz w:val="24"/>
          <w:szCs w:val="24"/>
          <w:lang w:val="sq-AL"/>
        </w:rPr>
        <w:t>ë të njëjtën</w:t>
      </w:r>
      <w:r w:rsidRPr="00227F4B">
        <w:rPr>
          <w:rFonts w:ascii="Times New Roman" w:eastAsia="Times New Roman" w:hAnsi="Times New Roman" w:cs="Times New Roman"/>
          <w:b/>
          <w:sz w:val="24"/>
          <w:szCs w:val="24"/>
          <w:lang w:val="sq-AL"/>
        </w:rPr>
        <w:t xml:space="preserve"> linj</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me Udh</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rr</w:t>
      </w:r>
      <w:r w:rsidR="00EA2D2B"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fyesin për Administratën Publike</w:t>
      </w:r>
      <w:r w:rsidR="00EA2D2B" w:rsidRPr="00227F4B">
        <w:rPr>
          <w:rFonts w:ascii="Times New Roman" w:eastAsia="Times New Roman" w:hAnsi="Times New Roman" w:cs="Times New Roman"/>
          <w:b/>
          <w:sz w:val="24"/>
          <w:szCs w:val="24"/>
          <w:lang w:val="sq-AL"/>
        </w:rPr>
        <w:t xml:space="preserve"> si edhe sipas afateve të rivlerësuara nga njësitë përgjegjëse. </w:t>
      </w:r>
    </w:p>
    <w:p w14:paraId="46377020" w14:textId="77777777" w:rsidR="007A42D5" w:rsidRPr="00227F4B" w:rsidRDefault="007A42D5" w:rsidP="00227F4B">
      <w:pPr>
        <w:tabs>
          <w:tab w:val="left" w:pos="0"/>
        </w:tabs>
        <w:spacing w:after="0"/>
        <w:jc w:val="both"/>
        <w:rPr>
          <w:rFonts w:ascii="Times New Roman" w:eastAsia="Times New Roman" w:hAnsi="Times New Roman" w:cs="Times New Roman"/>
          <w:sz w:val="24"/>
          <w:szCs w:val="24"/>
          <w:lang w:val="sq-AL"/>
        </w:rPr>
      </w:pPr>
    </w:p>
    <w:p w14:paraId="6A130539" w14:textId="69C9049B" w:rsidR="00A539FF" w:rsidRPr="00227F4B" w:rsidRDefault="00A539FF"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b/>
          <w:sz w:val="24"/>
          <w:szCs w:val="24"/>
          <w:lang w:val="sq-AL"/>
        </w:rPr>
        <w:t>Agjencia Shtetërore e Programit Strategjik dhe Koordinimit të Ndihmës</w:t>
      </w:r>
      <w:r w:rsidR="007A42D5" w:rsidRPr="00227F4B">
        <w:rPr>
          <w:rFonts w:ascii="Times New Roman" w:hAnsi="Times New Roman" w:cs="Times New Roman"/>
          <w:b/>
          <w:sz w:val="24"/>
          <w:szCs w:val="24"/>
          <w:lang w:val="sq-AL"/>
        </w:rPr>
        <w:t xml:space="preserve"> </w:t>
      </w:r>
      <w:r w:rsidR="007A42D5" w:rsidRPr="00227F4B">
        <w:rPr>
          <w:rFonts w:ascii="Times New Roman" w:hAnsi="Times New Roman" w:cs="Times New Roman"/>
          <w:sz w:val="24"/>
          <w:szCs w:val="24"/>
          <w:lang w:val="sq-AL"/>
        </w:rPr>
        <w:t>nëpërmjet komunikimit</w:t>
      </w:r>
      <w:r w:rsidR="00FF2F49" w:rsidRPr="00227F4B">
        <w:rPr>
          <w:rFonts w:ascii="Times New Roman" w:hAnsi="Times New Roman" w:cs="Times New Roman"/>
          <w:sz w:val="24"/>
          <w:szCs w:val="24"/>
          <w:lang w:val="sq-AL"/>
        </w:rPr>
        <w:t xml:space="preserve"> elektronik ka përcjellë komentet, si vijon:</w:t>
      </w:r>
    </w:p>
    <w:p w14:paraId="05BBF596" w14:textId="417D2578" w:rsidR="001A094C" w:rsidRPr="00227F4B" w:rsidRDefault="001A094C"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n e shkurtimeve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shtuar KPS-Komiteti i Planifikimit Strategjik. </w:t>
      </w:r>
      <w:r w:rsidRPr="00227F4B">
        <w:rPr>
          <w:rFonts w:ascii="Times New Roman" w:eastAsia="Times New Roman" w:hAnsi="Times New Roman" w:cs="Times New Roman"/>
          <w:b/>
          <w:bCs/>
          <w:sz w:val="24"/>
          <w:szCs w:val="24"/>
          <w:lang w:val="sq-AL"/>
        </w:rPr>
        <w:t xml:space="preserve">Komenti </w:t>
      </w:r>
      <w:r w:rsidR="000B35AF" w:rsidRPr="00227F4B">
        <w:rPr>
          <w:rFonts w:ascii="Times New Roman" w:eastAsia="Times New Roman" w:hAnsi="Times New Roman" w:cs="Times New Roman"/>
          <w:b/>
          <w:bCs/>
          <w:sz w:val="24"/>
          <w:szCs w:val="24"/>
          <w:lang w:val="sq-AL"/>
        </w:rPr>
        <w:t>ë</w:t>
      </w:r>
      <w:r w:rsidRPr="00227F4B">
        <w:rPr>
          <w:rFonts w:ascii="Times New Roman" w:eastAsia="Times New Roman" w:hAnsi="Times New Roman" w:cs="Times New Roman"/>
          <w:b/>
          <w:bCs/>
          <w:sz w:val="24"/>
          <w:szCs w:val="24"/>
          <w:lang w:val="sq-AL"/>
        </w:rPr>
        <w:t>sht</w:t>
      </w:r>
      <w:r w:rsidR="000B35AF" w:rsidRPr="00227F4B">
        <w:rPr>
          <w:rFonts w:ascii="Times New Roman" w:eastAsia="Times New Roman" w:hAnsi="Times New Roman" w:cs="Times New Roman"/>
          <w:b/>
          <w:bCs/>
          <w:sz w:val="24"/>
          <w:szCs w:val="24"/>
          <w:lang w:val="sq-AL"/>
        </w:rPr>
        <w:t>ë</w:t>
      </w:r>
      <w:r w:rsidRPr="00227F4B">
        <w:rPr>
          <w:rFonts w:ascii="Times New Roman" w:eastAsia="Times New Roman" w:hAnsi="Times New Roman" w:cs="Times New Roman"/>
          <w:b/>
          <w:bCs/>
          <w:sz w:val="24"/>
          <w:szCs w:val="24"/>
          <w:lang w:val="sq-AL"/>
        </w:rPr>
        <w:t xml:space="preserve"> reflektuar.</w:t>
      </w:r>
    </w:p>
    <w:p w14:paraId="46260557" w14:textId="33EF63E8" w:rsidR="001A094C" w:rsidRPr="00831E0A" w:rsidRDefault="000E0AEC" w:rsidP="00227F4B">
      <w:pPr>
        <w:pStyle w:val="ListParagraph"/>
        <w:numPr>
          <w:ilvl w:val="0"/>
          <w:numId w:val="29"/>
        </w:numPr>
        <w:tabs>
          <w:tab w:val="left" w:pos="0"/>
        </w:tabs>
        <w:spacing w:after="0"/>
        <w:jc w:val="both"/>
        <w:rPr>
          <w:rStyle w:val="cf01"/>
          <w:rFonts w:ascii="Times New Roman" w:eastAsia="Times New Roman" w:hAnsi="Times New Roman" w:cs="Times New Roman"/>
          <w:sz w:val="24"/>
          <w:szCs w:val="24"/>
          <w:lang w:val="sq-AL"/>
        </w:rPr>
      </w:pPr>
      <w:r w:rsidRPr="00831E0A">
        <w:rPr>
          <w:rFonts w:ascii="Times New Roman" w:eastAsia="Times New Roman" w:hAnsi="Times New Roman" w:cs="Times New Roman"/>
          <w:sz w:val="24"/>
          <w:szCs w:val="24"/>
          <w:lang w:val="sq-AL"/>
        </w:rPr>
        <w:t>N</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 xml:space="preserve"> p</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 xml:space="preserve">rmbledhjen ekzekutive </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sht</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 xml:space="preserve"> p</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rcjell</w:t>
      </w:r>
      <w:r w:rsidR="000B35AF" w:rsidRPr="00831E0A">
        <w:rPr>
          <w:rFonts w:ascii="Times New Roman" w:eastAsia="Times New Roman" w:hAnsi="Times New Roman" w:cs="Times New Roman"/>
          <w:sz w:val="24"/>
          <w:szCs w:val="24"/>
          <w:lang w:val="sq-AL"/>
        </w:rPr>
        <w:t>ë</w:t>
      </w:r>
      <w:r w:rsidRPr="00831E0A">
        <w:rPr>
          <w:rFonts w:ascii="Times New Roman" w:eastAsia="Times New Roman" w:hAnsi="Times New Roman" w:cs="Times New Roman"/>
          <w:sz w:val="24"/>
          <w:szCs w:val="24"/>
          <w:lang w:val="sq-AL"/>
        </w:rPr>
        <w:t xml:space="preserve"> komenti si vijon: </w:t>
      </w:r>
      <w:r w:rsidRPr="00831E0A">
        <w:rPr>
          <w:rStyle w:val="cf01"/>
          <w:rFonts w:ascii="Times New Roman" w:hAnsi="Times New Roman" w:cs="Times New Roman"/>
          <w:sz w:val="24"/>
          <w:szCs w:val="24"/>
        </w:rPr>
        <w:t>Sugjerojm</w:t>
      </w:r>
      <w:r w:rsidR="000B35AF" w:rsidRPr="00831E0A">
        <w:rPr>
          <w:rStyle w:val="cf01"/>
          <w:rFonts w:ascii="Times New Roman" w:hAnsi="Times New Roman" w:cs="Times New Roman"/>
          <w:sz w:val="24"/>
          <w:szCs w:val="24"/>
        </w:rPr>
        <w:t>ë</w:t>
      </w:r>
      <w:r w:rsidRPr="00831E0A">
        <w:rPr>
          <w:rStyle w:val="cf01"/>
          <w:rFonts w:ascii="Times New Roman" w:hAnsi="Times New Roman" w:cs="Times New Roman"/>
          <w:sz w:val="24"/>
          <w:szCs w:val="24"/>
        </w:rPr>
        <w:t xml:space="preserve">: 1) Strategjia e MFP-së duhet të diskutohet në IPMG (Qeverisja e Mirë) përkatëse përpara miratimit të saj; 2) Megjithëse strategjia dhe SKZHIE shtrihen deri në vitin 2030, duhet të parashikohen disa afate për të marrë parasysh kërkesën e Komisionit Evropian gjatë takimit dypalësh të shqyrtimit në Kapitullin 22 për të sjellë përpara afatet për kontrollin e brendshëm financiar publik deri në fund të vitit 2027 dhe gjithashtu rekomandimin e Parlamentit Evropian drejtuar Komisionit se forcimi i sistemeve të KBFP është një domosdoshmëri për zbatimin e Agjendës së Reformës. </w:t>
      </w:r>
    </w:p>
    <w:p w14:paraId="1A5E3DDA" w14:textId="69A856C9" w:rsidR="00831E0A" w:rsidRPr="00831E0A" w:rsidRDefault="00831E0A" w:rsidP="00831E0A">
      <w:pPr>
        <w:pStyle w:val="ListParagraph"/>
        <w:tabs>
          <w:tab w:val="left" w:pos="0"/>
        </w:tabs>
        <w:spacing w:after="0"/>
        <w:ind w:left="1080"/>
        <w:jc w:val="both"/>
        <w:rPr>
          <w:rStyle w:val="cf01"/>
          <w:rFonts w:ascii="Times New Roman" w:eastAsia="Times New Roman" w:hAnsi="Times New Roman" w:cs="Times New Roman"/>
          <w:sz w:val="24"/>
          <w:szCs w:val="24"/>
          <w:lang w:val="sq-AL"/>
        </w:rPr>
      </w:pPr>
      <w:r>
        <w:rPr>
          <w:rStyle w:val="cf01"/>
          <w:rFonts w:ascii="Times New Roman" w:hAnsi="Times New Roman" w:cs="Times New Roman"/>
          <w:sz w:val="24"/>
          <w:szCs w:val="24"/>
        </w:rPr>
        <w:t xml:space="preserve">Përsa i përket sugjerimit të mësipërm të përcjellë nga SASPAC, sqarojmë se duke qenë se IPMG-të janë në proces ristrukturimi, strategjia e MFP-së do të diskutohet në Komitetin Drejtues të MFP-së dhe në Këshillin e Ministrave. </w:t>
      </w:r>
    </w:p>
    <w:p w14:paraId="647B7230" w14:textId="6672A7DD" w:rsidR="000E0AEC" w:rsidRPr="00227F4B" w:rsidRDefault="000E0AEC" w:rsidP="00227F4B">
      <w:pPr>
        <w:pStyle w:val="ListParagraph"/>
        <w:numPr>
          <w:ilvl w:val="0"/>
          <w:numId w:val="29"/>
        </w:numPr>
        <w:tabs>
          <w:tab w:val="left" w:pos="0"/>
        </w:tabs>
        <w:spacing w:after="0"/>
        <w:jc w:val="both"/>
        <w:rPr>
          <w:rStyle w:val="cf01"/>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rmbledhjen ekzekutive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komenti si vijon mbi integrimin e leht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dhe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shpejt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Shqip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ris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Bashkimin Evropian (BE): </w:t>
      </w:r>
      <w:r w:rsidRPr="00227F4B">
        <w:rPr>
          <w:rStyle w:val="cf01"/>
          <w:rFonts w:ascii="Times New Roman" w:hAnsi="Times New Roman" w:cs="Times New Roman"/>
          <w:sz w:val="24"/>
          <w:szCs w:val="24"/>
        </w:rPr>
        <w:t>Sugjerojm</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q</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duhet t</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shtojm</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mbi mir</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qeverisjen (Good Governance), PAR Roadmap, Antikorrupsionin.</w:t>
      </w:r>
    </w:p>
    <w:p w14:paraId="430E245E" w14:textId="2F6D744E" w:rsidR="004A220D" w:rsidRPr="00227F4B" w:rsidRDefault="004A220D" w:rsidP="00227F4B">
      <w:pPr>
        <w:pStyle w:val="ListParagraph"/>
        <w:tabs>
          <w:tab w:val="left" w:pos="0"/>
        </w:tabs>
        <w:spacing w:after="0"/>
        <w:ind w:left="1080"/>
        <w:jc w:val="both"/>
        <w:rPr>
          <w:rStyle w:val="cf01"/>
          <w:rFonts w:ascii="Times New Roman" w:eastAsia="Times New Roman" w:hAnsi="Times New Roman" w:cs="Times New Roman"/>
          <w:sz w:val="24"/>
          <w:szCs w:val="24"/>
          <w:lang w:val="sq-AL"/>
        </w:rPr>
      </w:pPr>
      <w:r w:rsidRPr="00227F4B">
        <w:rPr>
          <w:rStyle w:val="cf01"/>
          <w:rFonts w:ascii="Times New Roman" w:hAnsi="Times New Roman" w:cs="Times New Roman"/>
          <w:sz w:val="24"/>
          <w:szCs w:val="24"/>
        </w:rPr>
        <w:t xml:space="preserve">Ky koment </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sht</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reflektuar n</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seksionin 1.3 “P</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rafrimi me Kuadrin Strategjik p</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r Zhvillimin Komb</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tar, Integrimin Evropian, Reformat Ekonomike dhe Qeverisjen e Mir</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w:t>
      </w:r>
    </w:p>
    <w:p w14:paraId="7EE74582" w14:textId="732E506B" w:rsidR="003A63C9" w:rsidRPr="00227F4B" w:rsidRDefault="003A63C9"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rmbledhja ekzekutive, te masat e shtyll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5 “Kontrolli i Brendsh</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m Financiar Publik”, jan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ndryshuar nga 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sia masat si m</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posht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w:t>
      </w:r>
    </w:p>
    <w:p w14:paraId="707278CA" w14:textId="0FC60C0F" w:rsidR="000E0AEC" w:rsidRPr="00227F4B" w:rsidRDefault="003A63C9" w:rsidP="00227F4B">
      <w:pPr>
        <w:pStyle w:val="ListParagraph"/>
        <w:numPr>
          <w:ilvl w:val="1"/>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b/>
          <w:sz w:val="24"/>
          <w:szCs w:val="24"/>
          <w:lang w:val="sq-AL"/>
        </w:rPr>
        <w:t>Masa 5.4.1</w:t>
      </w:r>
      <w:r w:rsidRPr="00227F4B">
        <w:rPr>
          <w:rFonts w:ascii="Times New Roman" w:eastAsia="Times New Roman" w:hAnsi="Times New Roman" w:cs="Times New Roman"/>
          <w:sz w:val="24"/>
          <w:szCs w:val="24"/>
          <w:lang w:val="sq-AL"/>
        </w:rPr>
        <w:t xml:space="preserve">: Krijimi i </w:t>
      </w:r>
      <w:r w:rsidRPr="00227F4B">
        <w:rPr>
          <w:rStyle w:val="cf01"/>
          <w:rFonts w:ascii="Times New Roman" w:hAnsi="Times New Roman" w:cs="Times New Roman"/>
          <w:sz w:val="24"/>
          <w:szCs w:val="24"/>
        </w:rPr>
        <w:t xml:space="preserve">kuadrit ligjor për përcaktimin e funksioneve, përgjegjësive dhe marrëdhënieve ndërmjet autoriteteve e strukturave për menaxhimin indirekt të asistencës financiare të Bashkimit Evropian nën instrumentin për asistencën e paraanëtarësimit (IPA III). </w:t>
      </w:r>
      <w:r w:rsidRPr="00227F4B">
        <w:rPr>
          <w:rStyle w:val="cf01"/>
          <w:rFonts w:ascii="Times New Roman" w:hAnsi="Times New Roman" w:cs="Times New Roman"/>
          <w:b/>
          <w:sz w:val="24"/>
          <w:szCs w:val="24"/>
        </w:rPr>
        <w:t xml:space="preserve">Ky ndryshim nuk </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sht</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reflektuar n</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strategji, por vazhdon t</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mbetet si aktivitet. Masa n</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strategji </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sht</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“Krijimi i kuadrit ligjor IPA III.</w:t>
      </w:r>
      <w:r w:rsidRPr="00227F4B">
        <w:rPr>
          <w:rStyle w:val="cf01"/>
          <w:rFonts w:ascii="Times New Roman" w:hAnsi="Times New Roman" w:cs="Times New Roman"/>
          <w:sz w:val="24"/>
          <w:szCs w:val="24"/>
        </w:rPr>
        <w:t xml:space="preserve"> </w:t>
      </w:r>
      <w:r w:rsidRPr="00227F4B">
        <w:rPr>
          <w:rStyle w:val="rynqvb"/>
          <w:rFonts w:ascii="Times New Roman" w:hAnsi="Times New Roman" w:cs="Times New Roman"/>
          <w:sz w:val="24"/>
          <w:szCs w:val="24"/>
        </w:rPr>
        <w:t xml:space="preserve">  </w:t>
      </w:r>
      <w:r w:rsidRPr="00227F4B">
        <w:rPr>
          <w:rFonts w:ascii="Times New Roman" w:eastAsia="Times New Roman" w:hAnsi="Times New Roman" w:cs="Times New Roman"/>
          <w:sz w:val="24"/>
          <w:szCs w:val="24"/>
          <w:lang w:val="sq-AL"/>
        </w:rPr>
        <w:t xml:space="preserve"> </w:t>
      </w:r>
    </w:p>
    <w:p w14:paraId="24121B98" w14:textId="3F6EABC2" w:rsidR="003A63C9" w:rsidRPr="00227F4B" w:rsidRDefault="003A63C9" w:rsidP="00227F4B">
      <w:pPr>
        <w:pStyle w:val="ListParagraph"/>
        <w:numPr>
          <w:ilvl w:val="1"/>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Masa 5.4.4. </w:t>
      </w:r>
      <w:r w:rsidRPr="00227F4B">
        <w:rPr>
          <w:rStyle w:val="cf01"/>
          <w:rFonts w:ascii="Times New Roman" w:hAnsi="Times New Roman" w:cs="Times New Roman"/>
          <w:sz w:val="24"/>
          <w:szCs w:val="24"/>
        </w:rPr>
        <w:t>Marrja parasysh e kërkesave të ardhshme për menaxhimin e fondeve të BE-së pas anëtarësimit dhe zhvillimi i një plani veprimi, në kuadër të kapitullit 22, i cili do të përcaktojë nevojat per përmirësimin e kuadrit ligjor te menaxhimit te fondeve.</w:t>
      </w:r>
      <w:r w:rsidRPr="00227F4B">
        <w:rPr>
          <w:rFonts w:ascii="Times New Roman" w:hAnsi="Times New Roman" w:cs="Times New Roman"/>
          <w:sz w:val="24"/>
          <w:szCs w:val="24"/>
        </w:rPr>
        <w:t xml:space="preserve"> </w:t>
      </w:r>
      <w:r w:rsidRPr="00227F4B">
        <w:rPr>
          <w:rStyle w:val="cf01"/>
          <w:rFonts w:ascii="Times New Roman" w:hAnsi="Times New Roman" w:cs="Times New Roman"/>
          <w:b/>
          <w:sz w:val="24"/>
          <w:szCs w:val="24"/>
        </w:rPr>
        <w:t xml:space="preserve">Ndryshimi </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sht</w:t>
      </w:r>
      <w:r w:rsidR="000B35AF" w:rsidRPr="00227F4B">
        <w:rPr>
          <w:rStyle w:val="cf01"/>
          <w:rFonts w:ascii="Times New Roman" w:hAnsi="Times New Roman" w:cs="Times New Roman"/>
          <w:b/>
          <w:sz w:val="24"/>
          <w:szCs w:val="24"/>
        </w:rPr>
        <w:t>ë</w:t>
      </w:r>
      <w:r w:rsidRPr="00227F4B">
        <w:rPr>
          <w:rStyle w:val="cf01"/>
          <w:rFonts w:ascii="Times New Roman" w:hAnsi="Times New Roman" w:cs="Times New Roman"/>
          <w:b/>
          <w:sz w:val="24"/>
          <w:szCs w:val="24"/>
        </w:rPr>
        <w:t xml:space="preserve"> pranuar.</w:t>
      </w:r>
      <w:r w:rsidRPr="00227F4B">
        <w:rPr>
          <w:rFonts w:ascii="Times New Roman" w:hAnsi="Times New Roman" w:cs="Times New Roman"/>
          <w:sz w:val="24"/>
          <w:szCs w:val="24"/>
        </w:rPr>
        <w:t xml:space="preserve">   </w:t>
      </w:r>
    </w:p>
    <w:p w14:paraId="67D737F9" w14:textId="7B5C69EA" w:rsidR="003A63C9" w:rsidRPr="00227F4B" w:rsidRDefault="000B35AF" w:rsidP="00227F4B">
      <w:pPr>
        <w:pStyle w:val="ListParagraph"/>
        <w:numPr>
          <w:ilvl w:val="1"/>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hAnsi="Times New Roman" w:cs="Times New Roman"/>
          <w:sz w:val="24"/>
          <w:szCs w:val="24"/>
        </w:rPr>
        <w:lastRenderedPageBreak/>
        <w:t>Ë</w:t>
      </w:r>
      <w:r w:rsidR="003A63C9" w:rsidRPr="00227F4B">
        <w:rPr>
          <w:rFonts w:ascii="Times New Roman" w:hAnsi="Times New Roman" w:cs="Times New Roman"/>
          <w:sz w:val="24"/>
          <w:szCs w:val="24"/>
        </w:rPr>
        <w:t>sht</w:t>
      </w:r>
      <w:r w:rsidRPr="00227F4B">
        <w:rPr>
          <w:rFonts w:ascii="Times New Roman" w:hAnsi="Times New Roman" w:cs="Times New Roman"/>
          <w:sz w:val="24"/>
          <w:szCs w:val="24"/>
        </w:rPr>
        <w:t>ë</w:t>
      </w:r>
      <w:r w:rsidR="003A63C9" w:rsidRPr="00227F4B">
        <w:rPr>
          <w:rFonts w:ascii="Times New Roman" w:hAnsi="Times New Roman" w:cs="Times New Roman"/>
          <w:sz w:val="24"/>
          <w:szCs w:val="24"/>
        </w:rPr>
        <w:t xml:space="preserve"> shtuar masa 5.4.5 “P</w:t>
      </w:r>
      <w:r w:rsidRPr="00227F4B">
        <w:rPr>
          <w:rFonts w:ascii="Times New Roman" w:hAnsi="Times New Roman" w:cs="Times New Roman"/>
          <w:sz w:val="24"/>
          <w:szCs w:val="24"/>
        </w:rPr>
        <w:t>ë</w:t>
      </w:r>
      <w:r w:rsidR="003A63C9" w:rsidRPr="00227F4B">
        <w:rPr>
          <w:rFonts w:ascii="Times New Roman" w:hAnsi="Times New Roman" w:cs="Times New Roman"/>
          <w:sz w:val="24"/>
          <w:szCs w:val="24"/>
        </w:rPr>
        <w:t>rcaktimi i rregullave p</w:t>
      </w:r>
      <w:r w:rsidRPr="00227F4B">
        <w:rPr>
          <w:rFonts w:ascii="Times New Roman" w:hAnsi="Times New Roman" w:cs="Times New Roman"/>
          <w:sz w:val="24"/>
          <w:szCs w:val="24"/>
        </w:rPr>
        <w:t>ë</w:t>
      </w:r>
      <w:r w:rsidR="003A63C9" w:rsidRPr="00227F4B">
        <w:rPr>
          <w:rFonts w:ascii="Times New Roman" w:hAnsi="Times New Roman" w:cs="Times New Roman"/>
          <w:sz w:val="24"/>
          <w:szCs w:val="24"/>
        </w:rPr>
        <w:t>r zhvillimin dhe zbatimin e opsioneve t</w:t>
      </w:r>
      <w:r w:rsidRPr="00227F4B">
        <w:rPr>
          <w:rFonts w:ascii="Times New Roman" w:hAnsi="Times New Roman" w:cs="Times New Roman"/>
          <w:sz w:val="24"/>
          <w:szCs w:val="24"/>
        </w:rPr>
        <w:t>ë</w:t>
      </w:r>
      <w:r w:rsidR="003A63C9" w:rsidRPr="00227F4B">
        <w:rPr>
          <w:rFonts w:ascii="Times New Roman" w:hAnsi="Times New Roman" w:cs="Times New Roman"/>
          <w:sz w:val="24"/>
          <w:szCs w:val="24"/>
        </w:rPr>
        <w:t xml:space="preserve"> thjeshtuara t</w:t>
      </w:r>
      <w:r w:rsidRPr="00227F4B">
        <w:rPr>
          <w:rFonts w:ascii="Times New Roman" w:hAnsi="Times New Roman" w:cs="Times New Roman"/>
          <w:sz w:val="24"/>
          <w:szCs w:val="24"/>
        </w:rPr>
        <w:t>ë</w:t>
      </w:r>
      <w:r w:rsidR="003A63C9" w:rsidRPr="00227F4B">
        <w:rPr>
          <w:rFonts w:ascii="Times New Roman" w:hAnsi="Times New Roman" w:cs="Times New Roman"/>
          <w:sz w:val="24"/>
          <w:szCs w:val="24"/>
        </w:rPr>
        <w:t xml:space="preserve"> kostos (Simplified Cost Options). </w:t>
      </w:r>
    </w:p>
    <w:p w14:paraId="58047A41" w14:textId="127773A8" w:rsidR="003A63C9" w:rsidRPr="00227F4B" w:rsidRDefault="003A63C9" w:rsidP="00227F4B">
      <w:pPr>
        <w:pStyle w:val="ListParagraph"/>
        <w:tabs>
          <w:tab w:val="left" w:pos="0"/>
        </w:tabs>
        <w:spacing w:after="0"/>
        <w:ind w:left="1440"/>
        <w:jc w:val="both"/>
        <w:rPr>
          <w:rStyle w:val="cf01"/>
          <w:rFonts w:ascii="Times New Roman" w:hAnsi="Times New Roman" w:cs="Times New Roman"/>
          <w:sz w:val="24"/>
          <w:szCs w:val="24"/>
        </w:rPr>
      </w:pPr>
      <w:r w:rsidRPr="00227F4B">
        <w:rPr>
          <w:rFonts w:ascii="Times New Roman" w:hAnsi="Times New Roman" w:cs="Times New Roman"/>
          <w:sz w:val="24"/>
          <w:szCs w:val="24"/>
        </w:rPr>
        <w:t>N</w:t>
      </w:r>
      <w:r w:rsidR="000B35AF" w:rsidRPr="00227F4B">
        <w:rPr>
          <w:rFonts w:ascii="Times New Roman" w:hAnsi="Times New Roman" w:cs="Times New Roman"/>
          <w:sz w:val="24"/>
          <w:szCs w:val="24"/>
        </w:rPr>
        <w:t>ë</w:t>
      </w:r>
      <w:r w:rsidRPr="00227F4B">
        <w:rPr>
          <w:rFonts w:ascii="Times New Roman" w:hAnsi="Times New Roman" w:cs="Times New Roman"/>
          <w:sz w:val="24"/>
          <w:szCs w:val="24"/>
        </w:rPr>
        <w:t xml:space="preserve"> versionin e fundit t</w:t>
      </w:r>
      <w:r w:rsidR="000B35AF" w:rsidRPr="00227F4B">
        <w:rPr>
          <w:rFonts w:ascii="Times New Roman" w:hAnsi="Times New Roman" w:cs="Times New Roman"/>
          <w:sz w:val="24"/>
          <w:szCs w:val="24"/>
        </w:rPr>
        <w:t>ë</w:t>
      </w:r>
      <w:r w:rsidRPr="00227F4B">
        <w:rPr>
          <w:rFonts w:ascii="Times New Roman" w:hAnsi="Times New Roman" w:cs="Times New Roman"/>
          <w:sz w:val="24"/>
          <w:szCs w:val="24"/>
        </w:rPr>
        <w:t xml:space="preserve"> strategjis</w:t>
      </w:r>
      <w:r w:rsidR="000B35AF" w:rsidRPr="00227F4B">
        <w:rPr>
          <w:rFonts w:ascii="Times New Roman" w:hAnsi="Times New Roman" w:cs="Times New Roman"/>
          <w:sz w:val="24"/>
          <w:szCs w:val="24"/>
        </w:rPr>
        <w:t>ë</w:t>
      </w:r>
      <w:r w:rsidRPr="00227F4B">
        <w:rPr>
          <w:rFonts w:ascii="Times New Roman" w:hAnsi="Times New Roman" w:cs="Times New Roman"/>
          <w:sz w:val="24"/>
          <w:szCs w:val="24"/>
        </w:rPr>
        <w:t xml:space="preserve">, </w:t>
      </w:r>
      <w:r w:rsidR="000B35AF" w:rsidRPr="00227F4B">
        <w:rPr>
          <w:rFonts w:ascii="Times New Roman" w:hAnsi="Times New Roman" w:cs="Times New Roman"/>
          <w:sz w:val="24"/>
          <w:szCs w:val="24"/>
        </w:rPr>
        <w:t>ë</w:t>
      </w:r>
      <w:r w:rsidRPr="00227F4B">
        <w:rPr>
          <w:rFonts w:ascii="Times New Roman" w:hAnsi="Times New Roman" w:cs="Times New Roman"/>
          <w:sz w:val="24"/>
          <w:szCs w:val="24"/>
        </w:rPr>
        <w:t>sht</w:t>
      </w:r>
      <w:r w:rsidR="000B35AF" w:rsidRPr="00227F4B">
        <w:rPr>
          <w:rFonts w:ascii="Times New Roman" w:hAnsi="Times New Roman" w:cs="Times New Roman"/>
          <w:sz w:val="24"/>
          <w:szCs w:val="24"/>
        </w:rPr>
        <w:t>ë</w:t>
      </w:r>
      <w:r w:rsidRPr="00227F4B">
        <w:rPr>
          <w:rFonts w:ascii="Times New Roman" w:hAnsi="Times New Roman" w:cs="Times New Roman"/>
          <w:sz w:val="24"/>
          <w:szCs w:val="24"/>
        </w:rPr>
        <w:t xml:space="preserve"> shtuar masa 5.4.5 </w:t>
      </w:r>
      <w:r w:rsidRPr="00227F4B">
        <w:rPr>
          <w:rStyle w:val="cf01"/>
          <w:rFonts w:ascii="Times New Roman" w:hAnsi="Times New Roman" w:cs="Times New Roman"/>
          <w:sz w:val="24"/>
          <w:szCs w:val="24"/>
        </w:rPr>
        <w:t>“Zhvillimi i opsioneve të thjeshtuara të kostos (SCO)”, ashtu sikurse p</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rcjell</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nga SASPAC me koment te komponenti 5.4 Menaxhimi i fondeve t</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BE-s</w:t>
      </w:r>
      <w:r w:rsidR="000B35AF" w:rsidRPr="00227F4B">
        <w:rPr>
          <w:rStyle w:val="cf01"/>
          <w:rFonts w:ascii="Times New Roman" w:hAnsi="Times New Roman" w:cs="Times New Roman"/>
          <w:sz w:val="24"/>
          <w:szCs w:val="24"/>
        </w:rPr>
        <w:t>ë</w:t>
      </w:r>
      <w:r w:rsidRPr="00227F4B">
        <w:rPr>
          <w:rStyle w:val="cf01"/>
          <w:rFonts w:ascii="Times New Roman" w:hAnsi="Times New Roman" w:cs="Times New Roman"/>
          <w:sz w:val="24"/>
          <w:szCs w:val="24"/>
        </w:rPr>
        <w:t xml:space="preserve">. </w:t>
      </w:r>
    </w:p>
    <w:p w14:paraId="395C7B12" w14:textId="7D3F77D6" w:rsidR="0088466A" w:rsidRPr="00227F4B" w:rsidRDefault="0088466A"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seksioni “</w:t>
      </w:r>
      <w:r w:rsidRPr="00227F4B">
        <w:rPr>
          <w:rFonts w:ascii="Times New Roman" w:eastAsia="Times New Roman" w:hAnsi="Times New Roman" w:cs="Times New Roman"/>
          <w:i/>
          <w:sz w:val="24"/>
          <w:szCs w:val="24"/>
          <w:lang w:val="sq-AL"/>
        </w:rPr>
        <w:t>Fusha dhe q</w:t>
      </w:r>
      <w:r w:rsidR="000B35AF" w:rsidRPr="00227F4B">
        <w:rPr>
          <w:rFonts w:ascii="Times New Roman" w:eastAsia="Times New Roman" w:hAnsi="Times New Roman" w:cs="Times New Roman"/>
          <w:i/>
          <w:sz w:val="24"/>
          <w:szCs w:val="24"/>
          <w:lang w:val="sq-AL"/>
        </w:rPr>
        <w:t>ë</w:t>
      </w:r>
      <w:r w:rsidRPr="00227F4B">
        <w:rPr>
          <w:rFonts w:ascii="Times New Roman" w:eastAsia="Times New Roman" w:hAnsi="Times New Roman" w:cs="Times New Roman"/>
          <w:i/>
          <w:sz w:val="24"/>
          <w:szCs w:val="24"/>
          <w:lang w:val="sq-AL"/>
        </w:rPr>
        <w:t>llimi”</w:t>
      </w:r>
      <w:r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reflektimi i ndryshimit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paragrafin e dyt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si vijon: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rputhje me SKZHIE </w:t>
      </w:r>
      <w:r w:rsidRPr="00227F4B">
        <w:rPr>
          <w:rFonts w:ascii="Times New Roman" w:eastAsia="Times New Roman" w:hAnsi="Times New Roman" w:cs="Times New Roman"/>
          <w:b/>
          <w:sz w:val="24"/>
          <w:szCs w:val="24"/>
          <w:lang w:val="sq-AL"/>
        </w:rPr>
        <w:t>2022-2030</w:t>
      </w:r>
      <w:r w:rsidRPr="00227F4B">
        <w:rPr>
          <w:rFonts w:ascii="Times New Roman" w:eastAsia="Times New Roman" w:hAnsi="Times New Roman" w:cs="Times New Roman"/>
          <w:sz w:val="24"/>
          <w:szCs w:val="24"/>
          <w:lang w:val="sq-AL"/>
        </w:rPr>
        <w:t>, q</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llimi i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rgjithsh</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m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w:t>
      </w:r>
    </w:p>
    <w:p w14:paraId="44C344B0" w14:textId="3472C2CA" w:rsidR="0088466A" w:rsidRPr="00227F4B" w:rsidRDefault="003E19DE"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seksioni “Strategjit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plot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suese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reform</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MFP-s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sugjeruar ndryshim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referimin e Strategjis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Afatmesme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Ardhurave 2022-2026, duke qen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se strategjia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miratuar. Referenca e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saj strategjie vazhdon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jet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strategjin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MFP-s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sepse edhe pse Strategjia Afatmesme 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Ardhurave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miratuar, strategjia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hartuar dhe q</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nga janari 2022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proces zbatimi i masave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rshkruara. </w:t>
      </w:r>
    </w:p>
    <w:p w14:paraId="63FA77F3" w14:textId="030E6830" w:rsidR="00D414B4" w:rsidRPr="00227F4B" w:rsidRDefault="00D414B4"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shtyll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e dyt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“Planifikimi i integruar strategjik dhe buxhetor, monitorimi dhe raportimi transparent”,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propozuar nga SASPAC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shtohet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komponentin 2.2 “Planifikimi Buxhetor Afatmes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m” masa “Miratimi i Kuadrit Makroekonomik dhe Fiskal Afatmes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m. Kjo pasi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rfshir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kalendarin e shpenzimeve publike”.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mas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informacioni i plot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shtu q</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komenti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reflektuar. </w:t>
      </w:r>
    </w:p>
    <w:p w14:paraId="1A941332" w14:textId="0473763C" w:rsidR="00D414B4" w:rsidRPr="00227F4B" w:rsidRDefault="00D414B4"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komponentin 2.2 “Planifikimi Buxhetor Afatmes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m”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propozuar nga SASPAC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shtohet masa 2.2.5 “Miratimi i Dokumentit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Politikave Prioritare 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bashku me 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Unike me 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nd</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 Komb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tare si pjes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integrale e saj”. </w:t>
      </w:r>
      <w:r w:rsidRPr="00227F4B">
        <w:rPr>
          <w:rFonts w:ascii="Times New Roman" w:eastAsia="Times New Roman" w:hAnsi="Times New Roman" w:cs="Times New Roman"/>
          <w:b/>
          <w:sz w:val="24"/>
          <w:szCs w:val="24"/>
          <w:lang w:val="sq-AL"/>
        </w:rPr>
        <w:t>Kjo mas</w:t>
      </w:r>
      <w:r w:rsidR="000B35AF"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w:t>
      </w:r>
      <w:r w:rsidR="000B35AF"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sht</w:t>
      </w:r>
      <w:r w:rsidR="000B35AF" w:rsidRPr="00227F4B">
        <w:rPr>
          <w:rFonts w:ascii="Times New Roman" w:eastAsia="Times New Roman" w:hAnsi="Times New Roman" w:cs="Times New Roman"/>
          <w:b/>
          <w:sz w:val="24"/>
          <w:szCs w:val="24"/>
          <w:lang w:val="sq-AL"/>
        </w:rPr>
        <w:t>ë</w:t>
      </w:r>
      <w:r w:rsidRPr="00227F4B">
        <w:rPr>
          <w:rFonts w:ascii="Times New Roman" w:eastAsia="Times New Roman" w:hAnsi="Times New Roman" w:cs="Times New Roman"/>
          <w:b/>
          <w:sz w:val="24"/>
          <w:szCs w:val="24"/>
          <w:lang w:val="sq-AL"/>
        </w:rPr>
        <w:t xml:space="preserve"> shtuar si vijon</w:t>
      </w:r>
      <w:r w:rsidRPr="00227F4B">
        <w:rPr>
          <w:rFonts w:ascii="Times New Roman" w:eastAsia="Times New Roman" w:hAnsi="Times New Roman" w:cs="Times New Roman"/>
          <w:sz w:val="24"/>
          <w:szCs w:val="24"/>
          <w:lang w:val="sq-AL"/>
        </w:rPr>
        <w:t>: Miratimi i Dokumentit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Politikave Prioritare” 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bashku me 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Unike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Projekteve me 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nd</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 Komb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tare si pjes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integrale e saj. Gjithashtu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reflektuar kontributi i SASPAC lidhur me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mas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te masat dhe aktivitetet e komponentit 2.2 </w:t>
      </w:r>
      <w:r w:rsidR="00B2179E" w:rsidRPr="00227F4B">
        <w:rPr>
          <w:rFonts w:ascii="Times New Roman" w:eastAsia="Times New Roman" w:hAnsi="Times New Roman" w:cs="Times New Roman"/>
          <w:sz w:val="24"/>
          <w:szCs w:val="24"/>
          <w:lang w:val="sq-AL"/>
        </w:rPr>
        <w:t xml:space="preserve">si dhe te treguesit dhe vlerat e synuara </w:t>
      </w:r>
      <w:r w:rsidRPr="00227F4B">
        <w:rPr>
          <w:rFonts w:ascii="Times New Roman" w:eastAsia="Times New Roman" w:hAnsi="Times New Roman" w:cs="Times New Roman"/>
          <w:sz w:val="24"/>
          <w:szCs w:val="24"/>
          <w:lang w:val="sq-AL"/>
        </w:rPr>
        <w:t>si vijon:</w:t>
      </w:r>
    </w:p>
    <w:p w14:paraId="01617B55" w14:textId="6B7F84A2" w:rsidR="00B2179E" w:rsidRPr="00227F4B" w:rsidRDefault="00B2179E" w:rsidP="00227F4B">
      <w:pPr>
        <w:pStyle w:val="ListParagraph"/>
        <w:numPr>
          <w:ilvl w:val="1"/>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Aktiviteti 2.2.5.1 “Miratimi i DPP-s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bashku me 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Unike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Projekteve me 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nd</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 Komb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tare si pjes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integrale e saj/kontributi nga ministrit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linj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Afati i fillimit T1 2024, afati i mbarimit T2 2024; 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rgjegj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se - SASPAC (lider); Partner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 – Ministrit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Linj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w:t>
      </w:r>
    </w:p>
    <w:p w14:paraId="07C62E0D" w14:textId="56E34018" w:rsidR="00D414B4" w:rsidRPr="00227F4B" w:rsidRDefault="00B2179E" w:rsidP="00227F4B">
      <w:pPr>
        <w:pStyle w:val="ListParagraph"/>
        <w:numPr>
          <w:ilvl w:val="1"/>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Treguesi 9 “Miratimi i DPP-s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bashku me 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Unike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Projekteve me 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nd</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 Komb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tare”. Viti baz</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-2022. Vlera e synuar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 vitin 2023, 2024, 2025 dhe 2026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“Bashk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punimi me Ministrit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e Linj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dhe miratimi me VKM çdo fillim viti”.</w:t>
      </w:r>
    </w:p>
    <w:p w14:paraId="60F38A97" w14:textId="3158D439" w:rsidR="00B2179E" w:rsidRPr="00227F4B" w:rsidRDefault="0027757E"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J</w:t>
      </w:r>
      <w:r w:rsidR="00B2179E" w:rsidRPr="00227F4B">
        <w:rPr>
          <w:rFonts w:ascii="Times New Roman" w:eastAsia="Times New Roman" w:hAnsi="Times New Roman" w:cs="Times New Roman"/>
          <w:sz w:val="24"/>
          <w:szCs w:val="24"/>
          <w:lang w:val="sq-AL"/>
        </w:rPr>
        <w:t>a</w:t>
      </w: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00B2179E" w:rsidRPr="00227F4B">
        <w:rPr>
          <w:rFonts w:ascii="Times New Roman" w:eastAsia="Times New Roman" w:hAnsi="Times New Roman" w:cs="Times New Roman"/>
          <w:sz w:val="24"/>
          <w:szCs w:val="24"/>
          <w:lang w:val="sq-AL"/>
        </w:rPr>
        <w:t xml:space="preserve"> reflektuar ndryshimet e p</w:t>
      </w:r>
      <w:r w:rsidR="000B35AF" w:rsidRPr="00227F4B">
        <w:rPr>
          <w:rFonts w:ascii="Times New Roman" w:eastAsia="Times New Roman" w:hAnsi="Times New Roman" w:cs="Times New Roman"/>
          <w:sz w:val="24"/>
          <w:szCs w:val="24"/>
          <w:lang w:val="sq-AL"/>
        </w:rPr>
        <w:t>ë</w:t>
      </w:r>
      <w:r w:rsidR="00B2179E" w:rsidRPr="00227F4B">
        <w:rPr>
          <w:rFonts w:ascii="Times New Roman" w:eastAsia="Times New Roman" w:hAnsi="Times New Roman" w:cs="Times New Roman"/>
          <w:sz w:val="24"/>
          <w:szCs w:val="24"/>
          <w:lang w:val="sq-AL"/>
        </w:rPr>
        <w:t>rcjella n</w:t>
      </w:r>
      <w:r w:rsidR="000B35AF" w:rsidRPr="00227F4B">
        <w:rPr>
          <w:rFonts w:ascii="Times New Roman" w:eastAsia="Times New Roman" w:hAnsi="Times New Roman" w:cs="Times New Roman"/>
          <w:sz w:val="24"/>
          <w:szCs w:val="24"/>
          <w:lang w:val="sq-AL"/>
        </w:rPr>
        <w:t>ë</w:t>
      </w:r>
      <w:r w:rsidR="00B2179E" w:rsidRPr="00227F4B">
        <w:rPr>
          <w:rFonts w:ascii="Times New Roman" w:eastAsia="Times New Roman" w:hAnsi="Times New Roman" w:cs="Times New Roman"/>
          <w:sz w:val="24"/>
          <w:szCs w:val="24"/>
          <w:lang w:val="sq-AL"/>
        </w:rPr>
        <w:t xml:space="preserve"> terminologji n</w:t>
      </w:r>
      <w:r w:rsidR="000B35AF" w:rsidRPr="00227F4B">
        <w:rPr>
          <w:rFonts w:ascii="Times New Roman" w:eastAsia="Times New Roman" w:hAnsi="Times New Roman" w:cs="Times New Roman"/>
          <w:sz w:val="24"/>
          <w:szCs w:val="24"/>
          <w:lang w:val="sq-AL"/>
        </w:rPr>
        <w:t>ë</w:t>
      </w:r>
      <w:r w:rsidR="00B2179E" w:rsidRPr="00227F4B">
        <w:rPr>
          <w:rFonts w:ascii="Times New Roman" w:eastAsia="Times New Roman" w:hAnsi="Times New Roman" w:cs="Times New Roman"/>
          <w:sz w:val="24"/>
          <w:szCs w:val="24"/>
          <w:lang w:val="sq-AL"/>
        </w:rPr>
        <w:t xml:space="preserve"> kontekstin e komponentit 2.3 “Menaxhimi i Investimeve Publike”.</w:t>
      </w:r>
    </w:p>
    <w:p w14:paraId="2516CC02" w14:textId="6B730C91" w:rsidR="00B2179E" w:rsidRPr="00227F4B" w:rsidRDefault="000B35AF"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27757E"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27757E" w:rsidRPr="00227F4B">
        <w:rPr>
          <w:rFonts w:ascii="Times New Roman" w:eastAsia="Times New Roman" w:hAnsi="Times New Roman" w:cs="Times New Roman"/>
          <w:sz w:val="24"/>
          <w:szCs w:val="24"/>
          <w:lang w:val="sq-AL"/>
        </w:rPr>
        <w:t xml:space="preserve"> reflektuar ndr</w:t>
      </w:r>
      <w:r w:rsidR="00090CF3" w:rsidRPr="00227F4B">
        <w:rPr>
          <w:rFonts w:ascii="Times New Roman" w:eastAsia="Times New Roman" w:hAnsi="Times New Roman" w:cs="Times New Roman"/>
          <w:sz w:val="24"/>
          <w:szCs w:val="24"/>
          <w:lang w:val="sq-AL"/>
        </w:rPr>
        <w:t>yshimi i p</w:t>
      </w:r>
      <w:r w:rsidRPr="00227F4B">
        <w:rPr>
          <w:rFonts w:ascii="Times New Roman" w:eastAsia="Times New Roman" w:hAnsi="Times New Roman" w:cs="Times New Roman"/>
          <w:sz w:val="24"/>
          <w:szCs w:val="24"/>
          <w:lang w:val="sq-AL"/>
        </w:rPr>
        <w:t>ë</w:t>
      </w:r>
      <w:r w:rsidR="00090CF3" w:rsidRPr="00227F4B">
        <w:rPr>
          <w:rFonts w:ascii="Times New Roman" w:eastAsia="Times New Roman" w:hAnsi="Times New Roman" w:cs="Times New Roman"/>
          <w:sz w:val="24"/>
          <w:szCs w:val="24"/>
          <w:lang w:val="sq-AL"/>
        </w:rPr>
        <w:t>rcjell</w:t>
      </w:r>
      <w:r w:rsidRPr="00227F4B">
        <w:rPr>
          <w:rFonts w:ascii="Times New Roman" w:eastAsia="Times New Roman" w:hAnsi="Times New Roman" w:cs="Times New Roman"/>
          <w:sz w:val="24"/>
          <w:szCs w:val="24"/>
          <w:lang w:val="sq-AL"/>
        </w:rPr>
        <w:t>ë</w:t>
      </w:r>
      <w:r w:rsidR="00090CF3" w:rsidRPr="00227F4B">
        <w:rPr>
          <w:rFonts w:ascii="Times New Roman" w:eastAsia="Times New Roman" w:hAnsi="Times New Roman" w:cs="Times New Roman"/>
          <w:sz w:val="24"/>
          <w:szCs w:val="24"/>
          <w:lang w:val="sq-AL"/>
        </w:rPr>
        <w:t xml:space="preserve"> te priorite</w:t>
      </w:r>
      <w:r w:rsidR="0027757E" w:rsidRPr="00227F4B">
        <w:rPr>
          <w:rFonts w:ascii="Times New Roman" w:eastAsia="Times New Roman" w:hAnsi="Times New Roman" w:cs="Times New Roman"/>
          <w:sz w:val="24"/>
          <w:szCs w:val="24"/>
          <w:lang w:val="sq-AL"/>
        </w:rPr>
        <w:t>t</w:t>
      </w:r>
      <w:r w:rsidR="00090CF3" w:rsidRPr="00227F4B">
        <w:rPr>
          <w:rFonts w:ascii="Times New Roman" w:eastAsia="Times New Roman" w:hAnsi="Times New Roman" w:cs="Times New Roman"/>
          <w:sz w:val="24"/>
          <w:szCs w:val="24"/>
          <w:lang w:val="sq-AL"/>
        </w:rPr>
        <w:t>i nr. 3 p</w:t>
      </w:r>
      <w:r w:rsidRPr="00227F4B">
        <w:rPr>
          <w:rFonts w:ascii="Times New Roman" w:eastAsia="Times New Roman" w:hAnsi="Times New Roman" w:cs="Times New Roman"/>
          <w:sz w:val="24"/>
          <w:szCs w:val="24"/>
          <w:lang w:val="sq-AL"/>
        </w:rPr>
        <w:t>ë</w:t>
      </w:r>
      <w:r w:rsidR="00090CF3" w:rsidRPr="00227F4B">
        <w:rPr>
          <w:rFonts w:ascii="Times New Roman" w:eastAsia="Times New Roman" w:hAnsi="Times New Roman" w:cs="Times New Roman"/>
          <w:sz w:val="24"/>
          <w:szCs w:val="24"/>
          <w:lang w:val="sq-AL"/>
        </w:rPr>
        <w:t>r komponentin</w:t>
      </w:r>
      <w:r w:rsidR="0027757E" w:rsidRPr="00227F4B">
        <w:rPr>
          <w:rFonts w:ascii="Times New Roman" w:eastAsia="Times New Roman" w:hAnsi="Times New Roman" w:cs="Times New Roman"/>
          <w:sz w:val="24"/>
          <w:szCs w:val="24"/>
          <w:lang w:val="sq-AL"/>
        </w:rPr>
        <w:t xml:space="preserve"> 2.3 si vijon: </w:t>
      </w:r>
      <w:r w:rsidR="0027757E" w:rsidRPr="00227F4B">
        <w:rPr>
          <w:rFonts w:ascii="Times New Roman" w:eastAsia="Times New Roman" w:hAnsi="Times New Roman" w:cs="Times New Roman"/>
          <w:i/>
          <w:sz w:val="24"/>
          <w:szCs w:val="24"/>
          <w:lang w:val="sq-AL"/>
        </w:rPr>
        <w:t>Përpunimi dhe vënia në funksion e Listës Unike të Projekteve me Rëndësi Kombëtare, si dhe forcimi i rolit të MF-së si gatekeeper, duke përfshirë krijimin e praktikave të shëndosha për identifikimin, përgatitjen, vlerësimin objektiv të projekteve në raport me objektivat strategjikë, rishikimin e pavarur të tyre dhe përzgjedhjen e projekteve të investimeve publike</w:t>
      </w:r>
      <w:r w:rsidR="0027757E" w:rsidRPr="00227F4B">
        <w:rPr>
          <w:rFonts w:ascii="Times New Roman" w:eastAsia="Times New Roman" w:hAnsi="Times New Roman" w:cs="Times New Roman"/>
          <w:sz w:val="24"/>
          <w:szCs w:val="24"/>
          <w:lang w:val="sq-AL"/>
        </w:rPr>
        <w:t>.</w:t>
      </w:r>
      <w:r w:rsidR="00090CF3" w:rsidRPr="00227F4B">
        <w:rPr>
          <w:rFonts w:ascii="Times New Roman" w:eastAsia="Times New Roman" w:hAnsi="Times New Roman" w:cs="Times New Roman"/>
          <w:sz w:val="24"/>
          <w:szCs w:val="24"/>
          <w:lang w:val="sq-AL"/>
        </w:rPr>
        <w:t xml:space="preserve"> Lidhur me k</w:t>
      </w:r>
      <w:r w:rsidRPr="00227F4B">
        <w:rPr>
          <w:rFonts w:ascii="Times New Roman" w:eastAsia="Times New Roman" w:hAnsi="Times New Roman" w:cs="Times New Roman"/>
          <w:sz w:val="24"/>
          <w:szCs w:val="24"/>
          <w:lang w:val="sq-AL"/>
        </w:rPr>
        <w:t>ë</w:t>
      </w:r>
      <w:r w:rsidR="00090CF3" w:rsidRPr="00227F4B">
        <w:rPr>
          <w:rFonts w:ascii="Times New Roman" w:eastAsia="Times New Roman" w:hAnsi="Times New Roman" w:cs="Times New Roman"/>
          <w:sz w:val="24"/>
          <w:szCs w:val="24"/>
          <w:lang w:val="sq-AL"/>
        </w:rPr>
        <w:t>t</w:t>
      </w:r>
      <w:r w:rsidRPr="00227F4B">
        <w:rPr>
          <w:rFonts w:ascii="Times New Roman" w:eastAsia="Times New Roman" w:hAnsi="Times New Roman" w:cs="Times New Roman"/>
          <w:sz w:val="24"/>
          <w:szCs w:val="24"/>
          <w:lang w:val="sq-AL"/>
        </w:rPr>
        <w:t>ë</w:t>
      </w:r>
      <w:r w:rsidR="00090CF3" w:rsidRPr="00227F4B">
        <w:rPr>
          <w:rFonts w:ascii="Times New Roman" w:eastAsia="Times New Roman" w:hAnsi="Times New Roman" w:cs="Times New Roman"/>
          <w:sz w:val="24"/>
          <w:szCs w:val="24"/>
          <w:lang w:val="sq-AL"/>
        </w:rPr>
        <w:t xml:space="preserve"> prioritet, </w:t>
      </w:r>
      <w:r w:rsidRPr="00227F4B">
        <w:rPr>
          <w:rFonts w:ascii="Times New Roman" w:eastAsia="Times New Roman" w:hAnsi="Times New Roman" w:cs="Times New Roman"/>
          <w:b/>
          <w:sz w:val="24"/>
          <w:szCs w:val="24"/>
          <w:lang w:val="sq-AL"/>
        </w:rPr>
        <w:t>ë</w:t>
      </w:r>
      <w:r w:rsidR="00090CF3" w:rsidRPr="00227F4B">
        <w:rPr>
          <w:rFonts w:ascii="Times New Roman" w:eastAsia="Times New Roman" w:hAnsi="Times New Roman" w:cs="Times New Roman"/>
          <w:b/>
          <w:sz w:val="24"/>
          <w:szCs w:val="24"/>
          <w:lang w:val="sq-AL"/>
        </w:rPr>
        <w:t>sht</w:t>
      </w:r>
      <w:r w:rsidRPr="00227F4B">
        <w:rPr>
          <w:rFonts w:ascii="Times New Roman" w:eastAsia="Times New Roman" w:hAnsi="Times New Roman" w:cs="Times New Roman"/>
          <w:b/>
          <w:sz w:val="24"/>
          <w:szCs w:val="24"/>
          <w:lang w:val="sq-AL"/>
        </w:rPr>
        <w:t>ë</w:t>
      </w:r>
      <w:r w:rsidR="00090CF3" w:rsidRPr="00227F4B">
        <w:rPr>
          <w:rFonts w:ascii="Times New Roman" w:eastAsia="Times New Roman" w:hAnsi="Times New Roman" w:cs="Times New Roman"/>
          <w:b/>
          <w:sz w:val="24"/>
          <w:szCs w:val="24"/>
          <w:lang w:val="sq-AL"/>
        </w:rPr>
        <w:t xml:space="preserve"> p</w:t>
      </w:r>
      <w:r w:rsidRPr="00227F4B">
        <w:rPr>
          <w:rFonts w:ascii="Times New Roman" w:eastAsia="Times New Roman" w:hAnsi="Times New Roman" w:cs="Times New Roman"/>
          <w:b/>
          <w:sz w:val="24"/>
          <w:szCs w:val="24"/>
          <w:lang w:val="sq-AL"/>
        </w:rPr>
        <w:t>ë</w:t>
      </w:r>
      <w:r w:rsidR="00090CF3" w:rsidRPr="00227F4B">
        <w:rPr>
          <w:rFonts w:ascii="Times New Roman" w:eastAsia="Times New Roman" w:hAnsi="Times New Roman" w:cs="Times New Roman"/>
          <w:b/>
          <w:sz w:val="24"/>
          <w:szCs w:val="24"/>
          <w:lang w:val="sq-AL"/>
        </w:rPr>
        <w:t>rcjell</w:t>
      </w:r>
      <w:r w:rsidRPr="00227F4B">
        <w:rPr>
          <w:rFonts w:ascii="Times New Roman" w:eastAsia="Times New Roman" w:hAnsi="Times New Roman" w:cs="Times New Roman"/>
          <w:b/>
          <w:sz w:val="24"/>
          <w:szCs w:val="24"/>
          <w:lang w:val="sq-AL"/>
        </w:rPr>
        <w:t>ë</w:t>
      </w:r>
      <w:r w:rsidR="00090CF3" w:rsidRPr="00227F4B">
        <w:rPr>
          <w:rFonts w:ascii="Times New Roman" w:eastAsia="Times New Roman" w:hAnsi="Times New Roman" w:cs="Times New Roman"/>
          <w:b/>
          <w:sz w:val="24"/>
          <w:szCs w:val="24"/>
          <w:lang w:val="sq-AL"/>
        </w:rPr>
        <w:t xml:space="preserve"> nga SASPAC sugjerimi si </w:t>
      </w:r>
      <w:r w:rsidR="00090CF3" w:rsidRPr="00227F4B">
        <w:rPr>
          <w:rFonts w:ascii="Times New Roman" w:eastAsia="Times New Roman" w:hAnsi="Times New Roman" w:cs="Times New Roman"/>
          <w:b/>
          <w:sz w:val="24"/>
          <w:szCs w:val="24"/>
          <w:lang w:val="sq-AL"/>
        </w:rPr>
        <w:lastRenderedPageBreak/>
        <w:t>vijon</w:t>
      </w:r>
      <w:r w:rsidR="00090CF3" w:rsidRPr="00227F4B">
        <w:rPr>
          <w:rFonts w:ascii="Times New Roman" w:eastAsia="Times New Roman" w:hAnsi="Times New Roman" w:cs="Times New Roman"/>
          <w:sz w:val="24"/>
          <w:szCs w:val="24"/>
          <w:lang w:val="sq-AL"/>
        </w:rPr>
        <w:t xml:space="preserve">: </w:t>
      </w:r>
      <w:r w:rsidR="00090CF3" w:rsidRPr="00227F4B">
        <w:rPr>
          <w:rFonts w:ascii="Times New Roman" w:eastAsia="Times New Roman" w:hAnsi="Times New Roman" w:cs="Times New Roman"/>
          <w:i/>
          <w:sz w:val="24"/>
          <w:szCs w:val="24"/>
          <w:lang w:val="sq-AL"/>
        </w:rPr>
        <w:t>Sugjerojmë që Ministria e Financave të zhvillojë udhëzim/e për përgatitjen dhe vlerësimin e studimeve të fizibilitetit, për shembull përmbajtjen minimale, normat e skontimit financiar dhe ekonomik që do të përdoren në rastin e analizës së kosto-përfitimit, përdorimin e analizës së kosto-efektivitetit, analiza e pajtueshmërisë me ndihmën shtetërore etj.</w:t>
      </w:r>
    </w:p>
    <w:p w14:paraId="4B39D4E7" w14:textId="34671DBD" w:rsidR="006C5DA2" w:rsidRPr="00227F4B" w:rsidRDefault="006C5DA2"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Jan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reflektimet 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rcjella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footnote sipas kontributit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SASPAC. </w:t>
      </w:r>
    </w:p>
    <w:p w14:paraId="05FD2F4D" w14:textId="213FC26C" w:rsidR="006C5DA2" w:rsidRPr="00227F4B" w:rsidRDefault="006C5DA2"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Lidhur me mas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n 2.3.2,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nga SASPAC ndryshimi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 aktivitetin 2.3.2.1 si vijon: </w:t>
      </w:r>
      <w:r w:rsidRPr="00227F4B">
        <w:rPr>
          <w:rFonts w:ascii="Times New Roman" w:eastAsia="Times New Roman" w:hAnsi="Times New Roman" w:cs="Times New Roman"/>
          <w:i/>
          <w:sz w:val="24"/>
          <w:szCs w:val="24"/>
          <w:lang w:val="sq-AL"/>
        </w:rPr>
        <w:t>Rishikimi i procedurave dhe sistemeve për zhvillimin e një Liste Unike gjithëpërfshirëse të Projekteve me Rëndësi Kombëtare duke përfshirë PPP-të dhe Koncesionet, duke përfshirë udhëzime të hollësishme për përgatitjen dhe vlerësimin e studimeve të fizibilitetit për të mbuluar, ndër të tjera, pajtueshmërinë me rregullat e ndihmës shtetërore.</w:t>
      </w:r>
    </w:p>
    <w:p w14:paraId="6D76D11C" w14:textId="48CC7A45" w:rsidR="006C5DA2" w:rsidRPr="00227F4B" w:rsidRDefault="006C5DA2"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treguesit e performanc</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s dhe vlerat e synuara,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nga SASPAC ndryshim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treguesin e dyt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“Prezantimi i procedurave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rmir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suara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MIP-s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si vijon: Prezantimi i procedurave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rmir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suara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MIP-s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rfshir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mekanizmat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rkat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vendimmarrjes. Vlera e synuar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 vitin 2024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ndryshuar nga “Zbatimi i procedurave</w:t>
      </w:r>
      <w:r w:rsidR="008D7404"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 xml:space="preserve"> MIP-s</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 n</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rmir</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simi dhe zbatimi i procedurave t</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 xml:space="preserve"> MIP-s</w:t>
      </w:r>
      <w:r w:rsidR="000B35AF" w:rsidRPr="00227F4B">
        <w:rPr>
          <w:rFonts w:ascii="Times New Roman" w:eastAsia="Times New Roman" w:hAnsi="Times New Roman" w:cs="Times New Roman"/>
          <w:sz w:val="24"/>
          <w:szCs w:val="24"/>
          <w:lang w:val="sq-AL"/>
        </w:rPr>
        <w:t>ë</w:t>
      </w:r>
      <w:r w:rsidR="008D7404" w:rsidRPr="00227F4B">
        <w:rPr>
          <w:rFonts w:ascii="Times New Roman" w:eastAsia="Times New Roman" w:hAnsi="Times New Roman" w:cs="Times New Roman"/>
          <w:sz w:val="24"/>
          <w:szCs w:val="24"/>
          <w:lang w:val="sq-AL"/>
        </w:rPr>
        <w:t xml:space="preserve">). </w:t>
      </w:r>
    </w:p>
    <w:p w14:paraId="50890773" w14:textId="783F0694" w:rsidR="006C5DA2" w:rsidRPr="00227F4B" w:rsidRDefault="006C5DA2" w:rsidP="00227F4B">
      <w:pPr>
        <w:pStyle w:val="ListParagraph"/>
        <w:tabs>
          <w:tab w:val="left" w:pos="0"/>
        </w:tabs>
        <w:spacing w:after="0"/>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Ky ndryshim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pranuar pas konfirmimit nga Drejtoria e Menaxhimit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Investimeve Publike. </w:t>
      </w:r>
    </w:p>
    <w:p w14:paraId="0CEF17F8" w14:textId="0EB9F132" w:rsidR="00FE637A" w:rsidRPr="00227F4B" w:rsidRDefault="00FE637A"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shtylla 4 “Kontabiliteti dhe Menaxhimi i Zbatimit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Buxhetit”,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mas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n 4.2.4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rgatitja, ofrimi dhe institucionalizimi i zhvillimit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kapaciteteve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kontabilist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absorbuar reformat e kontabilitetit”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nga SASPAC komenti si vijon: Sugjerojmë të shtohet si masë “ Mbështetja e zhvillimit të kuadrit ligjor dhe rregullator për opsionet e kostos së thjeshtuar përmes përcaktimeve të kostos (kostot direkte/indirekte) dhe udhëzimeve për riklasifikimin e buxheteve sipas produktit/shërbimit”. </w:t>
      </w:r>
    </w:p>
    <w:p w14:paraId="0CF30C91" w14:textId="124E8C8F" w:rsidR="00FE637A" w:rsidRPr="00227F4B" w:rsidRDefault="00FE637A" w:rsidP="00227F4B">
      <w:pPr>
        <w:pStyle w:val="ListParagraph"/>
        <w:tabs>
          <w:tab w:val="left" w:pos="0"/>
        </w:tabs>
        <w:spacing w:after="0"/>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Ky koment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reflektuar pasi pas diskutimit me 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rgjegj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se, kjo mas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nuk lidhet me aktivitetet e nd</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rmarra.</w:t>
      </w:r>
    </w:p>
    <w:p w14:paraId="33C1D0E4" w14:textId="50E94A5D" w:rsidR="00CD338C" w:rsidRPr="00227F4B" w:rsidRDefault="00CD338C"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konteksti i komponentit 5.4 “Menaxhimi i fondeve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BE-s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lidhur </w:t>
      </w:r>
      <w:r w:rsidR="007061C3" w:rsidRPr="00227F4B">
        <w:rPr>
          <w:rFonts w:ascii="Times New Roman" w:eastAsia="Times New Roman" w:hAnsi="Times New Roman" w:cs="Times New Roman"/>
          <w:sz w:val="24"/>
          <w:szCs w:val="24"/>
          <w:lang w:val="sq-AL"/>
        </w:rPr>
        <w:t>me fjalin</w:t>
      </w:r>
      <w:r w:rsidR="000B35AF"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w:t>
      </w:r>
      <w:r w:rsidR="007061C3" w:rsidRPr="00227F4B">
        <w:rPr>
          <w:rFonts w:ascii="Times New Roman" w:eastAsia="Times New Roman" w:hAnsi="Times New Roman" w:cs="Times New Roman"/>
          <w:i/>
          <w:sz w:val="24"/>
          <w:szCs w:val="24"/>
          <w:lang w:val="sq-AL"/>
        </w:rPr>
        <w:t>Qeveria shqiptare synon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kryej</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nj</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vler</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sim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implikimit q</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menaxhimi i p</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rbashk</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t i financimit do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ket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n</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kuadrin ligjor, burimet njer</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zore dhe sistemin e menaxhimit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informacionit p</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r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vler</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suar gatishm</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rin</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p</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r 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p</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rdorur k</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t</w:t>
      </w:r>
      <w:r w:rsidR="000B35AF" w:rsidRPr="00227F4B">
        <w:rPr>
          <w:rFonts w:ascii="Times New Roman" w:eastAsia="Times New Roman" w:hAnsi="Times New Roman" w:cs="Times New Roman"/>
          <w:i/>
          <w:sz w:val="24"/>
          <w:szCs w:val="24"/>
          <w:lang w:val="sq-AL"/>
        </w:rPr>
        <w:t>ë</w:t>
      </w:r>
      <w:r w:rsidR="007061C3" w:rsidRPr="00227F4B">
        <w:rPr>
          <w:rFonts w:ascii="Times New Roman" w:eastAsia="Times New Roman" w:hAnsi="Times New Roman" w:cs="Times New Roman"/>
          <w:i/>
          <w:sz w:val="24"/>
          <w:szCs w:val="24"/>
          <w:lang w:val="sq-AL"/>
        </w:rPr>
        <w:t xml:space="preserve"> modalitet financimi</w:t>
      </w:r>
      <w:r w:rsidR="007061C3"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b/>
          <w:sz w:val="24"/>
          <w:szCs w:val="24"/>
          <w:lang w:val="sq-AL"/>
        </w:rPr>
        <w:t>ë</w:t>
      </w:r>
      <w:r w:rsidR="007061C3" w:rsidRPr="00227F4B">
        <w:rPr>
          <w:rFonts w:ascii="Times New Roman" w:eastAsia="Times New Roman" w:hAnsi="Times New Roman" w:cs="Times New Roman"/>
          <w:b/>
          <w:sz w:val="24"/>
          <w:szCs w:val="24"/>
          <w:lang w:val="sq-AL"/>
        </w:rPr>
        <w:t>sht</w:t>
      </w:r>
      <w:r w:rsidR="000B35AF" w:rsidRPr="00227F4B">
        <w:rPr>
          <w:rFonts w:ascii="Times New Roman" w:eastAsia="Times New Roman" w:hAnsi="Times New Roman" w:cs="Times New Roman"/>
          <w:b/>
          <w:sz w:val="24"/>
          <w:szCs w:val="24"/>
          <w:lang w:val="sq-AL"/>
        </w:rPr>
        <w:t>ë</w:t>
      </w:r>
      <w:r w:rsidR="007061C3" w:rsidRPr="00227F4B">
        <w:rPr>
          <w:rFonts w:ascii="Times New Roman" w:eastAsia="Times New Roman" w:hAnsi="Times New Roman" w:cs="Times New Roman"/>
          <w:b/>
          <w:sz w:val="24"/>
          <w:szCs w:val="24"/>
          <w:lang w:val="sq-AL"/>
        </w:rPr>
        <w:t xml:space="preserve"> p</w:t>
      </w:r>
      <w:r w:rsidR="000B35AF" w:rsidRPr="00227F4B">
        <w:rPr>
          <w:rFonts w:ascii="Times New Roman" w:eastAsia="Times New Roman" w:hAnsi="Times New Roman" w:cs="Times New Roman"/>
          <w:b/>
          <w:sz w:val="24"/>
          <w:szCs w:val="24"/>
          <w:lang w:val="sq-AL"/>
        </w:rPr>
        <w:t>ë</w:t>
      </w:r>
      <w:r w:rsidR="007061C3" w:rsidRPr="00227F4B">
        <w:rPr>
          <w:rFonts w:ascii="Times New Roman" w:eastAsia="Times New Roman" w:hAnsi="Times New Roman" w:cs="Times New Roman"/>
          <w:b/>
          <w:sz w:val="24"/>
          <w:szCs w:val="24"/>
          <w:lang w:val="sq-AL"/>
        </w:rPr>
        <w:t>rcjell</w:t>
      </w:r>
      <w:r w:rsidR="000B35AF" w:rsidRPr="00227F4B">
        <w:rPr>
          <w:rFonts w:ascii="Times New Roman" w:eastAsia="Times New Roman" w:hAnsi="Times New Roman" w:cs="Times New Roman"/>
          <w:b/>
          <w:sz w:val="24"/>
          <w:szCs w:val="24"/>
          <w:lang w:val="sq-AL"/>
        </w:rPr>
        <w:t>ë</w:t>
      </w:r>
      <w:r w:rsidR="007061C3" w:rsidRPr="00227F4B">
        <w:rPr>
          <w:rFonts w:ascii="Times New Roman" w:eastAsia="Times New Roman" w:hAnsi="Times New Roman" w:cs="Times New Roman"/>
          <w:b/>
          <w:sz w:val="24"/>
          <w:szCs w:val="24"/>
          <w:lang w:val="sq-AL"/>
        </w:rPr>
        <w:t xml:space="preserve"> nga SASPAC komenti si vijon: </w:t>
      </w:r>
      <w:r w:rsidR="007061C3" w:rsidRPr="00227F4B">
        <w:rPr>
          <w:rFonts w:ascii="Times New Roman" w:eastAsia="Times New Roman" w:hAnsi="Times New Roman" w:cs="Times New Roman"/>
          <w:sz w:val="24"/>
          <w:szCs w:val="24"/>
          <w:lang w:val="sq-AL"/>
        </w:rPr>
        <w:t>Sugjerojm</w:t>
      </w:r>
      <w:r w:rsidR="000B35AF"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hiqet: Sipas IPA III, menaxhimi i përbashkët vlen vetëm për programet e bashkëpunimit ndërkufitar me shtetet anëtare të BE-së - në këtë rast nuk ka dallime në lidhje me IPA II nga këndvështrimi i Shqipërisë.</w:t>
      </w:r>
      <w:r w:rsidRPr="00227F4B">
        <w:rPr>
          <w:rFonts w:ascii="Times New Roman" w:eastAsia="Times New Roman" w:hAnsi="Times New Roman" w:cs="Times New Roman"/>
          <w:sz w:val="24"/>
          <w:szCs w:val="24"/>
          <w:lang w:val="sq-AL"/>
        </w:rPr>
        <w:t xml:space="preserve"> </w:t>
      </w:r>
    </w:p>
    <w:p w14:paraId="1FCC7FCD" w14:textId="73AFAA04" w:rsidR="007061C3" w:rsidRPr="00227F4B" w:rsidRDefault="007061C3" w:rsidP="00227F4B">
      <w:pPr>
        <w:pStyle w:val="ListParagraph"/>
        <w:tabs>
          <w:tab w:val="left" w:pos="0"/>
        </w:tabs>
        <w:spacing w:after="0"/>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Komenti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reflektuar edhe pas komunikimit me CFCU. </w:t>
      </w:r>
    </w:p>
    <w:p w14:paraId="66CFB8ED" w14:textId="045E7DA1" w:rsidR="007061C3" w:rsidRPr="00227F4B" w:rsidRDefault="000B35AF"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fshir</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prioriteti num</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 2 “P</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rgatitja p</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 p</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rthithjen e fondeve 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ardhshme 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BE-s</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duke identifikuar alternativat e menaxhimit dhe duke i b</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sistemet e menaxhimit 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fondeve 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p</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rshtatshme p</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r q</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llimin”. Kjo nuk </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reflektuar n</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strategjin</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e MFP-s</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duke qen</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 xml:space="preserve"> se ky prioritet lidhet me mas</w:t>
      </w:r>
      <w:r w:rsidRPr="00227F4B">
        <w:rPr>
          <w:rFonts w:ascii="Times New Roman" w:eastAsia="Times New Roman" w:hAnsi="Times New Roman" w:cs="Times New Roman"/>
          <w:sz w:val="24"/>
          <w:szCs w:val="24"/>
          <w:lang w:val="sq-AL"/>
        </w:rPr>
        <w:t>ë</w:t>
      </w:r>
      <w:r w:rsidR="007061C3" w:rsidRPr="00227F4B">
        <w:rPr>
          <w:rFonts w:ascii="Times New Roman" w:eastAsia="Times New Roman" w:hAnsi="Times New Roman" w:cs="Times New Roman"/>
          <w:sz w:val="24"/>
          <w:szCs w:val="24"/>
          <w:lang w:val="sq-AL"/>
        </w:rPr>
        <w:t>n 5.4.4 “</w:t>
      </w:r>
      <w:r w:rsidR="003E3EE6" w:rsidRPr="00227F4B">
        <w:rPr>
          <w:rFonts w:ascii="Times New Roman" w:eastAsia="Times New Roman" w:hAnsi="Times New Roman" w:cs="Times New Roman"/>
          <w:sz w:val="24"/>
          <w:szCs w:val="24"/>
          <w:lang w:val="sq-AL"/>
        </w:rPr>
        <w:t xml:space="preserve">Marrja parasysh e kërkesave të ardhshme për menaxhimin e fondeve të BE-së pas anëtarësimit dhe zhvillimi i një plani veprimi, në kuadër të kapitullit </w:t>
      </w:r>
      <w:r w:rsidR="003E3EE6" w:rsidRPr="00227F4B">
        <w:rPr>
          <w:rFonts w:ascii="Times New Roman" w:eastAsia="Times New Roman" w:hAnsi="Times New Roman" w:cs="Times New Roman"/>
          <w:sz w:val="24"/>
          <w:szCs w:val="24"/>
          <w:lang w:val="sq-AL"/>
        </w:rPr>
        <w:lastRenderedPageBreak/>
        <w:t>22, i cili do të përcaktojë nevojat për përmirësimin e kuadrit ligjor të menaxhimit të fondeve</w:t>
      </w:r>
      <w:r w:rsidR="007061C3" w:rsidRPr="00227F4B">
        <w:rPr>
          <w:rFonts w:ascii="Times New Roman" w:eastAsia="Times New Roman" w:hAnsi="Times New Roman" w:cs="Times New Roman"/>
          <w:sz w:val="24"/>
          <w:szCs w:val="24"/>
          <w:lang w:val="sq-AL"/>
        </w:rPr>
        <w:t>”.</w:t>
      </w:r>
    </w:p>
    <w:p w14:paraId="62DF3A98" w14:textId="26E74AAE" w:rsidR="003E3EE6" w:rsidRPr="00227F4B" w:rsidRDefault="000B35AF"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reflektuar ndryshimi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em</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rtimin e mas</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 5.4.4 sipas komentit 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b</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te seksioni i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rmbledhjes ekzekutive.</w:t>
      </w:r>
    </w:p>
    <w:p w14:paraId="56E2888C" w14:textId="22FB4463" w:rsidR="003E3EE6" w:rsidRPr="00227F4B" w:rsidRDefault="000B35AF"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reflektuar komenti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shtimin e mas</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 5.4.5 “Zhvillimi i opsioneve 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thjeshtuara 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kostos (SCO)”;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shtimin e aktivitetit 5.4.5.1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rcaktimi i rregullave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zhvillimin dhe zbatimin e opsioneve 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kostos s</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thjeshtuar, duke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rfshir</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legjislacionin, SCO-t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standarde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sektor</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veçant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etj”; afati i fillimit T2 2024; afati i mbarimit T4 2025; nj</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sit</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 xml:space="preserve">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rgjegj</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se-SASPAC (lider) dhe partner</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t – CFCU, autoritetet Menaxhuese p</w:t>
      </w:r>
      <w:r w:rsidRPr="00227F4B">
        <w:rPr>
          <w:rFonts w:ascii="Times New Roman" w:eastAsia="Times New Roman" w:hAnsi="Times New Roman" w:cs="Times New Roman"/>
          <w:sz w:val="24"/>
          <w:szCs w:val="24"/>
          <w:lang w:val="sq-AL"/>
        </w:rPr>
        <w:t>ë</w:t>
      </w:r>
      <w:r w:rsidR="003E3EE6" w:rsidRPr="00227F4B">
        <w:rPr>
          <w:rFonts w:ascii="Times New Roman" w:eastAsia="Times New Roman" w:hAnsi="Times New Roman" w:cs="Times New Roman"/>
          <w:sz w:val="24"/>
          <w:szCs w:val="24"/>
          <w:lang w:val="sq-AL"/>
        </w:rPr>
        <w:t>r Programet Operative IPA III.</w:t>
      </w:r>
    </w:p>
    <w:p w14:paraId="78221F6B" w14:textId="73E81484" w:rsidR="003E3EE6" w:rsidRPr="00227F4B" w:rsidRDefault="003E3EE6"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treguesin e performanc</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w:t>
      </w:r>
      <w:r w:rsidR="006D5D21" w:rsidRPr="00227F4B">
        <w:rPr>
          <w:rFonts w:ascii="Times New Roman" w:eastAsia="Times New Roman" w:hAnsi="Times New Roman" w:cs="Times New Roman"/>
          <w:sz w:val="24"/>
          <w:szCs w:val="24"/>
          <w:lang w:val="sq-AL"/>
        </w:rPr>
        <w:t xml:space="preserve"> “Prezantohet Udh</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zuesi p</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r p</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rshtatjen dhe rikuperimin (UPR) t</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 xml:space="preserve"> fondeve t</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 xml:space="preserve"> BE-s</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006D5D21" w:rsidRPr="00227F4B">
        <w:rPr>
          <w:rFonts w:ascii="Times New Roman" w:eastAsia="Times New Roman" w:hAnsi="Times New Roman" w:cs="Times New Roman"/>
          <w:sz w:val="24"/>
          <w:szCs w:val="24"/>
          <w:lang w:val="sq-AL"/>
        </w:rPr>
        <w:t xml:space="preserve"> nga SASPAC komenti si vijon: </w:t>
      </w:r>
      <w:r w:rsidR="006D5D21" w:rsidRPr="00227F4B">
        <w:rPr>
          <w:rFonts w:ascii="Times New Roman" w:eastAsia="Times New Roman" w:hAnsi="Times New Roman" w:cs="Times New Roman"/>
          <w:i/>
          <w:sz w:val="24"/>
          <w:szCs w:val="24"/>
          <w:lang w:val="sq-AL"/>
        </w:rPr>
        <w:t>Sugjerojm</w:t>
      </w:r>
      <w:r w:rsidR="000B35AF" w:rsidRPr="00227F4B">
        <w:rPr>
          <w:rFonts w:ascii="Times New Roman" w:eastAsia="Times New Roman" w:hAnsi="Times New Roman" w:cs="Times New Roman"/>
          <w:i/>
          <w:sz w:val="24"/>
          <w:szCs w:val="24"/>
          <w:lang w:val="sq-AL"/>
        </w:rPr>
        <w:t>ë</w:t>
      </w:r>
      <w:r w:rsidR="006D5D21" w:rsidRPr="00227F4B">
        <w:rPr>
          <w:rFonts w:ascii="Times New Roman" w:eastAsia="Times New Roman" w:hAnsi="Times New Roman" w:cs="Times New Roman"/>
          <w:i/>
          <w:sz w:val="24"/>
          <w:szCs w:val="24"/>
          <w:lang w:val="sq-AL"/>
        </w:rPr>
        <w:t>, n</w:t>
      </w:r>
      <w:r w:rsidR="000B35AF" w:rsidRPr="00227F4B">
        <w:rPr>
          <w:rFonts w:ascii="Times New Roman" w:eastAsia="Times New Roman" w:hAnsi="Times New Roman" w:cs="Times New Roman"/>
          <w:i/>
          <w:sz w:val="24"/>
          <w:szCs w:val="24"/>
          <w:lang w:val="sq-AL"/>
        </w:rPr>
        <w:t>ë</w:t>
      </w:r>
      <w:r w:rsidR="006D5D21" w:rsidRPr="00227F4B">
        <w:rPr>
          <w:rFonts w:ascii="Times New Roman" w:eastAsia="Times New Roman" w:hAnsi="Times New Roman" w:cs="Times New Roman"/>
          <w:i/>
          <w:sz w:val="24"/>
          <w:szCs w:val="24"/>
          <w:lang w:val="sq-AL"/>
        </w:rPr>
        <w:t xml:space="preserve"> lidhje me masën 5.4.3 q</w:t>
      </w:r>
      <w:r w:rsidR="000B35AF" w:rsidRPr="00227F4B">
        <w:rPr>
          <w:rFonts w:ascii="Times New Roman" w:eastAsia="Times New Roman" w:hAnsi="Times New Roman" w:cs="Times New Roman"/>
          <w:i/>
          <w:sz w:val="24"/>
          <w:szCs w:val="24"/>
          <w:lang w:val="sq-AL"/>
        </w:rPr>
        <w:t>ë</w:t>
      </w:r>
      <w:r w:rsidR="006D5D21" w:rsidRPr="00227F4B">
        <w:rPr>
          <w:rFonts w:ascii="Times New Roman" w:eastAsia="Times New Roman" w:hAnsi="Times New Roman" w:cs="Times New Roman"/>
          <w:i/>
          <w:sz w:val="24"/>
          <w:szCs w:val="24"/>
          <w:lang w:val="sq-AL"/>
        </w:rPr>
        <w:t xml:space="preserve"> përfshin metodologjinë për korrigjimet financiare. Për të ofruar siguri ligjore për korrigjimet financiare PARA ADERIMIT (IPA) një udhëzues nuk duket i mjaftueshëm – ndoshta duhet të jetë një vendim i Këshillit të Ministrave. Pas anëtarësimit, rregullat e vendosura nga Komisioni dhe udhëzimet përkatëse për Shtetet Anëtare të BE-së do të hyjnë në fuqi.</w:t>
      </w:r>
      <w:r w:rsidRPr="00227F4B">
        <w:rPr>
          <w:rFonts w:ascii="Times New Roman" w:eastAsia="Times New Roman" w:hAnsi="Times New Roman" w:cs="Times New Roman"/>
          <w:sz w:val="24"/>
          <w:szCs w:val="24"/>
          <w:lang w:val="sq-AL"/>
        </w:rPr>
        <w:t xml:space="preserve"> </w:t>
      </w:r>
    </w:p>
    <w:p w14:paraId="3BC2B404" w14:textId="5D3DA727" w:rsidR="006D5D21" w:rsidRPr="00227F4B" w:rsidRDefault="006D5D21" w:rsidP="00227F4B">
      <w:pPr>
        <w:pStyle w:val="ListParagraph"/>
        <w:tabs>
          <w:tab w:val="left" w:pos="0"/>
        </w:tabs>
        <w:spacing w:after="0"/>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Pas komunikimit me CFCU, lidhur me komentin e SASPAC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komenti nga nj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sia si vijon: Udh</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zuesi ka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q</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llim vler</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simin dhe identifikimin e hapave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rregullimet financiare dhe rikuperimet ndaj s</w:t>
      </w:r>
      <w:r w:rsidR="007211CD" w:rsidRPr="00227F4B">
        <w:rPr>
          <w:rFonts w:ascii="Times New Roman" w:eastAsia="Times New Roman" w:hAnsi="Times New Roman" w:cs="Times New Roman"/>
          <w:sz w:val="24"/>
          <w:szCs w:val="24"/>
          <w:lang w:val="sq-AL"/>
        </w:rPr>
        <w:t>’</w:t>
      </w:r>
      <w:r w:rsidRPr="00227F4B">
        <w:rPr>
          <w:rFonts w:ascii="Times New Roman" w:eastAsia="Times New Roman" w:hAnsi="Times New Roman" w:cs="Times New Roman"/>
          <w:sz w:val="24"/>
          <w:szCs w:val="24"/>
          <w:lang w:val="sq-AL"/>
        </w:rPr>
        <w:t>mund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7211CD" w:rsidRPr="00227F4B">
        <w:rPr>
          <w:rFonts w:ascii="Times New Roman" w:eastAsia="Times New Roman" w:hAnsi="Times New Roman" w:cs="Times New Roman"/>
          <w:sz w:val="24"/>
          <w:szCs w:val="24"/>
          <w:lang w:val="sq-AL"/>
        </w:rPr>
        <w:t>p</w:t>
      </w:r>
      <w:r w:rsidR="000B35AF" w:rsidRPr="00227F4B">
        <w:rPr>
          <w:rFonts w:ascii="Times New Roman" w:eastAsia="Times New Roman" w:hAnsi="Times New Roman" w:cs="Times New Roman"/>
          <w:sz w:val="24"/>
          <w:szCs w:val="24"/>
          <w:lang w:val="sq-AL"/>
        </w:rPr>
        <w:t>ë</w:t>
      </w:r>
      <w:r w:rsidR="007211CD" w:rsidRPr="00227F4B">
        <w:rPr>
          <w:rFonts w:ascii="Times New Roman" w:eastAsia="Times New Roman" w:hAnsi="Times New Roman" w:cs="Times New Roman"/>
          <w:sz w:val="24"/>
          <w:szCs w:val="24"/>
          <w:lang w:val="sq-AL"/>
        </w:rPr>
        <w:t>rcaktojm</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moment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se do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jet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i nevojsh</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m  vendim </w:t>
      </w:r>
      <w:r w:rsidR="007211CD" w:rsidRPr="00227F4B">
        <w:rPr>
          <w:rFonts w:ascii="Times New Roman" w:eastAsia="Times New Roman" w:hAnsi="Times New Roman" w:cs="Times New Roman"/>
          <w:sz w:val="24"/>
          <w:szCs w:val="24"/>
          <w:lang w:val="sq-AL"/>
        </w:rPr>
        <w:t>i</w:t>
      </w:r>
      <w:r w:rsidRPr="00227F4B">
        <w:rPr>
          <w:rFonts w:ascii="Times New Roman" w:eastAsia="Times New Roman" w:hAnsi="Times New Roman" w:cs="Times New Roman"/>
          <w:sz w:val="24"/>
          <w:szCs w:val="24"/>
          <w:lang w:val="sq-AL"/>
        </w:rPr>
        <w:t xml:space="preserve"> K</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shillit të Ministrave</w:t>
      </w:r>
      <w:r w:rsidR="007211CD" w:rsidRPr="00227F4B">
        <w:rPr>
          <w:rFonts w:ascii="Times New Roman" w:eastAsia="Times New Roman" w:hAnsi="Times New Roman" w:cs="Times New Roman"/>
          <w:sz w:val="24"/>
          <w:szCs w:val="24"/>
          <w:lang w:val="sq-AL"/>
        </w:rPr>
        <w:t>.</w:t>
      </w:r>
    </w:p>
    <w:p w14:paraId="0B7E9BA0" w14:textId="465A057B" w:rsidR="007211CD" w:rsidRPr="00227F4B" w:rsidRDefault="007211CD"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komponenti 6.1 “Auditimi i Jasht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m”,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objektivin e komponentit “Synimi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r vitin 2030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sigurohet q</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funksioni i Kontrollit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Lart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funksionoj</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nga SASPAC komenti si vijon: Sugjerojme: Ky afat duhet të caktohet deri në fund të vitit 2026 ose më së voni 2027. Arsyeja për këtë është se strategjia e zhvillimit të KLSH-së mbulon periudhën 2023-2027 (jo deri në vitin 2030) dhe, për më tepër, prioritetet në kontekstin e strategjisë së MFP-së nuk shtrihen përtej vitit 2026.</w:t>
      </w:r>
    </w:p>
    <w:p w14:paraId="330168B3" w14:textId="24B27E2E" w:rsidR="007211CD" w:rsidRPr="00227F4B" w:rsidRDefault="007211CD" w:rsidP="00227F4B">
      <w:pPr>
        <w:pStyle w:val="ListParagraph"/>
        <w:tabs>
          <w:tab w:val="left" w:pos="0"/>
        </w:tabs>
        <w:spacing w:after="0"/>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Ky koment nuk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pranuar. </w:t>
      </w:r>
      <w:r w:rsidR="005D6F68" w:rsidRPr="00227F4B">
        <w:rPr>
          <w:rFonts w:ascii="Times New Roman" w:eastAsia="Times New Roman" w:hAnsi="Times New Roman" w:cs="Times New Roman"/>
          <w:sz w:val="24"/>
          <w:szCs w:val="24"/>
          <w:lang w:val="sq-AL"/>
        </w:rPr>
        <w:t>Strategjia e MFP-s</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rcakton q</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llimin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r secil</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n nga shtyllat deri n</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 vitin 2030 dhe plani i veprimit </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rcaktuar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r periudh</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n 2023-2026. Afati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r objektivin e komponentit </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 dakord</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suar me nj</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sin</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rgjegj</w:t>
      </w:r>
      <w:r w:rsidR="000B35AF" w:rsidRPr="00227F4B">
        <w:rPr>
          <w:rFonts w:ascii="Times New Roman" w:eastAsia="Times New Roman" w:hAnsi="Times New Roman" w:cs="Times New Roman"/>
          <w:sz w:val="24"/>
          <w:szCs w:val="24"/>
          <w:lang w:val="sq-AL"/>
        </w:rPr>
        <w:t>ë</w:t>
      </w:r>
      <w:r w:rsidR="005D6F68" w:rsidRPr="00227F4B">
        <w:rPr>
          <w:rFonts w:ascii="Times New Roman" w:eastAsia="Times New Roman" w:hAnsi="Times New Roman" w:cs="Times New Roman"/>
          <w:sz w:val="24"/>
          <w:szCs w:val="24"/>
          <w:lang w:val="sq-AL"/>
        </w:rPr>
        <w:t xml:space="preserve">se. </w:t>
      </w:r>
    </w:p>
    <w:p w14:paraId="3BA4F9AA" w14:textId="3D98D9A9" w:rsidR="005D6F68" w:rsidRPr="00227F4B" w:rsidRDefault="005D6F68" w:rsidP="00227F4B">
      <w:pPr>
        <w:pStyle w:val="ListParagraph"/>
        <w:numPr>
          <w:ilvl w:val="0"/>
          <w:numId w:val="29"/>
        </w:numPr>
        <w:tabs>
          <w:tab w:val="left" w:pos="0"/>
        </w:tabs>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Te seksioni “Kuadri institucional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monitorimin dhe raportimin”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lidhje me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rb</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rjen e kuadrit institucional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 menaxhimin e reformave 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MFP-s</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p</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rcjell</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w:t>
      </w:r>
      <w:r w:rsidR="007915E1" w:rsidRPr="00227F4B">
        <w:rPr>
          <w:rFonts w:ascii="Times New Roman" w:eastAsia="Times New Roman" w:hAnsi="Times New Roman" w:cs="Times New Roman"/>
          <w:sz w:val="24"/>
          <w:szCs w:val="24"/>
          <w:lang w:val="sq-AL"/>
        </w:rPr>
        <w:t>komenti nga SASPAC si vijon:</w:t>
      </w:r>
      <w:r w:rsidR="007915E1" w:rsidRPr="00227F4B">
        <w:rPr>
          <w:rFonts w:ascii="Times New Roman" w:eastAsia="Times New Roman" w:hAnsi="Times New Roman" w:cs="Times New Roman"/>
          <w:i/>
          <w:sz w:val="24"/>
          <w:szCs w:val="24"/>
          <w:lang w:val="sq-AL"/>
        </w:rPr>
        <w:t xml:space="preserve"> Sugjerojmë që monitorimi dhe raportimi mbi zbatimin e strategjisë duhet të bëhet në kuadër të IPMG-së përkatëse. Prandaj, komitetet drejtuese dhe teknike duhet t'i raportojnë progresin strukturës përkatëse të IPMG-së dhe të diskutojnë raportet dhe masat e mëtejshme me të.</w:t>
      </w:r>
    </w:p>
    <w:p w14:paraId="7F2A94B8" w14:textId="01E5D193" w:rsidR="007915E1" w:rsidRPr="00227F4B" w:rsidRDefault="007915E1" w:rsidP="00227F4B">
      <w:pPr>
        <w:ind w:left="108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 xml:space="preserve">Ky koment </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sht</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reflektuar n</w:t>
      </w:r>
      <w:r w:rsidR="000B35AF" w:rsidRPr="00227F4B">
        <w:rPr>
          <w:rFonts w:ascii="Times New Roman" w:eastAsia="Times New Roman" w:hAnsi="Times New Roman" w:cs="Times New Roman"/>
          <w:sz w:val="24"/>
          <w:szCs w:val="24"/>
          <w:lang w:val="sq-AL"/>
        </w:rPr>
        <w:t>ë</w:t>
      </w:r>
      <w:r w:rsidRPr="00227F4B">
        <w:rPr>
          <w:rFonts w:ascii="Times New Roman" w:eastAsia="Times New Roman" w:hAnsi="Times New Roman" w:cs="Times New Roman"/>
          <w:sz w:val="24"/>
          <w:szCs w:val="24"/>
          <w:lang w:val="sq-AL"/>
        </w:rPr>
        <w:t xml:space="preserve"> strategji si vijon: Kuadri institucional për menaxhimin e reformave të MFP-së Brenda MF-së përbëhet nga një komitet drejtues, një komitet teknik dhe drejtoria për reformën e MFP. Komiteti </w:t>
      </w:r>
      <w:r w:rsidRPr="00227F4B">
        <w:rPr>
          <w:rFonts w:ascii="Times New Roman" w:eastAsia="Times New Roman" w:hAnsi="Times New Roman" w:cs="Times New Roman"/>
          <w:sz w:val="24"/>
          <w:szCs w:val="24"/>
          <w:lang w:val="sq-AL"/>
        </w:rPr>
        <w:lastRenderedPageBreak/>
        <w:t xml:space="preserve">Drejtues i MFP-së është pjesë e GMIP 1 “Demokracia, Sundimi i Ligjit dhe Qeverisja e Mirë”. </w:t>
      </w:r>
    </w:p>
    <w:p w14:paraId="7B8B4711" w14:textId="74821A66" w:rsidR="007915E1" w:rsidRPr="00227F4B" w:rsidRDefault="000B35AF" w:rsidP="00227F4B">
      <w:pPr>
        <w:pStyle w:val="ListParagraph"/>
        <w:numPr>
          <w:ilvl w:val="0"/>
          <w:numId w:val="29"/>
        </w:numPr>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propozuar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shtohet si an</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tar i Komitetit Drejtues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MFP-s</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Drejtori i P</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rgjithsh</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m i SASPAC. Ky koment </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reflektuar.</w:t>
      </w:r>
    </w:p>
    <w:p w14:paraId="19145B52" w14:textId="4C6A34F9" w:rsidR="007915E1" w:rsidRPr="00227F4B" w:rsidRDefault="000B35AF" w:rsidP="00227F4B">
      <w:pPr>
        <w:pStyle w:val="ListParagraph"/>
        <w:numPr>
          <w:ilvl w:val="0"/>
          <w:numId w:val="29"/>
        </w:numPr>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propozuar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shtohet Agjencia e Auditimit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Fondeve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BE-s</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n</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shtojc</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n 1 “Pal</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t e interesuara p</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r reform</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n e MFP” te Zyra e Kryeministrit. Gjithashtu </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propozuar q</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ATRAKO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kaloj</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n</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var</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si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MEKI. Komenti </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reflektuar. Komenti p</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r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kaluar APP-n</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n</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var</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si 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KM </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reflektuar. </w:t>
      </w:r>
    </w:p>
    <w:p w14:paraId="2B9C4B38" w14:textId="7DFF5019" w:rsidR="007915E1" w:rsidRDefault="000B35AF" w:rsidP="00227F4B">
      <w:pPr>
        <w:pStyle w:val="ListParagraph"/>
        <w:numPr>
          <w:ilvl w:val="0"/>
          <w:numId w:val="29"/>
        </w:numPr>
        <w:spacing w:after="0"/>
        <w:jc w:val="both"/>
        <w:rPr>
          <w:rFonts w:ascii="Times New Roman" w:eastAsia="Times New Roman" w:hAnsi="Times New Roman" w:cs="Times New Roman"/>
          <w:sz w:val="24"/>
          <w:szCs w:val="24"/>
          <w:lang w:val="sq-AL"/>
        </w:rPr>
      </w:pP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sht</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 xml:space="preserve"> shtuar te partner</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t p</w:t>
      </w:r>
      <w:r w:rsidRPr="00227F4B">
        <w:rPr>
          <w:rFonts w:ascii="Times New Roman" w:eastAsia="Times New Roman" w:hAnsi="Times New Roman" w:cs="Times New Roman"/>
          <w:sz w:val="24"/>
          <w:szCs w:val="24"/>
          <w:lang w:val="sq-AL"/>
        </w:rPr>
        <w:t>ë</w:t>
      </w:r>
      <w:r w:rsidR="007915E1" w:rsidRPr="00227F4B">
        <w:rPr>
          <w:rFonts w:ascii="Times New Roman" w:eastAsia="Times New Roman" w:hAnsi="Times New Roman" w:cs="Times New Roman"/>
          <w:sz w:val="24"/>
          <w:szCs w:val="24"/>
          <w:lang w:val="sq-AL"/>
        </w:rPr>
        <w:t>r zhvillim dhe UN (United Nations).</w:t>
      </w:r>
    </w:p>
    <w:p w14:paraId="4B56DE5E" w14:textId="77777777" w:rsidR="00705AD4" w:rsidRDefault="00705AD4" w:rsidP="00705AD4">
      <w:pPr>
        <w:spacing w:after="0"/>
        <w:jc w:val="both"/>
        <w:rPr>
          <w:rFonts w:ascii="Times New Roman" w:eastAsia="Times New Roman" w:hAnsi="Times New Roman" w:cs="Times New Roman"/>
          <w:sz w:val="24"/>
          <w:szCs w:val="24"/>
          <w:lang w:val="sq-AL"/>
        </w:rPr>
      </w:pPr>
    </w:p>
    <w:p w14:paraId="59E40598" w14:textId="3A91AE8E" w:rsidR="00031EBE" w:rsidRDefault="00705AD4" w:rsidP="00705AD4">
      <w:pPr>
        <w:tabs>
          <w:tab w:val="left" w:pos="0"/>
        </w:tabs>
        <w:spacing w:after="0"/>
        <w:jc w:val="both"/>
        <w:rPr>
          <w:rFonts w:ascii="Times New Roman" w:eastAsia="Times New Roman" w:hAnsi="Times New Roman" w:cs="Times New Roman"/>
          <w:sz w:val="24"/>
          <w:szCs w:val="24"/>
          <w:lang w:val="sq-AL"/>
        </w:rPr>
      </w:pPr>
      <w:r w:rsidRPr="00705AD4">
        <w:rPr>
          <w:rFonts w:ascii="Times New Roman" w:eastAsia="Times New Roman" w:hAnsi="Times New Roman" w:cs="Times New Roman"/>
          <w:b/>
          <w:sz w:val="24"/>
          <w:szCs w:val="24"/>
          <w:lang w:val="sq-AL"/>
        </w:rPr>
        <w:t>Ministri i Shtetit për Marrëdhëniet me Parlamentin</w:t>
      </w:r>
      <w:r>
        <w:rPr>
          <w:rFonts w:ascii="Times New Roman" w:eastAsia="Times New Roman" w:hAnsi="Times New Roman" w:cs="Times New Roman"/>
          <w:b/>
          <w:sz w:val="24"/>
          <w:szCs w:val="24"/>
          <w:lang w:val="sq-AL"/>
        </w:rPr>
        <w:t xml:space="preserve"> (MSHMP) </w:t>
      </w:r>
      <w:r w:rsidRPr="00227F4B">
        <w:rPr>
          <w:rFonts w:ascii="Times New Roman" w:eastAsia="Times New Roman" w:hAnsi="Times New Roman" w:cs="Times New Roman"/>
          <w:sz w:val="24"/>
          <w:szCs w:val="24"/>
          <w:lang w:val="sq-AL"/>
        </w:rPr>
        <w:t xml:space="preserve">nëpërmjet shkresës nr. </w:t>
      </w:r>
      <w:r>
        <w:rPr>
          <w:rFonts w:ascii="Times New Roman" w:eastAsia="Times New Roman" w:hAnsi="Times New Roman" w:cs="Times New Roman"/>
          <w:sz w:val="24"/>
          <w:szCs w:val="24"/>
          <w:lang w:val="sq-AL"/>
        </w:rPr>
        <w:t>1598</w:t>
      </w:r>
      <w:r w:rsidRPr="00227F4B">
        <w:rPr>
          <w:rFonts w:ascii="Times New Roman" w:eastAsia="Times New Roman" w:hAnsi="Times New Roman" w:cs="Times New Roman"/>
          <w:sz w:val="24"/>
          <w:szCs w:val="24"/>
          <w:lang w:val="sq-AL"/>
        </w:rPr>
        <w:t xml:space="preserve"> Prot, datë </w:t>
      </w:r>
      <w:r>
        <w:rPr>
          <w:rFonts w:ascii="Times New Roman" w:eastAsia="Times New Roman" w:hAnsi="Times New Roman" w:cs="Times New Roman"/>
          <w:sz w:val="24"/>
          <w:szCs w:val="24"/>
          <w:lang w:val="sq-AL"/>
        </w:rPr>
        <w:t>19</w:t>
      </w:r>
      <w:r w:rsidRPr="00227F4B">
        <w:rPr>
          <w:rFonts w:ascii="Times New Roman" w:eastAsia="Times New Roman" w:hAnsi="Times New Roman" w:cs="Times New Roman"/>
          <w:sz w:val="24"/>
          <w:szCs w:val="24"/>
          <w:lang w:val="sq-AL"/>
        </w:rPr>
        <w:t>.03.2024 është shprehur parimisht dakord</w:t>
      </w:r>
      <w:r>
        <w:rPr>
          <w:rFonts w:ascii="Times New Roman" w:eastAsia="Times New Roman" w:hAnsi="Times New Roman" w:cs="Times New Roman"/>
          <w:sz w:val="24"/>
          <w:szCs w:val="24"/>
          <w:lang w:val="sq-AL"/>
        </w:rPr>
        <w:t>, por mbetet në pritje të vlerësimit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sugjerimit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rcjell</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nga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rfaq</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suesi i MSHMP</w:t>
      </w:r>
      <w:r w:rsidR="00B212DD">
        <w:rPr>
          <w:rFonts w:ascii="Times New Roman" w:eastAsia="Times New Roman" w:hAnsi="Times New Roman" w:cs="Times New Roman"/>
          <w:sz w:val="24"/>
          <w:szCs w:val="24"/>
          <w:lang w:val="sq-AL"/>
        </w:rPr>
        <w:t>-së</w:t>
      </w:r>
      <w:r>
        <w:rPr>
          <w:rFonts w:ascii="Times New Roman" w:eastAsia="Times New Roman" w:hAnsi="Times New Roman" w:cs="Times New Roman"/>
          <w:sz w:val="24"/>
          <w:szCs w:val="24"/>
          <w:lang w:val="sq-AL"/>
        </w:rPr>
        <w:t xml:space="preserve"> si an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tar i grupit nd</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rinstitucional </w:t>
      </w:r>
      <w:r w:rsidR="00031EBE">
        <w:rPr>
          <w:rFonts w:ascii="Times New Roman" w:eastAsia="Times New Roman" w:hAnsi="Times New Roman" w:cs="Times New Roman"/>
          <w:sz w:val="24"/>
          <w:szCs w:val="24"/>
          <w:lang w:val="sq-AL"/>
        </w:rPr>
        <w:t>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pun</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s sipas pik</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s 4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Urdhrit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Kryeministrit nr.195 dat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8.11.2023 “P</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r hartimin e</w:t>
      </w:r>
      <w:r w:rsidRPr="00227F4B">
        <w:rPr>
          <w:rFonts w:ascii="Times New Roman" w:eastAsia="Times New Roman" w:hAnsi="Times New Roman" w:cs="Times New Roman"/>
          <w:sz w:val="24"/>
          <w:szCs w:val="24"/>
          <w:lang w:val="sq-AL"/>
        </w:rPr>
        <w:t xml:space="preserve"> </w:t>
      </w:r>
      <w:r w:rsidR="00031EBE">
        <w:rPr>
          <w:rFonts w:ascii="Times New Roman" w:eastAsia="Times New Roman" w:hAnsi="Times New Roman" w:cs="Times New Roman"/>
          <w:sz w:val="24"/>
          <w:szCs w:val="24"/>
          <w:lang w:val="sq-AL"/>
        </w:rPr>
        <w:t>Strategjis</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sektoriale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Menaxhimit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Financave Publike 2023-2030 dhe planit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veprimit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saj”, d</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rguar elektronikisht. Ky sugjerim lidhet me parashikimin e paraqitur n</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k</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dokument mbi rolin mbik</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qyr</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s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Kuvendit, n</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se p</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rmbush nevojat dhe detyrat q</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kan</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t</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b</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jn</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 me mbik</w:t>
      </w:r>
      <w:r w:rsidR="00F7628B">
        <w:rPr>
          <w:rFonts w:ascii="Times New Roman" w:eastAsia="Times New Roman" w:hAnsi="Times New Roman" w:cs="Times New Roman"/>
          <w:sz w:val="24"/>
          <w:szCs w:val="24"/>
          <w:lang w:val="sq-AL"/>
        </w:rPr>
        <w:t>ë</w:t>
      </w:r>
      <w:r w:rsidR="00031EBE">
        <w:rPr>
          <w:rFonts w:ascii="Times New Roman" w:eastAsia="Times New Roman" w:hAnsi="Times New Roman" w:cs="Times New Roman"/>
          <w:sz w:val="24"/>
          <w:szCs w:val="24"/>
          <w:lang w:val="sq-AL"/>
        </w:rPr>
        <w:t xml:space="preserve">qyrjen parlamentare. </w:t>
      </w:r>
    </w:p>
    <w:p w14:paraId="5491F5E8" w14:textId="415BF571" w:rsidR="00031EBE" w:rsidRDefault="00031EBE" w:rsidP="00705AD4">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komunikimin elektronik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dat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08.03.2024, an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tarja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rfaq</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suese e MSHMP-s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grupin nd</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rinstitucional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pun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hartimin e Strategjis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sektoriale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MFP-s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dhe planit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veprimit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saj”, shprehet se njihet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her</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par</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me dokumentin e strategjis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MFP-s</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to kushte, parashikimi i b</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dokument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rolin mbik</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qyr</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t</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Kuvendit, duhet vler</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suar 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se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rmbush nevojat dhe detyrat lidhur me mbik</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qyrjen parlamentare. </w:t>
      </w:r>
    </w:p>
    <w:p w14:paraId="254C6656" w14:textId="77777777" w:rsidR="00F7628B" w:rsidRDefault="00031EBE" w:rsidP="00705AD4">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Lidhur me komentin e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rcjell</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nga MSHMP-ja, sqarojm</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se masat e p</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rfshira n</w:t>
      </w:r>
      <w:r w:rsidR="00F7628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n komponentin </w:t>
      </w:r>
      <w:r w:rsidR="00F7628B">
        <w:rPr>
          <w:rFonts w:ascii="Times New Roman" w:eastAsia="Times New Roman" w:hAnsi="Times New Roman" w:cs="Times New Roman"/>
          <w:sz w:val="24"/>
          <w:szCs w:val="24"/>
          <w:lang w:val="sq-AL"/>
        </w:rPr>
        <w:t xml:space="preserve">“Mbikëqyrja Parlamentare” janë diskutuar në takimet e zhvilluara me kryetarin e Komisionit Parlamentar për Ekonominë dhe Financat dhe anëtarë të tjerë të Komisionit. Komisioni Parlamentar për Ekonominë dhe Financat është njësia përgjegjëse për këto masa dhe aktivitete të përfshira në Strategjinë e MFP-së. Por, megjithatë, jemi ende në pritje të përcjelljes së konfirmimit zyrtar nga Komisioni. </w:t>
      </w:r>
    </w:p>
    <w:p w14:paraId="236A47E8" w14:textId="01E25209" w:rsidR="00705AD4" w:rsidRPr="00227F4B" w:rsidRDefault="00F7628B" w:rsidP="00705AD4">
      <w:pPr>
        <w:tabs>
          <w:tab w:val="left" w:pos="0"/>
        </w:tabs>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lidhje me ndarjen e m</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parshme 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dokumentit 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strategjis</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MFP-s</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sqarojm</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se dokumenti </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ndar</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konfirmim elektronikisht si fillim me nj</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sit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kontribuese dhe m</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pas </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ndar</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006434A7">
        <w:rPr>
          <w:rFonts w:ascii="Times New Roman" w:eastAsia="Times New Roman" w:hAnsi="Times New Roman" w:cs="Times New Roman"/>
          <w:sz w:val="24"/>
          <w:szCs w:val="24"/>
          <w:lang w:val="sq-AL"/>
        </w:rPr>
        <w:t xml:space="preserve">me institucionet e tjera </w:t>
      </w:r>
      <w:r>
        <w:rPr>
          <w:rFonts w:ascii="Times New Roman" w:eastAsia="Times New Roman" w:hAnsi="Times New Roman" w:cs="Times New Roman"/>
          <w:sz w:val="24"/>
          <w:szCs w:val="24"/>
          <w:lang w:val="sq-AL"/>
        </w:rPr>
        <w:t>p</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mendim dhe konfirmim me an</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shkres</w:t>
      </w:r>
      <w:r w:rsidR="00E360A5">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s </w:t>
      </w:r>
      <w:r w:rsidR="00E360A5">
        <w:rPr>
          <w:rFonts w:ascii="Times New Roman" w:eastAsia="Times New Roman" w:hAnsi="Times New Roman" w:cs="Times New Roman"/>
          <w:sz w:val="24"/>
          <w:szCs w:val="24"/>
          <w:lang w:val="sq-AL"/>
        </w:rPr>
        <w:t>Nr. 2285 Prot., datë 23.02.2024, me lëndë “Kërkesë për mendim/konfirmim të dokumentit të Strategjisë së Menaxhimit të Financave Publike 2023-2030.</w:t>
      </w:r>
      <w:r w:rsidR="00031EBE">
        <w:rPr>
          <w:rFonts w:ascii="Times New Roman" w:eastAsia="Times New Roman" w:hAnsi="Times New Roman" w:cs="Times New Roman"/>
          <w:sz w:val="24"/>
          <w:szCs w:val="24"/>
          <w:lang w:val="sq-AL"/>
        </w:rPr>
        <w:t xml:space="preserve"> </w:t>
      </w:r>
    </w:p>
    <w:p w14:paraId="4C8C330D" w14:textId="77777777" w:rsidR="00427182" w:rsidRPr="00227F4B" w:rsidRDefault="00427182" w:rsidP="00227F4B">
      <w:pPr>
        <w:tabs>
          <w:tab w:val="left" w:pos="0"/>
        </w:tabs>
        <w:spacing w:after="0"/>
        <w:jc w:val="both"/>
        <w:rPr>
          <w:rFonts w:ascii="Times New Roman" w:hAnsi="Times New Roman" w:cs="Times New Roman"/>
          <w:sz w:val="24"/>
          <w:szCs w:val="24"/>
          <w:lang w:val="sq-AL"/>
        </w:rPr>
      </w:pPr>
    </w:p>
    <w:p w14:paraId="57592684" w14:textId="2805292C" w:rsidR="000B35AF" w:rsidRPr="00154D8C" w:rsidRDefault="000743D7" w:rsidP="00227F4B">
      <w:pPr>
        <w:tabs>
          <w:tab w:val="left" w:pos="0"/>
        </w:tabs>
        <w:spacing w:after="0"/>
        <w:jc w:val="both"/>
        <w:rPr>
          <w:rFonts w:ascii="Times New Roman" w:hAnsi="Times New Roman" w:cs="Times New Roman"/>
          <w:sz w:val="24"/>
          <w:szCs w:val="24"/>
          <w:lang w:val="sq-AL"/>
        </w:rPr>
      </w:pPr>
      <w:r w:rsidRPr="00227F4B">
        <w:rPr>
          <w:rFonts w:ascii="Times New Roman" w:hAnsi="Times New Roman" w:cs="Times New Roman"/>
          <w:sz w:val="24"/>
          <w:szCs w:val="24"/>
          <w:lang w:val="sq-AL"/>
        </w:rPr>
        <w:t xml:space="preserve">Nuk kanë përcjellë mendim Ministria e Mbrojtjes, Ministria e Bujqësisë dhe Zhvillimit Rural, Ministri i Shtetit për Sipërmarrjen dhe Klimën e Biznesit, </w:t>
      </w:r>
      <w:r w:rsidR="005D0EED" w:rsidRPr="00227F4B">
        <w:rPr>
          <w:rFonts w:ascii="Times New Roman" w:hAnsi="Times New Roman" w:cs="Times New Roman"/>
          <w:sz w:val="24"/>
          <w:szCs w:val="24"/>
          <w:lang w:val="sq-AL"/>
        </w:rPr>
        <w:t>Ministri i Shtetit për Pushtetin Vendor, Komisioni Parlamentar për Ekonominë dhe Financat, Agjencia e Trajtimit të Koncesioneve dhe Komisioni i Prokurimit Publik.</w:t>
      </w:r>
    </w:p>
    <w:p w14:paraId="22396178" w14:textId="77777777" w:rsidR="00427182" w:rsidRDefault="00427182" w:rsidP="00427182">
      <w:pPr>
        <w:tabs>
          <w:tab w:val="left" w:pos="0"/>
        </w:tabs>
        <w:spacing w:after="0" w:line="240" w:lineRule="auto"/>
        <w:jc w:val="both"/>
        <w:rPr>
          <w:rFonts w:ascii="Times New Roman" w:hAnsi="Times New Roman" w:cs="Times New Roman"/>
          <w:sz w:val="24"/>
          <w:szCs w:val="24"/>
          <w:lang w:val="sq-AL"/>
        </w:rPr>
      </w:pPr>
    </w:p>
    <w:p w14:paraId="5ED10C88" w14:textId="77777777" w:rsidR="00B212DD" w:rsidRDefault="00B212DD" w:rsidP="00427182">
      <w:pPr>
        <w:tabs>
          <w:tab w:val="left" w:pos="0"/>
        </w:tabs>
        <w:spacing w:after="0" w:line="240" w:lineRule="auto"/>
        <w:jc w:val="both"/>
        <w:rPr>
          <w:rFonts w:ascii="Times New Roman" w:hAnsi="Times New Roman" w:cs="Times New Roman"/>
          <w:sz w:val="24"/>
          <w:szCs w:val="24"/>
          <w:lang w:val="sq-AL"/>
        </w:rPr>
      </w:pPr>
    </w:p>
    <w:p w14:paraId="14DAA6C2" w14:textId="77777777" w:rsidR="00B212DD" w:rsidRPr="00154D8C" w:rsidRDefault="00B212DD" w:rsidP="00427182">
      <w:pPr>
        <w:tabs>
          <w:tab w:val="left" w:pos="0"/>
        </w:tabs>
        <w:spacing w:after="0" w:line="240" w:lineRule="auto"/>
        <w:jc w:val="both"/>
        <w:rPr>
          <w:rFonts w:ascii="Times New Roman" w:hAnsi="Times New Roman" w:cs="Times New Roman"/>
          <w:sz w:val="24"/>
          <w:szCs w:val="24"/>
          <w:lang w:val="sq-AL"/>
        </w:rPr>
      </w:pPr>
    </w:p>
    <w:p w14:paraId="6ECC07E8" w14:textId="3616FFA3" w:rsidR="001515B5" w:rsidRPr="00154D8C" w:rsidRDefault="00623333" w:rsidP="00154D8C">
      <w:pPr>
        <w:pStyle w:val="ListParagraph"/>
        <w:numPr>
          <w:ilvl w:val="0"/>
          <w:numId w:val="1"/>
        </w:numPr>
        <w:spacing w:after="0" w:line="240" w:lineRule="auto"/>
        <w:ind w:left="540" w:hanging="450"/>
        <w:contextualSpacing w:val="0"/>
        <w:jc w:val="both"/>
        <w:rPr>
          <w:rFonts w:ascii="Times New Roman" w:eastAsia="Times New Roman" w:hAnsi="Times New Roman" w:cs="Times New Roman"/>
          <w:b/>
          <w:sz w:val="24"/>
          <w:szCs w:val="24"/>
          <w:lang w:val="sq-AL"/>
        </w:rPr>
      </w:pPr>
      <w:r w:rsidRPr="00154D8C">
        <w:rPr>
          <w:rFonts w:ascii="Times New Roman" w:eastAsia="Times New Roman" w:hAnsi="Times New Roman" w:cs="Times New Roman"/>
          <w:b/>
          <w:sz w:val="24"/>
          <w:szCs w:val="24"/>
          <w:lang w:val="sq-AL"/>
        </w:rPr>
        <w:lastRenderedPageBreak/>
        <w:t>RAPORTI I VLERËSIMIT TË TË ARDHURAVE DHE SHPENZIMEVE BUXHETORE</w:t>
      </w:r>
    </w:p>
    <w:p w14:paraId="5A2EDC28" w14:textId="68255394" w:rsidR="005A74FE" w:rsidRDefault="005A74FE" w:rsidP="00427182">
      <w:pPr>
        <w:spacing w:after="0" w:line="240" w:lineRule="auto"/>
        <w:ind w:right="432"/>
        <w:jc w:val="both"/>
        <w:rPr>
          <w:rFonts w:ascii="Times New Roman" w:hAnsi="Times New Roman" w:cs="Times New Roman"/>
          <w:sz w:val="24"/>
          <w:szCs w:val="24"/>
          <w:lang w:val="sq-AL"/>
        </w:rPr>
      </w:pPr>
    </w:p>
    <w:p w14:paraId="6EFC4FD0" w14:textId="51436F21" w:rsidR="00FE764A" w:rsidRPr="00154D8C" w:rsidRDefault="00FE764A" w:rsidP="00227F4B">
      <w:pPr>
        <w:tabs>
          <w:tab w:val="left" w:pos="0"/>
        </w:tabs>
        <w:spacing w:after="0"/>
        <w:jc w:val="both"/>
        <w:rPr>
          <w:rFonts w:ascii="Times New Roman" w:hAnsi="Times New Roman" w:cs="Times New Roman"/>
          <w:sz w:val="24"/>
          <w:szCs w:val="24"/>
          <w:lang w:val="sq-AL"/>
        </w:rPr>
      </w:pPr>
      <w:r w:rsidRPr="00154D8C">
        <w:rPr>
          <w:rFonts w:ascii="Times New Roman" w:hAnsi="Times New Roman" w:cs="Times New Roman"/>
          <w:sz w:val="24"/>
          <w:szCs w:val="24"/>
          <w:lang w:val="sq-AL"/>
        </w:rPr>
        <w:t>Financimi do të bëhet nga Buxheti i Shtetit sipas Buxhetit Vjetor 2023 dhe parashikimeve buxhetore afatmesme në PBA 2024-2026, për Ministrinë e Financave në Programin Buxhetor 01120 “Menaxhimi i Shpenzimeve Publike”</w:t>
      </w:r>
      <w:r w:rsidR="0059572F" w:rsidRPr="00154D8C">
        <w:rPr>
          <w:rFonts w:ascii="Times New Roman" w:hAnsi="Times New Roman" w:cs="Times New Roman"/>
          <w:sz w:val="24"/>
          <w:szCs w:val="24"/>
          <w:lang w:val="sq-AL"/>
        </w:rPr>
        <w:t xml:space="preserve"> dhe 01110 “Planifikimi, Menaxhimi, Administrimi”</w:t>
      </w:r>
      <w:r w:rsidRPr="00154D8C">
        <w:rPr>
          <w:rFonts w:ascii="Times New Roman" w:hAnsi="Times New Roman" w:cs="Times New Roman"/>
          <w:sz w:val="24"/>
          <w:szCs w:val="24"/>
          <w:lang w:val="sq-AL"/>
        </w:rPr>
        <w:t xml:space="preserve">, në Programin Buxhetor 01140 “Menaxhimi i të Ardhurave Tatimore” dhe në Programin Buxhetor 01150 “Menaxhimi i të Ardhurave Doganore”, për Agjencinë Shtetërore </w:t>
      </w:r>
      <w:r w:rsidR="0059572F" w:rsidRPr="00154D8C">
        <w:rPr>
          <w:rFonts w:ascii="Times New Roman" w:hAnsi="Times New Roman" w:cs="Times New Roman"/>
          <w:sz w:val="24"/>
          <w:szCs w:val="24"/>
          <w:lang w:val="sq-AL"/>
        </w:rPr>
        <w:t>të Programimit Strategjik dhe Koordinimit të Ndihmës në Programin Buxhetor 01150 “Shërbime të tjera”, për Agjencinë e Prokurimit Publik në Programin Buxhetor 01130 “Sh</w:t>
      </w:r>
      <w:r w:rsidR="00293B62">
        <w:rPr>
          <w:rFonts w:ascii="Times New Roman" w:hAnsi="Times New Roman" w:cs="Times New Roman"/>
          <w:sz w:val="24"/>
          <w:szCs w:val="24"/>
          <w:lang w:val="sq-AL"/>
        </w:rPr>
        <w:t>ë</w:t>
      </w:r>
      <w:r w:rsidR="0059572F" w:rsidRPr="00154D8C">
        <w:rPr>
          <w:rFonts w:ascii="Times New Roman" w:hAnsi="Times New Roman" w:cs="Times New Roman"/>
          <w:sz w:val="24"/>
          <w:szCs w:val="24"/>
          <w:lang w:val="sq-AL"/>
        </w:rPr>
        <w:t>rbimi i Prokurimit Publik”, për Institutin e Statistikave në Programin Buxhetor 01320 “Veprimtaria Statistikore”</w:t>
      </w:r>
      <w:r w:rsidR="009E05C8" w:rsidRPr="00154D8C">
        <w:rPr>
          <w:rFonts w:ascii="Times New Roman" w:hAnsi="Times New Roman" w:cs="Times New Roman"/>
          <w:sz w:val="24"/>
          <w:szCs w:val="24"/>
          <w:lang w:val="sq-AL"/>
        </w:rPr>
        <w:t>, për Komisionin e Prokurimit Publik n</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 xml:space="preserve"> Programin Buxhetor 01110 “Planifikimi, Menaxhimi, Administrimi”, p</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r Kontrollin e Lart</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 xml:space="preserve"> t</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 xml:space="preserve"> Shtetit n</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 xml:space="preserve"> Programin Buxhetor 01120 “Aktiviteti Auditues i KLSH-së” dhe për Kuvendin n</w:t>
      </w:r>
      <w:r w:rsidR="00293B62">
        <w:rPr>
          <w:rFonts w:ascii="Times New Roman" w:hAnsi="Times New Roman" w:cs="Times New Roman"/>
          <w:sz w:val="24"/>
          <w:szCs w:val="24"/>
          <w:lang w:val="sq-AL"/>
        </w:rPr>
        <w:t>ë</w:t>
      </w:r>
      <w:r w:rsidR="009E05C8" w:rsidRPr="00154D8C">
        <w:rPr>
          <w:rFonts w:ascii="Times New Roman" w:hAnsi="Times New Roman" w:cs="Times New Roman"/>
          <w:sz w:val="24"/>
          <w:szCs w:val="24"/>
          <w:lang w:val="sq-AL"/>
        </w:rPr>
        <w:t xml:space="preserve"> Programin Buxhetor 01110 “Planifikimi, Menaxhimi, Administrimi”. </w:t>
      </w:r>
      <w:r w:rsidR="0059572F" w:rsidRPr="00154D8C">
        <w:rPr>
          <w:rFonts w:ascii="Times New Roman" w:hAnsi="Times New Roman" w:cs="Times New Roman"/>
          <w:sz w:val="24"/>
          <w:szCs w:val="24"/>
          <w:lang w:val="sq-AL"/>
        </w:rPr>
        <w:t xml:space="preserve"> </w:t>
      </w:r>
    </w:p>
    <w:sectPr w:rsidR="00FE764A" w:rsidRPr="00154D8C" w:rsidSect="005A193E">
      <w:footerReference w:type="default" r:id="rId8"/>
      <w:pgSz w:w="11907" w:h="16839"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B6463" w14:textId="77777777" w:rsidR="00D71CCD" w:rsidRDefault="00D71CCD" w:rsidP="00041C71">
      <w:pPr>
        <w:spacing w:after="0" w:line="240" w:lineRule="auto"/>
      </w:pPr>
      <w:r>
        <w:separator/>
      </w:r>
    </w:p>
  </w:endnote>
  <w:endnote w:type="continuationSeparator" w:id="0">
    <w:p w14:paraId="3AD241C3" w14:textId="77777777" w:rsidR="00D71CCD" w:rsidRDefault="00D71CCD" w:rsidP="0004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 Sans Light">
    <w:altName w:val="Arial"/>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F0DC9" w14:textId="4B350C00" w:rsidR="000B35AF" w:rsidRPr="005B5FB4" w:rsidRDefault="000B35AF" w:rsidP="005B5FB4">
    <w:pPr>
      <w:pStyle w:val="Footer"/>
      <w:pBdr>
        <w:top w:val="thinThickSmallGap" w:sz="24" w:space="1" w:color="622423"/>
      </w:pBdr>
      <w:jc w:val="both"/>
      <w:rPr>
        <w:rFonts w:ascii="Times New Roman" w:hAnsi="Times New Roman"/>
        <w:lang w:val="sq-AL"/>
      </w:rPr>
    </w:pPr>
    <w:r w:rsidRPr="005575F2">
      <w:rPr>
        <w:rFonts w:ascii="Times New Roman" w:hAnsi="Times New Roman"/>
        <w:lang w:val="sq-AL"/>
      </w:rPr>
      <w:t xml:space="preserve">Relacion </w:t>
    </w:r>
    <w:r>
      <w:rPr>
        <w:rFonts w:ascii="Times New Roman" w:hAnsi="Times New Roman"/>
        <w:lang w:val="sq-AL"/>
      </w:rPr>
      <w:t xml:space="preserve">shoqërues </w:t>
    </w:r>
    <w:r w:rsidRPr="005575F2">
      <w:rPr>
        <w:rFonts w:ascii="Times New Roman" w:hAnsi="Times New Roman"/>
        <w:lang w:val="sq-AL"/>
      </w:rPr>
      <w:t xml:space="preserve">për projektvendimin </w:t>
    </w:r>
    <w:r>
      <w:rPr>
        <w:rFonts w:ascii="Times New Roman" w:hAnsi="Times New Roman"/>
        <w:lang w:val="sq-AL"/>
      </w:rPr>
      <w:t>“</w:t>
    </w:r>
    <w:r w:rsidRPr="00C34B7F">
      <w:rPr>
        <w:rFonts w:ascii="Times New Roman" w:hAnsi="Times New Roman"/>
        <w:lang w:val="sq-AL"/>
      </w:rPr>
      <w:t xml:space="preserve">Për </w:t>
    </w:r>
    <w:r>
      <w:rPr>
        <w:rFonts w:ascii="Times New Roman" w:hAnsi="Times New Roman"/>
        <w:lang w:val="sq-AL"/>
      </w:rPr>
      <w:t>m</w:t>
    </w:r>
    <w:r w:rsidRPr="003F738C">
      <w:rPr>
        <w:rFonts w:ascii="Times New Roman" w:hAnsi="Times New Roman"/>
        <w:lang w:val="sq-AL"/>
      </w:rPr>
      <w:t xml:space="preserve">iratimin e </w:t>
    </w:r>
    <w:r>
      <w:rPr>
        <w:rFonts w:ascii="Times New Roman" w:hAnsi="Times New Roman"/>
        <w:lang w:val="sq-AL"/>
      </w:rPr>
      <w:t>Strategjisë Sektoriale për Menaxhimin e Financave Publike 2023-2030”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EB8D6" w14:textId="77777777" w:rsidR="00D71CCD" w:rsidRDefault="00D71CCD" w:rsidP="00041C71">
      <w:pPr>
        <w:spacing w:after="0" w:line="240" w:lineRule="auto"/>
      </w:pPr>
      <w:r>
        <w:separator/>
      </w:r>
    </w:p>
  </w:footnote>
  <w:footnote w:type="continuationSeparator" w:id="0">
    <w:p w14:paraId="3D5C1AC0" w14:textId="77777777" w:rsidR="00D71CCD" w:rsidRDefault="00D71CCD" w:rsidP="00041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F49"/>
    <w:multiLevelType w:val="hybridMultilevel"/>
    <w:tmpl w:val="63B47168"/>
    <w:lvl w:ilvl="0" w:tplc="670CD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72F54"/>
    <w:multiLevelType w:val="hybridMultilevel"/>
    <w:tmpl w:val="B8FC4E8A"/>
    <w:lvl w:ilvl="0" w:tplc="AFACCD40">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57952"/>
    <w:multiLevelType w:val="hybridMultilevel"/>
    <w:tmpl w:val="06C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2AB34ADE"/>
    <w:multiLevelType w:val="hybridMultilevel"/>
    <w:tmpl w:val="8C481D5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DD15626"/>
    <w:multiLevelType w:val="multilevel"/>
    <w:tmpl w:val="82B246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93A3021"/>
    <w:multiLevelType w:val="hybridMultilevel"/>
    <w:tmpl w:val="3B50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D5D7E"/>
    <w:multiLevelType w:val="hybridMultilevel"/>
    <w:tmpl w:val="07FE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B0269"/>
    <w:multiLevelType w:val="hybridMultilevel"/>
    <w:tmpl w:val="FA2AD2EE"/>
    <w:lvl w:ilvl="0" w:tplc="9E6C29A4">
      <w:start w:val="1"/>
      <w:numFmt w:val="lowerRoman"/>
      <w:lvlText w:val="(%1)"/>
      <w:lvlJc w:val="left"/>
      <w:pPr>
        <w:ind w:left="1080" w:hanging="720"/>
      </w:pPr>
      <w:rPr>
        <w:rFonts w:eastAsia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D5694"/>
    <w:multiLevelType w:val="hybridMultilevel"/>
    <w:tmpl w:val="485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973566"/>
    <w:multiLevelType w:val="hybridMultilevel"/>
    <w:tmpl w:val="8BB2C254"/>
    <w:lvl w:ilvl="0" w:tplc="E73EEA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54F28"/>
    <w:multiLevelType w:val="hybridMultilevel"/>
    <w:tmpl w:val="16CCE03E"/>
    <w:lvl w:ilvl="0" w:tplc="4A4E25F6">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F9358F"/>
    <w:multiLevelType w:val="hybridMultilevel"/>
    <w:tmpl w:val="373C63D2"/>
    <w:lvl w:ilvl="0" w:tplc="55168336">
      <w:start w:val="1"/>
      <w:numFmt w:val="lowerRoman"/>
      <w:lvlText w:val="(%1)"/>
      <w:lvlJc w:val="left"/>
      <w:pPr>
        <w:ind w:left="1080" w:hanging="72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63341024"/>
    <w:multiLevelType w:val="hybridMultilevel"/>
    <w:tmpl w:val="BAB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60507"/>
    <w:multiLevelType w:val="hybridMultilevel"/>
    <w:tmpl w:val="3E08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56C39"/>
    <w:multiLevelType w:val="hybridMultilevel"/>
    <w:tmpl w:val="C352B3AC"/>
    <w:lvl w:ilvl="0" w:tplc="14BCC5C6">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053C7"/>
    <w:multiLevelType w:val="hybridMultilevel"/>
    <w:tmpl w:val="A81CAA2C"/>
    <w:lvl w:ilvl="0" w:tplc="35BE0914">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708B5385"/>
    <w:multiLevelType w:val="hybridMultilevel"/>
    <w:tmpl w:val="D91817E8"/>
    <w:lvl w:ilvl="0" w:tplc="A3685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2022E"/>
    <w:multiLevelType w:val="hybridMultilevel"/>
    <w:tmpl w:val="F5AC6CB6"/>
    <w:lvl w:ilvl="0" w:tplc="01C64C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2"/>
  </w:num>
  <w:num w:numId="5">
    <w:abstractNumId w:val="15"/>
  </w:num>
  <w:num w:numId="6">
    <w:abstractNumId w:val="9"/>
  </w:num>
  <w:num w:numId="7">
    <w:abstractNumId w:val="7"/>
  </w:num>
  <w:num w:numId="8">
    <w:abstractNumId w:val="14"/>
  </w:num>
  <w:num w:numId="9">
    <w:abstractNumId w:val="3"/>
  </w:num>
  <w:num w:numId="10">
    <w:abstractNumId w:val="17"/>
  </w:num>
  <w:num w:numId="11">
    <w:abstractNumId w:val="13"/>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0"/>
  </w:num>
  <w:num w:numId="25">
    <w:abstractNumId w:val="1"/>
  </w:num>
  <w:num w:numId="26">
    <w:abstractNumId w:val="12"/>
  </w:num>
  <w:num w:numId="27">
    <w:abstractNumId w:val="16"/>
  </w:num>
  <w:num w:numId="28">
    <w:abstractNumId w:val="1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C5"/>
    <w:rsid w:val="000030B5"/>
    <w:rsid w:val="00003D3C"/>
    <w:rsid w:val="00004134"/>
    <w:rsid w:val="000059D2"/>
    <w:rsid w:val="00007746"/>
    <w:rsid w:val="00007AED"/>
    <w:rsid w:val="0001692E"/>
    <w:rsid w:val="0001734D"/>
    <w:rsid w:val="00020C66"/>
    <w:rsid w:val="000220C5"/>
    <w:rsid w:val="00025EF8"/>
    <w:rsid w:val="00027E60"/>
    <w:rsid w:val="000306B2"/>
    <w:rsid w:val="000318BA"/>
    <w:rsid w:val="00031EBE"/>
    <w:rsid w:val="00033758"/>
    <w:rsid w:val="000347B0"/>
    <w:rsid w:val="00041C71"/>
    <w:rsid w:val="0004385B"/>
    <w:rsid w:val="000449D7"/>
    <w:rsid w:val="00044D8D"/>
    <w:rsid w:val="0004777F"/>
    <w:rsid w:val="000511E9"/>
    <w:rsid w:val="00054227"/>
    <w:rsid w:val="00054FA2"/>
    <w:rsid w:val="00056A33"/>
    <w:rsid w:val="00057001"/>
    <w:rsid w:val="00062517"/>
    <w:rsid w:val="000628F1"/>
    <w:rsid w:val="000646A7"/>
    <w:rsid w:val="00066D3E"/>
    <w:rsid w:val="000743D7"/>
    <w:rsid w:val="000760E3"/>
    <w:rsid w:val="0007765C"/>
    <w:rsid w:val="00077790"/>
    <w:rsid w:val="000805EA"/>
    <w:rsid w:val="00082728"/>
    <w:rsid w:val="000836EB"/>
    <w:rsid w:val="0008398D"/>
    <w:rsid w:val="00090A9D"/>
    <w:rsid w:val="00090CF3"/>
    <w:rsid w:val="00092B69"/>
    <w:rsid w:val="00096A5D"/>
    <w:rsid w:val="000A2164"/>
    <w:rsid w:val="000A5C86"/>
    <w:rsid w:val="000A5FD5"/>
    <w:rsid w:val="000A69D0"/>
    <w:rsid w:val="000B184F"/>
    <w:rsid w:val="000B1938"/>
    <w:rsid w:val="000B3140"/>
    <w:rsid w:val="000B35AF"/>
    <w:rsid w:val="000B3C05"/>
    <w:rsid w:val="000B5F69"/>
    <w:rsid w:val="000B6B0F"/>
    <w:rsid w:val="000B6B24"/>
    <w:rsid w:val="000B6B8C"/>
    <w:rsid w:val="000C06B2"/>
    <w:rsid w:val="000C1441"/>
    <w:rsid w:val="000C3008"/>
    <w:rsid w:val="000C37FB"/>
    <w:rsid w:val="000C5E4C"/>
    <w:rsid w:val="000C6FA6"/>
    <w:rsid w:val="000C75D0"/>
    <w:rsid w:val="000D0B7C"/>
    <w:rsid w:val="000D0E37"/>
    <w:rsid w:val="000D0ECE"/>
    <w:rsid w:val="000E0AEC"/>
    <w:rsid w:val="000E1B33"/>
    <w:rsid w:val="000E42D1"/>
    <w:rsid w:val="000E5348"/>
    <w:rsid w:val="000E74F2"/>
    <w:rsid w:val="000F5A1F"/>
    <w:rsid w:val="001001B4"/>
    <w:rsid w:val="001009F5"/>
    <w:rsid w:val="001020BE"/>
    <w:rsid w:val="00104099"/>
    <w:rsid w:val="00105515"/>
    <w:rsid w:val="0011056C"/>
    <w:rsid w:val="0011361D"/>
    <w:rsid w:val="001166BF"/>
    <w:rsid w:val="00121691"/>
    <w:rsid w:val="0012355A"/>
    <w:rsid w:val="00123B84"/>
    <w:rsid w:val="00127699"/>
    <w:rsid w:val="001277BB"/>
    <w:rsid w:val="00132345"/>
    <w:rsid w:val="00134870"/>
    <w:rsid w:val="00134BC6"/>
    <w:rsid w:val="00135297"/>
    <w:rsid w:val="001359BC"/>
    <w:rsid w:val="0013701A"/>
    <w:rsid w:val="00137614"/>
    <w:rsid w:val="001407EC"/>
    <w:rsid w:val="00141C03"/>
    <w:rsid w:val="0014334F"/>
    <w:rsid w:val="00143F09"/>
    <w:rsid w:val="001475FF"/>
    <w:rsid w:val="001476AE"/>
    <w:rsid w:val="001515B5"/>
    <w:rsid w:val="001524EF"/>
    <w:rsid w:val="00154D8C"/>
    <w:rsid w:val="001553EC"/>
    <w:rsid w:val="00160B43"/>
    <w:rsid w:val="00163279"/>
    <w:rsid w:val="0016638A"/>
    <w:rsid w:val="00172BBF"/>
    <w:rsid w:val="00174193"/>
    <w:rsid w:val="00175940"/>
    <w:rsid w:val="00177106"/>
    <w:rsid w:val="001775E6"/>
    <w:rsid w:val="00177FF9"/>
    <w:rsid w:val="001802E8"/>
    <w:rsid w:val="001806A5"/>
    <w:rsid w:val="00180810"/>
    <w:rsid w:val="0018098C"/>
    <w:rsid w:val="00182BC1"/>
    <w:rsid w:val="00186932"/>
    <w:rsid w:val="00187FDC"/>
    <w:rsid w:val="00190B63"/>
    <w:rsid w:val="00196198"/>
    <w:rsid w:val="001A00B2"/>
    <w:rsid w:val="001A094C"/>
    <w:rsid w:val="001A5B25"/>
    <w:rsid w:val="001A5C19"/>
    <w:rsid w:val="001B17FF"/>
    <w:rsid w:val="001B3066"/>
    <w:rsid w:val="001B4726"/>
    <w:rsid w:val="001C211B"/>
    <w:rsid w:val="001C3EE9"/>
    <w:rsid w:val="001C6EBE"/>
    <w:rsid w:val="001D0FFE"/>
    <w:rsid w:val="001D370B"/>
    <w:rsid w:val="001E0BCD"/>
    <w:rsid w:val="001E3215"/>
    <w:rsid w:val="001E5FE9"/>
    <w:rsid w:val="001F0A8C"/>
    <w:rsid w:val="001F11EC"/>
    <w:rsid w:val="001F3D7B"/>
    <w:rsid w:val="001F43DD"/>
    <w:rsid w:val="001F5055"/>
    <w:rsid w:val="001F7782"/>
    <w:rsid w:val="00201323"/>
    <w:rsid w:val="002042F1"/>
    <w:rsid w:val="00207724"/>
    <w:rsid w:val="00210BDA"/>
    <w:rsid w:val="00211AAE"/>
    <w:rsid w:val="00221A5E"/>
    <w:rsid w:val="00226DE0"/>
    <w:rsid w:val="00227BEB"/>
    <w:rsid w:val="00227F4B"/>
    <w:rsid w:val="00233A67"/>
    <w:rsid w:val="00234964"/>
    <w:rsid w:val="00240159"/>
    <w:rsid w:val="0024376C"/>
    <w:rsid w:val="002448B1"/>
    <w:rsid w:val="0024516A"/>
    <w:rsid w:val="002532DD"/>
    <w:rsid w:val="00254945"/>
    <w:rsid w:val="002608FA"/>
    <w:rsid w:val="00263BF9"/>
    <w:rsid w:val="00264371"/>
    <w:rsid w:val="00267ED5"/>
    <w:rsid w:val="00271764"/>
    <w:rsid w:val="00272179"/>
    <w:rsid w:val="00272D1B"/>
    <w:rsid w:val="002741E7"/>
    <w:rsid w:val="002743BE"/>
    <w:rsid w:val="00275B26"/>
    <w:rsid w:val="0027757E"/>
    <w:rsid w:val="00283D91"/>
    <w:rsid w:val="00285528"/>
    <w:rsid w:val="002858C2"/>
    <w:rsid w:val="00287AE5"/>
    <w:rsid w:val="00290EAF"/>
    <w:rsid w:val="00290F62"/>
    <w:rsid w:val="00293B62"/>
    <w:rsid w:val="002972CB"/>
    <w:rsid w:val="002A10A4"/>
    <w:rsid w:val="002A73AC"/>
    <w:rsid w:val="002A7F6F"/>
    <w:rsid w:val="002B0368"/>
    <w:rsid w:val="002B0CCD"/>
    <w:rsid w:val="002C15AA"/>
    <w:rsid w:val="002C59AB"/>
    <w:rsid w:val="002D1670"/>
    <w:rsid w:val="002D3389"/>
    <w:rsid w:val="002D5EA9"/>
    <w:rsid w:val="002D5F3E"/>
    <w:rsid w:val="002E0C97"/>
    <w:rsid w:val="002E0DAB"/>
    <w:rsid w:val="002E110B"/>
    <w:rsid w:val="002E44BC"/>
    <w:rsid w:val="002E4886"/>
    <w:rsid w:val="002E4F72"/>
    <w:rsid w:val="002E5494"/>
    <w:rsid w:val="002E6274"/>
    <w:rsid w:val="002E6C1E"/>
    <w:rsid w:val="002F0EC0"/>
    <w:rsid w:val="003070EC"/>
    <w:rsid w:val="003102B9"/>
    <w:rsid w:val="0031487D"/>
    <w:rsid w:val="00314FD4"/>
    <w:rsid w:val="00315863"/>
    <w:rsid w:val="00315CBA"/>
    <w:rsid w:val="003177E1"/>
    <w:rsid w:val="00321319"/>
    <w:rsid w:val="00322A5D"/>
    <w:rsid w:val="00323073"/>
    <w:rsid w:val="00323292"/>
    <w:rsid w:val="00323A43"/>
    <w:rsid w:val="00331228"/>
    <w:rsid w:val="00333CF3"/>
    <w:rsid w:val="00334CEF"/>
    <w:rsid w:val="0033534E"/>
    <w:rsid w:val="00337A6B"/>
    <w:rsid w:val="00337BE5"/>
    <w:rsid w:val="00350359"/>
    <w:rsid w:val="00352341"/>
    <w:rsid w:val="00352DAC"/>
    <w:rsid w:val="00352F20"/>
    <w:rsid w:val="00353E9B"/>
    <w:rsid w:val="00354A97"/>
    <w:rsid w:val="003562A3"/>
    <w:rsid w:val="00362AD9"/>
    <w:rsid w:val="00366D0A"/>
    <w:rsid w:val="00367D30"/>
    <w:rsid w:val="0037062F"/>
    <w:rsid w:val="00371199"/>
    <w:rsid w:val="00372D4D"/>
    <w:rsid w:val="00373283"/>
    <w:rsid w:val="00376021"/>
    <w:rsid w:val="0037779C"/>
    <w:rsid w:val="0038314A"/>
    <w:rsid w:val="00383793"/>
    <w:rsid w:val="00390F92"/>
    <w:rsid w:val="003911D3"/>
    <w:rsid w:val="00393797"/>
    <w:rsid w:val="00395DE5"/>
    <w:rsid w:val="00395E9A"/>
    <w:rsid w:val="003A1EC7"/>
    <w:rsid w:val="003A21D9"/>
    <w:rsid w:val="003A63C9"/>
    <w:rsid w:val="003A6700"/>
    <w:rsid w:val="003A70FD"/>
    <w:rsid w:val="003A7FF3"/>
    <w:rsid w:val="003B0753"/>
    <w:rsid w:val="003B1091"/>
    <w:rsid w:val="003B2036"/>
    <w:rsid w:val="003B244C"/>
    <w:rsid w:val="003B4FCF"/>
    <w:rsid w:val="003B5ACE"/>
    <w:rsid w:val="003B5D32"/>
    <w:rsid w:val="003B5F7F"/>
    <w:rsid w:val="003B6021"/>
    <w:rsid w:val="003B649D"/>
    <w:rsid w:val="003B6C9F"/>
    <w:rsid w:val="003C140E"/>
    <w:rsid w:val="003C1A3F"/>
    <w:rsid w:val="003D057E"/>
    <w:rsid w:val="003D21A4"/>
    <w:rsid w:val="003D4B4C"/>
    <w:rsid w:val="003D4BF1"/>
    <w:rsid w:val="003D7137"/>
    <w:rsid w:val="003E0AAC"/>
    <w:rsid w:val="003E1046"/>
    <w:rsid w:val="003E19DE"/>
    <w:rsid w:val="003E3EE6"/>
    <w:rsid w:val="003E5ED9"/>
    <w:rsid w:val="003F0FB4"/>
    <w:rsid w:val="003F5FE9"/>
    <w:rsid w:val="00404B59"/>
    <w:rsid w:val="00404D58"/>
    <w:rsid w:val="0040519D"/>
    <w:rsid w:val="004055AC"/>
    <w:rsid w:val="004129D8"/>
    <w:rsid w:val="004133CA"/>
    <w:rsid w:val="0041498A"/>
    <w:rsid w:val="004153D0"/>
    <w:rsid w:val="00417E11"/>
    <w:rsid w:val="00421139"/>
    <w:rsid w:val="004232C2"/>
    <w:rsid w:val="0042333D"/>
    <w:rsid w:val="004234C8"/>
    <w:rsid w:val="004241CF"/>
    <w:rsid w:val="00424B7E"/>
    <w:rsid w:val="00425234"/>
    <w:rsid w:val="004270C5"/>
    <w:rsid w:val="00427182"/>
    <w:rsid w:val="004272F0"/>
    <w:rsid w:val="004279E1"/>
    <w:rsid w:val="00427C6B"/>
    <w:rsid w:val="00433706"/>
    <w:rsid w:val="00435F7E"/>
    <w:rsid w:val="00436FB8"/>
    <w:rsid w:val="00437A4B"/>
    <w:rsid w:val="00440B57"/>
    <w:rsid w:val="004415A5"/>
    <w:rsid w:val="00441F0E"/>
    <w:rsid w:val="00442342"/>
    <w:rsid w:val="00442352"/>
    <w:rsid w:val="00447C48"/>
    <w:rsid w:val="004515C3"/>
    <w:rsid w:val="00454775"/>
    <w:rsid w:val="00456360"/>
    <w:rsid w:val="00462408"/>
    <w:rsid w:val="00462950"/>
    <w:rsid w:val="00467BBC"/>
    <w:rsid w:val="00467D20"/>
    <w:rsid w:val="00470FA0"/>
    <w:rsid w:val="00473A16"/>
    <w:rsid w:val="0047416D"/>
    <w:rsid w:val="00475F49"/>
    <w:rsid w:val="004839B8"/>
    <w:rsid w:val="00483E1D"/>
    <w:rsid w:val="00490C4E"/>
    <w:rsid w:val="00491886"/>
    <w:rsid w:val="00492511"/>
    <w:rsid w:val="0049584E"/>
    <w:rsid w:val="00496E11"/>
    <w:rsid w:val="004A1C84"/>
    <w:rsid w:val="004A220D"/>
    <w:rsid w:val="004A3F69"/>
    <w:rsid w:val="004A53E4"/>
    <w:rsid w:val="004A6266"/>
    <w:rsid w:val="004A6B54"/>
    <w:rsid w:val="004B128F"/>
    <w:rsid w:val="004B45C9"/>
    <w:rsid w:val="004B48F8"/>
    <w:rsid w:val="004B4A3F"/>
    <w:rsid w:val="004B4E8A"/>
    <w:rsid w:val="004C1AD3"/>
    <w:rsid w:val="004C1B29"/>
    <w:rsid w:val="004C43AB"/>
    <w:rsid w:val="004C6DD9"/>
    <w:rsid w:val="004D0AD0"/>
    <w:rsid w:val="004D1711"/>
    <w:rsid w:val="004D72D4"/>
    <w:rsid w:val="004E0615"/>
    <w:rsid w:val="004E2E97"/>
    <w:rsid w:val="004E4A0A"/>
    <w:rsid w:val="004E726A"/>
    <w:rsid w:val="004F068F"/>
    <w:rsid w:val="004F5AE2"/>
    <w:rsid w:val="004F67FC"/>
    <w:rsid w:val="004F6C1C"/>
    <w:rsid w:val="004F6EDB"/>
    <w:rsid w:val="005005CF"/>
    <w:rsid w:val="005011D0"/>
    <w:rsid w:val="0050192C"/>
    <w:rsid w:val="00504B96"/>
    <w:rsid w:val="00504E2F"/>
    <w:rsid w:val="00507F9D"/>
    <w:rsid w:val="0051112F"/>
    <w:rsid w:val="005113C0"/>
    <w:rsid w:val="0051468F"/>
    <w:rsid w:val="00517945"/>
    <w:rsid w:val="005243C4"/>
    <w:rsid w:val="00524808"/>
    <w:rsid w:val="0052538A"/>
    <w:rsid w:val="00526658"/>
    <w:rsid w:val="00527D73"/>
    <w:rsid w:val="00531685"/>
    <w:rsid w:val="00542F42"/>
    <w:rsid w:val="005454B2"/>
    <w:rsid w:val="0054694F"/>
    <w:rsid w:val="00550561"/>
    <w:rsid w:val="005506C0"/>
    <w:rsid w:val="00553517"/>
    <w:rsid w:val="00553BF9"/>
    <w:rsid w:val="005563D9"/>
    <w:rsid w:val="00556998"/>
    <w:rsid w:val="005602DB"/>
    <w:rsid w:val="005608B1"/>
    <w:rsid w:val="00560990"/>
    <w:rsid w:val="005624B1"/>
    <w:rsid w:val="00562D40"/>
    <w:rsid w:val="00564348"/>
    <w:rsid w:val="00566954"/>
    <w:rsid w:val="00573E7A"/>
    <w:rsid w:val="00574DB9"/>
    <w:rsid w:val="005760ED"/>
    <w:rsid w:val="00583739"/>
    <w:rsid w:val="00583A97"/>
    <w:rsid w:val="00583E35"/>
    <w:rsid w:val="0058724B"/>
    <w:rsid w:val="00592455"/>
    <w:rsid w:val="0059292A"/>
    <w:rsid w:val="005933DC"/>
    <w:rsid w:val="005940FF"/>
    <w:rsid w:val="00594CBD"/>
    <w:rsid w:val="0059572F"/>
    <w:rsid w:val="00595A95"/>
    <w:rsid w:val="005A0586"/>
    <w:rsid w:val="005A193E"/>
    <w:rsid w:val="005A5353"/>
    <w:rsid w:val="005A5A94"/>
    <w:rsid w:val="005A5D80"/>
    <w:rsid w:val="005A74FE"/>
    <w:rsid w:val="005B06B7"/>
    <w:rsid w:val="005B3B41"/>
    <w:rsid w:val="005B5AFD"/>
    <w:rsid w:val="005B5FB4"/>
    <w:rsid w:val="005B6C97"/>
    <w:rsid w:val="005C2F35"/>
    <w:rsid w:val="005C61EE"/>
    <w:rsid w:val="005C783A"/>
    <w:rsid w:val="005D0EED"/>
    <w:rsid w:val="005D2D4E"/>
    <w:rsid w:val="005D352A"/>
    <w:rsid w:val="005D50E2"/>
    <w:rsid w:val="005D6F68"/>
    <w:rsid w:val="005D7220"/>
    <w:rsid w:val="005E05B9"/>
    <w:rsid w:val="005E60F5"/>
    <w:rsid w:val="005E659F"/>
    <w:rsid w:val="005F1004"/>
    <w:rsid w:val="005F1E82"/>
    <w:rsid w:val="005F233B"/>
    <w:rsid w:val="005F5D3B"/>
    <w:rsid w:val="005F6E74"/>
    <w:rsid w:val="005F7821"/>
    <w:rsid w:val="006030EE"/>
    <w:rsid w:val="006143CB"/>
    <w:rsid w:val="00614E29"/>
    <w:rsid w:val="00615ACD"/>
    <w:rsid w:val="006160E9"/>
    <w:rsid w:val="00621CA5"/>
    <w:rsid w:val="00623333"/>
    <w:rsid w:val="0062415F"/>
    <w:rsid w:val="00624D66"/>
    <w:rsid w:val="00624DDD"/>
    <w:rsid w:val="00625727"/>
    <w:rsid w:val="00627184"/>
    <w:rsid w:val="006277D6"/>
    <w:rsid w:val="00632A5B"/>
    <w:rsid w:val="0064148D"/>
    <w:rsid w:val="00643088"/>
    <w:rsid w:val="006434A7"/>
    <w:rsid w:val="00643D5B"/>
    <w:rsid w:val="00644A10"/>
    <w:rsid w:val="00651546"/>
    <w:rsid w:val="00653607"/>
    <w:rsid w:val="00653A34"/>
    <w:rsid w:val="006545DC"/>
    <w:rsid w:val="00660368"/>
    <w:rsid w:val="00660D73"/>
    <w:rsid w:val="00663769"/>
    <w:rsid w:val="00667D59"/>
    <w:rsid w:val="006751C8"/>
    <w:rsid w:val="00676E90"/>
    <w:rsid w:val="006811EF"/>
    <w:rsid w:val="006822F0"/>
    <w:rsid w:val="00683F9B"/>
    <w:rsid w:val="00687057"/>
    <w:rsid w:val="0069099C"/>
    <w:rsid w:val="00690EF5"/>
    <w:rsid w:val="00691183"/>
    <w:rsid w:val="00695918"/>
    <w:rsid w:val="0069655A"/>
    <w:rsid w:val="006A3C34"/>
    <w:rsid w:val="006A62FF"/>
    <w:rsid w:val="006B26E2"/>
    <w:rsid w:val="006B679C"/>
    <w:rsid w:val="006B68C3"/>
    <w:rsid w:val="006C1966"/>
    <w:rsid w:val="006C39C3"/>
    <w:rsid w:val="006C4457"/>
    <w:rsid w:val="006C4C6E"/>
    <w:rsid w:val="006C4F7F"/>
    <w:rsid w:val="006C5BBC"/>
    <w:rsid w:val="006C5DA2"/>
    <w:rsid w:val="006D0B08"/>
    <w:rsid w:val="006D0EAE"/>
    <w:rsid w:val="006D1668"/>
    <w:rsid w:val="006D292E"/>
    <w:rsid w:val="006D49C5"/>
    <w:rsid w:val="006D4E60"/>
    <w:rsid w:val="006D4E74"/>
    <w:rsid w:val="006D5D21"/>
    <w:rsid w:val="006D5E9E"/>
    <w:rsid w:val="006D767C"/>
    <w:rsid w:val="006E15C1"/>
    <w:rsid w:val="006F08F3"/>
    <w:rsid w:val="006F5F9E"/>
    <w:rsid w:val="006F795B"/>
    <w:rsid w:val="007051D7"/>
    <w:rsid w:val="00705AD4"/>
    <w:rsid w:val="0070608C"/>
    <w:rsid w:val="007061C3"/>
    <w:rsid w:val="00707A17"/>
    <w:rsid w:val="00707D58"/>
    <w:rsid w:val="00711C2F"/>
    <w:rsid w:val="0071206F"/>
    <w:rsid w:val="007142B8"/>
    <w:rsid w:val="00716415"/>
    <w:rsid w:val="00716A03"/>
    <w:rsid w:val="00716A24"/>
    <w:rsid w:val="00716A5A"/>
    <w:rsid w:val="007177B4"/>
    <w:rsid w:val="007207FF"/>
    <w:rsid w:val="007211CD"/>
    <w:rsid w:val="00721B3D"/>
    <w:rsid w:val="00723179"/>
    <w:rsid w:val="007246E0"/>
    <w:rsid w:val="007256EE"/>
    <w:rsid w:val="00725ACC"/>
    <w:rsid w:val="007272E3"/>
    <w:rsid w:val="007316A3"/>
    <w:rsid w:val="00731779"/>
    <w:rsid w:val="007317FA"/>
    <w:rsid w:val="00731A73"/>
    <w:rsid w:val="007346F5"/>
    <w:rsid w:val="00734B09"/>
    <w:rsid w:val="0073773D"/>
    <w:rsid w:val="007378D8"/>
    <w:rsid w:val="00737EFC"/>
    <w:rsid w:val="007420E7"/>
    <w:rsid w:val="0074717D"/>
    <w:rsid w:val="00752102"/>
    <w:rsid w:val="00753FEF"/>
    <w:rsid w:val="00754BAA"/>
    <w:rsid w:val="00755480"/>
    <w:rsid w:val="00757510"/>
    <w:rsid w:val="00757943"/>
    <w:rsid w:val="00765AE9"/>
    <w:rsid w:val="00767353"/>
    <w:rsid w:val="007702B5"/>
    <w:rsid w:val="007704A3"/>
    <w:rsid w:val="00770672"/>
    <w:rsid w:val="00772826"/>
    <w:rsid w:val="00777310"/>
    <w:rsid w:val="00777FE2"/>
    <w:rsid w:val="0078148C"/>
    <w:rsid w:val="00781CDE"/>
    <w:rsid w:val="007821AC"/>
    <w:rsid w:val="007862F1"/>
    <w:rsid w:val="0078765D"/>
    <w:rsid w:val="007915E1"/>
    <w:rsid w:val="00792DD4"/>
    <w:rsid w:val="0079594C"/>
    <w:rsid w:val="007A42D5"/>
    <w:rsid w:val="007A5A76"/>
    <w:rsid w:val="007B1552"/>
    <w:rsid w:val="007B205B"/>
    <w:rsid w:val="007B75C2"/>
    <w:rsid w:val="007B7F33"/>
    <w:rsid w:val="007C0462"/>
    <w:rsid w:val="007C08C4"/>
    <w:rsid w:val="007C3EE7"/>
    <w:rsid w:val="007C5B51"/>
    <w:rsid w:val="007C6009"/>
    <w:rsid w:val="007C60BC"/>
    <w:rsid w:val="007D05B8"/>
    <w:rsid w:val="007D443C"/>
    <w:rsid w:val="007D58DD"/>
    <w:rsid w:val="007D6111"/>
    <w:rsid w:val="007D67B0"/>
    <w:rsid w:val="007E236C"/>
    <w:rsid w:val="007E3468"/>
    <w:rsid w:val="007E3491"/>
    <w:rsid w:val="007F5585"/>
    <w:rsid w:val="007F67C8"/>
    <w:rsid w:val="00800B98"/>
    <w:rsid w:val="008015F9"/>
    <w:rsid w:val="00803CC2"/>
    <w:rsid w:val="0080445F"/>
    <w:rsid w:val="008047FC"/>
    <w:rsid w:val="00804896"/>
    <w:rsid w:val="00810434"/>
    <w:rsid w:val="00810D77"/>
    <w:rsid w:val="00812D4D"/>
    <w:rsid w:val="00813D81"/>
    <w:rsid w:val="00814A11"/>
    <w:rsid w:val="00814A3A"/>
    <w:rsid w:val="00815012"/>
    <w:rsid w:val="00816BB4"/>
    <w:rsid w:val="00825F40"/>
    <w:rsid w:val="00831369"/>
    <w:rsid w:val="00831E0A"/>
    <w:rsid w:val="0083228F"/>
    <w:rsid w:val="00832F17"/>
    <w:rsid w:val="0083320A"/>
    <w:rsid w:val="00833CCD"/>
    <w:rsid w:val="00833EE1"/>
    <w:rsid w:val="00834A29"/>
    <w:rsid w:val="00836CC8"/>
    <w:rsid w:val="00840192"/>
    <w:rsid w:val="008420CC"/>
    <w:rsid w:val="008421AA"/>
    <w:rsid w:val="00845815"/>
    <w:rsid w:val="008466CC"/>
    <w:rsid w:val="0085087E"/>
    <w:rsid w:val="00854B2E"/>
    <w:rsid w:val="0085565B"/>
    <w:rsid w:val="0085729D"/>
    <w:rsid w:val="00860335"/>
    <w:rsid w:val="00860928"/>
    <w:rsid w:val="00860C91"/>
    <w:rsid w:val="00861BE9"/>
    <w:rsid w:val="0086377E"/>
    <w:rsid w:val="00863FCF"/>
    <w:rsid w:val="00864C51"/>
    <w:rsid w:val="00865327"/>
    <w:rsid w:val="00871E9D"/>
    <w:rsid w:val="00873FBF"/>
    <w:rsid w:val="00874842"/>
    <w:rsid w:val="00875818"/>
    <w:rsid w:val="008773B2"/>
    <w:rsid w:val="00883BDD"/>
    <w:rsid w:val="00884575"/>
    <w:rsid w:val="0088466A"/>
    <w:rsid w:val="00884AAF"/>
    <w:rsid w:val="00885B2A"/>
    <w:rsid w:val="00887617"/>
    <w:rsid w:val="00891132"/>
    <w:rsid w:val="008924B2"/>
    <w:rsid w:val="0089329D"/>
    <w:rsid w:val="0089389E"/>
    <w:rsid w:val="00895068"/>
    <w:rsid w:val="00897A8D"/>
    <w:rsid w:val="008A0A67"/>
    <w:rsid w:val="008A46FC"/>
    <w:rsid w:val="008A499D"/>
    <w:rsid w:val="008A5BB0"/>
    <w:rsid w:val="008B02C1"/>
    <w:rsid w:val="008B155E"/>
    <w:rsid w:val="008B326A"/>
    <w:rsid w:val="008B4CBB"/>
    <w:rsid w:val="008C0071"/>
    <w:rsid w:val="008C3BD4"/>
    <w:rsid w:val="008C4744"/>
    <w:rsid w:val="008C57E2"/>
    <w:rsid w:val="008C5E19"/>
    <w:rsid w:val="008D084D"/>
    <w:rsid w:val="008D7404"/>
    <w:rsid w:val="008F4511"/>
    <w:rsid w:val="008F45B0"/>
    <w:rsid w:val="008F47D6"/>
    <w:rsid w:val="008F5F55"/>
    <w:rsid w:val="008F7A33"/>
    <w:rsid w:val="00900585"/>
    <w:rsid w:val="00905DF0"/>
    <w:rsid w:val="00905DF9"/>
    <w:rsid w:val="009064A5"/>
    <w:rsid w:val="00910F5D"/>
    <w:rsid w:val="009121A7"/>
    <w:rsid w:val="00913398"/>
    <w:rsid w:val="00920EC5"/>
    <w:rsid w:val="0092226D"/>
    <w:rsid w:val="0092422F"/>
    <w:rsid w:val="009247B1"/>
    <w:rsid w:val="00927D6A"/>
    <w:rsid w:val="00930DF6"/>
    <w:rsid w:val="009344AA"/>
    <w:rsid w:val="009351BF"/>
    <w:rsid w:val="00936C78"/>
    <w:rsid w:val="0093738E"/>
    <w:rsid w:val="009403E3"/>
    <w:rsid w:val="00940B26"/>
    <w:rsid w:val="00943377"/>
    <w:rsid w:val="009440B6"/>
    <w:rsid w:val="00946304"/>
    <w:rsid w:val="009466DB"/>
    <w:rsid w:val="00947871"/>
    <w:rsid w:val="00951151"/>
    <w:rsid w:val="0095128A"/>
    <w:rsid w:val="00952974"/>
    <w:rsid w:val="00952A3B"/>
    <w:rsid w:val="0095518C"/>
    <w:rsid w:val="009571A7"/>
    <w:rsid w:val="00960D79"/>
    <w:rsid w:val="00962EBF"/>
    <w:rsid w:val="009669E7"/>
    <w:rsid w:val="00974546"/>
    <w:rsid w:val="00980BD6"/>
    <w:rsid w:val="00981643"/>
    <w:rsid w:val="009816F8"/>
    <w:rsid w:val="00981763"/>
    <w:rsid w:val="00982DD0"/>
    <w:rsid w:val="00984223"/>
    <w:rsid w:val="009854F7"/>
    <w:rsid w:val="00992D30"/>
    <w:rsid w:val="00993952"/>
    <w:rsid w:val="00995C1F"/>
    <w:rsid w:val="0099634A"/>
    <w:rsid w:val="00996BC3"/>
    <w:rsid w:val="009A08C4"/>
    <w:rsid w:val="009A5A52"/>
    <w:rsid w:val="009A7992"/>
    <w:rsid w:val="009B164F"/>
    <w:rsid w:val="009B3B0D"/>
    <w:rsid w:val="009B49B1"/>
    <w:rsid w:val="009C3A69"/>
    <w:rsid w:val="009D331A"/>
    <w:rsid w:val="009D757A"/>
    <w:rsid w:val="009E05C8"/>
    <w:rsid w:val="009E18E1"/>
    <w:rsid w:val="009E1B45"/>
    <w:rsid w:val="009E207D"/>
    <w:rsid w:val="009E23D2"/>
    <w:rsid w:val="009E4CB5"/>
    <w:rsid w:val="009E5671"/>
    <w:rsid w:val="009E6931"/>
    <w:rsid w:val="009E7A3F"/>
    <w:rsid w:val="009E7F9A"/>
    <w:rsid w:val="009F377D"/>
    <w:rsid w:val="009F4ED0"/>
    <w:rsid w:val="009F587C"/>
    <w:rsid w:val="009F63A9"/>
    <w:rsid w:val="00A01FC8"/>
    <w:rsid w:val="00A05365"/>
    <w:rsid w:val="00A06FE2"/>
    <w:rsid w:val="00A07793"/>
    <w:rsid w:val="00A1056C"/>
    <w:rsid w:val="00A130F5"/>
    <w:rsid w:val="00A153F2"/>
    <w:rsid w:val="00A16D3A"/>
    <w:rsid w:val="00A17812"/>
    <w:rsid w:val="00A20747"/>
    <w:rsid w:val="00A22DA1"/>
    <w:rsid w:val="00A2574C"/>
    <w:rsid w:val="00A3018B"/>
    <w:rsid w:val="00A3284C"/>
    <w:rsid w:val="00A333D5"/>
    <w:rsid w:val="00A4256D"/>
    <w:rsid w:val="00A42CB7"/>
    <w:rsid w:val="00A479F7"/>
    <w:rsid w:val="00A501CB"/>
    <w:rsid w:val="00A51263"/>
    <w:rsid w:val="00A539FF"/>
    <w:rsid w:val="00A54D1F"/>
    <w:rsid w:val="00A55E18"/>
    <w:rsid w:val="00A5632C"/>
    <w:rsid w:val="00A60B59"/>
    <w:rsid w:val="00A626F2"/>
    <w:rsid w:val="00A65D80"/>
    <w:rsid w:val="00A703B4"/>
    <w:rsid w:val="00A72E6F"/>
    <w:rsid w:val="00A73EFC"/>
    <w:rsid w:val="00A74B35"/>
    <w:rsid w:val="00A77C1F"/>
    <w:rsid w:val="00A81B4E"/>
    <w:rsid w:val="00A833C0"/>
    <w:rsid w:val="00A87287"/>
    <w:rsid w:val="00A94EF8"/>
    <w:rsid w:val="00A97D42"/>
    <w:rsid w:val="00AA1295"/>
    <w:rsid w:val="00AA15C0"/>
    <w:rsid w:val="00AA1B83"/>
    <w:rsid w:val="00AA30DF"/>
    <w:rsid w:val="00AA377D"/>
    <w:rsid w:val="00AA628A"/>
    <w:rsid w:val="00AB5439"/>
    <w:rsid w:val="00AC1B8A"/>
    <w:rsid w:val="00AC5015"/>
    <w:rsid w:val="00AC583D"/>
    <w:rsid w:val="00AC74D7"/>
    <w:rsid w:val="00AD0348"/>
    <w:rsid w:val="00AD0EE6"/>
    <w:rsid w:val="00AD1356"/>
    <w:rsid w:val="00AD34CC"/>
    <w:rsid w:val="00AE0D43"/>
    <w:rsid w:val="00AE396C"/>
    <w:rsid w:val="00AE4ECC"/>
    <w:rsid w:val="00AE6112"/>
    <w:rsid w:val="00AF0062"/>
    <w:rsid w:val="00AF1F0E"/>
    <w:rsid w:val="00AF7CEB"/>
    <w:rsid w:val="00B00915"/>
    <w:rsid w:val="00B011CD"/>
    <w:rsid w:val="00B01701"/>
    <w:rsid w:val="00B05146"/>
    <w:rsid w:val="00B062FD"/>
    <w:rsid w:val="00B06A11"/>
    <w:rsid w:val="00B116AB"/>
    <w:rsid w:val="00B11836"/>
    <w:rsid w:val="00B11E3F"/>
    <w:rsid w:val="00B120C2"/>
    <w:rsid w:val="00B1342A"/>
    <w:rsid w:val="00B149FD"/>
    <w:rsid w:val="00B15393"/>
    <w:rsid w:val="00B1736D"/>
    <w:rsid w:val="00B21100"/>
    <w:rsid w:val="00B212DD"/>
    <w:rsid w:val="00B2179E"/>
    <w:rsid w:val="00B24347"/>
    <w:rsid w:val="00B2747E"/>
    <w:rsid w:val="00B27622"/>
    <w:rsid w:val="00B33E5D"/>
    <w:rsid w:val="00B35119"/>
    <w:rsid w:val="00B360F8"/>
    <w:rsid w:val="00B3785D"/>
    <w:rsid w:val="00B40D06"/>
    <w:rsid w:val="00B55D8E"/>
    <w:rsid w:val="00B614E9"/>
    <w:rsid w:val="00B64C6F"/>
    <w:rsid w:val="00B66719"/>
    <w:rsid w:val="00B70E7B"/>
    <w:rsid w:val="00B731A0"/>
    <w:rsid w:val="00B80D26"/>
    <w:rsid w:val="00B80EBE"/>
    <w:rsid w:val="00B8490C"/>
    <w:rsid w:val="00B8523B"/>
    <w:rsid w:val="00B8599C"/>
    <w:rsid w:val="00B85B3E"/>
    <w:rsid w:val="00B86423"/>
    <w:rsid w:val="00B8716C"/>
    <w:rsid w:val="00B90FB8"/>
    <w:rsid w:val="00B92C85"/>
    <w:rsid w:val="00B937BB"/>
    <w:rsid w:val="00B96625"/>
    <w:rsid w:val="00BA318E"/>
    <w:rsid w:val="00BA44A7"/>
    <w:rsid w:val="00BA52B7"/>
    <w:rsid w:val="00BA67B4"/>
    <w:rsid w:val="00BA6895"/>
    <w:rsid w:val="00BA69C8"/>
    <w:rsid w:val="00BB1C0F"/>
    <w:rsid w:val="00BB5698"/>
    <w:rsid w:val="00BC0783"/>
    <w:rsid w:val="00BC4566"/>
    <w:rsid w:val="00BC5F1C"/>
    <w:rsid w:val="00BD0918"/>
    <w:rsid w:val="00BD2033"/>
    <w:rsid w:val="00BD207B"/>
    <w:rsid w:val="00BD2510"/>
    <w:rsid w:val="00BD6BF4"/>
    <w:rsid w:val="00BE02D5"/>
    <w:rsid w:val="00BE180A"/>
    <w:rsid w:val="00BE2E86"/>
    <w:rsid w:val="00BE414E"/>
    <w:rsid w:val="00BE45D1"/>
    <w:rsid w:val="00BF24D3"/>
    <w:rsid w:val="00BF2D02"/>
    <w:rsid w:val="00BF4336"/>
    <w:rsid w:val="00BF4AA7"/>
    <w:rsid w:val="00BF7352"/>
    <w:rsid w:val="00BF7617"/>
    <w:rsid w:val="00C02410"/>
    <w:rsid w:val="00C03156"/>
    <w:rsid w:val="00C034C5"/>
    <w:rsid w:val="00C0365C"/>
    <w:rsid w:val="00C06380"/>
    <w:rsid w:val="00C064A3"/>
    <w:rsid w:val="00C13F7C"/>
    <w:rsid w:val="00C14201"/>
    <w:rsid w:val="00C15B0B"/>
    <w:rsid w:val="00C179A1"/>
    <w:rsid w:val="00C201B5"/>
    <w:rsid w:val="00C23771"/>
    <w:rsid w:val="00C26DA3"/>
    <w:rsid w:val="00C32813"/>
    <w:rsid w:val="00C3470C"/>
    <w:rsid w:val="00C3597D"/>
    <w:rsid w:val="00C377B1"/>
    <w:rsid w:val="00C37B98"/>
    <w:rsid w:val="00C41D7B"/>
    <w:rsid w:val="00C431DA"/>
    <w:rsid w:val="00C45833"/>
    <w:rsid w:val="00C469BA"/>
    <w:rsid w:val="00C479BA"/>
    <w:rsid w:val="00C558E9"/>
    <w:rsid w:val="00C56E24"/>
    <w:rsid w:val="00C5778D"/>
    <w:rsid w:val="00C63B27"/>
    <w:rsid w:val="00C63DC1"/>
    <w:rsid w:val="00C67F7C"/>
    <w:rsid w:val="00C7021A"/>
    <w:rsid w:val="00C7248C"/>
    <w:rsid w:val="00C725DC"/>
    <w:rsid w:val="00C72D15"/>
    <w:rsid w:val="00C75CC8"/>
    <w:rsid w:val="00C76AA6"/>
    <w:rsid w:val="00C82669"/>
    <w:rsid w:val="00C96C85"/>
    <w:rsid w:val="00CA2A2F"/>
    <w:rsid w:val="00CA36DC"/>
    <w:rsid w:val="00CA3F1A"/>
    <w:rsid w:val="00CA5EF1"/>
    <w:rsid w:val="00CA658F"/>
    <w:rsid w:val="00CB11A8"/>
    <w:rsid w:val="00CB5D69"/>
    <w:rsid w:val="00CB7BCF"/>
    <w:rsid w:val="00CB7C1F"/>
    <w:rsid w:val="00CC1C3C"/>
    <w:rsid w:val="00CC296F"/>
    <w:rsid w:val="00CC2F50"/>
    <w:rsid w:val="00CC71FF"/>
    <w:rsid w:val="00CD338C"/>
    <w:rsid w:val="00CD5E80"/>
    <w:rsid w:val="00CE074E"/>
    <w:rsid w:val="00CE1DC1"/>
    <w:rsid w:val="00CE3A09"/>
    <w:rsid w:val="00CE3AE2"/>
    <w:rsid w:val="00CE3BE0"/>
    <w:rsid w:val="00CE7489"/>
    <w:rsid w:val="00CF38A2"/>
    <w:rsid w:val="00D01039"/>
    <w:rsid w:val="00D02C0D"/>
    <w:rsid w:val="00D0337A"/>
    <w:rsid w:val="00D078D9"/>
    <w:rsid w:val="00D079A9"/>
    <w:rsid w:val="00D11784"/>
    <w:rsid w:val="00D12AA0"/>
    <w:rsid w:val="00D15548"/>
    <w:rsid w:val="00D21398"/>
    <w:rsid w:val="00D23D0A"/>
    <w:rsid w:val="00D257DC"/>
    <w:rsid w:val="00D26657"/>
    <w:rsid w:val="00D30D41"/>
    <w:rsid w:val="00D3173A"/>
    <w:rsid w:val="00D32218"/>
    <w:rsid w:val="00D3400F"/>
    <w:rsid w:val="00D340CD"/>
    <w:rsid w:val="00D412D8"/>
    <w:rsid w:val="00D414B4"/>
    <w:rsid w:val="00D42696"/>
    <w:rsid w:val="00D434EE"/>
    <w:rsid w:val="00D44A73"/>
    <w:rsid w:val="00D4765B"/>
    <w:rsid w:val="00D47A46"/>
    <w:rsid w:val="00D47FA1"/>
    <w:rsid w:val="00D526A6"/>
    <w:rsid w:val="00D52829"/>
    <w:rsid w:val="00D53501"/>
    <w:rsid w:val="00D54CF4"/>
    <w:rsid w:val="00D612E4"/>
    <w:rsid w:val="00D62AFE"/>
    <w:rsid w:val="00D64382"/>
    <w:rsid w:val="00D655D0"/>
    <w:rsid w:val="00D6614C"/>
    <w:rsid w:val="00D66DDB"/>
    <w:rsid w:val="00D71CCD"/>
    <w:rsid w:val="00D7454B"/>
    <w:rsid w:val="00D7629E"/>
    <w:rsid w:val="00D80C5B"/>
    <w:rsid w:val="00D81D2A"/>
    <w:rsid w:val="00D825B3"/>
    <w:rsid w:val="00D83216"/>
    <w:rsid w:val="00D84439"/>
    <w:rsid w:val="00D87080"/>
    <w:rsid w:val="00D90464"/>
    <w:rsid w:val="00D93A5C"/>
    <w:rsid w:val="00D9742A"/>
    <w:rsid w:val="00DA13C1"/>
    <w:rsid w:val="00DA1D9E"/>
    <w:rsid w:val="00DA3F41"/>
    <w:rsid w:val="00DA5171"/>
    <w:rsid w:val="00DA5E03"/>
    <w:rsid w:val="00DA726F"/>
    <w:rsid w:val="00DB0DC5"/>
    <w:rsid w:val="00DB0F4F"/>
    <w:rsid w:val="00DB151F"/>
    <w:rsid w:val="00DB5FC7"/>
    <w:rsid w:val="00DB71D3"/>
    <w:rsid w:val="00DC3DEB"/>
    <w:rsid w:val="00DC4331"/>
    <w:rsid w:val="00DC48F2"/>
    <w:rsid w:val="00DC665D"/>
    <w:rsid w:val="00DD0EFD"/>
    <w:rsid w:val="00DD49CA"/>
    <w:rsid w:val="00DD5D05"/>
    <w:rsid w:val="00DD65F1"/>
    <w:rsid w:val="00DE1662"/>
    <w:rsid w:val="00DE4059"/>
    <w:rsid w:val="00DE604A"/>
    <w:rsid w:val="00DF04A1"/>
    <w:rsid w:val="00DF3B17"/>
    <w:rsid w:val="00DF4D14"/>
    <w:rsid w:val="00DF6719"/>
    <w:rsid w:val="00E02F54"/>
    <w:rsid w:val="00E0375E"/>
    <w:rsid w:val="00E03915"/>
    <w:rsid w:val="00E049D1"/>
    <w:rsid w:val="00E052C1"/>
    <w:rsid w:val="00E05524"/>
    <w:rsid w:val="00E07A7B"/>
    <w:rsid w:val="00E10B7C"/>
    <w:rsid w:val="00E12D76"/>
    <w:rsid w:val="00E144BB"/>
    <w:rsid w:val="00E1699E"/>
    <w:rsid w:val="00E21AD0"/>
    <w:rsid w:val="00E24828"/>
    <w:rsid w:val="00E25BD7"/>
    <w:rsid w:val="00E3333A"/>
    <w:rsid w:val="00E355BB"/>
    <w:rsid w:val="00E360A5"/>
    <w:rsid w:val="00E44272"/>
    <w:rsid w:val="00E45217"/>
    <w:rsid w:val="00E4692C"/>
    <w:rsid w:val="00E5051C"/>
    <w:rsid w:val="00E56EFC"/>
    <w:rsid w:val="00E67802"/>
    <w:rsid w:val="00E67F5D"/>
    <w:rsid w:val="00E70F95"/>
    <w:rsid w:val="00E72594"/>
    <w:rsid w:val="00E72EFE"/>
    <w:rsid w:val="00E73573"/>
    <w:rsid w:val="00E73585"/>
    <w:rsid w:val="00E74DDC"/>
    <w:rsid w:val="00E75AED"/>
    <w:rsid w:val="00E765F8"/>
    <w:rsid w:val="00E7752E"/>
    <w:rsid w:val="00E77559"/>
    <w:rsid w:val="00E8547C"/>
    <w:rsid w:val="00E87894"/>
    <w:rsid w:val="00E9125B"/>
    <w:rsid w:val="00E92438"/>
    <w:rsid w:val="00E9312E"/>
    <w:rsid w:val="00E96854"/>
    <w:rsid w:val="00EA2D2B"/>
    <w:rsid w:val="00EA5F17"/>
    <w:rsid w:val="00EA6AB7"/>
    <w:rsid w:val="00EB2761"/>
    <w:rsid w:val="00EB31F8"/>
    <w:rsid w:val="00EB349C"/>
    <w:rsid w:val="00EB5CD1"/>
    <w:rsid w:val="00EC199E"/>
    <w:rsid w:val="00EC2341"/>
    <w:rsid w:val="00EC3ED1"/>
    <w:rsid w:val="00EC704D"/>
    <w:rsid w:val="00ED6E9E"/>
    <w:rsid w:val="00EE5521"/>
    <w:rsid w:val="00EE7B5E"/>
    <w:rsid w:val="00EE7C7E"/>
    <w:rsid w:val="00EF2C54"/>
    <w:rsid w:val="00EF5B9B"/>
    <w:rsid w:val="00EF5F30"/>
    <w:rsid w:val="00EF62C5"/>
    <w:rsid w:val="00EF6E70"/>
    <w:rsid w:val="00EF756F"/>
    <w:rsid w:val="00F00E6B"/>
    <w:rsid w:val="00F016B4"/>
    <w:rsid w:val="00F06A1D"/>
    <w:rsid w:val="00F12EEB"/>
    <w:rsid w:val="00F130F7"/>
    <w:rsid w:val="00F14497"/>
    <w:rsid w:val="00F147CE"/>
    <w:rsid w:val="00F16131"/>
    <w:rsid w:val="00F16248"/>
    <w:rsid w:val="00F16B00"/>
    <w:rsid w:val="00F2073B"/>
    <w:rsid w:val="00F21DCA"/>
    <w:rsid w:val="00F23B6E"/>
    <w:rsid w:val="00F24623"/>
    <w:rsid w:val="00F24BFD"/>
    <w:rsid w:val="00F253BB"/>
    <w:rsid w:val="00F267AA"/>
    <w:rsid w:val="00F30049"/>
    <w:rsid w:val="00F37940"/>
    <w:rsid w:val="00F4003B"/>
    <w:rsid w:val="00F40FAF"/>
    <w:rsid w:val="00F42C51"/>
    <w:rsid w:val="00F430CA"/>
    <w:rsid w:val="00F44637"/>
    <w:rsid w:val="00F4683B"/>
    <w:rsid w:val="00F46C13"/>
    <w:rsid w:val="00F544C7"/>
    <w:rsid w:val="00F54D05"/>
    <w:rsid w:val="00F55748"/>
    <w:rsid w:val="00F562B1"/>
    <w:rsid w:val="00F611E7"/>
    <w:rsid w:val="00F62CD0"/>
    <w:rsid w:val="00F647E9"/>
    <w:rsid w:val="00F67C4B"/>
    <w:rsid w:val="00F7018B"/>
    <w:rsid w:val="00F713F8"/>
    <w:rsid w:val="00F72B80"/>
    <w:rsid w:val="00F7628B"/>
    <w:rsid w:val="00F80C89"/>
    <w:rsid w:val="00F82868"/>
    <w:rsid w:val="00F85569"/>
    <w:rsid w:val="00F86367"/>
    <w:rsid w:val="00F872EB"/>
    <w:rsid w:val="00F91FD2"/>
    <w:rsid w:val="00F92BF3"/>
    <w:rsid w:val="00F9308E"/>
    <w:rsid w:val="00F93C28"/>
    <w:rsid w:val="00F93FA0"/>
    <w:rsid w:val="00F953C0"/>
    <w:rsid w:val="00F95B40"/>
    <w:rsid w:val="00FA114F"/>
    <w:rsid w:val="00FA411F"/>
    <w:rsid w:val="00FA5516"/>
    <w:rsid w:val="00FB0417"/>
    <w:rsid w:val="00FB0685"/>
    <w:rsid w:val="00FB48DF"/>
    <w:rsid w:val="00FB5EFD"/>
    <w:rsid w:val="00FB68B3"/>
    <w:rsid w:val="00FB6FD2"/>
    <w:rsid w:val="00FB774D"/>
    <w:rsid w:val="00FC1DB9"/>
    <w:rsid w:val="00FC1F25"/>
    <w:rsid w:val="00FC2CD4"/>
    <w:rsid w:val="00FC38C4"/>
    <w:rsid w:val="00FC38EA"/>
    <w:rsid w:val="00FC5A6F"/>
    <w:rsid w:val="00FC69FB"/>
    <w:rsid w:val="00FD2007"/>
    <w:rsid w:val="00FD27C0"/>
    <w:rsid w:val="00FD3254"/>
    <w:rsid w:val="00FD3EB6"/>
    <w:rsid w:val="00FD4596"/>
    <w:rsid w:val="00FE34D9"/>
    <w:rsid w:val="00FE4227"/>
    <w:rsid w:val="00FE5C9E"/>
    <w:rsid w:val="00FE637A"/>
    <w:rsid w:val="00FE764A"/>
    <w:rsid w:val="00FE7976"/>
    <w:rsid w:val="00FF0654"/>
    <w:rsid w:val="00FF2A1D"/>
    <w:rsid w:val="00FF2F49"/>
    <w:rsid w:val="00FF3603"/>
  </w:rsids>
  <m:mathPr>
    <m:mathFont m:val="Cambria Math"/>
    <m:brkBin m:val="before"/>
    <m:brkBinSub m:val="--"/>
    <m:smallFrac m:val="0"/>
    <m:dispDef/>
    <m:lMargin m:val="0"/>
    <m:rMargin m:val="0"/>
    <m:defJc m:val="centerGroup"/>
    <m:wrapIndent m:val="1440"/>
    <m:intLim m:val="subSup"/>
    <m:naryLim m:val="undOvr"/>
  </m:mathPr>
  <w:themeFontLang w:val="sq-A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5DE8"/>
  <w15:docId w15:val="{0B890D9A-D0BE-4EC8-A43F-0F3B1A0F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C5"/>
  </w:style>
  <w:style w:type="paragraph" w:styleId="Heading1">
    <w:name w:val="heading 1"/>
    <w:basedOn w:val="Normal"/>
    <w:next w:val="Normal"/>
    <w:link w:val="Heading1Char"/>
    <w:qFormat/>
    <w:rsid w:val="004270C5"/>
    <w:pPr>
      <w:keepNext/>
      <w:spacing w:after="0" w:line="240" w:lineRule="auto"/>
      <w:jc w:val="center"/>
      <w:outlineLvl w:val="0"/>
    </w:pPr>
    <w:rPr>
      <w:rFonts w:ascii="Arial" w:eastAsia="MS Mincho" w:hAnsi="Arial" w:cs="Arial"/>
      <w:b/>
      <w:sz w:val="24"/>
      <w:szCs w:val="26"/>
      <w:u w:val="single"/>
      <w:lang w:val="sq-AL"/>
    </w:rPr>
  </w:style>
  <w:style w:type="paragraph" w:styleId="Heading2">
    <w:name w:val="heading 2"/>
    <w:basedOn w:val="Normal"/>
    <w:next w:val="Normal"/>
    <w:link w:val="Heading2Char"/>
    <w:uiPriority w:val="9"/>
    <w:semiHidden/>
    <w:unhideWhenUsed/>
    <w:qFormat/>
    <w:rsid w:val="00E931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0C5"/>
    <w:rPr>
      <w:rFonts w:ascii="Arial" w:eastAsia="MS Mincho" w:hAnsi="Arial" w:cs="Arial"/>
      <w:b/>
      <w:sz w:val="24"/>
      <w:szCs w:val="26"/>
      <w:u w:val="single"/>
      <w:lang w:val="sq-AL"/>
    </w:rPr>
  </w:style>
  <w:style w:type="paragraph" w:styleId="ListParagraph">
    <w:name w:val="List Paragraph"/>
    <w:aliases w:val="Listenabsatz1,Liststycke SKL,Normal bullet 2,Bullet list,Table of contents numbered,Indent Paragraph,Lettre d'introduction,Paragraphe de liste PBLH,Graph &amp; Table tite,Llista Nivell1,Lista de nivel 1,Paragraph,Liste Paragraf,Level 1 Bullet"/>
    <w:basedOn w:val="Normal"/>
    <w:link w:val="ListParagraphChar"/>
    <w:uiPriority w:val="34"/>
    <w:qFormat/>
    <w:rsid w:val="004270C5"/>
    <w:pPr>
      <w:ind w:left="720"/>
      <w:contextualSpacing/>
    </w:pPr>
  </w:style>
  <w:style w:type="paragraph" w:styleId="BalloonText">
    <w:name w:val="Balloon Text"/>
    <w:basedOn w:val="Normal"/>
    <w:link w:val="BalloonTextChar"/>
    <w:uiPriority w:val="99"/>
    <w:semiHidden/>
    <w:unhideWhenUsed/>
    <w:rsid w:val="00A3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D5"/>
    <w:rPr>
      <w:rFonts w:ascii="Tahoma" w:hAnsi="Tahoma" w:cs="Tahoma"/>
      <w:sz w:val="16"/>
      <w:szCs w:val="16"/>
    </w:rPr>
  </w:style>
  <w:style w:type="paragraph" w:customStyle="1" w:styleId="Paragrafi">
    <w:name w:val="Paragrafi"/>
    <w:rsid w:val="00C45833"/>
    <w:pPr>
      <w:widowControl w:val="0"/>
      <w:spacing w:after="0" w:line="240" w:lineRule="auto"/>
      <w:ind w:firstLine="720"/>
      <w:jc w:val="both"/>
    </w:pPr>
    <w:rPr>
      <w:rFonts w:ascii="CG Times" w:eastAsia="Times New Roman" w:hAnsi="CG Times" w:cs="Times New Roman"/>
      <w:szCs w:val="20"/>
    </w:rPr>
  </w:style>
  <w:style w:type="paragraph" w:styleId="Header">
    <w:name w:val="header"/>
    <w:basedOn w:val="Normal"/>
    <w:link w:val="HeaderChar"/>
    <w:uiPriority w:val="99"/>
    <w:unhideWhenUsed/>
    <w:rsid w:val="00041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71"/>
  </w:style>
  <w:style w:type="paragraph" w:styleId="Footer">
    <w:name w:val="footer"/>
    <w:basedOn w:val="Normal"/>
    <w:link w:val="FooterChar"/>
    <w:uiPriority w:val="99"/>
    <w:unhideWhenUsed/>
    <w:rsid w:val="00041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71"/>
  </w:style>
  <w:style w:type="character" w:customStyle="1" w:styleId="apple-converted-space">
    <w:name w:val="apple-converted-space"/>
    <w:basedOn w:val="DefaultParagraphFont"/>
    <w:rsid w:val="00447C48"/>
  </w:style>
  <w:style w:type="paragraph" w:styleId="NormalWeb">
    <w:name w:val="Normal (Web)"/>
    <w:basedOn w:val="Normal"/>
    <w:uiPriority w:val="99"/>
    <w:semiHidden/>
    <w:unhideWhenUsed/>
    <w:rsid w:val="002E6C1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BodyText212pt">
    <w:name w:val="Body Text 2 + 12 pt"/>
    <w:aliases w:val="Justified,Line spacing:  1.5 lines"/>
    <w:basedOn w:val="Normal"/>
    <w:uiPriority w:val="99"/>
    <w:rsid w:val="00132345"/>
    <w:pPr>
      <w:spacing w:after="0" w:line="240" w:lineRule="auto"/>
    </w:pPr>
    <w:rPr>
      <w:rFonts w:ascii="Times New Roman" w:eastAsia="Times New Roman" w:hAnsi="Times New Roman" w:cs="Times New Roman"/>
      <w:b/>
      <w:bCs/>
      <w:sz w:val="24"/>
      <w:szCs w:val="24"/>
      <w:lang w:eastAsia="zh-CN"/>
    </w:rPr>
  </w:style>
  <w:style w:type="paragraph" w:customStyle="1" w:styleId="BodyA">
    <w:name w:val="Body A"/>
    <w:rsid w:val="004918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14:textOutline w14:w="12700" w14:cap="flat" w14:cmpd="sng" w14:algn="ctr">
        <w14:noFill/>
        <w14:prstDash w14:val="solid"/>
        <w14:miter w14:lim="400000"/>
      </w14:textOutline>
    </w:rPr>
  </w:style>
  <w:style w:type="paragraph" w:customStyle="1" w:styleId="Body">
    <w:name w:val="Body"/>
    <w:rsid w:val="004918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paragraph" w:customStyle="1" w:styleId="Default">
    <w:name w:val="Default"/>
    <w:rsid w:val="000318BA"/>
    <w:pPr>
      <w:pBdr>
        <w:top w:val="nil"/>
        <w:left w:val="nil"/>
        <w:bottom w:val="nil"/>
        <w:right w:val="nil"/>
        <w:between w:val="nil"/>
        <w:bar w:val="nil"/>
      </w:pBdr>
      <w:spacing w:after="0" w:line="240" w:lineRule="auto"/>
    </w:pPr>
    <w:rPr>
      <w:rFonts w:ascii="Times New Roman" w:eastAsia="Arial Unicode MS" w:hAnsi="Times New Roman" w:cs="Arial Unicode MS"/>
      <w:b/>
      <w:bCs/>
      <w:color w:val="000000"/>
      <w:sz w:val="24"/>
      <w:szCs w:val="24"/>
      <w:u w:color="000000"/>
      <w:bdr w:val="nil"/>
      <w:lang w:eastAsia="en-GB"/>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semiHidden/>
    <w:rsid w:val="00E9312E"/>
    <w:rPr>
      <w:rFonts w:asciiTheme="majorHAnsi" w:eastAsiaTheme="majorEastAsia" w:hAnsiTheme="majorHAnsi" w:cstheme="majorBidi"/>
      <w:color w:val="365F91" w:themeColor="accent1" w:themeShade="BF"/>
      <w:sz w:val="26"/>
      <w:szCs w:val="26"/>
    </w:rPr>
  </w:style>
  <w:style w:type="paragraph" w:customStyle="1" w:styleId="NoSpacing2">
    <w:name w:val="No Spacing2"/>
    <w:uiPriority w:val="1"/>
    <w:qFormat/>
    <w:rsid w:val="004A6266"/>
    <w:pPr>
      <w:spacing w:after="0" w:line="240" w:lineRule="auto"/>
    </w:pPr>
    <w:rPr>
      <w:rFonts w:ascii="Arial" w:eastAsia="Times New Roman" w:hAnsi="Arial" w:cs="Times New Roman"/>
      <w:szCs w:val="20"/>
      <w:lang w:val="en-GB"/>
    </w:rPr>
  </w:style>
  <w:style w:type="character" w:customStyle="1" w:styleId="ListParagraphChar">
    <w:name w:val="List Paragraph Char"/>
    <w:aliases w:val="Listenabsatz1 Char,Liststycke SKL Char,Normal bullet 2 Char,Bullet list Char,Table of contents numbered Char,Indent Paragraph Char,Lettre d'introduction Char,Paragraphe de liste PBLH Char,Graph &amp; Table tite Char,Llista Nivell1 Char"/>
    <w:link w:val="ListParagraph"/>
    <w:uiPriority w:val="34"/>
    <w:qFormat/>
    <w:locked/>
    <w:rsid w:val="00DB5FC7"/>
  </w:style>
  <w:style w:type="character" w:customStyle="1" w:styleId="contentpasted0">
    <w:name w:val="contentpasted0"/>
    <w:basedOn w:val="DefaultParagraphFont"/>
    <w:rsid w:val="00E21AD0"/>
  </w:style>
  <w:style w:type="paragraph" w:styleId="CommentText">
    <w:name w:val="annotation text"/>
    <w:basedOn w:val="Normal"/>
    <w:link w:val="CommentTextChar"/>
    <w:uiPriority w:val="99"/>
    <w:unhideWhenUsed/>
    <w:rsid w:val="00177FF9"/>
    <w:pPr>
      <w:spacing w:after="120" w:line="240" w:lineRule="auto"/>
      <w:jc w:val="both"/>
    </w:pPr>
    <w:rPr>
      <w:rFonts w:ascii="Calibri" w:hAnsi="Calibri" w:cs="Times New Roman"/>
      <w:sz w:val="20"/>
      <w:szCs w:val="20"/>
      <w:lang w:val="en-GB"/>
    </w:rPr>
  </w:style>
  <w:style w:type="character" w:customStyle="1" w:styleId="CommentTextChar">
    <w:name w:val="Comment Text Char"/>
    <w:basedOn w:val="DefaultParagraphFont"/>
    <w:link w:val="CommentText"/>
    <w:uiPriority w:val="99"/>
    <w:rsid w:val="00177FF9"/>
    <w:rPr>
      <w:rFonts w:ascii="Calibri" w:hAnsi="Calibri" w:cs="Times New Roman"/>
      <w:sz w:val="20"/>
      <w:szCs w:val="20"/>
      <w:lang w:val="en-GB"/>
    </w:rPr>
  </w:style>
  <w:style w:type="character" w:styleId="CommentReference">
    <w:name w:val="annotation reference"/>
    <w:basedOn w:val="DefaultParagraphFont"/>
    <w:uiPriority w:val="99"/>
    <w:semiHidden/>
    <w:unhideWhenUsed/>
    <w:rsid w:val="00177FF9"/>
    <w:rPr>
      <w:sz w:val="16"/>
      <w:szCs w:val="16"/>
    </w:rPr>
  </w:style>
  <w:style w:type="character" w:styleId="IntenseReference">
    <w:name w:val="Intense Reference"/>
    <w:uiPriority w:val="32"/>
    <w:qFormat/>
    <w:rsid w:val="00683F9B"/>
    <w:rPr>
      <w:rFonts w:ascii="Arial" w:eastAsiaTheme="minorHAnsi" w:hAnsi="Arial" w:cs="Arial"/>
      <w:i/>
      <w:color w:val="0070C0"/>
      <w:sz w:val="18"/>
      <w:szCs w:val="18"/>
    </w:rPr>
  </w:style>
  <w:style w:type="paragraph" w:styleId="CommentSubject">
    <w:name w:val="annotation subject"/>
    <w:basedOn w:val="CommentText"/>
    <w:next w:val="CommentText"/>
    <w:link w:val="CommentSubjectChar"/>
    <w:uiPriority w:val="99"/>
    <w:semiHidden/>
    <w:unhideWhenUsed/>
    <w:rsid w:val="005B5FB4"/>
    <w:pPr>
      <w:spacing w:after="200"/>
      <w:jc w:val="left"/>
    </w:pPr>
    <w:rPr>
      <w:rFonts w:ascii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B5FB4"/>
    <w:rPr>
      <w:rFonts w:ascii="Calibri" w:hAnsi="Calibri" w:cs="Times New Roman"/>
      <w:b/>
      <w:bCs/>
      <w:sz w:val="20"/>
      <w:szCs w:val="20"/>
      <w:lang w:val="en-GB"/>
    </w:rPr>
  </w:style>
  <w:style w:type="character" w:customStyle="1" w:styleId="rynqvb">
    <w:name w:val="rynqvb"/>
    <w:basedOn w:val="DefaultParagraphFont"/>
    <w:rsid w:val="00F40FAF"/>
  </w:style>
  <w:style w:type="character" w:customStyle="1" w:styleId="hwtze">
    <w:name w:val="hwtze"/>
    <w:basedOn w:val="DefaultParagraphFont"/>
    <w:rsid w:val="00F40FAF"/>
  </w:style>
  <w:style w:type="paragraph" w:styleId="FootnoteText">
    <w:name w:val="footnote text"/>
    <w:aliases w:val="single space,footnote text,fn,ALTS FOOTNOTE,ADB,ft,Footnote Text Char1,Footnote Text Char Char,FOOTNOTES,Footnote Text Char Car Char,single space1,footnote text1,fn1,Footnote Text Char2 Char,WB-Fußnotentext,Footnote,f,AD,Fußnote, Char,FN"/>
    <w:basedOn w:val="Normal"/>
    <w:link w:val="FootnoteTextChar"/>
    <w:uiPriority w:val="99"/>
    <w:unhideWhenUsed/>
    <w:qFormat/>
    <w:rsid w:val="00CE3AE2"/>
    <w:pPr>
      <w:spacing w:after="0" w:line="240" w:lineRule="auto"/>
    </w:pPr>
    <w:rPr>
      <w:rFonts w:ascii="Arial" w:hAnsi="Arial" w:cs="Arial"/>
      <w:sz w:val="20"/>
      <w:szCs w:val="20"/>
    </w:rPr>
  </w:style>
  <w:style w:type="character" w:customStyle="1" w:styleId="FootnoteTextChar">
    <w:name w:val="Footnote Text Char"/>
    <w:aliases w:val="single space Char,footnote text Char,fn Char,ALTS FOOTNOTE Char,ADB Char,ft Char,Footnote Text Char1 Char,Footnote Text Char Char Char,FOOTNOTES Char,Footnote Text Char Car Char Char,single space1 Char,footnote text1 Char,fn1 Char"/>
    <w:basedOn w:val="DefaultParagraphFont"/>
    <w:link w:val="FootnoteText"/>
    <w:uiPriority w:val="99"/>
    <w:rsid w:val="00CE3AE2"/>
    <w:rPr>
      <w:rFonts w:ascii="Arial" w:hAnsi="Arial" w:cs="Arial"/>
      <w:sz w:val="20"/>
      <w:szCs w:val="20"/>
    </w:rPr>
  </w:style>
  <w:style w:type="character" w:styleId="FootnoteReference">
    <w:name w:val="footnote reference"/>
    <w:aliases w:val="ftref,Char Char,BVI fnr,ftref Char,BVI fnr Char,BVI fnr Car Char,Char Char Car Char,Char Char Char Char Char Char Char Char Char Char Char Char Char Char Char Char Char Char Char Char Car Char,16 Point Char,fr,R,16 Point,sobrescrito"/>
    <w:basedOn w:val="DefaultParagraphFont"/>
    <w:link w:val="BVIfnrCarCarCarCarChar"/>
    <w:uiPriority w:val="99"/>
    <w:unhideWhenUsed/>
    <w:qFormat/>
    <w:rsid w:val="00CE3AE2"/>
    <w:rPr>
      <w:rFonts w:ascii="Arial" w:hAnsi="Arial"/>
      <w:sz w:val="18"/>
      <w:szCs w:val="14"/>
      <w:vertAlign w:val="superscript"/>
    </w:rPr>
  </w:style>
  <w:style w:type="paragraph" w:customStyle="1" w:styleId="BVIfnrCarCarCarCarChar">
    <w:name w:val="BVI fnr Car Car Car Car Char"/>
    <w:basedOn w:val="Normal"/>
    <w:link w:val="FootnoteReference"/>
    <w:uiPriority w:val="99"/>
    <w:rsid w:val="00CE3AE2"/>
    <w:pPr>
      <w:spacing w:after="0" w:line="288" w:lineRule="auto"/>
      <w:ind w:left="284" w:hanging="284"/>
      <w:jc w:val="both"/>
    </w:pPr>
    <w:rPr>
      <w:rFonts w:ascii="Arial" w:hAnsi="Arial"/>
      <w:sz w:val="18"/>
      <w:szCs w:val="14"/>
      <w:vertAlign w:val="superscript"/>
    </w:rPr>
  </w:style>
  <w:style w:type="character" w:customStyle="1" w:styleId="EcorysBodyChar">
    <w:name w:val="Ecorys Body Char"/>
    <w:basedOn w:val="DefaultParagraphFont"/>
    <w:link w:val="EcorysBody"/>
    <w:locked/>
    <w:rsid w:val="00716415"/>
    <w:rPr>
      <w:rFonts w:ascii="Open Sans Light" w:hAnsi="Open Sans Light" w:cs="Open Sans Light"/>
      <w:sz w:val="18"/>
      <w:szCs w:val="20"/>
    </w:rPr>
  </w:style>
  <w:style w:type="paragraph" w:customStyle="1" w:styleId="EcorysBody">
    <w:name w:val="Ecorys Body"/>
    <w:link w:val="EcorysBodyChar"/>
    <w:rsid w:val="00716415"/>
    <w:pPr>
      <w:spacing w:after="0" w:line="264" w:lineRule="auto"/>
    </w:pPr>
    <w:rPr>
      <w:rFonts w:ascii="Open Sans Light" w:hAnsi="Open Sans Light" w:cs="Open Sans Light"/>
      <w:sz w:val="18"/>
      <w:szCs w:val="20"/>
    </w:rPr>
  </w:style>
  <w:style w:type="character" w:styleId="Hyperlink">
    <w:name w:val="Hyperlink"/>
    <w:basedOn w:val="DefaultParagraphFont"/>
    <w:uiPriority w:val="99"/>
    <w:unhideWhenUsed/>
    <w:rsid w:val="00716415"/>
    <w:rPr>
      <w:color w:val="0000FF" w:themeColor="hyperlink"/>
      <w:u w:val="single"/>
    </w:rPr>
  </w:style>
  <w:style w:type="character" w:customStyle="1" w:styleId="cf01">
    <w:name w:val="cf01"/>
    <w:basedOn w:val="DefaultParagraphFont"/>
    <w:rsid w:val="000E0A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99721">
      <w:bodyDiv w:val="1"/>
      <w:marLeft w:val="0"/>
      <w:marRight w:val="0"/>
      <w:marTop w:val="0"/>
      <w:marBottom w:val="0"/>
      <w:divBdr>
        <w:top w:val="none" w:sz="0" w:space="0" w:color="auto"/>
        <w:left w:val="none" w:sz="0" w:space="0" w:color="auto"/>
        <w:bottom w:val="none" w:sz="0" w:space="0" w:color="auto"/>
        <w:right w:val="none" w:sz="0" w:space="0" w:color="auto"/>
      </w:divBdr>
    </w:div>
    <w:div w:id="432169279">
      <w:bodyDiv w:val="1"/>
      <w:marLeft w:val="0"/>
      <w:marRight w:val="0"/>
      <w:marTop w:val="0"/>
      <w:marBottom w:val="0"/>
      <w:divBdr>
        <w:top w:val="none" w:sz="0" w:space="0" w:color="auto"/>
        <w:left w:val="none" w:sz="0" w:space="0" w:color="auto"/>
        <w:bottom w:val="none" w:sz="0" w:space="0" w:color="auto"/>
        <w:right w:val="none" w:sz="0" w:space="0" w:color="auto"/>
      </w:divBdr>
    </w:div>
    <w:div w:id="553320953">
      <w:bodyDiv w:val="1"/>
      <w:marLeft w:val="0"/>
      <w:marRight w:val="0"/>
      <w:marTop w:val="0"/>
      <w:marBottom w:val="0"/>
      <w:divBdr>
        <w:top w:val="none" w:sz="0" w:space="0" w:color="auto"/>
        <w:left w:val="none" w:sz="0" w:space="0" w:color="auto"/>
        <w:bottom w:val="none" w:sz="0" w:space="0" w:color="auto"/>
        <w:right w:val="none" w:sz="0" w:space="0" w:color="auto"/>
      </w:divBdr>
    </w:div>
    <w:div w:id="570509604">
      <w:bodyDiv w:val="1"/>
      <w:marLeft w:val="0"/>
      <w:marRight w:val="0"/>
      <w:marTop w:val="0"/>
      <w:marBottom w:val="0"/>
      <w:divBdr>
        <w:top w:val="none" w:sz="0" w:space="0" w:color="auto"/>
        <w:left w:val="none" w:sz="0" w:space="0" w:color="auto"/>
        <w:bottom w:val="none" w:sz="0" w:space="0" w:color="auto"/>
        <w:right w:val="none" w:sz="0" w:space="0" w:color="auto"/>
      </w:divBdr>
    </w:div>
    <w:div w:id="721683844">
      <w:bodyDiv w:val="1"/>
      <w:marLeft w:val="0"/>
      <w:marRight w:val="0"/>
      <w:marTop w:val="0"/>
      <w:marBottom w:val="0"/>
      <w:divBdr>
        <w:top w:val="none" w:sz="0" w:space="0" w:color="auto"/>
        <w:left w:val="none" w:sz="0" w:space="0" w:color="auto"/>
        <w:bottom w:val="none" w:sz="0" w:space="0" w:color="auto"/>
        <w:right w:val="none" w:sz="0" w:space="0" w:color="auto"/>
      </w:divBdr>
    </w:div>
    <w:div w:id="1006519876">
      <w:bodyDiv w:val="1"/>
      <w:marLeft w:val="0"/>
      <w:marRight w:val="0"/>
      <w:marTop w:val="0"/>
      <w:marBottom w:val="0"/>
      <w:divBdr>
        <w:top w:val="none" w:sz="0" w:space="0" w:color="auto"/>
        <w:left w:val="none" w:sz="0" w:space="0" w:color="auto"/>
        <w:bottom w:val="none" w:sz="0" w:space="0" w:color="auto"/>
        <w:right w:val="none" w:sz="0" w:space="0" w:color="auto"/>
      </w:divBdr>
    </w:div>
    <w:div w:id="1545748159">
      <w:bodyDiv w:val="1"/>
      <w:marLeft w:val="0"/>
      <w:marRight w:val="0"/>
      <w:marTop w:val="0"/>
      <w:marBottom w:val="0"/>
      <w:divBdr>
        <w:top w:val="none" w:sz="0" w:space="0" w:color="auto"/>
        <w:left w:val="none" w:sz="0" w:space="0" w:color="auto"/>
        <w:bottom w:val="none" w:sz="0" w:space="0" w:color="auto"/>
        <w:right w:val="none" w:sz="0" w:space="0" w:color="auto"/>
      </w:divBdr>
    </w:div>
    <w:div w:id="1826435604">
      <w:bodyDiv w:val="1"/>
      <w:marLeft w:val="0"/>
      <w:marRight w:val="0"/>
      <w:marTop w:val="0"/>
      <w:marBottom w:val="0"/>
      <w:divBdr>
        <w:top w:val="none" w:sz="0" w:space="0" w:color="auto"/>
        <w:left w:val="none" w:sz="0" w:space="0" w:color="auto"/>
        <w:bottom w:val="none" w:sz="0" w:space="0" w:color="auto"/>
        <w:right w:val="none" w:sz="0" w:space="0" w:color="auto"/>
      </w:divBdr>
    </w:div>
    <w:div w:id="1945653952">
      <w:bodyDiv w:val="1"/>
      <w:marLeft w:val="0"/>
      <w:marRight w:val="0"/>
      <w:marTop w:val="0"/>
      <w:marBottom w:val="0"/>
      <w:divBdr>
        <w:top w:val="none" w:sz="0" w:space="0" w:color="auto"/>
        <w:left w:val="none" w:sz="0" w:space="0" w:color="auto"/>
        <w:bottom w:val="none" w:sz="0" w:space="0" w:color="auto"/>
        <w:right w:val="none" w:sz="0" w:space="0" w:color="auto"/>
      </w:divBdr>
    </w:div>
    <w:div w:id="2005744030">
      <w:bodyDiv w:val="1"/>
      <w:marLeft w:val="0"/>
      <w:marRight w:val="0"/>
      <w:marTop w:val="0"/>
      <w:marBottom w:val="0"/>
      <w:divBdr>
        <w:top w:val="none" w:sz="0" w:space="0" w:color="auto"/>
        <w:left w:val="none" w:sz="0" w:space="0" w:color="auto"/>
        <w:bottom w:val="none" w:sz="0" w:space="0" w:color="auto"/>
        <w:right w:val="none" w:sz="0" w:space="0" w:color="auto"/>
      </w:divBdr>
    </w:div>
    <w:div w:id="2041739140">
      <w:bodyDiv w:val="1"/>
      <w:marLeft w:val="0"/>
      <w:marRight w:val="0"/>
      <w:marTop w:val="0"/>
      <w:marBottom w:val="0"/>
      <w:divBdr>
        <w:top w:val="none" w:sz="0" w:space="0" w:color="auto"/>
        <w:left w:val="none" w:sz="0" w:space="0" w:color="auto"/>
        <w:bottom w:val="none" w:sz="0" w:space="0" w:color="auto"/>
        <w:right w:val="none" w:sz="0" w:space="0" w:color="auto"/>
      </w:divBdr>
    </w:div>
    <w:div w:id="20434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68D6-1237-49EE-860C-4D8E9829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10217</Words>
  <Characters>58239</Characters>
  <Application>Microsoft Office Word</Application>
  <DocSecurity>0</DocSecurity>
  <Lines>485</Lines>
  <Paragraphs>136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XXX</Company>
  <LinksUpToDate>false</LinksUpToDate>
  <CharactersWithSpaces>68320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xxx;Elson Caka</dc:creator>
  <cp:keywords/>
  <dc:description/>
  <cp:lastModifiedBy>Anila Panajoti</cp:lastModifiedBy>
  <cp:revision>2</cp:revision>
  <cp:lastPrinted>2024-03-25T14:50:00Z</cp:lastPrinted>
  <dcterms:created xsi:type="dcterms:W3CDTF">2024-04-05T12:02:00Z</dcterms:created>
  <dcterms:modified xsi:type="dcterms:W3CDTF">2024-04-05T12:02:00Z</dcterms:modified>
</cp:coreProperties>
</file>