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F22BD" w14:textId="77777777" w:rsidR="009273E6" w:rsidRDefault="009273E6" w:rsidP="009273E6">
      <w:pPr>
        <w:pStyle w:val="H-titel"/>
        <w:jc w:val="center"/>
        <w:rPr>
          <w:rStyle w:val="IntenseReference"/>
          <w:rFonts w:eastAsiaTheme="majorEastAsia" w:cstheme="majorBidi"/>
          <w:i w:val="0"/>
          <w:sz w:val="44"/>
          <w:szCs w:val="32"/>
          <w:lang w:val="en-GB"/>
        </w:rPr>
      </w:pPr>
      <w:bookmarkStart w:id="0" w:name="_GoBack"/>
      <w:bookmarkEnd w:id="0"/>
    </w:p>
    <w:p w14:paraId="65834E30" w14:textId="77777777" w:rsidR="009273E6" w:rsidRDefault="009273E6" w:rsidP="009273E6">
      <w:pPr>
        <w:pStyle w:val="H-titel"/>
        <w:jc w:val="center"/>
        <w:rPr>
          <w:rStyle w:val="IntenseReference"/>
          <w:rFonts w:eastAsiaTheme="majorEastAsia" w:cstheme="majorBidi"/>
          <w:i w:val="0"/>
          <w:sz w:val="44"/>
          <w:szCs w:val="32"/>
          <w:lang w:val="en-GB"/>
        </w:rPr>
      </w:pPr>
    </w:p>
    <w:p w14:paraId="795B6B77" w14:textId="77777777" w:rsidR="009273E6" w:rsidRDefault="009273E6" w:rsidP="009273E6">
      <w:pPr>
        <w:pStyle w:val="H-titel"/>
        <w:jc w:val="center"/>
        <w:rPr>
          <w:rStyle w:val="IntenseReference"/>
          <w:rFonts w:eastAsiaTheme="majorEastAsia" w:cstheme="majorBidi"/>
          <w:i w:val="0"/>
          <w:sz w:val="44"/>
          <w:szCs w:val="32"/>
          <w:lang w:val="en-GB"/>
        </w:rPr>
      </w:pPr>
    </w:p>
    <w:p w14:paraId="49E1B495" w14:textId="236F39BB" w:rsidR="00C81923" w:rsidRPr="00B9199D" w:rsidRDefault="00B9199D" w:rsidP="009273E6">
      <w:pPr>
        <w:pStyle w:val="H-titel"/>
        <w:jc w:val="center"/>
        <w:rPr>
          <w:rStyle w:val="IntenseReference"/>
          <w:rFonts w:ascii="Albertus Extra Bold" w:eastAsiaTheme="majorEastAsia" w:hAnsi="Albertus Extra Bold" w:cstheme="majorBidi"/>
          <w:i w:val="0"/>
          <w:sz w:val="48"/>
          <w:szCs w:val="32"/>
          <w:lang w:val="en-GB"/>
        </w:rPr>
      </w:pPr>
      <w:r w:rsidRPr="00B9199D">
        <w:rPr>
          <w:rStyle w:val="IntenseReference"/>
          <w:rFonts w:ascii="Albertus Extra Bold" w:eastAsiaTheme="majorEastAsia" w:hAnsi="Albertus Extra Bold" w:cstheme="majorBidi"/>
          <w:i w:val="0"/>
          <w:sz w:val="48"/>
          <w:szCs w:val="32"/>
          <w:lang w:val="en-GB"/>
        </w:rPr>
        <w:t>P</w:t>
      </w:r>
      <w:r>
        <w:rPr>
          <w:rStyle w:val="IntenseReference"/>
          <w:rFonts w:ascii="Albertus Extra Bold" w:eastAsiaTheme="majorEastAsia" w:hAnsi="Albertus Extra Bold" w:cstheme="majorBidi"/>
          <w:i w:val="0"/>
          <w:sz w:val="48"/>
          <w:szCs w:val="32"/>
          <w:lang w:val="en-GB"/>
        </w:rPr>
        <w:t xml:space="preserve">UBLIC </w:t>
      </w:r>
      <w:r w:rsidRPr="00B9199D">
        <w:rPr>
          <w:rStyle w:val="IntenseReference"/>
          <w:rFonts w:ascii="Albertus Extra Bold" w:eastAsiaTheme="majorEastAsia" w:hAnsi="Albertus Extra Bold" w:cstheme="majorBidi"/>
          <w:i w:val="0"/>
          <w:sz w:val="48"/>
          <w:szCs w:val="32"/>
          <w:lang w:val="en-GB"/>
        </w:rPr>
        <w:t>F</w:t>
      </w:r>
      <w:r>
        <w:rPr>
          <w:rStyle w:val="IntenseReference"/>
          <w:rFonts w:ascii="Albertus Extra Bold" w:eastAsiaTheme="majorEastAsia" w:hAnsi="Albertus Extra Bold" w:cstheme="majorBidi"/>
          <w:i w:val="0"/>
          <w:sz w:val="48"/>
          <w:szCs w:val="32"/>
          <w:lang w:val="en-GB"/>
        </w:rPr>
        <w:t xml:space="preserve">INANCE </w:t>
      </w:r>
      <w:r w:rsidRPr="00B9199D">
        <w:rPr>
          <w:rStyle w:val="IntenseReference"/>
          <w:rFonts w:ascii="Albertus Extra Bold" w:eastAsiaTheme="majorEastAsia" w:hAnsi="Albertus Extra Bold" w:cstheme="majorBidi"/>
          <w:i w:val="0"/>
          <w:sz w:val="48"/>
          <w:szCs w:val="32"/>
          <w:lang w:val="en-GB"/>
        </w:rPr>
        <w:t>M</w:t>
      </w:r>
      <w:r>
        <w:rPr>
          <w:rStyle w:val="IntenseReference"/>
          <w:rFonts w:ascii="Albertus Extra Bold" w:eastAsiaTheme="majorEastAsia" w:hAnsi="Albertus Extra Bold" w:cstheme="majorBidi"/>
          <w:i w:val="0"/>
          <w:sz w:val="48"/>
          <w:szCs w:val="32"/>
          <w:lang w:val="en-GB"/>
        </w:rPr>
        <w:t>ANAGEMENT</w:t>
      </w:r>
      <w:r w:rsidRPr="00B9199D">
        <w:rPr>
          <w:rStyle w:val="IntenseReference"/>
          <w:rFonts w:ascii="Albertus Extra Bold" w:eastAsiaTheme="majorEastAsia" w:hAnsi="Albertus Extra Bold" w:cstheme="majorBidi"/>
          <w:i w:val="0"/>
          <w:sz w:val="48"/>
          <w:szCs w:val="32"/>
          <w:lang w:val="en-GB"/>
        </w:rPr>
        <w:t xml:space="preserve"> SECTORAL STRATEGY 2023-2030 AND ACTION PLAN 2023-2026</w:t>
      </w:r>
    </w:p>
    <w:p w14:paraId="21D570D8" w14:textId="77777777" w:rsidR="00C81923" w:rsidRDefault="00C81923" w:rsidP="00C81923">
      <w:pPr>
        <w:rPr>
          <w:rStyle w:val="IntenseReference"/>
          <w:rFonts w:eastAsiaTheme="majorEastAsia" w:cstheme="majorBidi"/>
          <w:i w:val="0"/>
          <w:sz w:val="26"/>
          <w:szCs w:val="26"/>
          <w:lang w:val="en-GB"/>
        </w:rPr>
      </w:pPr>
    </w:p>
    <w:p w14:paraId="37680178" w14:textId="77777777" w:rsidR="009273E6" w:rsidRDefault="009273E6" w:rsidP="00C81923">
      <w:pPr>
        <w:rPr>
          <w:rStyle w:val="IntenseReference"/>
          <w:rFonts w:eastAsiaTheme="majorEastAsia" w:cstheme="majorBidi"/>
          <w:i w:val="0"/>
          <w:sz w:val="26"/>
          <w:szCs w:val="26"/>
          <w:lang w:val="en-GB"/>
        </w:rPr>
      </w:pPr>
    </w:p>
    <w:p w14:paraId="2C0D1DC1" w14:textId="77777777" w:rsidR="009273E6" w:rsidRDefault="009273E6" w:rsidP="00C81923">
      <w:pPr>
        <w:rPr>
          <w:rStyle w:val="IntenseReference"/>
          <w:rFonts w:eastAsiaTheme="majorEastAsia" w:cstheme="majorBidi"/>
          <w:i w:val="0"/>
          <w:sz w:val="26"/>
          <w:szCs w:val="26"/>
          <w:lang w:val="en-GB"/>
        </w:rPr>
      </w:pPr>
    </w:p>
    <w:p w14:paraId="0E3B41B2" w14:textId="77777777" w:rsidR="009273E6" w:rsidRDefault="009273E6" w:rsidP="00C81923">
      <w:pPr>
        <w:rPr>
          <w:rStyle w:val="IntenseReference"/>
          <w:rFonts w:eastAsiaTheme="majorEastAsia" w:cstheme="majorBidi"/>
          <w:i w:val="0"/>
          <w:sz w:val="26"/>
          <w:szCs w:val="26"/>
          <w:lang w:val="en-GB"/>
        </w:rPr>
      </w:pPr>
    </w:p>
    <w:p w14:paraId="1253EF35" w14:textId="77777777" w:rsidR="009273E6" w:rsidRDefault="009273E6" w:rsidP="00C81923">
      <w:pPr>
        <w:rPr>
          <w:rStyle w:val="IntenseReference"/>
          <w:rFonts w:eastAsiaTheme="majorEastAsia" w:cstheme="majorBidi"/>
          <w:i w:val="0"/>
          <w:sz w:val="26"/>
          <w:szCs w:val="26"/>
          <w:lang w:val="en-GB"/>
        </w:rPr>
      </w:pPr>
    </w:p>
    <w:p w14:paraId="390C77CE" w14:textId="77777777" w:rsidR="009273E6" w:rsidRDefault="009273E6" w:rsidP="00C81923">
      <w:pPr>
        <w:rPr>
          <w:rStyle w:val="IntenseReference"/>
          <w:rFonts w:eastAsiaTheme="majorEastAsia" w:cstheme="majorBidi"/>
          <w:i w:val="0"/>
          <w:sz w:val="26"/>
          <w:szCs w:val="26"/>
          <w:lang w:val="en-GB"/>
        </w:rPr>
      </w:pPr>
    </w:p>
    <w:p w14:paraId="2E5CF27A" w14:textId="77777777" w:rsidR="009273E6" w:rsidRDefault="009273E6" w:rsidP="00C81923">
      <w:pPr>
        <w:rPr>
          <w:rStyle w:val="IntenseReference"/>
          <w:rFonts w:eastAsiaTheme="majorEastAsia" w:cstheme="majorBidi"/>
          <w:i w:val="0"/>
          <w:sz w:val="26"/>
          <w:szCs w:val="26"/>
          <w:lang w:val="en-GB"/>
        </w:rPr>
      </w:pPr>
    </w:p>
    <w:p w14:paraId="3ECF0797" w14:textId="77777777" w:rsidR="009273E6" w:rsidRDefault="009273E6" w:rsidP="00C81923">
      <w:pPr>
        <w:rPr>
          <w:rStyle w:val="IntenseReference"/>
          <w:rFonts w:eastAsiaTheme="majorEastAsia" w:cstheme="majorBidi"/>
          <w:i w:val="0"/>
          <w:sz w:val="26"/>
          <w:szCs w:val="26"/>
          <w:lang w:val="en-GB"/>
        </w:rPr>
      </w:pPr>
    </w:p>
    <w:p w14:paraId="4336A0E0" w14:textId="77777777" w:rsidR="009273E6" w:rsidRDefault="009273E6" w:rsidP="00C81923">
      <w:pPr>
        <w:rPr>
          <w:rStyle w:val="IntenseReference"/>
          <w:rFonts w:eastAsiaTheme="majorEastAsia" w:cstheme="majorBidi"/>
          <w:i w:val="0"/>
          <w:sz w:val="26"/>
          <w:szCs w:val="26"/>
          <w:lang w:val="en-GB"/>
        </w:rPr>
      </w:pPr>
    </w:p>
    <w:p w14:paraId="21C699E7" w14:textId="77777777" w:rsidR="009273E6" w:rsidRDefault="009273E6" w:rsidP="00C81923">
      <w:pPr>
        <w:rPr>
          <w:rStyle w:val="IntenseReference"/>
          <w:rFonts w:eastAsiaTheme="majorEastAsia" w:cstheme="majorBidi"/>
          <w:i w:val="0"/>
          <w:sz w:val="26"/>
          <w:szCs w:val="26"/>
          <w:lang w:val="en-GB"/>
        </w:rPr>
      </w:pPr>
    </w:p>
    <w:p w14:paraId="5B0AF54E" w14:textId="77777777" w:rsidR="009273E6" w:rsidRDefault="009273E6" w:rsidP="00C81923">
      <w:pPr>
        <w:rPr>
          <w:rStyle w:val="IntenseReference"/>
          <w:rFonts w:eastAsiaTheme="majorEastAsia" w:cstheme="majorBidi"/>
          <w:i w:val="0"/>
          <w:sz w:val="26"/>
          <w:szCs w:val="26"/>
          <w:lang w:val="en-GB"/>
        </w:rPr>
      </w:pPr>
    </w:p>
    <w:p w14:paraId="4E7188A0" w14:textId="77777777" w:rsidR="009273E6" w:rsidRDefault="009273E6" w:rsidP="00C81923">
      <w:pPr>
        <w:rPr>
          <w:rStyle w:val="IntenseReference"/>
          <w:rFonts w:eastAsiaTheme="majorEastAsia" w:cstheme="majorBidi"/>
          <w:i w:val="0"/>
          <w:sz w:val="26"/>
          <w:szCs w:val="26"/>
          <w:lang w:val="en-GB"/>
        </w:rPr>
      </w:pPr>
    </w:p>
    <w:p w14:paraId="7493536A" w14:textId="77777777" w:rsidR="009273E6" w:rsidRDefault="009273E6" w:rsidP="00C81923">
      <w:pPr>
        <w:rPr>
          <w:rStyle w:val="IntenseReference"/>
          <w:rFonts w:eastAsiaTheme="majorEastAsia" w:cstheme="majorBidi"/>
          <w:i w:val="0"/>
          <w:sz w:val="26"/>
          <w:szCs w:val="26"/>
          <w:lang w:val="en-GB"/>
        </w:rPr>
      </w:pPr>
    </w:p>
    <w:p w14:paraId="52F3FBEC" w14:textId="77777777" w:rsidR="009273E6" w:rsidRDefault="009273E6" w:rsidP="00C81923">
      <w:pPr>
        <w:rPr>
          <w:rStyle w:val="IntenseReference"/>
          <w:rFonts w:eastAsiaTheme="majorEastAsia" w:cstheme="majorBidi"/>
          <w:i w:val="0"/>
          <w:sz w:val="26"/>
          <w:szCs w:val="26"/>
          <w:lang w:val="en-GB"/>
        </w:rPr>
      </w:pPr>
    </w:p>
    <w:p w14:paraId="751474A8" w14:textId="77777777" w:rsidR="009273E6" w:rsidRDefault="009273E6" w:rsidP="00C81923">
      <w:pPr>
        <w:rPr>
          <w:rStyle w:val="IntenseReference"/>
          <w:rFonts w:eastAsiaTheme="majorEastAsia" w:cstheme="majorBidi"/>
          <w:i w:val="0"/>
          <w:sz w:val="26"/>
          <w:szCs w:val="26"/>
          <w:lang w:val="en-GB"/>
        </w:rPr>
      </w:pPr>
    </w:p>
    <w:p w14:paraId="2762FA75" w14:textId="77777777" w:rsidR="009273E6" w:rsidRDefault="009273E6" w:rsidP="00C81923">
      <w:pPr>
        <w:rPr>
          <w:rStyle w:val="IntenseReference"/>
          <w:rFonts w:eastAsiaTheme="majorEastAsia" w:cstheme="majorBidi"/>
          <w:i w:val="0"/>
          <w:sz w:val="26"/>
          <w:szCs w:val="26"/>
          <w:lang w:val="en-GB"/>
        </w:rPr>
      </w:pPr>
    </w:p>
    <w:p w14:paraId="6294E890" w14:textId="77777777" w:rsidR="009273E6" w:rsidRDefault="009273E6" w:rsidP="00C81923">
      <w:pPr>
        <w:rPr>
          <w:rStyle w:val="IntenseReference"/>
          <w:rFonts w:eastAsiaTheme="majorEastAsia" w:cstheme="majorBidi"/>
          <w:i w:val="0"/>
          <w:sz w:val="26"/>
          <w:szCs w:val="26"/>
          <w:lang w:val="en-GB"/>
        </w:rPr>
      </w:pPr>
    </w:p>
    <w:p w14:paraId="05AABB2E" w14:textId="77777777" w:rsidR="009273E6" w:rsidRDefault="009273E6" w:rsidP="00C81923">
      <w:pPr>
        <w:rPr>
          <w:rStyle w:val="IntenseReference"/>
          <w:rFonts w:eastAsiaTheme="majorEastAsia" w:cstheme="majorBidi"/>
          <w:i w:val="0"/>
          <w:sz w:val="26"/>
          <w:szCs w:val="26"/>
          <w:lang w:val="en-GB"/>
        </w:rPr>
      </w:pPr>
    </w:p>
    <w:p w14:paraId="01DB762F" w14:textId="77777777" w:rsidR="009273E6" w:rsidRDefault="009273E6" w:rsidP="00C81923">
      <w:pPr>
        <w:rPr>
          <w:rStyle w:val="IntenseReference"/>
          <w:rFonts w:eastAsiaTheme="majorEastAsia" w:cstheme="majorBidi"/>
          <w:i w:val="0"/>
          <w:sz w:val="26"/>
          <w:szCs w:val="26"/>
          <w:lang w:val="en-GB"/>
        </w:rPr>
      </w:pPr>
    </w:p>
    <w:p w14:paraId="5B518B77" w14:textId="77777777" w:rsidR="009273E6" w:rsidRDefault="009273E6" w:rsidP="00C81923">
      <w:pPr>
        <w:rPr>
          <w:rStyle w:val="IntenseReference"/>
          <w:rFonts w:eastAsiaTheme="majorEastAsia" w:cstheme="majorBidi"/>
          <w:i w:val="0"/>
          <w:sz w:val="26"/>
          <w:szCs w:val="26"/>
          <w:lang w:val="en-GB"/>
        </w:rPr>
      </w:pPr>
    </w:p>
    <w:p w14:paraId="62603C62" w14:textId="77777777" w:rsidR="009273E6" w:rsidRDefault="009273E6" w:rsidP="00C81923">
      <w:pPr>
        <w:rPr>
          <w:rStyle w:val="IntenseReference"/>
          <w:rFonts w:eastAsiaTheme="majorEastAsia" w:cstheme="majorBidi"/>
          <w:i w:val="0"/>
          <w:sz w:val="26"/>
          <w:szCs w:val="26"/>
          <w:lang w:val="en-GB"/>
        </w:rPr>
      </w:pPr>
    </w:p>
    <w:p w14:paraId="20F95884" w14:textId="77777777" w:rsidR="009273E6" w:rsidRDefault="009273E6" w:rsidP="00C81923">
      <w:pPr>
        <w:rPr>
          <w:rStyle w:val="IntenseReference"/>
          <w:rFonts w:eastAsiaTheme="majorEastAsia" w:cstheme="majorBidi"/>
          <w:i w:val="0"/>
          <w:sz w:val="26"/>
          <w:szCs w:val="26"/>
          <w:lang w:val="en-GB"/>
        </w:rPr>
      </w:pPr>
    </w:p>
    <w:p w14:paraId="7D06700E" w14:textId="77777777" w:rsidR="008137DF" w:rsidRDefault="008137DF" w:rsidP="00C81923">
      <w:pPr>
        <w:rPr>
          <w:rStyle w:val="IntenseReference"/>
          <w:rFonts w:eastAsiaTheme="majorEastAsia" w:cstheme="majorBidi"/>
          <w:i w:val="0"/>
          <w:sz w:val="26"/>
          <w:szCs w:val="26"/>
          <w:lang w:val="en-GB"/>
        </w:rPr>
      </w:pPr>
    </w:p>
    <w:p w14:paraId="7B05C0F8" w14:textId="77777777" w:rsidR="008137DF" w:rsidRDefault="008137DF" w:rsidP="00C81923">
      <w:pPr>
        <w:rPr>
          <w:rStyle w:val="IntenseReference"/>
          <w:rFonts w:eastAsiaTheme="majorEastAsia" w:cstheme="majorBidi"/>
          <w:i w:val="0"/>
          <w:sz w:val="26"/>
          <w:szCs w:val="26"/>
          <w:lang w:val="en-GB"/>
        </w:rPr>
      </w:pPr>
    </w:p>
    <w:p w14:paraId="71514207" w14:textId="77777777" w:rsidR="00C81923" w:rsidRPr="001F151E" w:rsidRDefault="00C81923" w:rsidP="00C81923">
      <w:pPr>
        <w:rPr>
          <w:rStyle w:val="IntenseReference"/>
          <w:rFonts w:eastAsiaTheme="majorEastAsia" w:cstheme="majorBidi"/>
          <w:i w:val="0"/>
          <w:sz w:val="26"/>
          <w:szCs w:val="26"/>
          <w:lang w:val="en-GB"/>
        </w:rPr>
      </w:pPr>
    </w:p>
    <w:p w14:paraId="3670A324" w14:textId="386189D5" w:rsidR="00C81923" w:rsidRPr="001F151E" w:rsidRDefault="00C81923" w:rsidP="003F0C46">
      <w:pPr>
        <w:rPr>
          <w:rStyle w:val="IntenseReference"/>
          <w:rFonts w:eastAsiaTheme="majorEastAsia" w:cstheme="majorBidi"/>
          <w:i w:val="0"/>
          <w:sz w:val="26"/>
          <w:szCs w:val="26"/>
          <w:lang w:val="en-GB"/>
        </w:rPr>
      </w:pPr>
      <w:r w:rsidRPr="001F151E">
        <w:rPr>
          <w:rStyle w:val="IntenseReference"/>
          <w:rFonts w:eastAsiaTheme="majorEastAsia" w:cstheme="majorBidi"/>
          <w:i w:val="0"/>
          <w:sz w:val="26"/>
          <w:szCs w:val="26"/>
          <w:lang w:val="en-GB"/>
        </w:rPr>
        <w:t>Table of Content</w:t>
      </w:r>
    </w:p>
    <w:sdt>
      <w:sdtPr>
        <w:rPr>
          <w:lang w:val="en-GB"/>
        </w:rPr>
        <w:id w:val="1212147647"/>
        <w:docPartObj>
          <w:docPartGallery w:val="Table of Contents"/>
          <w:docPartUnique/>
        </w:docPartObj>
      </w:sdtPr>
      <w:sdtEndPr>
        <w:rPr>
          <w:b/>
          <w:bCs/>
          <w:noProof/>
        </w:rPr>
      </w:sdtEndPr>
      <w:sdtContent>
        <w:p w14:paraId="40465EC2" w14:textId="2090F428" w:rsidR="00C81923" w:rsidRPr="001F151E" w:rsidRDefault="00C81923" w:rsidP="00AC589A">
          <w:pPr>
            <w:rPr>
              <w:lang w:val="en-GB"/>
            </w:rPr>
          </w:pPr>
        </w:p>
        <w:p w14:paraId="1AD32554" w14:textId="77777777" w:rsidR="001F32B8" w:rsidRDefault="00C81923">
          <w:pPr>
            <w:pStyle w:val="TOC1"/>
            <w:rPr>
              <w:rFonts w:asciiTheme="minorHAnsi" w:eastAsiaTheme="minorEastAsia" w:hAnsiTheme="minorHAnsi" w:cstheme="minorBidi"/>
              <w:noProof/>
              <w:sz w:val="22"/>
              <w:szCs w:val="22"/>
            </w:rPr>
          </w:pPr>
          <w:r w:rsidRPr="001F151E">
            <w:rPr>
              <w:lang w:val="en-GB"/>
            </w:rPr>
            <w:fldChar w:fldCharType="begin"/>
          </w:r>
          <w:r w:rsidRPr="001F151E">
            <w:rPr>
              <w:lang w:val="en-GB"/>
            </w:rPr>
            <w:instrText xml:space="preserve"> TOC \o "1-3" \h \z \u </w:instrText>
          </w:r>
          <w:r w:rsidRPr="001F151E">
            <w:rPr>
              <w:lang w:val="en-GB"/>
            </w:rPr>
            <w:fldChar w:fldCharType="separate"/>
          </w:r>
          <w:hyperlink w:anchor="_Toc163148000" w:history="1">
            <w:r w:rsidR="001F32B8" w:rsidRPr="00290E42">
              <w:rPr>
                <w:rStyle w:val="Hyperlink"/>
                <w:noProof/>
                <w:lang w:val="en-GB"/>
              </w:rPr>
              <w:t>Abbreviations</w:t>
            </w:r>
            <w:r w:rsidR="001F32B8">
              <w:rPr>
                <w:noProof/>
                <w:webHidden/>
              </w:rPr>
              <w:tab/>
            </w:r>
            <w:r w:rsidR="001F32B8">
              <w:rPr>
                <w:noProof/>
                <w:webHidden/>
              </w:rPr>
              <w:fldChar w:fldCharType="begin"/>
            </w:r>
            <w:r w:rsidR="001F32B8">
              <w:rPr>
                <w:noProof/>
                <w:webHidden/>
              </w:rPr>
              <w:instrText xml:space="preserve"> PAGEREF _Toc163148000 \h </w:instrText>
            </w:r>
            <w:r w:rsidR="001F32B8">
              <w:rPr>
                <w:noProof/>
                <w:webHidden/>
              </w:rPr>
            </w:r>
            <w:r w:rsidR="001F32B8">
              <w:rPr>
                <w:noProof/>
                <w:webHidden/>
              </w:rPr>
              <w:fldChar w:fldCharType="separate"/>
            </w:r>
            <w:r w:rsidR="00250287">
              <w:rPr>
                <w:noProof/>
                <w:webHidden/>
              </w:rPr>
              <w:t>4</w:t>
            </w:r>
            <w:r w:rsidR="001F32B8">
              <w:rPr>
                <w:noProof/>
                <w:webHidden/>
              </w:rPr>
              <w:fldChar w:fldCharType="end"/>
            </w:r>
          </w:hyperlink>
        </w:p>
        <w:p w14:paraId="314BB8E5" w14:textId="77777777" w:rsidR="001F32B8" w:rsidRDefault="00342306">
          <w:pPr>
            <w:pStyle w:val="TOC1"/>
            <w:rPr>
              <w:rFonts w:asciiTheme="minorHAnsi" w:eastAsiaTheme="minorEastAsia" w:hAnsiTheme="minorHAnsi" w:cstheme="minorBidi"/>
              <w:noProof/>
              <w:sz w:val="22"/>
              <w:szCs w:val="22"/>
            </w:rPr>
          </w:pPr>
          <w:hyperlink w:anchor="_Toc163148001" w:history="1">
            <w:r w:rsidR="001F32B8" w:rsidRPr="00290E42">
              <w:rPr>
                <w:rStyle w:val="Hyperlink"/>
                <w:noProof/>
                <w:lang w:val="en-GB"/>
              </w:rPr>
              <w:t>Executive Summary</w:t>
            </w:r>
            <w:r w:rsidR="001F32B8">
              <w:rPr>
                <w:noProof/>
                <w:webHidden/>
              </w:rPr>
              <w:tab/>
            </w:r>
            <w:r w:rsidR="001F32B8">
              <w:rPr>
                <w:noProof/>
                <w:webHidden/>
              </w:rPr>
              <w:fldChar w:fldCharType="begin"/>
            </w:r>
            <w:r w:rsidR="001F32B8">
              <w:rPr>
                <w:noProof/>
                <w:webHidden/>
              </w:rPr>
              <w:instrText xml:space="preserve"> PAGEREF _Toc163148001 \h </w:instrText>
            </w:r>
            <w:r w:rsidR="001F32B8">
              <w:rPr>
                <w:noProof/>
                <w:webHidden/>
              </w:rPr>
            </w:r>
            <w:r w:rsidR="001F32B8">
              <w:rPr>
                <w:noProof/>
                <w:webHidden/>
              </w:rPr>
              <w:fldChar w:fldCharType="separate"/>
            </w:r>
            <w:r w:rsidR="00250287">
              <w:rPr>
                <w:noProof/>
                <w:webHidden/>
              </w:rPr>
              <w:t>7</w:t>
            </w:r>
            <w:r w:rsidR="001F32B8">
              <w:rPr>
                <w:noProof/>
                <w:webHidden/>
              </w:rPr>
              <w:fldChar w:fldCharType="end"/>
            </w:r>
          </w:hyperlink>
        </w:p>
        <w:p w14:paraId="4100F791" w14:textId="77777777" w:rsidR="001F32B8" w:rsidRDefault="00342306">
          <w:pPr>
            <w:pStyle w:val="TOC1"/>
            <w:rPr>
              <w:rFonts w:asciiTheme="minorHAnsi" w:eastAsiaTheme="minorEastAsia" w:hAnsiTheme="minorHAnsi" w:cstheme="minorBidi"/>
              <w:noProof/>
              <w:sz w:val="22"/>
              <w:szCs w:val="22"/>
            </w:rPr>
          </w:pPr>
          <w:hyperlink w:anchor="_Toc163148002" w:history="1">
            <w:r w:rsidR="001F32B8" w:rsidRPr="00290E42">
              <w:rPr>
                <w:rStyle w:val="Hyperlink"/>
                <w:noProof/>
                <w:lang w:val="en-GB"/>
              </w:rPr>
              <w:t>1</w:t>
            </w:r>
            <w:r w:rsidR="001F32B8">
              <w:rPr>
                <w:rFonts w:asciiTheme="minorHAnsi" w:eastAsiaTheme="minorEastAsia" w:hAnsiTheme="minorHAnsi" w:cstheme="minorBidi"/>
                <w:noProof/>
                <w:sz w:val="22"/>
                <w:szCs w:val="22"/>
              </w:rPr>
              <w:tab/>
            </w:r>
            <w:r w:rsidR="001F32B8" w:rsidRPr="00290E42">
              <w:rPr>
                <w:rStyle w:val="Hyperlink"/>
                <w:noProof/>
                <w:lang w:val="en-GB"/>
              </w:rPr>
              <w:t>Introduction</w:t>
            </w:r>
            <w:r w:rsidR="001F32B8">
              <w:rPr>
                <w:noProof/>
                <w:webHidden/>
              </w:rPr>
              <w:tab/>
            </w:r>
            <w:r w:rsidR="001F32B8">
              <w:rPr>
                <w:noProof/>
                <w:webHidden/>
              </w:rPr>
              <w:fldChar w:fldCharType="begin"/>
            </w:r>
            <w:r w:rsidR="001F32B8">
              <w:rPr>
                <w:noProof/>
                <w:webHidden/>
              </w:rPr>
              <w:instrText xml:space="preserve"> PAGEREF _Toc163148002 \h </w:instrText>
            </w:r>
            <w:r w:rsidR="001F32B8">
              <w:rPr>
                <w:noProof/>
                <w:webHidden/>
              </w:rPr>
            </w:r>
            <w:r w:rsidR="001F32B8">
              <w:rPr>
                <w:noProof/>
                <w:webHidden/>
              </w:rPr>
              <w:fldChar w:fldCharType="separate"/>
            </w:r>
            <w:r w:rsidR="00250287">
              <w:rPr>
                <w:noProof/>
                <w:webHidden/>
              </w:rPr>
              <w:t>9</w:t>
            </w:r>
            <w:r w:rsidR="001F32B8">
              <w:rPr>
                <w:noProof/>
                <w:webHidden/>
              </w:rPr>
              <w:fldChar w:fldCharType="end"/>
            </w:r>
          </w:hyperlink>
        </w:p>
        <w:p w14:paraId="5D264F5D" w14:textId="77777777" w:rsidR="001F32B8" w:rsidRDefault="00342306">
          <w:pPr>
            <w:pStyle w:val="TOC2"/>
            <w:rPr>
              <w:rFonts w:asciiTheme="minorHAnsi" w:eastAsiaTheme="minorEastAsia" w:hAnsiTheme="minorHAnsi" w:cstheme="minorBidi"/>
              <w:noProof/>
              <w:sz w:val="22"/>
              <w:szCs w:val="22"/>
            </w:rPr>
          </w:pPr>
          <w:hyperlink w:anchor="_Toc163148003" w:history="1">
            <w:r w:rsidR="001F32B8" w:rsidRPr="00290E42">
              <w:rPr>
                <w:rStyle w:val="Hyperlink"/>
                <w:noProof/>
                <w:lang w:val="en-GB"/>
              </w:rPr>
              <w:t>1.1</w:t>
            </w:r>
            <w:r w:rsidR="001F32B8">
              <w:rPr>
                <w:rFonts w:asciiTheme="minorHAnsi" w:eastAsiaTheme="minorEastAsia" w:hAnsiTheme="minorHAnsi" w:cstheme="minorBidi"/>
                <w:noProof/>
                <w:sz w:val="22"/>
                <w:szCs w:val="22"/>
              </w:rPr>
              <w:tab/>
            </w:r>
            <w:r w:rsidR="001F32B8" w:rsidRPr="00290E42">
              <w:rPr>
                <w:rStyle w:val="Hyperlink"/>
                <w:noProof/>
                <w:lang w:val="en-GB"/>
              </w:rPr>
              <w:t>Scope and Goal</w:t>
            </w:r>
            <w:r w:rsidR="001F32B8">
              <w:rPr>
                <w:noProof/>
                <w:webHidden/>
              </w:rPr>
              <w:tab/>
            </w:r>
            <w:r w:rsidR="001F32B8">
              <w:rPr>
                <w:noProof/>
                <w:webHidden/>
              </w:rPr>
              <w:fldChar w:fldCharType="begin"/>
            </w:r>
            <w:r w:rsidR="001F32B8">
              <w:rPr>
                <w:noProof/>
                <w:webHidden/>
              </w:rPr>
              <w:instrText xml:space="preserve"> PAGEREF _Toc163148003 \h </w:instrText>
            </w:r>
            <w:r w:rsidR="001F32B8">
              <w:rPr>
                <w:noProof/>
                <w:webHidden/>
              </w:rPr>
            </w:r>
            <w:r w:rsidR="001F32B8">
              <w:rPr>
                <w:noProof/>
                <w:webHidden/>
              </w:rPr>
              <w:fldChar w:fldCharType="separate"/>
            </w:r>
            <w:r w:rsidR="00250287">
              <w:rPr>
                <w:noProof/>
                <w:webHidden/>
              </w:rPr>
              <w:t>9</w:t>
            </w:r>
            <w:r w:rsidR="001F32B8">
              <w:rPr>
                <w:noProof/>
                <w:webHidden/>
              </w:rPr>
              <w:fldChar w:fldCharType="end"/>
            </w:r>
          </w:hyperlink>
        </w:p>
        <w:p w14:paraId="21BF8CE3" w14:textId="77777777" w:rsidR="001F32B8" w:rsidRDefault="00342306">
          <w:pPr>
            <w:pStyle w:val="TOC2"/>
            <w:rPr>
              <w:rFonts w:asciiTheme="minorHAnsi" w:eastAsiaTheme="minorEastAsia" w:hAnsiTheme="minorHAnsi" w:cstheme="minorBidi"/>
              <w:noProof/>
              <w:sz w:val="22"/>
              <w:szCs w:val="22"/>
            </w:rPr>
          </w:pPr>
          <w:hyperlink w:anchor="_Toc163148004" w:history="1">
            <w:r w:rsidR="001F32B8" w:rsidRPr="00290E42">
              <w:rPr>
                <w:rStyle w:val="Hyperlink"/>
                <w:noProof/>
                <w:lang w:val="en-GB"/>
              </w:rPr>
              <w:t>1.2</w:t>
            </w:r>
            <w:r w:rsidR="001F32B8">
              <w:rPr>
                <w:rFonts w:asciiTheme="minorHAnsi" w:eastAsiaTheme="minorEastAsia" w:hAnsiTheme="minorHAnsi" w:cstheme="minorBidi"/>
                <w:noProof/>
                <w:sz w:val="22"/>
                <w:szCs w:val="22"/>
              </w:rPr>
              <w:tab/>
            </w:r>
            <w:r w:rsidR="001F32B8" w:rsidRPr="00290E42">
              <w:rPr>
                <w:rStyle w:val="Hyperlink"/>
                <w:noProof/>
                <w:lang w:val="en-GB"/>
              </w:rPr>
              <w:t>Overview of the PFM sectoral strategy</w:t>
            </w:r>
            <w:r w:rsidR="001F32B8">
              <w:rPr>
                <w:noProof/>
                <w:webHidden/>
              </w:rPr>
              <w:tab/>
            </w:r>
            <w:r w:rsidR="001F32B8">
              <w:rPr>
                <w:noProof/>
                <w:webHidden/>
              </w:rPr>
              <w:fldChar w:fldCharType="begin"/>
            </w:r>
            <w:r w:rsidR="001F32B8">
              <w:rPr>
                <w:noProof/>
                <w:webHidden/>
              </w:rPr>
              <w:instrText xml:space="preserve"> PAGEREF _Toc163148004 \h </w:instrText>
            </w:r>
            <w:r w:rsidR="001F32B8">
              <w:rPr>
                <w:noProof/>
                <w:webHidden/>
              </w:rPr>
            </w:r>
            <w:r w:rsidR="001F32B8">
              <w:rPr>
                <w:noProof/>
                <w:webHidden/>
              </w:rPr>
              <w:fldChar w:fldCharType="separate"/>
            </w:r>
            <w:r w:rsidR="00250287">
              <w:rPr>
                <w:noProof/>
                <w:webHidden/>
              </w:rPr>
              <w:t>10</w:t>
            </w:r>
            <w:r w:rsidR="001F32B8">
              <w:rPr>
                <w:noProof/>
                <w:webHidden/>
              </w:rPr>
              <w:fldChar w:fldCharType="end"/>
            </w:r>
          </w:hyperlink>
        </w:p>
        <w:p w14:paraId="4C8C9BBC" w14:textId="77777777" w:rsidR="001F32B8" w:rsidRDefault="00342306">
          <w:pPr>
            <w:pStyle w:val="TOC2"/>
            <w:rPr>
              <w:rFonts w:asciiTheme="minorHAnsi" w:eastAsiaTheme="minorEastAsia" w:hAnsiTheme="minorHAnsi" w:cstheme="minorBidi"/>
              <w:noProof/>
              <w:sz w:val="22"/>
              <w:szCs w:val="22"/>
            </w:rPr>
          </w:pPr>
          <w:hyperlink w:anchor="_Toc163148005" w:history="1">
            <w:r w:rsidR="001F32B8" w:rsidRPr="00290E42">
              <w:rPr>
                <w:rStyle w:val="Hyperlink"/>
                <w:noProof/>
                <w:lang w:val="en-GB"/>
              </w:rPr>
              <w:t>1.3</w:t>
            </w:r>
            <w:r w:rsidR="001F32B8">
              <w:rPr>
                <w:rFonts w:asciiTheme="minorHAnsi" w:eastAsiaTheme="minorEastAsia" w:hAnsiTheme="minorHAnsi" w:cstheme="minorBidi"/>
                <w:noProof/>
                <w:sz w:val="22"/>
                <w:szCs w:val="22"/>
              </w:rPr>
              <w:tab/>
            </w:r>
            <w:r w:rsidR="001F32B8" w:rsidRPr="00290E42">
              <w:rPr>
                <w:rStyle w:val="Hyperlink"/>
                <w:noProof/>
                <w:lang w:val="en-GB"/>
              </w:rPr>
              <w:t>Alignment with the Strategic Framework for National Development, European Integration, Economic Reforms and Good Governance</w:t>
            </w:r>
            <w:r w:rsidR="001F32B8">
              <w:rPr>
                <w:noProof/>
                <w:webHidden/>
              </w:rPr>
              <w:tab/>
            </w:r>
            <w:r w:rsidR="001F32B8">
              <w:rPr>
                <w:noProof/>
                <w:webHidden/>
              </w:rPr>
              <w:fldChar w:fldCharType="begin"/>
            </w:r>
            <w:r w:rsidR="001F32B8">
              <w:rPr>
                <w:noProof/>
                <w:webHidden/>
              </w:rPr>
              <w:instrText xml:space="preserve"> PAGEREF _Toc163148005 \h </w:instrText>
            </w:r>
            <w:r w:rsidR="001F32B8">
              <w:rPr>
                <w:noProof/>
                <w:webHidden/>
              </w:rPr>
            </w:r>
            <w:r w:rsidR="001F32B8">
              <w:rPr>
                <w:noProof/>
                <w:webHidden/>
              </w:rPr>
              <w:fldChar w:fldCharType="separate"/>
            </w:r>
            <w:r w:rsidR="00250287">
              <w:rPr>
                <w:noProof/>
                <w:webHidden/>
              </w:rPr>
              <w:t>10</w:t>
            </w:r>
            <w:r w:rsidR="001F32B8">
              <w:rPr>
                <w:noProof/>
                <w:webHidden/>
              </w:rPr>
              <w:fldChar w:fldCharType="end"/>
            </w:r>
          </w:hyperlink>
        </w:p>
        <w:p w14:paraId="493F48C6" w14:textId="77777777" w:rsidR="001F32B8" w:rsidRDefault="00342306">
          <w:pPr>
            <w:pStyle w:val="TOC2"/>
            <w:rPr>
              <w:rFonts w:asciiTheme="minorHAnsi" w:eastAsiaTheme="minorEastAsia" w:hAnsiTheme="minorHAnsi" w:cstheme="minorBidi"/>
              <w:noProof/>
              <w:sz w:val="22"/>
              <w:szCs w:val="22"/>
            </w:rPr>
          </w:pPr>
          <w:hyperlink w:anchor="_Toc163148006" w:history="1">
            <w:r w:rsidR="001F32B8" w:rsidRPr="00290E42">
              <w:rPr>
                <w:rStyle w:val="Hyperlink"/>
                <w:noProof/>
                <w:lang w:val="en-GB"/>
              </w:rPr>
              <w:t>1.4</w:t>
            </w:r>
            <w:r w:rsidR="001F32B8">
              <w:rPr>
                <w:rFonts w:asciiTheme="minorHAnsi" w:eastAsiaTheme="minorEastAsia" w:hAnsiTheme="minorHAnsi" w:cstheme="minorBidi"/>
                <w:noProof/>
                <w:sz w:val="22"/>
                <w:szCs w:val="22"/>
              </w:rPr>
              <w:tab/>
            </w:r>
            <w:r w:rsidR="001F32B8" w:rsidRPr="00290E42">
              <w:rPr>
                <w:rStyle w:val="Hyperlink"/>
                <w:noProof/>
                <w:lang w:val="en-GB"/>
              </w:rPr>
              <w:t>Complementary Strategies for PFM reform</w:t>
            </w:r>
            <w:r w:rsidR="001F32B8">
              <w:rPr>
                <w:noProof/>
                <w:webHidden/>
              </w:rPr>
              <w:tab/>
            </w:r>
            <w:r w:rsidR="001F32B8">
              <w:rPr>
                <w:noProof/>
                <w:webHidden/>
              </w:rPr>
              <w:fldChar w:fldCharType="begin"/>
            </w:r>
            <w:r w:rsidR="001F32B8">
              <w:rPr>
                <w:noProof/>
                <w:webHidden/>
              </w:rPr>
              <w:instrText xml:space="preserve"> PAGEREF _Toc163148006 \h </w:instrText>
            </w:r>
            <w:r w:rsidR="001F32B8">
              <w:rPr>
                <w:noProof/>
                <w:webHidden/>
              </w:rPr>
            </w:r>
            <w:r w:rsidR="001F32B8">
              <w:rPr>
                <w:noProof/>
                <w:webHidden/>
              </w:rPr>
              <w:fldChar w:fldCharType="separate"/>
            </w:r>
            <w:r w:rsidR="00250287">
              <w:rPr>
                <w:noProof/>
                <w:webHidden/>
              </w:rPr>
              <w:t>13</w:t>
            </w:r>
            <w:r w:rsidR="001F32B8">
              <w:rPr>
                <w:noProof/>
                <w:webHidden/>
              </w:rPr>
              <w:fldChar w:fldCharType="end"/>
            </w:r>
          </w:hyperlink>
        </w:p>
        <w:p w14:paraId="1BD7A6BA" w14:textId="77777777" w:rsidR="001F32B8" w:rsidRDefault="00342306">
          <w:pPr>
            <w:pStyle w:val="TOC1"/>
            <w:rPr>
              <w:rFonts w:asciiTheme="minorHAnsi" w:eastAsiaTheme="minorEastAsia" w:hAnsiTheme="minorHAnsi" w:cstheme="minorBidi"/>
              <w:noProof/>
              <w:sz w:val="22"/>
              <w:szCs w:val="22"/>
            </w:rPr>
          </w:pPr>
          <w:hyperlink w:anchor="_Toc163148007" w:history="1">
            <w:r w:rsidR="001F32B8" w:rsidRPr="00290E42">
              <w:rPr>
                <w:rStyle w:val="Hyperlink"/>
                <w:noProof/>
                <w:lang w:val="en-GB"/>
              </w:rPr>
              <w:t>2</w:t>
            </w:r>
            <w:r w:rsidR="001F32B8">
              <w:rPr>
                <w:rFonts w:asciiTheme="minorHAnsi" w:eastAsiaTheme="minorEastAsia" w:hAnsiTheme="minorHAnsi" w:cstheme="minorBidi"/>
                <w:noProof/>
                <w:sz w:val="22"/>
                <w:szCs w:val="22"/>
              </w:rPr>
              <w:tab/>
            </w:r>
            <w:r w:rsidR="001F32B8" w:rsidRPr="00290E42">
              <w:rPr>
                <w:rStyle w:val="Hyperlink"/>
                <w:noProof/>
                <w:lang w:val="en-GB"/>
              </w:rPr>
              <w:t xml:space="preserve">Pillar 1: </w:t>
            </w:r>
            <w:r w:rsidR="001F32B8" w:rsidRPr="00290E42">
              <w:rPr>
                <w:rStyle w:val="Hyperlink"/>
                <w:i/>
                <w:noProof/>
                <w:lang w:val="en-GB"/>
              </w:rPr>
              <w:t xml:space="preserve"> </w:t>
            </w:r>
            <w:r w:rsidR="001F32B8" w:rsidRPr="00290E42">
              <w:rPr>
                <w:rStyle w:val="Hyperlink"/>
                <w:noProof/>
                <w:lang w:val="en-GB"/>
              </w:rPr>
              <w:t>Macroeconomic programming and Risk Monitoring</w:t>
            </w:r>
            <w:r w:rsidR="001F32B8">
              <w:rPr>
                <w:noProof/>
                <w:webHidden/>
              </w:rPr>
              <w:tab/>
            </w:r>
            <w:r w:rsidR="001F32B8">
              <w:rPr>
                <w:noProof/>
                <w:webHidden/>
              </w:rPr>
              <w:fldChar w:fldCharType="begin"/>
            </w:r>
            <w:r w:rsidR="001F32B8">
              <w:rPr>
                <w:noProof/>
                <w:webHidden/>
              </w:rPr>
              <w:instrText xml:space="preserve"> PAGEREF _Toc163148007 \h </w:instrText>
            </w:r>
            <w:r w:rsidR="001F32B8">
              <w:rPr>
                <w:noProof/>
                <w:webHidden/>
              </w:rPr>
            </w:r>
            <w:r w:rsidR="001F32B8">
              <w:rPr>
                <w:noProof/>
                <w:webHidden/>
              </w:rPr>
              <w:fldChar w:fldCharType="separate"/>
            </w:r>
            <w:r w:rsidR="00250287">
              <w:rPr>
                <w:noProof/>
                <w:webHidden/>
              </w:rPr>
              <w:t>15</w:t>
            </w:r>
            <w:r w:rsidR="001F32B8">
              <w:rPr>
                <w:noProof/>
                <w:webHidden/>
              </w:rPr>
              <w:fldChar w:fldCharType="end"/>
            </w:r>
          </w:hyperlink>
        </w:p>
        <w:p w14:paraId="3B23FC65" w14:textId="77777777" w:rsidR="001F32B8" w:rsidRDefault="00342306">
          <w:pPr>
            <w:pStyle w:val="TOC2"/>
            <w:rPr>
              <w:rFonts w:asciiTheme="minorHAnsi" w:eastAsiaTheme="minorEastAsia" w:hAnsiTheme="minorHAnsi" w:cstheme="minorBidi"/>
              <w:noProof/>
              <w:sz w:val="22"/>
              <w:szCs w:val="22"/>
            </w:rPr>
          </w:pPr>
          <w:hyperlink w:anchor="_Toc163148008" w:history="1">
            <w:r w:rsidR="001F32B8" w:rsidRPr="00290E42">
              <w:rPr>
                <w:rStyle w:val="Hyperlink"/>
                <w:noProof/>
                <w:lang w:val="en-GB"/>
              </w:rPr>
              <w:t>2.1</w:t>
            </w:r>
            <w:r w:rsidR="001F32B8">
              <w:rPr>
                <w:rFonts w:asciiTheme="minorHAnsi" w:eastAsiaTheme="minorEastAsia" w:hAnsiTheme="minorHAnsi" w:cstheme="minorBidi"/>
                <w:noProof/>
                <w:sz w:val="22"/>
                <w:szCs w:val="22"/>
              </w:rPr>
              <w:tab/>
            </w:r>
            <w:r w:rsidR="001F32B8" w:rsidRPr="00290E42">
              <w:rPr>
                <w:rStyle w:val="Hyperlink"/>
                <w:noProof/>
                <w:lang w:val="en-GB"/>
              </w:rPr>
              <w:t>Introduction</w:t>
            </w:r>
            <w:r w:rsidR="001F32B8">
              <w:rPr>
                <w:noProof/>
                <w:webHidden/>
              </w:rPr>
              <w:tab/>
            </w:r>
            <w:r w:rsidR="001F32B8">
              <w:rPr>
                <w:noProof/>
                <w:webHidden/>
              </w:rPr>
              <w:fldChar w:fldCharType="begin"/>
            </w:r>
            <w:r w:rsidR="001F32B8">
              <w:rPr>
                <w:noProof/>
                <w:webHidden/>
              </w:rPr>
              <w:instrText xml:space="preserve"> PAGEREF _Toc163148008 \h </w:instrText>
            </w:r>
            <w:r w:rsidR="001F32B8">
              <w:rPr>
                <w:noProof/>
                <w:webHidden/>
              </w:rPr>
            </w:r>
            <w:r w:rsidR="001F32B8">
              <w:rPr>
                <w:noProof/>
                <w:webHidden/>
              </w:rPr>
              <w:fldChar w:fldCharType="separate"/>
            </w:r>
            <w:r w:rsidR="00250287">
              <w:rPr>
                <w:noProof/>
                <w:webHidden/>
              </w:rPr>
              <w:t>15</w:t>
            </w:r>
            <w:r w:rsidR="001F32B8">
              <w:rPr>
                <w:noProof/>
                <w:webHidden/>
              </w:rPr>
              <w:fldChar w:fldCharType="end"/>
            </w:r>
          </w:hyperlink>
        </w:p>
        <w:p w14:paraId="6E968BD3" w14:textId="77777777" w:rsidR="001F32B8" w:rsidRDefault="00342306">
          <w:pPr>
            <w:pStyle w:val="TOC2"/>
            <w:rPr>
              <w:rFonts w:asciiTheme="minorHAnsi" w:eastAsiaTheme="minorEastAsia" w:hAnsiTheme="minorHAnsi" w:cstheme="minorBidi"/>
              <w:noProof/>
              <w:sz w:val="22"/>
              <w:szCs w:val="22"/>
            </w:rPr>
          </w:pPr>
          <w:hyperlink w:anchor="_Toc163148009" w:history="1">
            <w:r w:rsidR="001F32B8" w:rsidRPr="00290E42">
              <w:rPr>
                <w:rStyle w:val="Hyperlink"/>
                <w:noProof/>
                <w:lang w:val="en-GB"/>
              </w:rPr>
              <w:t>2.2</w:t>
            </w:r>
            <w:r w:rsidR="001F32B8">
              <w:rPr>
                <w:rFonts w:asciiTheme="minorHAnsi" w:eastAsiaTheme="minorEastAsia" w:hAnsiTheme="minorHAnsi" w:cstheme="minorBidi"/>
                <w:noProof/>
                <w:sz w:val="22"/>
                <w:szCs w:val="22"/>
              </w:rPr>
              <w:tab/>
            </w:r>
            <w:r w:rsidR="001F32B8" w:rsidRPr="00290E42">
              <w:rPr>
                <w:rStyle w:val="Hyperlink"/>
                <w:noProof/>
                <w:lang w:val="en-GB"/>
              </w:rPr>
              <w:t xml:space="preserve">Component 1.1 </w:t>
            </w:r>
            <w:r w:rsidR="001F32B8" w:rsidRPr="00290E42">
              <w:rPr>
                <w:rStyle w:val="Hyperlink"/>
                <w:rFonts w:eastAsia="Times New Roman" w:cs="Times New Roman"/>
                <w:noProof/>
                <w:lang w:val="en-GB"/>
              </w:rPr>
              <w:t>Prudent and realistic macroeconomic programming</w:t>
            </w:r>
            <w:r w:rsidR="001F32B8">
              <w:rPr>
                <w:noProof/>
                <w:webHidden/>
              </w:rPr>
              <w:tab/>
            </w:r>
            <w:r w:rsidR="001F32B8">
              <w:rPr>
                <w:noProof/>
                <w:webHidden/>
              </w:rPr>
              <w:fldChar w:fldCharType="begin"/>
            </w:r>
            <w:r w:rsidR="001F32B8">
              <w:rPr>
                <w:noProof/>
                <w:webHidden/>
              </w:rPr>
              <w:instrText xml:space="preserve"> PAGEREF _Toc163148009 \h </w:instrText>
            </w:r>
            <w:r w:rsidR="001F32B8">
              <w:rPr>
                <w:noProof/>
                <w:webHidden/>
              </w:rPr>
            </w:r>
            <w:r w:rsidR="001F32B8">
              <w:rPr>
                <w:noProof/>
                <w:webHidden/>
              </w:rPr>
              <w:fldChar w:fldCharType="separate"/>
            </w:r>
            <w:r w:rsidR="00250287">
              <w:rPr>
                <w:noProof/>
                <w:webHidden/>
              </w:rPr>
              <w:t>15</w:t>
            </w:r>
            <w:r w:rsidR="001F32B8">
              <w:rPr>
                <w:noProof/>
                <w:webHidden/>
              </w:rPr>
              <w:fldChar w:fldCharType="end"/>
            </w:r>
          </w:hyperlink>
        </w:p>
        <w:p w14:paraId="207F1564" w14:textId="77777777" w:rsidR="001F32B8" w:rsidRDefault="00342306">
          <w:pPr>
            <w:pStyle w:val="TOC2"/>
            <w:rPr>
              <w:rFonts w:asciiTheme="minorHAnsi" w:eastAsiaTheme="minorEastAsia" w:hAnsiTheme="minorHAnsi" w:cstheme="minorBidi"/>
              <w:noProof/>
              <w:sz w:val="22"/>
              <w:szCs w:val="22"/>
            </w:rPr>
          </w:pPr>
          <w:hyperlink w:anchor="_Toc163148010" w:history="1">
            <w:r w:rsidR="001F32B8" w:rsidRPr="00290E42">
              <w:rPr>
                <w:rStyle w:val="Hyperlink"/>
                <w:rFonts w:eastAsia="Times New Roman" w:cs="Times New Roman"/>
                <w:noProof/>
                <w:lang w:val="en-GB"/>
              </w:rPr>
              <w:t>2.3</w:t>
            </w:r>
            <w:r w:rsidR="001F32B8">
              <w:rPr>
                <w:rFonts w:asciiTheme="minorHAnsi" w:eastAsiaTheme="minorEastAsia" w:hAnsiTheme="minorHAnsi" w:cstheme="minorBidi"/>
                <w:noProof/>
                <w:sz w:val="22"/>
                <w:szCs w:val="22"/>
              </w:rPr>
              <w:tab/>
            </w:r>
            <w:r w:rsidR="001F32B8" w:rsidRPr="00290E42">
              <w:rPr>
                <w:rStyle w:val="Hyperlink"/>
                <w:noProof/>
                <w:lang w:val="en-GB"/>
              </w:rPr>
              <w:t xml:space="preserve">Component 1.2 </w:t>
            </w:r>
            <w:r w:rsidR="001F32B8" w:rsidRPr="00290E42">
              <w:rPr>
                <w:rStyle w:val="Hyperlink"/>
                <w:rFonts w:eastAsia="Times New Roman" w:cs="Times New Roman"/>
                <w:noProof/>
              </w:rPr>
              <w:t>Establishing a comprehensive Debt Sustainability Analysis</w:t>
            </w:r>
            <w:r w:rsidR="001F32B8">
              <w:rPr>
                <w:noProof/>
                <w:webHidden/>
              </w:rPr>
              <w:tab/>
            </w:r>
            <w:r w:rsidR="001F32B8">
              <w:rPr>
                <w:noProof/>
                <w:webHidden/>
              </w:rPr>
              <w:fldChar w:fldCharType="begin"/>
            </w:r>
            <w:r w:rsidR="001F32B8">
              <w:rPr>
                <w:noProof/>
                <w:webHidden/>
              </w:rPr>
              <w:instrText xml:space="preserve"> PAGEREF _Toc163148010 \h </w:instrText>
            </w:r>
            <w:r w:rsidR="001F32B8">
              <w:rPr>
                <w:noProof/>
                <w:webHidden/>
              </w:rPr>
            </w:r>
            <w:r w:rsidR="001F32B8">
              <w:rPr>
                <w:noProof/>
                <w:webHidden/>
              </w:rPr>
              <w:fldChar w:fldCharType="separate"/>
            </w:r>
            <w:r w:rsidR="00250287">
              <w:rPr>
                <w:noProof/>
                <w:webHidden/>
              </w:rPr>
              <w:t>17</w:t>
            </w:r>
            <w:r w:rsidR="001F32B8">
              <w:rPr>
                <w:noProof/>
                <w:webHidden/>
              </w:rPr>
              <w:fldChar w:fldCharType="end"/>
            </w:r>
          </w:hyperlink>
        </w:p>
        <w:p w14:paraId="46645AFE" w14:textId="77777777" w:rsidR="001F32B8" w:rsidRDefault="00342306">
          <w:pPr>
            <w:pStyle w:val="TOC2"/>
            <w:rPr>
              <w:rFonts w:asciiTheme="minorHAnsi" w:eastAsiaTheme="minorEastAsia" w:hAnsiTheme="minorHAnsi" w:cstheme="minorBidi"/>
              <w:noProof/>
              <w:sz w:val="22"/>
              <w:szCs w:val="22"/>
            </w:rPr>
          </w:pPr>
          <w:hyperlink w:anchor="_Toc163148011" w:history="1">
            <w:r w:rsidR="001F32B8" w:rsidRPr="00290E42">
              <w:rPr>
                <w:rStyle w:val="Hyperlink"/>
                <w:noProof/>
                <w:lang w:val="en-GB"/>
              </w:rPr>
              <w:t>2.4</w:t>
            </w:r>
            <w:r w:rsidR="001F32B8">
              <w:rPr>
                <w:rFonts w:asciiTheme="minorHAnsi" w:eastAsiaTheme="minorEastAsia" w:hAnsiTheme="minorHAnsi" w:cstheme="minorBidi"/>
                <w:noProof/>
                <w:sz w:val="22"/>
                <w:szCs w:val="22"/>
              </w:rPr>
              <w:tab/>
            </w:r>
            <w:r w:rsidR="001F32B8" w:rsidRPr="00290E42">
              <w:rPr>
                <w:rStyle w:val="Hyperlink"/>
                <w:noProof/>
                <w:lang w:val="en-GB"/>
              </w:rPr>
              <w:t>Component 1.3 Fiscal Risk Management</w:t>
            </w:r>
            <w:r w:rsidR="001F32B8">
              <w:rPr>
                <w:noProof/>
                <w:webHidden/>
              </w:rPr>
              <w:tab/>
            </w:r>
            <w:r w:rsidR="001F32B8">
              <w:rPr>
                <w:noProof/>
                <w:webHidden/>
              </w:rPr>
              <w:fldChar w:fldCharType="begin"/>
            </w:r>
            <w:r w:rsidR="001F32B8">
              <w:rPr>
                <w:noProof/>
                <w:webHidden/>
              </w:rPr>
              <w:instrText xml:space="preserve"> PAGEREF _Toc163148011 \h </w:instrText>
            </w:r>
            <w:r w:rsidR="001F32B8">
              <w:rPr>
                <w:noProof/>
                <w:webHidden/>
              </w:rPr>
            </w:r>
            <w:r w:rsidR="001F32B8">
              <w:rPr>
                <w:noProof/>
                <w:webHidden/>
              </w:rPr>
              <w:fldChar w:fldCharType="separate"/>
            </w:r>
            <w:r w:rsidR="00250287">
              <w:rPr>
                <w:noProof/>
                <w:webHidden/>
              </w:rPr>
              <w:t>18</w:t>
            </w:r>
            <w:r w:rsidR="001F32B8">
              <w:rPr>
                <w:noProof/>
                <w:webHidden/>
              </w:rPr>
              <w:fldChar w:fldCharType="end"/>
            </w:r>
          </w:hyperlink>
        </w:p>
        <w:p w14:paraId="1303AEEC" w14:textId="77777777" w:rsidR="001F32B8" w:rsidRDefault="00342306">
          <w:pPr>
            <w:pStyle w:val="TOC2"/>
            <w:rPr>
              <w:rFonts w:asciiTheme="minorHAnsi" w:eastAsiaTheme="minorEastAsia" w:hAnsiTheme="minorHAnsi" w:cstheme="minorBidi"/>
              <w:noProof/>
              <w:sz w:val="22"/>
              <w:szCs w:val="22"/>
            </w:rPr>
          </w:pPr>
          <w:hyperlink w:anchor="_Toc163148012" w:history="1">
            <w:r w:rsidR="001F32B8" w:rsidRPr="00290E42">
              <w:rPr>
                <w:rStyle w:val="Hyperlink"/>
                <w:noProof/>
                <w:lang w:val="en-GB"/>
              </w:rPr>
              <w:t>2.5</w:t>
            </w:r>
            <w:r w:rsidR="001F32B8">
              <w:rPr>
                <w:rFonts w:asciiTheme="minorHAnsi" w:eastAsiaTheme="minorEastAsia" w:hAnsiTheme="minorHAnsi" w:cstheme="minorBidi"/>
                <w:noProof/>
                <w:sz w:val="22"/>
                <w:szCs w:val="22"/>
              </w:rPr>
              <w:tab/>
            </w:r>
            <w:r w:rsidR="001F32B8" w:rsidRPr="00290E42">
              <w:rPr>
                <w:rStyle w:val="Hyperlink"/>
                <w:noProof/>
                <w:lang w:val="en-GB"/>
              </w:rPr>
              <w:t>Component 1.4 Fiscal Council</w:t>
            </w:r>
            <w:r w:rsidR="001F32B8">
              <w:rPr>
                <w:noProof/>
                <w:webHidden/>
              </w:rPr>
              <w:tab/>
            </w:r>
            <w:r w:rsidR="001F32B8">
              <w:rPr>
                <w:noProof/>
                <w:webHidden/>
              </w:rPr>
              <w:fldChar w:fldCharType="begin"/>
            </w:r>
            <w:r w:rsidR="001F32B8">
              <w:rPr>
                <w:noProof/>
                <w:webHidden/>
              </w:rPr>
              <w:instrText xml:space="preserve"> PAGEREF _Toc163148012 \h </w:instrText>
            </w:r>
            <w:r w:rsidR="001F32B8">
              <w:rPr>
                <w:noProof/>
                <w:webHidden/>
              </w:rPr>
            </w:r>
            <w:r w:rsidR="001F32B8">
              <w:rPr>
                <w:noProof/>
                <w:webHidden/>
              </w:rPr>
              <w:fldChar w:fldCharType="separate"/>
            </w:r>
            <w:r w:rsidR="00250287">
              <w:rPr>
                <w:noProof/>
                <w:webHidden/>
              </w:rPr>
              <w:t>20</w:t>
            </w:r>
            <w:r w:rsidR="001F32B8">
              <w:rPr>
                <w:noProof/>
                <w:webHidden/>
              </w:rPr>
              <w:fldChar w:fldCharType="end"/>
            </w:r>
          </w:hyperlink>
        </w:p>
        <w:p w14:paraId="0F5A55C0" w14:textId="77777777" w:rsidR="001F32B8" w:rsidRDefault="00342306">
          <w:pPr>
            <w:pStyle w:val="TOC1"/>
            <w:rPr>
              <w:rFonts w:asciiTheme="minorHAnsi" w:eastAsiaTheme="minorEastAsia" w:hAnsiTheme="minorHAnsi" w:cstheme="minorBidi"/>
              <w:noProof/>
              <w:sz w:val="22"/>
              <w:szCs w:val="22"/>
            </w:rPr>
          </w:pPr>
          <w:hyperlink w:anchor="_Toc163148013" w:history="1">
            <w:r w:rsidR="001F32B8" w:rsidRPr="00290E42">
              <w:rPr>
                <w:rStyle w:val="Hyperlink"/>
                <w:noProof/>
                <w:lang w:val="en-GB"/>
              </w:rPr>
              <w:t>3</w:t>
            </w:r>
            <w:r w:rsidR="001F32B8">
              <w:rPr>
                <w:rFonts w:asciiTheme="minorHAnsi" w:eastAsiaTheme="minorEastAsia" w:hAnsiTheme="minorHAnsi" w:cstheme="minorBidi"/>
                <w:noProof/>
                <w:sz w:val="22"/>
                <w:szCs w:val="22"/>
              </w:rPr>
              <w:tab/>
            </w:r>
            <w:r w:rsidR="001F32B8" w:rsidRPr="00290E42">
              <w:rPr>
                <w:rStyle w:val="Hyperlink"/>
                <w:noProof/>
                <w:lang w:val="en-GB"/>
              </w:rPr>
              <w:t>Pillar 2 Integrated strategic and budget planning, monitoring, and transparent reporting</w:t>
            </w:r>
            <w:r w:rsidR="001F32B8">
              <w:rPr>
                <w:noProof/>
                <w:webHidden/>
              </w:rPr>
              <w:tab/>
            </w:r>
            <w:r w:rsidR="001F32B8">
              <w:rPr>
                <w:noProof/>
                <w:webHidden/>
              </w:rPr>
              <w:fldChar w:fldCharType="begin"/>
            </w:r>
            <w:r w:rsidR="001F32B8">
              <w:rPr>
                <w:noProof/>
                <w:webHidden/>
              </w:rPr>
              <w:instrText xml:space="preserve"> PAGEREF _Toc163148013 \h </w:instrText>
            </w:r>
            <w:r w:rsidR="001F32B8">
              <w:rPr>
                <w:noProof/>
                <w:webHidden/>
              </w:rPr>
            </w:r>
            <w:r w:rsidR="001F32B8">
              <w:rPr>
                <w:noProof/>
                <w:webHidden/>
              </w:rPr>
              <w:fldChar w:fldCharType="separate"/>
            </w:r>
            <w:r w:rsidR="00250287">
              <w:rPr>
                <w:noProof/>
                <w:webHidden/>
              </w:rPr>
              <w:t>21</w:t>
            </w:r>
            <w:r w:rsidR="001F32B8">
              <w:rPr>
                <w:noProof/>
                <w:webHidden/>
              </w:rPr>
              <w:fldChar w:fldCharType="end"/>
            </w:r>
          </w:hyperlink>
        </w:p>
        <w:p w14:paraId="17985B34" w14:textId="77777777" w:rsidR="001F32B8" w:rsidRDefault="00342306">
          <w:pPr>
            <w:pStyle w:val="TOC2"/>
            <w:rPr>
              <w:rFonts w:asciiTheme="minorHAnsi" w:eastAsiaTheme="minorEastAsia" w:hAnsiTheme="minorHAnsi" w:cstheme="minorBidi"/>
              <w:noProof/>
              <w:sz w:val="22"/>
              <w:szCs w:val="22"/>
            </w:rPr>
          </w:pPr>
          <w:hyperlink w:anchor="_Toc163148014" w:history="1">
            <w:r w:rsidR="001F32B8" w:rsidRPr="00290E42">
              <w:rPr>
                <w:rStyle w:val="Hyperlink"/>
                <w:noProof/>
                <w:lang w:val="en-GB"/>
              </w:rPr>
              <w:t>3.1</w:t>
            </w:r>
            <w:r w:rsidR="001F32B8">
              <w:rPr>
                <w:rFonts w:asciiTheme="minorHAnsi" w:eastAsiaTheme="minorEastAsia" w:hAnsiTheme="minorHAnsi" w:cstheme="minorBidi"/>
                <w:noProof/>
                <w:sz w:val="22"/>
                <w:szCs w:val="22"/>
              </w:rPr>
              <w:tab/>
            </w:r>
            <w:r w:rsidR="001F32B8" w:rsidRPr="00290E42">
              <w:rPr>
                <w:rStyle w:val="Hyperlink"/>
                <w:noProof/>
                <w:lang w:val="en-GB"/>
              </w:rPr>
              <w:t>Introduction</w:t>
            </w:r>
            <w:r w:rsidR="001F32B8">
              <w:rPr>
                <w:noProof/>
                <w:webHidden/>
              </w:rPr>
              <w:tab/>
            </w:r>
            <w:r w:rsidR="001F32B8">
              <w:rPr>
                <w:noProof/>
                <w:webHidden/>
              </w:rPr>
              <w:fldChar w:fldCharType="begin"/>
            </w:r>
            <w:r w:rsidR="001F32B8">
              <w:rPr>
                <w:noProof/>
                <w:webHidden/>
              </w:rPr>
              <w:instrText xml:space="preserve"> PAGEREF _Toc163148014 \h </w:instrText>
            </w:r>
            <w:r w:rsidR="001F32B8">
              <w:rPr>
                <w:noProof/>
                <w:webHidden/>
              </w:rPr>
            </w:r>
            <w:r w:rsidR="001F32B8">
              <w:rPr>
                <w:noProof/>
                <w:webHidden/>
              </w:rPr>
              <w:fldChar w:fldCharType="separate"/>
            </w:r>
            <w:r w:rsidR="00250287">
              <w:rPr>
                <w:noProof/>
                <w:webHidden/>
              </w:rPr>
              <w:t>21</w:t>
            </w:r>
            <w:r w:rsidR="001F32B8">
              <w:rPr>
                <w:noProof/>
                <w:webHidden/>
              </w:rPr>
              <w:fldChar w:fldCharType="end"/>
            </w:r>
          </w:hyperlink>
        </w:p>
        <w:p w14:paraId="4AEF9310" w14:textId="77777777" w:rsidR="001F32B8" w:rsidRDefault="00342306">
          <w:pPr>
            <w:pStyle w:val="TOC2"/>
            <w:rPr>
              <w:rFonts w:asciiTheme="minorHAnsi" w:eastAsiaTheme="minorEastAsia" w:hAnsiTheme="minorHAnsi" w:cstheme="minorBidi"/>
              <w:noProof/>
              <w:sz w:val="22"/>
              <w:szCs w:val="22"/>
            </w:rPr>
          </w:pPr>
          <w:hyperlink w:anchor="_Toc163148015" w:history="1">
            <w:r w:rsidR="001F32B8" w:rsidRPr="00290E42">
              <w:rPr>
                <w:rStyle w:val="Hyperlink"/>
                <w:noProof/>
                <w:lang w:val="en-GB"/>
              </w:rPr>
              <w:t>3.2</w:t>
            </w:r>
            <w:r w:rsidR="001F32B8">
              <w:rPr>
                <w:rFonts w:asciiTheme="minorHAnsi" w:eastAsiaTheme="minorEastAsia" w:hAnsiTheme="minorHAnsi" w:cstheme="minorBidi"/>
                <w:noProof/>
                <w:sz w:val="22"/>
                <w:szCs w:val="22"/>
              </w:rPr>
              <w:tab/>
            </w:r>
            <w:r w:rsidR="001F32B8" w:rsidRPr="00290E42">
              <w:rPr>
                <w:rStyle w:val="Hyperlink"/>
                <w:noProof/>
                <w:lang w:val="en-GB"/>
              </w:rPr>
              <w:t>Component 2.1 Integrated Strategic Planning</w:t>
            </w:r>
            <w:r w:rsidR="001F32B8">
              <w:rPr>
                <w:noProof/>
                <w:webHidden/>
              </w:rPr>
              <w:tab/>
            </w:r>
            <w:r w:rsidR="001F32B8">
              <w:rPr>
                <w:noProof/>
                <w:webHidden/>
              </w:rPr>
              <w:fldChar w:fldCharType="begin"/>
            </w:r>
            <w:r w:rsidR="001F32B8">
              <w:rPr>
                <w:noProof/>
                <w:webHidden/>
              </w:rPr>
              <w:instrText xml:space="preserve"> PAGEREF _Toc163148015 \h </w:instrText>
            </w:r>
            <w:r w:rsidR="001F32B8">
              <w:rPr>
                <w:noProof/>
                <w:webHidden/>
              </w:rPr>
            </w:r>
            <w:r w:rsidR="001F32B8">
              <w:rPr>
                <w:noProof/>
                <w:webHidden/>
              </w:rPr>
              <w:fldChar w:fldCharType="separate"/>
            </w:r>
            <w:r w:rsidR="00250287">
              <w:rPr>
                <w:noProof/>
                <w:webHidden/>
              </w:rPr>
              <w:t>22</w:t>
            </w:r>
            <w:r w:rsidR="001F32B8">
              <w:rPr>
                <w:noProof/>
                <w:webHidden/>
              </w:rPr>
              <w:fldChar w:fldCharType="end"/>
            </w:r>
          </w:hyperlink>
        </w:p>
        <w:p w14:paraId="63E996FD" w14:textId="77777777" w:rsidR="001F32B8" w:rsidRDefault="00342306">
          <w:pPr>
            <w:pStyle w:val="TOC2"/>
            <w:rPr>
              <w:rFonts w:asciiTheme="minorHAnsi" w:eastAsiaTheme="minorEastAsia" w:hAnsiTheme="minorHAnsi" w:cstheme="minorBidi"/>
              <w:noProof/>
              <w:sz w:val="22"/>
              <w:szCs w:val="22"/>
            </w:rPr>
          </w:pPr>
          <w:hyperlink w:anchor="_Toc163148016" w:history="1">
            <w:r w:rsidR="001F32B8" w:rsidRPr="00290E42">
              <w:rPr>
                <w:rStyle w:val="Hyperlink"/>
                <w:noProof/>
                <w:lang w:val="en-GB"/>
              </w:rPr>
              <w:t>3.3</w:t>
            </w:r>
            <w:r w:rsidR="001F32B8">
              <w:rPr>
                <w:rFonts w:asciiTheme="minorHAnsi" w:eastAsiaTheme="minorEastAsia" w:hAnsiTheme="minorHAnsi" w:cstheme="minorBidi"/>
                <w:noProof/>
                <w:sz w:val="22"/>
                <w:szCs w:val="22"/>
              </w:rPr>
              <w:tab/>
            </w:r>
            <w:r w:rsidR="001F32B8" w:rsidRPr="00290E42">
              <w:rPr>
                <w:rStyle w:val="Hyperlink"/>
                <w:noProof/>
                <w:lang w:val="en-GB"/>
              </w:rPr>
              <w:t>Component 2.2 Medium Term Budget Planning</w:t>
            </w:r>
            <w:r w:rsidR="001F32B8">
              <w:rPr>
                <w:noProof/>
                <w:webHidden/>
              </w:rPr>
              <w:tab/>
            </w:r>
            <w:r w:rsidR="001F32B8">
              <w:rPr>
                <w:noProof/>
                <w:webHidden/>
              </w:rPr>
              <w:fldChar w:fldCharType="begin"/>
            </w:r>
            <w:r w:rsidR="001F32B8">
              <w:rPr>
                <w:noProof/>
                <w:webHidden/>
              </w:rPr>
              <w:instrText xml:space="preserve"> PAGEREF _Toc163148016 \h </w:instrText>
            </w:r>
            <w:r w:rsidR="001F32B8">
              <w:rPr>
                <w:noProof/>
                <w:webHidden/>
              </w:rPr>
            </w:r>
            <w:r w:rsidR="001F32B8">
              <w:rPr>
                <w:noProof/>
                <w:webHidden/>
              </w:rPr>
              <w:fldChar w:fldCharType="separate"/>
            </w:r>
            <w:r w:rsidR="00250287">
              <w:rPr>
                <w:noProof/>
                <w:webHidden/>
              </w:rPr>
              <w:t>23</w:t>
            </w:r>
            <w:r w:rsidR="001F32B8">
              <w:rPr>
                <w:noProof/>
                <w:webHidden/>
              </w:rPr>
              <w:fldChar w:fldCharType="end"/>
            </w:r>
          </w:hyperlink>
        </w:p>
        <w:p w14:paraId="1352615F" w14:textId="77777777" w:rsidR="001F32B8" w:rsidRDefault="00342306">
          <w:pPr>
            <w:pStyle w:val="TOC2"/>
            <w:rPr>
              <w:rFonts w:asciiTheme="minorHAnsi" w:eastAsiaTheme="minorEastAsia" w:hAnsiTheme="minorHAnsi" w:cstheme="minorBidi"/>
              <w:noProof/>
              <w:sz w:val="22"/>
              <w:szCs w:val="22"/>
            </w:rPr>
          </w:pPr>
          <w:hyperlink w:anchor="_Toc163148017" w:history="1">
            <w:r w:rsidR="001F32B8" w:rsidRPr="00290E42">
              <w:rPr>
                <w:rStyle w:val="Hyperlink"/>
                <w:noProof/>
                <w:lang w:val="en-GB"/>
              </w:rPr>
              <w:t>3.4</w:t>
            </w:r>
            <w:r w:rsidR="001F32B8">
              <w:rPr>
                <w:rFonts w:asciiTheme="minorHAnsi" w:eastAsiaTheme="minorEastAsia" w:hAnsiTheme="minorHAnsi" w:cstheme="minorBidi"/>
                <w:noProof/>
                <w:sz w:val="22"/>
                <w:szCs w:val="22"/>
              </w:rPr>
              <w:tab/>
            </w:r>
            <w:r w:rsidR="001F32B8" w:rsidRPr="00290E42">
              <w:rPr>
                <w:rStyle w:val="Hyperlink"/>
                <w:noProof/>
                <w:lang w:val="en-GB"/>
              </w:rPr>
              <w:t>Component 2.3 Public Investment Management</w:t>
            </w:r>
            <w:r w:rsidR="001F32B8">
              <w:rPr>
                <w:noProof/>
                <w:webHidden/>
              </w:rPr>
              <w:tab/>
            </w:r>
            <w:r w:rsidR="001F32B8">
              <w:rPr>
                <w:noProof/>
                <w:webHidden/>
              </w:rPr>
              <w:fldChar w:fldCharType="begin"/>
            </w:r>
            <w:r w:rsidR="001F32B8">
              <w:rPr>
                <w:noProof/>
                <w:webHidden/>
              </w:rPr>
              <w:instrText xml:space="preserve"> PAGEREF _Toc163148017 \h </w:instrText>
            </w:r>
            <w:r w:rsidR="001F32B8">
              <w:rPr>
                <w:noProof/>
                <w:webHidden/>
              </w:rPr>
            </w:r>
            <w:r w:rsidR="001F32B8">
              <w:rPr>
                <w:noProof/>
                <w:webHidden/>
              </w:rPr>
              <w:fldChar w:fldCharType="separate"/>
            </w:r>
            <w:r w:rsidR="00250287">
              <w:rPr>
                <w:noProof/>
                <w:webHidden/>
              </w:rPr>
              <w:t>26</w:t>
            </w:r>
            <w:r w:rsidR="001F32B8">
              <w:rPr>
                <w:noProof/>
                <w:webHidden/>
              </w:rPr>
              <w:fldChar w:fldCharType="end"/>
            </w:r>
          </w:hyperlink>
        </w:p>
        <w:p w14:paraId="5A6E3DD8" w14:textId="77777777" w:rsidR="001F32B8" w:rsidRDefault="00342306">
          <w:pPr>
            <w:pStyle w:val="TOC2"/>
            <w:rPr>
              <w:rFonts w:asciiTheme="minorHAnsi" w:eastAsiaTheme="minorEastAsia" w:hAnsiTheme="minorHAnsi" w:cstheme="minorBidi"/>
              <w:noProof/>
              <w:sz w:val="22"/>
              <w:szCs w:val="22"/>
            </w:rPr>
          </w:pPr>
          <w:hyperlink w:anchor="_Toc163148018" w:history="1">
            <w:r w:rsidR="001F32B8" w:rsidRPr="00290E42">
              <w:rPr>
                <w:rStyle w:val="Hyperlink"/>
                <w:noProof/>
                <w:lang w:val="en-GB"/>
              </w:rPr>
              <w:t>3.5</w:t>
            </w:r>
            <w:r w:rsidR="001F32B8">
              <w:rPr>
                <w:rFonts w:asciiTheme="minorHAnsi" w:eastAsiaTheme="minorEastAsia" w:hAnsiTheme="minorHAnsi" w:cstheme="minorBidi"/>
                <w:noProof/>
                <w:sz w:val="22"/>
                <w:szCs w:val="22"/>
              </w:rPr>
              <w:tab/>
            </w:r>
            <w:r w:rsidR="001F32B8" w:rsidRPr="00290E42">
              <w:rPr>
                <w:rStyle w:val="Hyperlink"/>
                <w:noProof/>
                <w:lang w:val="en-GB"/>
              </w:rPr>
              <w:t>Component 2.4 Local Finance</w:t>
            </w:r>
            <w:r w:rsidR="001F32B8">
              <w:rPr>
                <w:noProof/>
                <w:webHidden/>
              </w:rPr>
              <w:tab/>
            </w:r>
            <w:r w:rsidR="001F32B8">
              <w:rPr>
                <w:noProof/>
                <w:webHidden/>
              </w:rPr>
              <w:fldChar w:fldCharType="begin"/>
            </w:r>
            <w:r w:rsidR="001F32B8">
              <w:rPr>
                <w:noProof/>
                <w:webHidden/>
              </w:rPr>
              <w:instrText xml:space="preserve"> PAGEREF _Toc163148018 \h </w:instrText>
            </w:r>
            <w:r w:rsidR="001F32B8">
              <w:rPr>
                <w:noProof/>
                <w:webHidden/>
              </w:rPr>
            </w:r>
            <w:r w:rsidR="001F32B8">
              <w:rPr>
                <w:noProof/>
                <w:webHidden/>
              </w:rPr>
              <w:fldChar w:fldCharType="separate"/>
            </w:r>
            <w:r w:rsidR="00250287">
              <w:rPr>
                <w:noProof/>
                <w:webHidden/>
              </w:rPr>
              <w:t>27</w:t>
            </w:r>
            <w:r w:rsidR="001F32B8">
              <w:rPr>
                <w:noProof/>
                <w:webHidden/>
              </w:rPr>
              <w:fldChar w:fldCharType="end"/>
            </w:r>
          </w:hyperlink>
        </w:p>
        <w:p w14:paraId="52477A7C" w14:textId="77777777" w:rsidR="001F32B8" w:rsidRDefault="00342306">
          <w:pPr>
            <w:pStyle w:val="TOC2"/>
            <w:rPr>
              <w:rFonts w:asciiTheme="minorHAnsi" w:eastAsiaTheme="minorEastAsia" w:hAnsiTheme="minorHAnsi" w:cstheme="minorBidi"/>
              <w:noProof/>
              <w:sz w:val="22"/>
              <w:szCs w:val="22"/>
            </w:rPr>
          </w:pPr>
          <w:hyperlink w:anchor="_Toc163148019" w:history="1">
            <w:r w:rsidR="001F32B8" w:rsidRPr="00290E42">
              <w:rPr>
                <w:rStyle w:val="Hyperlink"/>
                <w:noProof/>
                <w:lang w:val="en-GB"/>
              </w:rPr>
              <w:t>3.6</w:t>
            </w:r>
            <w:r w:rsidR="001F32B8">
              <w:rPr>
                <w:rFonts w:asciiTheme="minorHAnsi" w:eastAsiaTheme="minorEastAsia" w:hAnsiTheme="minorHAnsi" w:cstheme="minorBidi"/>
                <w:noProof/>
                <w:sz w:val="22"/>
                <w:szCs w:val="22"/>
              </w:rPr>
              <w:tab/>
            </w:r>
            <w:r w:rsidR="001F32B8" w:rsidRPr="00290E42">
              <w:rPr>
                <w:rStyle w:val="Hyperlink"/>
                <w:noProof/>
                <w:lang w:val="en-GB"/>
              </w:rPr>
              <w:t>Component 2.5 Budget Execution Monitoring and Reporting</w:t>
            </w:r>
            <w:r w:rsidR="001F32B8">
              <w:rPr>
                <w:noProof/>
                <w:webHidden/>
              </w:rPr>
              <w:tab/>
            </w:r>
            <w:r w:rsidR="001F32B8">
              <w:rPr>
                <w:noProof/>
                <w:webHidden/>
              </w:rPr>
              <w:fldChar w:fldCharType="begin"/>
            </w:r>
            <w:r w:rsidR="001F32B8">
              <w:rPr>
                <w:noProof/>
                <w:webHidden/>
              </w:rPr>
              <w:instrText xml:space="preserve"> PAGEREF _Toc163148019 \h </w:instrText>
            </w:r>
            <w:r w:rsidR="001F32B8">
              <w:rPr>
                <w:noProof/>
                <w:webHidden/>
              </w:rPr>
            </w:r>
            <w:r w:rsidR="001F32B8">
              <w:rPr>
                <w:noProof/>
                <w:webHidden/>
              </w:rPr>
              <w:fldChar w:fldCharType="separate"/>
            </w:r>
            <w:r w:rsidR="00250287">
              <w:rPr>
                <w:noProof/>
                <w:webHidden/>
              </w:rPr>
              <w:t>30</w:t>
            </w:r>
            <w:r w:rsidR="001F32B8">
              <w:rPr>
                <w:noProof/>
                <w:webHidden/>
              </w:rPr>
              <w:fldChar w:fldCharType="end"/>
            </w:r>
          </w:hyperlink>
        </w:p>
        <w:p w14:paraId="1B32B9EC" w14:textId="77777777" w:rsidR="001F32B8" w:rsidRDefault="00342306">
          <w:pPr>
            <w:pStyle w:val="TOC1"/>
            <w:rPr>
              <w:rFonts w:asciiTheme="minorHAnsi" w:eastAsiaTheme="minorEastAsia" w:hAnsiTheme="minorHAnsi" w:cstheme="minorBidi"/>
              <w:noProof/>
              <w:sz w:val="22"/>
              <w:szCs w:val="22"/>
            </w:rPr>
          </w:pPr>
          <w:hyperlink w:anchor="_Toc163148020" w:history="1">
            <w:r w:rsidR="001F32B8" w:rsidRPr="00290E42">
              <w:rPr>
                <w:rStyle w:val="Hyperlink"/>
                <w:noProof/>
                <w:lang w:val="en-GB"/>
              </w:rPr>
              <w:t>4</w:t>
            </w:r>
            <w:r w:rsidR="001F32B8">
              <w:rPr>
                <w:rFonts w:asciiTheme="minorHAnsi" w:eastAsiaTheme="minorEastAsia" w:hAnsiTheme="minorHAnsi" w:cstheme="minorBidi"/>
                <w:noProof/>
                <w:sz w:val="22"/>
                <w:szCs w:val="22"/>
              </w:rPr>
              <w:tab/>
            </w:r>
            <w:r w:rsidR="001F32B8" w:rsidRPr="00290E42">
              <w:rPr>
                <w:rStyle w:val="Hyperlink"/>
                <w:noProof/>
                <w:lang w:val="en-GB"/>
              </w:rPr>
              <w:t>Pillar 3 Revenue mobilization and management</w:t>
            </w:r>
            <w:r w:rsidR="001F32B8">
              <w:rPr>
                <w:noProof/>
                <w:webHidden/>
              </w:rPr>
              <w:tab/>
            </w:r>
            <w:r w:rsidR="001F32B8">
              <w:rPr>
                <w:noProof/>
                <w:webHidden/>
              </w:rPr>
              <w:fldChar w:fldCharType="begin"/>
            </w:r>
            <w:r w:rsidR="001F32B8">
              <w:rPr>
                <w:noProof/>
                <w:webHidden/>
              </w:rPr>
              <w:instrText xml:space="preserve"> PAGEREF _Toc163148020 \h </w:instrText>
            </w:r>
            <w:r w:rsidR="001F32B8">
              <w:rPr>
                <w:noProof/>
                <w:webHidden/>
              </w:rPr>
            </w:r>
            <w:r w:rsidR="001F32B8">
              <w:rPr>
                <w:noProof/>
                <w:webHidden/>
              </w:rPr>
              <w:fldChar w:fldCharType="separate"/>
            </w:r>
            <w:r w:rsidR="00250287">
              <w:rPr>
                <w:noProof/>
                <w:webHidden/>
              </w:rPr>
              <w:t>32</w:t>
            </w:r>
            <w:r w:rsidR="001F32B8">
              <w:rPr>
                <w:noProof/>
                <w:webHidden/>
              </w:rPr>
              <w:fldChar w:fldCharType="end"/>
            </w:r>
          </w:hyperlink>
        </w:p>
        <w:p w14:paraId="0413422B" w14:textId="77777777" w:rsidR="001F32B8" w:rsidRDefault="00342306">
          <w:pPr>
            <w:pStyle w:val="TOC2"/>
            <w:rPr>
              <w:rFonts w:asciiTheme="minorHAnsi" w:eastAsiaTheme="minorEastAsia" w:hAnsiTheme="minorHAnsi" w:cstheme="minorBidi"/>
              <w:noProof/>
              <w:sz w:val="22"/>
              <w:szCs w:val="22"/>
            </w:rPr>
          </w:pPr>
          <w:hyperlink w:anchor="_Toc163148021" w:history="1">
            <w:r w:rsidR="001F32B8" w:rsidRPr="00290E42">
              <w:rPr>
                <w:rStyle w:val="Hyperlink"/>
                <w:noProof/>
                <w:lang w:val="en-GB"/>
              </w:rPr>
              <w:t>4.1</w:t>
            </w:r>
            <w:r w:rsidR="001F32B8">
              <w:rPr>
                <w:rFonts w:asciiTheme="minorHAnsi" w:eastAsiaTheme="minorEastAsia" w:hAnsiTheme="minorHAnsi" w:cstheme="minorBidi"/>
                <w:noProof/>
                <w:sz w:val="22"/>
                <w:szCs w:val="22"/>
              </w:rPr>
              <w:tab/>
            </w:r>
            <w:r w:rsidR="001F32B8" w:rsidRPr="00290E42">
              <w:rPr>
                <w:rStyle w:val="Hyperlink"/>
                <w:noProof/>
                <w:lang w:val="en-GB"/>
              </w:rPr>
              <w:t>Introduction</w:t>
            </w:r>
            <w:r w:rsidR="001F32B8">
              <w:rPr>
                <w:noProof/>
                <w:webHidden/>
              </w:rPr>
              <w:tab/>
            </w:r>
            <w:r w:rsidR="001F32B8">
              <w:rPr>
                <w:noProof/>
                <w:webHidden/>
              </w:rPr>
              <w:fldChar w:fldCharType="begin"/>
            </w:r>
            <w:r w:rsidR="001F32B8">
              <w:rPr>
                <w:noProof/>
                <w:webHidden/>
              </w:rPr>
              <w:instrText xml:space="preserve"> PAGEREF _Toc163148021 \h </w:instrText>
            </w:r>
            <w:r w:rsidR="001F32B8">
              <w:rPr>
                <w:noProof/>
                <w:webHidden/>
              </w:rPr>
            </w:r>
            <w:r w:rsidR="001F32B8">
              <w:rPr>
                <w:noProof/>
                <w:webHidden/>
              </w:rPr>
              <w:fldChar w:fldCharType="separate"/>
            </w:r>
            <w:r w:rsidR="00250287">
              <w:rPr>
                <w:noProof/>
                <w:webHidden/>
              </w:rPr>
              <w:t>32</w:t>
            </w:r>
            <w:r w:rsidR="001F32B8">
              <w:rPr>
                <w:noProof/>
                <w:webHidden/>
              </w:rPr>
              <w:fldChar w:fldCharType="end"/>
            </w:r>
          </w:hyperlink>
        </w:p>
        <w:p w14:paraId="71DE1E45" w14:textId="77777777" w:rsidR="001F32B8" w:rsidRDefault="00342306">
          <w:pPr>
            <w:pStyle w:val="TOC2"/>
            <w:rPr>
              <w:rFonts w:asciiTheme="minorHAnsi" w:eastAsiaTheme="minorEastAsia" w:hAnsiTheme="minorHAnsi" w:cstheme="minorBidi"/>
              <w:noProof/>
              <w:sz w:val="22"/>
              <w:szCs w:val="22"/>
            </w:rPr>
          </w:pPr>
          <w:hyperlink w:anchor="_Toc163148022" w:history="1">
            <w:r w:rsidR="001F32B8" w:rsidRPr="00290E42">
              <w:rPr>
                <w:rStyle w:val="Hyperlink"/>
                <w:noProof/>
                <w:lang w:val="en-GB"/>
              </w:rPr>
              <w:t>4.2</w:t>
            </w:r>
            <w:r w:rsidR="001F32B8">
              <w:rPr>
                <w:rFonts w:asciiTheme="minorHAnsi" w:eastAsiaTheme="minorEastAsia" w:hAnsiTheme="minorHAnsi" w:cstheme="minorBidi"/>
                <w:noProof/>
                <w:sz w:val="22"/>
                <w:szCs w:val="22"/>
              </w:rPr>
              <w:tab/>
            </w:r>
            <w:r w:rsidR="001F32B8" w:rsidRPr="00290E42">
              <w:rPr>
                <w:rStyle w:val="Hyperlink"/>
                <w:noProof/>
                <w:lang w:val="en-GB"/>
              </w:rPr>
              <w:t>Component 3.1 Tax management</w:t>
            </w:r>
            <w:r w:rsidR="001F32B8">
              <w:rPr>
                <w:noProof/>
                <w:webHidden/>
              </w:rPr>
              <w:tab/>
            </w:r>
            <w:r w:rsidR="001F32B8">
              <w:rPr>
                <w:noProof/>
                <w:webHidden/>
              </w:rPr>
              <w:fldChar w:fldCharType="begin"/>
            </w:r>
            <w:r w:rsidR="001F32B8">
              <w:rPr>
                <w:noProof/>
                <w:webHidden/>
              </w:rPr>
              <w:instrText xml:space="preserve"> PAGEREF _Toc163148022 \h </w:instrText>
            </w:r>
            <w:r w:rsidR="001F32B8">
              <w:rPr>
                <w:noProof/>
                <w:webHidden/>
              </w:rPr>
            </w:r>
            <w:r w:rsidR="001F32B8">
              <w:rPr>
                <w:noProof/>
                <w:webHidden/>
              </w:rPr>
              <w:fldChar w:fldCharType="separate"/>
            </w:r>
            <w:r w:rsidR="00250287">
              <w:rPr>
                <w:noProof/>
                <w:webHidden/>
              </w:rPr>
              <w:t>32</w:t>
            </w:r>
            <w:r w:rsidR="001F32B8">
              <w:rPr>
                <w:noProof/>
                <w:webHidden/>
              </w:rPr>
              <w:fldChar w:fldCharType="end"/>
            </w:r>
          </w:hyperlink>
        </w:p>
        <w:p w14:paraId="713C352C" w14:textId="77777777" w:rsidR="001F32B8" w:rsidRDefault="00342306">
          <w:pPr>
            <w:pStyle w:val="TOC2"/>
            <w:rPr>
              <w:rFonts w:asciiTheme="minorHAnsi" w:eastAsiaTheme="minorEastAsia" w:hAnsiTheme="minorHAnsi" w:cstheme="minorBidi"/>
              <w:noProof/>
              <w:sz w:val="22"/>
              <w:szCs w:val="22"/>
            </w:rPr>
          </w:pPr>
          <w:hyperlink w:anchor="_Toc163148023" w:history="1">
            <w:r w:rsidR="001F32B8" w:rsidRPr="00290E42">
              <w:rPr>
                <w:rStyle w:val="Hyperlink"/>
                <w:noProof/>
                <w:lang w:val="en-GB"/>
              </w:rPr>
              <w:t>4.3</w:t>
            </w:r>
            <w:r w:rsidR="001F32B8">
              <w:rPr>
                <w:rFonts w:asciiTheme="minorHAnsi" w:eastAsiaTheme="minorEastAsia" w:hAnsiTheme="minorHAnsi" w:cstheme="minorBidi"/>
                <w:noProof/>
                <w:sz w:val="22"/>
                <w:szCs w:val="22"/>
              </w:rPr>
              <w:tab/>
            </w:r>
            <w:r w:rsidR="001F32B8" w:rsidRPr="00290E42">
              <w:rPr>
                <w:rStyle w:val="Hyperlink"/>
                <w:noProof/>
                <w:lang w:val="en-GB"/>
              </w:rPr>
              <w:t>Component 3.2 Property Tax Management</w:t>
            </w:r>
            <w:r w:rsidR="001F32B8">
              <w:rPr>
                <w:noProof/>
                <w:webHidden/>
              </w:rPr>
              <w:tab/>
            </w:r>
            <w:r w:rsidR="001F32B8">
              <w:rPr>
                <w:noProof/>
                <w:webHidden/>
              </w:rPr>
              <w:fldChar w:fldCharType="begin"/>
            </w:r>
            <w:r w:rsidR="001F32B8">
              <w:rPr>
                <w:noProof/>
                <w:webHidden/>
              </w:rPr>
              <w:instrText xml:space="preserve"> PAGEREF _Toc163148023 \h </w:instrText>
            </w:r>
            <w:r w:rsidR="001F32B8">
              <w:rPr>
                <w:noProof/>
                <w:webHidden/>
              </w:rPr>
            </w:r>
            <w:r w:rsidR="001F32B8">
              <w:rPr>
                <w:noProof/>
                <w:webHidden/>
              </w:rPr>
              <w:fldChar w:fldCharType="separate"/>
            </w:r>
            <w:r w:rsidR="00250287">
              <w:rPr>
                <w:noProof/>
                <w:webHidden/>
              </w:rPr>
              <w:t>34</w:t>
            </w:r>
            <w:r w:rsidR="001F32B8">
              <w:rPr>
                <w:noProof/>
                <w:webHidden/>
              </w:rPr>
              <w:fldChar w:fldCharType="end"/>
            </w:r>
          </w:hyperlink>
        </w:p>
        <w:p w14:paraId="2DD0DFC8" w14:textId="77777777" w:rsidR="001F32B8" w:rsidRDefault="00342306">
          <w:pPr>
            <w:pStyle w:val="TOC2"/>
            <w:rPr>
              <w:rFonts w:asciiTheme="minorHAnsi" w:eastAsiaTheme="minorEastAsia" w:hAnsiTheme="minorHAnsi" w:cstheme="minorBidi"/>
              <w:noProof/>
              <w:sz w:val="22"/>
              <w:szCs w:val="22"/>
            </w:rPr>
          </w:pPr>
          <w:hyperlink w:anchor="_Toc163148024" w:history="1">
            <w:r w:rsidR="001F32B8" w:rsidRPr="00290E42">
              <w:rPr>
                <w:rStyle w:val="Hyperlink"/>
                <w:noProof/>
                <w:lang w:val="en-GB"/>
              </w:rPr>
              <w:t>4.4</w:t>
            </w:r>
            <w:r w:rsidR="001F32B8">
              <w:rPr>
                <w:rFonts w:asciiTheme="minorHAnsi" w:eastAsiaTheme="minorEastAsia" w:hAnsiTheme="minorHAnsi" w:cstheme="minorBidi"/>
                <w:noProof/>
                <w:sz w:val="22"/>
                <w:szCs w:val="22"/>
              </w:rPr>
              <w:tab/>
            </w:r>
            <w:r w:rsidR="001F32B8" w:rsidRPr="00290E42">
              <w:rPr>
                <w:rStyle w:val="Hyperlink"/>
                <w:noProof/>
                <w:lang w:val="en-GB"/>
              </w:rPr>
              <w:t>Component 3.3 Customs Management</w:t>
            </w:r>
            <w:r w:rsidR="001F32B8">
              <w:rPr>
                <w:noProof/>
                <w:webHidden/>
              </w:rPr>
              <w:tab/>
            </w:r>
            <w:r w:rsidR="001F32B8">
              <w:rPr>
                <w:noProof/>
                <w:webHidden/>
              </w:rPr>
              <w:fldChar w:fldCharType="begin"/>
            </w:r>
            <w:r w:rsidR="001F32B8">
              <w:rPr>
                <w:noProof/>
                <w:webHidden/>
              </w:rPr>
              <w:instrText xml:space="preserve"> PAGEREF _Toc163148024 \h </w:instrText>
            </w:r>
            <w:r w:rsidR="001F32B8">
              <w:rPr>
                <w:noProof/>
                <w:webHidden/>
              </w:rPr>
            </w:r>
            <w:r w:rsidR="001F32B8">
              <w:rPr>
                <w:noProof/>
                <w:webHidden/>
              </w:rPr>
              <w:fldChar w:fldCharType="separate"/>
            </w:r>
            <w:r w:rsidR="00250287">
              <w:rPr>
                <w:noProof/>
                <w:webHidden/>
              </w:rPr>
              <w:t>35</w:t>
            </w:r>
            <w:r w:rsidR="001F32B8">
              <w:rPr>
                <w:noProof/>
                <w:webHidden/>
              </w:rPr>
              <w:fldChar w:fldCharType="end"/>
            </w:r>
          </w:hyperlink>
        </w:p>
        <w:p w14:paraId="4125CCCE" w14:textId="77777777" w:rsidR="001F32B8" w:rsidRDefault="00342306">
          <w:pPr>
            <w:pStyle w:val="TOC1"/>
            <w:rPr>
              <w:rFonts w:asciiTheme="minorHAnsi" w:eastAsiaTheme="minorEastAsia" w:hAnsiTheme="minorHAnsi" w:cstheme="minorBidi"/>
              <w:noProof/>
              <w:sz w:val="22"/>
              <w:szCs w:val="22"/>
            </w:rPr>
          </w:pPr>
          <w:hyperlink w:anchor="_Toc163148025" w:history="1">
            <w:r w:rsidR="001F32B8" w:rsidRPr="00290E42">
              <w:rPr>
                <w:rStyle w:val="Hyperlink"/>
                <w:noProof/>
                <w:lang w:val="en-GB"/>
              </w:rPr>
              <w:t>5</w:t>
            </w:r>
            <w:r w:rsidR="001F32B8">
              <w:rPr>
                <w:rFonts w:asciiTheme="minorHAnsi" w:eastAsiaTheme="minorEastAsia" w:hAnsiTheme="minorHAnsi" w:cstheme="minorBidi"/>
                <w:noProof/>
                <w:sz w:val="22"/>
                <w:szCs w:val="22"/>
              </w:rPr>
              <w:tab/>
            </w:r>
            <w:r w:rsidR="001F32B8" w:rsidRPr="00290E42">
              <w:rPr>
                <w:rStyle w:val="Hyperlink"/>
                <w:noProof/>
                <w:lang w:val="en-GB"/>
              </w:rPr>
              <w:t>Pillar 4 Accounting and Budget Execution Management</w:t>
            </w:r>
            <w:r w:rsidR="001F32B8">
              <w:rPr>
                <w:noProof/>
                <w:webHidden/>
              </w:rPr>
              <w:tab/>
            </w:r>
            <w:r w:rsidR="001F32B8">
              <w:rPr>
                <w:noProof/>
                <w:webHidden/>
              </w:rPr>
              <w:fldChar w:fldCharType="begin"/>
            </w:r>
            <w:r w:rsidR="001F32B8">
              <w:rPr>
                <w:noProof/>
                <w:webHidden/>
              </w:rPr>
              <w:instrText xml:space="preserve"> PAGEREF _Toc163148025 \h </w:instrText>
            </w:r>
            <w:r w:rsidR="001F32B8">
              <w:rPr>
                <w:noProof/>
                <w:webHidden/>
              </w:rPr>
            </w:r>
            <w:r w:rsidR="001F32B8">
              <w:rPr>
                <w:noProof/>
                <w:webHidden/>
              </w:rPr>
              <w:fldChar w:fldCharType="separate"/>
            </w:r>
            <w:r w:rsidR="00250287">
              <w:rPr>
                <w:noProof/>
                <w:webHidden/>
              </w:rPr>
              <w:t>37</w:t>
            </w:r>
            <w:r w:rsidR="001F32B8">
              <w:rPr>
                <w:noProof/>
                <w:webHidden/>
              </w:rPr>
              <w:fldChar w:fldCharType="end"/>
            </w:r>
          </w:hyperlink>
        </w:p>
        <w:p w14:paraId="622EC9CF" w14:textId="77777777" w:rsidR="001F32B8" w:rsidRDefault="00342306">
          <w:pPr>
            <w:pStyle w:val="TOC2"/>
            <w:rPr>
              <w:rFonts w:asciiTheme="minorHAnsi" w:eastAsiaTheme="minorEastAsia" w:hAnsiTheme="minorHAnsi" w:cstheme="minorBidi"/>
              <w:noProof/>
              <w:sz w:val="22"/>
              <w:szCs w:val="22"/>
            </w:rPr>
          </w:pPr>
          <w:hyperlink w:anchor="_Toc163148026" w:history="1">
            <w:r w:rsidR="001F32B8" w:rsidRPr="00290E42">
              <w:rPr>
                <w:rStyle w:val="Hyperlink"/>
                <w:noProof/>
                <w:lang w:val="en-GB"/>
              </w:rPr>
              <w:t>5.1</w:t>
            </w:r>
            <w:r w:rsidR="001F32B8">
              <w:rPr>
                <w:rFonts w:asciiTheme="minorHAnsi" w:eastAsiaTheme="minorEastAsia" w:hAnsiTheme="minorHAnsi" w:cstheme="minorBidi"/>
                <w:noProof/>
                <w:sz w:val="22"/>
                <w:szCs w:val="22"/>
              </w:rPr>
              <w:tab/>
            </w:r>
            <w:r w:rsidR="001F32B8" w:rsidRPr="00290E42">
              <w:rPr>
                <w:rStyle w:val="Hyperlink"/>
                <w:noProof/>
                <w:lang w:val="en-GB"/>
              </w:rPr>
              <w:t>Introduction</w:t>
            </w:r>
            <w:r w:rsidR="001F32B8">
              <w:rPr>
                <w:noProof/>
                <w:webHidden/>
              </w:rPr>
              <w:tab/>
            </w:r>
            <w:r w:rsidR="001F32B8">
              <w:rPr>
                <w:noProof/>
                <w:webHidden/>
              </w:rPr>
              <w:fldChar w:fldCharType="begin"/>
            </w:r>
            <w:r w:rsidR="001F32B8">
              <w:rPr>
                <w:noProof/>
                <w:webHidden/>
              </w:rPr>
              <w:instrText xml:space="preserve"> PAGEREF _Toc163148026 \h </w:instrText>
            </w:r>
            <w:r w:rsidR="001F32B8">
              <w:rPr>
                <w:noProof/>
                <w:webHidden/>
              </w:rPr>
            </w:r>
            <w:r w:rsidR="001F32B8">
              <w:rPr>
                <w:noProof/>
                <w:webHidden/>
              </w:rPr>
              <w:fldChar w:fldCharType="separate"/>
            </w:r>
            <w:r w:rsidR="00250287">
              <w:rPr>
                <w:noProof/>
                <w:webHidden/>
              </w:rPr>
              <w:t>37</w:t>
            </w:r>
            <w:r w:rsidR="001F32B8">
              <w:rPr>
                <w:noProof/>
                <w:webHidden/>
              </w:rPr>
              <w:fldChar w:fldCharType="end"/>
            </w:r>
          </w:hyperlink>
        </w:p>
        <w:p w14:paraId="3800F546" w14:textId="77777777" w:rsidR="001F32B8" w:rsidRDefault="00342306">
          <w:pPr>
            <w:pStyle w:val="TOC2"/>
            <w:rPr>
              <w:rFonts w:asciiTheme="minorHAnsi" w:eastAsiaTheme="minorEastAsia" w:hAnsiTheme="minorHAnsi" w:cstheme="minorBidi"/>
              <w:noProof/>
              <w:sz w:val="22"/>
              <w:szCs w:val="22"/>
            </w:rPr>
          </w:pPr>
          <w:hyperlink w:anchor="_Toc163148027" w:history="1">
            <w:r w:rsidR="001F32B8" w:rsidRPr="00290E42">
              <w:rPr>
                <w:rStyle w:val="Hyperlink"/>
                <w:noProof/>
                <w:lang w:val="en-GB"/>
              </w:rPr>
              <w:t>5.2</w:t>
            </w:r>
            <w:r w:rsidR="001F32B8">
              <w:rPr>
                <w:rFonts w:asciiTheme="minorHAnsi" w:eastAsiaTheme="minorEastAsia" w:hAnsiTheme="minorHAnsi" w:cstheme="minorBidi"/>
                <w:noProof/>
                <w:sz w:val="22"/>
                <w:szCs w:val="22"/>
              </w:rPr>
              <w:tab/>
            </w:r>
            <w:r w:rsidR="001F32B8" w:rsidRPr="00290E42">
              <w:rPr>
                <w:rStyle w:val="Hyperlink"/>
                <w:noProof/>
                <w:lang w:val="en-GB"/>
              </w:rPr>
              <w:t>Component 4.1 National Government Accounts</w:t>
            </w:r>
            <w:r w:rsidR="001F32B8">
              <w:rPr>
                <w:noProof/>
                <w:webHidden/>
              </w:rPr>
              <w:tab/>
            </w:r>
            <w:r w:rsidR="001F32B8">
              <w:rPr>
                <w:noProof/>
                <w:webHidden/>
              </w:rPr>
              <w:fldChar w:fldCharType="begin"/>
            </w:r>
            <w:r w:rsidR="001F32B8">
              <w:rPr>
                <w:noProof/>
                <w:webHidden/>
              </w:rPr>
              <w:instrText xml:space="preserve"> PAGEREF _Toc163148027 \h </w:instrText>
            </w:r>
            <w:r w:rsidR="001F32B8">
              <w:rPr>
                <w:noProof/>
                <w:webHidden/>
              </w:rPr>
            </w:r>
            <w:r w:rsidR="001F32B8">
              <w:rPr>
                <w:noProof/>
                <w:webHidden/>
              </w:rPr>
              <w:fldChar w:fldCharType="separate"/>
            </w:r>
            <w:r w:rsidR="00250287">
              <w:rPr>
                <w:noProof/>
                <w:webHidden/>
              </w:rPr>
              <w:t>38</w:t>
            </w:r>
            <w:r w:rsidR="001F32B8">
              <w:rPr>
                <w:noProof/>
                <w:webHidden/>
              </w:rPr>
              <w:fldChar w:fldCharType="end"/>
            </w:r>
          </w:hyperlink>
        </w:p>
        <w:p w14:paraId="17CE4790" w14:textId="77777777" w:rsidR="001F32B8" w:rsidRDefault="00342306">
          <w:pPr>
            <w:pStyle w:val="TOC2"/>
            <w:rPr>
              <w:rFonts w:asciiTheme="minorHAnsi" w:eastAsiaTheme="minorEastAsia" w:hAnsiTheme="minorHAnsi" w:cstheme="minorBidi"/>
              <w:noProof/>
              <w:sz w:val="22"/>
              <w:szCs w:val="22"/>
            </w:rPr>
          </w:pPr>
          <w:hyperlink w:anchor="_Toc163148028" w:history="1">
            <w:r w:rsidR="001F32B8" w:rsidRPr="00290E42">
              <w:rPr>
                <w:rStyle w:val="Hyperlink"/>
                <w:noProof/>
                <w:lang w:val="en-GB"/>
              </w:rPr>
              <w:t>5.3</w:t>
            </w:r>
            <w:r w:rsidR="001F32B8">
              <w:rPr>
                <w:rFonts w:asciiTheme="minorHAnsi" w:eastAsiaTheme="minorEastAsia" w:hAnsiTheme="minorHAnsi" w:cstheme="minorBidi"/>
                <w:noProof/>
                <w:sz w:val="22"/>
                <w:szCs w:val="22"/>
              </w:rPr>
              <w:tab/>
            </w:r>
            <w:r w:rsidR="001F32B8" w:rsidRPr="00290E42">
              <w:rPr>
                <w:rStyle w:val="Hyperlink"/>
                <w:noProof/>
                <w:lang w:val="en-GB"/>
              </w:rPr>
              <w:t>Component 4.2 Accounting</w:t>
            </w:r>
            <w:r w:rsidR="001F32B8">
              <w:rPr>
                <w:noProof/>
                <w:webHidden/>
              </w:rPr>
              <w:tab/>
            </w:r>
            <w:r w:rsidR="001F32B8">
              <w:rPr>
                <w:noProof/>
                <w:webHidden/>
              </w:rPr>
              <w:fldChar w:fldCharType="begin"/>
            </w:r>
            <w:r w:rsidR="001F32B8">
              <w:rPr>
                <w:noProof/>
                <w:webHidden/>
              </w:rPr>
              <w:instrText xml:space="preserve"> PAGEREF _Toc163148028 \h </w:instrText>
            </w:r>
            <w:r w:rsidR="001F32B8">
              <w:rPr>
                <w:noProof/>
                <w:webHidden/>
              </w:rPr>
            </w:r>
            <w:r w:rsidR="001F32B8">
              <w:rPr>
                <w:noProof/>
                <w:webHidden/>
              </w:rPr>
              <w:fldChar w:fldCharType="separate"/>
            </w:r>
            <w:r w:rsidR="00250287">
              <w:rPr>
                <w:noProof/>
                <w:webHidden/>
              </w:rPr>
              <w:t>39</w:t>
            </w:r>
            <w:r w:rsidR="001F32B8">
              <w:rPr>
                <w:noProof/>
                <w:webHidden/>
              </w:rPr>
              <w:fldChar w:fldCharType="end"/>
            </w:r>
          </w:hyperlink>
        </w:p>
        <w:p w14:paraId="5F9C1D94" w14:textId="77777777" w:rsidR="001F32B8" w:rsidRDefault="00342306">
          <w:pPr>
            <w:pStyle w:val="TOC2"/>
            <w:rPr>
              <w:rFonts w:asciiTheme="minorHAnsi" w:eastAsiaTheme="minorEastAsia" w:hAnsiTheme="minorHAnsi" w:cstheme="minorBidi"/>
              <w:noProof/>
              <w:sz w:val="22"/>
              <w:szCs w:val="22"/>
            </w:rPr>
          </w:pPr>
          <w:hyperlink w:anchor="_Toc163148029" w:history="1">
            <w:r w:rsidR="001F32B8" w:rsidRPr="00290E42">
              <w:rPr>
                <w:rStyle w:val="Hyperlink"/>
                <w:rFonts w:cs="Times New Roman"/>
                <w:noProof/>
                <w:lang w:val="en-GB"/>
              </w:rPr>
              <w:t>5.4</w:t>
            </w:r>
            <w:r w:rsidR="001F32B8">
              <w:rPr>
                <w:rFonts w:asciiTheme="minorHAnsi" w:eastAsiaTheme="minorEastAsia" w:hAnsiTheme="minorHAnsi" w:cstheme="minorBidi"/>
                <w:noProof/>
                <w:sz w:val="22"/>
                <w:szCs w:val="22"/>
              </w:rPr>
              <w:tab/>
            </w:r>
            <w:r w:rsidR="001F32B8" w:rsidRPr="00290E42">
              <w:rPr>
                <w:rStyle w:val="Hyperlink"/>
                <w:noProof/>
                <w:lang w:val="en-GB"/>
              </w:rPr>
              <w:t>Component 4.3 Public Procurement</w:t>
            </w:r>
            <w:r w:rsidR="001F32B8">
              <w:rPr>
                <w:noProof/>
                <w:webHidden/>
              </w:rPr>
              <w:tab/>
            </w:r>
            <w:r w:rsidR="001F32B8">
              <w:rPr>
                <w:noProof/>
                <w:webHidden/>
              </w:rPr>
              <w:fldChar w:fldCharType="begin"/>
            </w:r>
            <w:r w:rsidR="001F32B8">
              <w:rPr>
                <w:noProof/>
                <w:webHidden/>
              </w:rPr>
              <w:instrText xml:space="preserve"> PAGEREF _Toc163148029 \h </w:instrText>
            </w:r>
            <w:r w:rsidR="001F32B8">
              <w:rPr>
                <w:noProof/>
                <w:webHidden/>
              </w:rPr>
            </w:r>
            <w:r w:rsidR="001F32B8">
              <w:rPr>
                <w:noProof/>
                <w:webHidden/>
              </w:rPr>
              <w:fldChar w:fldCharType="separate"/>
            </w:r>
            <w:r w:rsidR="00250287">
              <w:rPr>
                <w:noProof/>
                <w:webHidden/>
              </w:rPr>
              <w:t>41</w:t>
            </w:r>
            <w:r w:rsidR="001F32B8">
              <w:rPr>
                <w:noProof/>
                <w:webHidden/>
              </w:rPr>
              <w:fldChar w:fldCharType="end"/>
            </w:r>
          </w:hyperlink>
        </w:p>
        <w:p w14:paraId="03278E70" w14:textId="77777777" w:rsidR="001F32B8" w:rsidRDefault="00342306">
          <w:pPr>
            <w:pStyle w:val="TOC2"/>
            <w:rPr>
              <w:rFonts w:asciiTheme="minorHAnsi" w:eastAsiaTheme="minorEastAsia" w:hAnsiTheme="minorHAnsi" w:cstheme="minorBidi"/>
              <w:noProof/>
              <w:sz w:val="22"/>
              <w:szCs w:val="22"/>
            </w:rPr>
          </w:pPr>
          <w:hyperlink w:anchor="_Toc163148030" w:history="1">
            <w:r w:rsidR="001F32B8" w:rsidRPr="00290E42">
              <w:rPr>
                <w:rStyle w:val="Hyperlink"/>
                <w:rFonts w:cs="Times New Roman"/>
                <w:noProof/>
                <w:lang w:val="en-GB"/>
              </w:rPr>
              <w:t>5.5</w:t>
            </w:r>
            <w:r w:rsidR="001F32B8">
              <w:rPr>
                <w:rFonts w:asciiTheme="minorHAnsi" w:eastAsiaTheme="minorEastAsia" w:hAnsiTheme="minorHAnsi" w:cstheme="minorBidi"/>
                <w:noProof/>
                <w:sz w:val="22"/>
                <w:szCs w:val="22"/>
              </w:rPr>
              <w:tab/>
            </w:r>
            <w:r w:rsidR="001F32B8" w:rsidRPr="00290E42">
              <w:rPr>
                <w:rStyle w:val="Hyperlink"/>
                <w:noProof/>
                <w:lang w:val="en-GB"/>
              </w:rPr>
              <w:t>Component 4.4 Debt Management</w:t>
            </w:r>
            <w:r w:rsidR="001F32B8">
              <w:rPr>
                <w:noProof/>
                <w:webHidden/>
              </w:rPr>
              <w:tab/>
            </w:r>
            <w:r w:rsidR="001F32B8">
              <w:rPr>
                <w:noProof/>
                <w:webHidden/>
              </w:rPr>
              <w:fldChar w:fldCharType="begin"/>
            </w:r>
            <w:r w:rsidR="001F32B8">
              <w:rPr>
                <w:noProof/>
                <w:webHidden/>
              </w:rPr>
              <w:instrText xml:space="preserve"> PAGEREF _Toc163148030 \h </w:instrText>
            </w:r>
            <w:r w:rsidR="001F32B8">
              <w:rPr>
                <w:noProof/>
                <w:webHidden/>
              </w:rPr>
            </w:r>
            <w:r w:rsidR="001F32B8">
              <w:rPr>
                <w:noProof/>
                <w:webHidden/>
              </w:rPr>
              <w:fldChar w:fldCharType="separate"/>
            </w:r>
            <w:r w:rsidR="00250287">
              <w:rPr>
                <w:noProof/>
                <w:webHidden/>
              </w:rPr>
              <w:t>43</w:t>
            </w:r>
            <w:r w:rsidR="001F32B8">
              <w:rPr>
                <w:noProof/>
                <w:webHidden/>
              </w:rPr>
              <w:fldChar w:fldCharType="end"/>
            </w:r>
          </w:hyperlink>
        </w:p>
        <w:p w14:paraId="1F8FFFBC" w14:textId="77777777" w:rsidR="001F32B8" w:rsidRDefault="00342306">
          <w:pPr>
            <w:pStyle w:val="TOC2"/>
            <w:rPr>
              <w:rFonts w:asciiTheme="minorHAnsi" w:eastAsiaTheme="minorEastAsia" w:hAnsiTheme="minorHAnsi" w:cstheme="minorBidi"/>
              <w:noProof/>
              <w:sz w:val="22"/>
              <w:szCs w:val="22"/>
            </w:rPr>
          </w:pPr>
          <w:hyperlink w:anchor="_Toc163148031" w:history="1">
            <w:r w:rsidR="001F32B8" w:rsidRPr="00290E42">
              <w:rPr>
                <w:rStyle w:val="Hyperlink"/>
                <w:noProof/>
                <w:lang w:val="en-GB"/>
              </w:rPr>
              <w:t>5.6</w:t>
            </w:r>
            <w:r w:rsidR="001F32B8">
              <w:rPr>
                <w:rFonts w:asciiTheme="minorHAnsi" w:eastAsiaTheme="minorEastAsia" w:hAnsiTheme="minorHAnsi" w:cstheme="minorBidi"/>
                <w:noProof/>
                <w:sz w:val="22"/>
                <w:szCs w:val="22"/>
              </w:rPr>
              <w:tab/>
            </w:r>
            <w:r w:rsidR="001F32B8" w:rsidRPr="00290E42">
              <w:rPr>
                <w:rStyle w:val="Hyperlink"/>
                <w:noProof/>
                <w:lang w:val="en-GB"/>
              </w:rPr>
              <w:t>Component 4.5 Cash Management</w:t>
            </w:r>
            <w:r w:rsidR="001F32B8">
              <w:rPr>
                <w:noProof/>
                <w:webHidden/>
              </w:rPr>
              <w:tab/>
            </w:r>
            <w:r w:rsidR="001F32B8">
              <w:rPr>
                <w:noProof/>
                <w:webHidden/>
              </w:rPr>
              <w:fldChar w:fldCharType="begin"/>
            </w:r>
            <w:r w:rsidR="001F32B8">
              <w:rPr>
                <w:noProof/>
                <w:webHidden/>
              </w:rPr>
              <w:instrText xml:space="preserve"> PAGEREF _Toc163148031 \h </w:instrText>
            </w:r>
            <w:r w:rsidR="001F32B8">
              <w:rPr>
                <w:noProof/>
                <w:webHidden/>
              </w:rPr>
            </w:r>
            <w:r w:rsidR="001F32B8">
              <w:rPr>
                <w:noProof/>
                <w:webHidden/>
              </w:rPr>
              <w:fldChar w:fldCharType="separate"/>
            </w:r>
            <w:r w:rsidR="00250287">
              <w:rPr>
                <w:noProof/>
                <w:webHidden/>
              </w:rPr>
              <w:t>44</w:t>
            </w:r>
            <w:r w:rsidR="001F32B8">
              <w:rPr>
                <w:noProof/>
                <w:webHidden/>
              </w:rPr>
              <w:fldChar w:fldCharType="end"/>
            </w:r>
          </w:hyperlink>
        </w:p>
        <w:p w14:paraId="725286BE" w14:textId="77777777" w:rsidR="001F32B8" w:rsidRDefault="00342306">
          <w:pPr>
            <w:pStyle w:val="TOC2"/>
            <w:rPr>
              <w:rFonts w:asciiTheme="minorHAnsi" w:eastAsiaTheme="minorEastAsia" w:hAnsiTheme="minorHAnsi" w:cstheme="minorBidi"/>
              <w:noProof/>
              <w:sz w:val="22"/>
              <w:szCs w:val="22"/>
            </w:rPr>
          </w:pPr>
          <w:hyperlink w:anchor="_Toc163148032" w:history="1">
            <w:r w:rsidR="001F32B8" w:rsidRPr="00290E42">
              <w:rPr>
                <w:rStyle w:val="Hyperlink"/>
                <w:noProof/>
                <w:lang w:val="en-GB"/>
              </w:rPr>
              <w:t>5.7</w:t>
            </w:r>
            <w:r w:rsidR="001F32B8">
              <w:rPr>
                <w:rFonts w:asciiTheme="minorHAnsi" w:eastAsiaTheme="minorEastAsia" w:hAnsiTheme="minorHAnsi" w:cstheme="minorBidi"/>
                <w:noProof/>
                <w:sz w:val="22"/>
                <w:szCs w:val="22"/>
              </w:rPr>
              <w:tab/>
            </w:r>
            <w:r w:rsidR="001F32B8" w:rsidRPr="00290E42">
              <w:rPr>
                <w:rStyle w:val="Hyperlink"/>
                <w:noProof/>
                <w:lang w:val="en-GB"/>
              </w:rPr>
              <w:t>Component 4.6 Asset Management</w:t>
            </w:r>
            <w:r w:rsidR="001F32B8">
              <w:rPr>
                <w:noProof/>
                <w:webHidden/>
              </w:rPr>
              <w:tab/>
            </w:r>
            <w:r w:rsidR="001F32B8">
              <w:rPr>
                <w:noProof/>
                <w:webHidden/>
              </w:rPr>
              <w:fldChar w:fldCharType="begin"/>
            </w:r>
            <w:r w:rsidR="001F32B8">
              <w:rPr>
                <w:noProof/>
                <w:webHidden/>
              </w:rPr>
              <w:instrText xml:space="preserve"> PAGEREF _Toc163148032 \h </w:instrText>
            </w:r>
            <w:r w:rsidR="001F32B8">
              <w:rPr>
                <w:noProof/>
                <w:webHidden/>
              </w:rPr>
            </w:r>
            <w:r w:rsidR="001F32B8">
              <w:rPr>
                <w:noProof/>
                <w:webHidden/>
              </w:rPr>
              <w:fldChar w:fldCharType="separate"/>
            </w:r>
            <w:r w:rsidR="00250287">
              <w:rPr>
                <w:noProof/>
                <w:webHidden/>
              </w:rPr>
              <w:t>45</w:t>
            </w:r>
            <w:r w:rsidR="001F32B8">
              <w:rPr>
                <w:noProof/>
                <w:webHidden/>
              </w:rPr>
              <w:fldChar w:fldCharType="end"/>
            </w:r>
          </w:hyperlink>
        </w:p>
        <w:p w14:paraId="630827C0" w14:textId="77777777" w:rsidR="001F32B8" w:rsidRDefault="00342306">
          <w:pPr>
            <w:pStyle w:val="TOC1"/>
            <w:rPr>
              <w:rFonts w:asciiTheme="minorHAnsi" w:eastAsiaTheme="minorEastAsia" w:hAnsiTheme="minorHAnsi" w:cstheme="minorBidi"/>
              <w:noProof/>
              <w:sz w:val="22"/>
              <w:szCs w:val="22"/>
            </w:rPr>
          </w:pPr>
          <w:hyperlink w:anchor="_Toc163148033" w:history="1">
            <w:r w:rsidR="001F32B8" w:rsidRPr="00290E42">
              <w:rPr>
                <w:rStyle w:val="Hyperlink"/>
                <w:noProof/>
                <w:lang w:val="en-GB"/>
              </w:rPr>
              <w:t>6</w:t>
            </w:r>
            <w:r w:rsidR="001F32B8">
              <w:rPr>
                <w:rFonts w:asciiTheme="minorHAnsi" w:eastAsiaTheme="minorEastAsia" w:hAnsiTheme="minorHAnsi" w:cstheme="minorBidi"/>
                <w:noProof/>
                <w:sz w:val="22"/>
                <w:szCs w:val="22"/>
              </w:rPr>
              <w:tab/>
            </w:r>
            <w:r w:rsidR="001F32B8" w:rsidRPr="00290E42">
              <w:rPr>
                <w:rStyle w:val="Hyperlink"/>
                <w:noProof/>
                <w:lang w:val="en-GB"/>
              </w:rPr>
              <w:t>Pillar 5 Public Internal Financial Control</w:t>
            </w:r>
            <w:r w:rsidR="001F32B8">
              <w:rPr>
                <w:noProof/>
                <w:webHidden/>
              </w:rPr>
              <w:tab/>
            </w:r>
            <w:r w:rsidR="001F32B8">
              <w:rPr>
                <w:noProof/>
                <w:webHidden/>
              </w:rPr>
              <w:fldChar w:fldCharType="begin"/>
            </w:r>
            <w:r w:rsidR="001F32B8">
              <w:rPr>
                <w:noProof/>
                <w:webHidden/>
              </w:rPr>
              <w:instrText xml:space="preserve"> PAGEREF _Toc163148033 \h </w:instrText>
            </w:r>
            <w:r w:rsidR="001F32B8">
              <w:rPr>
                <w:noProof/>
                <w:webHidden/>
              </w:rPr>
            </w:r>
            <w:r w:rsidR="001F32B8">
              <w:rPr>
                <w:noProof/>
                <w:webHidden/>
              </w:rPr>
              <w:fldChar w:fldCharType="separate"/>
            </w:r>
            <w:r w:rsidR="00250287">
              <w:rPr>
                <w:noProof/>
                <w:webHidden/>
              </w:rPr>
              <w:t>47</w:t>
            </w:r>
            <w:r w:rsidR="001F32B8">
              <w:rPr>
                <w:noProof/>
                <w:webHidden/>
              </w:rPr>
              <w:fldChar w:fldCharType="end"/>
            </w:r>
          </w:hyperlink>
        </w:p>
        <w:p w14:paraId="4AE9CCFD" w14:textId="77777777" w:rsidR="001F32B8" w:rsidRDefault="00342306">
          <w:pPr>
            <w:pStyle w:val="TOC2"/>
            <w:rPr>
              <w:rFonts w:asciiTheme="minorHAnsi" w:eastAsiaTheme="minorEastAsia" w:hAnsiTheme="minorHAnsi" w:cstheme="minorBidi"/>
              <w:noProof/>
              <w:sz w:val="22"/>
              <w:szCs w:val="22"/>
            </w:rPr>
          </w:pPr>
          <w:hyperlink w:anchor="_Toc163148034" w:history="1">
            <w:r w:rsidR="001F32B8" w:rsidRPr="00290E42">
              <w:rPr>
                <w:rStyle w:val="Hyperlink"/>
                <w:noProof/>
                <w:lang w:val="en-GB"/>
              </w:rPr>
              <w:t>6.1</w:t>
            </w:r>
            <w:r w:rsidR="001F32B8">
              <w:rPr>
                <w:rFonts w:asciiTheme="minorHAnsi" w:eastAsiaTheme="minorEastAsia" w:hAnsiTheme="minorHAnsi" w:cstheme="minorBidi"/>
                <w:noProof/>
                <w:sz w:val="22"/>
                <w:szCs w:val="22"/>
              </w:rPr>
              <w:tab/>
            </w:r>
            <w:r w:rsidR="001F32B8" w:rsidRPr="00290E42">
              <w:rPr>
                <w:rStyle w:val="Hyperlink"/>
                <w:noProof/>
                <w:lang w:val="en-GB"/>
              </w:rPr>
              <w:t>Introduction</w:t>
            </w:r>
            <w:r w:rsidR="001F32B8">
              <w:rPr>
                <w:noProof/>
                <w:webHidden/>
              </w:rPr>
              <w:tab/>
            </w:r>
            <w:r w:rsidR="001F32B8">
              <w:rPr>
                <w:noProof/>
                <w:webHidden/>
              </w:rPr>
              <w:fldChar w:fldCharType="begin"/>
            </w:r>
            <w:r w:rsidR="001F32B8">
              <w:rPr>
                <w:noProof/>
                <w:webHidden/>
              </w:rPr>
              <w:instrText xml:space="preserve"> PAGEREF _Toc163148034 \h </w:instrText>
            </w:r>
            <w:r w:rsidR="001F32B8">
              <w:rPr>
                <w:noProof/>
                <w:webHidden/>
              </w:rPr>
            </w:r>
            <w:r w:rsidR="001F32B8">
              <w:rPr>
                <w:noProof/>
                <w:webHidden/>
              </w:rPr>
              <w:fldChar w:fldCharType="separate"/>
            </w:r>
            <w:r w:rsidR="00250287">
              <w:rPr>
                <w:noProof/>
                <w:webHidden/>
              </w:rPr>
              <w:t>47</w:t>
            </w:r>
            <w:r w:rsidR="001F32B8">
              <w:rPr>
                <w:noProof/>
                <w:webHidden/>
              </w:rPr>
              <w:fldChar w:fldCharType="end"/>
            </w:r>
          </w:hyperlink>
        </w:p>
        <w:p w14:paraId="0669D065" w14:textId="77777777" w:rsidR="001F32B8" w:rsidRDefault="00342306">
          <w:pPr>
            <w:pStyle w:val="TOC2"/>
            <w:rPr>
              <w:rFonts w:asciiTheme="minorHAnsi" w:eastAsiaTheme="minorEastAsia" w:hAnsiTheme="minorHAnsi" w:cstheme="minorBidi"/>
              <w:noProof/>
              <w:sz w:val="22"/>
              <w:szCs w:val="22"/>
            </w:rPr>
          </w:pPr>
          <w:hyperlink w:anchor="_Toc163148035" w:history="1">
            <w:r w:rsidR="001F32B8" w:rsidRPr="00290E42">
              <w:rPr>
                <w:rStyle w:val="Hyperlink"/>
                <w:noProof/>
                <w:lang w:val="en-GB"/>
              </w:rPr>
              <w:t>6.2</w:t>
            </w:r>
            <w:r w:rsidR="001F32B8">
              <w:rPr>
                <w:rFonts w:asciiTheme="minorHAnsi" w:eastAsiaTheme="minorEastAsia" w:hAnsiTheme="minorHAnsi" w:cstheme="minorBidi"/>
                <w:noProof/>
                <w:sz w:val="22"/>
                <w:szCs w:val="22"/>
              </w:rPr>
              <w:tab/>
            </w:r>
            <w:r w:rsidR="001F32B8" w:rsidRPr="00290E42">
              <w:rPr>
                <w:rStyle w:val="Hyperlink"/>
                <w:noProof/>
                <w:lang w:val="en-GB"/>
              </w:rPr>
              <w:t>Component 5.1 Financial Management and Control</w:t>
            </w:r>
            <w:r w:rsidR="001F32B8">
              <w:rPr>
                <w:noProof/>
                <w:webHidden/>
              </w:rPr>
              <w:tab/>
            </w:r>
            <w:r w:rsidR="001F32B8">
              <w:rPr>
                <w:noProof/>
                <w:webHidden/>
              </w:rPr>
              <w:fldChar w:fldCharType="begin"/>
            </w:r>
            <w:r w:rsidR="001F32B8">
              <w:rPr>
                <w:noProof/>
                <w:webHidden/>
              </w:rPr>
              <w:instrText xml:space="preserve"> PAGEREF _Toc163148035 \h </w:instrText>
            </w:r>
            <w:r w:rsidR="001F32B8">
              <w:rPr>
                <w:noProof/>
                <w:webHidden/>
              </w:rPr>
            </w:r>
            <w:r w:rsidR="001F32B8">
              <w:rPr>
                <w:noProof/>
                <w:webHidden/>
              </w:rPr>
              <w:fldChar w:fldCharType="separate"/>
            </w:r>
            <w:r w:rsidR="00250287">
              <w:rPr>
                <w:noProof/>
                <w:webHidden/>
              </w:rPr>
              <w:t>48</w:t>
            </w:r>
            <w:r w:rsidR="001F32B8">
              <w:rPr>
                <w:noProof/>
                <w:webHidden/>
              </w:rPr>
              <w:fldChar w:fldCharType="end"/>
            </w:r>
          </w:hyperlink>
        </w:p>
        <w:p w14:paraId="246C54F0" w14:textId="77777777" w:rsidR="001F32B8" w:rsidRDefault="00342306">
          <w:pPr>
            <w:pStyle w:val="TOC2"/>
            <w:rPr>
              <w:rFonts w:asciiTheme="minorHAnsi" w:eastAsiaTheme="minorEastAsia" w:hAnsiTheme="minorHAnsi" w:cstheme="minorBidi"/>
              <w:noProof/>
              <w:sz w:val="22"/>
              <w:szCs w:val="22"/>
            </w:rPr>
          </w:pPr>
          <w:hyperlink w:anchor="_Toc163148036" w:history="1">
            <w:r w:rsidR="001F32B8" w:rsidRPr="00290E42">
              <w:rPr>
                <w:rStyle w:val="Hyperlink"/>
                <w:noProof/>
                <w:lang w:val="en-GB"/>
              </w:rPr>
              <w:t>6.3</w:t>
            </w:r>
            <w:r w:rsidR="001F32B8">
              <w:rPr>
                <w:rFonts w:asciiTheme="minorHAnsi" w:eastAsiaTheme="minorEastAsia" w:hAnsiTheme="minorHAnsi" w:cstheme="minorBidi"/>
                <w:noProof/>
                <w:sz w:val="22"/>
                <w:szCs w:val="22"/>
              </w:rPr>
              <w:tab/>
            </w:r>
            <w:r w:rsidR="001F32B8" w:rsidRPr="00290E42">
              <w:rPr>
                <w:rStyle w:val="Hyperlink"/>
                <w:noProof/>
                <w:lang w:val="en-GB"/>
              </w:rPr>
              <w:t>Component 5.2 Internal Audit</w:t>
            </w:r>
            <w:r w:rsidR="001F32B8">
              <w:rPr>
                <w:noProof/>
                <w:webHidden/>
              </w:rPr>
              <w:tab/>
            </w:r>
            <w:r w:rsidR="001F32B8">
              <w:rPr>
                <w:noProof/>
                <w:webHidden/>
              </w:rPr>
              <w:fldChar w:fldCharType="begin"/>
            </w:r>
            <w:r w:rsidR="001F32B8">
              <w:rPr>
                <w:noProof/>
                <w:webHidden/>
              </w:rPr>
              <w:instrText xml:space="preserve"> PAGEREF _Toc163148036 \h </w:instrText>
            </w:r>
            <w:r w:rsidR="001F32B8">
              <w:rPr>
                <w:noProof/>
                <w:webHidden/>
              </w:rPr>
            </w:r>
            <w:r w:rsidR="001F32B8">
              <w:rPr>
                <w:noProof/>
                <w:webHidden/>
              </w:rPr>
              <w:fldChar w:fldCharType="separate"/>
            </w:r>
            <w:r w:rsidR="00250287">
              <w:rPr>
                <w:noProof/>
                <w:webHidden/>
              </w:rPr>
              <w:t>49</w:t>
            </w:r>
            <w:r w:rsidR="001F32B8">
              <w:rPr>
                <w:noProof/>
                <w:webHidden/>
              </w:rPr>
              <w:fldChar w:fldCharType="end"/>
            </w:r>
          </w:hyperlink>
        </w:p>
        <w:p w14:paraId="6B032F09" w14:textId="77777777" w:rsidR="001F32B8" w:rsidRDefault="00342306">
          <w:pPr>
            <w:pStyle w:val="TOC2"/>
            <w:rPr>
              <w:rFonts w:asciiTheme="minorHAnsi" w:eastAsiaTheme="minorEastAsia" w:hAnsiTheme="minorHAnsi" w:cstheme="minorBidi"/>
              <w:noProof/>
              <w:sz w:val="22"/>
              <w:szCs w:val="22"/>
            </w:rPr>
          </w:pPr>
          <w:hyperlink w:anchor="_Toc163148037" w:history="1">
            <w:r w:rsidR="001F32B8" w:rsidRPr="00290E42">
              <w:rPr>
                <w:rStyle w:val="Hyperlink"/>
                <w:noProof/>
                <w:lang w:val="en-GB"/>
              </w:rPr>
              <w:t>6.4</w:t>
            </w:r>
            <w:r w:rsidR="001F32B8">
              <w:rPr>
                <w:rFonts w:asciiTheme="minorHAnsi" w:eastAsiaTheme="minorEastAsia" w:hAnsiTheme="minorHAnsi" w:cstheme="minorBidi"/>
                <w:noProof/>
                <w:sz w:val="22"/>
                <w:szCs w:val="22"/>
              </w:rPr>
              <w:tab/>
            </w:r>
            <w:r w:rsidR="001F32B8" w:rsidRPr="00290E42">
              <w:rPr>
                <w:rStyle w:val="Hyperlink"/>
                <w:noProof/>
                <w:lang w:val="en-GB"/>
              </w:rPr>
              <w:t>Component 5.3 Public Financial Inspection and Anti-Fraud Coordination Services</w:t>
            </w:r>
            <w:r w:rsidR="001F32B8">
              <w:rPr>
                <w:noProof/>
                <w:webHidden/>
              </w:rPr>
              <w:tab/>
            </w:r>
            <w:r w:rsidR="001F32B8">
              <w:rPr>
                <w:noProof/>
                <w:webHidden/>
              </w:rPr>
              <w:fldChar w:fldCharType="begin"/>
            </w:r>
            <w:r w:rsidR="001F32B8">
              <w:rPr>
                <w:noProof/>
                <w:webHidden/>
              </w:rPr>
              <w:instrText xml:space="preserve"> PAGEREF _Toc163148037 \h </w:instrText>
            </w:r>
            <w:r w:rsidR="001F32B8">
              <w:rPr>
                <w:noProof/>
                <w:webHidden/>
              </w:rPr>
            </w:r>
            <w:r w:rsidR="001F32B8">
              <w:rPr>
                <w:noProof/>
                <w:webHidden/>
              </w:rPr>
              <w:fldChar w:fldCharType="separate"/>
            </w:r>
            <w:r w:rsidR="00250287">
              <w:rPr>
                <w:noProof/>
                <w:webHidden/>
              </w:rPr>
              <w:t>51</w:t>
            </w:r>
            <w:r w:rsidR="001F32B8">
              <w:rPr>
                <w:noProof/>
                <w:webHidden/>
              </w:rPr>
              <w:fldChar w:fldCharType="end"/>
            </w:r>
          </w:hyperlink>
        </w:p>
        <w:p w14:paraId="743060C8" w14:textId="77777777" w:rsidR="001F32B8" w:rsidRDefault="00342306">
          <w:pPr>
            <w:pStyle w:val="TOC2"/>
            <w:rPr>
              <w:rFonts w:asciiTheme="minorHAnsi" w:eastAsiaTheme="minorEastAsia" w:hAnsiTheme="minorHAnsi" w:cstheme="minorBidi"/>
              <w:noProof/>
              <w:sz w:val="22"/>
              <w:szCs w:val="22"/>
            </w:rPr>
          </w:pPr>
          <w:hyperlink w:anchor="_Toc163148038" w:history="1">
            <w:r w:rsidR="001F32B8" w:rsidRPr="00290E42">
              <w:rPr>
                <w:rStyle w:val="Hyperlink"/>
                <w:noProof/>
                <w:lang w:val="en-GB"/>
              </w:rPr>
              <w:t>6.5</w:t>
            </w:r>
            <w:r w:rsidR="001F32B8">
              <w:rPr>
                <w:rFonts w:asciiTheme="minorHAnsi" w:eastAsiaTheme="minorEastAsia" w:hAnsiTheme="minorHAnsi" w:cstheme="minorBidi"/>
                <w:noProof/>
                <w:sz w:val="22"/>
                <w:szCs w:val="22"/>
              </w:rPr>
              <w:tab/>
            </w:r>
            <w:r w:rsidR="001F32B8" w:rsidRPr="00290E42">
              <w:rPr>
                <w:rStyle w:val="Hyperlink"/>
                <w:noProof/>
                <w:lang w:val="en-GB"/>
              </w:rPr>
              <w:t>Component 5.4 Management of EU funds</w:t>
            </w:r>
            <w:r w:rsidR="001F32B8">
              <w:rPr>
                <w:noProof/>
                <w:webHidden/>
              </w:rPr>
              <w:tab/>
            </w:r>
            <w:r w:rsidR="001F32B8">
              <w:rPr>
                <w:noProof/>
                <w:webHidden/>
              </w:rPr>
              <w:fldChar w:fldCharType="begin"/>
            </w:r>
            <w:r w:rsidR="001F32B8">
              <w:rPr>
                <w:noProof/>
                <w:webHidden/>
              </w:rPr>
              <w:instrText xml:space="preserve"> PAGEREF _Toc163148038 \h </w:instrText>
            </w:r>
            <w:r w:rsidR="001F32B8">
              <w:rPr>
                <w:noProof/>
                <w:webHidden/>
              </w:rPr>
            </w:r>
            <w:r w:rsidR="001F32B8">
              <w:rPr>
                <w:noProof/>
                <w:webHidden/>
              </w:rPr>
              <w:fldChar w:fldCharType="separate"/>
            </w:r>
            <w:r w:rsidR="00250287">
              <w:rPr>
                <w:noProof/>
                <w:webHidden/>
              </w:rPr>
              <w:t>52</w:t>
            </w:r>
            <w:r w:rsidR="001F32B8">
              <w:rPr>
                <w:noProof/>
                <w:webHidden/>
              </w:rPr>
              <w:fldChar w:fldCharType="end"/>
            </w:r>
          </w:hyperlink>
        </w:p>
        <w:p w14:paraId="7EFDC3E0" w14:textId="77777777" w:rsidR="001F32B8" w:rsidRDefault="00342306">
          <w:pPr>
            <w:pStyle w:val="TOC1"/>
            <w:rPr>
              <w:rFonts w:asciiTheme="minorHAnsi" w:eastAsiaTheme="minorEastAsia" w:hAnsiTheme="minorHAnsi" w:cstheme="minorBidi"/>
              <w:noProof/>
              <w:sz w:val="22"/>
              <w:szCs w:val="22"/>
            </w:rPr>
          </w:pPr>
          <w:hyperlink w:anchor="_Toc163148039" w:history="1">
            <w:r w:rsidR="001F32B8" w:rsidRPr="00290E42">
              <w:rPr>
                <w:rStyle w:val="Hyperlink"/>
                <w:noProof/>
                <w:lang w:val="en-GB"/>
              </w:rPr>
              <w:t>7</w:t>
            </w:r>
            <w:r w:rsidR="001F32B8">
              <w:rPr>
                <w:rFonts w:asciiTheme="minorHAnsi" w:eastAsiaTheme="minorEastAsia" w:hAnsiTheme="minorHAnsi" w:cstheme="minorBidi"/>
                <w:noProof/>
                <w:sz w:val="22"/>
                <w:szCs w:val="22"/>
              </w:rPr>
              <w:tab/>
            </w:r>
            <w:r w:rsidR="001F32B8" w:rsidRPr="00290E42">
              <w:rPr>
                <w:rStyle w:val="Hyperlink"/>
                <w:noProof/>
                <w:lang w:val="en-GB"/>
              </w:rPr>
              <w:t>Pillar 6 External Oversight</w:t>
            </w:r>
            <w:r w:rsidR="001F32B8">
              <w:rPr>
                <w:noProof/>
                <w:webHidden/>
              </w:rPr>
              <w:tab/>
            </w:r>
            <w:r w:rsidR="001F32B8">
              <w:rPr>
                <w:noProof/>
                <w:webHidden/>
              </w:rPr>
              <w:fldChar w:fldCharType="begin"/>
            </w:r>
            <w:r w:rsidR="001F32B8">
              <w:rPr>
                <w:noProof/>
                <w:webHidden/>
              </w:rPr>
              <w:instrText xml:space="preserve"> PAGEREF _Toc163148039 \h </w:instrText>
            </w:r>
            <w:r w:rsidR="001F32B8">
              <w:rPr>
                <w:noProof/>
                <w:webHidden/>
              </w:rPr>
            </w:r>
            <w:r w:rsidR="001F32B8">
              <w:rPr>
                <w:noProof/>
                <w:webHidden/>
              </w:rPr>
              <w:fldChar w:fldCharType="separate"/>
            </w:r>
            <w:r w:rsidR="00250287">
              <w:rPr>
                <w:noProof/>
                <w:webHidden/>
              </w:rPr>
              <w:t>55</w:t>
            </w:r>
            <w:r w:rsidR="001F32B8">
              <w:rPr>
                <w:noProof/>
                <w:webHidden/>
              </w:rPr>
              <w:fldChar w:fldCharType="end"/>
            </w:r>
          </w:hyperlink>
        </w:p>
        <w:p w14:paraId="685065E1" w14:textId="77777777" w:rsidR="001F32B8" w:rsidRDefault="00342306">
          <w:pPr>
            <w:pStyle w:val="TOC2"/>
            <w:rPr>
              <w:rFonts w:asciiTheme="minorHAnsi" w:eastAsiaTheme="minorEastAsia" w:hAnsiTheme="minorHAnsi" w:cstheme="minorBidi"/>
              <w:noProof/>
              <w:sz w:val="22"/>
              <w:szCs w:val="22"/>
            </w:rPr>
          </w:pPr>
          <w:hyperlink w:anchor="_Toc163148040" w:history="1">
            <w:r w:rsidR="001F32B8" w:rsidRPr="00290E42">
              <w:rPr>
                <w:rStyle w:val="Hyperlink"/>
                <w:noProof/>
                <w:lang w:val="en-GB"/>
              </w:rPr>
              <w:t>7.1</w:t>
            </w:r>
            <w:r w:rsidR="001F32B8">
              <w:rPr>
                <w:rFonts w:asciiTheme="minorHAnsi" w:eastAsiaTheme="minorEastAsia" w:hAnsiTheme="minorHAnsi" w:cstheme="minorBidi"/>
                <w:noProof/>
                <w:sz w:val="22"/>
                <w:szCs w:val="22"/>
              </w:rPr>
              <w:tab/>
            </w:r>
            <w:r w:rsidR="001F32B8" w:rsidRPr="00290E42">
              <w:rPr>
                <w:rStyle w:val="Hyperlink"/>
                <w:noProof/>
                <w:lang w:val="en-GB"/>
              </w:rPr>
              <w:t>Introduction</w:t>
            </w:r>
            <w:r w:rsidR="001F32B8">
              <w:rPr>
                <w:noProof/>
                <w:webHidden/>
              </w:rPr>
              <w:tab/>
            </w:r>
            <w:r w:rsidR="001F32B8">
              <w:rPr>
                <w:noProof/>
                <w:webHidden/>
              </w:rPr>
              <w:fldChar w:fldCharType="begin"/>
            </w:r>
            <w:r w:rsidR="001F32B8">
              <w:rPr>
                <w:noProof/>
                <w:webHidden/>
              </w:rPr>
              <w:instrText xml:space="preserve"> PAGEREF _Toc163148040 \h </w:instrText>
            </w:r>
            <w:r w:rsidR="001F32B8">
              <w:rPr>
                <w:noProof/>
                <w:webHidden/>
              </w:rPr>
            </w:r>
            <w:r w:rsidR="001F32B8">
              <w:rPr>
                <w:noProof/>
                <w:webHidden/>
              </w:rPr>
              <w:fldChar w:fldCharType="separate"/>
            </w:r>
            <w:r w:rsidR="00250287">
              <w:rPr>
                <w:noProof/>
                <w:webHidden/>
              </w:rPr>
              <w:t>55</w:t>
            </w:r>
            <w:r w:rsidR="001F32B8">
              <w:rPr>
                <w:noProof/>
                <w:webHidden/>
              </w:rPr>
              <w:fldChar w:fldCharType="end"/>
            </w:r>
          </w:hyperlink>
        </w:p>
        <w:p w14:paraId="6F614C2A" w14:textId="77777777" w:rsidR="001F32B8" w:rsidRDefault="00342306">
          <w:pPr>
            <w:pStyle w:val="TOC2"/>
            <w:rPr>
              <w:rFonts w:asciiTheme="minorHAnsi" w:eastAsiaTheme="minorEastAsia" w:hAnsiTheme="minorHAnsi" w:cstheme="minorBidi"/>
              <w:noProof/>
              <w:sz w:val="22"/>
              <w:szCs w:val="22"/>
            </w:rPr>
          </w:pPr>
          <w:hyperlink w:anchor="_Toc163148041" w:history="1">
            <w:r w:rsidR="001F32B8" w:rsidRPr="00290E42">
              <w:rPr>
                <w:rStyle w:val="Hyperlink"/>
                <w:noProof/>
                <w:lang w:val="en-GB"/>
              </w:rPr>
              <w:t>7.2</w:t>
            </w:r>
            <w:r w:rsidR="001F32B8">
              <w:rPr>
                <w:rFonts w:asciiTheme="minorHAnsi" w:eastAsiaTheme="minorEastAsia" w:hAnsiTheme="minorHAnsi" w:cstheme="minorBidi"/>
                <w:noProof/>
                <w:sz w:val="22"/>
                <w:szCs w:val="22"/>
              </w:rPr>
              <w:tab/>
            </w:r>
            <w:r w:rsidR="001F32B8" w:rsidRPr="00290E42">
              <w:rPr>
                <w:rStyle w:val="Hyperlink"/>
                <w:noProof/>
                <w:lang w:val="en-GB"/>
              </w:rPr>
              <w:t>Component 6.1 External Audit</w:t>
            </w:r>
            <w:r w:rsidR="001F32B8">
              <w:rPr>
                <w:noProof/>
                <w:webHidden/>
              </w:rPr>
              <w:tab/>
            </w:r>
            <w:r w:rsidR="001F32B8">
              <w:rPr>
                <w:noProof/>
                <w:webHidden/>
              </w:rPr>
              <w:fldChar w:fldCharType="begin"/>
            </w:r>
            <w:r w:rsidR="001F32B8">
              <w:rPr>
                <w:noProof/>
                <w:webHidden/>
              </w:rPr>
              <w:instrText xml:space="preserve"> PAGEREF _Toc163148041 \h </w:instrText>
            </w:r>
            <w:r w:rsidR="001F32B8">
              <w:rPr>
                <w:noProof/>
                <w:webHidden/>
              </w:rPr>
            </w:r>
            <w:r w:rsidR="001F32B8">
              <w:rPr>
                <w:noProof/>
                <w:webHidden/>
              </w:rPr>
              <w:fldChar w:fldCharType="separate"/>
            </w:r>
            <w:r w:rsidR="00250287">
              <w:rPr>
                <w:noProof/>
                <w:webHidden/>
              </w:rPr>
              <w:t>55</w:t>
            </w:r>
            <w:r w:rsidR="001F32B8">
              <w:rPr>
                <w:noProof/>
                <w:webHidden/>
              </w:rPr>
              <w:fldChar w:fldCharType="end"/>
            </w:r>
          </w:hyperlink>
        </w:p>
        <w:p w14:paraId="02B3E8E3" w14:textId="77777777" w:rsidR="001F32B8" w:rsidRDefault="00342306">
          <w:pPr>
            <w:pStyle w:val="TOC2"/>
            <w:rPr>
              <w:rFonts w:asciiTheme="minorHAnsi" w:eastAsiaTheme="minorEastAsia" w:hAnsiTheme="minorHAnsi" w:cstheme="minorBidi"/>
              <w:noProof/>
              <w:sz w:val="22"/>
              <w:szCs w:val="22"/>
            </w:rPr>
          </w:pPr>
          <w:hyperlink w:anchor="_Toc163148042" w:history="1">
            <w:r w:rsidR="001F32B8" w:rsidRPr="00290E42">
              <w:rPr>
                <w:rStyle w:val="Hyperlink"/>
                <w:noProof/>
                <w:lang w:val="en-GB"/>
              </w:rPr>
              <w:t>7.3</w:t>
            </w:r>
            <w:r w:rsidR="001F32B8">
              <w:rPr>
                <w:rFonts w:asciiTheme="minorHAnsi" w:eastAsiaTheme="minorEastAsia" w:hAnsiTheme="minorHAnsi" w:cstheme="minorBidi"/>
                <w:noProof/>
                <w:sz w:val="22"/>
                <w:szCs w:val="22"/>
              </w:rPr>
              <w:tab/>
            </w:r>
            <w:r w:rsidR="001F32B8" w:rsidRPr="00290E42">
              <w:rPr>
                <w:rStyle w:val="Hyperlink"/>
                <w:noProof/>
                <w:lang w:val="en-GB"/>
              </w:rPr>
              <w:t>Component 6.2 Parliamentary Oversight</w:t>
            </w:r>
            <w:r w:rsidR="001F32B8">
              <w:rPr>
                <w:noProof/>
                <w:webHidden/>
              </w:rPr>
              <w:tab/>
            </w:r>
            <w:r w:rsidR="001F32B8">
              <w:rPr>
                <w:noProof/>
                <w:webHidden/>
              </w:rPr>
              <w:fldChar w:fldCharType="begin"/>
            </w:r>
            <w:r w:rsidR="001F32B8">
              <w:rPr>
                <w:noProof/>
                <w:webHidden/>
              </w:rPr>
              <w:instrText xml:space="preserve"> PAGEREF _Toc163148042 \h </w:instrText>
            </w:r>
            <w:r w:rsidR="001F32B8">
              <w:rPr>
                <w:noProof/>
                <w:webHidden/>
              </w:rPr>
            </w:r>
            <w:r w:rsidR="001F32B8">
              <w:rPr>
                <w:noProof/>
                <w:webHidden/>
              </w:rPr>
              <w:fldChar w:fldCharType="separate"/>
            </w:r>
            <w:r w:rsidR="00250287">
              <w:rPr>
                <w:noProof/>
                <w:webHidden/>
              </w:rPr>
              <w:t>57</w:t>
            </w:r>
            <w:r w:rsidR="001F32B8">
              <w:rPr>
                <w:noProof/>
                <w:webHidden/>
              </w:rPr>
              <w:fldChar w:fldCharType="end"/>
            </w:r>
          </w:hyperlink>
        </w:p>
        <w:p w14:paraId="4AFA093B" w14:textId="77777777" w:rsidR="001F32B8" w:rsidRDefault="00342306">
          <w:pPr>
            <w:pStyle w:val="TOC1"/>
            <w:rPr>
              <w:rFonts w:asciiTheme="minorHAnsi" w:eastAsiaTheme="minorEastAsia" w:hAnsiTheme="minorHAnsi" w:cstheme="minorBidi"/>
              <w:noProof/>
              <w:sz w:val="22"/>
              <w:szCs w:val="22"/>
            </w:rPr>
          </w:pPr>
          <w:hyperlink w:anchor="_Toc163148043" w:history="1">
            <w:r w:rsidR="001F32B8" w:rsidRPr="00290E42">
              <w:rPr>
                <w:rStyle w:val="Hyperlink"/>
                <w:noProof/>
                <w:lang w:val="en-GB"/>
              </w:rPr>
              <w:t>8</w:t>
            </w:r>
            <w:r w:rsidR="001F32B8">
              <w:rPr>
                <w:rFonts w:asciiTheme="minorHAnsi" w:eastAsiaTheme="minorEastAsia" w:hAnsiTheme="minorHAnsi" w:cstheme="minorBidi"/>
                <w:noProof/>
                <w:sz w:val="22"/>
                <w:szCs w:val="22"/>
              </w:rPr>
              <w:tab/>
            </w:r>
            <w:r w:rsidR="001F32B8" w:rsidRPr="00290E42">
              <w:rPr>
                <w:rStyle w:val="Hyperlink"/>
                <w:noProof/>
                <w:lang w:val="en-GB"/>
              </w:rPr>
              <w:t>Monitoring and Reporting Institutional Framework</w:t>
            </w:r>
            <w:r w:rsidR="001F32B8">
              <w:rPr>
                <w:noProof/>
                <w:webHidden/>
              </w:rPr>
              <w:tab/>
            </w:r>
            <w:r w:rsidR="001F32B8">
              <w:rPr>
                <w:noProof/>
                <w:webHidden/>
              </w:rPr>
              <w:fldChar w:fldCharType="begin"/>
            </w:r>
            <w:r w:rsidR="001F32B8">
              <w:rPr>
                <w:noProof/>
                <w:webHidden/>
              </w:rPr>
              <w:instrText xml:space="preserve"> PAGEREF _Toc163148043 \h </w:instrText>
            </w:r>
            <w:r w:rsidR="001F32B8">
              <w:rPr>
                <w:noProof/>
                <w:webHidden/>
              </w:rPr>
            </w:r>
            <w:r w:rsidR="001F32B8">
              <w:rPr>
                <w:noProof/>
                <w:webHidden/>
              </w:rPr>
              <w:fldChar w:fldCharType="separate"/>
            </w:r>
            <w:r w:rsidR="00250287">
              <w:rPr>
                <w:noProof/>
                <w:webHidden/>
              </w:rPr>
              <w:t>59</w:t>
            </w:r>
            <w:r w:rsidR="001F32B8">
              <w:rPr>
                <w:noProof/>
                <w:webHidden/>
              </w:rPr>
              <w:fldChar w:fldCharType="end"/>
            </w:r>
          </w:hyperlink>
        </w:p>
        <w:p w14:paraId="75410230" w14:textId="77777777" w:rsidR="001F32B8" w:rsidRDefault="00342306">
          <w:pPr>
            <w:pStyle w:val="TOC1"/>
            <w:rPr>
              <w:rFonts w:asciiTheme="minorHAnsi" w:eastAsiaTheme="minorEastAsia" w:hAnsiTheme="minorHAnsi" w:cstheme="minorBidi"/>
              <w:noProof/>
              <w:sz w:val="22"/>
              <w:szCs w:val="22"/>
            </w:rPr>
          </w:pPr>
          <w:hyperlink w:anchor="_Toc163148044" w:history="1">
            <w:r w:rsidR="001F32B8" w:rsidRPr="00290E42">
              <w:rPr>
                <w:rStyle w:val="Hyperlink"/>
                <w:noProof/>
                <w:lang w:val="en-GB"/>
              </w:rPr>
              <w:t>9</w:t>
            </w:r>
            <w:r w:rsidR="001F32B8">
              <w:rPr>
                <w:rFonts w:asciiTheme="minorHAnsi" w:eastAsiaTheme="minorEastAsia" w:hAnsiTheme="minorHAnsi" w:cstheme="minorBidi"/>
                <w:noProof/>
                <w:sz w:val="22"/>
                <w:szCs w:val="22"/>
              </w:rPr>
              <w:tab/>
            </w:r>
            <w:r w:rsidR="001F32B8" w:rsidRPr="00290E42">
              <w:rPr>
                <w:rStyle w:val="Hyperlink"/>
                <w:noProof/>
                <w:lang w:val="en-GB"/>
              </w:rPr>
              <w:t>Risks and mitigation plan</w:t>
            </w:r>
            <w:r w:rsidR="001F32B8">
              <w:rPr>
                <w:noProof/>
                <w:webHidden/>
              </w:rPr>
              <w:tab/>
            </w:r>
            <w:r w:rsidR="001F32B8">
              <w:rPr>
                <w:noProof/>
                <w:webHidden/>
              </w:rPr>
              <w:fldChar w:fldCharType="begin"/>
            </w:r>
            <w:r w:rsidR="001F32B8">
              <w:rPr>
                <w:noProof/>
                <w:webHidden/>
              </w:rPr>
              <w:instrText xml:space="preserve"> PAGEREF _Toc163148044 \h </w:instrText>
            </w:r>
            <w:r w:rsidR="001F32B8">
              <w:rPr>
                <w:noProof/>
                <w:webHidden/>
              </w:rPr>
            </w:r>
            <w:r w:rsidR="001F32B8">
              <w:rPr>
                <w:noProof/>
                <w:webHidden/>
              </w:rPr>
              <w:fldChar w:fldCharType="separate"/>
            </w:r>
            <w:r w:rsidR="00250287">
              <w:rPr>
                <w:noProof/>
                <w:webHidden/>
              </w:rPr>
              <w:t>60</w:t>
            </w:r>
            <w:r w:rsidR="001F32B8">
              <w:rPr>
                <w:noProof/>
                <w:webHidden/>
              </w:rPr>
              <w:fldChar w:fldCharType="end"/>
            </w:r>
          </w:hyperlink>
        </w:p>
        <w:p w14:paraId="59FDCF8A" w14:textId="77777777" w:rsidR="001F32B8" w:rsidRDefault="00342306">
          <w:pPr>
            <w:pStyle w:val="TOC1"/>
            <w:rPr>
              <w:rFonts w:asciiTheme="minorHAnsi" w:eastAsiaTheme="minorEastAsia" w:hAnsiTheme="minorHAnsi" w:cstheme="minorBidi"/>
              <w:noProof/>
              <w:sz w:val="22"/>
              <w:szCs w:val="22"/>
            </w:rPr>
          </w:pPr>
          <w:hyperlink w:anchor="_Toc163148045" w:history="1">
            <w:r w:rsidR="001F32B8" w:rsidRPr="00290E42">
              <w:rPr>
                <w:rStyle w:val="Hyperlink"/>
                <w:noProof/>
                <w:lang w:val="en-GB"/>
              </w:rPr>
              <w:t>10 Estimated Cost and Financing</w:t>
            </w:r>
            <w:r w:rsidR="001F32B8">
              <w:rPr>
                <w:noProof/>
                <w:webHidden/>
              </w:rPr>
              <w:tab/>
            </w:r>
            <w:r w:rsidR="001F32B8">
              <w:rPr>
                <w:noProof/>
                <w:webHidden/>
              </w:rPr>
              <w:fldChar w:fldCharType="begin"/>
            </w:r>
            <w:r w:rsidR="001F32B8">
              <w:rPr>
                <w:noProof/>
                <w:webHidden/>
              </w:rPr>
              <w:instrText xml:space="preserve"> PAGEREF _Toc163148045 \h </w:instrText>
            </w:r>
            <w:r w:rsidR="001F32B8">
              <w:rPr>
                <w:noProof/>
                <w:webHidden/>
              </w:rPr>
            </w:r>
            <w:r w:rsidR="001F32B8">
              <w:rPr>
                <w:noProof/>
                <w:webHidden/>
              </w:rPr>
              <w:fldChar w:fldCharType="separate"/>
            </w:r>
            <w:r w:rsidR="00250287">
              <w:rPr>
                <w:noProof/>
                <w:webHidden/>
              </w:rPr>
              <w:t>62</w:t>
            </w:r>
            <w:r w:rsidR="001F32B8">
              <w:rPr>
                <w:noProof/>
                <w:webHidden/>
              </w:rPr>
              <w:fldChar w:fldCharType="end"/>
            </w:r>
          </w:hyperlink>
        </w:p>
        <w:p w14:paraId="790FD4BE" w14:textId="77777777" w:rsidR="001F32B8" w:rsidRDefault="00342306">
          <w:pPr>
            <w:pStyle w:val="TOC1"/>
            <w:rPr>
              <w:rFonts w:asciiTheme="minorHAnsi" w:eastAsiaTheme="minorEastAsia" w:hAnsiTheme="minorHAnsi" w:cstheme="minorBidi"/>
              <w:noProof/>
              <w:sz w:val="22"/>
              <w:szCs w:val="22"/>
            </w:rPr>
          </w:pPr>
          <w:hyperlink w:anchor="_Toc163148046" w:history="1">
            <w:r w:rsidR="001F32B8" w:rsidRPr="00290E42">
              <w:rPr>
                <w:rStyle w:val="Hyperlink"/>
                <w:noProof/>
                <w:lang w:val="en-GB"/>
              </w:rPr>
              <w:t>Annex 1 Stakeholders for PFM Reform</w:t>
            </w:r>
            <w:r w:rsidR="001F32B8">
              <w:rPr>
                <w:noProof/>
                <w:webHidden/>
              </w:rPr>
              <w:tab/>
            </w:r>
            <w:r w:rsidR="001F32B8">
              <w:rPr>
                <w:noProof/>
                <w:webHidden/>
              </w:rPr>
              <w:fldChar w:fldCharType="begin"/>
            </w:r>
            <w:r w:rsidR="001F32B8">
              <w:rPr>
                <w:noProof/>
                <w:webHidden/>
              </w:rPr>
              <w:instrText xml:space="preserve"> PAGEREF _Toc163148046 \h </w:instrText>
            </w:r>
            <w:r w:rsidR="001F32B8">
              <w:rPr>
                <w:noProof/>
                <w:webHidden/>
              </w:rPr>
            </w:r>
            <w:r w:rsidR="001F32B8">
              <w:rPr>
                <w:noProof/>
                <w:webHidden/>
              </w:rPr>
              <w:fldChar w:fldCharType="separate"/>
            </w:r>
            <w:r w:rsidR="00250287">
              <w:rPr>
                <w:noProof/>
                <w:webHidden/>
              </w:rPr>
              <w:t>63</w:t>
            </w:r>
            <w:r w:rsidR="001F32B8">
              <w:rPr>
                <w:noProof/>
                <w:webHidden/>
              </w:rPr>
              <w:fldChar w:fldCharType="end"/>
            </w:r>
          </w:hyperlink>
        </w:p>
        <w:p w14:paraId="6F6187A3" w14:textId="77777777" w:rsidR="001F32B8" w:rsidRDefault="00342306">
          <w:pPr>
            <w:pStyle w:val="TOC1"/>
            <w:rPr>
              <w:rFonts w:asciiTheme="minorHAnsi" w:eastAsiaTheme="minorEastAsia" w:hAnsiTheme="minorHAnsi" w:cstheme="minorBidi"/>
              <w:noProof/>
              <w:sz w:val="22"/>
              <w:szCs w:val="22"/>
            </w:rPr>
          </w:pPr>
          <w:hyperlink w:anchor="_Toc163148047" w:history="1">
            <w:r w:rsidR="001F32B8" w:rsidRPr="00290E42">
              <w:rPr>
                <w:rStyle w:val="Hyperlink"/>
                <w:noProof/>
                <w:lang w:val="en-GB"/>
              </w:rPr>
              <w:t>Annex 2 Overview of ongoing and planned support from development partners</w:t>
            </w:r>
            <w:r w:rsidR="001F32B8">
              <w:rPr>
                <w:noProof/>
                <w:webHidden/>
              </w:rPr>
              <w:tab/>
            </w:r>
            <w:r w:rsidR="001F32B8">
              <w:rPr>
                <w:noProof/>
                <w:webHidden/>
              </w:rPr>
              <w:fldChar w:fldCharType="begin"/>
            </w:r>
            <w:r w:rsidR="001F32B8">
              <w:rPr>
                <w:noProof/>
                <w:webHidden/>
              </w:rPr>
              <w:instrText xml:space="preserve"> PAGEREF _Toc163148047 \h </w:instrText>
            </w:r>
            <w:r w:rsidR="001F32B8">
              <w:rPr>
                <w:noProof/>
                <w:webHidden/>
              </w:rPr>
            </w:r>
            <w:r w:rsidR="001F32B8">
              <w:rPr>
                <w:noProof/>
                <w:webHidden/>
              </w:rPr>
              <w:fldChar w:fldCharType="separate"/>
            </w:r>
            <w:r w:rsidR="00250287">
              <w:rPr>
                <w:noProof/>
                <w:webHidden/>
              </w:rPr>
              <w:t>65</w:t>
            </w:r>
            <w:r w:rsidR="001F32B8">
              <w:rPr>
                <w:noProof/>
                <w:webHidden/>
              </w:rPr>
              <w:fldChar w:fldCharType="end"/>
            </w:r>
          </w:hyperlink>
        </w:p>
        <w:p w14:paraId="0B9D79EB" w14:textId="77777777" w:rsidR="001F32B8" w:rsidRDefault="00342306">
          <w:pPr>
            <w:pStyle w:val="TOC1"/>
            <w:rPr>
              <w:rFonts w:asciiTheme="minorHAnsi" w:eastAsiaTheme="minorEastAsia" w:hAnsiTheme="minorHAnsi" w:cstheme="minorBidi"/>
              <w:noProof/>
              <w:sz w:val="22"/>
              <w:szCs w:val="22"/>
            </w:rPr>
          </w:pPr>
          <w:hyperlink w:anchor="_Toc163148048" w:history="1">
            <w:r w:rsidR="001F32B8" w:rsidRPr="00290E42">
              <w:rPr>
                <w:rStyle w:val="Hyperlink"/>
                <w:noProof/>
                <w:lang w:val="en-GB"/>
              </w:rPr>
              <w:t>Annex 3 Estimated Cost and Financing according to specific objectives (components)</w:t>
            </w:r>
            <w:r w:rsidR="001F32B8">
              <w:rPr>
                <w:noProof/>
                <w:webHidden/>
              </w:rPr>
              <w:tab/>
            </w:r>
            <w:r w:rsidR="001F32B8">
              <w:rPr>
                <w:noProof/>
                <w:webHidden/>
              </w:rPr>
              <w:fldChar w:fldCharType="begin"/>
            </w:r>
            <w:r w:rsidR="001F32B8">
              <w:rPr>
                <w:noProof/>
                <w:webHidden/>
              </w:rPr>
              <w:instrText xml:space="preserve"> PAGEREF _Toc163148048 \h </w:instrText>
            </w:r>
            <w:r w:rsidR="001F32B8">
              <w:rPr>
                <w:noProof/>
                <w:webHidden/>
              </w:rPr>
            </w:r>
            <w:r w:rsidR="001F32B8">
              <w:rPr>
                <w:noProof/>
                <w:webHidden/>
              </w:rPr>
              <w:fldChar w:fldCharType="separate"/>
            </w:r>
            <w:r w:rsidR="00250287">
              <w:rPr>
                <w:noProof/>
                <w:webHidden/>
              </w:rPr>
              <w:t>66</w:t>
            </w:r>
            <w:r w:rsidR="001F32B8">
              <w:rPr>
                <w:noProof/>
                <w:webHidden/>
              </w:rPr>
              <w:fldChar w:fldCharType="end"/>
            </w:r>
          </w:hyperlink>
        </w:p>
        <w:p w14:paraId="335AF008" w14:textId="77777777" w:rsidR="001F32B8" w:rsidRDefault="00342306">
          <w:pPr>
            <w:pStyle w:val="TOC1"/>
            <w:rPr>
              <w:rFonts w:asciiTheme="minorHAnsi" w:eastAsiaTheme="minorEastAsia" w:hAnsiTheme="minorHAnsi" w:cstheme="minorBidi"/>
              <w:noProof/>
              <w:sz w:val="22"/>
              <w:szCs w:val="22"/>
            </w:rPr>
          </w:pPr>
          <w:hyperlink w:anchor="_Toc163148049" w:history="1">
            <w:r w:rsidR="001F32B8" w:rsidRPr="00290E42">
              <w:rPr>
                <w:rStyle w:val="Hyperlink"/>
                <w:noProof/>
                <w:lang w:val="en-GB"/>
              </w:rPr>
              <w:t>Annex 4 Action Plan of Public Finance Management Strategy 2023-2026</w:t>
            </w:r>
            <w:r w:rsidR="001F32B8">
              <w:rPr>
                <w:noProof/>
                <w:webHidden/>
              </w:rPr>
              <w:tab/>
            </w:r>
            <w:r w:rsidR="001F32B8">
              <w:rPr>
                <w:noProof/>
                <w:webHidden/>
              </w:rPr>
              <w:fldChar w:fldCharType="begin"/>
            </w:r>
            <w:r w:rsidR="001F32B8">
              <w:rPr>
                <w:noProof/>
                <w:webHidden/>
              </w:rPr>
              <w:instrText xml:space="preserve"> PAGEREF _Toc163148049 \h </w:instrText>
            </w:r>
            <w:r w:rsidR="001F32B8">
              <w:rPr>
                <w:noProof/>
                <w:webHidden/>
              </w:rPr>
            </w:r>
            <w:r w:rsidR="001F32B8">
              <w:rPr>
                <w:noProof/>
                <w:webHidden/>
              </w:rPr>
              <w:fldChar w:fldCharType="separate"/>
            </w:r>
            <w:r w:rsidR="00250287">
              <w:rPr>
                <w:noProof/>
                <w:webHidden/>
              </w:rPr>
              <w:t>69</w:t>
            </w:r>
            <w:r w:rsidR="001F32B8">
              <w:rPr>
                <w:noProof/>
                <w:webHidden/>
              </w:rPr>
              <w:fldChar w:fldCharType="end"/>
            </w:r>
          </w:hyperlink>
        </w:p>
        <w:p w14:paraId="42B73D92" w14:textId="77777777" w:rsidR="001F32B8" w:rsidRDefault="00342306">
          <w:pPr>
            <w:pStyle w:val="TOC1"/>
            <w:rPr>
              <w:rFonts w:asciiTheme="minorHAnsi" w:eastAsiaTheme="minorEastAsia" w:hAnsiTheme="minorHAnsi" w:cstheme="minorBidi"/>
              <w:noProof/>
              <w:sz w:val="22"/>
              <w:szCs w:val="22"/>
            </w:rPr>
          </w:pPr>
          <w:hyperlink w:anchor="_Toc163148050" w:history="1">
            <w:r w:rsidR="001F32B8" w:rsidRPr="00290E42">
              <w:rPr>
                <w:rStyle w:val="Hyperlink"/>
                <w:noProof/>
                <w:lang w:val="en-GB"/>
              </w:rPr>
              <w:t>Annex 5 Passport of Indicators of Public Finance Management Strategy 2023-2026</w:t>
            </w:r>
            <w:r w:rsidR="001F32B8">
              <w:rPr>
                <w:noProof/>
                <w:webHidden/>
              </w:rPr>
              <w:tab/>
            </w:r>
            <w:r w:rsidR="001F32B8">
              <w:rPr>
                <w:noProof/>
                <w:webHidden/>
              </w:rPr>
              <w:fldChar w:fldCharType="begin"/>
            </w:r>
            <w:r w:rsidR="001F32B8">
              <w:rPr>
                <w:noProof/>
                <w:webHidden/>
              </w:rPr>
              <w:instrText xml:space="preserve"> PAGEREF _Toc163148050 \h </w:instrText>
            </w:r>
            <w:r w:rsidR="001F32B8">
              <w:rPr>
                <w:noProof/>
                <w:webHidden/>
              </w:rPr>
            </w:r>
            <w:r w:rsidR="001F32B8">
              <w:rPr>
                <w:noProof/>
                <w:webHidden/>
              </w:rPr>
              <w:fldChar w:fldCharType="separate"/>
            </w:r>
            <w:r w:rsidR="00250287">
              <w:rPr>
                <w:noProof/>
                <w:webHidden/>
              </w:rPr>
              <w:t>81</w:t>
            </w:r>
            <w:r w:rsidR="001F32B8">
              <w:rPr>
                <w:noProof/>
                <w:webHidden/>
              </w:rPr>
              <w:fldChar w:fldCharType="end"/>
            </w:r>
          </w:hyperlink>
        </w:p>
        <w:p w14:paraId="66AE1589" w14:textId="4A83F97E" w:rsidR="00C81923" w:rsidRPr="001F151E" w:rsidRDefault="00C81923">
          <w:pPr>
            <w:rPr>
              <w:lang w:val="en-GB"/>
            </w:rPr>
          </w:pPr>
          <w:r w:rsidRPr="001F151E">
            <w:rPr>
              <w:b/>
              <w:bCs/>
              <w:noProof/>
              <w:lang w:val="en-GB"/>
            </w:rPr>
            <w:fldChar w:fldCharType="end"/>
          </w:r>
        </w:p>
      </w:sdtContent>
    </w:sdt>
    <w:p w14:paraId="2E95D3E5" w14:textId="77777777" w:rsidR="00C81923" w:rsidRPr="001F151E" w:rsidRDefault="00C81923" w:rsidP="00C81923">
      <w:pPr>
        <w:rPr>
          <w:lang w:val="en-GB"/>
        </w:rPr>
      </w:pPr>
    </w:p>
    <w:p w14:paraId="298F2CC3" w14:textId="77777777" w:rsidR="00C81923" w:rsidRPr="001F151E" w:rsidRDefault="00C81923" w:rsidP="00C81923">
      <w:pPr>
        <w:rPr>
          <w:rStyle w:val="IntenseReference"/>
          <w:rFonts w:eastAsiaTheme="majorEastAsia" w:cstheme="majorBidi"/>
          <w:i w:val="0"/>
          <w:sz w:val="26"/>
          <w:szCs w:val="26"/>
          <w:lang w:val="en-GB"/>
        </w:rPr>
      </w:pPr>
    </w:p>
    <w:p w14:paraId="5CA88CEE" w14:textId="77777777" w:rsidR="00C81923" w:rsidRPr="001F151E" w:rsidRDefault="00C81923" w:rsidP="00C81923">
      <w:pPr>
        <w:rPr>
          <w:rStyle w:val="IntenseReference"/>
          <w:rFonts w:eastAsiaTheme="majorEastAsia" w:cstheme="majorBidi"/>
          <w:i w:val="0"/>
          <w:sz w:val="26"/>
          <w:szCs w:val="26"/>
          <w:lang w:val="en-GB"/>
        </w:rPr>
      </w:pPr>
    </w:p>
    <w:p w14:paraId="28996A54" w14:textId="77777777" w:rsidR="00C81923" w:rsidRPr="001F151E" w:rsidRDefault="00C81923">
      <w:pPr>
        <w:spacing w:after="160" w:line="259" w:lineRule="auto"/>
        <w:rPr>
          <w:rStyle w:val="IntenseReference"/>
          <w:rFonts w:eastAsiaTheme="majorEastAsia" w:cstheme="majorBidi"/>
          <w:b/>
          <w:bCs/>
          <w:i w:val="0"/>
          <w:iCs/>
          <w:sz w:val="26"/>
          <w:szCs w:val="26"/>
          <w:lang w:val="en-GB"/>
        </w:rPr>
      </w:pPr>
      <w:r w:rsidRPr="001F151E">
        <w:rPr>
          <w:rStyle w:val="IntenseReference"/>
          <w:rFonts w:eastAsiaTheme="majorEastAsia" w:cstheme="majorBidi"/>
          <w:i w:val="0"/>
          <w:sz w:val="26"/>
          <w:szCs w:val="26"/>
          <w:lang w:val="en-GB"/>
        </w:rPr>
        <w:br w:type="page"/>
      </w:r>
    </w:p>
    <w:p w14:paraId="328FEE23" w14:textId="380D771C" w:rsidR="008102CF" w:rsidRPr="001F151E" w:rsidRDefault="008102CF" w:rsidP="00E50D41">
      <w:pPr>
        <w:pStyle w:val="Heading1"/>
        <w:numPr>
          <w:ilvl w:val="0"/>
          <w:numId w:val="0"/>
        </w:numPr>
        <w:ind w:left="432" w:hanging="432"/>
        <w:rPr>
          <w:rStyle w:val="IntenseReference"/>
          <w:rFonts w:eastAsiaTheme="majorEastAsia" w:cstheme="majorBidi"/>
          <w:i w:val="0"/>
          <w:sz w:val="26"/>
          <w:szCs w:val="26"/>
          <w:lang w:val="en-GB"/>
        </w:rPr>
      </w:pPr>
      <w:bookmarkStart w:id="1" w:name="_Toc163148000"/>
      <w:r w:rsidRPr="001F151E">
        <w:rPr>
          <w:rStyle w:val="IntenseReference"/>
          <w:rFonts w:eastAsiaTheme="majorEastAsia" w:cstheme="majorBidi"/>
          <w:i w:val="0"/>
          <w:sz w:val="26"/>
          <w:szCs w:val="26"/>
          <w:lang w:val="en-GB"/>
        </w:rPr>
        <w:lastRenderedPageBreak/>
        <w:t>Abbreviations</w:t>
      </w:r>
      <w:bookmarkEnd w:id="1"/>
    </w:p>
    <w:p w14:paraId="10EE89FA" w14:textId="77777777" w:rsidR="008102CF" w:rsidRPr="001F151E" w:rsidRDefault="008102CF" w:rsidP="008102CF">
      <w:pPr>
        <w:rPr>
          <w:lang w:val="en-GB"/>
        </w:rPr>
      </w:pPr>
    </w:p>
    <w:tbl>
      <w:tblPr>
        <w:tblStyle w:val="TableGrid"/>
        <w:tblW w:w="524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994"/>
        <w:gridCol w:w="8469"/>
      </w:tblGrid>
      <w:tr w:rsidR="00951641" w:rsidRPr="001F151E" w14:paraId="116231AE" w14:textId="77777777" w:rsidTr="007F5689">
        <w:tc>
          <w:tcPr>
            <w:tcW w:w="994" w:type="dxa"/>
          </w:tcPr>
          <w:p w14:paraId="10E9EAFD" w14:textId="77777777" w:rsidR="00951641" w:rsidRPr="001F151E" w:rsidRDefault="00951641" w:rsidP="009A77C3">
            <w:pPr>
              <w:pStyle w:val="T-normal"/>
            </w:pPr>
            <w:r w:rsidRPr="001F151E">
              <w:t>AA</w:t>
            </w:r>
          </w:p>
        </w:tc>
        <w:tc>
          <w:tcPr>
            <w:tcW w:w="8469" w:type="dxa"/>
            <w:vAlign w:val="center"/>
          </w:tcPr>
          <w:p w14:paraId="78E8ADD8" w14:textId="77777777" w:rsidR="00951641" w:rsidRPr="001F151E" w:rsidRDefault="00951641" w:rsidP="009A77C3">
            <w:pPr>
              <w:pStyle w:val="T-normal"/>
            </w:pPr>
            <w:r w:rsidRPr="001F151E">
              <w:t xml:space="preserve">Audit Authority </w:t>
            </w:r>
          </w:p>
        </w:tc>
      </w:tr>
      <w:tr w:rsidR="00951641" w:rsidRPr="001F151E" w14:paraId="41C80BC7" w14:textId="77777777" w:rsidTr="007F5689">
        <w:tc>
          <w:tcPr>
            <w:tcW w:w="994" w:type="dxa"/>
          </w:tcPr>
          <w:p w14:paraId="7F189D93" w14:textId="77777777" w:rsidR="00951641" w:rsidRPr="001F151E" w:rsidRDefault="00951641" w:rsidP="009A77C3">
            <w:pPr>
              <w:pStyle w:val="T-normal"/>
              <w:rPr>
                <w:rFonts w:eastAsia="Times New Roman"/>
              </w:rPr>
            </w:pPr>
            <w:r w:rsidRPr="001F151E">
              <w:rPr>
                <w:rFonts w:eastAsia="Times New Roman"/>
              </w:rPr>
              <w:t>AEO</w:t>
            </w:r>
          </w:p>
        </w:tc>
        <w:tc>
          <w:tcPr>
            <w:tcW w:w="8469" w:type="dxa"/>
            <w:vAlign w:val="center"/>
          </w:tcPr>
          <w:p w14:paraId="6E620789" w14:textId="77777777" w:rsidR="00951641" w:rsidRPr="001F151E" w:rsidRDefault="00951641" w:rsidP="009A77C3">
            <w:pPr>
              <w:pStyle w:val="T-normal"/>
              <w:rPr>
                <w:rFonts w:eastAsia="Times New Roman"/>
              </w:rPr>
            </w:pPr>
            <w:r w:rsidRPr="001F151E">
              <w:rPr>
                <w:rFonts w:eastAsia="Times New Roman"/>
              </w:rPr>
              <w:t>Authorised Economic Operator</w:t>
            </w:r>
          </w:p>
        </w:tc>
      </w:tr>
      <w:tr w:rsidR="00951641" w:rsidRPr="001F151E" w14:paraId="6ECB78E3" w14:textId="77777777" w:rsidTr="007F5689">
        <w:tc>
          <w:tcPr>
            <w:tcW w:w="994" w:type="dxa"/>
          </w:tcPr>
          <w:p w14:paraId="3278B89F" w14:textId="77777777" w:rsidR="00951641" w:rsidRPr="001F151E" w:rsidRDefault="00951641" w:rsidP="009A77C3">
            <w:pPr>
              <w:pStyle w:val="T-normal"/>
              <w:rPr>
                <w:rFonts w:eastAsia="Times New Roman"/>
              </w:rPr>
            </w:pPr>
            <w:r w:rsidRPr="001F151E">
              <w:rPr>
                <w:rFonts w:eastAsia="Times New Roman"/>
              </w:rPr>
              <w:t>AFCOS</w:t>
            </w:r>
          </w:p>
        </w:tc>
        <w:tc>
          <w:tcPr>
            <w:tcW w:w="8469" w:type="dxa"/>
            <w:vAlign w:val="center"/>
          </w:tcPr>
          <w:p w14:paraId="5C4F71BE" w14:textId="77777777" w:rsidR="00951641" w:rsidRPr="001F151E" w:rsidRDefault="00951641" w:rsidP="009A77C3">
            <w:pPr>
              <w:pStyle w:val="T-normal"/>
              <w:rPr>
                <w:rFonts w:eastAsia="Times New Roman"/>
              </w:rPr>
            </w:pPr>
            <w:r w:rsidRPr="001F151E">
              <w:rPr>
                <w:rFonts w:eastAsia="Times New Roman"/>
              </w:rPr>
              <w:t>Anti-fraud Coordination Service</w:t>
            </w:r>
          </w:p>
        </w:tc>
      </w:tr>
      <w:tr w:rsidR="00951641" w:rsidRPr="001F151E" w14:paraId="0FC266A5" w14:textId="77777777" w:rsidTr="007F5689">
        <w:tc>
          <w:tcPr>
            <w:tcW w:w="994" w:type="dxa"/>
          </w:tcPr>
          <w:p w14:paraId="0EE987C4" w14:textId="77777777" w:rsidR="00951641" w:rsidRPr="001F151E" w:rsidRDefault="00951641" w:rsidP="009A77C3">
            <w:pPr>
              <w:pStyle w:val="T-normal"/>
              <w:rPr>
                <w:rFonts w:eastAsia="Times New Roman"/>
              </w:rPr>
            </w:pPr>
            <w:r w:rsidRPr="001F151E">
              <w:t>AFMIS</w:t>
            </w:r>
          </w:p>
        </w:tc>
        <w:tc>
          <w:tcPr>
            <w:tcW w:w="8469" w:type="dxa"/>
            <w:vAlign w:val="center"/>
          </w:tcPr>
          <w:p w14:paraId="300A21E0" w14:textId="77777777" w:rsidR="00951641" w:rsidRPr="001F151E" w:rsidRDefault="00951641" w:rsidP="009A77C3">
            <w:pPr>
              <w:pStyle w:val="T-normal"/>
            </w:pPr>
            <w:r w:rsidRPr="001F151E">
              <w:t>Albania Financial Management Information System</w:t>
            </w:r>
          </w:p>
        </w:tc>
      </w:tr>
      <w:tr w:rsidR="00951641" w:rsidRPr="001F151E" w14:paraId="3A76A86B" w14:textId="77777777" w:rsidTr="007F5689">
        <w:tc>
          <w:tcPr>
            <w:tcW w:w="994" w:type="dxa"/>
          </w:tcPr>
          <w:p w14:paraId="2FE87A5F" w14:textId="77777777" w:rsidR="00951641" w:rsidRPr="001F151E" w:rsidRDefault="00951641" w:rsidP="009A77C3">
            <w:pPr>
              <w:pStyle w:val="T-normal"/>
              <w:rPr>
                <w:rFonts w:eastAsia="Times New Roman"/>
              </w:rPr>
            </w:pPr>
            <w:r w:rsidRPr="001F151E">
              <w:t>AGFIS</w:t>
            </w:r>
          </w:p>
        </w:tc>
        <w:tc>
          <w:tcPr>
            <w:tcW w:w="8469" w:type="dxa"/>
            <w:vAlign w:val="center"/>
          </w:tcPr>
          <w:p w14:paraId="04AB4B5C" w14:textId="77777777" w:rsidR="00951641" w:rsidRPr="001F151E" w:rsidRDefault="00951641" w:rsidP="009A77C3">
            <w:pPr>
              <w:pStyle w:val="T-normal"/>
            </w:pPr>
            <w:r w:rsidRPr="001F151E">
              <w:t>Albania Government Financial Information System</w:t>
            </w:r>
          </w:p>
        </w:tc>
      </w:tr>
      <w:tr w:rsidR="00951641" w:rsidRPr="001F151E" w14:paraId="0A5B2274" w14:textId="77777777" w:rsidTr="007F5689">
        <w:tc>
          <w:tcPr>
            <w:tcW w:w="994" w:type="dxa"/>
          </w:tcPr>
          <w:p w14:paraId="7527D9D9" w14:textId="77777777" w:rsidR="00951641" w:rsidRPr="001F151E" w:rsidRDefault="00951641" w:rsidP="009A77C3">
            <w:pPr>
              <w:pStyle w:val="T-normal"/>
              <w:rPr>
                <w:rFonts w:eastAsia="Times New Roman"/>
              </w:rPr>
            </w:pPr>
            <w:r w:rsidRPr="001F151E">
              <w:rPr>
                <w:rFonts w:eastAsia="Times New Roman"/>
              </w:rPr>
              <w:t>ALL</w:t>
            </w:r>
          </w:p>
        </w:tc>
        <w:tc>
          <w:tcPr>
            <w:tcW w:w="8469" w:type="dxa"/>
            <w:vAlign w:val="center"/>
          </w:tcPr>
          <w:p w14:paraId="14DD56E4" w14:textId="77777777" w:rsidR="00951641" w:rsidRPr="001F151E" w:rsidRDefault="00951641" w:rsidP="009A77C3">
            <w:pPr>
              <w:pStyle w:val="T-normal"/>
              <w:rPr>
                <w:rFonts w:eastAsia="Times New Roman"/>
              </w:rPr>
            </w:pPr>
            <w:r w:rsidRPr="001F151E">
              <w:rPr>
                <w:rFonts w:eastAsia="Times New Roman"/>
              </w:rPr>
              <w:t>Albanian Lek</w:t>
            </w:r>
          </w:p>
        </w:tc>
      </w:tr>
      <w:tr w:rsidR="00951641" w:rsidRPr="001F151E" w14:paraId="42CD69C0" w14:textId="77777777" w:rsidTr="007F5689">
        <w:tc>
          <w:tcPr>
            <w:tcW w:w="994" w:type="dxa"/>
          </w:tcPr>
          <w:p w14:paraId="65456367" w14:textId="77777777" w:rsidR="00951641" w:rsidRPr="001F151E" w:rsidRDefault="00951641" w:rsidP="009A77C3">
            <w:pPr>
              <w:pStyle w:val="T-normal"/>
            </w:pPr>
            <w:r w:rsidRPr="001F151E">
              <w:t>ALSAI</w:t>
            </w:r>
          </w:p>
        </w:tc>
        <w:tc>
          <w:tcPr>
            <w:tcW w:w="8469" w:type="dxa"/>
            <w:vAlign w:val="center"/>
          </w:tcPr>
          <w:p w14:paraId="32034727" w14:textId="77777777" w:rsidR="00951641" w:rsidRPr="001F151E" w:rsidRDefault="00951641" w:rsidP="009A77C3">
            <w:pPr>
              <w:pStyle w:val="T-normal"/>
            </w:pPr>
            <w:r w:rsidRPr="001F151E">
              <w:rPr>
                <w:rFonts w:eastAsia="Times New Roman"/>
              </w:rPr>
              <w:t>Albanian Supreme Audit Institution (independent institution, also referred to as High State Control)</w:t>
            </w:r>
          </w:p>
        </w:tc>
      </w:tr>
      <w:tr w:rsidR="00951641" w:rsidRPr="001F151E" w14:paraId="7EE3B886" w14:textId="77777777" w:rsidTr="007F5689">
        <w:tc>
          <w:tcPr>
            <w:tcW w:w="994" w:type="dxa"/>
          </w:tcPr>
          <w:p w14:paraId="5D5EC8A2" w14:textId="77777777" w:rsidR="00951641" w:rsidRPr="001F151E" w:rsidRDefault="00951641" w:rsidP="009A77C3">
            <w:pPr>
              <w:pStyle w:val="T-normal"/>
              <w:rPr>
                <w:rFonts w:eastAsia="Times New Roman"/>
              </w:rPr>
            </w:pPr>
            <w:r w:rsidRPr="001F151E">
              <w:t>ASYCUDA</w:t>
            </w:r>
          </w:p>
        </w:tc>
        <w:tc>
          <w:tcPr>
            <w:tcW w:w="8469" w:type="dxa"/>
            <w:vAlign w:val="center"/>
          </w:tcPr>
          <w:p w14:paraId="1843DF8C" w14:textId="77777777" w:rsidR="00951641" w:rsidRPr="001F151E" w:rsidRDefault="00951641" w:rsidP="009A77C3">
            <w:pPr>
              <w:pStyle w:val="T-normal"/>
            </w:pPr>
            <w:r w:rsidRPr="001F151E">
              <w:t>Albania Automated System for Customs Data</w:t>
            </w:r>
          </w:p>
        </w:tc>
      </w:tr>
      <w:tr w:rsidR="00951641" w:rsidRPr="001F151E" w14:paraId="21B0B57D" w14:textId="77777777" w:rsidTr="007F5689">
        <w:tc>
          <w:tcPr>
            <w:tcW w:w="994" w:type="dxa"/>
          </w:tcPr>
          <w:p w14:paraId="012AF581" w14:textId="77777777" w:rsidR="00951641" w:rsidRPr="001F151E" w:rsidRDefault="00951641" w:rsidP="009A77C3">
            <w:pPr>
              <w:pStyle w:val="T-normal"/>
            </w:pPr>
            <w:r w:rsidRPr="001F151E">
              <w:rPr>
                <w:rFonts w:eastAsia="Times New Roman"/>
              </w:rPr>
              <w:t>ATRAKO</w:t>
            </w:r>
          </w:p>
        </w:tc>
        <w:tc>
          <w:tcPr>
            <w:tcW w:w="8469" w:type="dxa"/>
            <w:vAlign w:val="center"/>
          </w:tcPr>
          <w:p w14:paraId="6818FD0C" w14:textId="7378AD17" w:rsidR="00951641" w:rsidRPr="001F151E" w:rsidRDefault="00261B5B" w:rsidP="009A77C3">
            <w:pPr>
              <w:pStyle w:val="T-normal"/>
            </w:pPr>
            <w:r w:rsidRPr="001F151E">
              <w:rPr>
                <w:rFonts w:eastAsia="Times New Roman"/>
              </w:rPr>
              <w:t xml:space="preserve">Albanian </w:t>
            </w:r>
            <w:r w:rsidR="00951641" w:rsidRPr="001F151E">
              <w:rPr>
                <w:rFonts w:eastAsia="Times New Roman"/>
              </w:rPr>
              <w:t>Concessions Agency</w:t>
            </w:r>
          </w:p>
        </w:tc>
      </w:tr>
      <w:tr w:rsidR="00951641" w:rsidRPr="001F151E" w14:paraId="56F2407B" w14:textId="77777777" w:rsidTr="007F5689">
        <w:tc>
          <w:tcPr>
            <w:tcW w:w="994" w:type="dxa"/>
          </w:tcPr>
          <w:p w14:paraId="132F5295" w14:textId="77777777" w:rsidR="00951641" w:rsidRPr="001F151E" w:rsidRDefault="00951641" w:rsidP="009A77C3">
            <w:pPr>
              <w:pStyle w:val="T-normal"/>
              <w:rPr>
                <w:rFonts w:eastAsia="Times New Roman"/>
              </w:rPr>
            </w:pPr>
            <w:r w:rsidRPr="001F151E">
              <w:rPr>
                <w:rFonts w:eastAsia="Times New Roman"/>
              </w:rPr>
              <w:t>BCP</w:t>
            </w:r>
          </w:p>
        </w:tc>
        <w:tc>
          <w:tcPr>
            <w:tcW w:w="8469" w:type="dxa"/>
            <w:vAlign w:val="center"/>
          </w:tcPr>
          <w:p w14:paraId="197FCD43" w14:textId="77777777" w:rsidR="00951641" w:rsidRPr="001F151E" w:rsidRDefault="00951641" w:rsidP="009A77C3">
            <w:pPr>
              <w:pStyle w:val="T-normal"/>
              <w:rPr>
                <w:rFonts w:eastAsia="Times New Roman"/>
              </w:rPr>
            </w:pPr>
            <w:r w:rsidRPr="001F151E">
              <w:rPr>
                <w:rFonts w:eastAsia="Times New Roman"/>
              </w:rPr>
              <w:t>Business Continuity Plan</w:t>
            </w:r>
          </w:p>
        </w:tc>
      </w:tr>
      <w:tr w:rsidR="00951641" w:rsidRPr="001F151E" w14:paraId="6772FFD6" w14:textId="77777777" w:rsidTr="007F5689">
        <w:tc>
          <w:tcPr>
            <w:tcW w:w="994" w:type="dxa"/>
          </w:tcPr>
          <w:p w14:paraId="26A090EB" w14:textId="77777777" w:rsidR="00951641" w:rsidRPr="001F151E" w:rsidRDefault="00951641" w:rsidP="009A77C3">
            <w:pPr>
              <w:pStyle w:val="T-normal"/>
            </w:pPr>
            <w:r w:rsidRPr="001F151E">
              <w:rPr>
                <w:rFonts w:eastAsia="Times New Roman"/>
              </w:rPr>
              <w:t>BI</w:t>
            </w:r>
          </w:p>
        </w:tc>
        <w:tc>
          <w:tcPr>
            <w:tcW w:w="8469" w:type="dxa"/>
            <w:vAlign w:val="center"/>
          </w:tcPr>
          <w:p w14:paraId="78E43FDD" w14:textId="77777777" w:rsidR="00951641" w:rsidRPr="001F151E" w:rsidRDefault="00951641" w:rsidP="009A77C3">
            <w:pPr>
              <w:pStyle w:val="T-normal"/>
            </w:pPr>
            <w:r w:rsidRPr="001F151E">
              <w:rPr>
                <w:rFonts w:eastAsia="Times New Roman"/>
              </w:rPr>
              <w:t>Budget Institutions</w:t>
            </w:r>
          </w:p>
        </w:tc>
      </w:tr>
      <w:tr w:rsidR="00951641" w:rsidRPr="001F151E" w14:paraId="70547078" w14:textId="77777777" w:rsidTr="007F5689">
        <w:tc>
          <w:tcPr>
            <w:tcW w:w="994" w:type="dxa"/>
          </w:tcPr>
          <w:p w14:paraId="41CDAD01" w14:textId="77777777" w:rsidR="00951641" w:rsidRPr="001F151E" w:rsidRDefault="00951641" w:rsidP="009A77C3">
            <w:pPr>
              <w:pStyle w:val="T-normal"/>
              <w:rPr>
                <w:rFonts w:eastAsia="Times New Roman"/>
              </w:rPr>
            </w:pPr>
            <w:r w:rsidRPr="001F151E">
              <w:rPr>
                <w:rFonts w:eastAsia="Times New Roman"/>
              </w:rPr>
              <w:t>BoA</w:t>
            </w:r>
          </w:p>
        </w:tc>
        <w:tc>
          <w:tcPr>
            <w:tcW w:w="8469" w:type="dxa"/>
            <w:vAlign w:val="center"/>
          </w:tcPr>
          <w:p w14:paraId="0A72C74C" w14:textId="77777777" w:rsidR="00951641" w:rsidRPr="001F151E" w:rsidRDefault="00951641" w:rsidP="009A77C3">
            <w:pPr>
              <w:pStyle w:val="T-normal"/>
              <w:rPr>
                <w:rFonts w:eastAsia="Times New Roman"/>
              </w:rPr>
            </w:pPr>
            <w:r w:rsidRPr="001F151E">
              <w:rPr>
                <w:rFonts w:eastAsia="Times New Roman"/>
              </w:rPr>
              <w:t>Bank of Albania</w:t>
            </w:r>
          </w:p>
        </w:tc>
      </w:tr>
      <w:tr w:rsidR="00951641" w:rsidRPr="001F151E" w14:paraId="4DD83CC7" w14:textId="77777777" w:rsidTr="007F5689">
        <w:tc>
          <w:tcPr>
            <w:tcW w:w="994" w:type="dxa"/>
          </w:tcPr>
          <w:p w14:paraId="726B9ED5" w14:textId="77777777" w:rsidR="00951641" w:rsidRPr="001F151E" w:rsidRDefault="00951641" w:rsidP="009A77C3">
            <w:pPr>
              <w:pStyle w:val="T-normal"/>
              <w:rPr>
                <w:rFonts w:eastAsia="Times New Roman"/>
              </w:rPr>
            </w:pPr>
            <w:r w:rsidRPr="001F151E">
              <w:rPr>
                <w:rFonts w:eastAsia="Times New Roman"/>
              </w:rPr>
              <w:t>CBA</w:t>
            </w:r>
          </w:p>
        </w:tc>
        <w:tc>
          <w:tcPr>
            <w:tcW w:w="8469" w:type="dxa"/>
            <w:vAlign w:val="center"/>
          </w:tcPr>
          <w:p w14:paraId="25B9394E" w14:textId="77777777" w:rsidR="00951641" w:rsidRPr="001F151E" w:rsidRDefault="00951641" w:rsidP="009A77C3">
            <w:pPr>
              <w:pStyle w:val="T-normal"/>
              <w:rPr>
                <w:rFonts w:eastAsia="Times New Roman"/>
              </w:rPr>
            </w:pPr>
            <w:r w:rsidRPr="001F151E">
              <w:rPr>
                <w:rFonts w:eastAsia="Times New Roman"/>
              </w:rPr>
              <w:t>Cost Benefit Analysis</w:t>
            </w:r>
          </w:p>
        </w:tc>
      </w:tr>
      <w:tr w:rsidR="00951641" w:rsidRPr="001F151E" w14:paraId="114E9912" w14:textId="77777777" w:rsidTr="007F5689">
        <w:tc>
          <w:tcPr>
            <w:tcW w:w="994" w:type="dxa"/>
          </w:tcPr>
          <w:p w14:paraId="7BA07728" w14:textId="77777777" w:rsidR="00951641" w:rsidRPr="001F151E" w:rsidRDefault="00951641" w:rsidP="009A77C3">
            <w:pPr>
              <w:pStyle w:val="T-normal"/>
              <w:rPr>
                <w:rFonts w:eastAsia="Times New Roman"/>
              </w:rPr>
            </w:pPr>
            <w:r w:rsidRPr="001F151E">
              <w:rPr>
                <w:rFonts w:eastAsia="Times New Roman"/>
              </w:rPr>
              <w:t>CDMC</w:t>
            </w:r>
          </w:p>
        </w:tc>
        <w:tc>
          <w:tcPr>
            <w:tcW w:w="8469" w:type="dxa"/>
            <w:vAlign w:val="center"/>
          </w:tcPr>
          <w:p w14:paraId="560823B4" w14:textId="77777777" w:rsidR="00951641" w:rsidRPr="001F151E" w:rsidRDefault="00951641" w:rsidP="009A77C3">
            <w:pPr>
              <w:pStyle w:val="T-normal"/>
              <w:rPr>
                <w:rFonts w:eastAsia="Times New Roman"/>
              </w:rPr>
            </w:pPr>
            <w:r w:rsidRPr="001F151E">
              <w:rPr>
                <w:rFonts w:eastAsia="Times New Roman"/>
                <w:bCs/>
              </w:rPr>
              <w:t>Cash and Debt Management Committee</w:t>
            </w:r>
          </w:p>
        </w:tc>
      </w:tr>
      <w:tr w:rsidR="00951641" w:rsidRPr="001F151E" w14:paraId="485B0EE6" w14:textId="77777777" w:rsidTr="007F5689">
        <w:tc>
          <w:tcPr>
            <w:tcW w:w="994" w:type="dxa"/>
          </w:tcPr>
          <w:p w14:paraId="0F52F181" w14:textId="77777777" w:rsidR="00951641" w:rsidRPr="001F151E" w:rsidRDefault="00951641" w:rsidP="009A77C3">
            <w:pPr>
              <w:pStyle w:val="T-normal"/>
            </w:pPr>
            <w:r w:rsidRPr="001F151E">
              <w:rPr>
                <w:rFonts w:eastAsia="Times New Roman"/>
              </w:rPr>
              <w:t>CEF</w:t>
            </w:r>
          </w:p>
        </w:tc>
        <w:tc>
          <w:tcPr>
            <w:tcW w:w="8469" w:type="dxa"/>
            <w:vAlign w:val="center"/>
          </w:tcPr>
          <w:p w14:paraId="7C078A8C" w14:textId="77777777" w:rsidR="00951641" w:rsidRPr="001F151E" w:rsidRDefault="00951641" w:rsidP="009A77C3">
            <w:pPr>
              <w:pStyle w:val="T-normal"/>
            </w:pPr>
            <w:r w:rsidRPr="001F151E">
              <w:rPr>
                <w:rFonts w:eastAsia="Times New Roman"/>
              </w:rPr>
              <w:t>Committee for Finance and Economy (under the Parliament)</w:t>
            </w:r>
          </w:p>
        </w:tc>
      </w:tr>
      <w:tr w:rsidR="00951641" w:rsidRPr="001F151E" w14:paraId="100EEA60" w14:textId="77777777" w:rsidTr="007F5689">
        <w:tc>
          <w:tcPr>
            <w:tcW w:w="994" w:type="dxa"/>
          </w:tcPr>
          <w:p w14:paraId="68577913" w14:textId="77777777" w:rsidR="00951641" w:rsidRPr="001F151E" w:rsidRDefault="00951641" w:rsidP="009A77C3">
            <w:pPr>
              <w:pStyle w:val="T-normal"/>
              <w:rPr>
                <w:rFonts w:eastAsia="Times New Roman"/>
              </w:rPr>
            </w:pPr>
            <w:r w:rsidRPr="001F151E">
              <w:rPr>
                <w:rFonts w:eastAsia="Times New Roman"/>
              </w:rPr>
              <w:t>CEF-SEE</w:t>
            </w:r>
          </w:p>
        </w:tc>
        <w:tc>
          <w:tcPr>
            <w:tcW w:w="8469" w:type="dxa"/>
            <w:vAlign w:val="center"/>
          </w:tcPr>
          <w:p w14:paraId="7ECCC0D7" w14:textId="77777777" w:rsidR="00951641" w:rsidRPr="001F151E" w:rsidRDefault="00951641" w:rsidP="009A77C3">
            <w:pPr>
              <w:pStyle w:val="T-normal"/>
              <w:rPr>
                <w:rFonts w:eastAsia="Times New Roman"/>
              </w:rPr>
            </w:pPr>
            <w:r w:rsidRPr="001F151E">
              <w:rPr>
                <w:rFonts w:eastAsia="Times New Roman"/>
              </w:rPr>
              <w:t>Centre of Excellence in Finance – South East Europe</w:t>
            </w:r>
          </w:p>
        </w:tc>
      </w:tr>
      <w:tr w:rsidR="00951641" w:rsidRPr="001F151E" w14:paraId="3E66F152" w14:textId="77777777" w:rsidTr="007F5689">
        <w:tc>
          <w:tcPr>
            <w:tcW w:w="994" w:type="dxa"/>
          </w:tcPr>
          <w:p w14:paraId="27421881" w14:textId="77777777" w:rsidR="00951641" w:rsidRPr="001F151E" w:rsidRDefault="00951641" w:rsidP="009A77C3">
            <w:pPr>
              <w:pStyle w:val="T-normal"/>
            </w:pPr>
            <w:r w:rsidRPr="001F151E">
              <w:t>CFCU</w:t>
            </w:r>
          </w:p>
        </w:tc>
        <w:tc>
          <w:tcPr>
            <w:tcW w:w="8469" w:type="dxa"/>
            <w:vAlign w:val="center"/>
          </w:tcPr>
          <w:p w14:paraId="2DB2C61C" w14:textId="5ECB5023" w:rsidR="00951641" w:rsidRPr="001F151E" w:rsidRDefault="00951641" w:rsidP="009A77C3">
            <w:pPr>
              <w:pStyle w:val="T-normal"/>
            </w:pPr>
            <w:r w:rsidRPr="001F151E">
              <w:t>Central Finance and Contracts Unit</w:t>
            </w:r>
            <w:r w:rsidRPr="001F151E">
              <w:rPr>
                <w:rFonts w:eastAsia="Times New Roman"/>
              </w:rPr>
              <w:t xml:space="preserve"> (under </w:t>
            </w:r>
            <w:r w:rsidR="00A660B5">
              <w:rPr>
                <w:rFonts w:eastAsia="Times New Roman"/>
              </w:rPr>
              <w:t>MoF</w:t>
            </w:r>
            <w:r w:rsidRPr="001F151E">
              <w:rPr>
                <w:rFonts w:eastAsia="Times New Roman"/>
              </w:rPr>
              <w:t>)</w:t>
            </w:r>
          </w:p>
        </w:tc>
      </w:tr>
      <w:tr w:rsidR="00951641" w:rsidRPr="001F151E" w14:paraId="37671E24" w14:textId="77777777" w:rsidTr="007F5689">
        <w:tc>
          <w:tcPr>
            <w:tcW w:w="994" w:type="dxa"/>
          </w:tcPr>
          <w:p w14:paraId="0E44A5C4" w14:textId="77777777" w:rsidR="00951641" w:rsidRPr="001F151E" w:rsidRDefault="00951641" w:rsidP="009A77C3">
            <w:pPr>
              <w:pStyle w:val="T-normal"/>
              <w:rPr>
                <w:rFonts w:eastAsia="Times New Roman"/>
              </w:rPr>
            </w:pPr>
            <w:r w:rsidRPr="001F151E">
              <w:rPr>
                <w:rFonts w:eastAsia="Times New Roman"/>
              </w:rPr>
              <w:t>CPD</w:t>
            </w:r>
          </w:p>
        </w:tc>
        <w:tc>
          <w:tcPr>
            <w:tcW w:w="8469" w:type="dxa"/>
            <w:vAlign w:val="center"/>
          </w:tcPr>
          <w:p w14:paraId="7A9814E9" w14:textId="77777777" w:rsidR="00951641" w:rsidRPr="001F151E" w:rsidRDefault="00951641" w:rsidP="009A77C3">
            <w:pPr>
              <w:pStyle w:val="T-normal"/>
              <w:rPr>
                <w:rFonts w:eastAsia="Times New Roman"/>
              </w:rPr>
            </w:pPr>
            <w:r w:rsidRPr="001F151E">
              <w:rPr>
                <w:rFonts w:eastAsia="Times New Roman"/>
              </w:rPr>
              <w:t>Continuous Professional Development</w:t>
            </w:r>
          </w:p>
        </w:tc>
      </w:tr>
      <w:tr w:rsidR="00951641" w:rsidRPr="001F151E" w14:paraId="712BD09E" w14:textId="77777777" w:rsidTr="007F5689">
        <w:tc>
          <w:tcPr>
            <w:tcW w:w="994" w:type="dxa"/>
          </w:tcPr>
          <w:p w14:paraId="09FC0959" w14:textId="77777777" w:rsidR="00951641" w:rsidRPr="001F151E" w:rsidRDefault="00951641" w:rsidP="009A77C3">
            <w:pPr>
              <w:pStyle w:val="T-normal"/>
              <w:rPr>
                <w:rFonts w:eastAsia="Times New Roman"/>
              </w:rPr>
            </w:pPr>
            <w:r w:rsidRPr="001F151E">
              <w:rPr>
                <w:rFonts w:eastAsia="Times New Roman"/>
              </w:rPr>
              <w:t>CRA</w:t>
            </w:r>
          </w:p>
        </w:tc>
        <w:tc>
          <w:tcPr>
            <w:tcW w:w="8469" w:type="dxa"/>
            <w:vAlign w:val="center"/>
          </w:tcPr>
          <w:p w14:paraId="24FF4CA3" w14:textId="77777777" w:rsidR="00951641" w:rsidRPr="001F151E" w:rsidRDefault="00951641" w:rsidP="009A77C3">
            <w:pPr>
              <w:pStyle w:val="T-normal"/>
              <w:rPr>
                <w:rFonts w:eastAsia="Times New Roman"/>
              </w:rPr>
            </w:pPr>
            <w:r w:rsidRPr="001F151E">
              <w:rPr>
                <w:rFonts w:eastAsia="Times New Roman"/>
              </w:rPr>
              <w:t>Credit Risk Assessment</w:t>
            </w:r>
          </w:p>
        </w:tc>
      </w:tr>
      <w:tr w:rsidR="00951641" w:rsidRPr="001F151E" w14:paraId="76A088FD" w14:textId="77777777" w:rsidTr="007F5689">
        <w:tc>
          <w:tcPr>
            <w:tcW w:w="994" w:type="dxa"/>
          </w:tcPr>
          <w:p w14:paraId="38EF4193" w14:textId="77777777" w:rsidR="00951641" w:rsidRPr="001F151E" w:rsidRDefault="00951641" w:rsidP="009A77C3">
            <w:pPr>
              <w:pStyle w:val="T-normal"/>
            </w:pPr>
            <w:r w:rsidRPr="001F151E">
              <w:t>DABP</w:t>
            </w:r>
          </w:p>
        </w:tc>
        <w:tc>
          <w:tcPr>
            <w:tcW w:w="8469" w:type="dxa"/>
          </w:tcPr>
          <w:p w14:paraId="4DB367C3" w14:textId="5C1B5189" w:rsidR="00951641" w:rsidRPr="001F151E" w:rsidRDefault="00951641" w:rsidP="009A77C3">
            <w:pPr>
              <w:pStyle w:val="T-normal"/>
              <w:rPr>
                <w:rFonts w:eastAsia="Times New Roman"/>
              </w:rPr>
            </w:pPr>
            <w:r w:rsidRPr="001F151E">
              <w:rPr>
                <w:rFonts w:eastAsia="Times New Roman"/>
              </w:rPr>
              <w:t xml:space="preserve">Directorate of Analysis and Budget programming (under </w:t>
            </w:r>
            <w:r w:rsidR="00A660B5">
              <w:rPr>
                <w:rFonts w:eastAsia="Times New Roman"/>
              </w:rPr>
              <w:t>MoF</w:t>
            </w:r>
            <w:r w:rsidRPr="001F151E">
              <w:rPr>
                <w:rFonts w:eastAsia="Times New Roman"/>
              </w:rPr>
              <w:t xml:space="preserve"> GDB)</w:t>
            </w:r>
          </w:p>
        </w:tc>
      </w:tr>
      <w:tr w:rsidR="00951641" w:rsidRPr="001F151E" w14:paraId="39EFCE7D" w14:textId="77777777" w:rsidTr="007F5689">
        <w:tc>
          <w:tcPr>
            <w:tcW w:w="994" w:type="dxa"/>
          </w:tcPr>
          <w:p w14:paraId="07B45A5C" w14:textId="77777777" w:rsidR="00951641" w:rsidRPr="001F151E" w:rsidRDefault="00951641" w:rsidP="009A77C3">
            <w:pPr>
              <w:pStyle w:val="T-normal"/>
            </w:pPr>
            <w:r w:rsidRPr="001F151E">
              <w:t>DB</w:t>
            </w:r>
          </w:p>
        </w:tc>
        <w:tc>
          <w:tcPr>
            <w:tcW w:w="8469" w:type="dxa"/>
          </w:tcPr>
          <w:p w14:paraId="2CFB260F" w14:textId="57EC9131" w:rsidR="00951641" w:rsidRPr="001F151E" w:rsidRDefault="00951641" w:rsidP="009A77C3">
            <w:pPr>
              <w:pStyle w:val="T-normal"/>
              <w:rPr>
                <w:rFonts w:eastAsia="Times New Roman"/>
              </w:rPr>
            </w:pPr>
            <w:r w:rsidRPr="001F151E">
              <w:rPr>
                <w:rFonts w:eastAsia="Times New Roman"/>
              </w:rPr>
              <w:t xml:space="preserve">Directorate of Borrowing (under </w:t>
            </w:r>
            <w:r w:rsidR="00A660B5">
              <w:rPr>
                <w:rFonts w:eastAsia="Times New Roman"/>
              </w:rPr>
              <w:t>MoF</w:t>
            </w:r>
            <w:r w:rsidRPr="001F151E">
              <w:rPr>
                <w:rFonts w:eastAsia="Times New Roman"/>
              </w:rPr>
              <w:t xml:space="preserve"> GDPDCFA)</w:t>
            </w:r>
          </w:p>
        </w:tc>
      </w:tr>
      <w:tr w:rsidR="00951641" w:rsidRPr="001F151E" w14:paraId="3AE0DCEE" w14:textId="77777777" w:rsidTr="007F5689">
        <w:tc>
          <w:tcPr>
            <w:tcW w:w="994" w:type="dxa"/>
          </w:tcPr>
          <w:p w14:paraId="3FD15E5D" w14:textId="77777777" w:rsidR="00951641" w:rsidRPr="001F151E" w:rsidRDefault="00951641" w:rsidP="009A77C3">
            <w:pPr>
              <w:pStyle w:val="T-normal"/>
            </w:pPr>
            <w:r w:rsidRPr="001F151E">
              <w:t>DBM</w:t>
            </w:r>
          </w:p>
        </w:tc>
        <w:tc>
          <w:tcPr>
            <w:tcW w:w="8469" w:type="dxa"/>
          </w:tcPr>
          <w:p w14:paraId="5E1DDE2A" w14:textId="53EA38F1" w:rsidR="00951641" w:rsidRPr="001F151E" w:rsidRDefault="00951641" w:rsidP="009A77C3">
            <w:pPr>
              <w:pStyle w:val="T-normal"/>
              <w:rPr>
                <w:rFonts w:eastAsia="Times New Roman"/>
              </w:rPr>
            </w:pPr>
            <w:r w:rsidRPr="001F151E">
              <w:rPr>
                <w:rFonts w:eastAsia="Times New Roman"/>
              </w:rPr>
              <w:t xml:space="preserve">Directorate of Budget Management (under </w:t>
            </w:r>
            <w:r w:rsidR="00A660B5">
              <w:rPr>
                <w:rFonts w:eastAsia="Times New Roman"/>
              </w:rPr>
              <w:t>MoF</w:t>
            </w:r>
            <w:r w:rsidRPr="001F151E">
              <w:rPr>
                <w:rFonts w:eastAsia="Times New Roman"/>
              </w:rPr>
              <w:t xml:space="preserve"> GDB)</w:t>
            </w:r>
          </w:p>
        </w:tc>
      </w:tr>
      <w:tr w:rsidR="00951641" w:rsidRPr="001F151E" w14:paraId="3DCA4B59" w14:textId="77777777" w:rsidTr="007F5689">
        <w:tc>
          <w:tcPr>
            <w:tcW w:w="994" w:type="dxa"/>
          </w:tcPr>
          <w:p w14:paraId="5F8870F9" w14:textId="77777777" w:rsidR="00951641" w:rsidRPr="001F151E" w:rsidRDefault="00951641" w:rsidP="009A77C3">
            <w:pPr>
              <w:pStyle w:val="T-normal"/>
            </w:pPr>
            <w:r w:rsidRPr="001F151E">
              <w:t>DBP</w:t>
            </w:r>
          </w:p>
        </w:tc>
        <w:tc>
          <w:tcPr>
            <w:tcW w:w="8469" w:type="dxa"/>
          </w:tcPr>
          <w:p w14:paraId="1062EA7C" w14:textId="57F593AE" w:rsidR="00951641" w:rsidRPr="001F151E" w:rsidRDefault="00951641" w:rsidP="009A77C3">
            <w:pPr>
              <w:pStyle w:val="T-normal"/>
              <w:rPr>
                <w:rFonts w:eastAsia="Times New Roman"/>
              </w:rPr>
            </w:pPr>
            <w:r w:rsidRPr="001F151E">
              <w:rPr>
                <w:rFonts w:eastAsia="Times New Roman"/>
              </w:rPr>
              <w:t xml:space="preserve">Directorate of Business Processing (under </w:t>
            </w:r>
            <w:r w:rsidR="00A660B5">
              <w:rPr>
                <w:rFonts w:eastAsia="Times New Roman"/>
              </w:rPr>
              <w:t>MoF</w:t>
            </w:r>
            <w:r w:rsidRPr="001F151E">
              <w:rPr>
                <w:rFonts w:eastAsia="Times New Roman"/>
              </w:rPr>
              <w:t xml:space="preserve"> GDT)</w:t>
            </w:r>
          </w:p>
        </w:tc>
      </w:tr>
      <w:tr w:rsidR="00951641" w:rsidRPr="001F151E" w14:paraId="6E12D272" w14:textId="77777777" w:rsidTr="007F5689">
        <w:tc>
          <w:tcPr>
            <w:tcW w:w="994" w:type="dxa"/>
          </w:tcPr>
          <w:p w14:paraId="14B966EF" w14:textId="77777777" w:rsidR="00951641" w:rsidRPr="001F151E" w:rsidRDefault="00951641" w:rsidP="009A77C3">
            <w:pPr>
              <w:pStyle w:val="T-normal"/>
            </w:pPr>
            <w:r w:rsidRPr="001F151E">
              <w:t>DC</w:t>
            </w:r>
          </w:p>
        </w:tc>
        <w:tc>
          <w:tcPr>
            <w:tcW w:w="8469" w:type="dxa"/>
            <w:vAlign w:val="center"/>
          </w:tcPr>
          <w:p w14:paraId="27AE8AE2" w14:textId="49482D70" w:rsidR="00951641" w:rsidRPr="001F151E" w:rsidRDefault="00951641" w:rsidP="009A77C3">
            <w:pPr>
              <w:pStyle w:val="T-normal"/>
              <w:rPr>
                <w:rFonts w:eastAsia="Times New Roman"/>
              </w:rPr>
            </w:pPr>
            <w:r w:rsidRPr="001F151E">
              <w:rPr>
                <w:rFonts w:eastAsia="Times New Roman"/>
              </w:rPr>
              <w:t xml:space="preserve">Directorate for Concessions and PPP (under </w:t>
            </w:r>
            <w:r w:rsidR="00A660B5">
              <w:rPr>
                <w:rFonts w:eastAsia="Times New Roman"/>
              </w:rPr>
              <w:t>MoF</w:t>
            </w:r>
            <w:r w:rsidRPr="001F151E">
              <w:rPr>
                <w:rFonts w:eastAsia="Times New Roman"/>
              </w:rPr>
              <w:t>)</w:t>
            </w:r>
          </w:p>
        </w:tc>
      </w:tr>
      <w:tr w:rsidR="00951641" w:rsidRPr="001F151E" w14:paraId="5AA930C5" w14:textId="77777777" w:rsidTr="007F5689">
        <w:tc>
          <w:tcPr>
            <w:tcW w:w="994" w:type="dxa"/>
          </w:tcPr>
          <w:p w14:paraId="63205127" w14:textId="77777777" w:rsidR="00951641" w:rsidRPr="001F151E" w:rsidRDefault="00951641" w:rsidP="009A77C3">
            <w:pPr>
              <w:pStyle w:val="T-normal"/>
              <w:rPr>
                <w:rFonts w:eastAsia="Times New Roman"/>
              </w:rPr>
            </w:pPr>
            <w:r w:rsidRPr="001F151E">
              <w:rPr>
                <w:rFonts w:eastAsia="Times New Roman"/>
              </w:rPr>
              <w:t>DeMPA</w:t>
            </w:r>
          </w:p>
        </w:tc>
        <w:tc>
          <w:tcPr>
            <w:tcW w:w="8469" w:type="dxa"/>
            <w:vAlign w:val="center"/>
          </w:tcPr>
          <w:p w14:paraId="69D63B2E" w14:textId="77777777" w:rsidR="00951641" w:rsidRPr="001F151E" w:rsidRDefault="00951641" w:rsidP="009A77C3">
            <w:pPr>
              <w:pStyle w:val="T-normal"/>
              <w:rPr>
                <w:rFonts w:eastAsia="Times New Roman"/>
              </w:rPr>
            </w:pPr>
            <w:r w:rsidRPr="001F151E">
              <w:rPr>
                <w:rFonts w:eastAsia="Times New Roman"/>
              </w:rPr>
              <w:t>Debt Management Performance Assessment</w:t>
            </w:r>
          </w:p>
        </w:tc>
      </w:tr>
      <w:tr w:rsidR="00951641" w:rsidRPr="001F151E" w14:paraId="7C19C012" w14:textId="77777777" w:rsidTr="007F5689">
        <w:tc>
          <w:tcPr>
            <w:tcW w:w="994" w:type="dxa"/>
          </w:tcPr>
          <w:p w14:paraId="27C0E656" w14:textId="77777777" w:rsidR="00951641" w:rsidRPr="001F151E" w:rsidRDefault="00951641" w:rsidP="009A77C3">
            <w:pPr>
              <w:pStyle w:val="T-normal"/>
              <w:rPr>
                <w:rStyle w:val="IntenseReference"/>
                <w:rFonts w:eastAsiaTheme="majorEastAsia" w:cstheme="majorBidi"/>
                <w:i w:val="0"/>
                <w:sz w:val="26"/>
                <w:szCs w:val="26"/>
              </w:rPr>
            </w:pPr>
            <w:r w:rsidRPr="001F151E">
              <w:t>DFH</w:t>
            </w:r>
          </w:p>
        </w:tc>
        <w:tc>
          <w:tcPr>
            <w:tcW w:w="8469" w:type="dxa"/>
          </w:tcPr>
          <w:p w14:paraId="2E5132E1" w14:textId="41DAE6F3" w:rsidR="00951641" w:rsidRPr="001F151E" w:rsidRDefault="00951641" w:rsidP="009A77C3">
            <w:pPr>
              <w:pStyle w:val="T-normal"/>
              <w:rPr>
                <w:rStyle w:val="IntenseReference"/>
                <w:rFonts w:eastAsiaTheme="majorEastAsia" w:cstheme="majorBidi"/>
                <w:i w:val="0"/>
                <w:sz w:val="26"/>
                <w:szCs w:val="26"/>
              </w:rPr>
            </w:pPr>
            <w:r w:rsidRPr="001F151E">
              <w:rPr>
                <w:rFonts w:eastAsia="Times New Roman"/>
              </w:rPr>
              <w:t xml:space="preserve">Directorate of Fiscal Harmonization (under </w:t>
            </w:r>
            <w:r w:rsidR="00A660B5">
              <w:rPr>
                <w:rFonts w:eastAsia="Times New Roman"/>
              </w:rPr>
              <w:t>MoF</w:t>
            </w:r>
            <w:r w:rsidRPr="001F151E">
              <w:rPr>
                <w:rFonts w:eastAsia="Times New Roman"/>
              </w:rPr>
              <w:t xml:space="preserve"> GDFP)</w:t>
            </w:r>
          </w:p>
        </w:tc>
      </w:tr>
      <w:tr w:rsidR="00CA336D" w:rsidRPr="001F151E" w14:paraId="7D8635E6" w14:textId="77777777" w:rsidTr="007F5689">
        <w:tc>
          <w:tcPr>
            <w:tcW w:w="994" w:type="dxa"/>
          </w:tcPr>
          <w:p w14:paraId="69C85EB3" w14:textId="292B57BC" w:rsidR="00CA336D" w:rsidRPr="001F151E" w:rsidRDefault="00CA336D" w:rsidP="009A77C3">
            <w:pPr>
              <w:pStyle w:val="T-normal"/>
            </w:pPr>
            <w:r w:rsidRPr="001F151E">
              <w:t>DGMP</w:t>
            </w:r>
          </w:p>
        </w:tc>
        <w:tc>
          <w:tcPr>
            <w:tcW w:w="8469" w:type="dxa"/>
          </w:tcPr>
          <w:p w14:paraId="46E5EB71" w14:textId="7C298931" w:rsidR="00CA336D" w:rsidRPr="001F151E" w:rsidRDefault="00402903" w:rsidP="009A77C3">
            <w:pPr>
              <w:pStyle w:val="T-normal"/>
              <w:rPr>
                <w:rFonts w:eastAsia="Times New Roman"/>
              </w:rPr>
            </w:pPr>
            <w:r w:rsidRPr="001F151E">
              <w:rPr>
                <w:rFonts w:eastAsia="Times New Roman"/>
              </w:rPr>
              <w:t>Directorate</w:t>
            </w:r>
            <w:r>
              <w:rPr>
                <w:rFonts w:eastAsia="Times New Roman"/>
              </w:rPr>
              <w:t xml:space="preserve"> General</w:t>
            </w:r>
            <w:r w:rsidRPr="001F151E">
              <w:rPr>
                <w:rFonts w:eastAsia="Times New Roman"/>
              </w:rPr>
              <w:t xml:space="preserve"> of Macroeconomic Programming</w:t>
            </w:r>
          </w:p>
        </w:tc>
      </w:tr>
      <w:tr w:rsidR="00951641" w:rsidRPr="001F151E" w14:paraId="2E1E1167" w14:textId="77777777" w:rsidTr="007F5689">
        <w:tc>
          <w:tcPr>
            <w:tcW w:w="994" w:type="dxa"/>
          </w:tcPr>
          <w:p w14:paraId="02EA66AF" w14:textId="77777777" w:rsidR="00951641" w:rsidRPr="001F151E" w:rsidRDefault="00951641" w:rsidP="009A77C3">
            <w:pPr>
              <w:pStyle w:val="T-normal"/>
              <w:rPr>
                <w:rStyle w:val="IntenseReference"/>
                <w:rFonts w:eastAsiaTheme="majorEastAsia" w:cstheme="majorBidi"/>
                <w:i w:val="0"/>
                <w:sz w:val="26"/>
                <w:szCs w:val="26"/>
              </w:rPr>
            </w:pPr>
            <w:r w:rsidRPr="001F151E">
              <w:t>DHFMCA</w:t>
            </w:r>
          </w:p>
        </w:tc>
        <w:tc>
          <w:tcPr>
            <w:tcW w:w="8469" w:type="dxa"/>
          </w:tcPr>
          <w:p w14:paraId="7571E9AA" w14:textId="36991C20" w:rsidR="00951641" w:rsidRPr="001F151E" w:rsidRDefault="00951641" w:rsidP="009A77C3">
            <w:pPr>
              <w:pStyle w:val="T-normal"/>
              <w:rPr>
                <w:rStyle w:val="IntenseReference"/>
                <w:rFonts w:eastAsiaTheme="majorEastAsia" w:cstheme="majorBidi"/>
                <w:i w:val="0"/>
                <w:sz w:val="26"/>
                <w:szCs w:val="26"/>
              </w:rPr>
            </w:pPr>
            <w:r w:rsidRPr="001F151E">
              <w:rPr>
                <w:rFonts w:eastAsia="Times New Roman"/>
              </w:rPr>
              <w:t xml:space="preserve">Directorate of Harmonization of Financial Management, Control and Accounting (under </w:t>
            </w:r>
            <w:r w:rsidR="00A660B5">
              <w:rPr>
                <w:rFonts w:eastAsia="Times New Roman"/>
              </w:rPr>
              <w:t>MoF</w:t>
            </w:r>
            <w:r w:rsidRPr="001F151E">
              <w:rPr>
                <w:rFonts w:eastAsia="Times New Roman"/>
              </w:rPr>
              <w:t xml:space="preserve"> GDHPIFC)</w:t>
            </w:r>
          </w:p>
        </w:tc>
      </w:tr>
      <w:tr w:rsidR="00951641" w:rsidRPr="001F151E" w14:paraId="2978B808" w14:textId="77777777" w:rsidTr="007F5689">
        <w:tc>
          <w:tcPr>
            <w:tcW w:w="994" w:type="dxa"/>
          </w:tcPr>
          <w:p w14:paraId="528E6386" w14:textId="77777777" w:rsidR="00951641" w:rsidRPr="001F151E" w:rsidRDefault="00951641" w:rsidP="009A77C3">
            <w:pPr>
              <w:pStyle w:val="T-normal"/>
              <w:rPr>
                <w:rStyle w:val="IntenseReference"/>
                <w:rFonts w:eastAsiaTheme="majorEastAsia" w:cstheme="majorBidi"/>
                <w:i w:val="0"/>
                <w:sz w:val="26"/>
                <w:szCs w:val="26"/>
              </w:rPr>
            </w:pPr>
            <w:r w:rsidRPr="001F151E">
              <w:t>DHIA</w:t>
            </w:r>
          </w:p>
        </w:tc>
        <w:tc>
          <w:tcPr>
            <w:tcW w:w="8469" w:type="dxa"/>
          </w:tcPr>
          <w:p w14:paraId="3B8CF3FB" w14:textId="56C103C0" w:rsidR="00951641" w:rsidRPr="001F151E" w:rsidRDefault="00951641" w:rsidP="009A77C3">
            <w:pPr>
              <w:pStyle w:val="T-normal"/>
              <w:rPr>
                <w:rStyle w:val="IntenseReference"/>
                <w:rFonts w:eastAsiaTheme="majorEastAsia" w:cstheme="majorBidi"/>
                <w:i w:val="0"/>
                <w:sz w:val="26"/>
                <w:szCs w:val="26"/>
              </w:rPr>
            </w:pPr>
            <w:r w:rsidRPr="001F151E">
              <w:rPr>
                <w:rFonts w:eastAsia="Times New Roman"/>
              </w:rPr>
              <w:t xml:space="preserve">Directorate of Harmonization of Internal Audit (under </w:t>
            </w:r>
            <w:r w:rsidR="00A660B5">
              <w:rPr>
                <w:rFonts w:eastAsia="Times New Roman"/>
              </w:rPr>
              <w:t>MoF</w:t>
            </w:r>
            <w:r w:rsidRPr="001F151E">
              <w:rPr>
                <w:rFonts w:eastAsia="Times New Roman"/>
              </w:rPr>
              <w:t xml:space="preserve"> GDHPIFC)</w:t>
            </w:r>
          </w:p>
        </w:tc>
      </w:tr>
      <w:tr w:rsidR="00951641" w:rsidRPr="001F151E" w14:paraId="5916917F" w14:textId="77777777" w:rsidTr="007F5689">
        <w:tc>
          <w:tcPr>
            <w:tcW w:w="994" w:type="dxa"/>
          </w:tcPr>
          <w:p w14:paraId="1738C833" w14:textId="77777777" w:rsidR="00951641" w:rsidRPr="001F151E" w:rsidRDefault="00951641" w:rsidP="009A77C3">
            <w:pPr>
              <w:pStyle w:val="T-normal"/>
            </w:pPr>
            <w:r w:rsidRPr="001F151E">
              <w:t>DLF</w:t>
            </w:r>
          </w:p>
        </w:tc>
        <w:tc>
          <w:tcPr>
            <w:tcW w:w="8469" w:type="dxa"/>
          </w:tcPr>
          <w:p w14:paraId="78651654" w14:textId="04D75FE8" w:rsidR="00951641" w:rsidRPr="001F151E" w:rsidRDefault="00951641" w:rsidP="009A77C3">
            <w:pPr>
              <w:pStyle w:val="T-normal"/>
              <w:rPr>
                <w:rFonts w:eastAsia="Times New Roman"/>
              </w:rPr>
            </w:pPr>
            <w:r w:rsidRPr="001F151E">
              <w:rPr>
                <w:rFonts w:eastAsia="Times New Roman"/>
              </w:rPr>
              <w:t xml:space="preserve">Directorate of Local Finance (under </w:t>
            </w:r>
            <w:r w:rsidR="00A660B5">
              <w:rPr>
                <w:rFonts w:eastAsia="Times New Roman"/>
              </w:rPr>
              <w:t>MoF</w:t>
            </w:r>
            <w:r w:rsidRPr="001F151E">
              <w:rPr>
                <w:rFonts w:eastAsia="Times New Roman"/>
              </w:rPr>
              <w:t xml:space="preserve"> GDB)</w:t>
            </w:r>
          </w:p>
        </w:tc>
      </w:tr>
      <w:tr w:rsidR="00951641" w:rsidRPr="001F151E" w14:paraId="5DA46A79" w14:textId="77777777" w:rsidTr="007F5689">
        <w:tc>
          <w:tcPr>
            <w:tcW w:w="994" w:type="dxa"/>
          </w:tcPr>
          <w:p w14:paraId="51D88E13" w14:textId="77777777" w:rsidR="00951641" w:rsidRPr="001F151E" w:rsidRDefault="00951641" w:rsidP="009A77C3">
            <w:pPr>
              <w:pStyle w:val="T-normal"/>
            </w:pPr>
            <w:r w:rsidRPr="001F151E">
              <w:t>DoPA</w:t>
            </w:r>
          </w:p>
        </w:tc>
        <w:tc>
          <w:tcPr>
            <w:tcW w:w="8469" w:type="dxa"/>
            <w:vAlign w:val="center"/>
          </w:tcPr>
          <w:p w14:paraId="7BCF600A" w14:textId="77777777" w:rsidR="00951641" w:rsidRPr="001F151E" w:rsidRDefault="00951641" w:rsidP="009A77C3">
            <w:pPr>
              <w:pStyle w:val="T-normal"/>
            </w:pPr>
            <w:r w:rsidRPr="001F151E">
              <w:rPr>
                <w:rFonts w:eastAsia="Times New Roman"/>
              </w:rPr>
              <w:t>Department of Public Administration (under PMO)</w:t>
            </w:r>
          </w:p>
        </w:tc>
      </w:tr>
      <w:tr w:rsidR="00951641" w:rsidRPr="001F151E" w14:paraId="5D3F3176" w14:textId="77777777" w:rsidTr="007F5689">
        <w:tc>
          <w:tcPr>
            <w:tcW w:w="994" w:type="dxa"/>
          </w:tcPr>
          <w:p w14:paraId="07959421" w14:textId="77777777" w:rsidR="00951641" w:rsidRPr="001F151E" w:rsidRDefault="00951641" w:rsidP="009A77C3">
            <w:pPr>
              <w:pStyle w:val="T-normal"/>
            </w:pPr>
            <w:r w:rsidRPr="001F151E">
              <w:t>DPFI</w:t>
            </w:r>
          </w:p>
        </w:tc>
        <w:tc>
          <w:tcPr>
            <w:tcW w:w="8469" w:type="dxa"/>
            <w:vAlign w:val="center"/>
          </w:tcPr>
          <w:p w14:paraId="1060663F" w14:textId="33FE90CA" w:rsidR="00951641" w:rsidRPr="001F151E" w:rsidRDefault="00951641" w:rsidP="009A77C3">
            <w:pPr>
              <w:pStyle w:val="T-normal"/>
              <w:rPr>
                <w:rFonts w:eastAsia="Times New Roman"/>
              </w:rPr>
            </w:pPr>
            <w:r w:rsidRPr="001F151E">
              <w:rPr>
                <w:rFonts w:eastAsia="Times New Roman"/>
              </w:rPr>
              <w:t xml:space="preserve">Directorate of Public Financial Inspection (under </w:t>
            </w:r>
            <w:r w:rsidR="00A660B5">
              <w:rPr>
                <w:rFonts w:eastAsia="Times New Roman"/>
              </w:rPr>
              <w:t>MoF</w:t>
            </w:r>
            <w:r w:rsidRPr="001F151E">
              <w:rPr>
                <w:rFonts w:eastAsia="Times New Roman"/>
              </w:rPr>
              <w:t>)</w:t>
            </w:r>
          </w:p>
        </w:tc>
      </w:tr>
      <w:tr w:rsidR="00951641" w:rsidRPr="001F151E" w14:paraId="3ED51CFC" w14:textId="77777777" w:rsidTr="007F5689">
        <w:tc>
          <w:tcPr>
            <w:tcW w:w="994" w:type="dxa"/>
          </w:tcPr>
          <w:p w14:paraId="5C596D02" w14:textId="77777777" w:rsidR="00951641" w:rsidRPr="001F151E" w:rsidRDefault="00951641" w:rsidP="009A77C3">
            <w:pPr>
              <w:pStyle w:val="T-normal"/>
            </w:pPr>
            <w:r w:rsidRPr="001F151E">
              <w:t>DPIM</w:t>
            </w:r>
          </w:p>
        </w:tc>
        <w:tc>
          <w:tcPr>
            <w:tcW w:w="8469" w:type="dxa"/>
          </w:tcPr>
          <w:p w14:paraId="6DB7CA34" w14:textId="1435279F" w:rsidR="00951641" w:rsidRPr="001F151E" w:rsidRDefault="00951641" w:rsidP="009A77C3">
            <w:pPr>
              <w:pStyle w:val="T-normal"/>
              <w:rPr>
                <w:rFonts w:eastAsia="Times New Roman"/>
              </w:rPr>
            </w:pPr>
            <w:r w:rsidRPr="001F151E">
              <w:rPr>
                <w:rFonts w:eastAsia="Times New Roman"/>
              </w:rPr>
              <w:t xml:space="preserve">Directorate of Public Investment Management (under </w:t>
            </w:r>
            <w:r w:rsidR="00A660B5">
              <w:rPr>
                <w:rFonts w:eastAsia="Times New Roman"/>
              </w:rPr>
              <w:t>MoF</w:t>
            </w:r>
            <w:r w:rsidRPr="001F151E">
              <w:rPr>
                <w:rFonts w:eastAsia="Times New Roman"/>
              </w:rPr>
              <w:t xml:space="preserve"> GDB)</w:t>
            </w:r>
          </w:p>
        </w:tc>
      </w:tr>
      <w:tr w:rsidR="004F2B55" w:rsidRPr="001F151E" w14:paraId="5EFE390F" w14:textId="77777777" w:rsidTr="007F5689">
        <w:tc>
          <w:tcPr>
            <w:tcW w:w="994" w:type="dxa"/>
          </w:tcPr>
          <w:p w14:paraId="156C3B7D" w14:textId="59DFCC0A" w:rsidR="004F2B55" w:rsidRPr="001F151E" w:rsidRDefault="004F2B55" w:rsidP="009A77C3">
            <w:pPr>
              <w:pStyle w:val="T-normal"/>
            </w:pPr>
            <w:r>
              <w:t>DRF</w:t>
            </w:r>
          </w:p>
        </w:tc>
        <w:tc>
          <w:tcPr>
            <w:tcW w:w="8469" w:type="dxa"/>
          </w:tcPr>
          <w:p w14:paraId="7432E168" w14:textId="059A190C" w:rsidR="004F2B55" w:rsidRPr="001F151E" w:rsidRDefault="004F2B55" w:rsidP="009A77C3">
            <w:pPr>
              <w:pStyle w:val="T-normal"/>
              <w:rPr>
                <w:rFonts w:eastAsia="Times New Roman"/>
              </w:rPr>
            </w:pPr>
            <w:r>
              <w:rPr>
                <w:rFonts w:eastAsia="Times New Roman"/>
              </w:rPr>
              <w:t>Directorate of Fiscal Risk</w:t>
            </w:r>
          </w:p>
        </w:tc>
      </w:tr>
      <w:tr w:rsidR="00951641" w:rsidRPr="001F151E" w14:paraId="2142817A" w14:textId="77777777" w:rsidTr="007F5689">
        <w:tc>
          <w:tcPr>
            <w:tcW w:w="994" w:type="dxa"/>
          </w:tcPr>
          <w:p w14:paraId="10C5BF33" w14:textId="77777777" w:rsidR="00951641" w:rsidRPr="001F151E" w:rsidRDefault="00951641" w:rsidP="009A77C3">
            <w:pPr>
              <w:pStyle w:val="T-normal"/>
              <w:rPr>
                <w:rFonts w:eastAsia="Times New Roman"/>
              </w:rPr>
            </w:pPr>
            <w:r w:rsidRPr="001F151E">
              <w:rPr>
                <w:rFonts w:eastAsia="Times New Roman"/>
              </w:rPr>
              <w:t>DSA</w:t>
            </w:r>
          </w:p>
        </w:tc>
        <w:tc>
          <w:tcPr>
            <w:tcW w:w="8469" w:type="dxa"/>
            <w:vAlign w:val="center"/>
          </w:tcPr>
          <w:p w14:paraId="0D44BE3A" w14:textId="77777777" w:rsidR="00951641" w:rsidRPr="001F151E" w:rsidRDefault="00951641" w:rsidP="009A77C3">
            <w:pPr>
              <w:pStyle w:val="T-normal"/>
              <w:rPr>
                <w:rFonts w:eastAsia="Times New Roman"/>
              </w:rPr>
            </w:pPr>
            <w:r w:rsidRPr="001F151E">
              <w:rPr>
                <w:rFonts w:eastAsia="Times New Roman"/>
              </w:rPr>
              <w:t>Debt Sustainability Analysis</w:t>
            </w:r>
          </w:p>
        </w:tc>
      </w:tr>
      <w:tr w:rsidR="00951641" w:rsidRPr="001F151E" w14:paraId="32528E62" w14:textId="77777777" w:rsidTr="007F5689">
        <w:tc>
          <w:tcPr>
            <w:tcW w:w="994" w:type="dxa"/>
          </w:tcPr>
          <w:p w14:paraId="0F6DE6F6" w14:textId="77777777" w:rsidR="00951641" w:rsidRPr="001F151E" w:rsidRDefault="00951641" w:rsidP="009A77C3">
            <w:pPr>
              <w:pStyle w:val="T-normal"/>
            </w:pPr>
            <w:r w:rsidRPr="001F151E">
              <w:t>DSDM</w:t>
            </w:r>
          </w:p>
        </w:tc>
        <w:tc>
          <w:tcPr>
            <w:tcW w:w="8469" w:type="dxa"/>
          </w:tcPr>
          <w:p w14:paraId="06422358" w14:textId="1B0ABBE2" w:rsidR="00951641" w:rsidRPr="001F151E" w:rsidRDefault="00951641" w:rsidP="009A77C3">
            <w:pPr>
              <w:pStyle w:val="T-normal"/>
              <w:rPr>
                <w:rFonts w:eastAsia="Times New Roman"/>
              </w:rPr>
            </w:pPr>
            <w:r w:rsidRPr="001F151E">
              <w:rPr>
                <w:rFonts w:eastAsia="Times New Roman"/>
              </w:rPr>
              <w:t xml:space="preserve">Directorate of Strategy and Debt Monitoring (under </w:t>
            </w:r>
            <w:r w:rsidR="00A660B5">
              <w:rPr>
                <w:rFonts w:eastAsia="Times New Roman"/>
              </w:rPr>
              <w:t>MoF</w:t>
            </w:r>
            <w:r w:rsidRPr="001F151E">
              <w:rPr>
                <w:rFonts w:eastAsia="Times New Roman"/>
              </w:rPr>
              <w:t xml:space="preserve"> GDPDCFA)</w:t>
            </w:r>
          </w:p>
        </w:tc>
      </w:tr>
      <w:tr w:rsidR="00951641" w:rsidRPr="001F151E" w14:paraId="6B6ADF2E" w14:textId="77777777" w:rsidTr="007F5689">
        <w:tc>
          <w:tcPr>
            <w:tcW w:w="994" w:type="dxa"/>
          </w:tcPr>
          <w:p w14:paraId="242D0DE9" w14:textId="77777777" w:rsidR="00951641" w:rsidRPr="001F151E" w:rsidRDefault="00951641" w:rsidP="009A77C3">
            <w:pPr>
              <w:pStyle w:val="T-normal"/>
            </w:pPr>
            <w:r w:rsidRPr="001F151E">
              <w:t>DTO</w:t>
            </w:r>
          </w:p>
        </w:tc>
        <w:tc>
          <w:tcPr>
            <w:tcW w:w="8469" w:type="dxa"/>
          </w:tcPr>
          <w:p w14:paraId="6F7B61FB" w14:textId="11C7772A" w:rsidR="00951641" w:rsidRPr="001F151E" w:rsidRDefault="00951641" w:rsidP="009A77C3">
            <w:pPr>
              <w:pStyle w:val="T-normal"/>
              <w:rPr>
                <w:rFonts w:eastAsia="Times New Roman"/>
              </w:rPr>
            </w:pPr>
            <w:r w:rsidRPr="001F151E">
              <w:rPr>
                <w:rFonts w:eastAsia="Times New Roman"/>
              </w:rPr>
              <w:t xml:space="preserve">Directorate of Treasury Operations (under </w:t>
            </w:r>
            <w:r w:rsidR="00A660B5">
              <w:rPr>
                <w:rFonts w:eastAsia="Times New Roman"/>
              </w:rPr>
              <w:t>MoF</w:t>
            </w:r>
            <w:r w:rsidRPr="001F151E">
              <w:rPr>
                <w:rFonts w:eastAsia="Times New Roman"/>
              </w:rPr>
              <w:t xml:space="preserve"> GDT)</w:t>
            </w:r>
          </w:p>
        </w:tc>
      </w:tr>
      <w:tr w:rsidR="00951641" w:rsidRPr="001F151E" w14:paraId="4ED72E59" w14:textId="77777777" w:rsidTr="007F5689">
        <w:tc>
          <w:tcPr>
            <w:tcW w:w="994" w:type="dxa"/>
          </w:tcPr>
          <w:p w14:paraId="7E00D16E" w14:textId="77777777" w:rsidR="00951641" w:rsidRPr="001F151E" w:rsidRDefault="00951641" w:rsidP="009A77C3">
            <w:pPr>
              <w:pStyle w:val="T-normal"/>
              <w:rPr>
                <w:rFonts w:eastAsia="Times New Roman"/>
              </w:rPr>
            </w:pPr>
            <w:r w:rsidRPr="001F151E">
              <w:t>EAMIS</w:t>
            </w:r>
          </w:p>
        </w:tc>
        <w:tc>
          <w:tcPr>
            <w:tcW w:w="8469" w:type="dxa"/>
            <w:vAlign w:val="center"/>
          </w:tcPr>
          <w:p w14:paraId="006F748E" w14:textId="77777777" w:rsidR="00951641" w:rsidRPr="001F151E" w:rsidRDefault="00951641" w:rsidP="009A77C3">
            <w:pPr>
              <w:pStyle w:val="T-normal"/>
              <w:rPr>
                <w:rFonts w:eastAsia="Times New Roman"/>
              </w:rPr>
            </w:pPr>
            <w:r w:rsidRPr="001F151E">
              <w:t>External Assistance Management Information System</w:t>
            </w:r>
          </w:p>
        </w:tc>
      </w:tr>
      <w:tr w:rsidR="00951641" w:rsidRPr="001F151E" w14:paraId="6D5D0C7D" w14:textId="77777777" w:rsidTr="007F5689">
        <w:tc>
          <w:tcPr>
            <w:tcW w:w="994" w:type="dxa"/>
          </w:tcPr>
          <w:p w14:paraId="3019E01B" w14:textId="77777777" w:rsidR="00951641" w:rsidRPr="001F151E" w:rsidRDefault="00951641" w:rsidP="009A77C3">
            <w:pPr>
              <w:pStyle w:val="T-normal"/>
              <w:rPr>
                <w:rFonts w:eastAsia="Times New Roman"/>
              </w:rPr>
            </w:pPr>
            <w:r w:rsidRPr="001F151E">
              <w:rPr>
                <w:rFonts w:eastAsia="Times New Roman"/>
              </w:rPr>
              <w:t>ECA</w:t>
            </w:r>
          </w:p>
        </w:tc>
        <w:tc>
          <w:tcPr>
            <w:tcW w:w="8469" w:type="dxa"/>
            <w:vAlign w:val="center"/>
          </w:tcPr>
          <w:p w14:paraId="6BB72D98" w14:textId="77777777" w:rsidR="00951641" w:rsidRPr="001F151E" w:rsidRDefault="00951641" w:rsidP="009A77C3">
            <w:pPr>
              <w:pStyle w:val="T-normal"/>
              <w:rPr>
                <w:rFonts w:eastAsia="Times New Roman"/>
              </w:rPr>
            </w:pPr>
            <w:r w:rsidRPr="001F151E">
              <w:rPr>
                <w:rFonts w:eastAsia="Times New Roman"/>
              </w:rPr>
              <w:t>European Court of Audit</w:t>
            </w:r>
          </w:p>
        </w:tc>
      </w:tr>
      <w:tr w:rsidR="00951641" w:rsidRPr="001F151E" w14:paraId="0455318A" w14:textId="77777777" w:rsidTr="007F5689">
        <w:tc>
          <w:tcPr>
            <w:tcW w:w="994" w:type="dxa"/>
          </w:tcPr>
          <w:p w14:paraId="25B50362" w14:textId="77777777" w:rsidR="00951641" w:rsidRPr="001F151E" w:rsidRDefault="00951641" w:rsidP="009A77C3">
            <w:pPr>
              <w:pStyle w:val="T-normal"/>
              <w:rPr>
                <w:rFonts w:eastAsia="Times New Roman"/>
              </w:rPr>
            </w:pPr>
            <w:r w:rsidRPr="001F151E">
              <w:rPr>
                <w:rFonts w:eastAsia="Times New Roman"/>
              </w:rPr>
              <w:t>EDP</w:t>
            </w:r>
          </w:p>
        </w:tc>
        <w:tc>
          <w:tcPr>
            <w:tcW w:w="8469" w:type="dxa"/>
            <w:vAlign w:val="center"/>
          </w:tcPr>
          <w:p w14:paraId="2C4F96B4" w14:textId="77777777" w:rsidR="00951641" w:rsidRPr="001F151E" w:rsidRDefault="00951641" w:rsidP="009A77C3">
            <w:pPr>
              <w:pStyle w:val="T-normal"/>
              <w:rPr>
                <w:rFonts w:eastAsia="Times New Roman"/>
              </w:rPr>
            </w:pPr>
            <w:r w:rsidRPr="001F151E">
              <w:rPr>
                <w:rFonts w:eastAsia="Times New Roman"/>
              </w:rPr>
              <w:t>Excessive Deficit Procedure</w:t>
            </w:r>
          </w:p>
        </w:tc>
      </w:tr>
      <w:tr w:rsidR="00951641" w:rsidRPr="001F151E" w14:paraId="57D663FB" w14:textId="77777777" w:rsidTr="007F5689">
        <w:tc>
          <w:tcPr>
            <w:tcW w:w="994" w:type="dxa"/>
          </w:tcPr>
          <w:p w14:paraId="535A2CCF" w14:textId="77777777" w:rsidR="00951641" w:rsidRPr="001F151E" w:rsidRDefault="00951641" w:rsidP="009A77C3">
            <w:pPr>
              <w:pStyle w:val="T-normal"/>
              <w:rPr>
                <w:rFonts w:eastAsia="Times New Roman"/>
              </w:rPr>
            </w:pPr>
            <w:r w:rsidRPr="001F151E">
              <w:t>ERP</w:t>
            </w:r>
          </w:p>
        </w:tc>
        <w:tc>
          <w:tcPr>
            <w:tcW w:w="8469" w:type="dxa"/>
            <w:vAlign w:val="center"/>
          </w:tcPr>
          <w:p w14:paraId="4575EB73" w14:textId="77777777" w:rsidR="00951641" w:rsidRPr="001F151E" w:rsidRDefault="00951641" w:rsidP="009A77C3">
            <w:pPr>
              <w:pStyle w:val="T-normal"/>
              <w:rPr>
                <w:rFonts w:eastAsia="Times New Roman"/>
              </w:rPr>
            </w:pPr>
            <w:r w:rsidRPr="001F151E">
              <w:t>Economic Reform Programme</w:t>
            </w:r>
          </w:p>
        </w:tc>
      </w:tr>
      <w:tr w:rsidR="007E7FB6" w:rsidRPr="001F151E" w14:paraId="3A332856" w14:textId="77777777" w:rsidTr="007F5689">
        <w:tc>
          <w:tcPr>
            <w:tcW w:w="994" w:type="dxa"/>
          </w:tcPr>
          <w:p w14:paraId="61D9FA31" w14:textId="58E24AB6" w:rsidR="007E7FB6" w:rsidRPr="001F151E" w:rsidRDefault="007E7FB6" w:rsidP="009A77C3">
            <w:pPr>
              <w:pStyle w:val="T-normal"/>
              <w:rPr>
                <w:rFonts w:eastAsia="Times New Roman"/>
              </w:rPr>
            </w:pPr>
            <w:r>
              <w:rPr>
                <w:rFonts w:eastAsia="Times New Roman"/>
              </w:rPr>
              <w:t>ESA</w:t>
            </w:r>
          </w:p>
        </w:tc>
        <w:tc>
          <w:tcPr>
            <w:tcW w:w="8469" w:type="dxa"/>
            <w:vAlign w:val="center"/>
          </w:tcPr>
          <w:p w14:paraId="02600F2F" w14:textId="67E73BE9" w:rsidR="007E7FB6" w:rsidRPr="001F151E" w:rsidRDefault="006A6147" w:rsidP="009A77C3">
            <w:pPr>
              <w:pStyle w:val="T-normal"/>
              <w:rPr>
                <w:rFonts w:eastAsia="Times New Roman"/>
              </w:rPr>
            </w:pPr>
            <w:r>
              <w:rPr>
                <w:rFonts w:eastAsia="Times New Roman"/>
              </w:rPr>
              <w:t>European System of Accounts (2010)</w:t>
            </w:r>
          </w:p>
        </w:tc>
      </w:tr>
      <w:tr w:rsidR="00951641" w:rsidRPr="001F151E" w14:paraId="428565AC" w14:textId="77777777" w:rsidTr="007F5689">
        <w:tc>
          <w:tcPr>
            <w:tcW w:w="994" w:type="dxa"/>
          </w:tcPr>
          <w:p w14:paraId="56C67FC8" w14:textId="77777777" w:rsidR="00951641" w:rsidRPr="001F151E" w:rsidRDefault="00951641" w:rsidP="009A77C3">
            <w:pPr>
              <w:pStyle w:val="T-normal"/>
            </w:pPr>
            <w:r w:rsidRPr="001F151E">
              <w:rPr>
                <w:rFonts w:eastAsia="Times New Roman"/>
              </w:rPr>
              <w:t>EU</w:t>
            </w:r>
          </w:p>
        </w:tc>
        <w:tc>
          <w:tcPr>
            <w:tcW w:w="8469" w:type="dxa"/>
            <w:vAlign w:val="center"/>
          </w:tcPr>
          <w:p w14:paraId="1820EF34" w14:textId="77777777" w:rsidR="00951641" w:rsidRPr="001F151E" w:rsidRDefault="00951641" w:rsidP="009A77C3">
            <w:pPr>
              <w:pStyle w:val="T-normal"/>
            </w:pPr>
            <w:r w:rsidRPr="001F151E">
              <w:rPr>
                <w:rFonts w:eastAsia="Times New Roman"/>
              </w:rPr>
              <w:t>European Union</w:t>
            </w:r>
          </w:p>
        </w:tc>
      </w:tr>
      <w:tr w:rsidR="00951641" w:rsidRPr="001F151E" w14:paraId="409C2963" w14:textId="77777777" w:rsidTr="007F5689">
        <w:tc>
          <w:tcPr>
            <w:tcW w:w="994" w:type="dxa"/>
          </w:tcPr>
          <w:p w14:paraId="129A51C7" w14:textId="77777777" w:rsidR="00951641" w:rsidRPr="001F151E" w:rsidRDefault="00951641" w:rsidP="009A77C3">
            <w:pPr>
              <w:pStyle w:val="T-normal"/>
              <w:rPr>
                <w:rFonts w:eastAsia="Times New Roman"/>
              </w:rPr>
            </w:pPr>
            <w:r w:rsidRPr="001F151E">
              <w:rPr>
                <w:rFonts w:eastAsia="Times New Roman"/>
              </w:rPr>
              <w:t>EU4GG</w:t>
            </w:r>
          </w:p>
        </w:tc>
        <w:tc>
          <w:tcPr>
            <w:tcW w:w="8469" w:type="dxa"/>
            <w:vAlign w:val="center"/>
          </w:tcPr>
          <w:p w14:paraId="453FEE0C" w14:textId="77777777" w:rsidR="00951641" w:rsidRPr="001F151E" w:rsidRDefault="00951641" w:rsidP="009A77C3">
            <w:pPr>
              <w:pStyle w:val="T-normal"/>
              <w:rPr>
                <w:rFonts w:eastAsia="Times New Roman"/>
              </w:rPr>
            </w:pPr>
            <w:r w:rsidRPr="001F151E">
              <w:rPr>
                <w:rFonts w:eastAsia="Times New Roman"/>
              </w:rPr>
              <w:t>EU for Good Governance</w:t>
            </w:r>
          </w:p>
        </w:tc>
      </w:tr>
      <w:tr w:rsidR="00951641" w:rsidRPr="001F151E" w14:paraId="75C1C448" w14:textId="77777777" w:rsidTr="007F5689">
        <w:tc>
          <w:tcPr>
            <w:tcW w:w="994" w:type="dxa"/>
          </w:tcPr>
          <w:p w14:paraId="41EC8B70" w14:textId="77777777" w:rsidR="00951641" w:rsidRPr="001F151E" w:rsidRDefault="00951641" w:rsidP="009A77C3">
            <w:pPr>
              <w:pStyle w:val="T-normal"/>
              <w:rPr>
                <w:rFonts w:eastAsia="Times New Roman"/>
              </w:rPr>
            </w:pPr>
            <w:r w:rsidRPr="001F151E">
              <w:rPr>
                <w:rFonts w:eastAsia="Times New Roman"/>
              </w:rPr>
              <w:t>EUROSAI</w:t>
            </w:r>
          </w:p>
        </w:tc>
        <w:tc>
          <w:tcPr>
            <w:tcW w:w="8469" w:type="dxa"/>
            <w:vAlign w:val="center"/>
          </w:tcPr>
          <w:p w14:paraId="2AAE24AD" w14:textId="77777777" w:rsidR="00951641" w:rsidRPr="001F151E" w:rsidRDefault="00951641" w:rsidP="009A77C3">
            <w:pPr>
              <w:pStyle w:val="T-normal"/>
              <w:rPr>
                <w:rFonts w:eastAsia="Times New Roman"/>
              </w:rPr>
            </w:pPr>
            <w:r w:rsidRPr="001F151E">
              <w:rPr>
                <w:rFonts w:eastAsia="Times New Roman"/>
              </w:rPr>
              <w:t>European Organisation of Supreme Audit Institutions</w:t>
            </w:r>
          </w:p>
        </w:tc>
      </w:tr>
      <w:tr w:rsidR="00951641" w:rsidRPr="001F151E" w14:paraId="3AC13448" w14:textId="77777777" w:rsidTr="007F5689">
        <w:tc>
          <w:tcPr>
            <w:tcW w:w="994" w:type="dxa"/>
          </w:tcPr>
          <w:p w14:paraId="2593EA48" w14:textId="77777777" w:rsidR="00951641" w:rsidRPr="001F151E" w:rsidRDefault="00951641" w:rsidP="009A77C3">
            <w:pPr>
              <w:pStyle w:val="T-normal"/>
              <w:rPr>
                <w:rFonts w:eastAsia="Times New Roman"/>
              </w:rPr>
            </w:pPr>
            <w:r w:rsidRPr="001F151E">
              <w:t>FCS</w:t>
            </w:r>
          </w:p>
        </w:tc>
        <w:tc>
          <w:tcPr>
            <w:tcW w:w="8469" w:type="dxa"/>
            <w:vAlign w:val="center"/>
          </w:tcPr>
          <w:p w14:paraId="368F83D4" w14:textId="77777777" w:rsidR="00951641" w:rsidRPr="001F151E" w:rsidRDefault="00951641" w:rsidP="009A77C3">
            <w:pPr>
              <w:pStyle w:val="T-normal"/>
            </w:pPr>
            <w:r w:rsidRPr="001F151E">
              <w:t>Fiscal Cadastre System</w:t>
            </w:r>
          </w:p>
        </w:tc>
      </w:tr>
      <w:tr w:rsidR="00951641" w:rsidRPr="001F151E" w14:paraId="5044CC9E" w14:textId="77777777" w:rsidTr="007F5689">
        <w:tc>
          <w:tcPr>
            <w:tcW w:w="994" w:type="dxa"/>
          </w:tcPr>
          <w:p w14:paraId="20FF86F3" w14:textId="77777777" w:rsidR="00951641" w:rsidRPr="001F151E" w:rsidRDefault="00951641" w:rsidP="009A77C3">
            <w:pPr>
              <w:pStyle w:val="T-normal"/>
              <w:rPr>
                <w:rFonts w:eastAsia="Times New Roman"/>
              </w:rPr>
            </w:pPr>
            <w:r w:rsidRPr="001F151E">
              <w:rPr>
                <w:rFonts w:eastAsia="Times New Roman"/>
              </w:rPr>
              <w:t>FMC</w:t>
            </w:r>
          </w:p>
        </w:tc>
        <w:tc>
          <w:tcPr>
            <w:tcW w:w="8469" w:type="dxa"/>
            <w:vAlign w:val="center"/>
          </w:tcPr>
          <w:p w14:paraId="05E8D51F" w14:textId="77777777" w:rsidR="00951641" w:rsidRPr="001F151E" w:rsidRDefault="00951641" w:rsidP="009A77C3">
            <w:pPr>
              <w:pStyle w:val="T-normal"/>
              <w:rPr>
                <w:rFonts w:eastAsia="Times New Roman"/>
              </w:rPr>
            </w:pPr>
            <w:r w:rsidRPr="001F151E">
              <w:rPr>
                <w:rFonts w:eastAsia="Times New Roman"/>
              </w:rPr>
              <w:t>Financial Management and Control</w:t>
            </w:r>
          </w:p>
        </w:tc>
      </w:tr>
      <w:tr w:rsidR="00951641" w:rsidRPr="001F151E" w14:paraId="4A867777" w14:textId="77777777" w:rsidTr="007F5689">
        <w:tc>
          <w:tcPr>
            <w:tcW w:w="994" w:type="dxa"/>
          </w:tcPr>
          <w:p w14:paraId="7A6AB8BD" w14:textId="77777777" w:rsidR="00951641" w:rsidRPr="001F151E" w:rsidRDefault="00951641" w:rsidP="009A77C3">
            <w:pPr>
              <w:pStyle w:val="T-normal"/>
              <w:rPr>
                <w:rFonts w:eastAsia="Times New Roman"/>
              </w:rPr>
            </w:pPr>
            <w:r w:rsidRPr="001F151E">
              <w:rPr>
                <w:rFonts w:eastAsia="Times New Roman"/>
              </w:rPr>
              <w:lastRenderedPageBreak/>
              <w:t>FRS</w:t>
            </w:r>
          </w:p>
        </w:tc>
        <w:tc>
          <w:tcPr>
            <w:tcW w:w="8469" w:type="dxa"/>
            <w:vAlign w:val="center"/>
          </w:tcPr>
          <w:p w14:paraId="6B3E27B7" w14:textId="77777777" w:rsidR="00951641" w:rsidRPr="001F151E" w:rsidRDefault="00951641" w:rsidP="009A77C3">
            <w:pPr>
              <w:pStyle w:val="T-normal"/>
              <w:rPr>
                <w:rFonts w:eastAsia="Times New Roman"/>
              </w:rPr>
            </w:pPr>
            <w:r w:rsidRPr="001F151E">
              <w:rPr>
                <w:rFonts w:eastAsia="Times New Roman"/>
              </w:rPr>
              <w:t>Fiscal Risk Statement</w:t>
            </w:r>
          </w:p>
        </w:tc>
      </w:tr>
      <w:tr w:rsidR="00951641" w:rsidRPr="001F151E" w14:paraId="1BAC88D4" w14:textId="77777777" w:rsidTr="007F5689">
        <w:tc>
          <w:tcPr>
            <w:tcW w:w="994" w:type="dxa"/>
          </w:tcPr>
          <w:p w14:paraId="35C01D1B" w14:textId="77777777" w:rsidR="00951641" w:rsidRPr="001F151E" w:rsidRDefault="00951641" w:rsidP="009A77C3">
            <w:pPr>
              <w:pStyle w:val="T-normal"/>
            </w:pPr>
            <w:r w:rsidRPr="001F151E">
              <w:t>GDB</w:t>
            </w:r>
          </w:p>
        </w:tc>
        <w:tc>
          <w:tcPr>
            <w:tcW w:w="8469" w:type="dxa"/>
          </w:tcPr>
          <w:p w14:paraId="26295B9E" w14:textId="44E16B78" w:rsidR="00951641" w:rsidRPr="001F151E" w:rsidRDefault="00951641" w:rsidP="009A77C3">
            <w:pPr>
              <w:pStyle w:val="T-normal"/>
              <w:rPr>
                <w:rFonts w:eastAsia="Times New Roman"/>
              </w:rPr>
            </w:pPr>
            <w:r w:rsidRPr="001F151E">
              <w:rPr>
                <w:rFonts w:eastAsia="Times New Roman"/>
              </w:rPr>
              <w:t xml:space="preserve">General Directorate of Budget  (under </w:t>
            </w:r>
            <w:r w:rsidR="00A660B5">
              <w:rPr>
                <w:rFonts w:eastAsia="Times New Roman"/>
              </w:rPr>
              <w:t>MoF</w:t>
            </w:r>
            <w:r w:rsidRPr="001F151E">
              <w:rPr>
                <w:rFonts w:eastAsia="Times New Roman"/>
              </w:rPr>
              <w:t>)</w:t>
            </w:r>
          </w:p>
        </w:tc>
      </w:tr>
      <w:tr w:rsidR="00951641" w:rsidRPr="001F151E" w14:paraId="17D6BE80" w14:textId="77777777" w:rsidTr="007F5689">
        <w:tc>
          <w:tcPr>
            <w:tcW w:w="994" w:type="dxa"/>
          </w:tcPr>
          <w:p w14:paraId="4509EAFB" w14:textId="77777777" w:rsidR="00951641" w:rsidRPr="001F151E" w:rsidRDefault="00951641" w:rsidP="009A77C3">
            <w:pPr>
              <w:pStyle w:val="T-normal"/>
            </w:pPr>
            <w:r w:rsidRPr="001F151E">
              <w:t>GDC</w:t>
            </w:r>
          </w:p>
        </w:tc>
        <w:tc>
          <w:tcPr>
            <w:tcW w:w="8469" w:type="dxa"/>
            <w:vAlign w:val="center"/>
          </w:tcPr>
          <w:p w14:paraId="28888157" w14:textId="5D866808" w:rsidR="00951641" w:rsidRPr="001F151E" w:rsidRDefault="00951641" w:rsidP="009A77C3">
            <w:pPr>
              <w:pStyle w:val="T-normal"/>
            </w:pPr>
            <w:r w:rsidRPr="001F151E">
              <w:t xml:space="preserve">General Directorate of Customs </w:t>
            </w:r>
            <w:r w:rsidRPr="001F151E">
              <w:rPr>
                <w:rFonts w:eastAsia="Times New Roman"/>
              </w:rPr>
              <w:t xml:space="preserve">(under </w:t>
            </w:r>
            <w:r w:rsidR="00A660B5">
              <w:rPr>
                <w:rFonts w:eastAsia="Times New Roman"/>
              </w:rPr>
              <w:t>MoF</w:t>
            </w:r>
            <w:r w:rsidRPr="001F151E">
              <w:rPr>
                <w:rFonts w:eastAsia="Times New Roman"/>
              </w:rPr>
              <w:t>)</w:t>
            </w:r>
          </w:p>
        </w:tc>
      </w:tr>
      <w:tr w:rsidR="00951641" w:rsidRPr="001F151E" w14:paraId="33EDE88E" w14:textId="77777777" w:rsidTr="007F5689">
        <w:tc>
          <w:tcPr>
            <w:tcW w:w="994" w:type="dxa"/>
          </w:tcPr>
          <w:p w14:paraId="2456EA73" w14:textId="77777777" w:rsidR="00951641" w:rsidRPr="001F151E" w:rsidRDefault="00951641" w:rsidP="009A77C3">
            <w:pPr>
              <w:pStyle w:val="T-normal"/>
              <w:rPr>
                <w:rStyle w:val="IntenseReference"/>
                <w:rFonts w:eastAsiaTheme="majorEastAsia" w:cstheme="majorBidi"/>
                <w:i w:val="0"/>
                <w:sz w:val="26"/>
                <w:szCs w:val="26"/>
              </w:rPr>
            </w:pPr>
            <w:r w:rsidRPr="001F151E">
              <w:t>GDFP</w:t>
            </w:r>
          </w:p>
        </w:tc>
        <w:tc>
          <w:tcPr>
            <w:tcW w:w="8469" w:type="dxa"/>
          </w:tcPr>
          <w:p w14:paraId="356D0F3A" w14:textId="4821A0A0" w:rsidR="00951641" w:rsidRPr="001F151E" w:rsidRDefault="00951641" w:rsidP="009A77C3">
            <w:pPr>
              <w:pStyle w:val="T-normal"/>
              <w:rPr>
                <w:rStyle w:val="IntenseReference"/>
                <w:rFonts w:eastAsiaTheme="majorEastAsia" w:cstheme="majorBidi"/>
                <w:i w:val="0"/>
                <w:sz w:val="26"/>
                <w:szCs w:val="26"/>
              </w:rPr>
            </w:pPr>
            <w:r w:rsidRPr="001F151E">
              <w:rPr>
                <w:rFonts w:eastAsia="Times New Roman"/>
              </w:rPr>
              <w:t xml:space="preserve">General Directorate of  Fiscal Policies (under </w:t>
            </w:r>
            <w:r w:rsidR="00A660B5">
              <w:rPr>
                <w:rFonts w:eastAsia="Times New Roman"/>
              </w:rPr>
              <w:t>MoF</w:t>
            </w:r>
            <w:r w:rsidRPr="001F151E">
              <w:rPr>
                <w:rFonts w:eastAsia="Times New Roman"/>
              </w:rPr>
              <w:t>)</w:t>
            </w:r>
          </w:p>
        </w:tc>
      </w:tr>
      <w:tr w:rsidR="00951641" w:rsidRPr="001F151E" w14:paraId="4F46EF5D" w14:textId="77777777" w:rsidTr="007F5689">
        <w:tc>
          <w:tcPr>
            <w:tcW w:w="994" w:type="dxa"/>
          </w:tcPr>
          <w:p w14:paraId="48FF6A2D" w14:textId="77777777" w:rsidR="00951641" w:rsidRPr="001F151E" w:rsidRDefault="00951641" w:rsidP="009A77C3">
            <w:pPr>
              <w:pStyle w:val="T-normal"/>
              <w:rPr>
                <w:rStyle w:val="IntenseReference"/>
                <w:rFonts w:eastAsiaTheme="majorEastAsia" w:cstheme="majorBidi"/>
                <w:i w:val="0"/>
                <w:sz w:val="26"/>
                <w:szCs w:val="26"/>
              </w:rPr>
            </w:pPr>
            <w:r w:rsidRPr="001F151E">
              <w:t>GDHPIFC</w:t>
            </w:r>
          </w:p>
        </w:tc>
        <w:tc>
          <w:tcPr>
            <w:tcW w:w="8469" w:type="dxa"/>
          </w:tcPr>
          <w:p w14:paraId="09990AFB" w14:textId="44821B5E" w:rsidR="00951641" w:rsidRPr="001F151E" w:rsidRDefault="00951641" w:rsidP="009A77C3">
            <w:pPr>
              <w:pStyle w:val="T-normal"/>
              <w:rPr>
                <w:rStyle w:val="IntenseReference"/>
                <w:rFonts w:eastAsiaTheme="majorEastAsia" w:cstheme="majorBidi"/>
                <w:i w:val="0"/>
                <w:sz w:val="26"/>
                <w:szCs w:val="26"/>
              </w:rPr>
            </w:pPr>
            <w:r w:rsidRPr="001F151E">
              <w:rPr>
                <w:rFonts w:eastAsia="Times New Roman"/>
              </w:rPr>
              <w:t xml:space="preserve">General Directorate of Harmonization of Public Internal Financial Control (CHU, under </w:t>
            </w:r>
            <w:r w:rsidR="00A660B5">
              <w:rPr>
                <w:rFonts w:eastAsia="Times New Roman"/>
              </w:rPr>
              <w:t>MoF</w:t>
            </w:r>
            <w:r w:rsidRPr="001F151E">
              <w:rPr>
                <w:rFonts w:eastAsia="Times New Roman"/>
              </w:rPr>
              <w:t>)</w:t>
            </w:r>
          </w:p>
        </w:tc>
      </w:tr>
      <w:tr w:rsidR="00951641" w:rsidRPr="001F151E" w14:paraId="2C51380E" w14:textId="77777777" w:rsidTr="007F5689">
        <w:tc>
          <w:tcPr>
            <w:tcW w:w="994" w:type="dxa"/>
          </w:tcPr>
          <w:p w14:paraId="6F5994C1" w14:textId="77777777" w:rsidR="00951641" w:rsidRPr="001F151E" w:rsidRDefault="00951641" w:rsidP="009A77C3">
            <w:pPr>
              <w:pStyle w:val="T-normal"/>
              <w:rPr>
                <w:rStyle w:val="IntenseReference"/>
                <w:rFonts w:eastAsiaTheme="majorEastAsia" w:cstheme="majorBidi"/>
                <w:i w:val="0"/>
                <w:sz w:val="26"/>
                <w:szCs w:val="26"/>
              </w:rPr>
            </w:pPr>
            <w:r w:rsidRPr="001F151E">
              <w:t>GDMP</w:t>
            </w:r>
          </w:p>
        </w:tc>
        <w:tc>
          <w:tcPr>
            <w:tcW w:w="8469" w:type="dxa"/>
          </w:tcPr>
          <w:p w14:paraId="5AACA560" w14:textId="7149790B" w:rsidR="00951641" w:rsidRPr="001F151E" w:rsidRDefault="00951641" w:rsidP="009A77C3">
            <w:pPr>
              <w:pStyle w:val="T-normal"/>
              <w:rPr>
                <w:rStyle w:val="IntenseReference"/>
                <w:rFonts w:eastAsiaTheme="majorEastAsia" w:cstheme="majorBidi"/>
                <w:i w:val="0"/>
                <w:sz w:val="26"/>
                <w:szCs w:val="26"/>
              </w:rPr>
            </w:pPr>
            <w:r w:rsidRPr="001F151E">
              <w:rPr>
                <w:rFonts w:eastAsia="Times New Roman"/>
              </w:rPr>
              <w:t xml:space="preserve">General Directorate of Macroeconomic Programming (under </w:t>
            </w:r>
            <w:r w:rsidR="00A660B5">
              <w:rPr>
                <w:rFonts w:eastAsia="Times New Roman"/>
              </w:rPr>
              <w:t>MoF</w:t>
            </w:r>
            <w:r w:rsidRPr="001F151E">
              <w:rPr>
                <w:rFonts w:eastAsia="Times New Roman"/>
              </w:rPr>
              <w:t>)</w:t>
            </w:r>
          </w:p>
        </w:tc>
      </w:tr>
      <w:tr w:rsidR="00951641" w:rsidRPr="001F151E" w14:paraId="28725428" w14:textId="77777777" w:rsidTr="007F5689">
        <w:tc>
          <w:tcPr>
            <w:tcW w:w="994" w:type="dxa"/>
          </w:tcPr>
          <w:p w14:paraId="42E0454E" w14:textId="77777777" w:rsidR="00951641" w:rsidRPr="001F151E" w:rsidRDefault="00951641" w:rsidP="009A77C3">
            <w:pPr>
              <w:pStyle w:val="T-normal"/>
            </w:pPr>
            <w:r w:rsidRPr="001F151E">
              <w:t>GDPDCFA</w:t>
            </w:r>
          </w:p>
        </w:tc>
        <w:tc>
          <w:tcPr>
            <w:tcW w:w="8469" w:type="dxa"/>
          </w:tcPr>
          <w:p w14:paraId="30CFA178" w14:textId="137A4C01" w:rsidR="00951641" w:rsidRPr="001F151E" w:rsidRDefault="00951641" w:rsidP="009A77C3">
            <w:pPr>
              <w:pStyle w:val="T-normal"/>
              <w:rPr>
                <w:rFonts w:eastAsia="Times New Roman"/>
              </w:rPr>
            </w:pPr>
            <w:r w:rsidRPr="001F151E">
              <w:rPr>
                <w:rFonts w:eastAsia="Times New Roman"/>
              </w:rPr>
              <w:t xml:space="preserve">General Directorate of Public Debt and Coordination of Foreign Aid  (under </w:t>
            </w:r>
            <w:r w:rsidR="00A660B5">
              <w:rPr>
                <w:rFonts w:eastAsia="Times New Roman"/>
              </w:rPr>
              <w:t>MoF</w:t>
            </w:r>
            <w:r w:rsidRPr="001F151E">
              <w:rPr>
                <w:rFonts w:eastAsia="Times New Roman"/>
              </w:rPr>
              <w:t>)</w:t>
            </w:r>
          </w:p>
        </w:tc>
      </w:tr>
      <w:tr w:rsidR="00951641" w:rsidRPr="001F151E" w14:paraId="6227C46E" w14:textId="77777777" w:rsidTr="007F5689">
        <w:tc>
          <w:tcPr>
            <w:tcW w:w="994" w:type="dxa"/>
          </w:tcPr>
          <w:p w14:paraId="45135B06" w14:textId="3D736091" w:rsidR="00951641" w:rsidRPr="001F151E" w:rsidRDefault="00951641" w:rsidP="009A77C3">
            <w:pPr>
              <w:pStyle w:val="T-normal"/>
            </w:pPr>
            <w:r w:rsidRPr="001F151E">
              <w:t>GDPT</w:t>
            </w:r>
          </w:p>
        </w:tc>
        <w:tc>
          <w:tcPr>
            <w:tcW w:w="8469" w:type="dxa"/>
            <w:vAlign w:val="center"/>
          </w:tcPr>
          <w:p w14:paraId="1297BC84" w14:textId="1EC83AF2" w:rsidR="00951641" w:rsidRPr="001F151E" w:rsidRDefault="00951641" w:rsidP="009A77C3">
            <w:pPr>
              <w:pStyle w:val="T-normal"/>
              <w:rPr>
                <w:rFonts w:eastAsia="Times New Roman"/>
              </w:rPr>
            </w:pPr>
            <w:r w:rsidRPr="001F151E">
              <w:rPr>
                <w:rFonts w:eastAsia="Times New Roman"/>
              </w:rPr>
              <w:t xml:space="preserve">General Directorate for Property Tax (under </w:t>
            </w:r>
            <w:r w:rsidR="00A660B5">
              <w:rPr>
                <w:rFonts w:eastAsia="Times New Roman"/>
              </w:rPr>
              <w:t>MoF</w:t>
            </w:r>
            <w:r w:rsidRPr="001F151E">
              <w:rPr>
                <w:rFonts w:eastAsia="Times New Roman"/>
              </w:rPr>
              <w:t>)</w:t>
            </w:r>
          </w:p>
        </w:tc>
      </w:tr>
      <w:tr w:rsidR="00951641" w:rsidRPr="001F151E" w14:paraId="587F88A3" w14:textId="77777777" w:rsidTr="007F5689">
        <w:tc>
          <w:tcPr>
            <w:tcW w:w="994" w:type="dxa"/>
          </w:tcPr>
          <w:p w14:paraId="2AA79DCF" w14:textId="77777777" w:rsidR="00951641" w:rsidRPr="001F151E" w:rsidRDefault="00951641" w:rsidP="009A77C3">
            <w:pPr>
              <w:pStyle w:val="T-normal"/>
            </w:pPr>
            <w:r w:rsidRPr="001F151E">
              <w:t>GDT</w:t>
            </w:r>
          </w:p>
        </w:tc>
        <w:tc>
          <w:tcPr>
            <w:tcW w:w="8469" w:type="dxa"/>
          </w:tcPr>
          <w:p w14:paraId="7B5DCC9C" w14:textId="06FB5775" w:rsidR="00951641" w:rsidRPr="001F151E" w:rsidRDefault="00951641" w:rsidP="009A77C3">
            <w:pPr>
              <w:pStyle w:val="T-normal"/>
              <w:rPr>
                <w:rFonts w:eastAsia="Times New Roman"/>
              </w:rPr>
            </w:pPr>
            <w:r w:rsidRPr="001F151E">
              <w:rPr>
                <w:rFonts w:eastAsia="Times New Roman"/>
              </w:rPr>
              <w:t xml:space="preserve">General Directorate of Treasury (under </w:t>
            </w:r>
            <w:r w:rsidR="00A660B5">
              <w:rPr>
                <w:rFonts w:eastAsia="Times New Roman"/>
              </w:rPr>
              <w:t>MoF</w:t>
            </w:r>
            <w:r w:rsidRPr="001F151E">
              <w:rPr>
                <w:rFonts w:eastAsia="Times New Roman"/>
              </w:rPr>
              <w:t>)</w:t>
            </w:r>
          </w:p>
        </w:tc>
      </w:tr>
      <w:tr w:rsidR="00951641" w:rsidRPr="001F151E" w14:paraId="1CA6DBD0" w14:textId="77777777" w:rsidTr="007F5689">
        <w:tc>
          <w:tcPr>
            <w:tcW w:w="994" w:type="dxa"/>
          </w:tcPr>
          <w:p w14:paraId="2FA9BABE" w14:textId="77777777" w:rsidR="00951641" w:rsidRPr="001F151E" w:rsidRDefault="00951641" w:rsidP="009A77C3">
            <w:pPr>
              <w:pStyle w:val="T-normal"/>
            </w:pPr>
            <w:r w:rsidRPr="001F151E">
              <w:t>GDTax</w:t>
            </w:r>
          </w:p>
        </w:tc>
        <w:tc>
          <w:tcPr>
            <w:tcW w:w="8469" w:type="dxa"/>
            <w:vAlign w:val="center"/>
          </w:tcPr>
          <w:p w14:paraId="1D6DE996" w14:textId="66205CBC" w:rsidR="00951641" w:rsidRPr="001F151E" w:rsidRDefault="00951641" w:rsidP="009A77C3">
            <w:pPr>
              <w:pStyle w:val="T-normal"/>
              <w:rPr>
                <w:rFonts w:eastAsia="Times New Roman"/>
              </w:rPr>
            </w:pPr>
            <w:r w:rsidRPr="001F151E">
              <w:t xml:space="preserve">General Directorate of Taxation </w:t>
            </w:r>
            <w:r w:rsidRPr="001F151E">
              <w:rPr>
                <w:rFonts w:eastAsia="Times New Roman"/>
              </w:rPr>
              <w:t xml:space="preserve">(under </w:t>
            </w:r>
            <w:r w:rsidR="00A660B5">
              <w:rPr>
                <w:rFonts w:eastAsia="Times New Roman"/>
              </w:rPr>
              <w:t>MoF</w:t>
            </w:r>
            <w:r w:rsidRPr="001F151E">
              <w:rPr>
                <w:rFonts w:eastAsia="Times New Roman"/>
              </w:rPr>
              <w:t>)</w:t>
            </w:r>
          </w:p>
        </w:tc>
      </w:tr>
      <w:tr w:rsidR="00951641" w:rsidRPr="001F151E" w14:paraId="41D6125F" w14:textId="77777777" w:rsidTr="007F5689">
        <w:tc>
          <w:tcPr>
            <w:tcW w:w="994" w:type="dxa"/>
          </w:tcPr>
          <w:p w14:paraId="484B7681" w14:textId="77777777" w:rsidR="00951641" w:rsidRPr="001F151E" w:rsidRDefault="00951641" w:rsidP="009A77C3">
            <w:pPr>
              <w:pStyle w:val="T-normal"/>
              <w:rPr>
                <w:rFonts w:eastAsia="Times New Roman"/>
              </w:rPr>
            </w:pPr>
            <w:r w:rsidRPr="001F151E">
              <w:rPr>
                <w:rFonts w:eastAsia="Times New Roman"/>
              </w:rPr>
              <w:t>GFS</w:t>
            </w:r>
          </w:p>
        </w:tc>
        <w:tc>
          <w:tcPr>
            <w:tcW w:w="8469" w:type="dxa"/>
            <w:vAlign w:val="center"/>
          </w:tcPr>
          <w:p w14:paraId="120E18B2" w14:textId="77777777" w:rsidR="00951641" w:rsidRPr="001F151E" w:rsidRDefault="00951641" w:rsidP="009A77C3">
            <w:pPr>
              <w:pStyle w:val="T-normal"/>
              <w:rPr>
                <w:rFonts w:eastAsia="Times New Roman"/>
              </w:rPr>
            </w:pPr>
            <w:r w:rsidRPr="001F151E">
              <w:rPr>
                <w:rFonts w:eastAsia="Times New Roman"/>
              </w:rPr>
              <w:t>Government Finance Statistics</w:t>
            </w:r>
          </w:p>
        </w:tc>
      </w:tr>
      <w:tr w:rsidR="00951641" w:rsidRPr="001F151E" w14:paraId="79EFB4B0" w14:textId="77777777" w:rsidTr="007F5689">
        <w:tc>
          <w:tcPr>
            <w:tcW w:w="994" w:type="dxa"/>
          </w:tcPr>
          <w:p w14:paraId="4C8B98B5" w14:textId="77777777" w:rsidR="00951641" w:rsidRPr="001F151E" w:rsidRDefault="00951641" w:rsidP="009A77C3">
            <w:pPr>
              <w:pStyle w:val="T-normal"/>
              <w:rPr>
                <w:rFonts w:eastAsia="Times New Roman"/>
              </w:rPr>
            </w:pPr>
            <w:r w:rsidRPr="001F151E">
              <w:rPr>
                <w:rFonts w:eastAsia="Times New Roman"/>
              </w:rPr>
              <w:t>GGA</w:t>
            </w:r>
          </w:p>
        </w:tc>
        <w:tc>
          <w:tcPr>
            <w:tcW w:w="8469" w:type="dxa"/>
            <w:vAlign w:val="center"/>
          </w:tcPr>
          <w:p w14:paraId="226E3B8F" w14:textId="77777777" w:rsidR="00951641" w:rsidRPr="001F151E" w:rsidRDefault="00951641" w:rsidP="009A77C3">
            <w:pPr>
              <w:pStyle w:val="T-normal"/>
              <w:rPr>
                <w:rFonts w:eastAsia="Times New Roman"/>
              </w:rPr>
            </w:pPr>
            <w:r w:rsidRPr="001F151E">
              <w:rPr>
                <w:rFonts w:eastAsia="Times New Roman"/>
              </w:rPr>
              <w:t>Gender Gap Analysis</w:t>
            </w:r>
          </w:p>
        </w:tc>
      </w:tr>
      <w:tr w:rsidR="00951641" w:rsidRPr="004D182B" w14:paraId="42D497AF" w14:textId="77777777" w:rsidTr="007F5689">
        <w:tc>
          <w:tcPr>
            <w:tcW w:w="994" w:type="dxa"/>
          </w:tcPr>
          <w:p w14:paraId="7BF3B8AC" w14:textId="77777777" w:rsidR="00951641" w:rsidRPr="001F151E" w:rsidRDefault="00951641" w:rsidP="009A77C3">
            <w:pPr>
              <w:pStyle w:val="T-normal"/>
              <w:rPr>
                <w:rFonts w:eastAsia="Times New Roman"/>
              </w:rPr>
            </w:pPr>
            <w:r w:rsidRPr="001F151E">
              <w:rPr>
                <w:rFonts w:eastAsia="Times New Roman"/>
              </w:rPr>
              <w:t>GIZ</w:t>
            </w:r>
          </w:p>
        </w:tc>
        <w:tc>
          <w:tcPr>
            <w:tcW w:w="8469" w:type="dxa"/>
            <w:vAlign w:val="center"/>
          </w:tcPr>
          <w:p w14:paraId="50009EB0" w14:textId="0A197048" w:rsidR="00951641" w:rsidRPr="007F5689" w:rsidRDefault="00951641" w:rsidP="009A77C3">
            <w:pPr>
              <w:pStyle w:val="T-normal"/>
              <w:rPr>
                <w:rFonts w:eastAsia="Times New Roman"/>
                <w:lang w:val="de-DE"/>
              </w:rPr>
            </w:pPr>
            <w:r w:rsidRPr="007F5689">
              <w:rPr>
                <w:rFonts w:eastAsia="Times New Roman"/>
                <w:lang w:val="de-DE"/>
              </w:rPr>
              <w:t>Gesellschaft für Internationale Zusammenarbeit (Germany)</w:t>
            </w:r>
          </w:p>
        </w:tc>
      </w:tr>
      <w:tr w:rsidR="00951641" w:rsidRPr="001F151E" w14:paraId="61FAFCA9" w14:textId="77777777" w:rsidTr="007F5689">
        <w:tc>
          <w:tcPr>
            <w:tcW w:w="994" w:type="dxa"/>
          </w:tcPr>
          <w:p w14:paraId="70CBF4EE" w14:textId="77777777" w:rsidR="00951641" w:rsidRPr="001F151E" w:rsidRDefault="00951641" w:rsidP="009A77C3">
            <w:pPr>
              <w:pStyle w:val="T-normal"/>
              <w:rPr>
                <w:rFonts w:eastAsia="Times New Roman"/>
              </w:rPr>
            </w:pPr>
            <w:r w:rsidRPr="001F151E">
              <w:rPr>
                <w:rFonts w:eastAsia="Times New Roman"/>
              </w:rPr>
              <w:t>GoA</w:t>
            </w:r>
          </w:p>
        </w:tc>
        <w:tc>
          <w:tcPr>
            <w:tcW w:w="8469" w:type="dxa"/>
            <w:vAlign w:val="center"/>
          </w:tcPr>
          <w:p w14:paraId="5B803EED" w14:textId="77777777" w:rsidR="00951641" w:rsidRPr="001F151E" w:rsidRDefault="00951641" w:rsidP="009A77C3">
            <w:pPr>
              <w:pStyle w:val="T-normal"/>
              <w:rPr>
                <w:rFonts w:eastAsia="Times New Roman"/>
              </w:rPr>
            </w:pPr>
            <w:r w:rsidRPr="001F151E">
              <w:rPr>
                <w:rFonts w:eastAsia="Times New Roman"/>
              </w:rPr>
              <w:t>Government of Albania</w:t>
            </w:r>
          </w:p>
        </w:tc>
      </w:tr>
      <w:tr w:rsidR="00951641" w:rsidRPr="001F151E" w14:paraId="21569247" w14:textId="77777777" w:rsidTr="007F5689">
        <w:tc>
          <w:tcPr>
            <w:tcW w:w="994" w:type="dxa"/>
          </w:tcPr>
          <w:p w14:paraId="74BBD52E" w14:textId="77777777" w:rsidR="00951641" w:rsidRPr="001F151E" w:rsidRDefault="00951641" w:rsidP="009A77C3">
            <w:pPr>
              <w:pStyle w:val="T-normal"/>
              <w:rPr>
                <w:rFonts w:eastAsia="Times New Roman"/>
              </w:rPr>
            </w:pPr>
            <w:r w:rsidRPr="001F151E">
              <w:rPr>
                <w:rFonts w:eastAsia="Times New Roman"/>
              </w:rPr>
              <w:t>GRB</w:t>
            </w:r>
          </w:p>
        </w:tc>
        <w:tc>
          <w:tcPr>
            <w:tcW w:w="8469" w:type="dxa"/>
            <w:vAlign w:val="center"/>
          </w:tcPr>
          <w:p w14:paraId="64EE343A" w14:textId="77777777" w:rsidR="00951641" w:rsidRPr="001F151E" w:rsidRDefault="00951641" w:rsidP="009A77C3">
            <w:pPr>
              <w:pStyle w:val="T-normal"/>
              <w:rPr>
                <w:rFonts w:eastAsia="Times New Roman"/>
              </w:rPr>
            </w:pPr>
            <w:r w:rsidRPr="001F151E">
              <w:rPr>
                <w:rFonts w:eastAsia="Times New Roman"/>
              </w:rPr>
              <w:t>Gender-responsive Budgeting</w:t>
            </w:r>
          </w:p>
        </w:tc>
      </w:tr>
      <w:tr w:rsidR="00951641" w:rsidRPr="001F151E" w14:paraId="6E424DDB" w14:textId="77777777" w:rsidTr="007F5689">
        <w:tc>
          <w:tcPr>
            <w:tcW w:w="994" w:type="dxa"/>
          </w:tcPr>
          <w:p w14:paraId="11367547" w14:textId="77777777" w:rsidR="00951641" w:rsidRPr="001F151E" w:rsidRDefault="00951641" w:rsidP="009A77C3">
            <w:pPr>
              <w:pStyle w:val="T-normal"/>
              <w:rPr>
                <w:rFonts w:eastAsia="Times New Roman"/>
              </w:rPr>
            </w:pPr>
            <w:r w:rsidRPr="001F151E">
              <w:t>HRMIS</w:t>
            </w:r>
          </w:p>
        </w:tc>
        <w:tc>
          <w:tcPr>
            <w:tcW w:w="8469" w:type="dxa"/>
            <w:vAlign w:val="center"/>
          </w:tcPr>
          <w:p w14:paraId="713DE335" w14:textId="77777777" w:rsidR="00951641" w:rsidRPr="001F151E" w:rsidRDefault="00951641" w:rsidP="009A77C3">
            <w:pPr>
              <w:pStyle w:val="T-normal"/>
            </w:pPr>
            <w:r w:rsidRPr="001F151E">
              <w:t>Human Resource Management Information System</w:t>
            </w:r>
          </w:p>
        </w:tc>
      </w:tr>
      <w:tr w:rsidR="00951641" w:rsidRPr="001F151E" w14:paraId="60B355C6" w14:textId="77777777" w:rsidTr="007F5689">
        <w:tc>
          <w:tcPr>
            <w:tcW w:w="994" w:type="dxa"/>
          </w:tcPr>
          <w:p w14:paraId="00B1B017" w14:textId="77777777" w:rsidR="00951641" w:rsidRPr="001F151E" w:rsidRDefault="00951641" w:rsidP="009A77C3">
            <w:pPr>
              <w:pStyle w:val="T-normal"/>
              <w:rPr>
                <w:rFonts w:eastAsia="Times New Roman"/>
              </w:rPr>
            </w:pPr>
            <w:r w:rsidRPr="001F151E">
              <w:rPr>
                <w:rFonts w:eastAsia="Times New Roman"/>
              </w:rPr>
              <w:t>IBP</w:t>
            </w:r>
          </w:p>
        </w:tc>
        <w:tc>
          <w:tcPr>
            <w:tcW w:w="8469" w:type="dxa"/>
            <w:vAlign w:val="center"/>
          </w:tcPr>
          <w:p w14:paraId="3BBD1AA1" w14:textId="77777777" w:rsidR="00951641" w:rsidRPr="001F151E" w:rsidRDefault="00951641" w:rsidP="009A77C3">
            <w:pPr>
              <w:pStyle w:val="T-normal"/>
              <w:rPr>
                <w:rFonts w:eastAsia="Times New Roman"/>
              </w:rPr>
            </w:pPr>
            <w:r w:rsidRPr="001F151E">
              <w:rPr>
                <w:rFonts w:eastAsia="Times New Roman"/>
              </w:rPr>
              <w:t>International Budget Partnership</w:t>
            </w:r>
          </w:p>
        </w:tc>
      </w:tr>
      <w:tr w:rsidR="00951641" w:rsidRPr="001F151E" w14:paraId="26E6F57B" w14:textId="77777777" w:rsidTr="007F5689">
        <w:tc>
          <w:tcPr>
            <w:tcW w:w="994" w:type="dxa"/>
          </w:tcPr>
          <w:p w14:paraId="5AEE7694" w14:textId="77777777" w:rsidR="00951641" w:rsidRPr="001F151E" w:rsidRDefault="00951641" w:rsidP="009A77C3">
            <w:pPr>
              <w:pStyle w:val="T-normal"/>
              <w:rPr>
                <w:rFonts w:eastAsia="Times New Roman"/>
              </w:rPr>
            </w:pPr>
            <w:r w:rsidRPr="001F151E">
              <w:rPr>
                <w:rFonts w:eastAsia="Times New Roman"/>
              </w:rPr>
              <w:t>IC</w:t>
            </w:r>
          </w:p>
        </w:tc>
        <w:tc>
          <w:tcPr>
            <w:tcW w:w="8469" w:type="dxa"/>
            <w:vAlign w:val="center"/>
          </w:tcPr>
          <w:p w14:paraId="0947E9F4" w14:textId="77777777" w:rsidR="00951641" w:rsidRPr="001F151E" w:rsidRDefault="00951641" w:rsidP="009A77C3">
            <w:pPr>
              <w:pStyle w:val="T-normal"/>
              <w:rPr>
                <w:rFonts w:eastAsia="Times New Roman"/>
              </w:rPr>
            </w:pPr>
            <w:r w:rsidRPr="001F151E">
              <w:rPr>
                <w:rFonts w:eastAsia="Times New Roman"/>
              </w:rPr>
              <w:t>Internal Control</w:t>
            </w:r>
          </w:p>
        </w:tc>
      </w:tr>
      <w:tr w:rsidR="00951641" w:rsidRPr="001F151E" w14:paraId="2AB8EAA5" w14:textId="77777777" w:rsidTr="007F5689">
        <w:tc>
          <w:tcPr>
            <w:tcW w:w="994" w:type="dxa"/>
          </w:tcPr>
          <w:p w14:paraId="0564403C" w14:textId="77777777" w:rsidR="00951641" w:rsidRPr="001F151E" w:rsidRDefault="00951641" w:rsidP="009A77C3">
            <w:pPr>
              <w:pStyle w:val="T-normal"/>
              <w:rPr>
                <w:rFonts w:eastAsia="Times New Roman"/>
              </w:rPr>
            </w:pPr>
            <w:r w:rsidRPr="001F151E">
              <w:rPr>
                <w:rFonts w:eastAsia="Times New Roman"/>
              </w:rPr>
              <w:t>IDI</w:t>
            </w:r>
          </w:p>
        </w:tc>
        <w:tc>
          <w:tcPr>
            <w:tcW w:w="8469" w:type="dxa"/>
            <w:vAlign w:val="center"/>
          </w:tcPr>
          <w:p w14:paraId="7200FB63" w14:textId="77777777" w:rsidR="00951641" w:rsidRPr="001F151E" w:rsidRDefault="00951641" w:rsidP="009A77C3">
            <w:pPr>
              <w:pStyle w:val="T-normal"/>
              <w:rPr>
                <w:rFonts w:eastAsia="Times New Roman"/>
              </w:rPr>
            </w:pPr>
            <w:r w:rsidRPr="001F151E">
              <w:rPr>
                <w:rFonts w:eastAsia="Times New Roman"/>
              </w:rPr>
              <w:t>International Development Initiative (of INTOSAI)</w:t>
            </w:r>
          </w:p>
        </w:tc>
      </w:tr>
      <w:tr w:rsidR="00951641" w:rsidRPr="001F151E" w14:paraId="5D046F8D" w14:textId="77777777" w:rsidTr="007F5689">
        <w:tc>
          <w:tcPr>
            <w:tcW w:w="994" w:type="dxa"/>
          </w:tcPr>
          <w:p w14:paraId="130E8227" w14:textId="77777777" w:rsidR="00951641" w:rsidRPr="001F151E" w:rsidRDefault="00951641" w:rsidP="009A77C3">
            <w:pPr>
              <w:pStyle w:val="T-normal"/>
              <w:rPr>
                <w:rFonts w:eastAsia="Times New Roman"/>
              </w:rPr>
            </w:pPr>
            <w:r w:rsidRPr="001F151E">
              <w:rPr>
                <w:rFonts w:eastAsia="Times New Roman"/>
              </w:rPr>
              <w:t>IFI</w:t>
            </w:r>
          </w:p>
        </w:tc>
        <w:tc>
          <w:tcPr>
            <w:tcW w:w="8469" w:type="dxa"/>
            <w:vAlign w:val="center"/>
          </w:tcPr>
          <w:p w14:paraId="2EA3CD36" w14:textId="77777777" w:rsidR="00951641" w:rsidRPr="001F151E" w:rsidRDefault="00951641" w:rsidP="009A77C3">
            <w:pPr>
              <w:pStyle w:val="T-normal"/>
              <w:rPr>
                <w:rFonts w:eastAsia="Times New Roman"/>
              </w:rPr>
            </w:pPr>
            <w:r w:rsidRPr="001F151E">
              <w:rPr>
                <w:rFonts w:eastAsia="Times New Roman"/>
              </w:rPr>
              <w:t>Independent Fiscal Institution</w:t>
            </w:r>
          </w:p>
        </w:tc>
      </w:tr>
      <w:tr w:rsidR="00951641" w:rsidRPr="001F151E" w14:paraId="352305AD" w14:textId="77777777" w:rsidTr="007F5689">
        <w:tc>
          <w:tcPr>
            <w:tcW w:w="994" w:type="dxa"/>
          </w:tcPr>
          <w:p w14:paraId="0E385363" w14:textId="77777777" w:rsidR="00951641" w:rsidRPr="001F151E" w:rsidRDefault="00951641" w:rsidP="009A77C3">
            <w:pPr>
              <w:pStyle w:val="T-normal"/>
              <w:rPr>
                <w:rFonts w:eastAsia="Times New Roman"/>
              </w:rPr>
            </w:pPr>
            <w:r w:rsidRPr="001F151E">
              <w:rPr>
                <w:rFonts w:eastAsia="Times New Roman"/>
              </w:rPr>
              <w:t>IIA</w:t>
            </w:r>
          </w:p>
        </w:tc>
        <w:tc>
          <w:tcPr>
            <w:tcW w:w="8469" w:type="dxa"/>
            <w:vAlign w:val="center"/>
          </w:tcPr>
          <w:p w14:paraId="21E3A44E" w14:textId="77777777" w:rsidR="00951641" w:rsidRPr="001F151E" w:rsidRDefault="00951641" w:rsidP="009A77C3">
            <w:pPr>
              <w:pStyle w:val="T-normal"/>
              <w:rPr>
                <w:rFonts w:eastAsia="Times New Roman"/>
              </w:rPr>
            </w:pPr>
            <w:r w:rsidRPr="001F151E">
              <w:rPr>
                <w:rFonts w:eastAsia="Times New Roman"/>
              </w:rPr>
              <w:t>Institute for Internal Audit</w:t>
            </w:r>
          </w:p>
        </w:tc>
      </w:tr>
      <w:tr w:rsidR="00951641" w:rsidRPr="001F151E" w14:paraId="140C882D" w14:textId="77777777" w:rsidTr="007F5689">
        <w:tc>
          <w:tcPr>
            <w:tcW w:w="994" w:type="dxa"/>
          </w:tcPr>
          <w:p w14:paraId="1B9D8050" w14:textId="77777777" w:rsidR="00951641" w:rsidRPr="001F151E" w:rsidRDefault="00951641" w:rsidP="009A77C3">
            <w:pPr>
              <w:pStyle w:val="T-normal"/>
            </w:pPr>
            <w:r w:rsidRPr="001F151E">
              <w:rPr>
                <w:rFonts w:eastAsia="Times New Roman"/>
              </w:rPr>
              <w:t>IMF</w:t>
            </w:r>
          </w:p>
        </w:tc>
        <w:tc>
          <w:tcPr>
            <w:tcW w:w="8469" w:type="dxa"/>
            <w:vAlign w:val="center"/>
          </w:tcPr>
          <w:p w14:paraId="045034F7" w14:textId="77777777" w:rsidR="00951641" w:rsidRPr="001F151E" w:rsidRDefault="00951641" w:rsidP="009A77C3">
            <w:pPr>
              <w:pStyle w:val="T-normal"/>
            </w:pPr>
            <w:r w:rsidRPr="001F151E">
              <w:rPr>
                <w:rFonts w:eastAsia="Times New Roman"/>
              </w:rPr>
              <w:t>International Monetary Fund</w:t>
            </w:r>
          </w:p>
        </w:tc>
      </w:tr>
      <w:tr w:rsidR="00951641" w:rsidRPr="001F151E" w14:paraId="36A51822" w14:textId="77777777" w:rsidTr="007F5689">
        <w:tc>
          <w:tcPr>
            <w:tcW w:w="994" w:type="dxa"/>
          </w:tcPr>
          <w:p w14:paraId="3FD0F2C6" w14:textId="77777777" w:rsidR="00951641" w:rsidRPr="001F151E" w:rsidRDefault="00951641" w:rsidP="009A77C3">
            <w:pPr>
              <w:pStyle w:val="T-normal"/>
            </w:pPr>
            <w:r w:rsidRPr="001F151E">
              <w:t>INSTAT</w:t>
            </w:r>
          </w:p>
        </w:tc>
        <w:tc>
          <w:tcPr>
            <w:tcW w:w="8469" w:type="dxa"/>
            <w:vAlign w:val="center"/>
          </w:tcPr>
          <w:p w14:paraId="4DFE7A42" w14:textId="77777777" w:rsidR="00951641" w:rsidRPr="001F151E" w:rsidRDefault="00951641" w:rsidP="009A77C3">
            <w:pPr>
              <w:pStyle w:val="T-normal"/>
            </w:pPr>
            <w:r w:rsidRPr="001F151E">
              <w:rPr>
                <w:rFonts w:eastAsia="Times New Roman"/>
              </w:rPr>
              <w:t>Institute of Statistics (independent institution)</w:t>
            </w:r>
          </w:p>
        </w:tc>
      </w:tr>
      <w:tr w:rsidR="00951641" w:rsidRPr="001F151E" w14:paraId="1F1B9931" w14:textId="77777777" w:rsidTr="007F5689">
        <w:tc>
          <w:tcPr>
            <w:tcW w:w="994" w:type="dxa"/>
          </w:tcPr>
          <w:p w14:paraId="769BA83D" w14:textId="77777777" w:rsidR="00951641" w:rsidRPr="001F151E" w:rsidRDefault="00951641" w:rsidP="009A77C3">
            <w:pPr>
              <w:pStyle w:val="T-normal"/>
              <w:rPr>
                <w:rFonts w:eastAsia="Times New Roman"/>
              </w:rPr>
            </w:pPr>
            <w:r w:rsidRPr="001F151E">
              <w:rPr>
                <w:rFonts w:eastAsia="Times New Roman"/>
              </w:rPr>
              <w:t>INTOSAI</w:t>
            </w:r>
          </w:p>
        </w:tc>
        <w:tc>
          <w:tcPr>
            <w:tcW w:w="8469" w:type="dxa"/>
            <w:vAlign w:val="center"/>
          </w:tcPr>
          <w:p w14:paraId="4C922ED6" w14:textId="77777777" w:rsidR="00951641" w:rsidRPr="001F151E" w:rsidRDefault="00951641" w:rsidP="009A77C3">
            <w:pPr>
              <w:pStyle w:val="T-normal"/>
              <w:rPr>
                <w:rFonts w:eastAsia="Times New Roman"/>
              </w:rPr>
            </w:pPr>
            <w:r w:rsidRPr="001F151E">
              <w:rPr>
                <w:rFonts w:eastAsia="Times New Roman"/>
              </w:rPr>
              <w:t>International Organisation of Supreme Audit Institutions</w:t>
            </w:r>
          </w:p>
        </w:tc>
      </w:tr>
      <w:tr w:rsidR="00951641" w:rsidRPr="001F151E" w14:paraId="405FB4CD" w14:textId="77777777" w:rsidTr="007F5689">
        <w:tc>
          <w:tcPr>
            <w:tcW w:w="994" w:type="dxa"/>
          </w:tcPr>
          <w:p w14:paraId="00D0B14A" w14:textId="77777777" w:rsidR="00951641" w:rsidRPr="001F151E" w:rsidRDefault="00951641" w:rsidP="009A77C3">
            <w:pPr>
              <w:pStyle w:val="T-normal"/>
              <w:rPr>
                <w:rFonts w:eastAsia="Times New Roman"/>
              </w:rPr>
            </w:pPr>
            <w:r w:rsidRPr="001F151E">
              <w:rPr>
                <w:rFonts w:eastAsia="Times New Roman"/>
              </w:rPr>
              <w:t>IPA</w:t>
            </w:r>
          </w:p>
        </w:tc>
        <w:tc>
          <w:tcPr>
            <w:tcW w:w="8469" w:type="dxa"/>
            <w:vAlign w:val="center"/>
          </w:tcPr>
          <w:p w14:paraId="612E181B" w14:textId="77777777" w:rsidR="00951641" w:rsidRPr="001F151E" w:rsidRDefault="00951641" w:rsidP="009A77C3">
            <w:pPr>
              <w:pStyle w:val="T-normal"/>
              <w:rPr>
                <w:rFonts w:eastAsia="Times New Roman"/>
              </w:rPr>
            </w:pPr>
            <w:r w:rsidRPr="001F151E">
              <w:rPr>
                <w:rFonts w:eastAsia="Times New Roman"/>
              </w:rPr>
              <w:t>Instrument for Pre-Accession</w:t>
            </w:r>
          </w:p>
        </w:tc>
      </w:tr>
      <w:tr w:rsidR="00951641" w:rsidRPr="001F151E" w14:paraId="663917C4" w14:textId="77777777" w:rsidTr="007F5689">
        <w:tc>
          <w:tcPr>
            <w:tcW w:w="994" w:type="dxa"/>
          </w:tcPr>
          <w:p w14:paraId="32A7FE7B" w14:textId="77777777" w:rsidR="00951641" w:rsidRPr="001F151E" w:rsidRDefault="00951641" w:rsidP="009A77C3">
            <w:pPr>
              <w:pStyle w:val="T-normal"/>
              <w:rPr>
                <w:rFonts w:eastAsia="Times New Roman"/>
              </w:rPr>
            </w:pPr>
            <w:r w:rsidRPr="001F151E">
              <w:rPr>
                <w:rFonts w:eastAsia="Times New Roman"/>
              </w:rPr>
              <w:t>IPS</w:t>
            </w:r>
          </w:p>
        </w:tc>
        <w:tc>
          <w:tcPr>
            <w:tcW w:w="8469" w:type="dxa"/>
            <w:vAlign w:val="center"/>
          </w:tcPr>
          <w:p w14:paraId="71DA7EA3" w14:textId="77777777" w:rsidR="00951641" w:rsidRPr="001F151E" w:rsidRDefault="00951641" w:rsidP="009A77C3">
            <w:pPr>
              <w:pStyle w:val="T-normal"/>
              <w:rPr>
                <w:rFonts w:eastAsia="Times New Roman"/>
              </w:rPr>
            </w:pPr>
            <w:r w:rsidRPr="001F151E">
              <w:rPr>
                <w:rFonts w:eastAsia="Times New Roman"/>
              </w:rPr>
              <w:t>Integrated Planning System</w:t>
            </w:r>
          </w:p>
        </w:tc>
      </w:tr>
      <w:tr w:rsidR="00951641" w:rsidRPr="001F151E" w14:paraId="06350DA8" w14:textId="77777777" w:rsidTr="007F5689">
        <w:tc>
          <w:tcPr>
            <w:tcW w:w="994" w:type="dxa"/>
          </w:tcPr>
          <w:p w14:paraId="3751B16A" w14:textId="77777777" w:rsidR="00951641" w:rsidRPr="001F151E" w:rsidRDefault="00951641" w:rsidP="009A77C3">
            <w:pPr>
              <w:pStyle w:val="T-normal"/>
              <w:rPr>
                <w:rFonts w:eastAsia="Times New Roman"/>
              </w:rPr>
            </w:pPr>
            <w:r w:rsidRPr="001F151E">
              <w:rPr>
                <w:rFonts w:eastAsia="Times New Roman"/>
              </w:rPr>
              <w:t>IPSAS</w:t>
            </w:r>
          </w:p>
        </w:tc>
        <w:tc>
          <w:tcPr>
            <w:tcW w:w="8469" w:type="dxa"/>
            <w:vAlign w:val="center"/>
          </w:tcPr>
          <w:p w14:paraId="541008F9" w14:textId="77777777" w:rsidR="00951641" w:rsidRPr="001F151E" w:rsidRDefault="00951641" w:rsidP="009A77C3">
            <w:pPr>
              <w:pStyle w:val="T-normal"/>
              <w:rPr>
                <w:rFonts w:eastAsia="Times New Roman"/>
              </w:rPr>
            </w:pPr>
            <w:r w:rsidRPr="001F151E">
              <w:rPr>
                <w:rFonts w:eastAsia="Times New Roman"/>
              </w:rPr>
              <w:t>International Public Sector Accounting Standards</w:t>
            </w:r>
          </w:p>
        </w:tc>
      </w:tr>
      <w:tr w:rsidR="00951641" w:rsidRPr="001F151E" w14:paraId="43AA8A83" w14:textId="77777777" w:rsidTr="007F5689">
        <w:tc>
          <w:tcPr>
            <w:tcW w:w="994" w:type="dxa"/>
          </w:tcPr>
          <w:p w14:paraId="3C59874D" w14:textId="77777777" w:rsidR="00951641" w:rsidRPr="001F151E" w:rsidRDefault="00951641" w:rsidP="009A77C3">
            <w:pPr>
              <w:pStyle w:val="T-normal"/>
              <w:rPr>
                <w:rFonts w:eastAsia="Times New Roman"/>
              </w:rPr>
            </w:pPr>
            <w:r w:rsidRPr="001F151E">
              <w:rPr>
                <w:rFonts w:eastAsia="Times New Roman"/>
              </w:rPr>
              <w:t>IPSIS</w:t>
            </w:r>
          </w:p>
        </w:tc>
        <w:tc>
          <w:tcPr>
            <w:tcW w:w="8469" w:type="dxa"/>
            <w:vAlign w:val="center"/>
          </w:tcPr>
          <w:p w14:paraId="51A86153" w14:textId="77777777" w:rsidR="00951641" w:rsidRPr="001F151E" w:rsidRDefault="00951641" w:rsidP="009A77C3">
            <w:pPr>
              <w:pStyle w:val="T-normal"/>
              <w:rPr>
                <w:rFonts w:eastAsia="Times New Roman"/>
              </w:rPr>
            </w:pPr>
            <w:r w:rsidRPr="001F151E">
              <w:t>Integrated Planning System Information System</w:t>
            </w:r>
          </w:p>
        </w:tc>
      </w:tr>
      <w:tr w:rsidR="00951641" w:rsidRPr="001F151E" w14:paraId="28550818" w14:textId="77777777" w:rsidTr="007F5689">
        <w:tc>
          <w:tcPr>
            <w:tcW w:w="994" w:type="dxa"/>
          </w:tcPr>
          <w:p w14:paraId="0090A9DF" w14:textId="77777777" w:rsidR="00951641" w:rsidRPr="001F151E" w:rsidRDefault="00951641" w:rsidP="009A77C3">
            <w:pPr>
              <w:pStyle w:val="T-normal"/>
              <w:rPr>
                <w:rFonts w:eastAsia="Times New Roman"/>
              </w:rPr>
            </w:pPr>
            <w:r w:rsidRPr="001F151E">
              <w:rPr>
                <w:rFonts w:eastAsia="Times New Roman"/>
              </w:rPr>
              <w:t>ISSAI</w:t>
            </w:r>
          </w:p>
        </w:tc>
        <w:tc>
          <w:tcPr>
            <w:tcW w:w="8469" w:type="dxa"/>
            <w:vAlign w:val="center"/>
          </w:tcPr>
          <w:p w14:paraId="48D1812A" w14:textId="77777777" w:rsidR="00951641" w:rsidRPr="001F151E" w:rsidRDefault="00951641" w:rsidP="009A77C3">
            <w:pPr>
              <w:pStyle w:val="T-normal"/>
              <w:rPr>
                <w:rFonts w:eastAsia="Times New Roman"/>
              </w:rPr>
            </w:pPr>
            <w:r w:rsidRPr="001F151E">
              <w:t>International Standards for Supreme Audit Institutions</w:t>
            </w:r>
          </w:p>
        </w:tc>
      </w:tr>
      <w:tr w:rsidR="00951641" w:rsidRPr="001F151E" w14:paraId="60032794" w14:textId="77777777" w:rsidTr="007F5689">
        <w:tc>
          <w:tcPr>
            <w:tcW w:w="994" w:type="dxa"/>
          </w:tcPr>
          <w:p w14:paraId="61244BDF" w14:textId="77777777" w:rsidR="00951641" w:rsidRPr="001F151E" w:rsidRDefault="00951641" w:rsidP="009A77C3">
            <w:pPr>
              <w:pStyle w:val="T-normal"/>
              <w:rPr>
                <w:rFonts w:eastAsia="Times New Roman"/>
              </w:rPr>
            </w:pPr>
            <w:r w:rsidRPr="001F151E">
              <w:t>ITMS</w:t>
            </w:r>
          </w:p>
        </w:tc>
        <w:tc>
          <w:tcPr>
            <w:tcW w:w="8469" w:type="dxa"/>
            <w:vAlign w:val="center"/>
          </w:tcPr>
          <w:p w14:paraId="487F8AF8" w14:textId="77777777" w:rsidR="00951641" w:rsidRPr="001F151E" w:rsidRDefault="00951641" w:rsidP="009A77C3">
            <w:pPr>
              <w:pStyle w:val="T-normal"/>
            </w:pPr>
            <w:r w:rsidRPr="001F151E">
              <w:t>Integrated Tariff Management System</w:t>
            </w:r>
          </w:p>
        </w:tc>
      </w:tr>
      <w:tr w:rsidR="00951641" w:rsidRPr="001F151E" w14:paraId="6C6B95CD" w14:textId="77777777" w:rsidTr="007F5689">
        <w:tc>
          <w:tcPr>
            <w:tcW w:w="994" w:type="dxa"/>
          </w:tcPr>
          <w:p w14:paraId="741250A6" w14:textId="77777777" w:rsidR="00951641" w:rsidRPr="001F151E" w:rsidRDefault="00951641" w:rsidP="009A77C3">
            <w:pPr>
              <w:pStyle w:val="T-normal"/>
              <w:rPr>
                <w:rFonts w:eastAsia="Times New Roman"/>
              </w:rPr>
            </w:pPr>
            <w:r w:rsidRPr="001F151E">
              <w:rPr>
                <w:rFonts w:eastAsia="Times New Roman"/>
              </w:rPr>
              <w:t>KPI</w:t>
            </w:r>
          </w:p>
        </w:tc>
        <w:tc>
          <w:tcPr>
            <w:tcW w:w="8469" w:type="dxa"/>
            <w:vAlign w:val="center"/>
          </w:tcPr>
          <w:p w14:paraId="7DACE21E" w14:textId="77777777" w:rsidR="00951641" w:rsidRPr="001F151E" w:rsidRDefault="00951641" w:rsidP="009A77C3">
            <w:pPr>
              <w:pStyle w:val="T-normal"/>
              <w:rPr>
                <w:rFonts w:eastAsia="Times New Roman"/>
              </w:rPr>
            </w:pPr>
            <w:r w:rsidRPr="001F151E">
              <w:rPr>
                <w:rFonts w:eastAsia="Times New Roman"/>
              </w:rPr>
              <w:t>Key Performance Indicator</w:t>
            </w:r>
          </w:p>
        </w:tc>
      </w:tr>
      <w:tr w:rsidR="00951641" w:rsidRPr="001F151E" w14:paraId="497D0A06" w14:textId="77777777" w:rsidTr="007F5689">
        <w:tc>
          <w:tcPr>
            <w:tcW w:w="994" w:type="dxa"/>
          </w:tcPr>
          <w:p w14:paraId="765ED1E1" w14:textId="77777777" w:rsidR="00951641" w:rsidRPr="001F151E" w:rsidRDefault="00951641" w:rsidP="009A77C3">
            <w:pPr>
              <w:pStyle w:val="T-normal"/>
            </w:pPr>
            <w:r w:rsidRPr="001F151E">
              <w:rPr>
                <w:rFonts w:eastAsia="Times New Roman"/>
              </w:rPr>
              <w:t>LGU</w:t>
            </w:r>
          </w:p>
        </w:tc>
        <w:tc>
          <w:tcPr>
            <w:tcW w:w="8469" w:type="dxa"/>
            <w:vAlign w:val="center"/>
          </w:tcPr>
          <w:p w14:paraId="2EA6A10C" w14:textId="071F61A1" w:rsidR="00951641" w:rsidRPr="001F151E" w:rsidRDefault="00951641" w:rsidP="009A77C3">
            <w:pPr>
              <w:pStyle w:val="T-normal"/>
            </w:pPr>
            <w:r w:rsidRPr="001F151E">
              <w:rPr>
                <w:rFonts w:eastAsia="Times New Roman"/>
              </w:rPr>
              <w:t>Local Self-Government Unit (Municipalit</w:t>
            </w:r>
            <w:r w:rsidR="00261B5B" w:rsidRPr="001F151E">
              <w:rPr>
                <w:rFonts w:eastAsia="Times New Roman"/>
              </w:rPr>
              <w:t>y</w:t>
            </w:r>
            <w:r w:rsidRPr="001F151E">
              <w:rPr>
                <w:rFonts w:eastAsia="Times New Roman"/>
              </w:rPr>
              <w:t>)</w:t>
            </w:r>
          </w:p>
        </w:tc>
      </w:tr>
      <w:tr w:rsidR="00951641" w:rsidRPr="001F151E" w14:paraId="1BFE7F78" w14:textId="77777777" w:rsidTr="007F5689">
        <w:tc>
          <w:tcPr>
            <w:tcW w:w="994" w:type="dxa"/>
          </w:tcPr>
          <w:p w14:paraId="5CF658A7" w14:textId="77777777" w:rsidR="00951641" w:rsidRPr="001F151E" w:rsidRDefault="00951641" w:rsidP="009A77C3">
            <w:pPr>
              <w:pStyle w:val="T-normal"/>
              <w:rPr>
                <w:rFonts w:eastAsia="Times New Roman"/>
              </w:rPr>
            </w:pPr>
            <w:r w:rsidRPr="001F151E">
              <w:rPr>
                <w:rFonts w:eastAsia="Times New Roman"/>
              </w:rPr>
              <w:t>MEAT</w:t>
            </w:r>
          </w:p>
        </w:tc>
        <w:tc>
          <w:tcPr>
            <w:tcW w:w="8469" w:type="dxa"/>
            <w:vAlign w:val="center"/>
          </w:tcPr>
          <w:p w14:paraId="71B3DBA7" w14:textId="77777777" w:rsidR="00951641" w:rsidRPr="001F151E" w:rsidRDefault="00951641" w:rsidP="009A77C3">
            <w:pPr>
              <w:pStyle w:val="T-normal"/>
              <w:rPr>
                <w:rFonts w:eastAsia="Times New Roman"/>
              </w:rPr>
            </w:pPr>
            <w:r w:rsidRPr="001F151E">
              <w:t>Most Economically Advantageous Tender</w:t>
            </w:r>
          </w:p>
        </w:tc>
      </w:tr>
      <w:tr w:rsidR="00951641" w:rsidRPr="001F151E" w14:paraId="67E7B454" w14:textId="77777777" w:rsidTr="007F5689">
        <w:tc>
          <w:tcPr>
            <w:tcW w:w="994" w:type="dxa"/>
          </w:tcPr>
          <w:p w14:paraId="0D6CE45B" w14:textId="49C69CA4" w:rsidR="00951641" w:rsidRPr="001F151E" w:rsidRDefault="00A660B5" w:rsidP="009A77C3">
            <w:pPr>
              <w:pStyle w:val="T-normal"/>
              <w:rPr>
                <w:rStyle w:val="IntenseReference"/>
                <w:rFonts w:eastAsiaTheme="majorEastAsia" w:cstheme="majorBidi"/>
                <w:i w:val="0"/>
                <w:sz w:val="26"/>
                <w:szCs w:val="26"/>
              </w:rPr>
            </w:pPr>
            <w:r>
              <w:t>MoF</w:t>
            </w:r>
          </w:p>
        </w:tc>
        <w:tc>
          <w:tcPr>
            <w:tcW w:w="8469" w:type="dxa"/>
          </w:tcPr>
          <w:p w14:paraId="25812EA8" w14:textId="77777777" w:rsidR="00951641" w:rsidRPr="001F151E" w:rsidRDefault="00951641" w:rsidP="009A77C3">
            <w:pPr>
              <w:pStyle w:val="T-normal"/>
              <w:rPr>
                <w:rStyle w:val="IntenseReference"/>
                <w:rFonts w:eastAsiaTheme="majorEastAsia" w:cstheme="majorBidi"/>
                <w:i w:val="0"/>
                <w:sz w:val="26"/>
                <w:szCs w:val="26"/>
              </w:rPr>
            </w:pPr>
            <w:r w:rsidRPr="001F151E">
              <w:t>Ministry of Finance and Economy</w:t>
            </w:r>
          </w:p>
        </w:tc>
      </w:tr>
      <w:tr w:rsidR="00951641" w:rsidRPr="001F151E" w14:paraId="11136CD8" w14:textId="77777777" w:rsidTr="007F5689">
        <w:tc>
          <w:tcPr>
            <w:tcW w:w="994" w:type="dxa"/>
          </w:tcPr>
          <w:p w14:paraId="3EFDD76D" w14:textId="77777777" w:rsidR="00951641" w:rsidRPr="001F151E" w:rsidRDefault="00951641" w:rsidP="009A77C3">
            <w:pPr>
              <w:pStyle w:val="T-normal"/>
              <w:rPr>
                <w:rFonts w:eastAsia="Times New Roman"/>
              </w:rPr>
            </w:pPr>
            <w:r w:rsidRPr="001F151E">
              <w:rPr>
                <w:rFonts w:eastAsia="Times New Roman"/>
              </w:rPr>
              <w:t>MTBP</w:t>
            </w:r>
          </w:p>
        </w:tc>
        <w:tc>
          <w:tcPr>
            <w:tcW w:w="8469" w:type="dxa"/>
            <w:vAlign w:val="center"/>
          </w:tcPr>
          <w:p w14:paraId="2B3E536E" w14:textId="77777777" w:rsidR="00951641" w:rsidRPr="001F151E" w:rsidRDefault="00951641" w:rsidP="009A77C3">
            <w:pPr>
              <w:pStyle w:val="T-normal"/>
              <w:rPr>
                <w:rFonts w:eastAsia="Times New Roman"/>
              </w:rPr>
            </w:pPr>
            <w:r w:rsidRPr="001F151E">
              <w:rPr>
                <w:rFonts w:eastAsia="Times New Roman"/>
              </w:rPr>
              <w:t>Medium Term Budget Programme</w:t>
            </w:r>
          </w:p>
        </w:tc>
      </w:tr>
      <w:tr w:rsidR="00951641" w:rsidRPr="001F151E" w14:paraId="1F87186B" w14:textId="77777777" w:rsidTr="007F5689">
        <w:tc>
          <w:tcPr>
            <w:tcW w:w="994" w:type="dxa"/>
          </w:tcPr>
          <w:p w14:paraId="314351B1" w14:textId="77777777" w:rsidR="00951641" w:rsidRPr="001F151E" w:rsidRDefault="00951641" w:rsidP="009A77C3">
            <w:pPr>
              <w:pStyle w:val="T-normal"/>
              <w:rPr>
                <w:rFonts w:eastAsia="Times New Roman"/>
              </w:rPr>
            </w:pPr>
            <w:r w:rsidRPr="001F151E">
              <w:t>MTDMS</w:t>
            </w:r>
          </w:p>
        </w:tc>
        <w:tc>
          <w:tcPr>
            <w:tcW w:w="8469" w:type="dxa"/>
            <w:vAlign w:val="center"/>
          </w:tcPr>
          <w:p w14:paraId="7EA1C81E" w14:textId="77777777" w:rsidR="00951641" w:rsidRPr="001F151E" w:rsidRDefault="00951641" w:rsidP="009A77C3">
            <w:pPr>
              <w:pStyle w:val="T-normal"/>
              <w:rPr>
                <w:rFonts w:eastAsia="Times New Roman"/>
              </w:rPr>
            </w:pPr>
            <w:r w:rsidRPr="001F151E">
              <w:t>Medium Term Debt Management Strategy</w:t>
            </w:r>
          </w:p>
        </w:tc>
      </w:tr>
      <w:tr w:rsidR="00951641" w:rsidRPr="001F151E" w14:paraId="64A45141" w14:textId="77777777" w:rsidTr="007F5689">
        <w:tc>
          <w:tcPr>
            <w:tcW w:w="994" w:type="dxa"/>
          </w:tcPr>
          <w:p w14:paraId="1CC07B8B" w14:textId="77777777" w:rsidR="00951641" w:rsidRPr="001F151E" w:rsidRDefault="00951641" w:rsidP="009A77C3">
            <w:pPr>
              <w:pStyle w:val="T-normal"/>
              <w:rPr>
                <w:rFonts w:eastAsia="Times New Roman"/>
              </w:rPr>
            </w:pPr>
            <w:r w:rsidRPr="001F151E">
              <w:rPr>
                <w:rFonts w:eastAsia="Times New Roman"/>
              </w:rPr>
              <w:t>MTRS</w:t>
            </w:r>
          </w:p>
        </w:tc>
        <w:tc>
          <w:tcPr>
            <w:tcW w:w="8469" w:type="dxa"/>
            <w:vAlign w:val="center"/>
          </w:tcPr>
          <w:p w14:paraId="1F503F97" w14:textId="77777777" w:rsidR="00951641" w:rsidRPr="001F151E" w:rsidRDefault="00951641" w:rsidP="009A77C3">
            <w:pPr>
              <w:pStyle w:val="T-normal"/>
              <w:rPr>
                <w:rFonts w:eastAsia="Times New Roman"/>
              </w:rPr>
            </w:pPr>
            <w:r w:rsidRPr="001F151E">
              <w:t>Medium Term Revenue Strategy</w:t>
            </w:r>
          </w:p>
        </w:tc>
      </w:tr>
      <w:tr w:rsidR="00951641" w:rsidRPr="001F151E" w14:paraId="24D01E6B" w14:textId="77777777" w:rsidTr="007F5689">
        <w:tc>
          <w:tcPr>
            <w:tcW w:w="994" w:type="dxa"/>
          </w:tcPr>
          <w:p w14:paraId="0ECE1CCF" w14:textId="77777777" w:rsidR="00951641" w:rsidRPr="001F151E" w:rsidRDefault="00951641" w:rsidP="009A77C3">
            <w:pPr>
              <w:pStyle w:val="T-normal"/>
            </w:pPr>
            <w:r w:rsidRPr="001F151E">
              <w:t>NAIS</w:t>
            </w:r>
          </w:p>
        </w:tc>
        <w:tc>
          <w:tcPr>
            <w:tcW w:w="8469" w:type="dxa"/>
            <w:vAlign w:val="center"/>
          </w:tcPr>
          <w:p w14:paraId="1433DDC9" w14:textId="77777777" w:rsidR="00951641" w:rsidRPr="001F151E" w:rsidRDefault="00951641" w:rsidP="009A77C3">
            <w:pPr>
              <w:pStyle w:val="T-normal"/>
            </w:pPr>
            <w:r w:rsidRPr="001F151E">
              <w:rPr>
                <w:rFonts w:eastAsia="Times New Roman"/>
              </w:rPr>
              <w:t>National Agency for Information Systems (under PMO, also referred to as AKSHI)</w:t>
            </w:r>
          </w:p>
        </w:tc>
      </w:tr>
      <w:tr w:rsidR="00951641" w:rsidRPr="001F151E" w14:paraId="420634FD" w14:textId="77777777" w:rsidTr="007F5689">
        <w:tc>
          <w:tcPr>
            <w:tcW w:w="994" w:type="dxa"/>
          </w:tcPr>
          <w:p w14:paraId="5F2BC3C3" w14:textId="77777777" w:rsidR="00951641" w:rsidRPr="001F151E" w:rsidRDefault="00951641" w:rsidP="009A77C3">
            <w:pPr>
              <w:pStyle w:val="T-normal"/>
            </w:pPr>
            <w:r w:rsidRPr="001F151E">
              <w:t>NAO</w:t>
            </w:r>
          </w:p>
        </w:tc>
        <w:tc>
          <w:tcPr>
            <w:tcW w:w="8469" w:type="dxa"/>
            <w:vAlign w:val="center"/>
          </w:tcPr>
          <w:p w14:paraId="2D020853" w14:textId="799DF3EB" w:rsidR="00951641" w:rsidRPr="001F151E" w:rsidRDefault="00951641" w:rsidP="009A77C3">
            <w:pPr>
              <w:pStyle w:val="T-normal"/>
            </w:pPr>
            <w:r w:rsidRPr="001F151E">
              <w:t xml:space="preserve">National Authorising Officer </w:t>
            </w:r>
            <w:r w:rsidRPr="001F151E">
              <w:rPr>
                <w:rFonts w:eastAsia="Times New Roman"/>
              </w:rPr>
              <w:t xml:space="preserve">(under </w:t>
            </w:r>
            <w:r w:rsidR="00A660B5">
              <w:rPr>
                <w:rFonts w:eastAsia="Times New Roman"/>
              </w:rPr>
              <w:t>MoF</w:t>
            </w:r>
            <w:r w:rsidRPr="001F151E">
              <w:rPr>
                <w:rFonts w:eastAsia="Times New Roman"/>
              </w:rPr>
              <w:t>)</w:t>
            </w:r>
          </w:p>
        </w:tc>
      </w:tr>
      <w:tr w:rsidR="00951641" w:rsidRPr="001F151E" w14:paraId="17A12DAD" w14:textId="77777777" w:rsidTr="007F5689">
        <w:tc>
          <w:tcPr>
            <w:tcW w:w="994" w:type="dxa"/>
          </w:tcPr>
          <w:p w14:paraId="032BA9C7" w14:textId="77777777" w:rsidR="00951641" w:rsidRPr="001F151E" w:rsidRDefault="00951641" w:rsidP="009A77C3">
            <w:pPr>
              <w:pStyle w:val="T-normal"/>
              <w:rPr>
                <w:rFonts w:eastAsia="Times New Roman"/>
              </w:rPr>
            </w:pPr>
            <w:r w:rsidRPr="001F151E">
              <w:t>NCTS</w:t>
            </w:r>
          </w:p>
        </w:tc>
        <w:tc>
          <w:tcPr>
            <w:tcW w:w="8469" w:type="dxa"/>
            <w:vAlign w:val="center"/>
          </w:tcPr>
          <w:p w14:paraId="3D1CDEEE" w14:textId="77777777" w:rsidR="00951641" w:rsidRPr="001F151E" w:rsidRDefault="00951641" w:rsidP="009A77C3">
            <w:pPr>
              <w:pStyle w:val="T-normal"/>
            </w:pPr>
            <w:r w:rsidRPr="001F151E">
              <w:t>New Computerised Transit System</w:t>
            </w:r>
          </w:p>
        </w:tc>
      </w:tr>
      <w:tr w:rsidR="00951641" w:rsidRPr="001F151E" w14:paraId="01B14CAB" w14:textId="77777777" w:rsidTr="007F5689">
        <w:tc>
          <w:tcPr>
            <w:tcW w:w="994" w:type="dxa"/>
          </w:tcPr>
          <w:p w14:paraId="1D620ED5" w14:textId="77777777" w:rsidR="00951641" w:rsidRPr="001F151E" w:rsidRDefault="00951641" w:rsidP="009A77C3">
            <w:pPr>
              <w:pStyle w:val="T-normal"/>
              <w:rPr>
                <w:rFonts w:eastAsia="Times New Roman"/>
              </w:rPr>
            </w:pPr>
            <w:r w:rsidRPr="001F151E">
              <w:t>NPEI</w:t>
            </w:r>
          </w:p>
        </w:tc>
        <w:tc>
          <w:tcPr>
            <w:tcW w:w="8469" w:type="dxa"/>
            <w:vAlign w:val="center"/>
          </w:tcPr>
          <w:p w14:paraId="55DFB1B5" w14:textId="77777777" w:rsidR="00951641" w:rsidRPr="001F151E" w:rsidRDefault="00951641" w:rsidP="009A77C3">
            <w:pPr>
              <w:pStyle w:val="T-normal"/>
              <w:rPr>
                <w:rFonts w:eastAsia="Times New Roman"/>
              </w:rPr>
            </w:pPr>
            <w:r w:rsidRPr="001F151E">
              <w:t>National Plan for European Integration</w:t>
            </w:r>
          </w:p>
        </w:tc>
      </w:tr>
      <w:tr w:rsidR="00951641" w:rsidRPr="001F151E" w14:paraId="3837D3FD" w14:textId="77777777" w:rsidTr="007F5689">
        <w:tc>
          <w:tcPr>
            <w:tcW w:w="994" w:type="dxa"/>
          </w:tcPr>
          <w:p w14:paraId="09D6DC6B" w14:textId="77777777" w:rsidR="00951641" w:rsidRPr="001F151E" w:rsidRDefault="00951641" w:rsidP="009A77C3">
            <w:pPr>
              <w:pStyle w:val="T-normal"/>
              <w:rPr>
                <w:rFonts w:eastAsia="Times New Roman"/>
              </w:rPr>
            </w:pPr>
            <w:r w:rsidRPr="001F151E">
              <w:t>NSDEI</w:t>
            </w:r>
          </w:p>
        </w:tc>
        <w:tc>
          <w:tcPr>
            <w:tcW w:w="8469" w:type="dxa"/>
            <w:vAlign w:val="center"/>
          </w:tcPr>
          <w:p w14:paraId="12D2B35E" w14:textId="77777777" w:rsidR="00951641" w:rsidRPr="001F151E" w:rsidRDefault="00951641" w:rsidP="009A77C3">
            <w:pPr>
              <w:pStyle w:val="T-normal"/>
              <w:rPr>
                <w:rFonts w:eastAsia="Times New Roman"/>
              </w:rPr>
            </w:pPr>
            <w:r w:rsidRPr="001F151E">
              <w:t>National Strategy for Development and European Integration</w:t>
            </w:r>
          </w:p>
        </w:tc>
      </w:tr>
      <w:tr w:rsidR="00951641" w:rsidRPr="001F151E" w14:paraId="4FE93B20" w14:textId="77777777" w:rsidTr="007F5689">
        <w:tc>
          <w:tcPr>
            <w:tcW w:w="994" w:type="dxa"/>
          </w:tcPr>
          <w:p w14:paraId="50CC5A01" w14:textId="77777777" w:rsidR="00951641" w:rsidRPr="001F151E" w:rsidRDefault="00951641" w:rsidP="009A77C3">
            <w:pPr>
              <w:pStyle w:val="T-normal"/>
              <w:rPr>
                <w:rFonts w:eastAsia="Times New Roman"/>
              </w:rPr>
            </w:pPr>
            <w:r w:rsidRPr="001F151E">
              <w:t>NSPP</w:t>
            </w:r>
          </w:p>
        </w:tc>
        <w:tc>
          <w:tcPr>
            <w:tcW w:w="8469" w:type="dxa"/>
            <w:vAlign w:val="center"/>
          </w:tcPr>
          <w:p w14:paraId="4AA5A64A" w14:textId="77777777" w:rsidR="00951641" w:rsidRPr="001F151E" w:rsidRDefault="00951641" w:rsidP="009A77C3">
            <w:pPr>
              <w:pStyle w:val="T-normal"/>
              <w:rPr>
                <w:rFonts w:eastAsia="Times New Roman"/>
              </w:rPr>
            </w:pPr>
            <w:r w:rsidRPr="001F151E">
              <w:t>National Strategy for Public Procurement</w:t>
            </w:r>
          </w:p>
        </w:tc>
      </w:tr>
      <w:tr w:rsidR="00951641" w:rsidRPr="001F151E" w14:paraId="5EE7F37B" w14:textId="77777777" w:rsidTr="007F5689">
        <w:tc>
          <w:tcPr>
            <w:tcW w:w="994" w:type="dxa"/>
          </w:tcPr>
          <w:p w14:paraId="418E1716" w14:textId="77777777" w:rsidR="00951641" w:rsidRPr="001F151E" w:rsidRDefault="00951641" w:rsidP="009A77C3">
            <w:pPr>
              <w:pStyle w:val="T-normal"/>
              <w:rPr>
                <w:rFonts w:eastAsia="Times New Roman"/>
              </w:rPr>
            </w:pPr>
            <w:r w:rsidRPr="001F151E">
              <w:rPr>
                <w:rFonts w:eastAsia="Times New Roman"/>
              </w:rPr>
              <w:t>NSW</w:t>
            </w:r>
          </w:p>
        </w:tc>
        <w:tc>
          <w:tcPr>
            <w:tcW w:w="8469" w:type="dxa"/>
            <w:vAlign w:val="center"/>
          </w:tcPr>
          <w:p w14:paraId="03188661" w14:textId="77777777" w:rsidR="00951641" w:rsidRPr="001F151E" w:rsidRDefault="00951641" w:rsidP="009A77C3">
            <w:pPr>
              <w:pStyle w:val="T-normal"/>
              <w:rPr>
                <w:rFonts w:eastAsia="Times New Roman"/>
              </w:rPr>
            </w:pPr>
            <w:r w:rsidRPr="001F151E">
              <w:rPr>
                <w:rFonts w:eastAsia="Times New Roman"/>
              </w:rPr>
              <w:t>National Single Window</w:t>
            </w:r>
          </w:p>
        </w:tc>
      </w:tr>
      <w:tr w:rsidR="00951641" w:rsidRPr="001F151E" w14:paraId="6E3BE931" w14:textId="77777777" w:rsidTr="007F5689">
        <w:tc>
          <w:tcPr>
            <w:tcW w:w="994" w:type="dxa"/>
          </w:tcPr>
          <w:p w14:paraId="03749107" w14:textId="77777777" w:rsidR="00951641" w:rsidRPr="001F151E" w:rsidRDefault="00951641" w:rsidP="009A77C3">
            <w:pPr>
              <w:pStyle w:val="T-normal"/>
              <w:rPr>
                <w:rFonts w:eastAsia="Times New Roman"/>
              </w:rPr>
            </w:pPr>
            <w:r w:rsidRPr="001F151E">
              <w:rPr>
                <w:rFonts w:eastAsia="Times New Roman"/>
              </w:rPr>
              <w:t>OBL</w:t>
            </w:r>
          </w:p>
        </w:tc>
        <w:tc>
          <w:tcPr>
            <w:tcW w:w="8469" w:type="dxa"/>
            <w:vAlign w:val="center"/>
          </w:tcPr>
          <w:p w14:paraId="29EC6DC5" w14:textId="77777777" w:rsidR="00951641" w:rsidRPr="001F151E" w:rsidRDefault="00951641" w:rsidP="009A77C3">
            <w:pPr>
              <w:pStyle w:val="T-normal"/>
              <w:rPr>
                <w:rFonts w:eastAsia="Times New Roman"/>
              </w:rPr>
            </w:pPr>
            <w:r w:rsidRPr="001F151E">
              <w:rPr>
                <w:rFonts w:eastAsia="Times New Roman"/>
              </w:rPr>
              <w:t>Organic Budget Law</w:t>
            </w:r>
          </w:p>
        </w:tc>
      </w:tr>
      <w:tr w:rsidR="00951641" w:rsidRPr="001F151E" w14:paraId="57A19C57" w14:textId="77777777" w:rsidTr="007F5689">
        <w:tc>
          <w:tcPr>
            <w:tcW w:w="994" w:type="dxa"/>
          </w:tcPr>
          <w:p w14:paraId="0B6DF9B6" w14:textId="77777777" w:rsidR="00951641" w:rsidRPr="001F151E" w:rsidRDefault="00951641" w:rsidP="009A77C3">
            <w:pPr>
              <w:pStyle w:val="T-normal"/>
              <w:rPr>
                <w:rFonts w:eastAsia="Times New Roman"/>
              </w:rPr>
            </w:pPr>
            <w:r w:rsidRPr="001F151E">
              <w:t>OSP</w:t>
            </w:r>
          </w:p>
        </w:tc>
        <w:tc>
          <w:tcPr>
            <w:tcW w:w="8469" w:type="dxa"/>
            <w:vAlign w:val="center"/>
          </w:tcPr>
          <w:p w14:paraId="151166CE" w14:textId="77777777" w:rsidR="00951641" w:rsidRPr="001F151E" w:rsidRDefault="00951641" w:rsidP="009A77C3">
            <w:pPr>
              <w:pStyle w:val="T-normal"/>
              <w:rPr>
                <w:rFonts w:eastAsia="Times New Roman"/>
              </w:rPr>
            </w:pPr>
            <w:r w:rsidRPr="001F151E">
              <w:t>Official Statistics Program</w:t>
            </w:r>
          </w:p>
        </w:tc>
      </w:tr>
      <w:tr w:rsidR="00951641" w:rsidRPr="001F151E" w14:paraId="04B7426C" w14:textId="77777777" w:rsidTr="007F5689">
        <w:tc>
          <w:tcPr>
            <w:tcW w:w="994" w:type="dxa"/>
          </w:tcPr>
          <w:p w14:paraId="6DF79596" w14:textId="77777777" w:rsidR="00951641" w:rsidRPr="001F151E" w:rsidRDefault="00951641" w:rsidP="009A77C3">
            <w:pPr>
              <w:pStyle w:val="T-normal"/>
              <w:rPr>
                <w:rFonts w:eastAsia="Times New Roman"/>
              </w:rPr>
            </w:pPr>
            <w:r w:rsidRPr="001F151E">
              <w:t>PAR</w:t>
            </w:r>
          </w:p>
        </w:tc>
        <w:tc>
          <w:tcPr>
            <w:tcW w:w="8469" w:type="dxa"/>
            <w:vAlign w:val="center"/>
          </w:tcPr>
          <w:p w14:paraId="4E328F7B" w14:textId="77777777" w:rsidR="00951641" w:rsidRPr="001F151E" w:rsidRDefault="00951641" w:rsidP="009A77C3">
            <w:pPr>
              <w:pStyle w:val="T-normal"/>
              <w:rPr>
                <w:rFonts w:eastAsia="Times New Roman"/>
              </w:rPr>
            </w:pPr>
            <w:r w:rsidRPr="001F151E">
              <w:t>Public Administration Reform</w:t>
            </w:r>
          </w:p>
        </w:tc>
      </w:tr>
      <w:tr w:rsidR="00951641" w:rsidRPr="001F151E" w14:paraId="1B20E7E0" w14:textId="77777777" w:rsidTr="007F5689">
        <w:tc>
          <w:tcPr>
            <w:tcW w:w="994" w:type="dxa"/>
          </w:tcPr>
          <w:p w14:paraId="057BC975" w14:textId="77777777" w:rsidR="00951641" w:rsidRPr="001F151E" w:rsidRDefault="00951641" w:rsidP="009A77C3">
            <w:pPr>
              <w:pStyle w:val="T-normal"/>
              <w:rPr>
                <w:rFonts w:eastAsia="Times New Roman"/>
              </w:rPr>
            </w:pPr>
            <w:r w:rsidRPr="001F151E">
              <w:rPr>
                <w:rFonts w:eastAsia="Times New Roman"/>
              </w:rPr>
              <w:t>PEFA</w:t>
            </w:r>
          </w:p>
        </w:tc>
        <w:tc>
          <w:tcPr>
            <w:tcW w:w="8469" w:type="dxa"/>
            <w:vAlign w:val="center"/>
          </w:tcPr>
          <w:p w14:paraId="78EC4506" w14:textId="77777777" w:rsidR="00951641" w:rsidRPr="001F151E" w:rsidRDefault="00951641" w:rsidP="009A77C3">
            <w:pPr>
              <w:pStyle w:val="T-normal"/>
              <w:rPr>
                <w:rFonts w:eastAsia="Times New Roman"/>
              </w:rPr>
            </w:pPr>
            <w:r w:rsidRPr="001F151E">
              <w:rPr>
                <w:rFonts w:eastAsia="Times New Roman"/>
              </w:rPr>
              <w:t>Public Expenditure and Financial Accountability (Assessment)</w:t>
            </w:r>
          </w:p>
        </w:tc>
      </w:tr>
      <w:tr w:rsidR="00951641" w:rsidRPr="001F151E" w14:paraId="7227C68A" w14:textId="77777777" w:rsidTr="007F5689">
        <w:tc>
          <w:tcPr>
            <w:tcW w:w="994" w:type="dxa"/>
          </w:tcPr>
          <w:p w14:paraId="586C370B" w14:textId="77777777" w:rsidR="00951641" w:rsidRPr="001F151E" w:rsidRDefault="00951641" w:rsidP="009A77C3">
            <w:pPr>
              <w:pStyle w:val="T-normal"/>
              <w:rPr>
                <w:rFonts w:eastAsia="Times New Roman"/>
              </w:rPr>
            </w:pPr>
            <w:r w:rsidRPr="001F151E">
              <w:rPr>
                <w:rFonts w:eastAsia="Times New Roman"/>
              </w:rPr>
              <w:t>PFM</w:t>
            </w:r>
          </w:p>
        </w:tc>
        <w:tc>
          <w:tcPr>
            <w:tcW w:w="8469" w:type="dxa"/>
            <w:vAlign w:val="center"/>
          </w:tcPr>
          <w:p w14:paraId="4A888374" w14:textId="77777777" w:rsidR="00951641" w:rsidRPr="001F151E" w:rsidRDefault="00951641" w:rsidP="009A77C3">
            <w:pPr>
              <w:pStyle w:val="T-normal"/>
              <w:rPr>
                <w:rFonts w:eastAsia="Times New Roman"/>
              </w:rPr>
            </w:pPr>
            <w:r w:rsidRPr="001F151E">
              <w:rPr>
                <w:rFonts w:eastAsia="Times New Roman"/>
              </w:rPr>
              <w:t>Public Finance Management</w:t>
            </w:r>
          </w:p>
        </w:tc>
      </w:tr>
      <w:tr w:rsidR="00951641" w:rsidRPr="001F151E" w14:paraId="332D70EB" w14:textId="77777777" w:rsidTr="007F5689">
        <w:tc>
          <w:tcPr>
            <w:tcW w:w="994" w:type="dxa"/>
          </w:tcPr>
          <w:p w14:paraId="7AF88E52" w14:textId="77777777" w:rsidR="00951641" w:rsidRPr="001F151E" w:rsidRDefault="00951641" w:rsidP="009A77C3">
            <w:pPr>
              <w:pStyle w:val="T-normal"/>
              <w:rPr>
                <w:rFonts w:eastAsia="Times New Roman"/>
              </w:rPr>
            </w:pPr>
            <w:r w:rsidRPr="001F151E">
              <w:rPr>
                <w:rFonts w:eastAsia="Times New Roman"/>
              </w:rPr>
              <w:lastRenderedPageBreak/>
              <w:t>PIM</w:t>
            </w:r>
          </w:p>
        </w:tc>
        <w:tc>
          <w:tcPr>
            <w:tcW w:w="8469" w:type="dxa"/>
            <w:vAlign w:val="center"/>
          </w:tcPr>
          <w:p w14:paraId="2C78D919" w14:textId="77777777" w:rsidR="00951641" w:rsidRPr="001F151E" w:rsidRDefault="00951641" w:rsidP="009A77C3">
            <w:pPr>
              <w:pStyle w:val="T-normal"/>
              <w:rPr>
                <w:rFonts w:eastAsia="Times New Roman"/>
              </w:rPr>
            </w:pPr>
            <w:r w:rsidRPr="001F151E">
              <w:rPr>
                <w:rFonts w:eastAsia="Times New Roman"/>
              </w:rPr>
              <w:t>Public Investment Management</w:t>
            </w:r>
          </w:p>
        </w:tc>
      </w:tr>
      <w:tr w:rsidR="00951641" w:rsidRPr="001F151E" w14:paraId="01614966" w14:textId="77777777" w:rsidTr="007F5689">
        <w:tc>
          <w:tcPr>
            <w:tcW w:w="994" w:type="dxa"/>
          </w:tcPr>
          <w:p w14:paraId="7151C33B" w14:textId="77777777" w:rsidR="00951641" w:rsidRPr="001F151E" w:rsidRDefault="00951641" w:rsidP="009A77C3">
            <w:pPr>
              <w:pStyle w:val="T-normal"/>
              <w:rPr>
                <w:rFonts w:eastAsia="Times New Roman"/>
              </w:rPr>
            </w:pPr>
            <w:r w:rsidRPr="001F151E">
              <w:rPr>
                <w:rFonts w:eastAsia="Times New Roman"/>
              </w:rPr>
              <w:t>PIMA</w:t>
            </w:r>
          </w:p>
        </w:tc>
        <w:tc>
          <w:tcPr>
            <w:tcW w:w="8469" w:type="dxa"/>
            <w:vAlign w:val="center"/>
          </w:tcPr>
          <w:p w14:paraId="68BBA2CC" w14:textId="77777777" w:rsidR="00951641" w:rsidRPr="001F151E" w:rsidRDefault="00951641" w:rsidP="009A77C3">
            <w:pPr>
              <w:pStyle w:val="T-normal"/>
              <w:rPr>
                <w:rFonts w:eastAsia="Times New Roman"/>
              </w:rPr>
            </w:pPr>
            <w:r w:rsidRPr="001F151E">
              <w:rPr>
                <w:rFonts w:eastAsia="Times New Roman"/>
              </w:rPr>
              <w:t>Public Investment Management Assessment</w:t>
            </w:r>
          </w:p>
        </w:tc>
      </w:tr>
      <w:tr w:rsidR="00951641" w:rsidRPr="001F151E" w14:paraId="7EB8E62C" w14:textId="77777777" w:rsidTr="007F5689">
        <w:tc>
          <w:tcPr>
            <w:tcW w:w="994" w:type="dxa"/>
          </w:tcPr>
          <w:p w14:paraId="0C498701" w14:textId="77777777" w:rsidR="00951641" w:rsidRPr="001F151E" w:rsidRDefault="00951641" w:rsidP="009A77C3">
            <w:pPr>
              <w:pStyle w:val="T-normal"/>
            </w:pPr>
            <w:r w:rsidRPr="001F151E">
              <w:t>PMO</w:t>
            </w:r>
          </w:p>
        </w:tc>
        <w:tc>
          <w:tcPr>
            <w:tcW w:w="8469" w:type="dxa"/>
            <w:vAlign w:val="center"/>
          </w:tcPr>
          <w:p w14:paraId="7BCCE6A3" w14:textId="77777777" w:rsidR="00951641" w:rsidRPr="001F151E" w:rsidRDefault="00951641" w:rsidP="009A77C3">
            <w:pPr>
              <w:pStyle w:val="T-normal"/>
            </w:pPr>
            <w:r w:rsidRPr="001F151E">
              <w:t>Prime Minister’s Office</w:t>
            </w:r>
          </w:p>
        </w:tc>
      </w:tr>
      <w:tr w:rsidR="00951641" w:rsidRPr="001F151E" w14:paraId="618A0005" w14:textId="77777777" w:rsidTr="007F5689">
        <w:tc>
          <w:tcPr>
            <w:tcW w:w="994" w:type="dxa"/>
          </w:tcPr>
          <w:p w14:paraId="16631E3F" w14:textId="77777777" w:rsidR="00951641" w:rsidRPr="001F151E" w:rsidRDefault="00951641" w:rsidP="009A77C3">
            <w:pPr>
              <w:pStyle w:val="T-normal"/>
            </w:pPr>
            <w:r w:rsidRPr="001F151E">
              <w:rPr>
                <w:rFonts w:eastAsia="Times New Roman"/>
              </w:rPr>
              <w:t>PPA</w:t>
            </w:r>
          </w:p>
        </w:tc>
        <w:tc>
          <w:tcPr>
            <w:tcW w:w="8469" w:type="dxa"/>
            <w:vAlign w:val="center"/>
          </w:tcPr>
          <w:p w14:paraId="738C1EE4" w14:textId="77777777" w:rsidR="00951641" w:rsidRPr="001F151E" w:rsidRDefault="00951641" w:rsidP="009A77C3">
            <w:pPr>
              <w:pStyle w:val="T-normal"/>
            </w:pPr>
            <w:r w:rsidRPr="001F151E">
              <w:rPr>
                <w:rFonts w:eastAsia="Times New Roman"/>
              </w:rPr>
              <w:t>Public Procurement Agency (independent institution)</w:t>
            </w:r>
          </w:p>
        </w:tc>
      </w:tr>
      <w:tr w:rsidR="00951641" w:rsidRPr="001F151E" w14:paraId="181AB2BB" w14:textId="77777777" w:rsidTr="007F5689">
        <w:tc>
          <w:tcPr>
            <w:tcW w:w="994" w:type="dxa"/>
          </w:tcPr>
          <w:p w14:paraId="062FAEF0" w14:textId="77777777" w:rsidR="00951641" w:rsidRPr="001F151E" w:rsidRDefault="00951641" w:rsidP="009A77C3">
            <w:pPr>
              <w:pStyle w:val="T-normal"/>
            </w:pPr>
            <w:r w:rsidRPr="001F151E">
              <w:rPr>
                <w:rFonts w:eastAsia="Times New Roman"/>
              </w:rPr>
              <w:t>PPC</w:t>
            </w:r>
          </w:p>
        </w:tc>
        <w:tc>
          <w:tcPr>
            <w:tcW w:w="8469" w:type="dxa"/>
            <w:vAlign w:val="center"/>
          </w:tcPr>
          <w:p w14:paraId="6E56EEF9" w14:textId="77777777" w:rsidR="00951641" w:rsidRPr="001F151E" w:rsidRDefault="00951641" w:rsidP="009A77C3">
            <w:pPr>
              <w:pStyle w:val="T-normal"/>
            </w:pPr>
            <w:r w:rsidRPr="001F151E">
              <w:rPr>
                <w:rFonts w:eastAsia="Times New Roman"/>
              </w:rPr>
              <w:t>Public Procurement Commission (independent institution)</w:t>
            </w:r>
          </w:p>
        </w:tc>
      </w:tr>
      <w:tr w:rsidR="00951641" w:rsidRPr="001F151E" w14:paraId="642D38DB" w14:textId="77777777" w:rsidTr="007F5689">
        <w:tc>
          <w:tcPr>
            <w:tcW w:w="994" w:type="dxa"/>
          </w:tcPr>
          <w:p w14:paraId="5347758B" w14:textId="77777777" w:rsidR="00951641" w:rsidRPr="001F151E" w:rsidRDefault="00951641" w:rsidP="009A77C3">
            <w:pPr>
              <w:pStyle w:val="T-normal"/>
              <w:rPr>
                <w:rFonts w:eastAsia="Times New Roman"/>
              </w:rPr>
            </w:pPr>
            <w:r w:rsidRPr="001F151E">
              <w:rPr>
                <w:rFonts w:eastAsia="Times New Roman"/>
              </w:rPr>
              <w:t>PPP</w:t>
            </w:r>
          </w:p>
        </w:tc>
        <w:tc>
          <w:tcPr>
            <w:tcW w:w="8469" w:type="dxa"/>
            <w:vAlign w:val="center"/>
          </w:tcPr>
          <w:p w14:paraId="77752584" w14:textId="77777777" w:rsidR="00951641" w:rsidRPr="001F151E" w:rsidRDefault="00951641" w:rsidP="009A77C3">
            <w:pPr>
              <w:pStyle w:val="T-normal"/>
              <w:rPr>
                <w:rFonts w:eastAsia="Times New Roman"/>
              </w:rPr>
            </w:pPr>
            <w:r w:rsidRPr="001F151E">
              <w:rPr>
                <w:rFonts w:eastAsia="Times New Roman"/>
              </w:rPr>
              <w:t>Public Private Partnership</w:t>
            </w:r>
          </w:p>
        </w:tc>
      </w:tr>
      <w:tr w:rsidR="00951641" w:rsidRPr="001F151E" w14:paraId="7CC3C275" w14:textId="77777777" w:rsidTr="007F5689">
        <w:tc>
          <w:tcPr>
            <w:tcW w:w="994" w:type="dxa"/>
          </w:tcPr>
          <w:p w14:paraId="35EB05CC" w14:textId="77777777" w:rsidR="00951641" w:rsidRPr="001F151E" w:rsidRDefault="00951641" w:rsidP="009A77C3">
            <w:pPr>
              <w:pStyle w:val="T-normal"/>
              <w:rPr>
                <w:rFonts w:eastAsia="Times New Roman"/>
              </w:rPr>
            </w:pPr>
            <w:r w:rsidRPr="001F151E">
              <w:rPr>
                <w:rFonts w:eastAsia="Times New Roman"/>
              </w:rPr>
              <w:t>SAI</w:t>
            </w:r>
          </w:p>
        </w:tc>
        <w:tc>
          <w:tcPr>
            <w:tcW w:w="8469" w:type="dxa"/>
            <w:vAlign w:val="center"/>
          </w:tcPr>
          <w:p w14:paraId="144A2D97" w14:textId="77777777" w:rsidR="00951641" w:rsidRPr="001F151E" w:rsidRDefault="00951641" w:rsidP="009A77C3">
            <w:pPr>
              <w:pStyle w:val="T-normal"/>
              <w:rPr>
                <w:rFonts w:eastAsia="Times New Roman"/>
              </w:rPr>
            </w:pPr>
            <w:r w:rsidRPr="001F151E">
              <w:rPr>
                <w:rFonts w:eastAsia="Times New Roman"/>
              </w:rPr>
              <w:t>Supreme Audit Institution</w:t>
            </w:r>
          </w:p>
        </w:tc>
      </w:tr>
      <w:tr w:rsidR="00951641" w:rsidRPr="001F151E" w14:paraId="20895F85" w14:textId="77777777" w:rsidTr="007F5689">
        <w:tc>
          <w:tcPr>
            <w:tcW w:w="994" w:type="dxa"/>
          </w:tcPr>
          <w:p w14:paraId="7D080314" w14:textId="77777777" w:rsidR="00951641" w:rsidRPr="001F151E" w:rsidRDefault="00951641" w:rsidP="009A77C3">
            <w:pPr>
              <w:pStyle w:val="T-normal"/>
            </w:pPr>
            <w:r w:rsidRPr="001F151E">
              <w:t>SASPAC</w:t>
            </w:r>
          </w:p>
        </w:tc>
        <w:tc>
          <w:tcPr>
            <w:tcW w:w="8469" w:type="dxa"/>
            <w:vAlign w:val="center"/>
          </w:tcPr>
          <w:p w14:paraId="376B0AC8" w14:textId="77777777" w:rsidR="00951641" w:rsidRPr="001F151E" w:rsidRDefault="00951641" w:rsidP="009A77C3">
            <w:pPr>
              <w:pStyle w:val="T-normal"/>
            </w:pPr>
            <w:r w:rsidRPr="001F151E">
              <w:rPr>
                <w:rFonts w:eastAsia="Times New Roman"/>
              </w:rPr>
              <w:t>State Agency for Strategic Programming and Aid Coordination (under PMO)</w:t>
            </w:r>
          </w:p>
        </w:tc>
      </w:tr>
      <w:tr w:rsidR="00951641" w:rsidRPr="001F151E" w14:paraId="3915014F" w14:textId="77777777" w:rsidTr="007F5689">
        <w:tc>
          <w:tcPr>
            <w:tcW w:w="994" w:type="dxa"/>
          </w:tcPr>
          <w:p w14:paraId="51222205" w14:textId="77777777" w:rsidR="00951641" w:rsidRPr="001F151E" w:rsidRDefault="00951641" w:rsidP="009A77C3">
            <w:pPr>
              <w:pStyle w:val="T-normal"/>
              <w:rPr>
                <w:rFonts w:eastAsia="Times New Roman"/>
              </w:rPr>
            </w:pPr>
            <w:r w:rsidRPr="001F151E">
              <w:rPr>
                <w:rFonts w:eastAsia="Times New Roman"/>
              </w:rPr>
              <w:t>SDG</w:t>
            </w:r>
          </w:p>
        </w:tc>
        <w:tc>
          <w:tcPr>
            <w:tcW w:w="8469" w:type="dxa"/>
            <w:vAlign w:val="center"/>
          </w:tcPr>
          <w:p w14:paraId="257FF634" w14:textId="77777777" w:rsidR="00951641" w:rsidRPr="001F151E" w:rsidRDefault="00951641" w:rsidP="009A77C3">
            <w:pPr>
              <w:pStyle w:val="T-normal"/>
              <w:rPr>
                <w:rFonts w:eastAsia="Times New Roman"/>
              </w:rPr>
            </w:pPr>
            <w:r w:rsidRPr="001F151E">
              <w:rPr>
                <w:rFonts w:eastAsia="Times New Roman"/>
              </w:rPr>
              <w:t>Sustainable Development Goals</w:t>
            </w:r>
          </w:p>
        </w:tc>
      </w:tr>
      <w:tr w:rsidR="00951641" w:rsidRPr="001F151E" w14:paraId="232F6D8D" w14:textId="77777777" w:rsidTr="007F5689">
        <w:tc>
          <w:tcPr>
            <w:tcW w:w="994" w:type="dxa"/>
          </w:tcPr>
          <w:p w14:paraId="75DFF40F" w14:textId="77777777" w:rsidR="00951641" w:rsidRPr="001F151E" w:rsidRDefault="00951641" w:rsidP="009A77C3">
            <w:pPr>
              <w:pStyle w:val="T-normal"/>
              <w:rPr>
                <w:rFonts w:eastAsia="Times New Roman"/>
              </w:rPr>
            </w:pPr>
            <w:r w:rsidRPr="001F151E">
              <w:rPr>
                <w:rFonts w:eastAsia="Times New Roman"/>
              </w:rPr>
              <w:t>SECO</w:t>
            </w:r>
          </w:p>
        </w:tc>
        <w:tc>
          <w:tcPr>
            <w:tcW w:w="8469" w:type="dxa"/>
            <w:vAlign w:val="center"/>
          </w:tcPr>
          <w:p w14:paraId="2BA2E4C7" w14:textId="77777777" w:rsidR="00951641" w:rsidRPr="001F151E" w:rsidRDefault="00951641" w:rsidP="009A77C3">
            <w:pPr>
              <w:pStyle w:val="T-normal"/>
              <w:rPr>
                <w:rFonts w:eastAsia="Times New Roman"/>
              </w:rPr>
            </w:pPr>
            <w:r w:rsidRPr="001F151E">
              <w:rPr>
                <w:rFonts w:eastAsia="Times New Roman"/>
              </w:rPr>
              <w:t>State Secretariat for Economic Affairs (Switzerland)</w:t>
            </w:r>
          </w:p>
        </w:tc>
      </w:tr>
      <w:tr w:rsidR="00951641" w:rsidRPr="001F151E" w14:paraId="244D9A0E" w14:textId="77777777" w:rsidTr="007F5689">
        <w:tc>
          <w:tcPr>
            <w:tcW w:w="994" w:type="dxa"/>
          </w:tcPr>
          <w:p w14:paraId="6D8A8A18" w14:textId="77777777" w:rsidR="00951641" w:rsidRPr="001F151E" w:rsidRDefault="00951641" w:rsidP="009A77C3">
            <w:pPr>
              <w:pStyle w:val="T-normal"/>
              <w:rPr>
                <w:rFonts w:eastAsia="Times New Roman"/>
              </w:rPr>
            </w:pPr>
            <w:r w:rsidRPr="001F151E">
              <w:rPr>
                <w:rFonts w:eastAsia="Times New Roman"/>
              </w:rPr>
              <w:t>SIGMA</w:t>
            </w:r>
          </w:p>
        </w:tc>
        <w:tc>
          <w:tcPr>
            <w:tcW w:w="8469" w:type="dxa"/>
            <w:vAlign w:val="center"/>
          </w:tcPr>
          <w:p w14:paraId="76E0ACAF" w14:textId="77777777" w:rsidR="00951641" w:rsidRPr="001F151E" w:rsidRDefault="00951641" w:rsidP="009A77C3">
            <w:pPr>
              <w:pStyle w:val="T-normal"/>
              <w:rPr>
                <w:rFonts w:eastAsia="Times New Roman"/>
              </w:rPr>
            </w:pPr>
            <w:r w:rsidRPr="001F151E">
              <w:rPr>
                <w:rFonts w:eastAsia="Times New Roman"/>
              </w:rPr>
              <w:t>Support for Improvement in Governance and Management (OECD - EU)</w:t>
            </w:r>
          </w:p>
        </w:tc>
      </w:tr>
      <w:tr w:rsidR="00951641" w:rsidRPr="001F151E" w14:paraId="12B4BF5B" w14:textId="77777777" w:rsidTr="007F5689">
        <w:tc>
          <w:tcPr>
            <w:tcW w:w="994" w:type="dxa"/>
          </w:tcPr>
          <w:p w14:paraId="501BD4E4" w14:textId="77777777" w:rsidR="00951641" w:rsidRPr="001F151E" w:rsidRDefault="00951641" w:rsidP="009A77C3">
            <w:pPr>
              <w:pStyle w:val="T-normal"/>
              <w:rPr>
                <w:rFonts w:eastAsia="Times New Roman"/>
              </w:rPr>
            </w:pPr>
            <w:r w:rsidRPr="001F151E">
              <w:rPr>
                <w:rFonts w:eastAsia="Times New Roman"/>
              </w:rPr>
              <w:t>SOE</w:t>
            </w:r>
          </w:p>
        </w:tc>
        <w:tc>
          <w:tcPr>
            <w:tcW w:w="8469" w:type="dxa"/>
            <w:vAlign w:val="center"/>
          </w:tcPr>
          <w:p w14:paraId="56C30572" w14:textId="77777777" w:rsidR="00951641" w:rsidRPr="001F151E" w:rsidRDefault="00951641" w:rsidP="009A77C3">
            <w:pPr>
              <w:pStyle w:val="T-normal"/>
              <w:rPr>
                <w:rFonts w:eastAsia="Times New Roman"/>
              </w:rPr>
            </w:pPr>
            <w:r w:rsidRPr="001F151E">
              <w:rPr>
                <w:rFonts w:eastAsia="Times New Roman"/>
              </w:rPr>
              <w:t>State Owned Enterprise</w:t>
            </w:r>
          </w:p>
        </w:tc>
      </w:tr>
      <w:tr w:rsidR="003F0C46" w:rsidRPr="001F151E" w14:paraId="0E99A3FB" w14:textId="77777777" w:rsidTr="007F5689">
        <w:tc>
          <w:tcPr>
            <w:tcW w:w="994" w:type="dxa"/>
          </w:tcPr>
          <w:p w14:paraId="14ED4898" w14:textId="37347A79" w:rsidR="003F0C46" w:rsidRPr="001F151E" w:rsidRDefault="003F0C46" w:rsidP="009A77C3">
            <w:pPr>
              <w:pStyle w:val="T-normal"/>
              <w:rPr>
                <w:rFonts w:eastAsia="Times New Roman"/>
              </w:rPr>
            </w:pPr>
            <w:r>
              <w:rPr>
                <w:rFonts w:eastAsia="Times New Roman"/>
              </w:rPr>
              <w:t>SPC</w:t>
            </w:r>
          </w:p>
        </w:tc>
        <w:tc>
          <w:tcPr>
            <w:tcW w:w="8469" w:type="dxa"/>
            <w:vAlign w:val="center"/>
          </w:tcPr>
          <w:p w14:paraId="6E069BF3" w14:textId="4A02CCC4" w:rsidR="003F0C46" w:rsidRPr="001F151E" w:rsidRDefault="003F0C46" w:rsidP="009A77C3">
            <w:pPr>
              <w:pStyle w:val="T-normal"/>
              <w:rPr>
                <w:rFonts w:eastAsia="Times New Roman"/>
              </w:rPr>
            </w:pPr>
            <w:r>
              <w:rPr>
                <w:rFonts w:eastAsia="Times New Roman"/>
              </w:rPr>
              <w:t xml:space="preserve">Strategic Planning Committee </w:t>
            </w:r>
          </w:p>
        </w:tc>
      </w:tr>
      <w:tr w:rsidR="00951641" w:rsidRPr="001F151E" w14:paraId="43E70270" w14:textId="77777777" w:rsidTr="007F5689">
        <w:tc>
          <w:tcPr>
            <w:tcW w:w="994" w:type="dxa"/>
          </w:tcPr>
          <w:p w14:paraId="3B1DD0D6" w14:textId="77777777" w:rsidR="00951641" w:rsidRPr="001F151E" w:rsidRDefault="00951641" w:rsidP="009A77C3">
            <w:pPr>
              <w:pStyle w:val="T-normal"/>
              <w:rPr>
                <w:rFonts w:eastAsia="Times New Roman"/>
              </w:rPr>
            </w:pPr>
            <w:r w:rsidRPr="001F151E">
              <w:rPr>
                <w:rFonts w:eastAsia="Times New Roman"/>
              </w:rPr>
              <w:t>SPP</w:t>
            </w:r>
          </w:p>
        </w:tc>
        <w:tc>
          <w:tcPr>
            <w:tcW w:w="8469" w:type="dxa"/>
            <w:vAlign w:val="center"/>
          </w:tcPr>
          <w:p w14:paraId="01E1863A" w14:textId="77777777" w:rsidR="00951641" w:rsidRPr="001F151E" w:rsidRDefault="00951641" w:rsidP="009A77C3">
            <w:pPr>
              <w:pStyle w:val="T-normal"/>
              <w:rPr>
                <w:rFonts w:eastAsia="Times New Roman"/>
              </w:rPr>
            </w:pPr>
            <w:r w:rsidRPr="001F151E">
              <w:rPr>
                <w:rFonts w:eastAsia="Times New Roman"/>
              </w:rPr>
              <w:t>Single Project Pipeline</w:t>
            </w:r>
          </w:p>
        </w:tc>
      </w:tr>
      <w:tr w:rsidR="00951641" w:rsidRPr="001F151E" w14:paraId="47ED1509" w14:textId="77777777" w:rsidTr="007F5689">
        <w:tc>
          <w:tcPr>
            <w:tcW w:w="994" w:type="dxa"/>
          </w:tcPr>
          <w:p w14:paraId="10555258" w14:textId="77777777" w:rsidR="00951641" w:rsidRPr="001F151E" w:rsidRDefault="00951641" w:rsidP="009A77C3">
            <w:pPr>
              <w:pStyle w:val="T-normal"/>
              <w:rPr>
                <w:rFonts w:eastAsia="Times New Roman"/>
              </w:rPr>
            </w:pPr>
            <w:r w:rsidRPr="001F151E">
              <w:rPr>
                <w:rFonts w:eastAsia="Times New Roman"/>
              </w:rPr>
              <w:t>TNA</w:t>
            </w:r>
          </w:p>
        </w:tc>
        <w:tc>
          <w:tcPr>
            <w:tcW w:w="8469" w:type="dxa"/>
            <w:vAlign w:val="center"/>
          </w:tcPr>
          <w:p w14:paraId="3444A14F" w14:textId="77777777" w:rsidR="00951641" w:rsidRPr="001F151E" w:rsidRDefault="00951641" w:rsidP="009A77C3">
            <w:pPr>
              <w:pStyle w:val="T-normal"/>
              <w:rPr>
                <w:rFonts w:eastAsia="Times New Roman"/>
              </w:rPr>
            </w:pPr>
            <w:r w:rsidRPr="001F151E">
              <w:rPr>
                <w:rFonts w:eastAsia="Times New Roman"/>
              </w:rPr>
              <w:t>Training Needs Assessment</w:t>
            </w:r>
          </w:p>
        </w:tc>
      </w:tr>
      <w:tr w:rsidR="00951641" w:rsidRPr="001F151E" w14:paraId="53A67D24" w14:textId="77777777" w:rsidTr="007F5689">
        <w:tc>
          <w:tcPr>
            <w:tcW w:w="994" w:type="dxa"/>
          </w:tcPr>
          <w:p w14:paraId="6D4CE317" w14:textId="77777777" w:rsidR="00951641" w:rsidRPr="001F151E" w:rsidRDefault="00951641" w:rsidP="009A77C3">
            <w:pPr>
              <w:pStyle w:val="T-normal"/>
              <w:rPr>
                <w:rFonts w:eastAsia="Times New Roman"/>
              </w:rPr>
            </w:pPr>
            <w:r w:rsidRPr="001F151E">
              <w:rPr>
                <w:rFonts w:eastAsia="Times New Roman"/>
              </w:rPr>
              <w:t>UN</w:t>
            </w:r>
          </w:p>
        </w:tc>
        <w:tc>
          <w:tcPr>
            <w:tcW w:w="8469" w:type="dxa"/>
            <w:vAlign w:val="center"/>
          </w:tcPr>
          <w:p w14:paraId="39B0EDFB" w14:textId="77777777" w:rsidR="00951641" w:rsidRPr="001F151E" w:rsidRDefault="00951641" w:rsidP="009A77C3">
            <w:pPr>
              <w:pStyle w:val="T-normal"/>
              <w:rPr>
                <w:rFonts w:eastAsia="Times New Roman"/>
              </w:rPr>
            </w:pPr>
            <w:r w:rsidRPr="001F151E">
              <w:rPr>
                <w:rFonts w:eastAsia="Times New Roman"/>
              </w:rPr>
              <w:t>United Nations</w:t>
            </w:r>
          </w:p>
        </w:tc>
      </w:tr>
      <w:tr w:rsidR="00951641" w:rsidRPr="001F151E" w14:paraId="56C5C89E" w14:textId="77777777" w:rsidTr="007F5689">
        <w:tc>
          <w:tcPr>
            <w:tcW w:w="994" w:type="dxa"/>
          </w:tcPr>
          <w:p w14:paraId="351BA871" w14:textId="77777777" w:rsidR="00951641" w:rsidRPr="001F151E" w:rsidRDefault="00951641" w:rsidP="009A77C3">
            <w:pPr>
              <w:pStyle w:val="T-normal"/>
              <w:rPr>
                <w:rFonts w:eastAsia="Times New Roman"/>
              </w:rPr>
            </w:pPr>
            <w:r w:rsidRPr="001F151E">
              <w:rPr>
                <w:rFonts w:eastAsia="Times New Roman"/>
              </w:rPr>
              <w:t>WB</w:t>
            </w:r>
          </w:p>
        </w:tc>
        <w:tc>
          <w:tcPr>
            <w:tcW w:w="8469" w:type="dxa"/>
            <w:vAlign w:val="center"/>
          </w:tcPr>
          <w:p w14:paraId="0119D324" w14:textId="77777777" w:rsidR="00951641" w:rsidRPr="001F151E" w:rsidRDefault="00951641" w:rsidP="009A77C3">
            <w:pPr>
              <w:pStyle w:val="T-normal"/>
              <w:rPr>
                <w:rFonts w:eastAsia="Times New Roman"/>
              </w:rPr>
            </w:pPr>
            <w:r w:rsidRPr="001F151E">
              <w:rPr>
                <w:rFonts w:eastAsia="Times New Roman"/>
              </w:rPr>
              <w:t>World Bank</w:t>
            </w:r>
          </w:p>
        </w:tc>
      </w:tr>
    </w:tbl>
    <w:p w14:paraId="59CB64DB" w14:textId="77777777" w:rsidR="00EC43EB" w:rsidRPr="001F151E" w:rsidRDefault="00EC43EB" w:rsidP="00200748">
      <w:pPr>
        <w:rPr>
          <w:rStyle w:val="IntenseReference"/>
          <w:rFonts w:eastAsiaTheme="majorEastAsia" w:cstheme="majorBidi"/>
          <w:i w:val="0"/>
          <w:sz w:val="26"/>
          <w:szCs w:val="26"/>
          <w:lang w:val="en-GB"/>
        </w:rPr>
      </w:pPr>
    </w:p>
    <w:p w14:paraId="7C645C33" w14:textId="24DDC28D" w:rsidR="008102CF" w:rsidRPr="001F151E" w:rsidRDefault="008102CF" w:rsidP="00200748">
      <w:pPr>
        <w:rPr>
          <w:rStyle w:val="IntenseReference"/>
          <w:rFonts w:eastAsiaTheme="majorEastAsia" w:cstheme="majorBidi"/>
          <w:i w:val="0"/>
          <w:sz w:val="26"/>
          <w:szCs w:val="26"/>
          <w:lang w:val="en-GB"/>
        </w:rPr>
      </w:pPr>
      <w:r w:rsidRPr="001F151E">
        <w:rPr>
          <w:rStyle w:val="IntenseReference"/>
          <w:rFonts w:eastAsiaTheme="majorEastAsia" w:cstheme="majorBidi"/>
          <w:i w:val="0"/>
          <w:sz w:val="26"/>
          <w:szCs w:val="26"/>
          <w:lang w:val="en-GB"/>
        </w:rPr>
        <w:br w:type="page"/>
      </w:r>
    </w:p>
    <w:p w14:paraId="6FF31D74" w14:textId="0CADA374" w:rsidR="00E50D41" w:rsidRPr="001F151E" w:rsidRDefault="00E50D41" w:rsidP="00E50D41">
      <w:pPr>
        <w:pStyle w:val="Heading1"/>
        <w:numPr>
          <w:ilvl w:val="0"/>
          <w:numId w:val="0"/>
        </w:numPr>
        <w:ind w:left="432" w:hanging="432"/>
        <w:rPr>
          <w:rStyle w:val="IntenseReference"/>
          <w:rFonts w:eastAsiaTheme="majorEastAsia" w:cstheme="majorBidi"/>
          <w:i w:val="0"/>
          <w:sz w:val="26"/>
          <w:szCs w:val="26"/>
          <w:lang w:val="en-GB"/>
        </w:rPr>
      </w:pPr>
      <w:bookmarkStart w:id="2" w:name="_Toc163148001"/>
      <w:r w:rsidRPr="001F151E">
        <w:rPr>
          <w:rStyle w:val="IntenseReference"/>
          <w:rFonts w:eastAsiaTheme="majorEastAsia" w:cstheme="majorBidi"/>
          <w:i w:val="0"/>
          <w:sz w:val="26"/>
          <w:szCs w:val="26"/>
          <w:lang w:val="en-GB"/>
        </w:rPr>
        <w:lastRenderedPageBreak/>
        <w:t>Executive Summary</w:t>
      </w:r>
      <w:bookmarkEnd w:id="2"/>
    </w:p>
    <w:p w14:paraId="34290999" w14:textId="77777777" w:rsidR="00E50D41" w:rsidRPr="001F151E" w:rsidRDefault="00E50D41" w:rsidP="00E50D41">
      <w:pPr>
        <w:rPr>
          <w:lang w:val="en-GB"/>
        </w:rPr>
      </w:pPr>
    </w:p>
    <w:p w14:paraId="06B49100" w14:textId="68766A2B" w:rsidR="00AA13C0" w:rsidRPr="001F151E" w:rsidRDefault="00AA13C0" w:rsidP="002E6AB5">
      <w:pPr>
        <w:spacing w:line="276" w:lineRule="auto"/>
        <w:jc w:val="both"/>
        <w:rPr>
          <w:lang w:val="en-GB"/>
        </w:rPr>
      </w:pPr>
      <w:r w:rsidRPr="001F151E">
        <w:rPr>
          <w:lang w:val="en-GB"/>
        </w:rPr>
        <w:t>This P</w:t>
      </w:r>
      <w:r w:rsidR="00047DF4">
        <w:rPr>
          <w:lang w:val="en-GB"/>
        </w:rPr>
        <w:t xml:space="preserve">ublic </w:t>
      </w:r>
      <w:r w:rsidRPr="001F151E">
        <w:rPr>
          <w:lang w:val="en-GB"/>
        </w:rPr>
        <w:t>F</w:t>
      </w:r>
      <w:r w:rsidR="00047DF4">
        <w:rPr>
          <w:lang w:val="en-GB"/>
        </w:rPr>
        <w:t xml:space="preserve">inancial </w:t>
      </w:r>
      <w:r w:rsidRPr="001F151E">
        <w:rPr>
          <w:lang w:val="en-GB"/>
        </w:rPr>
        <w:t>M</w:t>
      </w:r>
      <w:r w:rsidR="00047DF4">
        <w:rPr>
          <w:lang w:val="en-GB"/>
        </w:rPr>
        <w:t>anagement</w:t>
      </w:r>
      <w:r w:rsidRPr="001F151E">
        <w:rPr>
          <w:lang w:val="en-GB"/>
        </w:rPr>
        <w:t xml:space="preserve"> sectoral strategy </w:t>
      </w:r>
      <w:r w:rsidR="00047DF4">
        <w:rPr>
          <w:lang w:val="en-GB"/>
        </w:rPr>
        <w:t>2023-</w:t>
      </w:r>
      <w:r w:rsidRPr="001F151E">
        <w:rPr>
          <w:lang w:val="en-GB"/>
        </w:rPr>
        <w:t xml:space="preserve">2030 and action plan for the period 2023-2026 presents the planned reforms for improving the </w:t>
      </w:r>
      <w:r w:rsidR="00047DF4">
        <w:rPr>
          <w:lang w:val="en-GB"/>
        </w:rPr>
        <w:t xml:space="preserve">PFM </w:t>
      </w:r>
      <w:r w:rsidRPr="001F151E">
        <w:rPr>
          <w:lang w:val="en-GB"/>
        </w:rPr>
        <w:t xml:space="preserve">systems. In alignment with the </w:t>
      </w:r>
      <w:r w:rsidR="00047DF4" w:rsidRPr="001F151E">
        <w:rPr>
          <w:lang w:val="en-GB"/>
        </w:rPr>
        <w:t>N</w:t>
      </w:r>
      <w:r w:rsidR="00047DF4">
        <w:rPr>
          <w:lang w:val="en-GB"/>
        </w:rPr>
        <w:t xml:space="preserve">ational </w:t>
      </w:r>
      <w:r w:rsidR="00047DF4" w:rsidRPr="001F151E">
        <w:rPr>
          <w:lang w:val="en-GB"/>
        </w:rPr>
        <w:t>S</w:t>
      </w:r>
      <w:r w:rsidR="00047DF4">
        <w:rPr>
          <w:lang w:val="en-GB"/>
        </w:rPr>
        <w:t xml:space="preserve">trategy for </w:t>
      </w:r>
      <w:r w:rsidR="00047DF4" w:rsidRPr="001F151E">
        <w:rPr>
          <w:lang w:val="en-GB"/>
        </w:rPr>
        <w:t>D</w:t>
      </w:r>
      <w:r w:rsidR="00047DF4">
        <w:rPr>
          <w:lang w:val="en-GB"/>
        </w:rPr>
        <w:t xml:space="preserve">evelopment and </w:t>
      </w:r>
      <w:r w:rsidR="00047DF4" w:rsidRPr="001F151E">
        <w:rPr>
          <w:lang w:val="en-GB"/>
        </w:rPr>
        <w:t>E</w:t>
      </w:r>
      <w:r w:rsidR="00047DF4">
        <w:rPr>
          <w:lang w:val="en-GB"/>
        </w:rPr>
        <w:t xml:space="preserve">uropean </w:t>
      </w:r>
      <w:r w:rsidR="00047DF4" w:rsidRPr="001F151E">
        <w:rPr>
          <w:lang w:val="en-GB"/>
        </w:rPr>
        <w:t>I</w:t>
      </w:r>
      <w:r w:rsidR="00047DF4">
        <w:rPr>
          <w:lang w:val="en-GB"/>
        </w:rPr>
        <w:t>ntegration</w:t>
      </w:r>
      <w:r w:rsidR="00047DF4" w:rsidRPr="001F151E">
        <w:rPr>
          <w:lang w:val="en-GB"/>
        </w:rPr>
        <w:t xml:space="preserve"> </w:t>
      </w:r>
      <w:r w:rsidR="00047DF4">
        <w:rPr>
          <w:lang w:val="en-GB"/>
        </w:rPr>
        <w:t>(</w:t>
      </w:r>
      <w:r w:rsidRPr="001F151E">
        <w:rPr>
          <w:lang w:val="en-GB"/>
        </w:rPr>
        <w:t>NSDEI</w:t>
      </w:r>
      <w:r w:rsidR="00047DF4">
        <w:rPr>
          <w:lang w:val="en-GB"/>
        </w:rPr>
        <w:t>)</w:t>
      </w:r>
      <w:r w:rsidR="003F0C46">
        <w:rPr>
          <w:lang w:val="en-GB"/>
        </w:rPr>
        <w:t xml:space="preserve"> 2022-2030</w:t>
      </w:r>
      <w:r w:rsidRPr="001F151E">
        <w:rPr>
          <w:lang w:val="en-GB"/>
        </w:rPr>
        <w:t xml:space="preserve">, the overall goal of the strategy is to establish a public finance management system that ensures transparency, accountability, fiscal discipline and efficiency in the use of public resources for the provision of improved public services and economic development and which ensures a smooth integration of Albania in the European Union. </w:t>
      </w:r>
    </w:p>
    <w:p w14:paraId="582B4F64" w14:textId="77777777" w:rsidR="00AA13C0" w:rsidRPr="001F151E" w:rsidRDefault="00AA13C0" w:rsidP="002E6AB5">
      <w:pPr>
        <w:spacing w:line="276" w:lineRule="auto"/>
        <w:jc w:val="both"/>
        <w:rPr>
          <w:lang w:val="en-GB"/>
        </w:rPr>
      </w:pPr>
    </w:p>
    <w:p w14:paraId="1091977B" w14:textId="26E3987F" w:rsidR="00AA13C0" w:rsidRPr="001F151E" w:rsidRDefault="00AA13C0" w:rsidP="002E6AB5">
      <w:pPr>
        <w:spacing w:line="276" w:lineRule="auto"/>
        <w:jc w:val="both"/>
        <w:rPr>
          <w:lang w:val="en-GB"/>
        </w:rPr>
      </w:pPr>
      <w:r w:rsidRPr="001F151E">
        <w:rPr>
          <w:lang w:val="en-GB"/>
        </w:rPr>
        <w:t>The PFM reform measures are formulated across s</w:t>
      </w:r>
      <w:r w:rsidR="003C04E6">
        <w:rPr>
          <w:lang w:val="en-GB"/>
        </w:rPr>
        <w:t>ix</w:t>
      </w:r>
      <w:r w:rsidRPr="001F151E">
        <w:rPr>
          <w:lang w:val="en-GB"/>
        </w:rPr>
        <w:t xml:space="preserve"> </w:t>
      </w:r>
      <w:r w:rsidR="003C04E6">
        <w:rPr>
          <w:lang w:val="en-GB"/>
        </w:rPr>
        <w:t>pillars</w:t>
      </w:r>
      <w:r w:rsidRPr="001F151E">
        <w:rPr>
          <w:lang w:val="en-GB"/>
        </w:rPr>
        <w:t xml:space="preserve"> as follows:</w:t>
      </w:r>
    </w:p>
    <w:p w14:paraId="3C6D0F98" w14:textId="77777777" w:rsidR="00AA13C0" w:rsidRPr="001F151E" w:rsidRDefault="00AA13C0" w:rsidP="002E6AB5">
      <w:pPr>
        <w:spacing w:line="276" w:lineRule="auto"/>
        <w:jc w:val="both"/>
        <w:rPr>
          <w:lang w:val="en-GB"/>
        </w:rPr>
      </w:pPr>
    </w:p>
    <w:p w14:paraId="3EFBFFC1" w14:textId="16EACB42" w:rsidR="00AA13C0" w:rsidRPr="001F151E" w:rsidRDefault="003C04E6" w:rsidP="002E6AB5">
      <w:pPr>
        <w:pStyle w:val="N-Bold"/>
        <w:spacing w:line="276" w:lineRule="auto"/>
        <w:jc w:val="both"/>
        <w:rPr>
          <w:rStyle w:val="IntenseReference"/>
          <w:rFonts w:eastAsiaTheme="majorEastAsia"/>
          <w:i w:val="0"/>
          <w:iCs w:val="0"/>
          <w:color w:val="auto"/>
          <w:szCs w:val="22"/>
          <w:lang w:val="en-GB"/>
        </w:rPr>
      </w:pPr>
      <w:r>
        <w:rPr>
          <w:rStyle w:val="IntenseReference"/>
          <w:rFonts w:eastAsiaTheme="majorEastAsia"/>
          <w:i w:val="0"/>
          <w:color w:val="auto"/>
          <w:szCs w:val="22"/>
          <w:lang w:val="en-GB"/>
        </w:rPr>
        <w:t>Pillar</w:t>
      </w:r>
      <w:r w:rsidR="00AA13C0" w:rsidRPr="001F151E">
        <w:rPr>
          <w:rStyle w:val="IntenseReference"/>
          <w:rFonts w:eastAsiaTheme="majorEastAsia"/>
          <w:i w:val="0"/>
          <w:color w:val="auto"/>
          <w:szCs w:val="22"/>
          <w:lang w:val="en-GB"/>
        </w:rPr>
        <w:t xml:space="preserve"> 1: </w:t>
      </w:r>
      <w:r w:rsidR="00BE5CE0">
        <w:rPr>
          <w:rStyle w:val="IntenseReference"/>
          <w:rFonts w:eastAsiaTheme="majorEastAsia"/>
          <w:i w:val="0"/>
          <w:color w:val="auto"/>
          <w:szCs w:val="22"/>
          <w:lang w:val="en-GB"/>
        </w:rPr>
        <w:t xml:space="preserve">Macroeconomic programming and Risk Monitoring </w:t>
      </w:r>
    </w:p>
    <w:p w14:paraId="648F582B" w14:textId="16AAD426" w:rsidR="00AA13C0" w:rsidRPr="001F151E" w:rsidRDefault="00AA13C0" w:rsidP="002E6AB5">
      <w:pPr>
        <w:spacing w:line="276" w:lineRule="auto"/>
        <w:jc w:val="both"/>
        <w:rPr>
          <w:rStyle w:val="IntenseReference"/>
          <w:rFonts w:eastAsiaTheme="majorEastAsia"/>
          <w:color w:val="auto"/>
          <w:szCs w:val="22"/>
          <w:lang w:val="en-GB"/>
        </w:rPr>
      </w:pPr>
      <w:r w:rsidRPr="001F151E">
        <w:rPr>
          <w:rStyle w:val="IntenseReference"/>
          <w:rFonts w:eastAsiaTheme="majorEastAsia"/>
          <w:color w:val="auto"/>
          <w:szCs w:val="22"/>
          <w:lang w:val="en-GB"/>
        </w:rPr>
        <w:t xml:space="preserve">The systems for developing and monitoring a sound fiscal policy based on fiscal rules, advanced macroeconomic forecasts and solid fiscal risk management practices are </w:t>
      </w:r>
      <w:r w:rsidR="006B3169">
        <w:rPr>
          <w:rStyle w:val="IntenseReference"/>
          <w:rFonts w:eastAsiaTheme="majorEastAsia"/>
          <w:color w:val="auto"/>
          <w:szCs w:val="22"/>
          <w:lang w:val="en-GB"/>
        </w:rPr>
        <w:t xml:space="preserve">maintained and </w:t>
      </w:r>
      <w:r w:rsidRPr="001F151E">
        <w:rPr>
          <w:rStyle w:val="IntenseReference"/>
          <w:rFonts w:eastAsiaTheme="majorEastAsia"/>
          <w:color w:val="auto"/>
          <w:szCs w:val="22"/>
          <w:lang w:val="en-GB"/>
        </w:rPr>
        <w:t>further improved. A Fiscal Council is established.</w:t>
      </w:r>
    </w:p>
    <w:p w14:paraId="6A364747" w14:textId="77777777" w:rsidR="00AA13C0" w:rsidRPr="001F151E" w:rsidRDefault="00AA13C0" w:rsidP="002E6AB5">
      <w:pPr>
        <w:spacing w:line="276" w:lineRule="auto"/>
        <w:jc w:val="both"/>
        <w:rPr>
          <w:rStyle w:val="IntenseReference"/>
          <w:rFonts w:eastAsiaTheme="majorEastAsia"/>
          <w:i w:val="0"/>
          <w:color w:val="auto"/>
          <w:szCs w:val="22"/>
          <w:lang w:val="en-GB"/>
        </w:rPr>
      </w:pPr>
    </w:p>
    <w:p w14:paraId="260CAE41" w14:textId="0415B683" w:rsidR="00317E12" w:rsidRPr="00BC2F5A" w:rsidRDefault="00317E12" w:rsidP="00B45892">
      <w:pPr>
        <w:pStyle w:val="T-bullet0"/>
        <w:numPr>
          <w:ilvl w:val="0"/>
          <w:numId w:val="66"/>
        </w:numPr>
        <w:spacing w:line="276" w:lineRule="auto"/>
        <w:jc w:val="both"/>
        <w:rPr>
          <w:sz w:val="18"/>
          <w:szCs w:val="18"/>
        </w:rPr>
      </w:pPr>
      <w:r w:rsidRPr="00BC2F5A">
        <w:rPr>
          <w:sz w:val="18"/>
          <w:szCs w:val="18"/>
        </w:rPr>
        <w:t>Prudent forecasting of macroeconomic indicators in line with independent and international forecasters;</w:t>
      </w:r>
    </w:p>
    <w:p w14:paraId="4F85C00A" w14:textId="74FB2969" w:rsidR="00317E12" w:rsidRPr="00BC2F5A" w:rsidRDefault="00317E12" w:rsidP="00B45892">
      <w:pPr>
        <w:pStyle w:val="T-bullet0"/>
        <w:numPr>
          <w:ilvl w:val="0"/>
          <w:numId w:val="66"/>
        </w:numPr>
        <w:spacing w:line="276" w:lineRule="auto"/>
        <w:jc w:val="both"/>
        <w:rPr>
          <w:sz w:val="18"/>
          <w:szCs w:val="18"/>
        </w:rPr>
      </w:pPr>
      <w:r w:rsidRPr="00BC2F5A">
        <w:rPr>
          <w:sz w:val="18"/>
          <w:szCs w:val="18"/>
        </w:rPr>
        <w:t>Prudent and realistic medium-term revenue forecasting in line with independent and international forecasters;</w:t>
      </w:r>
    </w:p>
    <w:p w14:paraId="3790C3DA" w14:textId="649B83E4" w:rsidR="00AA13C0" w:rsidRPr="00BC2F5A" w:rsidRDefault="00317E12" w:rsidP="00B45892">
      <w:pPr>
        <w:pStyle w:val="ListParagraph"/>
        <w:numPr>
          <w:ilvl w:val="0"/>
          <w:numId w:val="66"/>
        </w:numPr>
        <w:spacing w:line="276" w:lineRule="auto"/>
        <w:jc w:val="both"/>
        <w:rPr>
          <w:rStyle w:val="IntenseReference"/>
          <w:i w:val="0"/>
          <w:color w:val="auto"/>
          <w:lang w:val="en-GB"/>
        </w:rPr>
      </w:pPr>
      <w:r w:rsidRPr="00BC2F5A">
        <w:t>Safeguard sound public finances through the permanent compliance with the Fiscal Rules</w:t>
      </w:r>
      <w:r w:rsidR="00AA13C0" w:rsidRPr="00BC2F5A">
        <w:rPr>
          <w:rStyle w:val="IntenseReference"/>
          <w:i w:val="0"/>
          <w:color w:val="auto"/>
          <w:lang w:val="en-GB"/>
        </w:rPr>
        <w:t>).</w:t>
      </w:r>
    </w:p>
    <w:p w14:paraId="7BE35795" w14:textId="36EC1F3A" w:rsidR="00317E12" w:rsidRPr="00BC2F5A" w:rsidRDefault="00317E12" w:rsidP="00B45892">
      <w:pPr>
        <w:pStyle w:val="T-bullet0"/>
        <w:numPr>
          <w:ilvl w:val="0"/>
          <w:numId w:val="66"/>
        </w:numPr>
        <w:spacing w:line="276" w:lineRule="auto"/>
        <w:jc w:val="both"/>
        <w:rPr>
          <w:sz w:val="18"/>
          <w:szCs w:val="18"/>
        </w:rPr>
      </w:pPr>
      <w:r w:rsidRPr="00BC2F5A">
        <w:rPr>
          <w:sz w:val="18"/>
          <w:szCs w:val="18"/>
        </w:rPr>
        <w:t>Provide technical assistance for the DSA process</w:t>
      </w:r>
    </w:p>
    <w:p w14:paraId="77FB39BF" w14:textId="4D5A60A9" w:rsidR="00317E12" w:rsidRPr="00BC2F5A" w:rsidRDefault="00317E12" w:rsidP="00B45892">
      <w:pPr>
        <w:pStyle w:val="ListParagraph"/>
        <w:numPr>
          <w:ilvl w:val="0"/>
          <w:numId w:val="66"/>
        </w:numPr>
        <w:spacing w:line="276" w:lineRule="auto"/>
        <w:jc w:val="both"/>
        <w:rPr>
          <w:lang w:val="en-GB"/>
        </w:rPr>
      </w:pPr>
      <w:r w:rsidRPr="00BC2F5A">
        <w:t>Introduce the DSA framework as a macroeconomic programming tool;</w:t>
      </w:r>
    </w:p>
    <w:p w14:paraId="42F082B0" w14:textId="7F3241CC" w:rsidR="00317E12" w:rsidRPr="00BC2F5A" w:rsidRDefault="00317E12" w:rsidP="00B45892">
      <w:pPr>
        <w:pStyle w:val="T-bullet0"/>
        <w:numPr>
          <w:ilvl w:val="0"/>
          <w:numId w:val="66"/>
        </w:numPr>
        <w:spacing w:line="276" w:lineRule="auto"/>
        <w:jc w:val="both"/>
        <w:rPr>
          <w:sz w:val="18"/>
          <w:szCs w:val="18"/>
        </w:rPr>
      </w:pPr>
      <w:r w:rsidRPr="00BC2F5A">
        <w:rPr>
          <w:sz w:val="18"/>
          <w:szCs w:val="18"/>
        </w:rPr>
        <w:t>Introduce Annual Fiscal Risk Statement and gradually expand the scope of fiscal risk monitoring and reporting;</w:t>
      </w:r>
    </w:p>
    <w:p w14:paraId="1FD26937" w14:textId="548423D3" w:rsidR="00317E12" w:rsidRPr="00BC2F5A" w:rsidRDefault="00317E12" w:rsidP="00B45892">
      <w:pPr>
        <w:pStyle w:val="T-bullet0"/>
        <w:numPr>
          <w:ilvl w:val="0"/>
          <w:numId w:val="66"/>
        </w:numPr>
        <w:spacing w:line="276" w:lineRule="auto"/>
        <w:jc w:val="both"/>
        <w:rPr>
          <w:sz w:val="18"/>
          <w:szCs w:val="18"/>
        </w:rPr>
      </w:pPr>
      <w:r w:rsidRPr="00BC2F5A">
        <w:rPr>
          <w:sz w:val="18"/>
          <w:szCs w:val="18"/>
        </w:rPr>
        <w:t>Strengthen the management of Fiscal Risk related to PPPs and concession contracts;</w:t>
      </w:r>
    </w:p>
    <w:p w14:paraId="661B1D33" w14:textId="3D9B9A87" w:rsidR="00317E12" w:rsidRPr="00BC2F5A" w:rsidRDefault="00317E12" w:rsidP="00B45892">
      <w:pPr>
        <w:pStyle w:val="T-bullet0"/>
        <w:numPr>
          <w:ilvl w:val="0"/>
          <w:numId w:val="66"/>
        </w:numPr>
        <w:spacing w:line="276" w:lineRule="auto"/>
        <w:jc w:val="both"/>
        <w:rPr>
          <w:sz w:val="18"/>
          <w:szCs w:val="18"/>
        </w:rPr>
      </w:pPr>
      <w:r w:rsidRPr="00BC2F5A">
        <w:rPr>
          <w:sz w:val="18"/>
          <w:szCs w:val="18"/>
        </w:rPr>
        <w:t>Strengthen the fiscal oversight of State Owned Enterprises;</w:t>
      </w:r>
    </w:p>
    <w:p w14:paraId="121ECECE" w14:textId="2F4124F5" w:rsidR="00317E12" w:rsidRPr="00BC2F5A" w:rsidRDefault="00317E12" w:rsidP="00B45892">
      <w:pPr>
        <w:pStyle w:val="ListParagraph"/>
        <w:numPr>
          <w:ilvl w:val="0"/>
          <w:numId w:val="66"/>
        </w:numPr>
        <w:spacing w:line="276" w:lineRule="auto"/>
        <w:jc w:val="both"/>
        <w:rPr>
          <w:lang w:val="en-GB"/>
        </w:rPr>
      </w:pPr>
      <w:r w:rsidRPr="00BC2F5A">
        <w:t>Further enhance management of arrears.</w:t>
      </w:r>
    </w:p>
    <w:p w14:paraId="77BD3AB6" w14:textId="31824F67" w:rsidR="00317E12" w:rsidRPr="00BC2F5A" w:rsidRDefault="00317E12" w:rsidP="00B45892">
      <w:pPr>
        <w:pStyle w:val="ListParagraph"/>
        <w:numPr>
          <w:ilvl w:val="0"/>
          <w:numId w:val="66"/>
        </w:numPr>
        <w:spacing w:line="276" w:lineRule="auto"/>
        <w:jc w:val="both"/>
        <w:rPr>
          <w:rStyle w:val="IntenseReference"/>
          <w:i w:val="0"/>
          <w:color w:val="auto"/>
          <w:lang w:val="en-GB"/>
        </w:rPr>
      </w:pPr>
      <w:r w:rsidRPr="00BC2F5A">
        <w:t>Establish the fiscal council</w:t>
      </w:r>
    </w:p>
    <w:p w14:paraId="47B6657A" w14:textId="77777777" w:rsidR="00AA13C0" w:rsidRPr="001F151E" w:rsidRDefault="00AA13C0" w:rsidP="002E6AB5">
      <w:pPr>
        <w:spacing w:line="276" w:lineRule="auto"/>
        <w:jc w:val="both"/>
        <w:rPr>
          <w:rStyle w:val="IntenseReference"/>
          <w:rFonts w:eastAsiaTheme="majorEastAsia"/>
          <w:i w:val="0"/>
          <w:iCs/>
          <w:sz w:val="22"/>
          <w:szCs w:val="22"/>
          <w:lang w:val="en-GB"/>
        </w:rPr>
      </w:pPr>
    </w:p>
    <w:p w14:paraId="3B5FC6A6" w14:textId="659BAC4E" w:rsidR="00AA13C0" w:rsidRPr="00484E44" w:rsidRDefault="003C04E6" w:rsidP="002E6AB5">
      <w:pPr>
        <w:pStyle w:val="N-Bold"/>
        <w:spacing w:line="276" w:lineRule="auto"/>
        <w:jc w:val="both"/>
        <w:rPr>
          <w:rStyle w:val="IntenseReference"/>
          <w:rFonts w:eastAsiaTheme="majorEastAsia"/>
          <w:i w:val="0"/>
          <w:color w:val="auto"/>
          <w:szCs w:val="22"/>
          <w:lang w:val="en-GB"/>
        </w:rPr>
      </w:pPr>
      <w:r>
        <w:rPr>
          <w:rStyle w:val="IntenseReference"/>
          <w:rFonts w:eastAsiaTheme="majorEastAsia"/>
          <w:i w:val="0"/>
          <w:color w:val="auto"/>
          <w:szCs w:val="22"/>
          <w:lang w:val="en-GB"/>
        </w:rPr>
        <w:t>Pillar</w:t>
      </w:r>
      <w:r w:rsidRPr="001F151E">
        <w:rPr>
          <w:rStyle w:val="IntenseReference"/>
          <w:rFonts w:eastAsiaTheme="majorEastAsia"/>
          <w:i w:val="0"/>
          <w:color w:val="auto"/>
          <w:szCs w:val="22"/>
          <w:lang w:val="en-GB"/>
        </w:rPr>
        <w:t xml:space="preserve"> </w:t>
      </w:r>
      <w:r w:rsidR="00AA13C0" w:rsidRPr="001F151E">
        <w:rPr>
          <w:rStyle w:val="IntenseReference"/>
          <w:rFonts w:eastAsiaTheme="majorEastAsia"/>
          <w:i w:val="0"/>
          <w:color w:val="auto"/>
          <w:szCs w:val="22"/>
          <w:lang w:val="en-GB"/>
        </w:rPr>
        <w:t>2: Integrated strategic and budget planning, monitoring, and transparent reporting</w:t>
      </w:r>
    </w:p>
    <w:p w14:paraId="64549329" w14:textId="77777777" w:rsidR="00AA13C0" w:rsidRPr="001F151E" w:rsidRDefault="00AA13C0" w:rsidP="002E6AB5">
      <w:pPr>
        <w:spacing w:line="276" w:lineRule="auto"/>
        <w:jc w:val="both"/>
        <w:rPr>
          <w:rStyle w:val="IntenseReference"/>
          <w:rFonts w:eastAsiaTheme="majorEastAsia"/>
          <w:color w:val="auto"/>
          <w:szCs w:val="22"/>
          <w:lang w:val="en-GB"/>
        </w:rPr>
      </w:pPr>
      <w:r w:rsidRPr="001F151E">
        <w:rPr>
          <w:rStyle w:val="IntenseReference"/>
          <w:rFonts w:eastAsiaTheme="majorEastAsia"/>
          <w:color w:val="auto"/>
          <w:szCs w:val="22"/>
          <w:lang w:val="en-GB"/>
        </w:rPr>
        <w:t>An advanced system for integrated strategic planning and medium term budget planning at all levels of government are in place. The practices for public investment planning are professionalised. Transparent monitoring and reporting and public participation in budget processes in compliance with the relevant standards is ensured.</w:t>
      </w:r>
    </w:p>
    <w:p w14:paraId="1B9E8954" w14:textId="77777777" w:rsidR="00AA13C0" w:rsidRPr="001F151E" w:rsidRDefault="00AA13C0" w:rsidP="002E6AB5">
      <w:pPr>
        <w:spacing w:line="276" w:lineRule="auto"/>
        <w:jc w:val="both"/>
        <w:rPr>
          <w:rStyle w:val="IntenseReference"/>
          <w:rFonts w:eastAsiaTheme="majorEastAsia"/>
          <w:i w:val="0"/>
          <w:color w:val="auto"/>
          <w:szCs w:val="22"/>
          <w:lang w:val="en-GB"/>
        </w:rPr>
      </w:pPr>
    </w:p>
    <w:p w14:paraId="445E1717" w14:textId="5AFFED37" w:rsidR="00BC2F5A" w:rsidRPr="00BC2F5A" w:rsidRDefault="00BC2F5A" w:rsidP="00B45892">
      <w:pPr>
        <w:pStyle w:val="ListParagraph"/>
        <w:numPr>
          <w:ilvl w:val="0"/>
          <w:numId w:val="67"/>
        </w:numPr>
        <w:jc w:val="both"/>
      </w:pPr>
      <w:r w:rsidRPr="00BC2F5A">
        <w:rPr>
          <w:rStyle w:val="IntenseReference"/>
          <w:rFonts w:eastAsiaTheme="majorEastAsia"/>
          <w:i w:val="0"/>
          <w:color w:val="auto"/>
        </w:rPr>
        <w:t>Enhance the IT-supported Integrated Planning System for formulating and monitoring strategies.</w:t>
      </w:r>
    </w:p>
    <w:p w14:paraId="68A8B67A" w14:textId="273C45A7" w:rsidR="00BC2F5A" w:rsidRPr="00BC2F5A" w:rsidRDefault="00BC2F5A" w:rsidP="00B45892">
      <w:pPr>
        <w:pStyle w:val="ListParagraph"/>
        <w:numPr>
          <w:ilvl w:val="0"/>
          <w:numId w:val="67"/>
        </w:numPr>
        <w:jc w:val="both"/>
      </w:pPr>
      <w:r w:rsidRPr="00BC2F5A">
        <w:rPr>
          <w:rStyle w:val="IntenseReference"/>
          <w:rFonts w:eastAsiaTheme="majorEastAsia"/>
          <w:i w:val="0"/>
          <w:color w:val="auto"/>
        </w:rPr>
        <w:t>Expand the mid-term review and ex-post evaluation of strategies and action plans.</w:t>
      </w:r>
    </w:p>
    <w:p w14:paraId="2B6D6074" w14:textId="4E48D602" w:rsidR="00BC2F5A" w:rsidRPr="00BC2F5A" w:rsidRDefault="00BC2F5A" w:rsidP="00B45892">
      <w:pPr>
        <w:pStyle w:val="ListParagraph"/>
        <w:numPr>
          <w:ilvl w:val="0"/>
          <w:numId w:val="67"/>
        </w:numPr>
        <w:jc w:val="both"/>
      </w:pPr>
      <w:r w:rsidRPr="00BC2F5A">
        <w:rPr>
          <w:rStyle w:val="IntenseReference"/>
          <w:rFonts w:eastAsiaTheme="majorEastAsia"/>
          <w:i w:val="0"/>
          <w:color w:val="auto"/>
        </w:rPr>
        <w:t>Further improve methods, procedures and managerial accountability for MTBP formulation.</w:t>
      </w:r>
    </w:p>
    <w:p w14:paraId="1E1A1ED4" w14:textId="5B46E95C" w:rsidR="00BC2F5A" w:rsidRPr="00BC2F5A" w:rsidRDefault="00BC2F5A" w:rsidP="00B45892">
      <w:pPr>
        <w:pStyle w:val="ListParagraph"/>
        <w:numPr>
          <w:ilvl w:val="0"/>
          <w:numId w:val="67"/>
        </w:numPr>
        <w:jc w:val="both"/>
      </w:pPr>
      <w:r w:rsidRPr="00BC2F5A">
        <w:rPr>
          <w:rStyle w:val="IntenseReference"/>
          <w:rFonts w:eastAsiaTheme="majorEastAsia"/>
          <w:i w:val="0"/>
          <w:color w:val="auto"/>
        </w:rPr>
        <w:t>Enhance budget documentation and in particular the element of performance information.</w:t>
      </w:r>
    </w:p>
    <w:p w14:paraId="6B1D78F0" w14:textId="1C8B4EE2" w:rsidR="00BC2F5A" w:rsidRPr="00BC2F5A" w:rsidRDefault="00BC2F5A" w:rsidP="00B45892">
      <w:pPr>
        <w:pStyle w:val="ListParagraph"/>
        <w:numPr>
          <w:ilvl w:val="0"/>
          <w:numId w:val="67"/>
        </w:numPr>
        <w:jc w:val="both"/>
      </w:pPr>
      <w:r w:rsidRPr="00BC2F5A">
        <w:rPr>
          <w:rStyle w:val="IntenseReference"/>
          <w:rFonts w:eastAsiaTheme="majorEastAsia"/>
          <w:i w:val="0"/>
          <w:color w:val="auto"/>
        </w:rPr>
        <w:t xml:space="preserve">Introduce </w:t>
      </w:r>
      <w:r w:rsidR="00250287">
        <w:rPr>
          <w:rStyle w:val="IntenseReference"/>
          <w:rFonts w:eastAsiaTheme="majorEastAsia"/>
          <w:i w:val="0"/>
          <w:color w:val="auto"/>
        </w:rPr>
        <w:t>spending</w:t>
      </w:r>
      <w:r w:rsidRPr="00BC2F5A">
        <w:rPr>
          <w:rStyle w:val="IntenseReference"/>
          <w:rFonts w:eastAsiaTheme="majorEastAsia"/>
          <w:i w:val="0"/>
          <w:color w:val="auto"/>
        </w:rPr>
        <w:t xml:space="preserve"> reviews.</w:t>
      </w:r>
    </w:p>
    <w:p w14:paraId="64B58BCB" w14:textId="460688B9" w:rsidR="00BC2F5A" w:rsidRPr="003F0C46" w:rsidRDefault="00BC2F5A" w:rsidP="00B45892">
      <w:pPr>
        <w:pStyle w:val="ListParagraph"/>
        <w:numPr>
          <w:ilvl w:val="0"/>
          <w:numId w:val="67"/>
        </w:numPr>
        <w:jc w:val="both"/>
        <w:rPr>
          <w:rStyle w:val="IntenseReference"/>
          <w:i w:val="0"/>
          <w:color w:val="auto"/>
        </w:rPr>
      </w:pPr>
      <w:r w:rsidRPr="00BC2F5A">
        <w:rPr>
          <w:rStyle w:val="IntenseReference"/>
          <w:rFonts w:eastAsiaTheme="majorEastAsia"/>
          <w:i w:val="0"/>
          <w:color w:val="auto"/>
        </w:rPr>
        <w:t>Further develop and introduce gender-responsive budgeting and climate-responsive budgeting.</w:t>
      </w:r>
    </w:p>
    <w:p w14:paraId="5B4C16AD" w14:textId="3617778B" w:rsidR="003F0C46" w:rsidRPr="00BC2F5A" w:rsidRDefault="003F0C46" w:rsidP="00B45892">
      <w:pPr>
        <w:pStyle w:val="ListParagraph"/>
        <w:numPr>
          <w:ilvl w:val="0"/>
          <w:numId w:val="67"/>
        </w:numPr>
        <w:jc w:val="both"/>
      </w:pPr>
      <w:r w:rsidRPr="003F0C46">
        <w:t xml:space="preserve">Approval of the Priority Policy Document together with the </w:t>
      </w:r>
      <w:r>
        <w:t xml:space="preserve">NSPP. </w:t>
      </w:r>
    </w:p>
    <w:p w14:paraId="23C0C749" w14:textId="21B27C9B" w:rsidR="00BC2F5A" w:rsidRPr="00BC2F5A" w:rsidRDefault="00BB61BA" w:rsidP="00B45892">
      <w:pPr>
        <w:pStyle w:val="ListParagraph"/>
        <w:numPr>
          <w:ilvl w:val="0"/>
          <w:numId w:val="67"/>
        </w:numPr>
        <w:jc w:val="both"/>
      </w:pPr>
      <w:r w:rsidRPr="00BC2F5A">
        <w:rPr>
          <w:rStyle w:val="IntenseReference"/>
          <w:i w:val="0"/>
          <w:color w:val="auto"/>
        </w:rPr>
        <w:t>Operationalize</w:t>
      </w:r>
      <w:r w:rsidR="00BC2F5A" w:rsidRPr="00BC2F5A">
        <w:rPr>
          <w:rStyle w:val="IntenseReference"/>
          <w:i w:val="0"/>
          <w:color w:val="auto"/>
        </w:rPr>
        <w:t xml:space="preserve"> procedures for improved public investment management.</w:t>
      </w:r>
    </w:p>
    <w:p w14:paraId="35A9FB82" w14:textId="0BDC6C53" w:rsidR="00BC2F5A" w:rsidRPr="00BC2F5A" w:rsidRDefault="00BC2F5A" w:rsidP="00B45892">
      <w:pPr>
        <w:pStyle w:val="ListParagraph"/>
        <w:numPr>
          <w:ilvl w:val="0"/>
          <w:numId w:val="67"/>
        </w:numPr>
        <w:jc w:val="both"/>
      </w:pPr>
      <w:r w:rsidRPr="00BC2F5A">
        <w:rPr>
          <w:rStyle w:val="IntenseReference"/>
          <w:i w:val="0"/>
          <w:color w:val="auto"/>
        </w:rPr>
        <w:t xml:space="preserve">Strengthen the Single Project Pipeline and enhance the gatekeeper role of </w:t>
      </w:r>
      <w:r w:rsidR="00A660B5">
        <w:rPr>
          <w:rStyle w:val="IntenseReference"/>
          <w:i w:val="0"/>
          <w:color w:val="auto"/>
        </w:rPr>
        <w:t>MoF</w:t>
      </w:r>
      <w:r w:rsidRPr="00BC2F5A">
        <w:rPr>
          <w:rStyle w:val="IntenseReference"/>
          <w:i w:val="0"/>
          <w:color w:val="auto"/>
        </w:rPr>
        <w:t>.</w:t>
      </w:r>
    </w:p>
    <w:p w14:paraId="5020C67E" w14:textId="3FFA344B" w:rsidR="00BC2F5A" w:rsidRPr="00BC2F5A" w:rsidRDefault="00BC2F5A" w:rsidP="00B45892">
      <w:pPr>
        <w:pStyle w:val="ListParagraph"/>
        <w:numPr>
          <w:ilvl w:val="0"/>
          <w:numId w:val="67"/>
        </w:numPr>
        <w:jc w:val="both"/>
      </w:pPr>
      <w:r w:rsidRPr="00BC2F5A">
        <w:t>Improve the grant formula and calculation system for local government.</w:t>
      </w:r>
    </w:p>
    <w:p w14:paraId="146BA51F" w14:textId="7CB4E760" w:rsidR="00BC2F5A" w:rsidRPr="00BC2F5A" w:rsidRDefault="00BC2F5A" w:rsidP="00B45892">
      <w:pPr>
        <w:pStyle w:val="ListParagraph"/>
        <w:numPr>
          <w:ilvl w:val="0"/>
          <w:numId w:val="67"/>
        </w:numPr>
        <w:jc w:val="both"/>
      </w:pPr>
      <w:r w:rsidRPr="00BC2F5A">
        <w:rPr>
          <w:rStyle w:val="IntenseReference"/>
          <w:rFonts w:eastAsiaTheme="majorEastAsia"/>
          <w:i w:val="0"/>
          <w:color w:val="auto"/>
        </w:rPr>
        <w:t>Strengthen MTBP formulation and monitoring implementation in Municipalities.</w:t>
      </w:r>
    </w:p>
    <w:p w14:paraId="00AA4579" w14:textId="581316A4" w:rsidR="00BC2F5A" w:rsidRPr="00BC2F5A" w:rsidRDefault="00BC2F5A" w:rsidP="00B45892">
      <w:pPr>
        <w:pStyle w:val="ListParagraph"/>
        <w:numPr>
          <w:ilvl w:val="0"/>
          <w:numId w:val="67"/>
        </w:numPr>
        <w:jc w:val="both"/>
      </w:pPr>
      <w:r w:rsidRPr="00BC2F5A">
        <w:rPr>
          <w:rStyle w:val="IntenseReference"/>
          <w:rFonts w:eastAsiaTheme="majorEastAsia"/>
          <w:i w:val="0"/>
          <w:color w:val="auto"/>
        </w:rPr>
        <w:t xml:space="preserve">Develop and deploy the new Local Budget Management System (LBMS) </w:t>
      </w:r>
      <w:r w:rsidR="00BB61BA" w:rsidRPr="00BC2F5A">
        <w:rPr>
          <w:rStyle w:val="IntenseReference"/>
          <w:rFonts w:eastAsiaTheme="majorEastAsia"/>
          <w:i w:val="0"/>
          <w:color w:val="auto"/>
        </w:rPr>
        <w:t>for subnational</w:t>
      </w:r>
      <w:r w:rsidRPr="00BC2F5A">
        <w:rPr>
          <w:rStyle w:val="IntenseReference"/>
          <w:rFonts w:eastAsiaTheme="majorEastAsia"/>
          <w:i w:val="0"/>
          <w:color w:val="auto"/>
        </w:rPr>
        <w:t xml:space="preserve"> budget preparation and monitoring.</w:t>
      </w:r>
    </w:p>
    <w:p w14:paraId="1F37D0B5" w14:textId="566025FA" w:rsidR="00BC2F5A" w:rsidRPr="00BC2F5A" w:rsidRDefault="00BC2F5A" w:rsidP="00B45892">
      <w:pPr>
        <w:pStyle w:val="ListParagraph"/>
        <w:numPr>
          <w:ilvl w:val="0"/>
          <w:numId w:val="67"/>
        </w:numPr>
        <w:jc w:val="both"/>
      </w:pPr>
      <w:r w:rsidRPr="00BC2F5A">
        <w:rPr>
          <w:bCs/>
        </w:rPr>
        <w:t>Improve the level of financial resources from shared taxes.</w:t>
      </w:r>
    </w:p>
    <w:p w14:paraId="3B4E6781" w14:textId="419DCD93" w:rsidR="00BC2F5A" w:rsidRPr="00BC2F5A" w:rsidRDefault="00BC2F5A" w:rsidP="00B45892">
      <w:pPr>
        <w:pStyle w:val="ListParagraph"/>
        <w:numPr>
          <w:ilvl w:val="0"/>
          <w:numId w:val="67"/>
        </w:numPr>
        <w:jc w:val="both"/>
      </w:pPr>
      <w:r w:rsidRPr="00BC2F5A">
        <w:rPr>
          <w:rStyle w:val="IntenseReference"/>
          <w:rFonts w:eastAsiaTheme="majorEastAsia"/>
          <w:i w:val="0"/>
          <w:color w:val="auto"/>
        </w:rPr>
        <w:t>Improve budget execution monitoring and reporting and introduce Citizens Budget Execution report.</w:t>
      </w:r>
    </w:p>
    <w:p w14:paraId="49E5843C" w14:textId="5DE44D81" w:rsidR="00BC2F5A" w:rsidRPr="00BC2F5A" w:rsidRDefault="00BC2F5A" w:rsidP="00B45892">
      <w:pPr>
        <w:pStyle w:val="ListParagraph"/>
        <w:numPr>
          <w:ilvl w:val="0"/>
          <w:numId w:val="67"/>
        </w:numPr>
        <w:jc w:val="both"/>
      </w:pPr>
      <w:r w:rsidRPr="00BC2F5A">
        <w:rPr>
          <w:rStyle w:val="IntenseReference"/>
          <w:rFonts w:eastAsiaTheme="majorEastAsia"/>
          <w:i w:val="0"/>
          <w:color w:val="auto"/>
        </w:rPr>
        <w:t>Improve monitoring and reporting on Public Investment Projects.</w:t>
      </w:r>
    </w:p>
    <w:p w14:paraId="050ED528" w14:textId="77777777" w:rsidR="00BC2F5A" w:rsidRPr="00BC2F5A" w:rsidRDefault="00BC2F5A" w:rsidP="00B45892">
      <w:pPr>
        <w:pStyle w:val="ListParagraph"/>
        <w:numPr>
          <w:ilvl w:val="0"/>
          <w:numId w:val="67"/>
        </w:numPr>
        <w:jc w:val="both"/>
      </w:pPr>
      <w:r w:rsidRPr="00BC2F5A">
        <w:rPr>
          <w:rStyle w:val="IntenseReference"/>
          <w:rFonts w:eastAsiaTheme="majorEastAsia"/>
          <w:i w:val="0"/>
          <w:color w:val="auto"/>
        </w:rPr>
        <w:t>Improve monitoring and reporting on Public Private Partnerships and Concession Contracts.</w:t>
      </w:r>
    </w:p>
    <w:p w14:paraId="4C655D39" w14:textId="77777777" w:rsidR="00AA13C0" w:rsidRPr="001F151E" w:rsidRDefault="00AA13C0" w:rsidP="002E6AB5">
      <w:pPr>
        <w:spacing w:line="276" w:lineRule="auto"/>
        <w:jc w:val="both"/>
        <w:rPr>
          <w:rStyle w:val="IntenseReference"/>
          <w:rFonts w:eastAsiaTheme="majorEastAsia"/>
          <w:i w:val="0"/>
          <w:iCs/>
          <w:sz w:val="22"/>
          <w:szCs w:val="22"/>
          <w:lang w:val="en-GB"/>
        </w:rPr>
      </w:pPr>
    </w:p>
    <w:p w14:paraId="67B644D9" w14:textId="0E39D24A" w:rsidR="00AA13C0" w:rsidRPr="00484E44" w:rsidRDefault="003C04E6" w:rsidP="002E6AB5">
      <w:pPr>
        <w:pStyle w:val="N-Bold"/>
        <w:spacing w:line="276" w:lineRule="auto"/>
        <w:jc w:val="both"/>
        <w:rPr>
          <w:rStyle w:val="IntenseReference"/>
          <w:rFonts w:eastAsiaTheme="majorEastAsia"/>
          <w:i w:val="0"/>
          <w:color w:val="auto"/>
          <w:szCs w:val="22"/>
          <w:lang w:val="en-GB"/>
        </w:rPr>
      </w:pPr>
      <w:r>
        <w:rPr>
          <w:rStyle w:val="IntenseReference"/>
          <w:rFonts w:eastAsiaTheme="majorEastAsia"/>
          <w:i w:val="0"/>
          <w:color w:val="auto"/>
          <w:szCs w:val="22"/>
          <w:lang w:val="en-GB"/>
        </w:rPr>
        <w:t>Pillar</w:t>
      </w:r>
      <w:r w:rsidRPr="001F151E">
        <w:rPr>
          <w:rStyle w:val="IntenseReference"/>
          <w:rFonts w:eastAsiaTheme="majorEastAsia"/>
          <w:i w:val="0"/>
          <w:color w:val="auto"/>
          <w:szCs w:val="22"/>
          <w:lang w:val="en-GB"/>
        </w:rPr>
        <w:t xml:space="preserve"> </w:t>
      </w:r>
      <w:r w:rsidR="00AA13C0" w:rsidRPr="001F151E">
        <w:rPr>
          <w:rStyle w:val="IntenseReference"/>
          <w:rFonts w:eastAsiaTheme="majorEastAsia"/>
          <w:i w:val="0"/>
          <w:color w:val="auto"/>
          <w:szCs w:val="22"/>
          <w:lang w:val="en-GB"/>
        </w:rPr>
        <w:t>3: Revenue mobilisation and management</w:t>
      </w:r>
    </w:p>
    <w:p w14:paraId="567C1D4F" w14:textId="77777777" w:rsidR="00AA13C0" w:rsidRPr="001F151E" w:rsidRDefault="00AA13C0" w:rsidP="002E6AB5">
      <w:pPr>
        <w:spacing w:line="276" w:lineRule="auto"/>
        <w:jc w:val="both"/>
        <w:rPr>
          <w:rStyle w:val="IntenseReference"/>
          <w:rFonts w:eastAsiaTheme="majorEastAsia"/>
          <w:color w:val="auto"/>
          <w:szCs w:val="22"/>
          <w:lang w:val="en-GB"/>
        </w:rPr>
      </w:pPr>
      <w:r w:rsidRPr="001F151E">
        <w:rPr>
          <w:rStyle w:val="IntenseReference"/>
          <w:rFonts w:eastAsiaTheme="majorEastAsia"/>
          <w:color w:val="auto"/>
          <w:szCs w:val="22"/>
          <w:lang w:val="en-GB"/>
        </w:rPr>
        <w:t xml:space="preserve">Domestic revenue mobilisation is increased through developing and implementing advanced tax policies and the systems for tax and customs management are further improved and where applicable aligned to the EU legal requirements. The Medium Term Revenue Strategy is implemented, regularly updated and tax reforms are adequately managed. </w:t>
      </w:r>
    </w:p>
    <w:p w14:paraId="727D4FCA" w14:textId="77777777" w:rsidR="00AA13C0" w:rsidRPr="001F151E" w:rsidRDefault="00AA13C0" w:rsidP="002E6AB5">
      <w:pPr>
        <w:spacing w:line="276" w:lineRule="auto"/>
        <w:jc w:val="both"/>
        <w:rPr>
          <w:rStyle w:val="IntenseReference"/>
          <w:rFonts w:eastAsiaTheme="majorEastAsia"/>
          <w:color w:val="auto"/>
          <w:szCs w:val="22"/>
          <w:lang w:val="en-GB"/>
        </w:rPr>
      </w:pPr>
    </w:p>
    <w:p w14:paraId="384C1BF3" w14:textId="46F5CF03" w:rsidR="00C768A1" w:rsidRPr="00C768A1" w:rsidRDefault="00C768A1" w:rsidP="00B45892">
      <w:pPr>
        <w:pStyle w:val="ListParagraph"/>
        <w:numPr>
          <w:ilvl w:val="0"/>
          <w:numId w:val="98"/>
        </w:numPr>
        <w:spacing w:line="276" w:lineRule="auto"/>
        <w:jc w:val="both"/>
        <w:rPr>
          <w:rStyle w:val="IntenseReference"/>
          <w:i w:val="0"/>
          <w:color w:val="auto"/>
          <w:lang w:val="en-GB"/>
        </w:rPr>
      </w:pPr>
      <w:r w:rsidRPr="00C768A1">
        <w:rPr>
          <w:rStyle w:val="IntenseReference"/>
          <w:i w:val="0"/>
          <w:color w:val="auto"/>
          <w:lang w:val="en-GB"/>
        </w:rPr>
        <w:t>Enhance the institutional capacity to analyse and develop tax policies and to manage tax reforms</w:t>
      </w:r>
      <w:r>
        <w:rPr>
          <w:rStyle w:val="IntenseReference"/>
          <w:i w:val="0"/>
          <w:color w:val="auto"/>
          <w:lang w:val="en-GB"/>
        </w:rPr>
        <w:t>.</w:t>
      </w:r>
      <w:r w:rsidRPr="00C768A1">
        <w:rPr>
          <w:rStyle w:val="IntenseReference"/>
          <w:i w:val="0"/>
          <w:color w:val="auto"/>
          <w:lang w:val="en-GB"/>
        </w:rPr>
        <w:t xml:space="preserve"> </w:t>
      </w:r>
    </w:p>
    <w:p w14:paraId="5AD8FC26" w14:textId="5F137417" w:rsidR="00C768A1" w:rsidRPr="00C768A1" w:rsidRDefault="00C768A1" w:rsidP="00B45892">
      <w:pPr>
        <w:pStyle w:val="ListParagraph"/>
        <w:numPr>
          <w:ilvl w:val="0"/>
          <w:numId w:val="98"/>
        </w:numPr>
        <w:spacing w:line="276" w:lineRule="auto"/>
        <w:jc w:val="both"/>
        <w:rPr>
          <w:rStyle w:val="IntenseReference"/>
          <w:i w:val="0"/>
          <w:color w:val="auto"/>
          <w:lang w:val="en-GB"/>
        </w:rPr>
      </w:pPr>
      <w:r w:rsidRPr="00C768A1">
        <w:rPr>
          <w:rStyle w:val="IntenseReference"/>
          <w:i w:val="0"/>
          <w:color w:val="auto"/>
          <w:lang w:val="en-GB"/>
        </w:rPr>
        <w:t>Develop and implement initiatives to reduce the VAT compliance gap</w:t>
      </w:r>
      <w:r>
        <w:rPr>
          <w:rStyle w:val="IntenseReference"/>
          <w:i w:val="0"/>
          <w:color w:val="auto"/>
          <w:lang w:val="en-GB"/>
        </w:rPr>
        <w:t>.</w:t>
      </w:r>
    </w:p>
    <w:p w14:paraId="514E2F3F" w14:textId="08597392" w:rsidR="00C768A1" w:rsidRPr="00C768A1" w:rsidRDefault="00C768A1" w:rsidP="00B45892">
      <w:pPr>
        <w:pStyle w:val="ListParagraph"/>
        <w:numPr>
          <w:ilvl w:val="0"/>
          <w:numId w:val="98"/>
        </w:numPr>
        <w:spacing w:line="276" w:lineRule="auto"/>
        <w:jc w:val="both"/>
        <w:rPr>
          <w:rStyle w:val="IntenseReference"/>
          <w:i w:val="0"/>
          <w:color w:val="auto"/>
          <w:lang w:val="en-GB"/>
        </w:rPr>
      </w:pPr>
      <w:r w:rsidRPr="00C768A1">
        <w:rPr>
          <w:rStyle w:val="IntenseReference"/>
          <w:i w:val="0"/>
          <w:color w:val="auto"/>
          <w:lang w:val="en-GB"/>
        </w:rPr>
        <w:t>Develop and implement an integrated approach to reduce under and undeclared work</w:t>
      </w:r>
      <w:r>
        <w:rPr>
          <w:rStyle w:val="IntenseReference"/>
          <w:i w:val="0"/>
          <w:color w:val="auto"/>
          <w:lang w:val="en-GB"/>
        </w:rPr>
        <w:t>.</w:t>
      </w:r>
    </w:p>
    <w:p w14:paraId="3F775DE0" w14:textId="6AB35A04" w:rsidR="00C768A1" w:rsidRPr="00C768A1" w:rsidRDefault="00C768A1" w:rsidP="00B45892">
      <w:pPr>
        <w:pStyle w:val="ListParagraph"/>
        <w:numPr>
          <w:ilvl w:val="0"/>
          <w:numId w:val="98"/>
        </w:numPr>
        <w:spacing w:line="276" w:lineRule="auto"/>
        <w:jc w:val="both"/>
        <w:rPr>
          <w:rStyle w:val="IntenseReference"/>
          <w:i w:val="0"/>
          <w:color w:val="auto"/>
          <w:lang w:val="en-GB"/>
        </w:rPr>
      </w:pPr>
      <w:r w:rsidRPr="00C768A1">
        <w:rPr>
          <w:rStyle w:val="IntenseReference"/>
          <w:i w:val="0"/>
          <w:color w:val="auto"/>
          <w:lang w:val="en-GB"/>
        </w:rPr>
        <w:t>Ensure taxation of any unjustified wealth inside and outside the country</w:t>
      </w:r>
      <w:r>
        <w:rPr>
          <w:rStyle w:val="IntenseReference"/>
          <w:i w:val="0"/>
          <w:color w:val="auto"/>
          <w:lang w:val="en-GB"/>
        </w:rPr>
        <w:t>.</w:t>
      </w:r>
    </w:p>
    <w:p w14:paraId="615939FB" w14:textId="68136531" w:rsidR="00C768A1" w:rsidRPr="00C768A1" w:rsidRDefault="00C768A1" w:rsidP="00B45892">
      <w:pPr>
        <w:pStyle w:val="ListParagraph"/>
        <w:numPr>
          <w:ilvl w:val="0"/>
          <w:numId w:val="98"/>
        </w:numPr>
        <w:spacing w:line="276" w:lineRule="auto"/>
        <w:jc w:val="both"/>
        <w:rPr>
          <w:rStyle w:val="IntenseReference"/>
          <w:i w:val="0"/>
          <w:color w:val="auto"/>
          <w:lang w:val="en-GB"/>
        </w:rPr>
      </w:pPr>
      <w:r w:rsidRPr="00C768A1">
        <w:rPr>
          <w:rStyle w:val="IntenseReference"/>
          <w:i w:val="0"/>
          <w:color w:val="auto"/>
          <w:lang w:val="en-GB"/>
        </w:rPr>
        <w:t xml:space="preserve">Improve service delivery to </w:t>
      </w:r>
      <w:r w:rsidR="00BB61BA" w:rsidRPr="00C768A1">
        <w:rPr>
          <w:rStyle w:val="IntenseReference"/>
          <w:i w:val="0"/>
          <w:color w:val="auto"/>
          <w:lang w:val="en-GB"/>
        </w:rPr>
        <w:t>taxpayers</w:t>
      </w:r>
      <w:r>
        <w:rPr>
          <w:rStyle w:val="IntenseReference"/>
          <w:i w:val="0"/>
          <w:color w:val="auto"/>
          <w:lang w:val="en-GB"/>
        </w:rPr>
        <w:t>.</w:t>
      </w:r>
    </w:p>
    <w:p w14:paraId="371249B2" w14:textId="6702E132" w:rsidR="00C768A1" w:rsidRPr="00C768A1" w:rsidRDefault="00C768A1" w:rsidP="00B45892">
      <w:pPr>
        <w:pStyle w:val="ListParagraph"/>
        <w:numPr>
          <w:ilvl w:val="0"/>
          <w:numId w:val="98"/>
        </w:numPr>
        <w:spacing w:line="276" w:lineRule="auto"/>
        <w:jc w:val="both"/>
        <w:rPr>
          <w:rStyle w:val="IntenseReference"/>
          <w:i w:val="0"/>
          <w:color w:val="auto"/>
          <w:lang w:val="en-GB"/>
        </w:rPr>
      </w:pPr>
      <w:r w:rsidRPr="00C768A1">
        <w:rPr>
          <w:rStyle w:val="IntenseReference"/>
          <w:i w:val="0"/>
          <w:color w:val="auto"/>
          <w:lang w:val="en-GB"/>
        </w:rPr>
        <w:t>Improve the fiscal cadastre and the property tax collection system</w:t>
      </w:r>
      <w:r>
        <w:rPr>
          <w:rStyle w:val="IntenseReference"/>
          <w:i w:val="0"/>
          <w:color w:val="auto"/>
          <w:lang w:val="en-GB"/>
        </w:rPr>
        <w:t>.</w:t>
      </w:r>
    </w:p>
    <w:p w14:paraId="53A200A3" w14:textId="74862DF4" w:rsidR="00C768A1" w:rsidRPr="00C768A1" w:rsidRDefault="00C768A1" w:rsidP="00B45892">
      <w:pPr>
        <w:pStyle w:val="ListParagraph"/>
        <w:numPr>
          <w:ilvl w:val="0"/>
          <w:numId w:val="98"/>
        </w:numPr>
        <w:spacing w:line="276" w:lineRule="auto"/>
        <w:jc w:val="both"/>
        <w:rPr>
          <w:rStyle w:val="IntenseReference"/>
          <w:i w:val="0"/>
          <w:color w:val="auto"/>
          <w:lang w:val="en-GB"/>
        </w:rPr>
      </w:pPr>
      <w:r w:rsidRPr="00C768A1">
        <w:rPr>
          <w:rStyle w:val="IntenseReference"/>
          <w:i w:val="0"/>
          <w:color w:val="auto"/>
          <w:lang w:val="en-GB"/>
        </w:rPr>
        <w:t>Modernise business and risk management processes of the Customs Administration</w:t>
      </w:r>
      <w:r>
        <w:rPr>
          <w:rStyle w:val="IntenseReference"/>
          <w:i w:val="0"/>
          <w:color w:val="auto"/>
          <w:lang w:val="en-GB"/>
        </w:rPr>
        <w:t>.</w:t>
      </w:r>
    </w:p>
    <w:p w14:paraId="08FF584B" w14:textId="5A9DCDF8" w:rsidR="00C768A1" w:rsidRPr="00C768A1" w:rsidRDefault="00C768A1" w:rsidP="00B45892">
      <w:pPr>
        <w:pStyle w:val="ListParagraph"/>
        <w:numPr>
          <w:ilvl w:val="0"/>
          <w:numId w:val="98"/>
        </w:numPr>
        <w:spacing w:line="276" w:lineRule="auto"/>
        <w:jc w:val="both"/>
        <w:rPr>
          <w:rStyle w:val="IntenseReference"/>
          <w:i w:val="0"/>
          <w:color w:val="auto"/>
          <w:lang w:val="en-GB"/>
        </w:rPr>
      </w:pPr>
      <w:r w:rsidRPr="00C768A1">
        <w:rPr>
          <w:rStyle w:val="IntenseReference"/>
          <w:i w:val="0"/>
          <w:color w:val="auto"/>
          <w:lang w:val="en-GB"/>
        </w:rPr>
        <w:t>Develop integrity framework and fight against informality and corruption</w:t>
      </w:r>
      <w:r>
        <w:rPr>
          <w:rStyle w:val="IntenseReference"/>
          <w:i w:val="0"/>
          <w:color w:val="auto"/>
          <w:lang w:val="en-GB"/>
        </w:rPr>
        <w:t>.</w:t>
      </w:r>
    </w:p>
    <w:p w14:paraId="46EAD803" w14:textId="6CEF3AB8" w:rsidR="00C768A1" w:rsidRPr="00C768A1" w:rsidRDefault="00C768A1" w:rsidP="00B45892">
      <w:pPr>
        <w:pStyle w:val="ListParagraph"/>
        <w:numPr>
          <w:ilvl w:val="0"/>
          <w:numId w:val="98"/>
        </w:numPr>
        <w:spacing w:line="276" w:lineRule="auto"/>
        <w:jc w:val="both"/>
        <w:rPr>
          <w:rStyle w:val="IntenseReference"/>
          <w:i w:val="0"/>
          <w:color w:val="auto"/>
          <w:lang w:val="en-GB"/>
        </w:rPr>
      </w:pPr>
      <w:r w:rsidRPr="00C768A1">
        <w:rPr>
          <w:rStyle w:val="IntenseReference"/>
          <w:i w:val="0"/>
          <w:color w:val="auto"/>
          <w:lang w:val="en-GB"/>
        </w:rPr>
        <w:t>Increase the number of Authorized Economic Operators</w:t>
      </w:r>
      <w:r>
        <w:rPr>
          <w:rStyle w:val="IntenseReference"/>
          <w:i w:val="0"/>
          <w:color w:val="auto"/>
          <w:lang w:val="en-GB"/>
        </w:rPr>
        <w:t>.</w:t>
      </w:r>
    </w:p>
    <w:p w14:paraId="3A6DCFB8" w14:textId="30AC9B02" w:rsidR="00C768A1" w:rsidRPr="00C768A1" w:rsidRDefault="00C768A1" w:rsidP="00B45892">
      <w:pPr>
        <w:pStyle w:val="ListParagraph"/>
        <w:numPr>
          <w:ilvl w:val="0"/>
          <w:numId w:val="98"/>
        </w:numPr>
        <w:spacing w:line="276" w:lineRule="auto"/>
        <w:jc w:val="both"/>
        <w:rPr>
          <w:rStyle w:val="IntenseReference"/>
          <w:i w:val="0"/>
          <w:color w:val="auto"/>
          <w:lang w:val="en-GB"/>
        </w:rPr>
      </w:pPr>
      <w:r w:rsidRPr="00C768A1">
        <w:rPr>
          <w:rStyle w:val="IntenseReference"/>
          <w:i w:val="0"/>
          <w:color w:val="auto"/>
          <w:lang w:val="en-GB"/>
        </w:rPr>
        <w:t>Implement the National Single Window</w:t>
      </w:r>
      <w:r>
        <w:rPr>
          <w:rStyle w:val="IntenseReference"/>
          <w:i w:val="0"/>
          <w:color w:val="auto"/>
          <w:lang w:val="en-GB"/>
        </w:rPr>
        <w:t>.</w:t>
      </w:r>
      <w:r w:rsidRPr="00C768A1">
        <w:rPr>
          <w:rStyle w:val="IntenseReference"/>
          <w:i w:val="0"/>
          <w:color w:val="auto"/>
          <w:lang w:val="en-GB"/>
        </w:rPr>
        <w:t xml:space="preserve"> </w:t>
      </w:r>
    </w:p>
    <w:p w14:paraId="1F8D5CDF" w14:textId="68C3606F" w:rsidR="00AA13C0" w:rsidRDefault="00C768A1" w:rsidP="00B45892">
      <w:pPr>
        <w:pStyle w:val="ListParagraph"/>
        <w:numPr>
          <w:ilvl w:val="0"/>
          <w:numId w:val="98"/>
        </w:numPr>
        <w:spacing w:line="276" w:lineRule="auto"/>
        <w:jc w:val="both"/>
        <w:rPr>
          <w:rStyle w:val="IntenseReference"/>
          <w:i w:val="0"/>
          <w:color w:val="auto"/>
          <w:lang w:val="en-GB"/>
        </w:rPr>
      </w:pPr>
      <w:r w:rsidRPr="00C768A1">
        <w:rPr>
          <w:rStyle w:val="IntenseReference"/>
          <w:i w:val="0"/>
          <w:color w:val="auto"/>
          <w:lang w:val="en-GB"/>
        </w:rPr>
        <w:t>Improve the utilization of the New Computerised Transit System</w:t>
      </w:r>
      <w:r>
        <w:rPr>
          <w:rStyle w:val="IntenseReference"/>
          <w:i w:val="0"/>
          <w:color w:val="auto"/>
          <w:lang w:val="en-GB"/>
        </w:rPr>
        <w:t>.</w:t>
      </w:r>
    </w:p>
    <w:p w14:paraId="263E815F" w14:textId="77777777" w:rsidR="00C768A1" w:rsidRPr="001F151E" w:rsidRDefault="00C768A1" w:rsidP="00C768A1">
      <w:pPr>
        <w:pStyle w:val="ListParagraph"/>
        <w:spacing w:line="276" w:lineRule="auto"/>
        <w:ind w:left="360"/>
        <w:jc w:val="both"/>
        <w:rPr>
          <w:rStyle w:val="IntenseReference"/>
          <w:i w:val="0"/>
          <w:color w:val="auto"/>
          <w:lang w:val="en-GB"/>
        </w:rPr>
      </w:pPr>
    </w:p>
    <w:p w14:paraId="0D309E32" w14:textId="756D3761" w:rsidR="00AA13C0" w:rsidRPr="00484E44" w:rsidRDefault="003C04E6" w:rsidP="002E6AB5">
      <w:pPr>
        <w:pStyle w:val="N-Bold"/>
        <w:spacing w:line="276" w:lineRule="auto"/>
        <w:jc w:val="both"/>
        <w:rPr>
          <w:rStyle w:val="IntenseReference"/>
          <w:rFonts w:eastAsiaTheme="majorEastAsia"/>
          <w:i w:val="0"/>
          <w:color w:val="auto"/>
          <w:szCs w:val="22"/>
          <w:lang w:val="en-GB"/>
        </w:rPr>
      </w:pPr>
      <w:r>
        <w:rPr>
          <w:rStyle w:val="IntenseReference"/>
          <w:rFonts w:eastAsiaTheme="majorEastAsia"/>
          <w:i w:val="0"/>
          <w:color w:val="auto"/>
          <w:szCs w:val="22"/>
          <w:lang w:val="en-GB"/>
        </w:rPr>
        <w:t>Pillar</w:t>
      </w:r>
      <w:r w:rsidRPr="001F151E">
        <w:rPr>
          <w:rStyle w:val="IntenseReference"/>
          <w:rFonts w:eastAsiaTheme="majorEastAsia"/>
          <w:i w:val="0"/>
          <w:color w:val="auto"/>
          <w:szCs w:val="22"/>
          <w:lang w:val="en-GB"/>
        </w:rPr>
        <w:t xml:space="preserve"> </w:t>
      </w:r>
      <w:r w:rsidR="00AA13C0" w:rsidRPr="001F151E">
        <w:rPr>
          <w:rStyle w:val="IntenseReference"/>
          <w:rFonts w:eastAsiaTheme="majorEastAsia"/>
          <w:i w:val="0"/>
          <w:color w:val="auto"/>
          <w:szCs w:val="22"/>
          <w:lang w:val="en-GB"/>
        </w:rPr>
        <w:t>4: Accounting and budget execution management</w:t>
      </w:r>
    </w:p>
    <w:p w14:paraId="1D31AD12" w14:textId="7B9F54B4" w:rsidR="00AA13C0" w:rsidRPr="001F151E" w:rsidRDefault="00AA13C0" w:rsidP="002E6AB5">
      <w:pPr>
        <w:spacing w:line="276" w:lineRule="auto"/>
        <w:jc w:val="both"/>
        <w:rPr>
          <w:rStyle w:val="IntenseReference"/>
          <w:rFonts w:eastAsiaTheme="majorEastAsia"/>
          <w:color w:val="auto"/>
          <w:szCs w:val="22"/>
          <w:lang w:val="en-GB"/>
        </w:rPr>
      </w:pPr>
      <w:r w:rsidRPr="001F151E">
        <w:rPr>
          <w:rStyle w:val="IntenseReference"/>
          <w:rFonts w:eastAsiaTheme="majorEastAsia"/>
          <w:color w:val="auto"/>
          <w:szCs w:val="22"/>
          <w:lang w:val="en-GB"/>
        </w:rPr>
        <w:t xml:space="preserve">Budget execution management practices are strengthened, including improvement and increased utilisation of the AGFIS, implementation of the International Public Accounting Standards reforms facilitating a transition to accrual accounting. The procurement systems are improved and in particular compliance with procurement legislation is secured. Debt and cash management practices are further </w:t>
      </w:r>
      <w:r w:rsidR="0011391C" w:rsidRPr="001F151E">
        <w:rPr>
          <w:rStyle w:val="IntenseReference"/>
          <w:rFonts w:eastAsiaTheme="majorEastAsia"/>
          <w:color w:val="auto"/>
          <w:szCs w:val="22"/>
          <w:lang w:val="en-GB"/>
        </w:rPr>
        <w:t>enhanced,</w:t>
      </w:r>
      <w:r w:rsidRPr="001F151E">
        <w:rPr>
          <w:rStyle w:val="IntenseReference"/>
          <w:rFonts w:eastAsiaTheme="majorEastAsia"/>
          <w:color w:val="auto"/>
          <w:szCs w:val="22"/>
          <w:lang w:val="en-GB"/>
        </w:rPr>
        <w:t xml:space="preserve"> and asset management systems improved.</w:t>
      </w:r>
    </w:p>
    <w:p w14:paraId="15C95B44" w14:textId="77777777" w:rsidR="00AA13C0" w:rsidRPr="001F151E" w:rsidRDefault="00AA13C0" w:rsidP="002E6AB5">
      <w:pPr>
        <w:spacing w:line="276" w:lineRule="auto"/>
        <w:jc w:val="both"/>
        <w:rPr>
          <w:rStyle w:val="IntenseReference"/>
          <w:rFonts w:eastAsiaTheme="majorEastAsia"/>
          <w:i w:val="0"/>
          <w:iCs/>
          <w:color w:val="auto"/>
          <w:szCs w:val="22"/>
          <w:lang w:val="en-GB"/>
        </w:rPr>
      </w:pPr>
    </w:p>
    <w:p w14:paraId="183733CA" w14:textId="18CA87BB" w:rsidR="00396FEA" w:rsidRPr="00396FEA" w:rsidRDefault="00396FEA" w:rsidP="00B45892">
      <w:pPr>
        <w:pStyle w:val="ListParagraph"/>
        <w:numPr>
          <w:ilvl w:val="0"/>
          <w:numId w:val="99"/>
        </w:numPr>
        <w:jc w:val="both"/>
      </w:pPr>
      <w:r w:rsidRPr="00396FEA">
        <w:t xml:space="preserve">Further improve the GFS and EDP statistics with EU standards. </w:t>
      </w:r>
    </w:p>
    <w:p w14:paraId="0DC9350C" w14:textId="00D7FAC6" w:rsidR="00C768A1" w:rsidRPr="00396FEA" w:rsidRDefault="00C768A1" w:rsidP="00B45892">
      <w:pPr>
        <w:pStyle w:val="ListParagraph"/>
        <w:numPr>
          <w:ilvl w:val="0"/>
          <w:numId w:val="99"/>
        </w:numPr>
        <w:jc w:val="both"/>
      </w:pPr>
      <w:r w:rsidRPr="00396FEA">
        <w:t xml:space="preserve">Increase access to and </w:t>
      </w:r>
      <w:r w:rsidR="00BB61BA" w:rsidRPr="00396FEA">
        <w:t>utilization</w:t>
      </w:r>
      <w:r w:rsidRPr="00396FEA">
        <w:t xml:space="preserve"> of AGFIS</w:t>
      </w:r>
      <w:r w:rsidR="00396FEA" w:rsidRPr="00396FEA">
        <w:t>.</w:t>
      </w:r>
    </w:p>
    <w:p w14:paraId="7E4A3BB9" w14:textId="12A68031" w:rsidR="00C768A1" w:rsidRPr="00396FEA" w:rsidRDefault="00C768A1" w:rsidP="00B45892">
      <w:pPr>
        <w:pStyle w:val="ListParagraph"/>
        <w:numPr>
          <w:ilvl w:val="0"/>
          <w:numId w:val="99"/>
        </w:numPr>
        <w:jc w:val="both"/>
      </w:pPr>
      <w:r w:rsidRPr="00396FEA">
        <w:t>Develop the legal and regulatory framework for accounting reforms</w:t>
      </w:r>
      <w:r w:rsidR="00396FEA" w:rsidRPr="00396FEA">
        <w:t>.</w:t>
      </w:r>
    </w:p>
    <w:p w14:paraId="00E22F9B" w14:textId="18908B0E" w:rsidR="00C768A1" w:rsidRPr="00396FEA" w:rsidRDefault="00C768A1" w:rsidP="00B45892">
      <w:pPr>
        <w:pStyle w:val="ListParagraph"/>
        <w:numPr>
          <w:ilvl w:val="0"/>
          <w:numId w:val="99"/>
        </w:numPr>
        <w:jc w:val="both"/>
      </w:pPr>
      <w:r w:rsidRPr="00396FEA">
        <w:t>Improve functionalities of AGFIS to absorb accounting reforms</w:t>
      </w:r>
      <w:r w:rsidR="00396FEA" w:rsidRPr="00396FEA">
        <w:t>.</w:t>
      </w:r>
    </w:p>
    <w:p w14:paraId="0049097B" w14:textId="24F517FF" w:rsidR="00C768A1" w:rsidRPr="00396FEA" w:rsidRDefault="00C768A1" w:rsidP="00B45892">
      <w:pPr>
        <w:pStyle w:val="ListParagraph"/>
        <w:numPr>
          <w:ilvl w:val="0"/>
          <w:numId w:val="99"/>
        </w:numPr>
        <w:jc w:val="both"/>
      </w:pPr>
      <w:r w:rsidRPr="00396FEA">
        <w:t xml:space="preserve">Prepare, deliver and </w:t>
      </w:r>
      <w:r w:rsidR="00BB61BA" w:rsidRPr="00396FEA">
        <w:t>institutionalize</w:t>
      </w:r>
      <w:r w:rsidRPr="00396FEA">
        <w:t xml:space="preserve"> capacity development of accountants to absorb accounting reforms</w:t>
      </w:r>
      <w:r w:rsidR="00396FEA" w:rsidRPr="00396FEA">
        <w:t>.</w:t>
      </w:r>
    </w:p>
    <w:p w14:paraId="0CFD61B2" w14:textId="1BDA660A" w:rsidR="00C768A1" w:rsidRPr="00396FEA" w:rsidRDefault="00C768A1" w:rsidP="00B45892">
      <w:pPr>
        <w:pStyle w:val="ListParagraph"/>
        <w:numPr>
          <w:ilvl w:val="0"/>
          <w:numId w:val="99"/>
        </w:numPr>
        <w:jc w:val="both"/>
      </w:pPr>
      <w:r w:rsidRPr="00396FEA">
        <w:t xml:space="preserve">Improve </w:t>
      </w:r>
      <w:r w:rsidR="003457F7">
        <w:t>quality and efficiency in procurement procedures</w:t>
      </w:r>
      <w:r w:rsidR="00396FEA" w:rsidRPr="00396FEA">
        <w:t>.</w:t>
      </w:r>
    </w:p>
    <w:p w14:paraId="6F999681" w14:textId="2C59E854" w:rsidR="00C768A1" w:rsidRPr="00396FEA" w:rsidRDefault="00C768A1" w:rsidP="00B45892">
      <w:pPr>
        <w:pStyle w:val="ListParagraph"/>
        <w:numPr>
          <w:ilvl w:val="0"/>
          <w:numId w:val="99"/>
        </w:numPr>
        <w:jc w:val="both"/>
      </w:pPr>
      <w:r w:rsidRPr="00396FEA">
        <w:t xml:space="preserve">Design and </w:t>
      </w:r>
      <w:r w:rsidR="00BB61BA" w:rsidRPr="00396FEA">
        <w:t>implement</w:t>
      </w:r>
      <w:r w:rsidRPr="00396FEA">
        <w:t xml:space="preserve"> green public procurement</w:t>
      </w:r>
      <w:r w:rsidR="00396FEA" w:rsidRPr="00396FEA">
        <w:t>.</w:t>
      </w:r>
    </w:p>
    <w:p w14:paraId="722FC713" w14:textId="76E2CE4B" w:rsidR="00C768A1" w:rsidRPr="00396FEA" w:rsidRDefault="00C768A1" w:rsidP="00B45892">
      <w:pPr>
        <w:pStyle w:val="ListParagraph"/>
        <w:numPr>
          <w:ilvl w:val="0"/>
          <w:numId w:val="99"/>
        </w:numPr>
        <w:jc w:val="both"/>
      </w:pPr>
      <w:r w:rsidRPr="00396FEA">
        <w:t>Enhance the efficiency of the complaint review system by increasing the speed of decision-making</w:t>
      </w:r>
      <w:r w:rsidR="00396FEA" w:rsidRPr="00396FEA">
        <w:t>.</w:t>
      </w:r>
    </w:p>
    <w:p w14:paraId="2DF5199E" w14:textId="761114CB" w:rsidR="00C768A1" w:rsidRDefault="00C768A1" w:rsidP="00B45892">
      <w:pPr>
        <w:pStyle w:val="ListParagraph"/>
        <w:numPr>
          <w:ilvl w:val="0"/>
          <w:numId w:val="99"/>
        </w:numPr>
        <w:jc w:val="both"/>
      </w:pPr>
      <w:r w:rsidRPr="00396FEA">
        <w:t>Improve the legal and institutional framework for concessions and public-private partnership</w:t>
      </w:r>
      <w:r w:rsidR="00396FEA" w:rsidRPr="00396FEA">
        <w:t>.</w:t>
      </w:r>
    </w:p>
    <w:p w14:paraId="3704EA63" w14:textId="74317BE2" w:rsidR="00396FEA" w:rsidRDefault="00396FEA" w:rsidP="00B45892">
      <w:pPr>
        <w:pStyle w:val="ListParagraph"/>
        <w:numPr>
          <w:ilvl w:val="0"/>
          <w:numId w:val="99"/>
        </w:numPr>
      </w:pPr>
      <w:r w:rsidRPr="001F151E">
        <w:t>Strengthening of debt management reporting and Investor Relations</w:t>
      </w:r>
      <w:r>
        <w:t>.</w:t>
      </w:r>
    </w:p>
    <w:p w14:paraId="52A09F72" w14:textId="296A722F" w:rsidR="00396FEA" w:rsidRDefault="00396FEA" w:rsidP="00B45892">
      <w:pPr>
        <w:pStyle w:val="ListParagraph"/>
        <w:numPr>
          <w:ilvl w:val="0"/>
          <w:numId w:val="99"/>
        </w:numPr>
      </w:pPr>
      <w:r w:rsidRPr="001F151E">
        <w:t>Developing a comprehensive framework for provision of guarantees and on-lending</w:t>
      </w:r>
      <w:r>
        <w:t>.</w:t>
      </w:r>
    </w:p>
    <w:p w14:paraId="7711BD31" w14:textId="337FE758" w:rsidR="00396FEA" w:rsidRDefault="00396FEA" w:rsidP="00B45892">
      <w:pPr>
        <w:pStyle w:val="ListParagraph"/>
        <w:numPr>
          <w:ilvl w:val="0"/>
          <w:numId w:val="99"/>
        </w:numPr>
      </w:pPr>
      <w:r>
        <w:t>G</w:t>
      </w:r>
      <w:r w:rsidRPr="001F151E">
        <w:t xml:space="preserve">radually start to develop the necessary assessment for the new alternative financing </w:t>
      </w:r>
      <w:r w:rsidR="00BB61BA" w:rsidRPr="001F151E">
        <w:t>instruments (</w:t>
      </w:r>
      <w:r w:rsidRPr="001F151E">
        <w:t>Green, Social or Sustainability or other Instruments).</w:t>
      </w:r>
    </w:p>
    <w:p w14:paraId="7E93E666" w14:textId="73AB3788" w:rsidR="00396FEA" w:rsidRDefault="00396FEA" w:rsidP="00B45892">
      <w:pPr>
        <w:pStyle w:val="ListParagraph"/>
        <w:numPr>
          <w:ilvl w:val="0"/>
          <w:numId w:val="99"/>
        </w:numPr>
      </w:pPr>
      <w:r w:rsidRPr="001F151E">
        <w:t>Improve cash forecasting process</w:t>
      </w:r>
      <w:r>
        <w:t>.</w:t>
      </w:r>
    </w:p>
    <w:p w14:paraId="0AFAE2F3" w14:textId="0A7E6108" w:rsidR="00396FEA" w:rsidRDefault="00396FEA" w:rsidP="00B45892">
      <w:pPr>
        <w:pStyle w:val="ListParagraph"/>
        <w:numPr>
          <w:ilvl w:val="0"/>
          <w:numId w:val="99"/>
        </w:numPr>
      </w:pPr>
      <w:r w:rsidRPr="001F151E">
        <w:t>Introduce a comprehensive performance monitoring system for cash forecasting</w:t>
      </w:r>
      <w:r>
        <w:t>.</w:t>
      </w:r>
    </w:p>
    <w:p w14:paraId="55E13C8C" w14:textId="2D5D36DD" w:rsidR="00396FEA" w:rsidRDefault="00396FEA" w:rsidP="00B45892">
      <w:pPr>
        <w:pStyle w:val="ListParagraph"/>
        <w:numPr>
          <w:ilvl w:val="0"/>
          <w:numId w:val="99"/>
        </w:numPr>
      </w:pPr>
      <w:r w:rsidRPr="001F151E">
        <w:t>Enhance cash management instruments</w:t>
      </w:r>
      <w:r>
        <w:t>.</w:t>
      </w:r>
    </w:p>
    <w:p w14:paraId="3CDCB082" w14:textId="06BABD34" w:rsidR="00396FEA" w:rsidRDefault="00BB61BA" w:rsidP="00B45892">
      <w:pPr>
        <w:pStyle w:val="ListParagraph"/>
        <w:numPr>
          <w:ilvl w:val="0"/>
          <w:numId w:val="99"/>
        </w:numPr>
      </w:pPr>
      <w:r w:rsidRPr="001F151E">
        <w:t>Finalize</w:t>
      </w:r>
      <w:r w:rsidR="00396FEA" w:rsidRPr="001F151E">
        <w:t xml:space="preserve"> reform on asset register module in AGFIS for accounting purposes</w:t>
      </w:r>
      <w:r w:rsidR="00396FEA">
        <w:t>.</w:t>
      </w:r>
    </w:p>
    <w:p w14:paraId="2BC9AE2D" w14:textId="77777777" w:rsidR="00AA13C0" w:rsidRPr="001F151E" w:rsidRDefault="00AA13C0" w:rsidP="002E6AB5">
      <w:pPr>
        <w:spacing w:line="276" w:lineRule="auto"/>
        <w:jc w:val="both"/>
        <w:rPr>
          <w:rStyle w:val="IntenseReference"/>
          <w:lang w:val="en-GB"/>
        </w:rPr>
      </w:pPr>
    </w:p>
    <w:p w14:paraId="732BCD82" w14:textId="287CF4D2" w:rsidR="00AA13C0" w:rsidRPr="00484E44" w:rsidRDefault="003C04E6" w:rsidP="002E6AB5">
      <w:pPr>
        <w:pStyle w:val="N-Bold"/>
        <w:spacing w:line="276" w:lineRule="auto"/>
        <w:jc w:val="both"/>
        <w:rPr>
          <w:rStyle w:val="IntenseReference"/>
          <w:rFonts w:eastAsiaTheme="majorEastAsia"/>
          <w:i w:val="0"/>
          <w:color w:val="auto"/>
          <w:szCs w:val="22"/>
          <w:lang w:val="en-GB"/>
        </w:rPr>
      </w:pPr>
      <w:r>
        <w:rPr>
          <w:rStyle w:val="IntenseReference"/>
          <w:rFonts w:eastAsiaTheme="majorEastAsia"/>
          <w:i w:val="0"/>
          <w:color w:val="auto"/>
          <w:szCs w:val="22"/>
          <w:lang w:val="en-GB"/>
        </w:rPr>
        <w:t>Pillar</w:t>
      </w:r>
      <w:r w:rsidRPr="001F151E">
        <w:rPr>
          <w:rStyle w:val="IntenseReference"/>
          <w:rFonts w:eastAsiaTheme="majorEastAsia"/>
          <w:i w:val="0"/>
          <w:color w:val="auto"/>
          <w:szCs w:val="22"/>
          <w:lang w:val="en-GB"/>
        </w:rPr>
        <w:t xml:space="preserve"> </w:t>
      </w:r>
      <w:r w:rsidR="00AA13C0" w:rsidRPr="001F151E">
        <w:rPr>
          <w:rStyle w:val="IntenseReference"/>
          <w:rFonts w:eastAsiaTheme="majorEastAsia"/>
          <w:i w:val="0"/>
          <w:color w:val="auto"/>
          <w:szCs w:val="22"/>
          <w:lang w:val="en-GB"/>
        </w:rPr>
        <w:t>5: Public Internal Financial Control</w:t>
      </w:r>
    </w:p>
    <w:p w14:paraId="7277FA45" w14:textId="4952E337" w:rsidR="00AA13C0" w:rsidRPr="001F151E" w:rsidRDefault="00AA13C0" w:rsidP="002E6AB5">
      <w:pPr>
        <w:spacing w:line="276" w:lineRule="auto"/>
        <w:jc w:val="both"/>
        <w:rPr>
          <w:rStyle w:val="IntenseReference"/>
          <w:rFonts w:eastAsiaTheme="majorEastAsia"/>
          <w:color w:val="auto"/>
          <w:szCs w:val="22"/>
          <w:lang w:val="en-GB"/>
        </w:rPr>
      </w:pPr>
      <w:r w:rsidRPr="001F151E">
        <w:rPr>
          <w:rStyle w:val="IntenseReference"/>
          <w:rFonts w:eastAsiaTheme="majorEastAsia"/>
          <w:color w:val="auto"/>
          <w:szCs w:val="22"/>
          <w:lang w:val="en-GB"/>
        </w:rPr>
        <w:t>The systems for Public Internal Financial Control are further enhanced in compliance with EU accepted practices for sound financial management. The concept of managerial accountability and delegation of authorities is strengthen</w:t>
      </w:r>
      <w:r w:rsidR="00FC2C24">
        <w:rPr>
          <w:rStyle w:val="IntenseReference"/>
          <w:rFonts w:eastAsiaTheme="majorEastAsia"/>
          <w:color w:val="auto"/>
          <w:szCs w:val="22"/>
          <w:lang w:val="en-GB"/>
        </w:rPr>
        <w:t>ed</w:t>
      </w:r>
      <w:r w:rsidRPr="001F151E">
        <w:rPr>
          <w:rStyle w:val="IntenseReference"/>
          <w:rFonts w:eastAsiaTheme="majorEastAsia"/>
          <w:color w:val="auto"/>
          <w:szCs w:val="22"/>
          <w:lang w:val="en-GB"/>
        </w:rPr>
        <w:t xml:space="preserve"> and all Financial Management and Control gaps in public institutions are addressed. Added-value internal audits are implemented in all public institutions in accordance with applicable standards. Fraud and irregularity cases are effectively addressed by the public financial inspection and the AFCOS network implements the anti-fraud strategy. Adequate financial management systems are in place to absorb IPA-III and future EU financial support.</w:t>
      </w:r>
    </w:p>
    <w:p w14:paraId="7FC9279E" w14:textId="77777777" w:rsidR="00AA13C0" w:rsidRPr="001F151E" w:rsidRDefault="00AA13C0" w:rsidP="002E6AB5">
      <w:pPr>
        <w:spacing w:line="276" w:lineRule="auto"/>
        <w:jc w:val="both"/>
        <w:rPr>
          <w:rStyle w:val="IntenseReference"/>
          <w:rFonts w:eastAsiaTheme="majorEastAsia"/>
          <w:i w:val="0"/>
          <w:iCs/>
          <w:color w:val="auto"/>
          <w:szCs w:val="22"/>
          <w:lang w:val="en-GB"/>
        </w:rPr>
      </w:pPr>
    </w:p>
    <w:p w14:paraId="26E3ECB2" w14:textId="4BEF4491" w:rsidR="00BB61BA" w:rsidRDefault="00BB61BA" w:rsidP="00B45892">
      <w:pPr>
        <w:pStyle w:val="ListParagraph"/>
        <w:numPr>
          <w:ilvl w:val="0"/>
          <w:numId w:val="68"/>
        </w:numPr>
        <w:jc w:val="both"/>
      </w:pPr>
      <w:r w:rsidRPr="001F151E">
        <w:t>Enhance legal and regulatory framework for FMC</w:t>
      </w:r>
      <w:r>
        <w:t>.</w:t>
      </w:r>
    </w:p>
    <w:p w14:paraId="10FC3C10" w14:textId="3526569A" w:rsidR="00BB61BA" w:rsidRDefault="00BB61BA" w:rsidP="00B45892">
      <w:pPr>
        <w:pStyle w:val="ListParagraph"/>
        <w:numPr>
          <w:ilvl w:val="0"/>
          <w:numId w:val="68"/>
        </w:numPr>
        <w:jc w:val="both"/>
      </w:pPr>
      <w:r w:rsidRPr="001F151E">
        <w:t>Enhance Managerial Accountability in public institutions</w:t>
      </w:r>
      <w:r>
        <w:t>.</w:t>
      </w:r>
    </w:p>
    <w:p w14:paraId="3798EBA8" w14:textId="1AD52950" w:rsidR="00BB61BA" w:rsidRDefault="00BB61BA" w:rsidP="00B45892">
      <w:pPr>
        <w:pStyle w:val="ListParagraph"/>
        <w:numPr>
          <w:ilvl w:val="0"/>
          <w:numId w:val="68"/>
        </w:numPr>
        <w:jc w:val="both"/>
      </w:pPr>
      <w:r w:rsidRPr="001F151E">
        <w:t>Strengthen Risk Management practices</w:t>
      </w:r>
      <w:r>
        <w:t>.</w:t>
      </w:r>
    </w:p>
    <w:p w14:paraId="00956E91" w14:textId="7E9EB3F5" w:rsidR="00BB61BA" w:rsidRDefault="00BB61BA" w:rsidP="00B45892">
      <w:pPr>
        <w:pStyle w:val="ListParagraph"/>
        <w:numPr>
          <w:ilvl w:val="0"/>
          <w:numId w:val="68"/>
        </w:numPr>
        <w:jc w:val="both"/>
      </w:pPr>
      <w:r w:rsidRPr="001F151E">
        <w:t>Enhance FMC quality assessment and improvement in public institutions</w:t>
      </w:r>
      <w:r>
        <w:t>.</w:t>
      </w:r>
    </w:p>
    <w:p w14:paraId="7FBF5EAE" w14:textId="296AAC4D" w:rsidR="00BB61BA" w:rsidRDefault="00BB61BA" w:rsidP="00B45892">
      <w:pPr>
        <w:pStyle w:val="ListParagraph"/>
        <w:numPr>
          <w:ilvl w:val="0"/>
          <w:numId w:val="68"/>
        </w:numPr>
        <w:jc w:val="both"/>
      </w:pPr>
      <w:r w:rsidRPr="001F151E">
        <w:t>Continue oversight and expand support services to public institutions and internal audit teams</w:t>
      </w:r>
      <w:r>
        <w:t>.</w:t>
      </w:r>
    </w:p>
    <w:p w14:paraId="6BA02748" w14:textId="1AF75537" w:rsidR="00BB61BA" w:rsidRDefault="00BB61BA" w:rsidP="00B45892">
      <w:pPr>
        <w:pStyle w:val="ListParagraph"/>
        <w:numPr>
          <w:ilvl w:val="0"/>
          <w:numId w:val="68"/>
        </w:numPr>
        <w:jc w:val="both"/>
      </w:pPr>
      <w:r w:rsidRPr="001F151E">
        <w:t>Professionalize core internal audit practices through developing guidelines and delivering capacity building activitie</w:t>
      </w:r>
      <w:r>
        <w:t>s.</w:t>
      </w:r>
    </w:p>
    <w:p w14:paraId="7A0FD416" w14:textId="374C7A53" w:rsidR="00BB61BA" w:rsidRDefault="00BB61BA" w:rsidP="00B45892">
      <w:pPr>
        <w:pStyle w:val="ListParagraph"/>
        <w:numPr>
          <w:ilvl w:val="0"/>
          <w:numId w:val="68"/>
        </w:numPr>
        <w:jc w:val="both"/>
      </w:pPr>
      <w:r>
        <w:t>E</w:t>
      </w:r>
      <w:r w:rsidRPr="001F151E">
        <w:t>nhance collaboration with Internal Audit and ALSAI</w:t>
      </w:r>
      <w:r>
        <w:t>.</w:t>
      </w:r>
    </w:p>
    <w:p w14:paraId="4C485597" w14:textId="5A9DB8F3" w:rsidR="00BB61BA" w:rsidRPr="00022F54" w:rsidRDefault="00022F54" w:rsidP="00B45892">
      <w:pPr>
        <w:pStyle w:val="ListParagraph"/>
        <w:numPr>
          <w:ilvl w:val="0"/>
          <w:numId w:val="68"/>
        </w:numPr>
        <w:jc w:val="both"/>
      </w:pPr>
      <w:r w:rsidRPr="00022F54">
        <w:t>Coordinate the drafting and monitoring of the National Anti-fraud Strategy for the protection of the EU financial interests</w:t>
      </w:r>
      <w:r w:rsidR="00BB61BA" w:rsidRPr="00022F54">
        <w:t>.</w:t>
      </w:r>
    </w:p>
    <w:p w14:paraId="0E08569A" w14:textId="418360DF" w:rsidR="00BB61BA" w:rsidRDefault="00BB61BA" w:rsidP="00B45892">
      <w:pPr>
        <w:pStyle w:val="ListParagraph"/>
        <w:numPr>
          <w:ilvl w:val="0"/>
          <w:numId w:val="68"/>
        </w:numPr>
        <w:jc w:val="both"/>
      </w:pPr>
      <w:r w:rsidRPr="001F151E">
        <w:lastRenderedPageBreak/>
        <w:t>Establishment of IPA III legal framework</w:t>
      </w:r>
      <w:r>
        <w:t>.</w:t>
      </w:r>
    </w:p>
    <w:p w14:paraId="70EF1621" w14:textId="42DB16FE" w:rsidR="00BB61BA" w:rsidRDefault="00BB61BA" w:rsidP="00B45892">
      <w:pPr>
        <w:pStyle w:val="ListParagraph"/>
        <w:numPr>
          <w:ilvl w:val="0"/>
          <w:numId w:val="68"/>
        </w:numPr>
        <w:jc w:val="both"/>
      </w:pPr>
      <w:r w:rsidRPr="001F151E">
        <w:t>Develop and implement regulations and procedures for IPA III management. Enhance the capacities of IPA III structures</w:t>
      </w:r>
      <w:r>
        <w:t>.</w:t>
      </w:r>
    </w:p>
    <w:p w14:paraId="1F30D512" w14:textId="41BBB386" w:rsidR="00BB61BA" w:rsidRDefault="00BB61BA" w:rsidP="00B45892">
      <w:pPr>
        <w:pStyle w:val="ListParagraph"/>
        <w:numPr>
          <w:ilvl w:val="0"/>
          <w:numId w:val="68"/>
        </w:numPr>
        <w:jc w:val="both"/>
      </w:pPr>
      <w:r w:rsidRPr="001F151E">
        <w:t>Enhance financial adjustment and/or Recovery procedures for EU F</w:t>
      </w:r>
      <w:r w:rsidR="003457F7">
        <w:t xml:space="preserve">unds in line with national and </w:t>
      </w:r>
      <w:r w:rsidRPr="001F151E">
        <w:t>IPA III legal requirements</w:t>
      </w:r>
      <w:r>
        <w:t>.</w:t>
      </w:r>
    </w:p>
    <w:p w14:paraId="47EF3D83" w14:textId="2B24F4CD" w:rsidR="00AA13C0" w:rsidRDefault="00BB61BA" w:rsidP="00B45892">
      <w:pPr>
        <w:pStyle w:val="ListParagraph"/>
        <w:numPr>
          <w:ilvl w:val="0"/>
          <w:numId w:val="68"/>
        </w:numPr>
        <w:jc w:val="both"/>
      </w:pPr>
      <w:r w:rsidRPr="001F151E">
        <w:t>Take stock of requirements for managing future EU funds and d</w:t>
      </w:r>
      <w:r w:rsidR="003457F7">
        <w:t>evelop an action plan, within the framework of Chapter 22, which will determine the needs for improving the legal framework</w:t>
      </w:r>
      <w:r w:rsidR="00420362">
        <w:t xml:space="preserve"> of funds management</w:t>
      </w:r>
      <w:r>
        <w:t>.</w:t>
      </w:r>
    </w:p>
    <w:p w14:paraId="43D01B30" w14:textId="1696DCB8" w:rsidR="00420362" w:rsidRPr="00BB61BA" w:rsidRDefault="00420362" w:rsidP="00B45892">
      <w:pPr>
        <w:pStyle w:val="ListParagraph"/>
        <w:numPr>
          <w:ilvl w:val="0"/>
          <w:numId w:val="68"/>
        </w:numPr>
        <w:jc w:val="both"/>
        <w:rPr>
          <w:rStyle w:val="IntenseReference"/>
          <w:i w:val="0"/>
          <w:color w:val="auto"/>
        </w:rPr>
      </w:pPr>
      <w:r>
        <w:rPr>
          <w:rStyle w:val="IntenseReference"/>
          <w:i w:val="0"/>
          <w:color w:val="auto"/>
        </w:rPr>
        <w:t>Development of Simplified Cost Options (SCO)</w:t>
      </w:r>
    </w:p>
    <w:p w14:paraId="4017B6DD" w14:textId="77777777" w:rsidR="00AA13C0" w:rsidRPr="001F151E" w:rsidRDefault="00AA13C0" w:rsidP="002E6AB5">
      <w:pPr>
        <w:spacing w:line="276" w:lineRule="auto"/>
        <w:jc w:val="both"/>
        <w:rPr>
          <w:rStyle w:val="IntenseReference"/>
          <w:rFonts w:eastAsiaTheme="majorEastAsia"/>
          <w:i w:val="0"/>
          <w:color w:val="auto"/>
          <w:szCs w:val="22"/>
          <w:lang w:val="en-GB"/>
        </w:rPr>
      </w:pPr>
    </w:p>
    <w:p w14:paraId="68CF01D1" w14:textId="065223FD" w:rsidR="00AA13C0" w:rsidRPr="00484E44" w:rsidRDefault="003C04E6" w:rsidP="002E6AB5">
      <w:pPr>
        <w:pStyle w:val="N-Bold"/>
        <w:spacing w:line="276" w:lineRule="auto"/>
        <w:jc w:val="both"/>
        <w:rPr>
          <w:rStyle w:val="IntenseReference"/>
          <w:rFonts w:eastAsiaTheme="majorEastAsia"/>
          <w:i w:val="0"/>
          <w:color w:val="auto"/>
          <w:szCs w:val="22"/>
          <w:lang w:val="en-GB"/>
        </w:rPr>
      </w:pPr>
      <w:r>
        <w:rPr>
          <w:rStyle w:val="IntenseReference"/>
          <w:rFonts w:eastAsiaTheme="majorEastAsia"/>
          <w:i w:val="0"/>
          <w:color w:val="auto"/>
          <w:szCs w:val="22"/>
          <w:lang w:val="en-GB"/>
        </w:rPr>
        <w:t>Pillar</w:t>
      </w:r>
      <w:r w:rsidRPr="001F151E">
        <w:rPr>
          <w:rStyle w:val="IntenseReference"/>
          <w:rFonts w:eastAsiaTheme="majorEastAsia"/>
          <w:i w:val="0"/>
          <w:color w:val="auto"/>
          <w:szCs w:val="22"/>
          <w:lang w:val="en-GB"/>
        </w:rPr>
        <w:t xml:space="preserve"> </w:t>
      </w:r>
      <w:r w:rsidR="00AA13C0" w:rsidRPr="001F151E">
        <w:rPr>
          <w:rStyle w:val="IntenseReference"/>
          <w:rFonts w:eastAsiaTheme="majorEastAsia"/>
          <w:i w:val="0"/>
          <w:color w:val="auto"/>
          <w:szCs w:val="22"/>
          <w:lang w:val="en-GB"/>
        </w:rPr>
        <w:t>6: External Oversight</w:t>
      </w:r>
    </w:p>
    <w:p w14:paraId="68859E58" w14:textId="3442F310" w:rsidR="00AA13C0" w:rsidRPr="001F151E" w:rsidRDefault="00AA13C0" w:rsidP="002E6AB5">
      <w:pPr>
        <w:spacing w:line="276" w:lineRule="auto"/>
        <w:jc w:val="both"/>
        <w:rPr>
          <w:rStyle w:val="IntenseReference"/>
          <w:rFonts w:eastAsiaTheme="majorEastAsia"/>
          <w:color w:val="auto"/>
          <w:szCs w:val="22"/>
          <w:lang w:val="en-GB"/>
        </w:rPr>
      </w:pPr>
      <w:r w:rsidRPr="001F151E">
        <w:rPr>
          <w:rStyle w:val="IntenseReference"/>
          <w:rFonts w:eastAsiaTheme="majorEastAsia"/>
          <w:color w:val="auto"/>
          <w:szCs w:val="22"/>
          <w:lang w:val="en-GB"/>
        </w:rPr>
        <w:t xml:space="preserve">The independent Supreme Audit function is further professionalised in line with INTOSAI principles and international audit standards and the support function to the parliament is strengthened to enable the </w:t>
      </w:r>
      <w:r w:rsidR="00A54599">
        <w:rPr>
          <w:rStyle w:val="IntenseReference"/>
          <w:rFonts w:eastAsiaTheme="majorEastAsia"/>
          <w:color w:val="auto"/>
          <w:szCs w:val="22"/>
          <w:lang w:val="en-GB"/>
        </w:rPr>
        <w:t xml:space="preserve">Parliamentary </w:t>
      </w:r>
      <w:r w:rsidRPr="001F151E">
        <w:rPr>
          <w:rStyle w:val="IntenseReference"/>
          <w:rFonts w:eastAsiaTheme="majorEastAsia"/>
          <w:color w:val="auto"/>
          <w:szCs w:val="22"/>
          <w:lang w:val="en-GB"/>
        </w:rPr>
        <w:t xml:space="preserve">Committee for </w:t>
      </w:r>
      <w:r w:rsidR="00D52C5E">
        <w:rPr>
          <w:rStyle w:val="IntenseReference"/>
          <w:rFonts w:eastAsiaTheme="majorEastAsia"/>
          <w:color w:val="auto"/>
          <w:szCs w:val="22"/>
          <w:lang w:val="en-GB"/>
        </w:rPr>
        <w:t xml:space="preserve">Economy and </w:t>
      </w:r>
      <w:r w:rsidRPr="001F151E">
        <w:rPr>
          <w:rStyle w:val="IntenseReference"/>
          <w:rFonts w:eastAsiaTheme="majorEastAsia"/>
          <w:color w:val="auto"/>
          <w:szCs w:val="22"/>
          <w:lang w:val="en-GB"/>
        </w:rPr>
        <w:t xml:space="preserve">Finance to adequately implement its oversight role. </w:t>
      </w:r>
    </w:p>
    <w:p w14:paraId="691873A0" w14:textId="77777777" w:rsidR="00AA13C0" w:rsidRPr="001F151E" w:rsidRDefault="00AA13C0" w:rsidP="002E6AB5">
      <w:pPr>
        <w:spacing w:line="276" w:lineRule="auto"/>
        <w:jc w:val="both"/>
        <w:rPr>
          <w:rStyle w:val="IntenseReference"/>
          <w:rFonts w:eastAsiaTheme="majorEastAsia"/>
          <w:i w:val="0"/>
          <w:iCs/>
          <w:color w:val="auto"/>
          <w:szCs w:val="22"/>
          <w:lang w:val="en-GB"/>
        </w:rPr>
      </w:pPr>
    </w:p>
    <w:p w14:paraId="7FD52B2A" w14:textId="716E3EB1" w:rsidR="00BB61BA" w:rsidRDefault="00BB61BA" w:rsidP="00B45892">
      <w:pPr>
        <w:pStyle w:val="ListParagraph"/>
        <w:numPr>
          <w:ilvl w:val="0"/>
          <w:numId w:val="69"/>
        </w:numPr>
      </w:pPr>
      <w:r w:rsidRPr="001F151E">
        <w:t>Further improve legal, regulatory and agile methodological framework and expand utilization of audit tools</w:t>
      </w:r>
      <w:r>
        <w:t>.</w:t>
      </w:r>
    </w:p>
    <w:p w14:paraId="2FE5F1BB" w14:textId="64669D69" w:rsidR="00BB61BA" w:rsidRDefault="00BB61BA" w:rsidP="00B45892">
      <w:pPr>
        <w:pStyle w:val="ListParagraph"/>
        <w:numPr>
          <w:ilvl w:val="0"/>
          <w:numId w:val="69"/>
        </w:numPr>
      </w:pPr>
      <w:r w:rsidRPr="001F151E">
        <w:t>Professionalize reporting and communication in compliance with the communication strategy and relevant principles and standards</w:t>
      </w:r>
      <w:r>
        <w:t>.</w:t>
      </w:r>
    </w:p>
    <w:p w14:paraId="237755FF" w14:textId="11775F7F" w:rsidR="00BB61BA" w:rsidRDefault="00BB61BA" w:rsidP="00B45892">
      <w:pPr>
        <w:pStyle w:val="ListParagraph"/>
        <w:numPr>
          <w:ilvl w:val="0"/>
          <w:numId w:val="69"/>
        </w:numPr>
      </w:pPr>
      <w:r w:rsidRPr="001F151E">
        <w:t>Further professionalize the support function of the Committee for Economy and Finance of the Parliament</w:t>
      </w:r>
      <w:r>
        <w:t>.</w:t>
      </w:r>
    </w:p>
    <w:p w14:paraId="5DAEC783" w14:textId="77777777" w:rsidR="00AA13C0" w:rsidRPr="001F151E" w:rsidRDefault="00AA13C0" w:rsidP="002E6AB5">
      <w:pPr>
        <w:spacing w:line="276" w:lineRule="auto"/>
        <w:jc w:val="both"/>
        <w:rPr>
          <w:rStyle w:val="IntenseReference"/>
          <w:rFonts w:eastAsiaTheme="majorEastAsia"/>
          <w:i w:val="0"/>
          <w:iCs/>
          <w:sz w:val="22"/>
          <w:szCs w:val="22"/>
          <w:lang w:val="en-GB"/>
        </w:rPr>
      </w:pPr>
    </w:p>
    <w:p w14:paraId="032AA987" w14:textId="77777777" w:rsidR="002E6AB5" w:rsidRPr="001F151E" w:rsidRDefault="002E6AB5" w:rsidP="002E6AB5">
      <w:pPr>
        <w:pStyle w:val="ListParagraph"/>
        <w:spacing w:line="276" w:lineRule="auto"/>
        <w:ind w:left="360"/>
        <w:jc w:val="both"/>
        <w:rPr>
          <w:rStyle w:val="IntenseReference"/>
          <w:i w:val="0"/>
          <w:color w:val="auto"/>
          <w:lang w:val="en-GB"/>
        </w:rPr>
      </w:pPr>
    </w:p>
    <w:p w14:paraId="0D44E6F6" w14:textId="7C610ABC" w:rsidR="00243BE1" w:rsidRPr="001F151E" w:rsidRDefault="00F171D2" w:rsidP="00AC589A">
      <w:pPr>
        <w:pStyle w:val="Heading1"/>
        <w:rPr>
          <w:rStyle w:val="IntenseReference"/>
          <w:rFonts w:eastAsiaTheme="majorEastAsia" w:cstheme="majorBidi"/>
          <w:i w:val="0"/>
          <w:sz w:val="26"/>
          <w:szCs w:val="26"/>
          <w:lang w:val="en-GB"/>
        </w:rPr>
      </w:pPr>
      <w:bookmarkStart w:id="3" w:name="_Toc163148002"/>
      <w:r w:rsidRPr="001F151E">
        <w:rPr>
          <w:rStyle w:val="IntenseReference"/>
          <w:rFonts w:eastAsiaTheme="majorEastAsia" w:cstheme="majorBidi"/>
          <w:i w:val="0"/>
          <w:sz w:val="26"/>
          <w:szCs w:val="26"/>
          <w:lang w:val="en-GB"/>
        </w:rPr>
        <w:t>Introduction</w:t>
      </w:r>
      <w:bookmarkEnd w:id="3"/>
    </w:p>
    <w:p w14:paraId="7A96FF2B" w14:textId="77777777" w:rsidR="00243BE1" w:rsidRPr="001F151E" w:rsidRDefault="00243BE1" w:rsidP="00243BE1">
      <w:pPr>
        <w:rPr>
          <w:lang w:val="en-GB"/>
        </w:rPr>
      </w:pPr>
    </w:p>
    <w:p w14:paraId="0B056CD3" w14:textId="1492F80E" w:rsidR="00243BE1" w:rsidRPr="001F151E" w:rsidRDefault="00F94749" w:rsidP="00C96708">
      <w:pPr>
        <w:pStyle w:val="Heading2"/>
        <w:rPr>
          <w:rStyle w:val="IntenseReference"/>
          <w:rFonts w:eastAsiaTheme="majorEastAsia" w:cstheme="majorBidi"/>
          <w:i w:val="0"/>
          <w:sz w:val="22"/>
          <w:szCs w:val="22"/>
          <w:lang w:val="en-GB"/>
        </w:rPr>
      </w:pPr>
      <w:bookmarkStart w:id="4" w:name="_Toc163148003"/>
      <w:r w:rsidRPr="001F151E">
        <w:rPr>
          <w:rStyle w:val="IntenseReference"/>
          <w:rFonts w:eastAsiaTheme="majorEastAsia" w:cstheme="majorBidi"/>
          <w:i w:val="0"/>
          <w:sz w:val="22"/>
          <w:szCs w:val="22"/>
          <w:lang w:val="en-GB"/>
        </w:rPr>
        <w:t>Scope</w:t>
      </w:r>
      <w:r w:rsidR="00C768A1">
        <w:rPr>
          <w:rStyle w:val="IntenseReference"/>
          <w:rFonts w:eastAsiaTheme="majorEastAsia" w:cstheme="majorBidi"/>
          <w:i w:val="0"/>
          <w:sz w:val="22"/>
          <w:szCs w:val="22"/>
          <w:lang w:val="en-GB"/>
        </w:rPr>
        <w:t xml:space="preserve"> and Goal</w:t>
      </w:r>
      <w:bookmarkEnd w:id="4"/>
    </w:p>
    <w:p w14:paraId="5EBA0C2A" w14:textId="77777777" w:rsidR="00396FEA" w:rsidRDefault="00396FEA" w:rsidP="00396FEA">
      <w:pPr>
        <w:pStyle w:val="H5"/>
        <w:rPr>
          <w:lang w:val="en-GB"/>
        </w:rPr>
      </w:pPr>
    </w:p>
    <w:p w14:paraId="6C6149B9" w14:textId="7B922A5F" w:rsidR="00990B8A" w:rsidRPr="001F151E" w:rsidRDefault="00990B8A" w:rsidP="002E6AB5">
      <w:pPr>
        <w:spacing w:line="276" w:lineRule="auto"/>
        <w:jc w:val="both"/>
        <w:rPr>
          <w:lang w:val="en-GB"/>
        </w:rPr>
      </w:pPr>
      <w:r w:rsidRPr="001F151E">
        <w:rPr>
          <w:lang w:val="en-GB"/>
        </w:rPr>
        <w:t xml:space="preserve">Albania has successfully implemented several PFM reforms during the past decades. </w:t>
      </w:r>
      <w:r w:rsidR="00F94749" w:rsidRPr="001F151E">
        <w:rPr>
          <w:lang w:val="en-GB"/>
        </w:rPr>
        <w:t>This strategy presents a</w:t>
      </w:r>
      <w:r w:rsidRPr="001F151E">
        <w:rPr>
          <w:lang w:val="en-GB"/>
        </w:rPr>
        <w:t xml:space="preserve"> vision of the PFM function by 2030 and</w:t>
      </w:r>
      <w:r w:rsidR="00F94749" w:rsidRPr="001F151E">
        <w:rPr>
          <w:lang w:val="en-GB"/>
        </w:rPr>
        <w:t xml:space="preserve"> </w:t>
      </w:r>
      <w:r w:rsidRPr="001F151E">
        <w:rPr>
          <w:lang w:val="en-GB"/>
        </w:rPr>
        <w:t xml:space="preserve">an action plan identifying a </w:t>
      </w:r>
      <w:r w:rsidR="00F94749" w:rsidRPr="001F151E">
        <w:rPr>
          <w:lang w:val="en-GB"/>
        </w:rPr>
        <w:t>series of measures</w:t>
      </w:r>
      <w:r w:rsidRPr="001F151E">
        <w:rPr>
          <w:lang w:val="en-GB"/>
        </w:rPr>
        <w:t xml:space="preserve"> and associated activities and performance indicators</w:t>
      </w:r>
      <w:r w:rsidR="00F94749" w:rsidRPr="001F151E">
        <w:rPr>
          <w:lang w:val="en-GB"/>
        </w:rPr>
        <w:t xml:space="preserve"> to continue reforms in PFM systems</w:t>
      </w:r>
      <w:r w:rsidRPr="001F151E">
        <w:rPr>
          <w:lang w:val="en-GB"/>
        </w:rPr>
        <w:t xml:space="preserve"> until 2026. This strategy focuses on improving the PFM systems. The strategy is fully aligned to the National Strategy for Development and European Integration and several other strategies in the domain of good governance.</w:t>
      </w:r>
    </w:p>
    <w:p w14:paraId="4D9F4804" w14:textId="349E2D86" w:rsidR="009E3282" w:rsidRPr="001F151E" w:rsidRDefault="009E3282" w:rsidP="00620BEE">
      <w:pPr>
        <w:pStyle w:val="H5"/>
        <w:rPr>
          <w:lang w:val="en-GB"/>
        </w:rPr>
      </w:pPr>
    </w:p>
    <w:p w14:paraId="729A912D" w14:textId="36C48A07" w:rsidR="009E3282" w:rsidRDefault="009E3282" w:rsidP="002E6AB5">
      <w:pPr>
        <w:spacing w:line="276" w:lineRule="auto"/>
        <w:jc w:val="both"/>
        <w:rPr>
          <w:lang w:val="en-GB"/>
        </w:rPr>
      </w:pPr>
      <w:r w:rsidRPr="001F151E">
        <w:rPr>
          <w:lang w:val="en-GB"/>
        </w:rPr>
        <w:t>In alignment with the NSDEI</w:t>
      </w:r>
      <w:r w:rsidR="00420362">
        <w:rPr>
          <w:lang w:val="en-GB"/>
        </w:rPr>
        <w:t xml:space="preserve"> 2022-2030</w:t>
      </w:r>
      <w:r w:rsidRPr="001F151E">
        <w:rPr>
          <w:lang w:val="en-GB"/>
        </w:rPr>
        <w:t xml:space="preserve">, the overall goal </w:t>
      </w:r>
      <w:r w:rsidR="00A24392">
        <w:rPr>
          <w:lang w:val="en-GB"/>
        </w:rPr>
        <w:t xml:space="preserve">is </w:t>
      </w:r>
      <w:r w:rsidRPr="001F151E">
        <w:rPr>
          <w:lang w:val="en-GB"/>
        </w:rPr>
        <w:t xml:space="preserve">to establish a public finance management system that ensures transparency, accountability, fiscal discipline and efficiency in the use of public resources for the provision of improved public services and economic </w:t>
      </w:r>
      <w:r w:rsidR="00E94DAB" w:rsidRPr="001F151E">
        <w:rPr>
          <w:lang w:val="en-GB"/>
        </w:rPr>
        <w:t>development,</w:t>
      </w:r>
      <w:r w:rsidRPr="001F151E">
        <w:rPr>
          <w:lang w:val="en-GB"/>
        </w:rPr>
        <w:t xml:space="preserve"> and which ensures a smooth integration of Albania in the European Union. </w:t>
      </w:r>
    </w:p>
    <w:p w14:paraId="68B70290" w14:textId="77777777" w:rsidR="00026EC6" w:rsidRDefault="00026EC6" w:rsidP="002E6AB5">
      <w:pPr>
        <w:spacing w:line="276" w:lineRule="auto"/>
        <w:jc w:val="both"/>
        <w:rPr>
          <w:lang w:val="en-GB"/>
        </w:rPr>
      </w:pPr>
    </w:p>
    <w:p w14:paraId="4FEA3A22" w14:textId="4FD23F07" w:rsidR="00026EC6" w:rsidRPr="001F151E" w:rsidRDefault="00026EC6" w:rsidP="002E6AB5">
      <w:pPr>
        <w:spacing w:line="276" w:lineRule="auto"/>
        <w:jc w:val="both"/>
        <w:rPr>
          <w:lang w:val="en-GB"/>
        </w:rPr>
      </w:pPr>
      <w:r>
        <w:rPr>
          <w:lang w:val="en-GB"/>
        </w:rPr>
        <w:t xml:space="preserve">The Strategy will serve as a framework to guide </w:t>
      </w:r>
      <w:r w:rsidR="00173DF2">
        <w:rPr>
          <w:lang w:val="en-GB"/>
        </w:rPr>
        <w:t xml:space="preserve">the implementation of all GoA PFM reforms for the period up to the end of 2030. To ensure appropriate control and focus on priorities, </w:t>
      </w:r>
      <w:r w:rsidR="00894FFE">
        <w:rPr>
          <w:lang w:val="en-GB"/>
        </w:rPr>
        <w:t xml:space="preserve">as well as to reflect the dynamic environment and priorities of the European Union, </w:t>
      </w:r>
      <w:r w:rsidR="00173DF2">
        <w:rPr>
          <w:lang w:val="en-GB"/>
        </w:rPr>
        <w:t xml:space="preserve">modification to the Strategy shall be restricted until the end of the implementation period. The Action Plan and Passport of Indicators will be dynamic and reviewed as seen necessary: actions, outputs and outcomes may change as reform implementation progresses. </w:t>
      </w:r>
    </w:p>
    <w:p w14:paraId="2EC04F61" w14:textId="77777777" w:rsidR="009E3282" w:rsidRDefault="009E3282" w:rsidP="009E3282">
      <w:pPr>
        <w:rPr>
          <w:lang w:val="en-GB"/>
        </w:rPr>
      </w:pPr>
    </w:p>
    <w:p w14:paraId="7FA0BDFD" w14:textId="77777777" w:rsidR="00F22823" w:rsidRDefault="00F22823" w:rsidP="009E3282">
      <w:pPr>
        <w:rPr>
          <w:lang w:val="en-GB"/>
        </w:rPr>
      </w:pPr>
    </w:p>
    <w:p w14:paraId="54A592E3" w14:textId="77777777" w:rsidR="00F22823" w:rsidRDefault="00F22823" w:rsidP="009E3282">
      <w:pPr>
        <w:rPr>
          <w:lang w:val="en-GB"/>
        </w:rPr>
      </w:pPr>
    </w:p>
    <w:p w14:paraId="6F00F198" w14:textId="77777777" w:rsidR="00F22823" w:rsidRDefault="00F22823" w:rsidP="009E3282">
      <w:pPr>
        <w:rPr>
          <w:lang w:val="en-GB"/>
        </w:rPr>
      </w:pPr>
    </w:p>
    <w:p w14:paraId="124139F9" w14:textId="77777777" w:rsidR="00F22823" w:rsidRDefault="00F22823" w:rsidP="009E3282">
      <w:pPr>
        <w:rPr>
          <w:lang w:val="en-GB"/>
        </w:rPr>
      </w:pPr>
    </w:p>
    <w:p w14:paraId="6B59D2B5" w14:textId="77777777" w:rsidR="00F22823" w:rsidRDefault="00F22823" w:rsidP="009E3282">
      <w:pPr>
        <w:rPr>
          <w:lang w:val="en-GB"/>
        </w:rPr>
      </w:pPr>
    </w:p>
    <w:p w14:paraId="6FF54E01" w14:textId="77777777" w:rsidR="00F22823" w:rsidRDefault="00F22823" w:rsidP="009E3282">
      <w:pPr>
        <w:rPr>
          <w:lang w:val="en-GB"/>
        </w:rPr>
      </w:pPr>
    </w:p>
    <w:p w14:paraId="30BE7E11" w14:textId="77777777" w:rsidR="00F22823" w:rsidRDefault="00F22823" w:rsidP="009E3282">
      <w:pPr>
        <w:rPr>
          <w:lang w:val="en-GB"/>
        </w:rPr>
      </w:pPr>
    </w:p>
    <w:p w14:paraId="16F715D7" w14:textId="77777777" w:rsidR="00F22823" w:rsidRDefault="00F22823" w:rsidP="009E3282">
      <w:pPr>
        <w:rPr>
          <w:lang w:val="en-GB"/>
        </w:rPr>
      </w:pPr>
    </w:p>
    <w:p w14:paraId="200D8D68" w14:textId="77777777" w:rsidR="00F22823" w:rsidRDefault="00F22823" w:rsidP="009E3282">
      <w:pPr>
        <w:rPr>
          <w:lang w:val="en-GB"/>
        </w:rPr>
      </w:pPr>
    </w:p>
    <w:p w14:paraId="42F6A061" w14:textId="77777777" w:rsidR="00F22823" w:rsidRDefault="00F22823" w:rsidP="009E3282">
      <w:pPr>
        <w:rPr>
          <w:lang w:val="en-GB"/>
        </w:rPr>
      </w:pPr>
    </w:p>
    <w:p w14:paraId="0A737BAA" w14:textId="77777777" w:rsidR="00F22823" w:rsidRPr="001F151E" w:rsidRDefault="00F22823" w:rsidP="009E3282">
      <w:pPr>
        <w:rPr>
          <w:lang w:val="en-GB"/>
        </w:rPr>
      </w:pPr>
    </w:p>
    <w:p w14:paraId="4B4C8E8A" w14:textId="77777777" w:rsidR="00243BE1" w:rsidRPr="001F151E" w:rsidRDefault="00243BE1" w:rsidP="00D209D0">
      <w:pPr>
        <w:rPr>
          <w:rStyle w:val="IntenseReference"/>
          <w:rFonts w:eastAsiaTheme="majorEastAsia" w:cstheme="majorBidi"/>
          <w:i w:val="0"/>
          <w:sz w:val="22"/>
          <w:szCs w:val="22"/>
          <w:lang w:val="en-GB"/>
        </w:rPr>
      </w:pPr>
    </w:p>
    <w:p w14:paraId="611C7DDE" w14:textId="6A2C9492" w:rsidR="00243BE1" w:rsidRPr="001F151E" w:rsidRDefault="00243BE1" w:rsidP="00C96708">
      <w:pPr>
        <w:pStyle w:val="Heading2"/>
        <w:rPr>
          <w:rStyle w:val="IntenseReference"/>
          <w:rFonts w:eastAsiaTheme="majorEastAsia" w:cstheme="majorBidi"/>
          <w:i w:val="0"/>
          <w:sz w:val="22"/>
          <w:szCs w:val="22"/>
          <w:lang w:val="en-GB"/>
        </w:rPr>
      </w:pPr>
      <w:bookmarkStart w:id="5" w:name="_Toc163148004"/>
      <w:r w:rsidRPr="001F151E">
        <w:rPr>
          <w:rStyle w:val="IntenseReference"/>
          <w:rFonts w:eastAsiaTheme="majorEastAsia" w:cstheme="majorBidi"/>
          <w:i w:val="0"/>
          <w:sz w:val="22"/>
          <w:szCs w:val="22"/>
          <w:lang w:val="en-GB"/>
        </w:rPr>
        <w:lastRenderedPageBreak/>
        <w:t>Overview of the PFM sectoral strategy</w:t>
      </w:r>
      <w:bookmarkEnd w:id="5"/>
    </w:p>
    <w:p w14:paraId="69EB9899" w14:textId="77777777" w:rsidR="00E91470" w:rsidRPr="001F151E" w:rsidRDefault="00E91470" w:rsidP="00E91470">
      <w:pPr>
        <w:rPr>
          <w:lang w:val="en-GB"/>
        </w:rPr>
      </w:pPr>
    </w:p>
    <w:p w14:paraId="60CE4B78" w14:textId="6C6A199A" w:rsidR="00E91470" w:rsidRPr="001F151E" w:rsidRDefault="00E91470" w:rsidP="00E91470">
      <w:pPr>
        <w:jc w:val="both"/>
        <w:rPr>
          <w:lang w:val="en-GB"/>
        </w:rPr>
      </w:pPr>
      <w:r w:rsidRPr="001F151E">
        <w:rPr>
          <w:lang w:val="en-GB"/>
        </w:rPr>
        <w:t>Th</w:t>
      </w:r>
      <w:r w:rsidR="00C81923" w:rsidRPr="001F151E">
        <w:rPr>
          <w:lang w:val="en-GB"/>
        </w:rPr>
        <w:t>is</w:t>
      </w:r>
      <w:r w:rsidRPr="001F151E">
        <w:rPr>
          <w:lang w:val="en-GB"/>
        </w:rPr>
        <w:t xml:space="preserve"> strategy is structured in </w:t>
      </w:r>
      <w:r w:rsidR="009E3282" w:rsidRPr="001F151E">
        <w:rPr>
          <w:lang w:val="en-GB"/>
        </w:rPr>
        <w:t>s</w:t>
      </w:r>
      <w:r w:rsidR="00317E12">
        <w:rPr>
          <w:lang w:val="en-GB"/>
        </w:rPr>
        <w:t>ix</w:t>
      </w:r>
      <w:r w:rsidRPr="001F151E">
        <w:rPr>
          <w:lang w:val="en-GB"/>
        </w:rPr>
        <w:t xml:space="preserve"> pillars, with in each pillar several components. </w:t>
      </w:r>
    </w:p>
    <w:p w14:paraId="3BAA1221" w14:textId="77777777" w:rsidR="00E91470" w:rsidRPr="001F151E" w:rsidRDefault="00E91470" w:rsidP="00E91470">
      <w:pPr>
        <w:rPr>
          <w:lang w:val="en-GB"/>
        </w:rPr>
      </w:pPr>
    </w:p>
    <w:p w14:paraId="5BD7AB08" w14:textId="67AAAC2C" w:rsidR="009E3282" w:rsidRPr="001F151E" w:rsidRDefault="009E3282" w:rsidP="009E3282">
      <w:pPr>
        <w:pStyle w:val="T-normal"/>
        <w:spacing w:after="60"/>
        <w:rPr>
          <w:i/>
          <w:iCs/>
          <w:lang w:val="en-GB"/>
        </w:rPr>
      </w:pPr>
      <w:r w:rsidRPr="001F151E">
        <w:rPr>
          <w:i/>
          <w:iCs/>
          <w:lang w:val="en-GB"/>
        </w:rPr>
        <w:t>Figure 1.1 overview of the PFM sectoral strategy</w:t>
      </w:r>
    </w:p>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28" w:type="dxa"/>
          <w:left w:w="57" w:type="dxa"/>
          <w:bottom w:w="28" w:type="dxa"/>
          <w:right w:w="57" w:type="dxa"/>
        </w:tblCellMar>
        <w:tblLook w:val="04A0" w:firstRow="1" w:lastRow="0" w:firstColumn="1" w:lastColumn="0" w:noHBand="0" w:noVBand="1"/>
      </w:tblPr>
      <w:tblGrid>
        <w:gridCol w:w="2327"/>
        <w:gridCol w:w="1325"/>
        <w:gridCol w:w="1342"/>
        <w:gridCol w:w="1342"/>
        <w:gridCol w:w="1324"/>
        <w:gridCol w:w="1346"/>
      </w:tblGrid>
      <w:tr w:rsidR="00317E12" w:rsidRPr="001F151E" w14:paraId="4CE4A8FD" w14:textId="090870E5" w:rsidTr="00317E12">
        <w:trPr>
          <w:trHeight w:val="1629"/>
        </w:trPr>
        <w:tc>
          <w:tcPr>
            <w:tcW w:w="2368" w:type="dxa"/>
            <w:shd w:val="clear" w:color="auto" w:fill="7F7F7F" w:themeFill="text1" w:themeFillTint="80"/>
          </w:tcPr>
          <w:p w14:paraId="391705B4" w14:textId="77777777" w:rsidR="00317E12" w:rsidRPr="001F151E" w:rsidRDefault="00317E12" w:rsidP="001964BA">
            <w:pPr>
              <w:spacing w:line="180" w:lineRule="exact"/>
              <w:jc w:val="center"/>
              <w:rPr>
                <w:b/>
                <w:bCs/>
                <w:color w:val="FFFFFF" w:themeColor="background1"/>
                <w:sz w:val="14"/>
                <w:szCs w:val="14"/>
              </w:rPr>
            </w:pPr>
            <w:r w:rsidRPr="001F151E">
              <w:rPr>
                <w:b/>
                <w:bCs/>
                <w:color w:val="FFFFFF" w:themeColor="background1"/>
                <w:sz w:val="14"/>
                <w:szCs w:val="14"/>
              </w:rPr>
              <w:t>Pillar 1</w:t>
            </w:r>
          </w:p>
          <w:p w14:paraId="4342A641" w14:textId="2A3879F9" w:rsidR="00317E12" w:rsidRPr="001F151E" w:rsidRDefault="00317E12" w:rsidP="001964BA">
            <w:pPr>
              <w:spacing w:line="180" w:lineRule="exact"/>
              <w:jc w:val="center"/>
              <w:rPr>
                <w:b/>
                <w:bCs/>
                <w:color w:val="FFFFFF" w:themeColor="background1"/>
                <w:sz w:val="14"/>
                <w:szCs w:val="14"/>
              </w:rPr>
            </w:pPr>
            <w:r>
              <w:rPr>
                <w:b/>
                <w:bCs/>
                <w:color w:val="FFFFFF" w:themeColor="background1"/>
                <w:sz w:val="14"/>
                <w:szCs w:val="14"/>
              </w:rPr>
              <w:t>Macroeconomic programming and Risk Monitoring</w:t>
            </w:r>
          </w:p>
        </w:tc>
        <w:tc>
          <w:tcPr>
            <w:tcW w:w="1339" w:type="dxa"/>
            <w:shd w:val="clear" w:color="auto" w:fill="7F7F7F" w:themeFill="text1" w:themeFillTint="80"/>
          </w:tcPr>
          <w:p w14:paraId="6EF0D99C" w14:textId="77777777" w:rsidR="00317E12" w:rsidRPr="001F151E" w:rsidRDefault="00317E12" w:rsidP="001964BA">
            <w:pPr>
              <w:spacing w:line="180" w:lineRule="exact"/>
              <w:jc w:val="center"/>
              <w:rPr>
                <w:b/>
                <w:bCs/>
                <w:color w:val="FFFFFF" w:themeColor="background1"/>
                <w:sz w:val="14"/>
                <w:szCs w:val="14"/>
              </w:rPr>
            </w:pPr>
            <w:r w:rsidRPr="001F151E">
              <w:rPr>
                <w:b/>
                <w:bCs/>
                <w:color w:val="FFFFFF" w:themeColor="background1"/>
                <w:sz w:val="14"/>
                <w:szCs w:val="14"/>
              </w:rPr>
              <w:t>Pillar 2</w:t>
            </w:r>
          </w:p>
          <w:p w14:paraId="28D9393F" w14:textId="6A9DB149" w:rsidR="00317E12" w:rsidRPr="001F151E" w:rsidRDefault="008A44DF" w:rsidP="001964BA">
            <w:pPr>
              <w:spacing w:line="180" w:lineRule="exact"/>
              <w:jc w:val="center"/>
              <w:rPr>
                <w:b/>
                <w:bCs/>
                <w:color w:val="FFFFFF" w:themeColor="background1"/>
                <w:sz w:val="14"/>
                <w:szCs w:val="14"/>
              </w:rPr>
            </w:pPr>
            <w:r w:rsidRPr="008A44DF">
              <w:rPr>
                <w:b/>
                <w:bCs/>
                <w:color w:val="FFFFFF" w:themeColor="background1"/>
                <w:sz w:val="14"/>
                <w:szCs w:val="14"/>
              </w:rPr>
              <w:t>Integrated strategic and budget planning, monitoring, and transparent reporting</w:t>
            </w:r>
          </w:p>
        </w:tc>
        <w:tc>
          <w:tcPr>
            <w:tcW w:w="1355" w:type="dxa"/>
            <w:shd w:val="clear" w:color="auto" w:fill="7F7F7F" w:themeFill="text1" w:themeFillTint="80"/>
          </w:tcPr>
          <w:p w14:paraId="3075FE3A" w14:textId="77777777" w:rsidR="00317E12" w:rsidRPr="001F151E" w:rsidRDefault="00317E12" w:rsidP="001964BA">
            <w:pPr>
              <w:spacing w:line="180" w:lineRule="exact"/>
              <w:jc w:val="center"/>
              <w:rPr>
                <w:b/>
                <w:bCs/>
                <w:color w:val="FFFFFF" w:themeColor="background1"/>
                <w:sz w:val="14"/>
                <w:szCs w:val="14"/>
              </w:rPr>
            </w:pPr>
            <w:r w:rsidRPr="001F151E">
              <w:rPr>
                <w:b/>
                <w:bCs/>
                <w:color w:val="FFFFFF" w:themeColor="background1"/>
                <w:sz w:val="14"/>
                <w:szCs w:val="14"/>
              </w:rPr>
              <w:t>Pillar 3</w:t>
            </w:r>
          </w:p>
          <w:p w14:paraId="39A6D6D4" w14:textId="44DB0E4A" w:rsidR="00317E12" w:rsidRPr="001F151E" w:rsidRDefault="008A44DF" w:rsidP="001964BA">
            <w:pPr>
              <w:spacing w:line="180" w:lineRule="exact"/>
              <w:jc w:val="center"/>
              <w:rPr>
                <w:b/>
                <w:bCs/>
                <w:color w:val="FFFFFF" w:themeColor="background1"/>
                <w:sz w:val="14"/>
                <w:szCs w:val="14"/>
              </w:rPr>
            </w:pPr>
            <w:r w:rsidRPr="008A44DF">
              <w:rPr>
                <w:b/>
                <w:bCs/>
                <w:color w:val="FFFFFF" w:themeColor="background1"/>
                <w:sz w:val="14"/>
                <w:szCs w:val="14"/>
              </w:rPr>
              <w:t>Revenue mobilization and management</w:t>
            </w:r>
          </w:p>
        </w:tc>
        <w:tc>
          <w:tcPr>
            <w:tcW w:w="1355" w:type="dxa"/>
            <w:shd w:val="clear" w:color="auto" w:fill="7F7F7F" w:themeFill="text1" w:themeFillTint="80"/>
          </w:tcPr>
          <w:p w14:paraId="508C6219" w14:textId="77777777" w:rsidR="00317E12" w:rsidRPr="001F151E" w:rsidRDefault="00317E12" w:rsidP="001964BA">
            <w:pPr>
              <w:spacing w:line="180" w:lineRule="exact"/>
              <w:jc w:val="center"/>
              <w:rPr>
                <w:b/>
                <w:bCs/>
                <w:color w:val="FFFFFF" w:themeColor="background1"/>
                <w:sz w:val="14"/>
                <w:szCs w:val="14"/>
              </w:rPr>
            </w:pPr>
            <w:r w:rsidRPr="001F151E">
              <w:rPr>
                <w:b/>
                <w:bCs/>
                <w:color w:val="FFFFFF" w:themeColor="background1"/>
                <w:sz w:val="14"/>
                <w:szCs w:val="14"/>
              </w:rPr>
              <w:t>Pillar 4</w:t>
            </w:r>
          </w:p>
          <w:p w14:paraId="349C462E" w14:textId="512BA2B4" w:rsidR="00317E12" w:rsidRPr="001F151E" w:rsidRDefault="00022F54" w:rsidP="001964BA">
            <w:pPr>
              <w:spacing w:line="180" w:lineRule="exact"/>
              <w:jc w:val="center"/>
              <w:rPr>
                <w:b/>
                <w:bCs/>
                <w:color w:val="FFFFFF" w:themeColor="background1"/>
                <w:sz w:val="14"/>
                <w:szCs w:val="14"/>
              </w:rPr>
            </w:pPr>
            <w:r w:rsidRPr="00022F54">
              <w:rPr>
                <w:b/>
                <w:bCs/>
                <w:color w:val="FFFFFF" w:themeColor="background1"/>
                <w:sz w:val="14"/>
                <w:szCs w:val="14"/>
              </w:rPr>
              <w:t>Accounting and Budget Execution Management</w:t>
            </w:r>
          </w:p>
        </w:tc>
        <w:tc>
          <w:tcPr>
            <w:tcW w:w="1338" w:type="dxa"/>
            <w:shd w:val="clear" w:color="auto" w:fill="7F7F7F" w:themeFill="text1" w:themeFillTint="80"/>
          </w:tcPr>
          <w:p w14:paraId="6A3D182B" w14:textId="77777777" w:rsidR="00317E12" w:rsidRPr="001F151E" w:rsidRDefault="00317E12" w:rsidP="001964BA">
            <w:pPr>
              <w:spacing w:line="180" w:lineRule="exact"/>
              <w:jc w:val="center"/>
              <w:rPr>
                <w:b/>
                <w:bCs/>
                <w:color w:val="FFFFFF" w:themeColor="background1"/>
                <w:sz w:val="14"/>
                <w:szCs w:val="14"/>
              </w:rPr>
            </w:pPr>
            <w:r w:rsidRPr="001F151E">
              <w:rPr>
                <w:b/>
                <w:bCs/>
                <w:color w:val="FFFFFF" w:themeColor="background1"/>
                <w:sz w:val="14"/>
                <w:szCs w:val="14"/>
              </w:rPr>
              <w:t>Pillar 5</w:t>
            </w:r>
          </w:p>
          <w:p w14:paraId="44D51212" w14:textId="298EDC76" w:rsidR="00317E12" w:rsidRPr="001F151E" w:rsidRDefault="00317E12" w:rsidP="001964BA">
            <w:pPr>
              <w:spacing w:line="180" w:lineRule="exact"/>
              <w:jc w:val="center"/>
              <w:rPr>
                <w:b/>
                <w:bCs/>
                <w:color w:val="FFFFFF" w:themeColor="background1"/>
                <w:sz w:val="14"/>
                <w:szCs w:val="14"/>
              </w:rPr>
            </w:pPr>
            <w:r w:rsidRPr="001F151E">
              <w:rPr>
                <w:b/>
                <w:bCs/>
                <w:color w:val="FFFFFF" w:themeColor="background1"/>
                <w:sz w:val="14"/>
                <w:szCs w:val="14"/>
              </w:rPr>
              <w:t>Public Internal Financial Control</w:t>
            </w:r>
          </w:p>
        </w:tc>
        <w:tc>
          <w:tcPr>
            <w:tcW w:w="1359" w:type="dxa"/>
            <w:shd w:val="clear" w:color="auto" w:fill="7F7F7F" w:themeFill="text1" w:themeFillTint="80"/>
          </w:tcPr>
          <w:p w14:paraId="3D231E52" w14:textId="77777777" w:rsidR="00317E12" w:rsidRPr="001F151E" w:rsidRDefault="00317E12" w:rsidP="001964BA">
            <w:pPr>
              <w:spacing w:line="180" w:lineRule="exact"/>
              <w:jc w:val="center"/>
              <w:rPr>
                <w:b/>
                <w:bCs/>
                <w:color w:val="FFFFFF" w:themeColor="background1"/>
                <w:sz w:val="14"/>
                <w:szCs w:val="14"/>
              </w:rPr>
            </w:pPr>
            <w:r w:rsidRPr="001F151E">
              <w:rPr>
                <w:b/>
                <w:bCs/>
                <w:color w:val="FFFFFF" w:themeColor="background1"/>
                <w:sz w:val="14"/>
                <w:szCs w:val="14"/>
              </w:rPr>
              <w:t>Pillar 6</w:t>
            </w:r>
          </w:p>
          <w:p w14:paraId="074F0B35" w14:textId="36A7E7BC" w:rsidR="00317E12" w:rsidRPr="001F151E" w:rsidRDefault="00317E12" w:rsidP="001964BA">
            <w:pPr>
              <w:spacing w:line="180" w:lineRule="exact"/>
              <w:jc w:val="center"/>
              <w:rPr>
                <w:b/>
                <w:bCs/>
                <w:color w:val="FFFFFF" w:themeColor="background1"/>
                <w:sz w:val="14"/>
                <w:szCs w:val="14"/>
              </w:rPr>
            </w:pPr>
            <w:r w:rsidRPr="001F151E">
              <w:rPr>
                <w:b/>
                <w:bCs/>
                <w:color w:val="FFFFFF" w:themeColor="background1"/>
                <w:sz w:val="14"/>
                <w:szCs w:val="14"/>
              </w:rPr>
              <w:t>External Oversight</w:t>
            </w:r>
          </w:p>
        </w:tc>
      </w:tr>
      <w:tr w:rsidR="00317E12" w:rsidRPr="001F151E" w14:paraId="1B78CA7D" w14:textId="58BE0ECF" w:rsidTr="00317E12">
        <w:trPr>
          <w:trHeight w:val="972"/>
        </w:trPr>
        <w:tc>
          <w:tcPr>
            <w:tcW w:w="2368" w:type="dxa"/>
            <w:shd w:val="clear" w:color="auto" w:fill="D9D9D9" w:themeFill="background1" w:themeFillShade="D9"/>
            <w:vAlign w:val="center"/>
          </w:tcPr>
          <w:p w14:paraId="7B33C826" w14:textId="07FDF48D" w:rsidR="00317E12" w:rsidRPr="001F151E" w:rsidRDefault="00317E12" w:rsidP="001964BA">
            <w:pPr>
              <w:spacing w:line="180" w:lineRule="exact"/>
              <w:jc w:val="center"/>
              <w:rPr>
                <w:sz w:val="14"/>
                <w:szCs w:val="14"/>
              </w:rPr>
            </w:pPr>
            <w:r>
              <w:rPr>
                <w:sz w:val="14"/>
                <w:szCs w:val="14"/>
              </w:rPr>
              <w:t>Prudent and realistic macro-economic programming</w:t>
            </w:r>
          </w:p>
        </w:tc>
        <w:tc>
          <w:tcPr>
            <w:tcW w:w="1339" w:type="dxa"/>
            <w:shd w:val="clear" w:color="auto" w:fill="D9D9D9" w:themeFill="background1" w:themeFillShade="D9"/>
            <w:vAlign w:val="center"/>
          </w:tcPr>
          <w:p w14:paraId="0C925CA2" w14:textId="77777777" w:rsidR="00317E12" w:rsidRPr="001F151E" w:rsidRDefault="00317E12" w:rsidP="001964BA">
            <w:pPr>
              <w:spacing w:line="180" w:lineRule="exact"/>
              <w:jc w:val="center"/>
              <w:rPr>
                <w:sz w:val="14"/>
                <w:szCs w:val="14"/>
              </w:rPr>
            </w:pPr>
            <w:r w:rsidRPr="001F151E">
              <w:rPr>
                <w:sz w:val="14"/>
                <w:szCs w:val="14"/>
              </w:rPr>
              <w:t>Integrated strategic planning</w:t>
            </w:r>
          </w:p>
        </w:tc>
        <w:tc>
          <w:tcPr>
            <w:tcW w:w="1355" w:type="dxa"/>
            <w:shd w:val="clear" w:color="auto" w:fill="D9D9D9" w:themeFill="background1" w:themeFillShade="D9"/>
            <w:vAlign w:val="center"/>
          </w:tcPr>
          <w:p w14:paraId="15E37CE7" w14:textId="77777777" w:rsidR="00317E12" w:rsidRPr="001F151E" w:rsidRDefault="00317E12" w:rsidP="001964BA">
            <w:pPr>
              <w:spacing w:line="180" w:lineRule="exact"/>
              <w:jc w:val="center"/>
              <w:rPr>
                <w:sz w:val="14"/>
                <w:szCs w:val="14"/>
              </w:rPr>
            </w:pPr>
            <w:r w:rsidRPr="001F151E">
              <w:rPr>
                <w:sz w:val="14"/>
                <w:szCs w:val="14"/>
              </w:rPr>
              <w:t xml:space="preserve">Tax </w:t>
            </w:r>
          </w:p>
          <w:p w14:paraId="65F86C05" w14:textId="64CC45DE" w:rsidR="00317E12" w:rsidRPr="001F151E" w:rsidRDefault="00317E12" w:rsidP="001964BA">
            <w:pPr>
              <w:spacing w:line="180" w:lineRule="exact"/>
              <w:jc w:val="center"/>
              <w:rPr>
                <w:sz w:val="14"/>
                <w:szCs w:val="14"/>
              </w:rPr>
            </w:pPr>
            <w:r w:rsidRPr="001F151E">
              <w:rPr>
                <w:sz w:val="14"/>
                <w:szCs w:val="14"/>
              </w:rPr>
              <w:t>Management</w:t>
            </w:r>
          </w:p>
        </w:tc>
        <w:tc>
          <w:tcPr>
            <w:tcW w:w="1355" w:type="dxa"/>
            <w:shd w:val="clear" w:color="auto" w:fill="D9D9D9" w:themeFill="background1" w:themeFillShade="D9"/>
            <w:vAlign w:val="center"/>
          </w:tcPr>
          <w:p w14:paraId="0654EC5D" w14:textId="349B7A7F" w:rsidR="00317E12" w:rsidRPr="001F151E" w:rsidRDefault="00317E12" w:rsidP="001964BA">
            <w:pPr>
              <w:spacing w:line="180" w:lineRule="exact"/>
              <w:jc w:val="center"/>
              <w:rPr>
                <w:sz w:val="14"/>
                <w:szCs w:val="14"/>
              </w:rPr>
            </w:pPr>
            <w:r w:rsidRPr="001F151E">
              <w:rPr>
                <w:sz w:val="14"/>
                <w:szCs w:val="14"/>
              </w:rPr>
              <w:t>National Government Accounts</w:t>
            </w:r>
          </w:p>
        </w:tc>
        <w:tc>
          <w:tcPr>
            <w:tcW w:w="1338" w:type="dxa"/>
            <w:shd w:val="clear" w:color="auto" w:fill="D9D9D9" w:themeFill="background1" w:themeFillShade="D9"/>
            <w:vAlign w:val="center"/>
          </w:tcPr>
          <w:p w14:paraId="02FC5885" w14:textId="77777777" w:rsidR="00317E12" w:rsidRPr="001F151E" w:rsidRDefault="00317E12" w:rsidP="001964BA">
            <w:pPr>
              <w:spacing w:line="180" w:lineRule="exact"/>
              <w:jc w:val="center"/>
              <w:rPr>
                <w:sz w:val="14"/>
                <w:szCs w:val="14"/>
              </w:rPr>
            </w:pPr>
            <w:r w:rsidRPr="001F151E">
              <w:rPr>
                <w:sz w:val="14"/>
                <w:szCs w:val="14"/>
              </w:rPr>
              <w:t>Financial Management and control</w:t>
            </w:r>
          </w:p>
        </w:tc>
        <w:tc>
          <w:tcPr>
            <w:tcW w:w="1359" w:type="dxa"/>
            <w:shd w:val="clear" w:color="auto" w:fill="D9D9D9" w:themeFill="background1" w:themeFillShade="D9"/>
            <w:vAlign w:val="center"/>
          </w:tcPr>
          <w:p w14:paraId="1D8B9553" w14:textId="4A07B940" w:rsidR="00317E12" w:rsidRPr="001F151E" w:rsidRDefault="008A44DF" w:rsidP="001964BA">
            <w:pPr>
              <w:spacing w:line="180" w:lineRule="exact"/>
              <w:jc w:val="center"/>
              <w:rPr>
                <w:sz w:val="14"/>
                <w:szCs w:val="14"/>
              </w:rPr>
            </w:pPr>
            <w:r w:rsidRPr="008A44DF">
              <w:rPr>
                <w:sz w:val="14"/>
                <w:szCs w:val="14"/>
              </w:rPr>
              <w:t>External Audit</w:t>
            </w:r>
          </w:p>
        </w:tc>
      </w:tr>
      <w:tr w:rsidR="00317E12" w:rsidRPr="001F151E" w14:paraId="38C17EF8" w14:textId="6DBB45E3" w:rsidTr="00317E12">
        <w:trPr>
          <w:trHeight w:val="953"/>
        </w:trPr>
        <w:tc>
          <w:tcPr>
            <w:tcW w:w="2368" w:type="dxa"/>
            <w:shd w:val="clear" w:color="auto" w:fill="D9D9D9" w:themeFill="background1" w:themeFillShade="D9"/>
            <w:vAlign w:val="center"/>
          </w:tcPr>
          <w:p w14:paraId="4BE702C4" w14:textId="72E78C8B" w:rsidR="00317E12" w:rsidRDefault="00317E12" w:rsidP="00793335">
            <w:pPr>
              <w:spacing w:line="180" w:lineRule="exact"/>
              <w:jc w:val="center"/>
              <w:rPr>
                <w:sz w:val="14"/>
                <w:szCs w:val="14"/>
              </w:rPr>
            </w:pPr>
            <w:r>
              <w:rPr>
                <w:sz w:val="14"/>
                <w:szCs w:val="14"/>
              </w:rPr>
              <w:t xml:space="preserve">Establishing a comprehensive Debt </w:t>
            </w:r>
          </w:p>
          <w:p w14:paraId="03FCD0E4" w14:textId="1307FA32" w:rsidR="00317E12" w:rsidRPr="001F151E" w:rsidRDefault="00317E12" w:rsidP="00793335">
            <w:pPr>
              <w:spacing w:line="180" w:lineRule="exact"/>
              <w:jc w:val="center"/>
              <w:rPr>
                <w:sz w:val="14"/>
                <w:szCs w:val="14"/>
              </w:rPr>
            </w:pPr>
            <w:r>
              <w:rPr>
                <w:sz w:val="14"/>
                <w:szCs w:val="14"/>
              </w:rPr>
              <w:t xml:space="preserve">Sustainability Analysis </w:t>
            </w:r>
          </w:p>
        </w:tc>
        <w:tc>
          <w:tcPr>
            <w:tcW w:w="1339" w:type="dxa"/>
            <w:shd w:val="clear" w:color="auto" w:fill="D9D9D9" w:themeFill="background1" w:themeFillShade="D9"/>
            <w:vAlign w:val="center"/>
          </w:tcPr>
          <w:p w14:paraId="14E66624" w14:textId="77777777" w:rsidR="00317E12" w:rsidRPr="001F151E" w:rsidRDefault="00317E12" w:rsidP="00793335">
            <w:pPr>
              <w:spacing w:line="180" w:lineRule="exact"/>
              <w:jc w:val="center"/>
              <w:rPr>
                <w:sz w:val="14"/>
                <w:szCs w:val="14"/>
              </w:rPr>
            </w:pPr>
            <w:r w:rsidRPr="001F151E">
              <w:rPr>
                <w:sz w:val="14"/>
                <w:szCs w:val="14"/>
              </w:rPr>
              <w:t>Medium term budget planning</w:t>
            </w:r>
          </w:p>
        </w:tc>
        <w:tc>
          <w:tcPr>
            <w:tcW w:w="1355" w:type="dxa"/>
            <w:shd w:val="clear" w:color="auto" w:fill="D9D9D9" w:themeFill="background1" w:themeFillShade="D9"/>
            <w:vAlign w:val="center"/>
          </w:tcPr>
          <w:p w14:paraId="3C67A809" w14:textId="21931DA5" w:rsidR="00317E12" w:rsidRPr="001F151E" w:rsidRDefault="00317E12" w:rsidP="00793335">
            <w:pPr>
              <w:spacing w:line="180" w:lineRule="exact"/>
              <w:jc w:val="center"/>
              <w:rPr>
                <w:sz w:val="14"/>
                <w:szCs w:val="14"/>
              </w:rPr>
            </w:pPr>
            <w:r w:rsidRPr="001F151E">
              <w:rPr>
                <w:sz w:val="14"/>
                <w:szCs w:val="14"/>
              </w:rPr>
              <w:t>Property Tax Management</w:t>
            </w:r>
          </w:p>
        </w:tc>
        <w:tc>
          <w:tcPr>
            <w:tcW w:w="1355" w:type="dxa"/>
            <w:shd w:val="clear" w:color="auto" w:fill="D9D9D9" w:themeFill="background1" w:themeFillShade="D9"/>
            <w:vAlign w:val="center"/>
          </w:tcPr>
          <w:p w14:paraId="6FA62D05" w14:textId="4BB73998" w:rsidR="00317E12" w:rsidRPr="001F151E" w:rsidRDefault="00317E12" w:rsidP="00793335">
            <w:pPr>
              <w:spacing w:line="180" w:lineRule="exact"/>
              <w:jc w:val="center"/>
              <w:rPr>
                <w:sz w:val="14"/>
                <w:szCs w:val="14"/>
              </w:rPr>
            </w:pPr>
            <w:r w:rsidRPr="001F151E">
              <w:rPr>
                <w:sz w:val="14"/>
                <w:szCs w:val="14"/>
              </w:rPr>
              <w:t>Accounting</w:t>
            </w:r>
          </w:p>
        </w:tc>
        <w:tc>
          <w:tcPr>
            <w:tcW w:w="1338" w:type="dxa"/>
            <w:shd w:val="clear" w:color="auto" w:fill="D9D9D9" w:themeFill="background1" w:themeFillShade="D9"/>
            <w:vAlign w:val="center"/>
          </w:tcPr>
          <w:p w14:paraId="551A0B28" w14:textId="1E387D06" w:rsidR="00317E12" w:rsidRPr="001F151E" w:rsidRDefault="00317E12" w:rsidP="00793335">
            <w:pPr>
              <w:spacing w:line="180" w:lineRule="exact"/>
              <w:jc w:val="center"/>
              <w:rPr>
                <w:sz w:val="14"/>
                <w:szCs w:val="14"/>
              </w:rPr>
            </w:pPr>
            <w:r w:rsidRPr="001F151E">
              <w:rPr>
                <w:sz w:val="14"/>
                <w:szCs w:val="14"/>
              </w:rPr>
              <w:t>Internal Audit</w:t>
            </w:r>
          </w:p>
        </w:tc>
        <w:tc>
          <w:tcPr>
            <w:tcW w:w="1359" w:type="dxa"/>
            <w:shd w:val="clear" w:color="auto" w:fill="D9D9D9" w:themeFill="background1" w:themeFillShade="D9"/>
            <w:vAlign w:val="center"/>
          </w:tcPr>
          <w:p w14:paraId="632ADE90" w14:textId="77777777" w:rsidR="00317E12" w:rsidRPr="001F151E" w:rsidRDefault="00317E12" w:rsidP="00793335">
            <w:pPr>
              <w:spacing w:line="180" w:lineRule="exact"/>
              <w:jc w:val="center"/>
              <w:rPr>
                <w:sz w:val="14"/>
                <w:szCs w:val="14"/>
              </w:rPr>
            </w:pPr>
            <w:r w:rsidRPr="001F151E">
              <w:rPr>
                <w:sz w:val="14"/>
                <w:szCs w:val="14"/>
              </w:rPr>
              <w:t>Parliamentary oversight</w:t>
            </w:r>
          </w:p>
        </w:tc>
      </w:tr>
      <w:tr w:rsidR="00317E12" w:rsidRPr="001F151E" w14:paraId="384A1D52" w14:textId="58EFE856" w:rsidTr="00317E12">
        <w:trPr>
          <w:trHeight w:val="972"/>
        </w:trPr>
        <w:tc>
          <w:tcPr>
            <w:tcW w:w="2368" w:type="dxa"/>
            <w:shd w:val="clear" w:color="auto" w:fill="D9D9D9" w:themeFill="background1" w:themeFillShade="D9"/>
            <w:vAlign w:val="center"/>
          </w:tcPr>
          <w:p w14:paraId="7230BBFE" w14:textId="184084F1" w:rsidR="00317E12" w:rsidRPr="001F151E" w:rsidRDefault="00317E12" w:rsidP="00793335">
            <w:pPr>
              <w:spacing w:line="180" w:lineRule="exact"/>
              <w:jc w:val="center"/>
              <w:rPr>
                <w:sz w:val="14"/>
                <w:szCs w:val="14"/>
              </w:rPr>
            </w:pPr>
            <w:r>
              <w:rPr>
                <w:sz w:val="14"/>
                <w:szCs w:val="14"/>
              </w:rPr>
              <w:t>Fiscal Risk Management</w:t>
            </w:r>
          </w:p>
        </w:tc>
        <w:tc>
          <w:tcPr>
            <w:tcW w:w="1339" w:type="dxa"/>
            <w:shd w:val="clear" w:color="auto" w:fill="D9D9D9" w:themeFill="background1" w:themeFillShade="D9"/>
            <w:vAlign w:val="center"/>
          </w:tcPr>
          <w:p w14:paraId="52A8FF8D" w14:textId="77777777" w:rsidR="00317E12" w:rsidRPr="001F151E" w:rsidRDefault="00317E12" w:rsidP="00793335">
            <w:pPr>
              <w:spacing w:line="180" w:lineRule="exact"/>
              <w:jc w:val="center"/>
              <w:rPr>
                <w:sz w:val="14"/>
                <w:szCs w:val="14"/>
              </w:rPr>
            </w:pPr>
            <w:r w:rsidRPr="001F151E">
              <w:rPr>
                <w:sz w:val="14"/>
                <w:szCs w:val="14"/>
              </w:rPr>
              <w:t>Public Investment Management</w:t>
            </w:r>
          </w:p>
        </w:tc>
        <w:tc>
          <w:tcPr>
            <w:tcW w:w="1355" w:type="dxa"/>
            <w:shd w:val="clear" w:color="auto" w:fill="D9D9D9" w:themeFill="background1" w:themeFillShade="D9"/>
            <w:vAlign w:val="center"/>
          </w:tcPr>
          <w:p w14:paraId="586CD906" w14:textId="77777777" w:rsidR="00317E12" w:rsidRPr="001F151E" w:rsidRDefault="00317E12" w:rsidP="00793335">
            <w:pPr>
              <w:spacing w:line="180" w:lineRule="exact"/>
              <w:jc w:val="center"/>
              <w:rPr>
                <w:sz w:val="14"/>
                <w:szCs w:val="14"/>
              </w:rPr>
            </w:pPr>
            <w:r w:rsidRPr="001F151E">
              <w:rPr>
                <w:sz w:val="14"/>
                <w:szCs w:val="14"/>
              </w:rPr>
              <w:t xml:space="preserve">Customs </w:t>
            </w:r>
          </w:p>
          <w:p w14:paraId="6D6E9F8D" w14:textId="07FCAC0C" w:rsidR="00317E12" w:rsidRPr="001F151E" w:rsidRDefault="00317E12" w:rsidP="00793335">
            <w:pPr>
              <w:spacing w:line="180" w:lineRule="exact"/>
              <w:jc w:val="center"/>
              <w:rPr>
                <w:sz w:val="14"/>
                <w:szCs w:val="14"/>
              </w:rPr>
            </w:pPr>
            <w:r w:rsidRPr="001F151E">
              <w:rPr>
                <w:sz w:val="14"/>
                <w:szCs w:val="14"/>
              </w:rPr>
              <w:t>Management</w:t>
            </w:r>
          </w:p>
        </w:tc>
        <w:tc>
          <w:tcPr>
            <w:tcW w:w="1355" w:type="dxa"/>
            <w:shd w:val="clear" w:color="auto" w:fill="D9D9D9" w:themeFill="background1" w:themeFillShade="D9"/>
            <w:vAlign w:val="center"/>
          </w:tcPr>
          <w:p w14:paraId="3DF7CEBE" w14:textId="77C60EB0" w:rsidR="00317E12" w:rsidRPr="001F151E" w:rsidRDefault="00317E12" w:rsidP="00793335">
            <w:pPr>
              <w:spacing w:line="180" w:lineRule="exact"/>
              <w:jc w:val="center"/>
              <w:rPr>
                <w:sz w:val="14"/>
                <w:szCs w:val="14"/>
              </w:rPr>
            </w:pPr>
            <w:r w:rsidRPr="001F151E">
              <w:rPr>
                <w:sz w:val="14"/>
                <w:szCs w:val="14"/>
              </w:rPr>
              <w:t>Public Procurement</w:t>
            </w:r>
          </w:p>
        </w:tc>
        <w:tc>
          <w:tcPr>
            <w:tcW w:w="1338" w:type="dxa"/>
            <w:shd w:val="clear" w:color="auto" w:fill="D9D9D9" w:themeFill="background1" w:themeFillShade="D9"/>
            <w:vAlign w:val="center"/>
          </w:tcPr>
          <w:p w14:paraId="66C333BA" w14:textId="0547886F" w:rsidR="00317E12" w:rsidRPr="001F151E" w:rsidRDefault="008A44DF" w:rsidP="00793335">
            <w:pPr>
              <w:spacing w:line="180" w:lineRule="exact"/>
              <w:jc w:val="center"/>
              <w:rPr>
                <w:sz w:val="14"/>
                <w:szCs w:val="14"/>
              </w:rPr>
            </w:pPr>
            <w:r w:rsidRPr="008A44DF">
              <w:rPr>
                <w:sz w:val="14"/>
                <w:szCs w:val="14"/>
              </w:rPr>
              <w:t>Public Financial Inspection and Anti-Fraud Coordination Services</w:t>
            </w:r>
          </w:p>
        </w:tc>
        <w:tc>
          <w:tcPr>
            <w:tcW w:w="1359" w:type="dxa"/>
            <w:shd w:val="clear" w:color="auto" w:fill="FFFFFF" w:themeFill="background1"/>
            <w:vAlign w:val="center"/>
          </w:tcPr>
          <w:p w14:paraId="69A44534" w14:textId="154BF962" w:rsidR="00317E12" w:rsidRPr="001F151E" w:rsidRDefault="00317E12" w:rsidP="00793335">
            <w:pPr>
              <w:spacing w:line="180" w:lineRule="exact"/>
              <w:jc w:val="center"/>
              <w:rPr>
                <w:sz w:val="14"/>
                <w:szCs w:val="14"/>
              </w:rPr>
            </w:pPr>
          </w:p>
        </w:tc>
      </w:tr>
      <w:tr w:rsidR="00317E12" w:rsidRPr="001F151E" w14:paraId="00825E87" w14:textId="501FA82C" w:rsidTr="00317E12">
        <w:trPr>
          <w:trHeight w:val="655"/>
        </w:trPr>
        <w:tc>
          <w:tcPr>
            <w:tcW w:w="2368" w:type="dxa"/>
            <w:shd w:val="clear" w:color="auto" w:fill="D9D9D9" w:themeFill="background1" w:themeFillShade="D9"/>
            <w:vAlign w:val="center"/>
          </w:tcPr>
          <w:p w14:paraId="1575198C" w14:textId="77777777" w:rsidR="00317E12" w:rsidRDefault="00317E12" w:rsidP="00793335">
            <w:pPr>
              <w:spacing w:line="180" w:lineRule="exact"/>
              <w:jc w:val="center"/>
              <w:rPr>
                <w:sz w:val="14"/>
                <w:szCs w:val="14"/>
              </w:rPr>
            </w:pPr>
            <w:r>
              <w:rPr>
                <w:sz w:val="14"/>
                <w:szCs w:val="14"/>
              </w:rPr>
              <w:t xml:space="preserve">Fiscal </w:t>
            </w:r>
          </w:p>
          <w:p w14:paraId="53A76C39" w14:textId="042E6C7B" w:rsidR="00317E12" w:rsidRPr="001F151E" w:rsidRDefault="00317E12" w:rsidP="00793335">
            <w:pPr>
              <w:spacing w:line="180" w:lineRule="exact"/>
              <w:jc w:val="center"/>
              <w:rPr>
                <w:sz w:val="14"/>
                <w:szCs w:val="14"/>
              </w:rPr>
            </w:pPr>
            <w:r>
              <w:rPr>
                <w:sz w:val="14"/>
                <w:szCs w:val="14"/>
              </w:rPr>
              <w:t>Council</w:t>
            </w:r>
            <w:r w:rsidRPr="001F151E" w:rsidDel="00793335">
              <w:rPr>
                <w:sz w:val="14"/>
                <w:szCs w:val="14"/>
              </w:rPr>
              <w:t xml:space="preserve"> </w:t>
            </w:r>
          </w:p>
        </w:tc>
        <w:tc>
          <w:tcPr>
            <w:tcW w:w="1339" w:type="dxa"/>
            <w:shd w:val="clear" w:color="auto" w:fill="D9D9D9" w:themeFill="background1" w:themeFillShade="D9"/>
            <w:vAlign w:val="center"/>
          </w:tcPr>
          <w:p w14:paraId="5E9DAC92" w14:textId="77777777" w:rsidR="00317E12" w:rsidRPr="001F151E" w:rsidRDefault="00317E12" w:rsidP="00793335">
            <w:pPr>
              <w:spacing w:line="180" w:lineRule="exact"/>
              <w:jc w:val="center"/>
              <w:rPr>
                <w:sz w:val="14"/>
                <w:szCs w:val="14"/>
              </w:rPr>
            </w:pPr>
            <w:r w:rsidRPr="001F151E">
              <w:rPr>
                <w:sz w:val="14"/>
                <w:szCs w:val="14"/>
              </w:rPr>
              <w:t xml:space="preserve">Local </w:t>
            </w:r>
          </w:p>
          <w:p w14:paraId="58EFAC62" w14:textId="37AF640A" w:rsidR="00317E12" w:rsidRPr="001F151E" w:rsidRDefault="00317E12" w:rsidP="00793335">
            <w:pPr>
              <w:spacing w:line="180" w:lineRule="exact"/>
              <w:jc w:val="center"/>
              <w:rPr>
                <w:sz w:val="14"/>
                <w:szCs w:val="14"/>
              </w:rPr>
            </w:pPr>
            <w:r w:rsidRPr="001F151E">
              <w:rPr>
                <w:sz w:val="14"/>
                <w:szCs w:val="14"/>
              </w:rPr>
              <w:t>Finance</w:t>
            </w:r>
          </w:p>
        </w:tc>
        <w:tc>
          <w:tcPr>
            <w:tcW w:w="1355" w:type="dxa"/>
            <w:shd w:val="clear" w:color="auto" w:fill="FFFFFF" w:themeFill="background1"/>
            <w:vAlign w:val="center"/>
          </w:tcPr>
          <w:p w14:paraId="7DB51818" w14:textId="7CC62455" w:rsidR="00317E12" w:rsidRPr="001F151E" w:rsidRDefault="00317E12" w:rsidP="00793335">
            <w:pPr>
              <w:spacing w:line="180" w:lineRule="exact"/>
              <w:jc w:val="center"/>
              <w:rPr>
                <w:sz w:val="14"/>
                <w:szCs w:val="14"/>
              </w:rPr>
            </w:pPr>
          </w:p>
        </w:tc>
        <w:tc>
          <w:tcPr>
            <w:tcW w:w="1355" w:type="dxa"/>
            <w:shd w:val="clear" w:color="auto" w:fill="D9D9D9" w:themeFill="background1" w:themeFillShade="D9"/>
            <w:vAlign w:val="center"/>
          </w:tcPr>
          <w:p w14:paraId="551B1E5B" w14:textId="77777777" w:rsidR="00317E12" w:rsidRPr="001F151E" w:rsidRDefault="00317E12" w:rsidP="00793335">
            <w:pPr>
              <w:spacing w:line="180" w:lineRule="exact"/>
              <w:jc w:val="center"/>
              <w:rPr>
                <w:sz w:val="14"/>
                <w:szCs w:val="14"/>
              </w:rPr>
            </w:pPr>
            <w:r w:rsidRPr="001F151E">
              <w:rPr>
                <w:sz w:val="14"/>
                <w:szCs w:val="14"/>
              </w:rPr>
              <w:t xml:space="preserve">Debt </w:t>
            </w:r>
          </w:p>
          <w:p w14:paraId="276A5186" w14:textId="04045C84" w:rsidR="00317E12" w:rsidRPr="001F151E" w:rsidRDefault="00317E12" w:rsidP="00793335">
            <w:pPr>
              <w:spacing w:line="180" w:lineRule="exact"/>
              <w:jc w:val="center"/>
              <w:rPr>
                <w:sz w:val="14"/>
                <w:szCs w:val="14"/>
              </w:rPr>
            </w:pPr>
            <w:r w:rsidRPr="001F151E">
              <w:rPr>
                <w:sz w:val="14"/>
                <w:szCs w:val="14"/>
              </w:rPr>
              <w:t>Management</w:t>
            </w:r>
          </w:p>
        </w:tc>
        <w:tc>
          <w:tcPr>
            <w:tcW w:w="1338" w:type="dxa"/>
            <w:shd w:val="clear" w:color="auto" w:fill="D9D9D9" w:themeFill="background1" w:themeFillShade="D9"/>
            <w:vAlign w:val="center"/>
          </w:tcPr>
          <w:p w14:paraId="34C63E73" w14:textId="3A6E8EF8" w:rsidR="00317E12" w:rsidRPr="001F151E" w:rsidRDefault="008A44DF" w:rsidP="00793335">
            <w:pPr>
              <w:spacing w:line="180" w:lineRule="exact"/>
              <w:jc w:val="center"/>
              <w:rPr>
                <w:sz w:val="14"/>
                <w:szCs w:val="14"/>
              </w:rPr>
            </w:pPr>
            <w:r w:rsidRPr="008A44DF">
              <w:rPr>
                <w:sz w:val="14"/>
                <w:szCs w:val="14"/>
              </w:rPr>
              <w:t>Management of EU funds</w:t>
            </w:r>
          </w:p>
        </w:tc>
        <w:tc>
          <w:tcPr>
            <w:tcW w:w="1359" w:type="dxa"/>
            <w:shd w:val="clear" w:color="auto" w:fill="FFFFFF" w:themeFill="background1"/>
            <w:vAlign w:val="center"/>
          </w:tcPr>
          <w:p w14:paraId="3456812B" w14:textId="70F8782F" w:rsidR="00317E12" w:rsidRPr="001F151E" w:rsidRDefault="00317E12" w:rsidP="00793335">
            <w:pPr>
              <w:spacing w:line="180" w:lineRule="exact"/>
              <w:jc w:val="center"/>
              <w:rPr>
                <w:sz w:val="14"/>
                <w:szCs w:val="14"/>
              </w:rPr>
            </w:pPr>
          </w:p>
        </w:tc>
      </w:tr>
      <w:tr w:rsidR="00317E12" w:rsidRPr="001F151E" w14:paraId="54009F6F" w14:textId="73360D36" w:rsidTr="00317E12">
        <w:trPr>
          <w:trHeight w:val="972"/>
        </w:trPr>
        <w:tc>
          <w:tcPr>
            <w:tcW w:w="2368" w:type="dxa"/>
            <w:shd w:val="clear" w:color="auto" w:fill="auto"/>
            <w:vAlign w:val="center"/>
          </w:tcPr>
          <w:p w14:paraId="7A33D7CE" w14:textId="4A50A678" w:rsidR="00317E12" w:rsidRPr="00793335" w:rsidRDefault="00317E12" w:rsidP="00793335">
            <w:pPr>
              <w:spacing w:line="180" w:lineRule="exact"/>
              <w:jc w:val="center"/>
              <w:rPr>
                <w:sz w:val="14"/>
                <w:szCs w:val="14"/>
              </w:rPr>
            </w:pPr>
          </w:p>
        </w:tc>
        <w:tc>
          <w:tcPr>
            <w:tcW w:w="1339" w:type="dxa"/>
            <w:shd w:val="clear" w:color="auto" w:fill="D9D9D9" w:themeFill="background1" w:themeFillShade="D9"/>
            <w:vAlign w:val="center"/>
          </w:tcPr>
          <w:p w14:paraId="31EAE04D" w14:textId="5426FA41" w:rsidR="00317E12" w:rsidRPr="001F151E" w:rsidRDefault="008A44DF" w:rsidP="00793335">
            <w:pPr>
              <w:spacing w:line="180" w:lineRule="exact"/>
              <w:jc w:val="center"/>
              <w:rPr>
                <w:sz w:val="14"/>
                <w:szCs w:val="14"/>
              </w:rPr>
            </w:pPr>
            <w:r w:rsidRPr="008A44DF">
              <w:rPr>
                <w:sz w:val="14"/>
                <w:szCs w:val="14"/>
              </w:rPr>
              <w:t>Budget Execution Monitoring and Reporting</w:t>
            </w:r>
          </w:p>
        </w:tc>
        <w:tc>
          <w:tcPr>
            <w:tcW w:w="1355" w:type="dxa"/>
            <w:shd w:val="clear" w:color="auto" w:fill="FFFFFF" w:themeFill="background1"/>
            <w:vAlign w:val="center"/>
          </w:tcPr>
          <w:p w14:paraId="60CFD48A" w14:textId="77777777" w:rsidR="00317E12" w:rsidRDefault="00317E12" w:rsidP="00793335">
            <w:pPr>
              <w:spacing w:line="180" w:lineRule="exact"/>
              <w:jc w:val="center"/>
              <w:rPr>
                <w:sz w:val="14"/>
                <w:szCs w:val="14"/>
              </w:rPr>
            </w:pPr>
          </w:p>
          <w:p w14:paraId="11C7C25A" w14:textId="77777777" w:rsidR="00317E12" w:rsidRDefault="00317E12" w:rsidP="00793335">
            <w:pPr>
              <w:spacing w:line="180" w:lineRule="exact"/>
              <w:jc w:val="center"/>
              <w:rPr>
                <w:sz w:val="14"/>
                <w:szCs w:val="14"/>
              </w:rPr>
            </w:pPr>
          </w:p>
          <w:p w14:paraId="1AABBFC5" w14:textId="77777777" w:rsidR="00317E12" w:rsidRPr="001F151E" w:rsidRDefault="00317E12" w:rsidP="00793335">
            <w:pPr>
              <w:spacing w:line="180" w:lineRule="exact"/>
              <w:jc w:val="center"/>
              <w:rPr>
                <w:sz w:val="14"/>
                <w:szCs w:val="14"/>
              </w:rPr>
            </w:pPr>
          </w:p>
        </w:tc>
        <w:tc>
          <w:tcPr>
            <w:tcW w:w="1355" w:type="dxa"/>
            <w:shd w:val="clear" w:color="auto" w:fill="D9D9D9" w:themeFill="background1" w:themeFillShade="D9"/>
            <w:vAlign w:val="center"/>
          </w:tcPr>
          <w:p w14:paraId="49E89B38" w14:textId="130F35F1" w:rsidR="00317E12" w:rsidRPr="001F151E" w:rsidRDefault="00317E12" w:rsidP="00793335">
            <w:pPr>
              <w:spacing w:line="180" w:lineRule="exact"/>
              <w:jc w:val="center"/>
              <w:rPr>
                <w:sz w:val="14"/>
                <w:szCs w:val="14"/>
              </w:rPr>
            </w:pPr>
            <w:r w:rsidRPr="001F151E">
              <w:rPr>
                <w:sz w:val="14"/>
                <w:szCs w:val="14"/>
              </w:rPr>
              <w:t>Cash Management</w:t>
            </w:r>
          </w:p>
        </w:tc>
        <w:tc>
          <w:tcPr>
            <w:tcW w:w="1338" w:type="dxa"/>
            <w:shd w:val="clear" w:color="auto" w:fill="FFFFFF" w:themeFill="background1"/>
            <w:vAlign w:val="center"/>
          </w:tcPr>
          <w:p w14:paraId="7B978516" w14:textId="77777777" w:rsidR="00317E12" w:rsidRPr="001F151E" w:rsidRDefault="00317E12" w:rsidP="00793335">
            <w:pPr>
              <w:spacing w:line="180" w:lineRule="exact"/>
              <w:jc w:val="center"/>
              <w:rPr>
                <w:sz w:val="14"/>
                <w:szCs w:val="14"/>
              </w:rPr>
            </w:pPr>
          </w:p>
        </w:tc>
        <w:tc>
          <w:tcPr>
            <w:tcW w:w="1359" w:type="dxa"/>
            <w:shd w:val="clear" w:color="auto" w:fill="FFFFFF" w:themeFill="background1"/>
            <w:vAlign w:val="center"/>
          </w:tcPr>
          <w:p w14:paraId="7ED9A3B6" w14:textId="77777777" w:rsidR="00317E12" w:rsidRPr="001F151E" w:rsidRDefault="00317E12" w:rsidP="00793335">
            <w:pPr>
              <w:spacing w:line="180" w:lineRule="exact"/>
              <w:jc w:val="center"/>
              <w:rPr>
                <w:sz w:val="14"/>
                <w:szCs w:val="14"/>
              </w:rPr>
            </w:pPr>
          </w:p>
        </w:tc>
      </w:tr>
      <w:tr w:rsidR="00317E12" w:rsidRPr="001F151E" w14:paraId="4640542C" w14:textId="77777777" w:rsidTr="00317E12">
        <w:trPr>
          <w:trHeight w:val="655"/>
        </w:trPr>
        <w:tc>
          <w:tcPr>
            <w:tcW w:w="2368" w:type="dxa"/>
            <w:shd w:val="clear" w:color="auto" w:fill="auto"/>
            <w:vAlign w:val="center"/>
          </w:tcPr>
          <w:p w14:paraId="5BCF62A8" w14:textId="77777777" w:rsidR="00317E12" w:rsidRPr="00793335" w:rsidRDefault="00317E12" w:rsidP="00793335">
            <w:pPr>
              <w:spacing w:line="180" w:lineRule="exact"/>
              <w:jc w:val="center"/>
              <w:rPr>
                <w:sz w:val="14"/>
                <w:szCs w:val="14"/>
              </w:rPr>
            </w:pPr>
          </w:p>
        </w:tc>
        <w:tc>
          <w:tcPr>
            <w:tcW w:w="1339" w:type="dxa"/>
            <w:shd w:val="clear" w:color="auto" w:fill="auto"/>
            <w:vAlign w:val="center"/>
          </w:tcPr>
          <w:p w14:paraId="3E08B361" w14:textId="77777777" w:rsidR="00317E12" w:rsidRPr="001F151E" w:rsidRDefault="00317E12" w:rsidP="00793335">
            <w:pPr>
              <w:spacing w:line="180" w:lineRule="exact"/>
              <w:jc w:val="center"/>
              <w:rPr>
                <w:sz w:val="14"/>
                <w:szCs w:val="14"/>
              </w:rPr>
            </w:pPr>
          </w:p>
        </w:tc>
        <w:tc>
          <w:tcPr>
            <w:tcW w:w="1355" w:type="dxa"/>
            <w:shd w:val="clear" w:color="auto" w:fill="FFFFFF" w:themeFill="background1"/>
            <w:vAlign w:val="center"/>
          </w:tcPr>
          <w:p w14:paraId="6ED65CBD" w14:textId="77777777" w:rsidR="00317E12" w:rsidRDefault="00317E12" w:rsidP="00793335">
            <w:pPr>
              <w:spacing w:line="180" w:lineRule="exact"/>
              <w:jc w:val="center"/>
              <w:rPr>
                <w:sz w:val="14"/>
                <w:szCs w:val="14"/>
              </w:rPr>
            </w:pPr>
          </w:p>
        </w:tc>
        <w:tc>
          <w:tcPr>
            <w:tcW w:w="1355" w:type="dxa"/>
            <w:shd w:val="clear" w:color="auto" w:fill="D9D9D9" w:themeFill="background1" w:themeFillShade="D9"/>
            <w:vAlign w:val="center"/>
          </w:tcPr>
          <w:p w14:paraId="30B0A9F5" w14:textId="625C78E9" w:rsidR="00317E12" w:rsidRPr="001F151E" w:rsidRDefault="00317E12" w:rsidP="00793335">
            <w:pPr>
              <w:spacing w:line="180" w:lineRule="exact"/>
              <w:jc w:val="center"/>
              <w:rPr>
                <w:sz w:val="14"/>
                <w:szCs w:val="14"/>
              </w:rPr>
            </w:pPr>
            <w:r w:rsidRPr="001F151E">
              <w:rPr>
                <w:sz w:val="14"/>
                <w:szCs w:val="14"/>
              </w:rPr>
              <w:t>Asset Management</w:t>
            </w:r>
          </w:p>
        </w:tc>
        <w:tc>
          <w:tcPr>
            <w:tcW w:w="1338" w:type="dxa"/>
            <w:shd w:val="clear" w:color="auto" w:fill="FFFFFF" w:themeFill="background1"/>
            <w:vAlign w:val="center"/>
          </w:tcPr>
          <w:p w14:paraId="0474FA0B" w14:textId="77777777" w:rsidR="00317E12" w:rsidRPr="001F151E" w:rsidRDefault="00317E12" w:rsidP="00793335">
            <w:pPr>
              <w:spacing w:line="180" w:lineRule="exact"/>
              <w:jc w:val="center"/>
              <w:rPr>
                <w:sz w:val="14"/>
                <w:szCs w:val="14"/>
              </w:rPr>
            </w:pPr>
          </w:p>
        </w:tc>
        <w:tc>
          <w:tcPr>
            <w:tcW w:w="1359" w:type="dxa"/>
            <w:shd w:val="clear" w:color="auto" w:fill="FFFFFF" w:themeFill="background1"/>
            <w:vAlign w:val="center"/>
          </w:tcPr>
          <w:p w14:paraId="16A929E7" w14:textId="77777777" w:rsidR="00317E12" w:rsidRPr="001F151E" w:rsidRDefault="00317E12" w:rsidP="00793335">
            <w:pPr>
              <w:spacing w:line="180" w:lineRule="exact"/>
              <w:jc w:val="center"/>
              <w:rPr>
                <w:sz w:val="14"/>
                <w:szCs w:val="14"/>
              </w:rPr>
            </w:pPr>
          </w:p>
        </w:tc>
      </w:tr>
    </w:tbl>
    <w:p w14:paraId="2E46F0D1" w14:textId="77777777" w:rsidR="00E91470" w:rsidRPr="001F151E" w:rsidRDefault="00E91470" w:rsidP="00E91470">
      <w:pPr>
        <w:rPr>
          <w:sz w:val="8"/>
          <w:szCs w:val="8"/>
          <w:lang w:val="en-GB"/>
        </w:rPr>
      </w:pPr>
    </w:p>
    <w:p w14:paraId="256882F6" w14:textId="77777777" w:rsidR="00E20EDA" w:rsidRPr="001F151E" w:rsidRDefault="00E20EDA" w:rsidP="002516A8">
      <w:pPr>
        <w:rPr>
          <w:rStyle w:val="IntenseReference"/>
          <w:rFonts w:eastAsiaTheme="majorEastAsia" w:cstheme="majorBidi"/>
          <w:i w:val="0"/>
          <w:iCs/>
          <w:sz w:val="22"/>
          <w:szCs w:val="22"/>
          <w:lang w:val="en-GB"/>
        </w:rPr>
      </w:pPr>
    </w:p>
    <w:p w14:paraId="14E2E1F6" w14:textId="77777777" w:rsidR="00E44A05" w:rsidRPr="001F151E" w:rsidRDefault="00E44A05" w:rsidP="002516A8">
      <w:pPr>
        <w:rPr>
          <w:lang w:val="en-GB"/>
        </w:rPr>
      </w:pPr>
    </w:p>
    <w:p w14:paraId="724E1400" w14:textId="255ABA79" w:rsidR="00BB2BD0" w:rsidRPr="001F151E" w:rsidRDefault="00097914" w:rsidP="00C96708">
      <w:pPr>
        <w:pStyle w:val="Heading2"/>
        <w:rPr>
          <w:lang w:val="en-GB"/>
        </w:rPr>
      </w:pPr>
      <w:bookmarkStart w:id="6" w:name="_Toc163148005"/>
      <w:r w:rsidRPr="001F151E">
        <w:rPr>
          <w:lang w:val="en-GB"/>
        </w:rPr>
        <w:t xml:space="preserve">Alignment with the </w:t>
      </w:r>
      <w:r w:rsidR="005901C8" w:rsidRPr="001F151E">
        <w:rPr>
          <w:lang w:val="en-GB"/>
        </w:rPr>
        <w:t xml:space="preserve">Strategic Framework for National Development, </w:t>
      </w:r>
      <w:r w:rsidRPr="001F151E">
        <w:rPr>
          <w:lang w:val="en-GB"/>
        </w:rPr>
        <w:t xml:space="preserve">European Integration, </w:t>
      </w:r>
      <w:r w:rsidR="005901C8" w:rsidRPr="001F151E">
        <w:rPr>
          <w:lang w:val="en-GB"/>
        </w:rPr>
        <w:t>Economic Reform</w:t>
      </w:r>
      <w:r w:rsidR="008A44DF">
        <w:rPr>
          <w:lang w:val="en-GB"/>
        </w:rPr>
        <w:t>s</w:t>
      </w:r>
      <w:r w:rsidR="005901C8" w:rsidRPr="001F151E">
        <w:rPr>
          <w:lang w:val="en-GB"/>
        </w:rPr>
        <w:t xml:space="preserve"> and Good Governance</w:t>
      </w:r>
      <w:bookmarkEnd w:id="6"/>
    </w:p>
    <w:p w14:paraId="140D1E94" w14:textId="77777777" w:rsidR="00097914" w:rsidRPr="001F151E" w:rsidRDefault="00097914" w:rsidP="002E6AB5">
      <w:pPr>
        <w:spacing w:line="276" w:lineRule="auto"/>
        <w:jc w:val="both"/>
        <w:rPr>
          <w:lang w:val="en-GB"/>
        </w:rPr>
      </w:pPr>
    </w:p>
    <w:p w14:paraId="50096588" w14:textId="24B06EDA" w:rsidR="005901C8" w:rsidRPr="001F151E" w:rsidRDefault="005901C8" w:rsidP="002E6AB5">
      <w:pPr>
        <w:spacing w:line="276" w:lineRule="auto"/>
        <w:jc w:val="both"/>
        <w:rPr>
          <w:lang w:val="en-GB"/>
        </w:rPr>
      </w:pPr>
      <w:r w:rsidRPr="001F151E">
        <w:rPr>
          <w:lang w:val="en-GB"/>
        </w:rPr>
        <w:t xml:space="preserve">This PFM sectoral strategy has been developed in alignment with the Strategic Framework for National Development, </w:t>
      </w:r>
      <w:r w:rsidR="00097914" w:rsidRPr="001F151E">
        <w:rPr>
          <w:lang w:val="en-GB"/>
        </w:rPr>
        <w:t xml:space="preserve">European Integration and </w:t>
      </w:r>
      <w:r w:rsidRPr="001F151E">
        <w:rPr>
          <w:lang w:val="en-GB"/>
        </w:rPr>
        <w:t>Economic Reform</w:t>
      </w:r>
      <w:r w:rsidR="008A44DF">
        <w:rPr>
          <w:lang w:val="en-GB"/>
        </w:rPr>
        <w:t>s</w:t>
      </w:r>
      <w:r w:rsidRPr="001F151E">
        <w:rPr>
          <w:lang w:val="en-GB"/>
        </w:rPr>
        <w:t xml:space="preserve"> and Good Governance, which in turn comprises the following:</w:t>
      </w:r>
    </w:p>
    <w:p w14:paraId="41B571D9" w14:textId="653FC803" w:rsidR="005901C8" w:rsidRPr="001F151E" w:rsidRDefault="005901C8" w:rsidP="002E6AB5">
      <w:pPr>
        <w:pStyle w:val="N-Bullet"/>
        <w:spacing w:line="276" w:lineRule="auto"/>
        <w:jc w:val="both"/>
        <w:rPr>
          <w:lang w:val="en-GB"/>
        </w:rPr>
      </w:pPr>
      <w:r w:rsidRPr="001F151E">
        <w:rPr>
          <w:lang w:val="en-GB"/>
        </w:rPr>
        <w:t xml:space="preserve">National Strategy for Development and European Integration </w:t>
      </w:r>
      <w:r w:rsidR="00012A4F" w:rsidRPr="001F151E">
        <w:rPr>
          <w:lang w:val="en-GB"/>
        </w:rPr>
        <w:t xml:space="preserve">(NSDEI) </w:t>
      </w:r>
      <w:r w:rsidRPr="001F151E">
        <w:rPr>
          <w:lang w:val="en-GB"/>
        </w:rPr>
        <w:t>2022-2030</w:t>
      </w:r>
    </w:p>
    <w:p w14:paraId="59218DF8" w14:textId="7FCD55D2" w:rsidR="000C7935" w:rsidRPr="001F151E" w:rsidRDefault="00F579BB" w:rsidP="002E6AB5">
      <w:pPr>
        <w:pStyle w:val="N-Bullet"/>
        <w:spacing w:line="276" w:lineRule="auto"/>
        <w:jc w:val="both"/>
        <w:rPr>
          <w:lang w:val="en-GB"/>
        </w:rPr>
      </w:pPr>
      <w:r>
        <w:rPr>
          <w:lang w:val="en-GB"/>
        </w:rPr>
        <w:t>Public Administration Reform</w:t>
      </w:r>
      <w:r w:rsidR="000C7935" w:rsidRPr="001F151E">
        <w:rPr>
          <w:lang w:val="en-GB"/>
        </w:rPr>
        <w:t xml:space="preserve"> Roadmap </w:t>
      </w:r>
      <w:r>
        <w:rPr>
          <w:lang w:val="en-GB"/>
        </w:rPr>
        <w:t>2023-</w:t>
      </w:r>
      <w:r w:rsidR="000C7935" w:rsidRPr="001F151E">
        <w:rPr>
          <w:lang w:val="en-GB"/>
        </w:rPr>
        <w:t>2030</w:t>
      </w:r>
    </w:p>
    <w:p w14:paraId="53026DF4" w14:textId="6F2A93A8" w:rsidR="00F74BAB" w:rsidRPr="001F151E" w:rsidRDefault="00F74BAB" w:rsidP="002E6AB5">
      <w:pPr>
        <w:pStyle w:val="N-Bullet"/>
        <w:spacing w:line="276" w:lineRule="auto"/>
        <w:jc w:val="both"/>
        <w:rPr>
          <w:lang w:val="en-GB"/>
        </w:rPr>
      </w:pPr>
      <w:r w:rsidRPr="001F151E">
        <w:rPr>
          <w:lang w:val="en-GB"/>
        </w:rPr>
        <w:t xml:space="preserve">National Plan for European Integration </w:t>
      </w:r>
      <w:r w:rsidR="00012A4F" w:rsidRPr="001F151E">
        <w:rPr>
          <w:lang w:val="en-GB"/>
        </w:rPr>
        <w:t>(NPEI)</w:t>
      </w:r>
      <w:r w:rsidR="00200748" w:rsidRPr="001F151E">
        <w:rPr>
          <w:lang w:val="en-GB"/>
        </w:rPr>
        <w:t xml:space="preserve"> </w:t>
      </w:r>
    </w:p>
    <w:p w14:paraId="33AEDBA6" w14:textId="77777777" w:rsidR="00EC43EB" w:rsidRPr="001F151E" w:rsidRDefault="00EC43EB" w:rsidP="002E6AB5">
      <w:pPr>
        <w:pStyle w:val="N-Bullet"/>
        <w:spacing w:line="276" w:lineRule="auto"/>
        <w:jc w:val="both"/>
        <w:rPr>
          <w:lang w:val="en-GB"/>
        </w:rPr>
      </w:pPr>
      <w:r w:rsidRPr="001F151E">
        <w:rPr>
          <w:lang w:val="en-GB"/>
        </w:rPr>
        <w:t>Inter-Sectoral Strategy for Decentralization and Local Governance 2023-2030</w:t>
      </w:r>
    </w:p>
    <w:p w14:paraId="05F5A705" w14:textId="14A3786C" w:rsidR="005901C8" w:rsidRPr="001F151E" w:rsidRDefault="005901C8" w:rsidP="002E6AB5">
      <w:pPr>
        <w:pStyle w:val="N-Bullet"/>
        <w:spacing w:line="276" w:lineRule="auto"/>
        <w:jc w:val="both"/>
        <w:rPr>
          <w:lang w:val="en-GB"/>
        </w:rPr>
      </w:pPr>
      <w:r w:rsidRPr="001F151E">
        <w:rPr>
          <w:lang w:val="en-GB"/>
        </w:rPr>
        <w:t>Anti-corruption strategy 2024-2030 (under development)</w:t>
      </w:r>
    </w:p>
    <w:p w14:paraId="0C3B374A" w14:textId="39967392" w:rsidR="008B6308" w:rsidRPr="001F151E" w:rsidRDefault="008B6308" w:rsidP="002E6AB5">
      <w:pPr>
        <w:pStyle w:val="N-Bullet"/>
        <w:spacing w:line="276" w:lineRule="auto"/>
        <w:jc w:val="both"/>
        <w:rPr>
          <w:lang w:val="en-GB"/>
        </w:rPr>
      </w:pPr>
      <w:r w:rsidRPr="001F151E">
        <w:rPr>
          <w:lang w:val="en-GB"/>
        </w:rPr>
        <w:t xml:space="preserve">Official Statistics Program </w:t>
      </w:r>
      <w:r w:rsidR="00200748" w:rsidRPr="001F151E">
        <w:rPr>
          <w:lang w:val="en-GB"/>
        </w:rPr>
        <w:t xml:space="preserve">(OSP) </w:t>
      </w:r>
      <w:r w:rsidRPr="001F151E">
        <w:rPr>
          <w:lang w:val="en-GB"/>
        </w:rPr>
        <w:t>2022–2026</w:t>
      </w:r>
    </w:p>
    <w:p w14:paraId="5AF5DF71" w14:textId="4F6F7776" w:rsidR="008B6308" w:rsidRPr="001F151E" w:rsidRDefault="008B6308" w:rsidP="002E6AB5">
      <w:pPr>
        <w:pStyle w:val="N-Bullet"/>
        <w:spacing w:line="276" w:lineRule="auto"/>
        <w:jc w:val="both"/>
        <w:rPr>
          <w:lang w:val="en-GB"/>
        </w:rPr>
      </w:pPr>
      <w:r w:rsidRPr="001F151E">
        <w:rPr>
          <w:lang w:val="en-GB"/>
        </w:rPr>
        <w:t>Economic Reform Programme</w:t>
      </w:r>
      <w:r w:rsidR="00012A4F" w:rsidRPr="001F151E">
        <w:rPr>
          <w:lang w:val="en-GB"/>
        </w:rPr>
        <w:t xml:space="preserve"> (ERP)</w:t>
      </w:r>
      <w:r w:rsidR="00295664">
        <w:rPr>
          <w:lang w:val="en-GB"/>
        </w:rPr>
        <w:t xml:space="preserve"> </w:t>
      </w:r>
    </w:p>
    <w:p w14:paraId="2CEC748D" w14:textId="3CCD7A00" w:rsidR="008B6308" w:rsidRPr="001F151E" w:rsidRDefault="008B6308" w:rsidP="002E6AB5">
      <w:pPr>
        <w:pStyle w:val="N-Bullet"/>
        <w:spacing w:line="276" w:lineRule="auto"/>
        <w:jc w:val="both"/>
        <w:rPr>
          <w:lang w:val="en-GB"/>
        </w:rPr>
      </w:pPr>
      <w:r w:rsidRPr="001F151E">
        <w:rPr>
          <w:lang w:val="en-GB"/>
        </w:rPr>
        <w:t>United Nations 2030 agenda for Sustainable Development</w:t>
      </w:r>
    </w:p>
    <w:p w14:paraId="146BDCD2" w14:textId="77777777" w:rsidR="005901C8" w:rsidRPr="001F151E" w:rsidRDefault="005901C8" w:rsidP="002E6AB5">
      <w:pPr>
        <w:spacing w:line="276" w:lineRule="auto"/>
        <w:jc w:val="both"/>
        <w:rPr>
          <w:lang w:val="en-GB"/>
        </w:rPr>
      </w:pPr>
    </w:p>
    <w:p w14:paraId="0B5BD4BF" w14:textId="77777777" w:rsidR="00F22823" w:rsidRDefault="00F22823" w:rsidP="002E6AB5">
      <w:pPr>
        <w:spacing w:line="276" w:lineRule="auto"/>
        <w:jc w:val="both"/>
        <w:rPr>
          <w:b/>
          <w:bCs/>
          <w:lang w:val="en-GB"/>
        </w:rPr>
      </w:pPr>
    </w:p>
    <w:p w14:paraId="5CFD4866" w14:textId="77777777" w:rsidR="00F22823" w:rsidRDefault="00F22823" w:rsidP="002E6AB5">
      <w:pPr>
        <w:spacing w:line="276" w:lineRule="auto"/>
        <w:jc w:val="both"/>
        <w:rPr>
          <w:b/>
          <w:bCs/>
          <w:lang w:val="en-GB"/>
        </w:rPr>
      </w:pPr>
    </w:p>
    <w:p w14:paraId="42C7C558" w14:textId="04EA8F93" w:rsidR="00575958" w:rsidRPr="001F151E" w:rsidRDefault="00BB2BD0" w:rsidP="002E6AB5">
      <w:pPr>
        <w:spacing w:line="276" w:lineRule="auto"/>
        <w:jc w:val="both"/>
        <w:rPr>
          <w:b/>
          <w:bCs/>
          <w:lang w:val="en-GB"/>
        </w:rPr>
      </w:pPr>
      <w:r w:rsidRPr="001F151E">
        <w:rPr>
          <w:b/>
          <w:bCs/>
          <w:lang w:val="en-GB"/>
        </w:rPr>
        <w:lastRenderedPageBreak/>
        <w:t>National Strategy for Development and European Integration 2022-2030</w:t>
      </w:r>
      <w:r w:rsidR="00012A4F" w:rsidRPr="001F151E">
        <w:rPr>
          <w:b/>
          <w:bCs/>
          <w:lang w:val="en-GB"/>
        </w:rPr>
        <w:t xml:space="preserve"> </w:t>
      </w:r>
    </w:p>
    <w:p w14:paraId="416D09DE" w14:textId="0246C535" w:rsidR="003F0C46" w:rsidRDefault="00575958" w:rsidP="002E6AB5">
      <w:pPr>
        <w:spacing w:line="276" w:lineRule="auto"/>
        <w:jc w:val="both"/>
        <w:rPr>
          <w:lang w:val="en-GB"/>
        </w:rPr>
      </w:pPr>
      <w:r w:rsidRPr="001F151E">
        <w:rPr>
          <w:lang w:val="en-GB"/>
        </w:rPr>
        <w:t>The NSDEI</w:t>
      </w:r>
      <w:r w:rsidRPr="001F151E">
        <w:rPr>
          <w:b/>
          <w:bCs/>
          <w:lang w:val="en-GB"/>
        </w:rPr>
        <w:t xml:space="preserve"> </w:t>
      </w:r>
      <w:r w:rsidRPr="001F151E">
        <w:rPr>
          <w:lang w:val="en-GB"/>
        </w:rPr>
        <w:t xml:space="preserve">sets the development direction of Albania until 2030 with its primary goal being the full integration in the European Union. The three main pillars of the strategy are (i) Democracy and strengthening of institutions and good governance; (ii) Agenda for sustainable economic development, connectivity and green growth and (iii) Social cohesion. </w:t>
      </w:r>
      <w:r w:rsidR="00E63A44" w:rsidRPr="001F151E">
        <w:rPr>
          <w:lang w:val="en-GB"/>
        </w:rPr>
        <w:t xml:space="preserve">The NSDEI </w:t>
      </w:r>
      <w:r w:rsidR="004E3C9D" w:rsidRPr="001F151E">
        <w:rPr>
          <w:lang w:val="en-GB"/>
        </w:rPr>
        <w:t xml:space="preserve">includes </w:t>
      </w:r>
      <w:r w:rsidR="00E63A44" w:rsidRPr="001F151E">
        <w:rPr>
          <w:lang w:val="en-GB"/>
        </w:rPr>
        <w:t xml:space="preserve">in section </w:t>
      </w:r>
      <w:bookmarkStart w:id="7" w:name="_Toc121901344"/>
      <w:bookmarkStart w:id="8" w:name="_Toc125354642"/>
      <w:r w:rsidR="002C6E40" w:rsidRPr="001F151E">
        <w:rPr>
          <w:lang w:val="en-GB"/>
        </w:rPr>
        <w:t>“</w:t>
      </w:r>
      <w:r w:rsidR="000A0255" w:rsidRPr="001F151E">
        <w:rPr>
          <w:i/>
          <w:iCs/>
          <w:lang w:val="en-GB"/>
        </w:rPr>
        <w:t>Good, open governance and public administration</w:t>
      </w:r>
      <w:r w:rsidR="002C6E40" w:rsidRPr="001F151E">
        <w:rPr>
          <w:i/>
          <w:iCs/>
          <w:lang w:val="en-GB"/>
        </w:rPr>
        <w:t xml:space="preserve">” </w:t>
      </w:r>
      <w:r w:rsidR="00295664">
        <w:rPr>
          <w:lang w:val="en-GB"/>
        </w:rPr>
        <w:t>under pillar 1 the following</w:t>
      </w:r>
      <w:r w:rsidR="004E3C9D" w:rsidRPr="001F151E">
        <w:rPr>
          <w:lang w:val="en-GB"/>
        </w:rPr>
        <w:t xml:space="preserve"> policy objectives: (i) effective, transparent, inclusive and evidence-based strategic planning and policy making at </w:t>
      </w:r>
      <w:r w:rsidR="00531036" w:rsidRPr="001F151E">
        <w:rPr>
          <w:lang w:val="en-GB"/>
        </w:rPr>
        <w:t>central and local level</w:t>
      </w:r>
      <w:r w:rsidR="004E3C9D" w:rsidRPr="001F151E">
        <w:rPr>
          <w:lang w:val="en-GB"/>
        </w:rPr>
        <w:t xml:space="preserve"> of government and (ii) guaranteeing a public finance system that promotes </w:t>
      </w:r>
      <w:r w:rsidR="00C64AAD">
        <w:rPr>
          <w:lang w:val="en-GB"/>
        </w:rPr>
        <w:t>transparency</w:t>
      </w:r>
      <w:r w:rsidR="004E3C9D" w:rsidRPr="001F151E">
        <w:rPr>
          <w:lang w:val="en-GB"/>
        </w:rPr>
        <w:t xml:space="preserve"> accountability, fiscal discipline and efficiency in the management and use of public resources for the provision of improved services and economic development. This section also presents objectives related to the national statistical system. </w:t>
      </w:r>
      <w:r w:rsidR="002C6E40" w:rsidRPr="001F151E">
        <w:rPr>
          <w:lang w:val="en-GB"/>
        </w:rPr>
        <w:t xml:space="preserve">Also in pillar 1 </w:t>
      </w:r>
      <w:bookmarkStart w:id="9" w:name="_Toc125354638"/>
      <w:r w:rsidR="002C6E40" w:rsidRPr="001F151E">
        <w:rPr>
          <w:lang w:val="en-GB"/>
        </w:rPr>
        <w:t>increasing local financial autonomy through the consolidation of the own income system</w:t>
      </w:r>
      <w:bookmarkEnd w:id="9"/>
      <w:r w:rsidR="002C6E40" w:rsidRPr="001F151E">
        <w:rPr>
          <w:lang w:val="en-GB"/>
        </w:rPr>
        <w:t xml:space="preserve"> has been identified as an objective under section </w:t>
      </w:r>
      <w:bookmarkStart w:id="10" w:name="_Toc121901341"/>
      <w:bookmarkStart w:id="11" w:name="_Toc125354614"/>
      <w:r w:rsidR="002C6E40" w:rsidRPr="001F151E">
        <w:rPr>
          <w:lang w:val="en-GB"/>
        </w:rPr>
        <w:t>“</w:t>
      </w:r>
      <w:r w:rsidR="002C6E40" w:rsidRPr="001F151E">
        <w:rPr>
          <w:i/>
          <w:iCs/>
          <w:lang w:val="en-GB"/>
        </w:rPr>
        <w:t>Decentralization and empowerment of local government</w:t>
      </w:r>
      <w:bookmarkEnd w:id="10"/>
      <w:bookmarkEnd w:id="11"/>
      <w:r w:rsidR="002C6E40" w:rsidRPr="001F151E">
        <w:rPr>
          <w:i/>
          <w:iCs/>
          <w:lang w:val="en-GB"/>
        </w:rPr>
        <w:t>”.</w:t>
      </w:r>
      <w:r w:rsidR="00B0135F" w:rsidRPr="001F151E">
        <w:rPr>
          <w:i/>
          <w:iCs/>
          <w:lang w:val="en-GB"/>
        </w:rPr>
        <w:t xml:space="preserve"> </w:t>
      </w:r>
      <w:r w:rsidR="004E3C9D" w:rsidRPr="001F151E">
        <w:rPr>
          <w:lang w:val="en-GB"/>
        </w:rPr>
        <w:t xml:space="preserve">In section </w:t>
      </w:r>
      <w:r w:rsidR="00E63A44" w:rsidRPr="001F151E">
        <w:rPr>
          <w:i/>
          <w:iCs/>
          <w:lang w:val="en-GB"/>
        </w:rPr>
        <w:t>“Strengthening public finances and fiscal stability</w:t>
      </w:r>
      <w:bookmarkEnd w:id="7"/>
      <w:bookmarkEnd w:id="8"/>
      <w:r w:rsidR="00E63A44" w:rsidRPr="001F151E">
        <w:rPr>
          <w:i/>
          <w:iCs/>
          <w:lang w:val="en-GB"/>
        </w:rPr>
        <w:t>”</w:t>
      </w:r>
      <w:r w:rsidR="00E63A44" w:rsidRPr="001F151E">
        <w:rPr>
          <w:lang w:val="en-GB"/>
        </w:rPr>
        <w:t xml:space="preserve"> under pillar </w:t>
      </w:r>
      <w:r w:rsidR="004E3C9D" w:rsidRPr="001F151E">
        <w:rPr>
          <w:lang w:val="en-GB"/>
        </w:rPr>
        <w:t>2</w:t>
      </w:r>
      <w:r w:rsidR="000A0255" w:rsidRPr="001F151E">
        <w:rPr>
          <w:lang w:val="en-GB"/>
        </w:rPr>
        <w:t xml:space="preserve"> </w:t>
      </w:r>
      <w:r w:rsidR="001931A7" w:rsidRPr="001F151E">
        <w:rPr>
          <w:lang w:val="en-GB"/>
        </w:rPr>
        <w:t>the following objectives in connection to PFM</w:t>
      </w:r>
      <w:r w:rsidR="004E3C9D" w:rsidRPr="001F151E">
        <w:rPr>
          <w:lang w:val="en-GB"/>
        </w:rPr>
        <w:t xml:space="preserve"> are listed</w:t>
      </w:r>
      <w:r w:rsidR="001931A7" w:rsidRPr="001F151E">
        <w:rPr>
          <w:lang w:val="en-GB"/>
        </w:rPr>
        <w:t>: (</w:t>
      </w:r>
      <w:r w:rsidR="004E3C9D" w:rsidRPr="001F151E">
        <w:rPr>
          <w:lang w:val="en-GB"/>
        </w:rPr>
        <w:t>i</w:t>
      </w:r>
      <w:r w:rsidR="001931A7" w:rsidRPr="001F151E">
        <w:rPr>
          <w:lang w:val="en-GB"/>
        </w:rPr>
        <w:t>) Prudent, effective and efficient financial management of local government; (</w:t>
      </w:r>
      <w:r w:rsidR="004E3C9D" w:rsidRPr="001F151E">
        <w:rPr>
          <w:lang w:val="en-GB"/>
        </w:rPr>
        <w:t>ii</w:t>
      </w:r>
      <w:r w:rsidR="001931A7" w:rsidRPr="001F151E">
        <w:rPr>
          <w:lang w:val="en-GB"/>
        </w:rPr>
        <w:t xml:space="preserve">) </w:t>
      </w:r>
      <w:r w:rsidR="00155494" w:rsidRPr="001F151E">
        <w:rPr>
          <w:lang w:val="en-GB"/>
        </w:rPr>
        <w:t>Planning and supervision of public investments</w:t>
      </w:r>
      <w:r w:rsidR="001931A7" w:rsidRPr="001F151E">
        <w:rPr>
          <w:lang w:val="en-GB"/>
        </w:rPr>
        <w:t xml:space="preserve"> </w:t>
      </w:r>
      <w:r w:rsidR="004E3C9D" w:rsidRPr="001F151E">
        <w:rPr>
          <w:lang w:val="en-GB"/>
        </w:rPr>
        <w:t>and</w:t>
      </w:r>
      <w:r w:rsidR="001931A7" w:rsidRPr="001F151E">
        <w:rPr>
          <w:lang w:val="en-GB"/>
        </w:rPr>
        <w:t xml:space="preserve"> (</w:t>
      </w:r>
      <w:r w:rsidR="004E3C9D" w:rsidRPr="001F151E">
        <w:rPr>
          <w:lang w:val="en-GB"/>
        </w:rPr>
        <w:t>iii</w:t>
      </w:r>
      <w:r w:rsidR="001931A7" w:rsidRPr="001F151E">
        <w:rPr>
          <w:lang w:val="en-GB"/>
        </w:rPr>
        <w:t xml:space="preserve">) Strengthening and implementation of the system for Internal Public Financial Control in central and local government. </w:t>
      </w:r>
      <w:r w:rsidR="002C6E40" w:rsidRPr="001F151E">
        <w:rPr>
          <w:lang w:val="en-GB"/>
        </w:rPr>
        <w:t>T</w:t>
      </w:r>
      <w:r w:rsidR="001931A7" w:rsidRPr="001F151E">
        <w:rPr>
          <w:lang w:val="en-GB"/>
        </w:rPr>
        <w:t>he same section</w:t>
      </w:r>
      <w:r w:rsidR="002C6E40" w:rsidRPr="001F151E">
        <w:rPr>
          <w:lang w:val="en-GB"/>
        </w:rPr>
        <w:t xml:space="preserve"> also articulates goals related to revenue and customs policy and administration.</w:t>
      </w:r>
    </w:p>
    <w:p w14:paraId="0F205D1F" w14:textId="77777777" w:rsidR="003F0C46" w:rsidRPr="001F151E" w:rsidRDefault="003F0C46" w:rsidP="002E6AB5">
      <w:pPr>
        <w:spacing w:line="276" w:lineRule="auto"/>
        <w:jc w:val="both"/>
        <w:rPr>
          <w:lang w:val="en-GB"/>
        </w:rPr>
      </w:pPr>
    </w:p>
    <w:p w14:paraId="36ADC2C9" w14:textId="67A12F13" w:rsidR="002C6E40" w:rsidRPr="001F151E" w:rsidRDefault="00EF0963" w:rsidP="002E6AB5">
      <w:pPr>
        <w:spacing w:line="276" w:lineRule="auto"/>
        <w:jc w:val="both"/>
        <w:rPr>
          <w:b/>
          <w:bCs/>
          <w:lang w:val="en-GB"/>
        </w:rPr>
      </w:pPr>
      <w:r w:rsidRPr="001F151E">
        <w:rPr>
          <w:b/>
          <w:bCs/>
          <w:lang w:val="en-GB"/>
        </w:rPr>
        <w:t>National Plan for European Integration</w:t>
      </w:r>
      <w:r w:rsidR="00200748" w:rsidRPr="001F151E">
        <w:rPr>
          <w:b/>
          <w:bCs/>
          <w:lang w:val="en-GB"/>
        </w:rPr>
        <w:t xml:space="preserve"> </w:t>
      </w:r>
    </w:p>
    <w:p w14:paraId="6A6C68CA" w14:textId="45FB3425" w:rsidR="007A742A" w:rsidRDefault="007A742A" w:rsidP="002E6AB5">
      <w:pPr>
        <w:spacing w:line="276" w:lineRule="auto"/>
        <w:jc w:val="both"/>
        <w:rPr>
          <w:lang w:val="en-GB"/>
        </w:rPr>
      </w:pPr>
      <w:r w:rsidRPr="001F151E">
        <w:rPr>
          <w:lang w:val="en-GB"/>
        </w:rPr>
        <w:t>The National Plan for European Integration (NPEI) aims to coordinate the EU approximation process while aiming simultaneously at the fulfilment of the obligations under the Stabilisation and Association Agreement and the obligations that arise as part of the process of membership in the European Union. It is prepared for a three year period (202</w:t>
      </w:r>
      <w:r w:rsidR="00894FFE">
        <w:rPr>
          <w:lang w:val="en-GB"/>
        </w:rPr>
        <w:t>3</w:t>
      </w:r>
      <w:r w:rsidRPr="001F151E">
        <w:rPr>
          <w:lang w:val="en-GB"/>
        </w:rPr>
        <w:t>-202</w:t>
      </w:r>
      <w:r w:rsidR="00894FFE">
        <w:rPr>
          <w:lang w:val="en-GB"/>
        </w:rPr>
        <w:t>5</w:t>
      </w:r>
      <w:r w:rsidRPr="001F151E">
        <w:rPr>
          <w:lang w:val="en-GB"/>
        </w:rPr>
        <w:t>) and includes the legal acts to be approved by Albanian institutions. PFM as part of the Public Administration Reform within the Political Criteria is an integral part of NPEI. Also, there are many chapters dealing with a specific area of EU policy which in the same time are part of the PFM strategy. Below is provided the link between these chapters and the PFM Specific objectives and components.</w:t>
      </w:r>
    </w:p>
    <w:p w14:paraId="510C4622" w14:textId="77777777" w:rsidR="00894FFE" w:rsidRDefault="00894FFE" w:rsidP="002E6AB5">
      <w:pPr>
        <w:spacing w:line="276" w:lineRule="auto"/>
        <w:jc w:val="both"/>
        <w:rPr>
          <w:lang w:val="en-GB"/>
        </w:rPr>
      </w:pPr>
    </w:p>
    <w:p w14:paraId="5EEB6642" w14:textId="63F63EF8" w:rsidR="00894FFE" w:rsidRPr="001F151E" w:rsidRDefault="00894FFE" w:rsidP="002E6AB5">
      <w:pPr>
        <w:spacing w:line="276" w:lineRule="auto"/>
        <w:jc w:val="both"/>
        <w:rPr>
          <w:lang w:val="en-GB"/>
        </w:rPr>
      </w:pPr>
      <w:r>
        <w:rPr>
          <w:lang w:val="en-GB"/>
        </w:rPr>
        <w:t xml:space="preserve">NPEI (2024-2026) includes political, legal, institutional and implementation measures that will be adopted by Albanian institutions for this period. The document is related to the programming cycle of the Medium-Term Budget Program and, in line with the MTBP, covers a 3-year budgeting period and is updated annually. </w:t>
      </w:r>
    </w:p>
    <w:p w14:paraId="65219EAB" w14:textId="77777777" w:rsidR="007A742A" w:rsidRPr="001F151E" w:rsidRDefault="007A742A" w:rsidP="002E6AB5">
      <w:pPr>
        <w:spacing w:line="276" w:lineRule="auto"/>
        <w:jc w:val="both"/>
        <w:rPr>
          <w:lang w:val="en-GB"/>
        </w:rPr>
      </w:pPr>
    </w:p>
    <w:tbl>
      <w:tblPr>
        <w:tblStyle w:val="TableGrid"/>
        <w:tblW w:w="5000" w:type="pct"/>
        <w:tblCellMar>
          <w:top w:w="28" w:type="dxa"/>
          <w:left w:w="57" w:type="dxa"/>
          <w:bottom w:w="28" w:type="dxa"/>
          <w:right w:w="57" w:type="dxa"/>
        </w:tblCellMar>
        <w:tblLook w:val="04A0" w:firstRow="1" w:lastRow="0" w:firstColumn="1" w:lastColumn="0" w:noHBand="0" w:noVBand="1"/>
      </w:tblPr>
      <w:tblGrid>
        <w:gridCol w:w="4673"/>
        <w:gridCol w:w="1985"/>
        <w:gridCol w:w="2358"/>
      </w:tblGrid>
      <w:tr w:rsidR="007A742A" w:rsidRPr="001F151E" w14:paraId="058CE315" w14:textId="77777777" w:rsidTr="004C57A6">
        <w:tc>
          <w:tcPr>
            <w:tcW w:w="4673" w:type="dxa"/>
            <w:shd w:val="clear" w:color="auto" w:fill="D9D9D9" w:themeFill="background1" w:themeFillShade="D9"/>
          </w:tcPr>
          <w:p w14:paraId="5BFCFEE6" w14:textId="77777777" w:rsidR="007A742A" w:rsidRPr="001F151E" w:rsidRDefault="007A742A" w:rsidP="002B7FF8">
            <w:pPr>
              <w:rPr>
                <w:b/>
              </w:rPr>
            </w:pPr>
            <w:r w:rsidRPr="001F151E">
              <w:rPr>
                <w:b/>
              </w:rPr>
              <w:t>NPEI reference</w:t>
            </w:r>
          </w:p>
        </w:tc>
        <w:tc>
          <w:tcPr>
            <w:tcW w:w="4343" w:type="dxa"/>
            <w:gridSpan w:val="2"/>
            <w:tcBorders>
              <w:bottom w:val="single" w:sz="4" w:space="0" w:color="auto"/>
            </w:tcBorders>
            <w:shd w:val="clear" w:color="auto" w:fill="D9D9D9" w:themeFill="background1" w:themeFillShade="D9"/>
          </w:tcPr>
          <w:p w14:paraId="13CB9E84" w14:textId="77777777" w:rsidR="007A742A" w:rsidRPr="001F151E" w:rsidRDefault="007A742A" w:rsidP="005571BF">
            <w:pPr>
              <w:rPr>
                <w:b/>
              </w:rPr>
            </w:pPr>
            <w:r w:rsidRPr="001F151E">
              <w:rPr>
                <w:b/>
              </w:rPr>
              <w:t>PFM Strategy reference</w:t>
            </w:r>
          </w:p>
        </w:tc>
      </w:tr>
      <w:tr w:rsidR="007A742A" w:rsidRPr="001F151E" w14:paraId="1D9E1D9F" w14:textId="77777777" w:rsidTr="004C57A6">
        <w:tc>
          <w:tcPr>
            <w:tcW w:w="4673" w:type="dxa"/>
          </w:tcPr>
          <w:p w14:paraId="08F047CB" w14:textId="77777777" w:rsidR="007A742A" w:rsidRPr="001F151E" w:rsidRDefault="007A742A" w:rsidP="002B7FF8">
            <w:r w:rsidRPr="001F151E">
              <w:t>Chapter 5 Public Procurement</w:t>
            </w:r>
          </w:p>
        </w:tc>
        <w:tc>
          <w:tcPr>
            <w:tcW w:w="1985" w:type="dxa"/>
            <w:tcBorders>
              <w:right w:val="nil"/>
            </w:tcBorders>
          </w:tcPr>
          <w:p w14:paraId="04FEDBD7" w14:textId="77777777" w:rsidR="007A742A" w:rsidRPr="001F151E" w:rsidRDefault="007A742A" w:rsidP="002B7FF8">
            <w:r w:rsidRPr="001F151E">
              <w:t>Specific Objective 4</w:t>
            </w:r>
          </w:p>
        </w:tc>
        <w:tc>
          <w:tcPr>
            <w:tcW w:w="2358" w:type="dxa"/>
            <w:tcBorders>
              <w:left w:val="nil"/>
            </w:tcBorders>
          </w:tcPr>
          <w:p w14:paraId="40447736" w14:textId="77777777" w:rsidR="007A742A" w:rsidRPr="001F151E" w:rsidRDefault="007A742A" w:rsidP="002B7FF8">
            <w:r w:rsidRPr="001F151E">
              <w:t>Component 4.2</w:t>
            </w:r>
          </w:p>
        </w:tc>
      </w:tr>
      <w:tr w:rsidR="007A742A" w:rsidRPr="001F151E" w14:paraId="4BDAB609" w14:textId="77777777" w:rsidTr="004C57A6">
        <w:tc>
          <w:tcPr>
            <w:tcW w:w="4673" w:type="dxa"/>
          </w:tcPr>
          <w:p w14:paraId="5EDF49D8" w14:textId="77777777" w:rsidR="007A742A" w:rsidRPr="001F151E" w:rsidRDefault="007A742A" w:rsidP="002B7FF8">
            <w:r w:rsidRPr="001F151E">
              <w:t>Chapter 16 Taxation</w:t>
            </w:r>
          </w:p>
        </w:tc>
        <w:tc>
          <w:tcPr>
            <w:tcW w:w="1985" w:type="dxa"/>
            <w:tcBorders>
              <w:right w:val="nil"/>
            </w:tcBorders>
          </w:tcPr>
          <w:p w14:paraId="3720D117" w14:textId="77777777" w:rsidR="007A742A" w:rsidRPr="001F151E" w:rsidRDefault="007A742A" w:rsidP="002B7FF8">
            <w:r w:rsidRPr="001F151E">
              <w:t>Specific Objective 3</w:t>
            </w:r>
          </w:p>
        </w:tc>
        <w:tc>
          <w:tcPr>
            <w:tcW w:w="2358" w:type="dxa"/>
            <w:tcBorders>
              <w:left w:val="nil"/>
            </w:tcBorders>
          </w:tcPr>
          <w:p w14:paraId="01022F3C" w14:textId="77777777" w:rsidR="007A742A" w:rsidRPr="001F151E" w:rsidRDefault="007A742A" w:rsidP="002B7FF8">
            <w:r w:rsidRPr="001F151E">
              <w:t>Component 3.1</w:t>
            </w:r>
          </w:p>
        </w:tc>
      </w:tr>
      <w:tr w:rsidR="007A742A" w:rsidRPr="001F151E" w14:paraId="4B5C2702" w14:textId="77777777" w:rsidTr="004C57A6">
        <w:tc>
          <w:tcPr>
            <w:tcW w:w="4673" w:type="dxa"/>
          </w:tcPr>
          <w:p w14:paraId="20865BAD" w14:textId="77777777" w:rsidR="007A742A" w:rsidRPr="001F151E" w:rsidRDefault="007A742A" w:rsidP="002B7FF8">
            <w:r w:rsidRPr="001F151E">
              <w:t>Chapter 17 Economic and Monetary Policy</w:t>
            </w:r>
          </w:p>
        </w:tc>
        <w:tc>
          <w:tcPr>
            <w:tcW w:w="1985" w:type="dxa"/>
            <w:tcBorders>
              <w:right w:val="nil"/>
            </w:tcBorders>
          </w:tcPr>
          <w:p w14:paraId="5D77CA12" w14:textId="77777777" w:rsidR="007A742A" w:rsidRPr="001F151E" w:rsidRDefault="007A742A" w:rsidP="002B7FF8">
            <w:r w:rsidRPr="001F151E">
              <w:t>Specific Objective 1</w:t>
            </w:r>
          </w:p>
        </w:tc>
        <w:tc>
          <w:tcPr>
            <w:tcW w:w="2358" w:type="dxa"/>
            <w:tcBorders>
              <w:left w:val="nil"/>
            </w:tcBorders>
          </w:tcPr>
          <w:p w14:paraId="579006A7" w14:textId="77777777" w:rsidR="007A742A" w:rsidRPr="001F151E" w:rsidRDefault="007A742A" w:rsidP="002B7FF8">
            <w:r w:rsidRPr="001F151E">
              <w:t>Component 1.1</w:t>
            </w:r>
          </w:p>
        </w:tc>
      </w:tr>
      <w:tr w:rsidR="007A742A" w:rsidRPr="001F151E" w14:paraId="69058E7D" w14:textId="77777777" w:rsidTr="004C57A6">
        <w:tc>
          <w:tcPr>
            <w:tcW w:w="4673" w:type="dxa"/>
          </w:tcPr>
          <w:p w14:paraId="2951589C" w14:textId="77777777" w:rsidR="007A742A" w:rsidRPr="001F151E" w:rsidRDefault="007A742A" w:rsidP="002B7FF8">
            <w:r w:rsidRPr="001F151E">
              <w:t>Chapter 18 Statistic</w:t>
            </w:r>
          </w:p>
        </w:tc>
        <w:tc>
          <w:tcPr>
            <w:tcW w:w="1985" w:type="dxa"/>
            <w:tcBorders>
              <w:right w:val="nil"/>
            </w:tcBorders>
          </w:tcPr>
          <w:p w14:paraId="30C12D31" w14:textId="49952B0D" w:rsidR="007A742A" w:rsidRPr="001F151E" w:rsidRDefault="007A742A" w:rsidP="002B7FF8">
            <w:r w:rsidRPr="001F151E">
              <w:t xml:space="preserve">Specific Objective </w:t>
            </w:r>
            <w:r w:rsidR="00793335">
              <w:t>4</w:t>
            </w:r>
          </w:p>
        </w:tc>
        <w:tc>
          <w:tcPr>
            <w:tcW w:w="2358" w:type="dxa"/>
            <w:tcBorders>
              <w:left w:val="nil"/>
            </w:tcBorders>
          </w:tcPr>
          <w:p w14:paraId="7DEF8671" w14:textId="7AA17D04" w:rsidR="007A742A" w:rsidRPr="001F151E" w:rsidRDefault="007A742A" w:rsidP="002B7FF8">
            <w:r w:rsidRPr="001F151E">
              <w:t xml:space="preserve">Component </w:t>
            </w:r>
            <w:r w:rsidR="00793335">
              <w:t>4.1</w:t>
            </w:r>
          </w:p>
        </w:tc>
      </w:tr>
      <w:tr w:rsidR="007A742A" w:rsidRPr="001F151E" w14:paraId="6DA1BC7A" w14:textId="77777777" w:rsidTr="004C57A6">
        <w:tc>
          <w:tcPr>
            <w:tcW w:w="4673" w:type="dxa"/>
          </w:tcPr>
          <w:p w14:paraId="153851EA" w14:textId="77777777" w:rsidR="007A742A" w:rsidRPr="001F151E" w:rsidRDefault="007A742A" w:rsidP="002B7FF8">
            <w:r w:rsidRPr="001F151E">
              <w:t>Chapter 22 Regional policies and coordination of structural instruments</w:t>
            </w:r>
          </w:p>
        </w:tc>
        <w:tc>
          <w:tcPr>
            <w:tcW w:w="1985" w:type="dxa"/>
            <w:tcBorders>
              <w:right w:val="nil"/>
            </w:tcBorders>
          </w:tcPr>
          <w:p w14:paraId="2CAB4531" w14:textId="4E94BD9C" w:rsidR="007A742A" w:rsidRPr="001F151E" w:rsidRDefault="007A742A" w:rsidP="002B7FF8">
            <w:r w:rsidRPr="001F151E">
              <w:t>Specific Objective</w:t>
            </w:r>
            <w:r w:rsidR="004C57A6" w:rsidRPr="001F151E">
              <w:t>s</w:t>
            </w:r>
            <w:r w:rsidRPr="001F151E">
              <w:t xml:space="preserve"> 2; 5</w:t>
            </w:r>
          </w:p>
        </w:tc>
        <w:tc>
          <w:tcPr>
            <w:tcW w:w="2358" w:type="dxa"/>
            <w:tcBorders>
              <w:left w:val="nil"/>
            </w:tcBorders>
          </w:tcPr>
          <w:p w14:paraId="418A31B5" w14:textId="3AE82AFF" w:rsidR="007A742A" w:rsidRPr="001F151E" w:rsidRDefault="007A742A" w:rsidP="002B7FF8">
            <w:r w:rsidRPr="001F151E">
              <w:t>Component 2.1; 5.4</w:t>
            </w:r>
          </w:p>
        </w:tc>
      </w:tr>
      <w:tr w:rsidR="007A742A" w:rsidRPr="001F151E" w14:paraId="06C64FBE" w14:textId="77777777" w:rsidTr="004C57A6">
        <w:tc>
          <w:tcPr>
            <w:tcW w:w="4673" w:type="dxa"/>
          </w:tcPr>
          <w:p w14:paraId="70C87859" w14:textId="77777777" w:rsidR="007A742A" w:rsidRPr="001F151E" w:rsidRDefault="007A742A" w:rsidP="002B7FF8">
            <w:r w:rsidRPr="001F151E">
              <w:t>Chapter 29 Customs Union</w:t>
            </w:r>
          </w:p>
        </w:tc>
        <w:tc>
          <w:tcPr>
            <w:tcW w:w="1985" w:type="dxa"/>
            <w:tcBorders>
              <w:right w:val="nil"/>
            </w:tcBorders>
          </w:tcPr>
          <w:p w14:paraId="55BDDB0D" w14:textId="77777777" w:rsidR="007A742A" w:rsidRPr="001F151E" w:rsidRDefault="007A742A" w:rsidP="002B7FF8">
            <w:r w:rsidRPr="001F151E">
              <w:t>Specific Objective 3</w:t>
            </w:r>
          </w:p>
        </w:tc>
        <w:tc>
          <w:tcPr>
            <w:tcW w:w="2358" w:type="dxa"/>
            <w:tcBorders>
              <w:left w:val="nil"/>
            </w:tcBorders>
          </w:tcPr>
          <w:p w14:paraId="6F897123" w14:textId="77777777" w:rsidR="007A742A" w:rsidRPr="001F151E" w:rsidRDefault="007A742A" w:rsidP="002B7FF8">
            <w:r w:rsidRPr="001F151E">
              <w:t>Component 3.2</w:t>
            </w:r>
          </w:p>
        </w:tc>
      </w:tr>
      <w:tr w:rsidR="007A742A" w:rsidRPr="001F151E" w14:paraId="44476A3E" w14:textId="77777777" w:rsidTr="004C57A6">
        <w:tc>
          <w:tcPr>
            <w:tcW w:w="4673" w:type="dxa"/>
          </w:tcPr>
          <w:p w14:paraId="00EDE19A" w14:textId="77777777" w:rsidR="007A742A" w:rsidRPr="001F151E" w:rsidRDefault="007A742A" w:rsidP="002B7FF8">
            <w:r w:rsidRPr="001F151E">
              <w:t>Chapter 32 Financial Control</w:t>
            </w:r>
          </w:p>
        </w:tc>
        <w:tc>
          <w:tcPr>
            <w:tcW w:w="1985" w:type="dxa"/>
            <w:tcBorders>
              <w:right w:val="nil"/>
            </w:tcBorders>
          </w:tcPr>
          <w:p w14:paraId="40F47F8D" w14:textId="77777777" w:rsidR="007A742A" w:rsidRPr="001F151E" w:rsidRDefault="007A742A" w:rsidP="002B7FF8">
            <w:r w:rsidRPr="001F151E">
              <w:t>Specific Objective 5</w:t>
            </w:r>
          </w:p>
        </w:tc>
        <w:tc>
          <w:tcPr>
            <w:tcW w:w="2358" w:type="dxa"/>
            <w:tcBorders>
              <w:left w:val="nil"/>
            </w:tcBorders>
          </w:tcPr>
          <w:p w14:paraId="7ECE1D4F" w14:textId="3C37B7A9" w:rsidR="007A742A" w:rsidRPr="001F151E" w:rsidRDefault="007A742A" w:rsidP="002B7FF8">
            <w:r w:rsidRPr="001F151E">
              <w:t>Component 5.1; 5.2; 5.3</w:t>
            </w:r>
          </w:p>
        </w:tc>
      </w:tr>
      <w:tr w:rsidR="007A742A" w:rsidRPr="001F151E" w14:paraId="44900B6A" w14:textId="77777777" w:rsidTr="004C57A6">
        <w:tc>
          <w:tcPr>
            <w:tcW w:w="4673" w:type="dxa"/>
          </w:tcPr>
          <w:p w14:paraId="02C3A0D2" w14:textId="77777777" w:rsidR="007A742A" w:rsidRPr="001F151E" w:rsidRDefault="007A742A" w:rsidP="002B7FF8">
            <w:r w:rsidRPr="001F151E">
              <w:t>Chapter 33 Financial and Budgetary Provision</w:t>
            </w:r>
          </w:p>
        </w:tc>
        <w:tc>
          <w:tcPr>
            <w:tcW w:w="1985" w:type="dxa"/>
            <w:tcBorders>
              <w:right w:val="nil"/>
            </w:tcBorders>
          </w:tcPr>
          <w:p w14:paraId="25FD5907" w14:textId="3B3AF7F8" w:rsidR="007A742A" w:rsidRPr="001F151E" w:rsidRDefault="007A742A" w:rsidP="002B7FF8">
            <w:r w:rsidRPr="001F151E">
              <w:t>Specific Objective</w:t>
            </w:r>
            <w:r w:rsidR="004C57A6" w:rsidRPr="001F151E">
              <w:t>s</w:t>
            </w:r>
            <w:r w:rsidRPr="001F151E">
              <w:t xml:space="preserve"> 1; 3</w:t>
            </w:r>
          </w:p>
        </w:tc>
        <w:tc>
          <w:tcPr>
            <w:tcW w:w="2358" w:type="dxa"/>
            <w:tcBorders>
              <w:left w:val="nil"/>
            </w:tcBorders>
          </w:tcPr>
          <w:p w14:paraId="034D38FE" w14:textId="569A73D1" w:rsidR="007A742A" w:rsidRPr="001F151E" w:rsidRDefault="007A742A" w:rsidP="002B7FF8">
            <w:r w:rsidRPr="001F151E">
              <w:t>Component 1.3; 3.1; 3.2</w:t>
            </w:r>
          </w:p>
        </w:tc>
      </w:tr>
    </w:tbl>
    <w:p w14:paraId="0473E770" w14:textId="77777777" w:rsidR="00F74BAB" w:rsidRPr="001F151E" w:rsidRDefault="00F74BAB" w:rsidP="00BB2BD0">
      <w:pPr>
        <w:rPr>
          <w:lang w:val="en-GB"/>
        </w:rPr>
      </w:pPr>
    </w:p>
    <w:p w14:paraId="5B661C11" w14:textId="223E7EE8" w:rsidR="000C7935" w:rsidRPr="001F151E" w:rsidRDefault="007A6D94" w:rsidP="002E6AB5">
      <w:pPr>
        <w:spacing w:line="276" w:lineRule="auto"/>
        <w:jc w:val="both"/>
        <w:rPr>
          <w:b/>
          <w:bCs/>
          <w:lang w:val="en-GB"/>
        </w:rPr>
      </w:pPr>
      <w:r>
        <w:rPr>
          <w:b/>
          <w:bCs/>
          <w:lang w:val="en-GB"/>
        </w:rPr>
        <w:t>Public Administration Reform</w:t>
      </w:r>
      <w:r w:rsidR="000C7935" w:rsidRPr="001F151E">
        <w:rPr>
          <w:b/>
          <w:bCs/>
          <w:lang w:val="en-GB"/>
        </w:rPr>
        <w:t xml:space="preserve"> Roadmap </w:t>
      </w:r>
      <w:r>
        <w:rPr>
          <w:b/>
          <w:bCs/>
          <w:lang w:val="en-GB"/>
        </w:rPr>
        <w:t>2023-</w:t>
      </w:r>
      <w:r w:rsidR="000C7935" w:rsidRPr="001F151E">
        <w:rPr>
          <w:b/>
          <w:bCs/>
          <w:lang w:val="en-GB"/>
        </w:rPr>
        <w:t>2030</w:t>
      </w:r>
    </w:p>
    <w:p w14:paraId="3ED06DA2" w14:textId="77777777" w:rsidR="00D37C8A" w:rsidRDefault="007A6D94" w:rsidP="002E6AB5">
      <w:pPr>
        <w:spacing w:line="276" w:lineRule="auto"/>
        <w:jc w:val="both"/>
        <w:rPr>
          <w:lang w:val="en-GB"/>
        </w:rPr>
      </w:pPr>
      <w:r>
        <w:rPr>
          <w:lang w:val="en-GB"/>
        </w:rPr>
        <w:t>“</w:t>
      </w:r>
      <w:r w:rsidR="00E63A44" w:rsidRPr="001F151E">
        <w:rPr>
          <w:lang w:val="en-GB"/>
        </w:rPr>
        <w:t xml:space="preserve">The Roadmap for Public Administration </w:t>
      </w:r>
      <w:r>
        <w:rPr>
          <w:lang w:val="en-GB"/>
        </w:rPr>
        <w:t>Reform 2023-</w:t>
      </w:r>
      <w:r w:rsidR="00E63A44" w:rsidRPr="001F151E">
        <w:rPr>
          <w:lang w:val="en-GB"/>
        </w:rPr>
        <w:t>2030</w:t>
      </w:r>
      <w:r>
        <w:rPr>
          <w:lang w:val="en-GB"/>
        </w:rPr>
        <w:t>”</w:t>
      </w:r>
      <w:r w:rsidR="00E63A44" w:rsidRPr="001F151E">
        <w:rPr>
          <w:lang w:val="en-GB"/>
        </w:rPr>
        <w:t xml:space="preserve"> is </w:t>
      </w:r>
      <w:r>
        <w:rPr>
          <w:lang w:val="en-GB"/>
        </w:rPr>
        <w:t xml:space="preserve">a document that supports the reform in the public administration, with a plan of concrete priority measures, for the time period 2023-2030. The purpose of its drafting </w:t>
      </w:r>
      <w:r w:rsidR="00D37C8A">
        <w:rPr>
          <w:lang w:val="en-GB"/>
        </w:rPr>
        <w:t>is to address the challenges identified within the reform of public administration, as well as the prioritization of measures in this direction, to ensure the fulfilment of standards and progress in the European integration process. The priority measures are organized in 5 pillars, based on the principles of the European Union on public administration:</w:t>
      </w:r>
    </w:p>
    <w:p w14:paraId="7D942279" w14:textId="2A5A27A1" w:rsidR="00E63A44" w:rsidRPr="00D37C8A" w:rsidRDefault="00D37C8A" w:rsidP="00B45892">
      <w:pPr>
        <w:pStyle w:val="N-Bullet"/>
        <w:numPr>
          <w:ilvl w:val="0"/>
          <w:numId w:val="74"/>
        </w:numPr>
        <w:spacing w:line="276" w:lineRule="auto"/>
        <w:jc w:val="both"/>
        <w:rPr>
          <w:rStyle w:val="Heading4Char"/>
          <w:rFonts w:eastAsiaTheme="minorHAnsi" w:cs="Arial"/>
          <w:b w:val="0"/>
          <w:color w:val="auto"/>
          <w:szCs w:val="18"/>
        </w:rPr>
      </w:pPr>
      <w:r w:rsidRPr="00D37C8A">
        <w:rPr>
          <w:rStyle w:val="Heading4Char"/>
          <w:rFonts w:eastAsiaTheme="minorHAnsi" w:cs="Arial"/>
          <w:b w:val="0"/>
          <w:color w:val="auto"/>
          <w:szCs w:val="18"/>
        </w:rPr>
        <w:t>Policy development</w:t>
      </w:r>
      <w:r>
        <w:rPr>
          <w:rStyle w:val="Heading4Char"/>
          <w:rFonts w:eastAsiaTheme="minorHAnsi" w:cs="Arial"/>
          <w:b w:val="0"/>
          <w:color w:val="auto"/>
          <w:szCs w:val="18"/>
        </w:rPr>
        <w:t xml:space="preserve"> and coordination;</w:t>
      </w:r>
    </w:p>
    <w:p w14:paraId="202C70EB" w14:textId="5FAF1418" w:rsidR="00D37C8A" w:rsidRDefault="00D37C8A" w:rsidP="00B45892">
      <w:pPr>
        <w:pStyle w:val="ListParagraph"/>
        <w:numPr>
          <w:ilvl w:val="0"/>
          <w:numId w:val="74"/>
        </w:numPr>
        <w:spacing w:line="276" w:lineRule="auto"/>
        <w:jc w:val="both"/>
        <w:rPr>
          <w:lang w:val="en-GB"/>
        </w:rPr>
      </w:pPr>
      <w:r>
        <w:rPr>
          <w:lang w:val="en-GB"/>
        </w:rPr>
        <w:t>Civil service and human resources management;</w:t>
      </w:r>
    </w:p>
    <w:p w14:paraId="56543922" w14:textId="1EDC121F" w:rsidR="00D37C8A" w:rsidRDefault="00D37C8A" w:rsidP="00B45892">
      <w:pPr>
        <w:pStyle w:val="ListParagraph"/>
        <w:numPr>
          <w:ilvl w:val="0"/>
          <w:numId w:val="74"/>
        </w:numPr>
        <w:spacing w:line="276" w:lineRule="auto"/>
        <w:jc w:val="both"/>
        <w:rPr>
          <w:lang w:val="en-GB"/>
        </w:rPr>
      </w:pPr>
      <w:r>
        <w:rPr>
          <w:lang w:val="en-GB"/>
        </w:rPr>
        <w:t>Organization, accountability and transparency;</w:t>
      </w:r>
    </w:p>
    <w:p w14:paraId="5AA2B6EE" w14:textId="76551567" w:rsidR="00D37C8A" w:rsidRDefault="00D37C8A" w:rsidP="00B45892">
      <w:pPr>
        <w:pStyle w:val="ListParagraph"/>
        <w:numPr>
          <w:ilvl w:val="0"/>
          <w:numId w:val="74"/>
        </w:numPr>
        <w:spacing w:line="276" w:lineRule="auto"/>
        <w:jc w:val="both"/>
        <w:rPr>
          <w:lang w:val="en-GB"/>
        </w:rPr>
      </w:pPr>
      <w:r>
        <w:rPr>
          <w:lang w:val="en-GB"/>
        </w:rPr>
        <w:t>Provision of services</w:t>
      </w:r>
    </w:p>
    <w:p w14:paraId="476E879B" w14:textId="374551E2" w:rsidR="00D37C8A" w:rsidRDefault="00684785" w:rsidP="00B45892">
      <w:pPr>
        <w:pStyle w:val="ListParagraph"/>
        <w:numPr>
          <w:ilvl w:val="0"/>
          <w:numId w:val="74"/>
        </w:numPr>
        <w:spacing w:line="276" w:lineRule="auto"/>
        <w:jc w:val="both"/>
        <w:rPr>
          <w:lang w:val="en-GB"/>
        </w:rPr>
      </w:pPr>
      <w:r>
        <w:rPr>
          <w:lang w:val="en-GB"/>
        </w:rPr>
        <w:t>Public Finance Management</w:t>
      </w:r>
    </w:p>
    <w:p w14:paraId="180C9F3B" w14:textId="77777777" w:rsidR="00684785" w:rsidRDefault="00684785" w:rsidP="00684785">
      <w:pPr>
        <w:spacing w:line="276" w:lineRule="auto"/>
        <w:jc w:val="both"/>
        <w:rPr>
          <w:lang w:val="en-GB"/>
        </w:rPr>
      </w:pPr>
    </w:p>
    <w:p w14:paraId="08D65C98" w14:textId="200288AA" w:rsidR="00684785" w:rsidRPr="00684785" w:rsidRDefault="00684785" w:rsidP="00684785">
      <w:pPr>
        <w:spacing w:line="276" w:lineRule="auto"/>
        <w:jc w:val="both"/>
        <w:rPr>
          <w:lang w:val="en-GB"/>
        </w:rPr>
      </w:pPr>
      <w:r>
        <w:rPr>
          <w:lang w:val="en-GB"/>
        </w:rPr>
        <w:lastRenderedPageBreak/>
        <w:t xml:space="preserve">In each of the above pillars, measures are planned in terms of: (i) </w:t>
      </w:r>
      <w:r w:rsidR="006F5818">
        <w:rPr>
          <w:lang w:val="en-GB"/>
        </w:rPr>
        <w:t>areas</w:t>
      </w:r>
      <w:r>
        <w:rPr>
          <w:lang w:val="en-GB"/>
        </w:rPr>
        <w:t xml:space="preserve"> and sub</w:t>
      </w:r>
      <w:r w:rsidR="006F5818">
        <w:rPr>
          <w:lang w:val="en-GB"/>
        </w:rPr>
        <w:t>areas</w:t>
      </w:r>
      <w:r>
        <w:rPr>
          <w:lang w:val="en-GB"/>
        </w:rPr>
        <w:t xml:space="preserve"> / principles; (ii) strategic / legislative / institutional framework; (iii) implementation of institutional reforms and capacities; (iv) the operation and performance of the public administration.  </w:t>
      </w:r>
    </w:p>
    <w:p w14:paraId="51319CD5" w14:textId="77777777" w:rsidR="005901C8" w:rsidRPr="001F151E" w:rsidRDefault="005901C8" w:rsidP="002E6AB5">
      <w:pPr>
        <w:spacing w:line="276" w:lineRule="auto"/>
        <w:jc w:val="both"/>
        <w:rPr>
          <w:lang w:val="en-GB"/>
        </w:rPr>
      </w:pPr>
    </w:p>
    <w:p w14:paraId="46D2F1A4" w14:textId="77777777" w:rsidR="00EC43EB" w:rsidRPr="001F151E" w:rsidRDefault="00EC43EB" w:rsidP="002E6AB5">
      <w:pPr>
        <w:spacing w:line="276" w:lineRule="auto"/>
        <w:jc w:val="both"/>
        <w:rPr>
          <w:b/>
          <w:bCs/>
          <w:lang w:val="en-GB"/>
        </w:rPr>
      </w:pPr>
      <w:r w:rsidRPr="001F151E">
        <w:rPr>
          <w:b/>
          <w:bCs/>
          <w:lang w:val="en-GB"/>
        </w:rPr>
        <w:t>Inter-Sectoral Strategy for Decentralization and Local Governance 2023-2030</w:t>
      </w:r>
    </w:p>
    <w:p w14:paraId="22A76AD5" w14:textId="05753DDC" w:rsidR="0071064B" w:rsidRPr="001F151E" w:rsidRDefault="00EC43EB" w:rsidP="002E6AB5">
      <w:pPr>
        <w:spacing w:line="276" w:lineRule="auto"/>
        <w:jc w:val="both"/>
        <w:rPr>
          <w:iCs/>
          <w:lang w:val="en-GB"/>
        </w:rPr>
      </w:pPr>
      <w:r w:rsidRPr="001F151E">
        <w:rPr>
          <w:iCs/>
          <w:lang w:val="en-GB"/>
        </w:rPr>
        <w:t>In 2023, the Government of Albania approved the Inter - Sectoral Strategy for Decentralization and Local Governance for the period 2023-2030. The four key strategic pillars formulated focuses on</w:t>
      </w:r>
      <w:r w:rsidR="002B7C79" w:rsidRPr="001F151E">
        <w:rPr>
          <w:iCs/>
          <w:lang w:val="en-GB"/>
        </w:rPr>
        <w:t>:</w:t>
      </w:r>
      <w:r w:rsidRPr="001F151E">
        <w:rPr>
          <w:iCs/>
          <w:lang w:val="en-GB"/>
        </w:rPr>
        <w:t xml:space="preserve"> </w:t>
      </w:r>
    </w:p>
    <w:p w14:paraId="03E385AD" w14:textId="53C3CC64" w:rsidR="0071064B" w:rsidRPr="001F151E" w:rsidRDefault="00EC43EB" w:rsidP="00B45892">
      <w:pPr>
        <w:pStyle w:val="N-Bullet"/>
        <w:numPr>
          <w:ilvl w:val="0"/>
          <w:numId w:val="106"/>
        </w:numPr>
        <w:spacing w:line="276" w:lineRule="auto"/>
        <w:jc w:val="both"/>
        <w:rPr>
          <w:rStyle w:val="Heading4Char"/>
          <w:rFonts w:eastAsiaTheme="minorHAnsi" w:cs="Arial"/>
          <w:b w:val="0"/>
          <w:color w:val="auto"/>
          <w:szCs w:val="18"/>
        </w:rPr>
      </w:pPr>
      <w:r w:rsidRPr="001F151E">
        <w:rPr>
          <w:rStyle w:val="Heading4Char"/>
          <w:rFonts w:eastAsiaTheme="minorHAnsi" w:cs="Arial"/>
          <w:b w:val="0"/>
          <w:color w:val="auto"/>
          <w:szCs w:val="18"/>
        </w:rPr>
        <w:t xml:space="preserve">consolidating the strategic and operational capacities of local self-government units through specific objectives which include the consolidation of administrative structures, the application of integrated administrative services through information technology for municipalities and the strengthening of dialogue between central and local government with mutual accountability; </w:t>
      </w:r>
    </w:p>
    <w:p w14:paraId="74E11864" w14:textId="7A51F7D7" w:rsidR="0071064B" w:rsidRPr="001F151E" w:rsidRDefault="00EC43EB" w:rsidP="00B45892">
      <w:pPr>
        <w:pStyle w:val="N-Bullet"/>
        <w:numPr>
          <w:ilvl w:val="0"/>
          <w:numId w:val="106"/>
        </w:numPr>
        <w:spacing w:line="276" w:lineRule="auto"/>
        <w:jc w:val="both"/>
        <w:rPr>
          <w:rStyle w:val="Heading4Char"/>
          <w:rFonts w:eastAsiaTheme="minorHAnsi" w:cs="Arial"/>
          <w:b w:val="0"/>
          <w:color w:val="auto"/>
          <w:szCs w:val="18"/>
        </w:rPr>
      </w:pPr>
      <w:r w:rsidRPr="001F151E">
        <w:rPr>
          <w:rStyle w:val="Heading4Char"/>
          <w:rFonts w:eastAsiaTheme="minorHAnsi" w:cs="Arial"/>
          <w:b w:val="0"/>
          <w:color w:val="auto"/>
          <w:szCs w:val="18"/>
        </w:rPr>
        <w:t xml:space="preserve">strengthening local finances and fiscal autonomy, with objectives such as consolidating the local revenue system, increasing revenue sharing from national taxes with municipalities, improving the predictability and stability of government transfer systems, enhancing the capacity of Local Self-Government Units (LSGUs) to use borrowing for capital projects within national public debt policies, and strengthening the public finance management system at the local level; </w:t>
      </w:r>
    </w:p>
    <w:p w14:paraId="76CB9B4A" w14:textId="0A1CE065" w:rsidR="0071064B" w:rsidRPr="001F151E" w:rsidRDefault="00EC43EB" w:rsidP="00B45892">
      <w:pPr>
        <w:pStyle w:val="N-Bullet"/>
        <w:numPr>
          <w:ilvl w:val="0"/>
          <w:numId w:val="106"/>
        </w:numPr>
        <w:spacing w:line="276" w:lineRule="auto"/>
        <w:jc w:val="both"/>
        <w:rPr>
          <w:rStyle w:val="Heading4Char"/>
          <w:rFonts w:eastAsiaTheme="minorHAnsi" w:cs="Arial"/>
          <w:b w:val="0"/>
          <w:color w:val="auto"/>
          <w:szCs w:val="18"/>
        </w:rPr>
      </w:pPr>
      <w:r w:rsidRPr="001F151E">
        <w:rPr>
          <w:rStyle w:val="Heading4Char"/>
          <w:rFonts w:eastAsiaTheme="minorHAnsi" w:cs="Arial"/>
          <w:b w:val="0"/>
          <w:color w:val="auto"/>
          <w:szCs w:val="18"/>
        </w:rPr>
        <w:t xml:space="preserve">promoting sustainable local development through efficient implementation of functions within a clear and harmonized legal framework, ensuring sustainable economic development, and establishing and updating minimum national standards for local services; and </w:t>
      </w:r>
    </w:p>
    <w:p w14:paraId="258D04AF" w14:textId="2AC55738" w:rsidR="00EC43EB" w:rsidRPr="001F151E" w:rsidRDefault="00EC43EB" w:rsidP="00B45892">
      <w:pPr>
        <w:pStyle w:val="N-Bullet"/>
        <w:numPr>
          <w:ilvl w:val="0"/>
          <w:numId w:val="106"/>
        </w:numPr>
        <w:spacing w:line="276" w:lineRule="auto"/>
        <w:jc w:val="both"/>
        <w:rPr>
          <w:iCs/>
          <w:lang w:val="en-GB"/>
        </w:rPr>
      </w:pPr>
      <w:r w:rsidRPr="001F151E">
        <w:rPr>
          <w:rStyle w:val="Heading4Char"/>
          <w:rFonts w:eastAsiaTheme="minorHAnsi" w:cs="Arial"/>
          <w:b w:val="0"/>
          <w:color w:val="auto"/>
          <w:szCs w:val="18"/>
        </w:rPr>
        <w:t>t</w:t>
      </w:r>
      <w:r w:rsidR="00E5296E">
        <w:rPr>
          <w:rStyle w:val="Heading4Char"/>
          <w:rFonts w:eastAsiaTheme="minorHAnsi" w:cs="Arial"/>
          <w:b w:val="0"/>
          <w:color w:val="auto"/>
          <w:szCs w:val="18"/>
        </w:rPr>
        <w:t>ansportt</w:t>
      </w:r>
      <w:r w:rsidRPr="001F151E">
        <w:rPr>
          <w:rStyle w:val="Heading4Char"/>
          <w:rFonts w:eastAsiaTheme="minorHAnsi" w:cs="Arial"/>
          <w:b w:val="0"/>
          <w:color w:val="auto"/>
          <w:szCs w:val="18"/>
        </w:rPr>
        <w:t>rengthening good governance at the local level, emphasizing open governance, transparency, accountability</w:t>
      </w:r>
      <w:r w:rsidRPr="001F151E">
        <w:rPr>
          <w:iCs/>
          <w:lang w:val="en-GB"/>
        </w:rPr>
        <w:t>, and expanded e-governance.</w:t>
      </w:r>
    </w:p>
    <w:p w14:paraId="19B59B0D" w14:textId="5392A75D" w:rsidR="002B7C79" w:rsidRPr="001F151E" w:rsidRDefault="002B7C79" w:rsidP="002E6AB5">
      <w:pPr>
        <w:spacing w:before="120" w:after="120" w:line="276" w:lineRule="auto"/>
        <w:jc w:val="both"/>
        <w:rPr>
          <w:iCs/>
          <w:lang w:val="en-GB"/>
        </w:rPr>
      </w:pPr>
      <w:r w:rsidRPr="001F151E">
        <w:rPr>
          <w:iCs/>
          <w:lang w:val="en-GB"/>
        </w:rPr>
        <w:t>The pillar 2 and 4</w:t>
      </w:r>
      <w:r w:rsidR="00E858C2" w:rsidRPr="001F151E">
        <w:rPr>
          <w:iCs/>
          <w:lang w:val="en-GB"/>
        </w:rPr>
        <w:t xml:space="preserve"> </w:t>
      </w:r>
      <w:r w:rsidRPr="001F151E">
        <w:rPr>
          <w:iCs/>
          <w:lang w:val="en-GB"/>
        </w:rPr>
        <w:t xml:space="preserve">of the Strategy are </w:t>
      </w:r>
      <w:r w:rsidR="00E858C2" w:rsidRPr="001F151E">
        <w:rPr>
          <w:iCs/>
          <w:lang w:val="en-GB"/>
        </w:rPr>
        <w:t xml:space="preserve">relevant </w:t>
      </w:r>
      <w:r w:rsidRPr="001F151E">
        <w:rPr>
          <w:iCs/>
          <w:lang w:val="en-GB"/>
        </w:rPr>
        <w:t>to the PFM.</w:t>
      </w:r>
    </w:p>
    <w:p w14:paraId="636BBDF3" w14:textId="77777777" w:rsidR="005901C8" w:rsidRPr="001F151E" w:rsidRDefault="005901C8" w:rsidP="002E6AB5">
      <w:pPr>
        <w:spacing w:line="276" w:lineRule="auto"/>
        <w:jc w:val="both"/>
        <w:rPr>
          <w:lang w:val="en-GB"/>
        </w:rPr>
      </w:pPr>
    </w:p>
    <w:p w14:paraId="52199F34" w14:textId="36E82850" w:rsidR="00EC43EB" w:rsidRPr="001F151E" w:rsidRDefault="00EC43EB" w:rsidP="002E6AB5">
      <w:pPr>
        <w:pStyle w:val="N-Bullet"/>
        <w:numPr>
          <w:ilvl w:val="0"/>
          <w:numId w:val="0"/>
        </w:numPr>
        <w:spacing w:line="276" w:lineRule="auto"/>
        <w:jc w:val="both"/>
        <w:rPr>
          <w:lang w:val="en-GB"/>
        </w:rPr>
      </w:pPr>
      <w:r w:rsidRPr="001F151E">
        <w:rPr>
          <w:b/>
          <w:bCs/>
          <w:lang w:val="en-GB"/>
        </w:rPr>
        <w:t>Anti-corruption strategy 2024-2030</w:t>
      </w:r>
      <w:r w:rsidRPr="001F151E">
        <w:rPr>
          <w:lang w:val="en-GB"/>
        </w:rPr>
        <w:t xml:space="preserve"> </w:t>
      </w:r>
    </w:p>
    <w:p w14:paraId="5043BF95" w14:textId="77777777" w:rsidR="00EC43EB" w:rsidRPr="001F151E" w:rsidRDefault="00EC43EB" w:rsidP="002E6AB5">
      <w:pPr>
        <w:spacing w:line="276" w:lineRule="auto"/>
        <w:jc w:val="both"/>
        <w:rPr>
          <w:lang w:val="en-GB"/>
        </w:rPr>
      </w:pPr>
    </w:p>
    <w:p w14:paraId="6D7C7F4B" w14:textId="6EC36283" w:rsidR="00014B8E" w:rsidRPr="001F151E" w:rsidRDefault="00BB78BD" w:rsidP="002E6AB5">
      <w:pPr>
        <w:spacing w:line="276" w:lineRule="auto"/>
        <w:jc w:val="both"/>
        <w:rPr>
          <w:lang w:val="en-GB"/>
        </w:rPr>
      </w:pPr>
      <w:r w:rsidRPr="001F151E">
        <w:rPr>
          <w:b/>
          <w:bCs/>
          <w:lang w:val="en-GB"/>
        </w:rPr>
        <w:t>Economic Reform Program</w:t>
      </w:r>
      <w:r w:rsidR="009D2A31" w:rsidRPr="001F151E">
        <w:rPr>
          <w:b/>
          <w:bCs/>
          <w:lang w:val="en-GB"/>
        </w:rPr>
        <w:t xml:space="preserve"> </w:t>
      </w:r>
    </w:p>
    <w:p w14:paraId="34E72EB0" w14:textId="1E667DD8" w:rsidR="009D2A31" w:rsidRPr="001F151E" w:rsidRDefault="009D2A31" w:rsidP="008A44DF">
      <w:pPr>
        <w:spacing w:line="276" w:lineRule="auto"/>
        <w:jc w:val="both"/>
        <w:rPr>
          <w:iCs/>
          <w:lang w:val="en-GB"/>
        </w:rPr>
      </w:pPr>
      <w:r w:rsidRPr="001F151E">
        <w:rPr>
          <w:iCs/>
          <w:lang w:val="en-GB"/>
        </w:rPr>
        <w:t xml:space="preserve">“The ERP </w:t>
      </w:r>
      <w:r w:rsidR="009048FA" w:rsidRPr="009048FA">
        <w:rPr>
          <w:bCs/>
          <w:lang w:val="en-GB"/>
        </w:rPr>
        <w:t>2023-2025</w:t>
      </w:r>
      <w:r w:rsidR="009048FA" w:rsidRPr="009048FA">
        <w:rPr>
          <w:rStyle w:val="FootnoteReference"/>
          <w:bCs/>
          <w:lang w:val="en-GB"/>
        </w:rPr>
        <w:footnoteReference w:id="2"/>
      </w:r>
      <w:r w:rsidR="009048FA" w:rsidRPr="009048FA">
        <w:rPr>
          <w:lang w:val="en-GB"/>
        </w:rPr>
        <w:t xml:space="preserve"> </w:t>
      </w:r>
      <w:r w:rsidRPr="009048FA">
        <w:rPr>
          <w:iCs/>
          <w:lang w:val="en-GB"/>
        </w:rPr>
        <w:t>outlines</w:t>
      </w:r>
      <w:r w:rsidRPr="001F151E">
        <w:rPr>
          <w:iCs/>
          <w:lang w:val="en-GB"/>
        </w:rPr>
        <w:t xml:space="preserve"> the main macroeconomic and fiscal policies aiming </w:t>
      </w:r>
      <w:r w:rsidR="00C524C0">
        <w:rPr>
          <w:iCs/>
          <w:lang w:val="en-GB"/>
        </w:rPr>
        <w:t>to establish t</w:t>
      </w:r>
      <w:r w:rsidR="00FC581E">
        <w:rPr>
          <w:iCs/>
          <w:lang w:val="en-GB"/>
        </w:rPr>
        <w:t xml:space="preserve">he clear balance </w:t>
      </w:r>
      <w:r w:rsidRPr="001F151E">
        <w:rPr>
          <w:iCs/>
          <w:lang w:val="en-GB"/>
        </w:rPr>
        <w:t xml:space="preserve">between the internal strengths and external threats, with a view to enable sustainable growth, increased employment and reduced public debt. In addition, the ERP summaries the priority structural reforms that Albania is implementing for the short-term future with a view to increasing domestic production, stimulating new investments and ensuring sustainable and inclusive growth and competitiveness. Fiscal consolidation continues to be the primary objective of fiscal policy to ensure the macroeconomic stability...” </w:t>
      </w:r>
    </w:p>
    <w:p w14:paraId="51F50700" w14:textId="77777777" w:rsidR="009D2A31" w:rsidRPr="001F151E" w:rsidRDefault="009D2A31" w:rsidP="002E6AB5">
      <w:pPr>
        <w:spacing w:line="276" w:lineRule="auto"/>
        <w:jc w:val="both"/>
        <w:rPr>
          <w:iCs/>
          <w:lang w:val="en-GB"/>
        </w:rPr>
      </w:pPr>
    </w:p>
    <w:p w14:paraId="1A865C32" w14:textId="713AB70B" w:rsidR="009D2A31" w:rsidRPr="001F151E" w:rsidRDefault="009D2A31" w:rsidP="002E6AB5">
      <w:pPr>
        <w:spacing w:line="276" w:lineRule="auto"/>
        <w:jc w:val="both"/>
        <w:rPr>
          <w:iCs/>
          <w:lang w:val="en-GB"/>
        </w:rPr>
      </w:pPr>
      <w:r w:rsidRPr="001F151E">
        <w:rPr>
          <w:iCs/>
          <w:lang w:val="en-GB"/>
        </w:rPr>
        <w:t>The ERP</w:t>
      </w:r>
      <w:r w:rsidR="00C80C74">
        <w:rPr>
          <w:iCs/>
          <w:lang w:val="en-GB"/>
        </w:rPr>
        <w:t xml:space="preserve"> 2023-2025</w:t>
      </w:r>
      <w:r w:rsidRPr="001F151E">
        <w:rPr>
          <w:iCs/>
          <w:lang w:val="en-GB"/>
        </w:rPr>
        <w:t xml:space="preserve"> presents the following Policy Guidance in relation to PFM:</w:t>
      </w:r>
    </w:p>
    <w:p w14:paraId="2F8B98B2" w14:textId="77777777" w:rsidR="009D2A31" w:rsidRPr="001F151E" w:rsidRDefault="009D2A31" w:rsidP="002E6AB5">
      <w:pPr>
        <w:pStyle w:val="N-Bullet"/>
        <w:spacing w:line="276" w:lineRule="auto"/>
        <w:jc w:val="both"/>
        <w:rPr>
          <w:rStyle w:val="Heading4Char"/>
          <w:rFonts w:eastAsiaTheme="minorHAnsi" w:cs="Arial"/>
          <w:b w:val="0"/>
          <w:bCs w:val="0"/>
          <w:iCs w:val="0"/>
          <w:color w:val="auto"/>
          <w:szCs w:val="18"/>
        </w:rPr>
      </w:pPr>
      <w:r w:rsidRPr="001F151E">
        <w:rPr>
          <w:rStyle w:val="Heading4Char"/>
          <w:rFonts w:eastAsiaTheme="minorHAnsi" w:cs="Arial"/>
          <w:b w:val="0"/>
          <w:bCs w:val="0"/>
          <w:iCs w:val="0"/>
          <w:color w:val="auto"/>
          <w:szCs w:val="18"/>
        </w:rPr>
        <w:t xml:space="preserve">PG 1.2 Restrict budget revisions to the regular revision process set out in the Budget Law and use the regular legislative process should an amendment of the Budget Law become necessary.  </w:t>
      </w:r>
    </w:p>
    <w:p w14:paraId="196DB6CA" w14:textId="77777777" w:rsidR="009D2A31" w:rsidRPr="001F151E" w:rsidRDefault="009D2A31" w:rsidP="002E6AB5">
      <w:pPr>
        <w:pStyle w:val="N-Bullet"/>
        <w:spacing w:line="276" w:lineRule="auto"/>
        <w:jc w:val="both"/>
        <w:rPr>
          <w:rStyle w:val="Heading4Char"/>
          <w:rFonts w:eastAsiaTheme="minorHAnsi" w:cs="Arial"/>
          <w:b w:val="0"/>
          <w:bCs w:val="0"/>
          <w:iCs w:val="0"/>
          <w:color w:val="auto"/>
          <w:szCs w:val="18"/>
        </w:rPr>
      </w:pPr>
      <w:r w:rsidRPr="001F151E">
        <w:rPr>
          <w:rStyle w:val="Heading4Char"/>
          <w:rFonts w:eastAsiaTheme="minorHAnsi" w:cs="Arial"/>
          <w:b w:val="0"/>
          <w:bCs w:val="0"/>
          <w:iCs w:val="0"/>
          <w:color w:val="auto"/>
          <w:szCs w:val="18"/>
        </w:rPr>
        <w:t>PG 1.3 Assess the fiscal risks from state-owned enterprises and develop proposals for their mitigation.</w:t>
      </w:r>
    </w:p>
    <w:p w14:paraId="210A19DC" w14:textId="77777777" w:rsidR="009D2A31" w:rsidRPr="001F151E" w:rsidRDefault="009D2A31" w:rsidP="002E6AB5">
      <w:pPr>
        <w:pStyle w:val="N-Bullet"/>
        <w:spacing w:line="276" w:lineRule="auto"/>
        <w:jc w:val="both"/>
        <w:rPr>
          <w:rStyle w:val="Heading4Char"/>
          <w:rFonts w:eastAsiaTheme="minorHAnsi" w:cs="Arial"/>
          <w:b w:val="0"/>
          <w:bCs w:val="0"/>
          <w:iCs w:val="0"/>
          <w:color w:val="auto"/>
          <w:szCs w:val="18"/>
        </w:rPr>
      </w:pPr>
      <w:r w:rsidRPr="001F151E">
        <w:rPr>
          <w:rStyle w:val="Heading4Char"/>
          <w:rFonts w:eastAsiaTheme="minorHAnsi" w:cs="Arial"/>
          <w:b w:val="0"/>
          <w:bCs w:val="0"/>
          <w:iCs w:val="0"/>
          <w:color w:val="auto"/>
          <w:szCs w:val="18"/>
        </w:rPr>
        <w:t>PG 2.1 Implement the activities outlined in reform measure 10 of the ERP on Public Strategic Investments and in the PFM strategy to improve the management of public investments including PPPs.</w:t>
      </w:r>
    </w:p>
    <w:p w14:paraId="1B8EC26C" w14:textId="77777777" w:rsidR="009D2A31" w:rsidRPr="001F151E" w:rsidRDefault="009D2A31" w:rsidP="002E6AB5">
      <w:pPr>
        <w:pStyle w:val="N-Bullet"/>
        <w:spacing w:line="276" w:lineRule="auto"/>
        <w:jc w:val="both"/>
        <w:rPr>
          <w:rStyle w:val="Heading4Char"/>
          <w:rFonts w:eastAsiaTheme="minorHAnsi" w:cs="Arial"/>
          <w:b w:val="0"/>
          <w:bCs w:val="0"/>
          <w:iCs w:val="0"/>
          <w:color w:val="auto"/>
          <w:szCs w:val="18"/>
        </w:rPr>
      </w:pPr>
      <w:r w:rsidRPr="001F151E">
        <w:rPr>
          <w:rStyle w:val="Heading4Char"/>
          <w:rFonts w:eastAsiaTheme="minorHAnsi" w:cs="Arial"/>
          <w:b w:val="0"/>
          <w:bCs w:val="0"/>
          <w:iCs w:val="0"/>
          <w:color w:val="auto"/>
          <w:szCs w:val="18"/>
        </w:rPr>
        <w:t>PG 2.2 Adopt the medium-term revenue strategy following an intensive public consultation, and complement it with a budgeted, operational implementation plan to guide tax policies in the coming years.</w:t>
      </w:r>
    </w:p>
    <w:p w14:paraId="4EC5773C" w14:textId="77777777" w:rsidR="009D2A31" w:rsidRPr="001F151E" w:rsidRDefault="009D2A31" w:rsidP="002E6AB5">
      <w:pPr>
        <w:pStyle w:val="N-Bullet"/>
        <w:spacing w:line="276" w:lineRule="auto"/>
        <w:jc w:val="both"/>
        <w:rPr>
          <w:rStyle w:val="Heading4Char"/>
          <w:rFonts w:eastAsiaTheme="minorHAnsi" w:cs="Arial"/>
          <w:b w:val="0"/>
          <w:bCs w:val="0"/>
          <w:iCs w:val="0"/>
          <w:color w:val="auto"/>
          <w:szCs w:val="18"/>
        </w:rPr>
      </w:pPr>
      <w:r w:rsidRPr="001F151E">
        <w:rPr>
          <w:rStyle w:val="Heading4Char"/>
          <w:rFonts w:eastAsiaTheme="minorHAnsi" w:cs="Arial"/>
          <w:b w:val="0"/>
          <w:bCs w:val="0"/>
          <w:iCs w:val="0"/>
          <w:color w:val="auto"/>
          <w:szCs w:val="18"/>
        </w:rPr>
        <w:t>PG 4.3 Design a strategic and coordinated action plan for implementing anti-informality policies, based on, but not limited to, the medium-term revenue strategy.</w:t>
      </w:r>
    </w:p>
    <w:p w14:paraId="087C1603" w14:textId="77777777" w:rsidR="009D2A31" w:rsidRPr="001F151E" w:rsidRDefault="009D2A31" w:rsidP="002E6AB5">
      <w:pPr>
        <w:spacing w:line="276" w:lineRule="auto"/>
        <w:jc w:val="both"/>
        <w:rPr>
          <w:rStyle w:val="IntenseReference"/>
          <w:rFonts w:eastAsiaTheme="majorEastAsia" w:cstheme="majorBidi"/>
          <w:szCs w:val="22"/>
          <w:lang w:val="en-GB"/>
        </w:rPr>
      </w:pPr>
    </w:p>
    <w:p w14:paraId="1B652312" w14:textId="77777777" w:rsidR="009D2A31" w:rsidRPr="001F151E" w:rsidRDefault="009D2A31" w:rsidP="002E6AB5">
      <w:pPr>
        <w:spacing w:line="276" w:lineRule="auto"/>
        <w:jc w:val="both"/>
        <w:rPr>
          <w:lang w:val="en-GB"/>
        </w:rPr>
      </w:pPr>
      <w:r w:rsidRPr="001F151E">
        <w:rPr>
          <w:lang w:val="en-GB"/>
        </w:rPr>
        <w:t>Moreover, the ERP identifies the following Reform Measures relevant for PFM:</w:t>
      </w:r>
    </w:p>
    <w:p w14:paraId="11FF22F0" w14:textId="77777777" w:rsidR="009D2A31" w:rsidRPr="001F151E" w:rsidRDefault="009D2A31" w:rsidP="002E6AB5">
      <w:pPr>
        <w:pStyle w:val="N-Bullet"/>
        <w:spacing w:line="276" w:lineRule="auto"/>
        <w:jc w:val="both"/>
        <w:rPr>
          <w:rStyle w:val="Heading4Char"/>
          <w:rFonts w:eastAsiaTheme="minorHAnsi" w:cs="Arial"/>
          <w:b w:val="0"/>
          <w:bCs w:val="0"/>
          <w:iCs w:val="0"/>
          <w:color w:val="auto"/>
          <w:szCs w:val="18"/>
        </w:rPr>
      </w:pPr>
      <w:r w:rsidRPr="001F151E">
        <w:rPr>
          <w:rStyle w:val="Heading4Char"/>
          <w:rFonts w:eastAsiaTheme="minorHAnsi" w:cs="Arial"/>
          <w:b w:val="0"/>
          <w:bCs w:val="0"/>
          <w:iCs w:val="0"/>
          <w:color w:val="auto"/>
          <w:szCs w:val="18"/>
        </w:rPr>
        <w:t>RM 09: Public Strategic Investments: (a) Develop a new PIM procedure, including PPP; (b) Strengthen the capacity across government to appraise public investment projects; and (c) Improve monitoring of public investments including PPP projects and concessions.</w:t>
      </w:r>
    </w:p>
    <w:p w14:paraId="3BCA2A1A" w14:textId="77777777" w:rsidR="003C2F64" w:rsidRPr="009048FA" w:rsidRDefault="009D2A31" w:rsidP="00086262">
      <w:pPr>
        <w:pStyle w:val="N-Bullet"/>
        <w:spacing w:line="276" w:lineRule="auto"/>
        <w:jc w:val="both"/>
        <w:rPr>
          <w:rStyle w:val="Heading4Char"/>
          <w:rFonts w:eastAsiaTheme="minorHAnsi" w:cs="Arial"/>
          <w:iCs w:val="0"/>
          <w:color w:val="auto"/>
          <w:szCs w:val="18"/>
          <w:vertAlign w:val="superscript"/>
        </w:rPr>
      </w:pPr>
      <w:r w:rsidRPr="003C2F64">
        <w:rPr>
          <w:rStyle w:val="Heading4Char"/>
          <w:rFonts w:eastAsiaTheme="minorHAnsi" w:cs="Arial"/>
          <w:b w:val="0"/>
          <w:bCs w:val="0"/>
          <w:iCs w:val="0"/>
          <w:color w:val="auto"/>
          <w:szCs w:val="18"/>
        </w:rPr>
        <w:t>RM 10: Reform measure 10: Strengthening managerial accountability in general government units through improving the regulator framework, continuous evaluation of the IC system, providing TA, capacity building and awareness raising with regards to improving managerial accountability mechanisms.</w:t>
      </w:r>
    </w:p>
    <w:p w14:paraId="78727517" w14:textId="77777777" w:rsidR="009048FA" w:rsidRDefault="009048FA" w:rsidP="009048FA">
      <w:pPr>
        <w:pStyle w:val="N-Bullet"/>
        <w:numPr>
          <w:ilvl w:val="0"/>
          <w:numId w:val="0"/>
        </w:numPr>
        <w:spacing w:line="276" w:lineRule="auto"/>
        <w:ind w:left="360" w:hanging="360"/>
        <w:jc w:val="both"/>
        <w:rPr>
          <w:rStyle w:val="Heading4Char"/>
          <w:rFonts w:eastAsiaTheme="minorHAnsi" w:cs="Arial"/>
          <w:b w:val="0"/>
          <w:bCs w:val="0"/>
          <w:iCs w:val="0"/>
          <w:color w:val="auto"/>
          <w:szCs w:val="18"/>
        </w:rPr>
      </w:pPr>
    </w:p>
    <w:p w14:paraId="62AF6B68" w14:textId="77777777" w:rsidR="00D87729" w:rsidRPr="001F151E" w:rsidRDefault="009048FA" w:rsidP="00D87729">
      <w:pPr>
        <w:spacing w:line="276" w:lineRule="auto"/>
        <w:jc w:val="both"/>
        <w:rPr>
          <w:iCs/>
          <w:lang w:val="en-GB"/>
        </w:rPr>
      </w:pPr>
      <w:r>
        <w:rPr>
          <w:rStyle w:val="Heading4Char"/>
          <w:rFonts w:eastAsiaTheme="minorHAnsi" w:cs="Arial"/>
          <w:b w:val="0"/>
          <w:bCs w:val="0"/>
          <w:iCs w:val="0"/>
          <w:color w:val="auto"/>
          <w:szCs w:val="18"/>
        </w:rPr>
        <w:t xml:space="preserve">The ERP </w:t>
      </w:r>
      <w:r w:rsidR="001C6BB3">
        <w:rPr>
          <w:iCs/>
          <w:lang w:val="sq-AL"/>
        </w:rPr>
        <w:t>2024-2026</w:t>
      </w:r>
      <w:r>
        <w:rPr>
          <w:rStyle w:val="FootnoteReference"/>
          <w:iCs/>
          <w:lang w:val="sq-AL"/>
        </w:rPr>
        <w:footnoteReference w:id="3"/>
      </w:r>
      <w:r>
        <w:rPr>
          <w:iCs/>
          <w:lang w:val="sq-AL"/>
        </w:rPr>
        <w:t xml:space="preserve"> </w:t>
      </w:r>
      <w:r w:rsidR="00D87729" w:rsidRPr="001F151E">
        <w:rPr>
          <w:iCs/>
          <w:lang w:val="en-GB"/>
        </w:rPr>
        <w:t>presents the following Policy Guidance in relation to PFM:</w:t>
      </w:r>
    </w:p>
    <w:p w14:paraId="355B02F3" w14:textId="524D076C" w:rsidR="009048FA" w:rsidRPr="003A6986" w:rsidRDefault="00D87729" w:rsidP="00B45892">
      <w:pPr>
        <w:pStyle w:val="ListParagraph"/>
        <w:numPr>
          <w:ilvl w:val="0"/>
          <w:numId w:val="107"/>
        </w:numPr>
        <w:spacing w:line="240" w:lineRule="auto"/>
        <w:jc w:val="both"/>
        <w:rPr>
          <w:lang w:val="en-GB"/>
        </w:rPr>
      </w:pPr>
      <w:r w:rsidRPr="00D87729">
        <w:rPr>
          <w:rStyle w:val="Heading4Char"/>
          <w:rFonts w:eastAsiaTheme="minorHAnsi" w:cs="Arial"/>
          <w:b w:val="0"/>
          <w:bCs w:val="0"/>
          <w:iCs w:val="0"/>
          <w:color w:val="auto"/>
          <w:szCs w:val="18"/>
        </w:rPr>
        <w:lastRenderedPageBreak/>
        <w:t>PG</w:t>
      </w:r>
      <w:r w:rsidR="003A6986">
        <w:rPr>
          <w:rStyle w:val="Heading4Char"/>
          <w:rFonts w:eastAsiaTheme="minorHAnsi" w:cs="Arial"/>
          <w:b w:val="0"/>
          <w:bCs w:val="0"/>
          <w:iCs w:val="0"/>
          <w:color w:val="auto"/>
          <w:szCs w:val="18"/>
        </w:rPr>
        <w:t xml:space="preserve"> 1.1 Achieve as </w:t>
      </w:r>
      <w:r w:rsidR="003A6986" w:rsidRPr="003A6986">
        <w:rPr>
          <w:iCs/>
          <w:lang w:val="en-GB"/>
        </w:rPr>
        <w:t>envisaged a non-negative primary balance in 2023 while providing targeted support to</w:t>
      </w:r>
      <w:r w:rsidR="003A6986" w:rsidRPr="003A6986">
        <w:rPr>
          <w:iCs/>
          <w:lang w:val="en-GB"/>
        </w:rPr>
        <w:br/>
        <w:t>vulnerable households and firms if needed to cushion the impact of high energy prices and, thereafter</w:t>
      </w:r>
      <w:r w:rsidR="003A6986">
        <w:rPr>
          <w:iCs/>
          <w:lang w:val="en-GB"/>
        </w:rPr>
        <w:t>,</w:t>
      </w:r>
      <w:r w:rsidR="003A6986" w:rsidRPr="003A6986">
        <w:rPr>
          <w:iCs/>
          <w:lang w:val="en-GB"/>
        </w:rPr>
        <w:br/>
        <w:t>implement the medium-term budgetary plan aiming to reduce the public debt ratio and increase the</w:t>
      </w:r>
      <w:r w:rsidR="003A6986" w:rsidRPr="003A6986">
        <w:rPr>
          <w:iCs/>
          <w:lang w:val="en-GB"/>
        </w:rPr>
        <w:br/>
        <w:t>primary surplus while using the regular revision process for budget amendments.</w:t>
      </w:r>
    </w:p>
    <w:p w14:paraId="70229DED" w14:textId="43332A9E" w:rsidR="003A6986" w:rsidRPr="003A6986" w:rsidRDefault="003A6986" w:rsidP="00B45892">
      <w:pPr>
        <w:pStyle w:val="ListParagraph"/>
        <w:numPr>
          <w:ilvl w:val="0"/>
          <w:numId w:val="107"/>
        </w:numPr>
        <w:spacing w:line="240" w:lineRule="auto"/>
        <w:jc w:val="both"/>
        <w:rPr>
          <w:lang w:val="en-GB"/>
        </w:rPr>
      </w:pPr>
      <w:r>
        <w:rPr>
          <w:iCs/>
          <w:lang w:val="en-GB"/>
        </w:rPr>
        <w:t xml:space="preserve">PG 1.2 </w:t>
      </w:r>
      <w:r w:rsidRPr="003A6986">
        <w:rPr>
          <w:iCs/>
          <w:lang w:val="en-GB"/>
        </w:rPr>
        <w:t>Keep general government arrears in each quarter of 2023 at maximum 2.5% of total expenditure and below 2.4% of total expenditure at end-2023.</w:t>
      </w:r>
    </w:p>
    <w:p w14:paraId="79E31466" w14:textId="480603D3" w:rsidR="003A6986" w:rsidRPr="003A6986" w:rsidRDefault="003A6986" w:rsidP="00B45892">
      <w:pPr>
        <w:pStyle w:val="ListParagraph"/>
        <w:numPr>
          <w:ilvl w:val="0"/>
          <w:numId w:val="107"/>
        </w:numPr>
        <w:spacing w:line="240" w:lineRule="auto"/>
        <w:jc w:val="both"/>
        <w:rPr>
          <w:lang w:val="en-GB"/>
        </w:rPr>
      </w:pPr>
      <w:r>
        <w:rPr>
          <w:iCs/>
          <w:lang w:val="en-GB"/>
        </w:rPr>
        <w:t xml:space="preserve">PG 1.3 </w:t>
      </w:r>
      <w:r w:rsidRPr="003A6986">
        <w:rPr>
          <w:iCs/>
          <w:lang w:val="en-GB"/>
        </w:rPr>
        <w:t>Inform decisions about new state guarantees and on-lending to public entities by a systematic risk assessment</w:t>
      </w:r>
    </w:p>
    <w:p w14:paraId="662D540E" w14:textId="22702D5E" w:rsidR="003A6986" w:rsidRPr="003A6986" w:rsidRDefault="003A6986" w:rsidP="00B45892">
      <w:pPr>
        <w:pStyle w:val="ListParagraph"/>
        <w:numPr>
          <w:ilvl w:val="0"/>
          <w:numId w:val="107"/>
        </w:numPr>
        <w:spacing w:line="240" w:lineRule="auto"/>
        <w:jc w:val="both"/>
        <w:rPr>
          <w:lang w:val="en-GB"/>
        </w:rPr>
      </w:pPr>
      <w:r>
        <w:rPr>
          <w:iCs/>
          <w:lang w:val="en-GB"/>
        </w:rPr>
        <w:t xml:space="preserve">PG 2.1 </w:t>
      </w:r>
      <w:r w:rsidRPr="003A6986">
        <w:rPr>
          <w:iCs/>
          <w:lang w:val="en-GB"/>
        </w:rPr>
        <w:t>Continue measures to increase tax revenue as share in GDP in a growth-friendly way while taking into account the results of a broad public consultation on tax policies.</w:t>
      </w:r>
    </w:p>
    <w:p w14:paraId="06475FEF" w14:textId="2A36B03D" w:rsidR="003A6986" w:rsidRPr="00D87729" w:rsidRDefault="003A6986" w:rsidP="00B45892">
      <w:pPr>
        <w:pStyle w:val="ListParagraph"/>
        <w:numPr>
          <w:ilvl w:val="0"/>
          <w:numId w:val="107"/>
        </w:numPr>
        <w:spacing w:line="240" w:lineRule="auto"/>
        <w:jc w:val="both"/>
        <w:rPr>
          <w:rStyle w:val="Heading4Char"/>
          <w:rFonts w:eastAsiaTheme="minorHAnsi" w:cs="Arial"/>
          <w:b w:val="0"/>
          <w:bCs w:val="0"/>
          <w:iCs w:val="0"/>
          <w:color w:val="auto"/>
          <w:szCs w:val="18"/>
        </w:rPr>
      </w:pPr>
      <w:r>
        <w:rPr>
          <w:iCs/>
          <w:lang w:val="en-GB"/>
        </w:rPr>
        <w:t xml:space="preserve">PG 2.2 </w:t>
      </w:r>
      <w:r w:rsidRPr="003A6986">
        <w:rPr>
          <w:iCs/>
          <w:lang w:val="en-GB"/>
        </w:rPr>
        <w:t>Complete procedures to fully establish the National Single Project Pipeline (NSPP) and advance the necessary legal amendments to fully integrate PPPs into the NSPP</w:t>
      </w:r>
    </w:p>
    <w:p w14:paraId="5A02E53F" w14:textId="23ACC053" w:rsidR="009048FA" w:rsidRPr="003C2F64" w:rsidRDefault="009048FA" w:rsidP="009048FA">
      <w:pPr>
        <w:pStyle w:val="N-Bullet"/>
        <w:numPr>
          <w:ilvl w:val="0"/>
          <w:numId w:val="0"/>
        </w:numPr>
        <w:spacing w:line="276" w:lineRule="auto"/>
        <w:ind w:left="360" w:hanging="360"/>
        <w:jc w:val="both"/>
        <w:rPr>
          <w:rStyle w:val="Heading4Char"/>
          <w:rFonts w:eastAsiaTheme="minorHAnsi" w:cs="Arial"/>
          <w:iCs w:val="0"/>
          <w:color w:val="auto"/>
          <w:szCs w:val="18"/>
          <w:vertAlign w:val="superscript"/>
        </w:rPr>
      </w:pPr>
    </w:p>
    <w:p w14:paraId="7715CA3D" w14:textId="77777777" w:rsidR="003C2F64" w:rsidRDefault="003C2F64" w:rsidP="003C2F64">
      <w:pPr>
        <w:pStyle w:val="N-Bullet"/>
        <w:numPr>
          <w:ilvl w:val="0"/>
          <w:numId w:val="0"/>
        </w:numPr>
        <w:spacing w:line="276" w:lineRule="auto"/>
        <w:jc w:val="both"/>
        <w:rPr>
          <w:rStyle w:val="Heading4Char"/>
          <w:rFonts w:eastAsiaTheme="minorHAnsi" w:cs="Arial"/>
          <w:b w:val="0"/>
          <w:bCs w:val="0"/>
          <w:iCs w:val="0"/>
          <w:color w:val="auto"/>
          <w:szCs w:val="18"/>
        </w:rPr>
      </w:pPr>
    </w:p>
    <w:p w14:paraId="6F55F42A" w14:textId="55BE0D6C" w:rsidR="009D2A31" w:rsidRPr="003C2F64" w:rsidRDefault="009D2A31" w:rsidP="003C2F64">
      <w:pPr>
        <w:pStyle w:val="N-Bullet"/>
        <w:numPr>
          <w:ilvl w:val="0"/>
          <w:numId w:val="0"/>
        </w:numPr>
        <w:spacing w:line="276" w:lineRule="auto"/>
        <w:jc w:val="both"/>
        <w:rPr>
          <w:b/>
          <w:bCs/>
          <w:vertAlign w:val="superscript"/>
          <w:lang w:val="en-GB"/>
        </w:rPr>
      </w:pPr>
      <w:r w:rsidRPr="003C2F64">
        <w:rPr>
          <w:b/>
          <w:bCs/>
          <w:lang w:val="en-GB"/>
        </w:rPr>
        <w:t>Official Statistics Program 2022-2026</w:t>
      </w:r>
      <w:r w:rsidR="00200748" w:rsidRPr="001F151E">
        <w:rPr>
          <w:vertAlign w:val="superscript"/>
          <w:lang w:val="en-GB"/>
        </w:rPr>
        <w:footnoteReference w:id="4"/>
      </w:r>
    </w:p>
    <w:p w14:paraId="6A191FC0" w14:textId="40250716" w:rsidR="00261B5B" w:rsidRPr="001F151E" w:rsidRDefault="00261B5B" w:rsidP="002E6AB5">
      <w:pPr>
        <w:spacing w:line="276" w:lineRule="auto"/>
        <w:jc w:val="both"/>
        <w:rPr>
          <w:iCs/>
          <w:lang w:val="en-GB"/>
        </w:rPr>
      </w:pPr>
      <w:r w:rsidRPr="001F151E">
        <w:rPr>
          <w:lang w:val="en-GB"/>
        </w:rPr>
        <w:t xml:space="preserve">The "Official Statistics Program 2022-2026" of Albania, </w:t>
      </w:r>
      <w:r w:rsidR="002B52AD">
        <w:rPr>
          <w:lang w:val="en-GB"/>
        </w:rPr>
        <w:t>approved by the Assembly of the Republic of Albania with</w:t>
      </w:r>
      <w:r w:rsidRPr="001F151E">
        <w:rPr>
          <w:lang w:val="en-GB"/>
        </w:rPr>
        <w:t xml:space="preserve"> Law No. 30/2022, outlines the strategy for the development of official statistics over a five-year period. It focuses on enhancing the National Statistical System (NSS), integrating statistical activities into the European Statistical System, and ensuring quality and comprehensive data collection. The program aims to align with EU statistical standards, address specific user needs, and improve the efficiency, transparency, and quality of statistical processes and services. It also emphasizes modernizing data collection methods and integrating new statistical methodologies. In relation to PFM the OSP plans to </w:t>
      </w:r>
      <w:r w:rsidR="002B52AD">
        <w:rPr>
          <w:lang w:val="en-GB"/>
        </w:rPr>
        <w:t>improve</w:t>
      </w:r>
      <w:r w:rsidRPr="001F151E">
        <w:rPr>
          <w:lang w:val="en-GB"/>
        </w:rPr>
        <w:t xml:space="preserve"> macroeconomic statistics</w:t>
      </w:r>
      <w:r w:rsidR="002B52AD">
        <w:rPr>
          <w:lang w:val="en-GB"/>
        </w:rPr>
        <w:t xml:space="preserve"> including Government Financial Statistics and and Excessive Deficit Procedure Tables</w:t>
      </w:r>
      <w:r w:rsidRPr="001F151E">
        <w:rPr>
          <w:lang w:val="en-GB"/>
        </w:rPr>
        <w:t xml:space="preserve">, </w:t>
      </w:r>
      <w:r w:rsidR="002B52AD">
        <w:rPr>
          <w:lang w:val="en-GB"/>
        </w:rPr>
        <w:t xml:space="preserve">their </w:t>
      </w:r>
      <w:r w:rsidRPr="001F151E">
        <w:rPr>
          <w:lang w:val="en-GB"/>
        </w:rPr>
        <w:t xml:space="preserve">further harmonisation with the </w:t>
      </w:r>
      <w:r w:rsidR="00200748" w:rsidRPr="001F151E">
        <w:rPr>
          <w:iCs/>
          <w:lang w:val="en-GB"/>
        </w:rPr>
        <w:t xml:space="preserve">European system of accounts ESA 2010 </w:t>
      </w:r>
      <w:r w:rsidR="002B52AD">
        <w:rPr>
          <w:iCs/>
          <w:lang w:val="en-GB"/>
        </w:rPr>
        <w:t>through the</w:t>
      </w:r>
      <w:r w:rsidRPr="001F151E">
        <w:rPr>
          <w:iCs/>
          <w:lang w:val="en-GB"/>
        </w:rPr>
        <w:t xml:space="preserve"> expansion of the database for extra-budgetary units and their integration in the data system of the general government; </w:t>
      </w:r>
      <w:r w:rsidR="009A77C3" w:rsidRPr="001F151E">
        <w:rPr>
          <w:iCs/>
          <w:lang w:val="en-GB"/>
        </w:rPr>
        <w:t>i</w:t>
      </w:r>
      <w:r w:rsidRPr="001F151E">
        <w:rPr>
          <w:iCs/>
          <w:lang w:val="en-GB"/>
        </w:rPr>
        <w:t>ntegration of all units of the general government in the AGFIS system and the compilation of the balance sheets of government accounts in accordance with the international standards of public sector accounts (IPSAS).</w:t>
      </w:r>
    </w:p>
    <w:p w14:paraId="74DE8436" w14:textId="77777777" w:rsidR="00200748" w:rsidRPr="001F151E" w:rsidRDefault="00200748" w:rsidP="002E6AB5">
      <w:pPr>
        <w:spacing w:line="276" w:lineRule="auto"/>
        <w:jc w:val="both"/>
        <w:rPr>
          <w:lang w:val="en-GB"/>
        </w:rPr>
      </w:pPr>
    </w:p>
    <w:p w14:paraId="315FD5F4" w14:textId="49D08AAB" w:rsidR="00544C68" w:rsidRPr="001F151E" w:rsidRDefault="00544C68" w:rsidP="002E6AB5">
      <w:pPr>
        <w:spacing w:line="276" w:lineRule="auto"/>
        <w:jc w:val="both"/>
        <w:rPr>
          <w:lang w:val="en-GB"/>
        </w:rPr>
      </w:pPr>
      <w:r w:rsidRPr="001F151E">
        <w:rPr>
          <w:b/>
          <w:bCs/>
          <w:lang w:val="en-GB"/>
        </w:rPr>
        <w:t>United Nations 2030 agenda for Sustainable Development</w:t>
      </w:r>
    </w:p>
    <w:p w14:paraId="449FCC14" w14:textId="77777777" w:rsidR="00544C68" w:rsidRPr="001F151E" w:rsidRDefault="00544C68" w:rsidP="002E6AB5">
      <w:pPr>
        <w:spacing w:line="276" w:lineRule="auto"/>
        <w:jc w:val="both"/>
        <w:rPr>
          <w:lang w:val="en-GB"/>
        </w:rPr>
      </w:pPr>
      <w:r w:rsidRPr="001F151E">
        <w:rPr>
          <w:lang w:val="en-GB"/>
        </w:rPr>
        <w:t>The Government of Albania has adopted the sustainable development goals as agreed in the United Nations 2030 agenda for Sustainable Development. Effective management of public finances, or the ability of governments to efficiently collect revenues and spend them in an accountable and transparent manner, is essential for economic growth and increasing the resources needed to pursue national objectives which in turn are linked to the SDGs and thus the PFM reform agenda is in support of all adopted SDGs. The PFM strategy in particular contributes to SDG 17 Strengthen the means of implementation of the SDGs, Target 17.1 Strengthen domestic resource mobilization (improve domestic capacity for tax and other revenue collection).</w:t>
      </w:r>
    </w:p>
    <w:p w14:paraId="6C8E7D0A" w14:textId="77777777" w:rsidR="00544C68" w:rsidRPr="001F151E" w:rsidRDefault="00544C68" w:rsidP="002E6AB5">
      <w:pPr>
        <w:spacing w:line="276" w:lineRule="auto"/>
        <w:jc w:val="both"/>
        <w:rPr>
          <w:lang w:val="en-GB"/>
        </w:rPr>
      </w:pPr>
    </w:p>
    <w:p w14:paraId="13AA37A5" w14:textId="77777777" w:rsidR="00097914" w:rsidRPr="001F151E" w:rsidRDefault="00097914" w:rsidP="002E6AB5">
      <w:pPr>
        <w:spacing w:line="276" w:lineRule="auto"/>
        <w:jc w:val="both"/>
        <w:rPr>
          <w:lang w:val="en-GB"/>
        </w:rPr>
      </w:pPr>
    </w:p>
    <w:p w14:paraId="0451584B" w14:textId="573B88F2" w:rsidR="005901C8" w:rsidRPr="001F151E" w:rsidRDefault="005901C8" w:rsidP="002E6AB5">
      <w:pPr>
        <w:pStyle w:val="Heading2"/>
        <w:spacing w:line="276" w:lineRule="auto"/>
        <w:jc w:val="both"/>
        <w:rPr>
          <w:lang w:val="en-GB"/>
        </w:rPr>
      </w:pPr>
      <w:bookmarkStart w:id="12" w:name="_Toc163148006"/>
      <w:r w:rsidRPr="001F151E">
        <w:rPr>
          <w:lang w:val="en-GB"/>
        </w:rPr>
        <w:t>Complementary Strategies for PFM</w:t>
      </w:r>
      <w:r w:rsidR="007A742A" w:rsidRPr="001F151E">
        <w:rPr>
          <w:lang w:val="en-GB"/>
        </w:rPr>
        <w:t xml:space="preserve"> reform</w:t>
      </w:r>
      <w:bookmarkEnd w:id="12"/>
    </w:p>
    <w:p w14:paraId="408ABADA" w14:textId="77777777" w:rsidR="00097914" w:rsidRPr="001F151E" w:rsidRDefault="00097914" w:rsidP="002E6AB5">
      <w:pPr>
        <w:spacing w:line="276" w:lineRule="auto"/>
        <w:jc w:val="both"/>
        <w:rPr>
          <w:lang w:val="en-GB"/>
        </w:rPr>
      </w:pPr>
    </w:p>
    <w:p w14:paraId="4ABF1917" w14:textId="01EFE154" w:rsidR="00097914" w:rsidRPr="001F151E" w:rsidRDefault="00097914" w:rsidP="002E6AB5">
      <w:pPr>
        <w:spacing w:line="276" w:lineRule="auto"/>
        <w:jc w:val="both"/>
        <w:rPr>
          <w:lang w:val="en-GB"/>
        </w:rPr>
      </w:pPr>
      <w:r w:rsidRPr="001F151E">
        <w:rPr>
          <w:lang w:val="en-GB"/>
        </w:rPr>
        <w:t xml:space="preserve">In the domain of PFM, several complementary strategies are in place covering a specific sub area of PFM: </w:t>
      </w:r>
    </w:p>
    <w:p w14:paraId="1876B549" w14:textId="1ADADE33" w:rsidR="000C7935" w:rsidRPr="001F151E" w:rsidRDefault="000C7935" w:rsidP="002E6AB5">
      <w:pPr>
        <w:pStyle w:val="ListParagraph"/>
        <w:numPr>
          <w:ilvl w:val="0"/>
          <w:numId w:val="3"/>
        </w:numPr>
        <w:spacing w:line="276" w:lineRule="auto"/>
        <w:jc w:val="both"/>
        <w:rPr>
          <w:lang w:val="en-GB"/>
        </w:rPr>
      </w:pPr>
      <w:r w:rsidRPr="001F151E">
        <w:rPr>
          <w:lang w:val="en-GB"/>
        </w:rPr>
        <w:t>Medium Term Revenue Strategy</w:t>
      </w:r>
      <w:r w:rsidR="00EC43EB" w:rsidRPr="001F151E">
        <w:rPr>
          <w:lang w:val="en-GB"/>
        </w:rPr>
        <w:t xml:space="preserve"> (MTRS)</w:t>
      </w:r>
      <w:r w:rsidRPr="001F151E">
        <w:rPr>
          <w:lang w:val="en-GB"/>
        </w:rPr>
        <w:t xml:space="preserve"> 2022-2026 </w:t>
      </w:r>
    </w:p>
    <w:p w14:paraId="6A282714" w14:textId="77777777" w:rsidR="000C7935" w:rsidRPr="001F151E" w:rsidRDefault="000C7935" w:rsidP="002E6AB5">
      <w:pPr>
        <w:pStyle w:val="ListParagraph"/>
        <w:numPr>
          <w:ilvl w:val="0"/>
          <w:numId w:val="3"/>
        </w:numPr>
        <w:spacing w:line="276" w:lineRule="auto"/>
        <w:jc w:val="both"/>
        <w:rPr>
          <w:lang w:val="en-GB"/>
        </w:rPr>
      </w:pPr>
      <w:r w:rsidRPr="001F151E">
        <w:rPr>
          <w:lang w:val="en-GB"/>
        </w:rPr>
        <w:t>Business Strategy of the Albanian Customs Administration 2023-2027</w:t>
      </w:r>
    </w:p>
    <w:p w14:paraId="5CF580C0" w14:textId="279D0F6B" w:rsidR="00C94B3B" w:rsidRPr="001F151E" w:rsidRDefault="00C94B3B" w:rsidP="002E6AB5">
      <w:pPr>
        <w:pStyle w:val="N-Bullet"/>
        <w:numPr>
          <w:ilvl w:val="0"/>
          <w:numId w:val="3"/>
        </w:numPr>
        <w:spacing w:line="276" w:lineRule="auto"/>
        <w:jc w:val="both"/>
        <w:rPr>
          <w:lang w:val="en-GB"/>
        </w:rPr>
      </w:pPr>
      <w:r w:rsidRPr="001F151E">
        <w:rPr>
          <w:lang w:val="en-GB"/>
        </w:rPr>
        <w:t>Medium Term Debt Management Strategy</w:t>
      </w:r>
      <w:r w:rsidR="00EC43EB" w:rsidRPr="001F151E">
        <w:rPr>
          <w:lang w:val="en-GB"/>
        </w:rPr>
        <w:t xml:space="preserve"> (MTDMS)</w:t>
      </w:r>
      <w:r w:rsidRPr="001F151E">
        <w:rPr>
          <w:lang w:val="en-GB"/>
        </w:rPr>
        <w:t xml:space="preserve"> 2022-2026</w:t>
      </w:r>
    </w:p>
    <w:p w14:paraId="16B1AF08" w14:textId="6A14762E" w:rsidR="000C7935" w:rsidRPr="001F151E" w:rsidRDefault="000C7935" w:rsidP="002E6AB5">
      <w:pPr>
        <w:pStyle w:val="N-Bullet"/>
        <w:numPr>
          <w:ilvl w:val="0"/>
          <w:numId w:val="3"/>
        </w:numPr>
        <w:spacing w:line="276" w:lineRule="auto"/>
        <w:jc w:val="both"/>
        <w:rPr>
          <w:lang w:val="en-GB"/>
        </w:rPr>
      </w:pPr>
      <w:r w:rsidRPr="001F151E">
        <w:rPr>
          <w:lang w:val="en-GB"/>
        </w:rPr>
        <w:t>National Strategy for Public Procurement</w:t>
      </w:r>
      <w:r w:rsidR="00EC43EB" w:rsidRPr="001F151E">
        <w:rPr>
          <w:lang w:val="en-GB"/>
        </w:rPr>
        <w:t xml:space="preserve"> (NSPP)</w:t>
      </w:r>
      <w:r w:rsidRPr="001F151E">
        <w:rPr>
          <w:lang w:val="en-GB"/>
        </w:rPr>
        <w:t xml:space="preserve"> 2020-2023</w:t>
      </w:r>
    </w:p>
    <w:p w14:paraId="2C604C09" w14:textId="77777777" w:rsidR="009111FF" w:rsidRPr="001F151E" w:rsidRDefault="009111FF" w:rsidP="002E6AB5">
      <w:pPr>
        <w:pStyle w:val="ListParagraph"/>
        <w:numPr>
          <w:ilvl w:val="0"/>
          <w:numId w:val="3"/>
        </w:numPr>
        <w:spacing w:line="276" w:lineRule="auto"/>
        <w:jc w:val="both"/>
        <w:rPr>
          <w:lang w:val="en-GB"/>
        </w:rPr>
      </w:pPr>
      <w:r w:rsidRPr="001F151E">
        <w:rPr>
          <w:lang w:val="en-GB"/>
        </w:rPr>
        <w:t>Public Sector Accounting Country Strategy and Action Plan</w:t>
      </w:r>
    </w:p>
    <w:p w14:paraId="77A7FA53" w14:textId="565A6CA2" w:rsidR="00097914" w:rsidRPr="001F151E" w:rsidRDefault="00575958" w:rsidP="002E6AB5">
      <w:pPr>
        <w:pStyle w:val="ListParagraph"/>
        <w:numPr>
          <w:ilvl w:val="0"/>
          <w:numId w:val="3"/>
        </w:numPr>
        <w:spacing w:line="276" w:lineRule="auto"/>
        <w:jc w:val="both"/>
        <w:rPr>
          <w:lang w:val="en-GB"/>
        </w:rPr>
      </w:pPr>
      <w:r w:rsidRPr="001F151E">
        <w:rPr>
          <w:lang w:val="en-GB"/>
        </w:rPr>
        <w:t>Development Strategy Albania Supreme Audit Institution 2023-2027</w:t>
      </w:r>
    </w:p>
    <w:p w14:paraId="0B1FBE8F" w14:textId="77777777" w:rsidR="00575958" w:rsidRPr="001F151E" w:rsidRDefault="00575958" w:rsidP="002E6AB5">
      <w:pPr>
        <w:spacing w:line="276" w:lineRule="auto"/>
        <w:jc w:val="both"/>
        <w:rPr>
          <w:lang w:val="en-GB"/>
        </w:rPr>
      </w:pPr>
    </w:p>
    <w:p w14:paraId="1D2C98FE" w14:textId="301D50BE" w:rsidR="00097914" w:rsidRPr="001F151E" w:rsidRDefault="00097914" w:rsidP="002E6AB5">
      <w:pPr>
        <w:spacing w:line="276" w:lineRule="auto"/>
        <w:jc w:val="both"/>
        <w:rPr>
          <w:lang w:val="en-GB"/>
        </w:rPr>
      </w:pPr>
      <w:r w:rsidRPr="001F151E">
        <w:rPr>
          <w:lang w:val="en-GB"/>
        </w:rPr>
        <w:t xml:space="preserve">These </w:t>
      </w:r>
      <w:r w:rsidR="009111FF" w:rsidRPr="001F151E">
        <w:rPr>
          <w:lang w:val="en-GB"/>
        </w:rPr>
        <w:t xml:space="preserve">complementary </w:t>
      </w:r>
      <w:r w:rsidRPr="001F151E">
        <w:rPr>
          <w:lang w:val="en-GB"/>
        </w:rPr>
        <w:t xml:space="preserve">strategies form an integral part of the overall PFM sectoral strategy 2023-2030 and its monitoring framework. Whenever relevant, objectives, measures, activities, milestones and performance indicators from these strategies are integrated into the sectoral strategy 2023-2030. </w:t>
      </w:r>
    </w:p>
    <w:p w14:paraId="4671EF18" w14:textId="77777777" w:rsidR="007E2B4E" w:rsidRPr="001F151E" w:rsidRDefault="007E2B4E" w:rsidP="002E6AB5">
      <w:pPr>
        <w:spacing w:line="276" w:lineRule="auto"/>
        <w:jc w:val="both"/>
        <w:rPr>
          <w:lang w:val="en-GB"/>
        </w:rPr>
      </w:pPr>
    </w:p>
    <w:p w14:paraId="7CF347E1" w14:textId="2E64EDE2" w:rsidR="007A742A" w:rsidRPr="001F151E" w:rsidRDefault="007A742A" w:rsidP="002E6AB5">
      <w:pPr>
        <w:spacing w:line="276" w:lineRule="auto"/>
        <w:jc w:val="both"/>
        <w:rPr>
          <w:b/>
          <w:bCs/>
          <w:lang w:val="en-GB"/>
        </w:rPr>
      </w:pPr>
      <w:r w:rsidRPr="001F151E">
        <w:rPr>
          <w:b/>
          <w:bCs/>
          <w:lang w:val="en-GB"/>
        </w:rPr>
        <w:t>Medium Term Revenue Strategy 2022-2026</w:t>
      </w:r>
    </w:p>
    <w:p w14:paraId="1C1977A1" w14:textId="782C0214" w:rsidR="007A742A" w:rsidRPr="001F151E" w:rsidRDefault="007A742A" w:rsidP="002E6AB5">
      <w:pPr>
        <w:spacing w:line="276" w:lineRule="auto"/>
        <w:jc w:val="both"/>
        <w:rPr>
          <w:bCs/>
          <w:lang w:val="en-GB"/>
        </w:rPr>
      </w:pPr>
      <w:r w:rsidRPr="001F151E">
        <w:rPr>
          <w:lang w:val="en-GB"/>
        </w:rPr>
        <w:t xml:space="preserve">Albania has drawn up the Medium-Term Revenue Strategy (MTRS) 2022-2026 and as of January 2022, the implementation of the outlined measures is underway. </w:t>
      </w:r>
      <w:r w:rsidRPr="001F151E">
        <w:rPr>
          <w:bCs/>
          <w:lang w:val="en-GB"/>
        </w:rPr>
        <w:t xml:space="preserve">The Strategy is a high-level road map for tax system reform, </w:t>
      </w:r>
      <w:r w:rsidRPr="001F151E">
        <w:rPr>
          <w:bCs/>
          <w:lang w:val="en-GB"/>
        </w:rPr>
        <w:lastRenderedPageBreak/>
        <w:t xml:space="preserve">over the medium-term, needed to help finance the government’s strategic objectives. The strategy reflects the reforms in the field of tax policies and tax and customs administration that are expected to be undertaken during this five-year period, with the aim of improving fiscal policies, increasing tax revenues and the effectiveness of the tax and customs administration in their collection. In the same spirit are prepared Components 3.1 and 3.3 (part of </w:t>
      </w:r>
      <w:r w:rsidR="00F763CA">
        <w:rPr>
          <w:bCs/>
          <w:lang w:val="en-GB"/>
        </w:rPr>
        <w:t>Pillar</w:t>
      </w:r>
      <w:r w:rsidRPr="001F151E">
        <w:rPr>
          <w:bCs/>
          <w:lang w:val="en-GB"/>
        </w:rPr>
        <w:t xml:space="preserve"> 3 </w:t>
      </w:r>
      <w:r w:rsidR="00F763CA">
        <w:rPr>
          <w:bCs/>
          <w:lang w:val="en-GB"/>
        </w:rPr>
        <w:t>revenue Mobilization and M</w:t>
      </w:r>
      <w:r w:rsidRPr="001F151E">
        <w:rPr>
          <w:bCs/>
          <w:lang w:val="en-GB"/>
        </w:rPr>
        <w:t>anagement) where measures aiming to enhance revenue mobilization are developed.</w:t>
      </w:r>
    </w:p>
    <w:p w14:paraId="2D94A4DF" w14:textId="77777777" w:rsidR="007E2B4E" w:rsidRPr="001F151E" w:rsidRDefault="007E2B4E" w:rsidP="002E6AB5">
      <w:pPr>
        <w:spacing w:line="276" w:lineRule="auto"/>
        <w:jc w:val="both"/>
        <w:rPr>
          <w:b/>
          <w:bCs/>
          <w:lang w:val="en-GB"/>
        </w:rPr>
      </w:pPr>
    </w:p>
    <w:p w14:paraId="2C7E8B57" w14:textId="4C9304EF" w:rsidR="007E2B4E" w:rsidRPr="001F151E" w:rsidRDefault="007E2B4E" w:rsidP="002E6AB5">
      <w:pPr>
        <w:spacing w:line="276" w:lineRule="auto"/>
        <w:jc w:val="both"/>
        <w:rPr>
          <w:b/>
          <w:bCs/>
          <w:lang w:val="en-GB"/>
        </w:rPr>
      </w:pPr>
      <w:r w:rsidRPr="001F151E">
        <w:rPr>
          <w:b/>
          <w:bCs/>
          <w:lang w:val="en-GB"/>
        </w:rPr>
        <w:t>Business Strategy of the Albanian Customs Administration 2023-2027</w:t>
      </w:r>
    </w:p>
    <w:p w14:paraId="4DCABCEA" w14:textId="77777777" w:rsidR="007A742A" w:rsidRPr="001F151E" w:rsidRDefault="007A742A" w:rsidP="002E6AB5">
      <w:pPr>
        <w:spacing w:line="276" w:lineRule="auto"/>
        <w:jc w:val="both"/>
        <w:rPr>
          <w:b/>
          <w:bCs/>
          <w:lang w:val="en-GB"/>
        </w:rPr>
      </w:pPr>
      <w:r w:rsidRPr="001F151E">
        <w:rPr>
          <w:lang w:val="en-GB"/>
        </w:rPr>
        <w:t xml:space="preserve">The PFM strategy is aligned also with the draft Business Strategy of the Albanian Customs Administration 2023-2027. The Strategy is designed to guide the activities of the ACA in the period from 2023 till 2027 in achieving its mission and vision. The ACA strategy focuses on several key areas, including legislative modernization, trade facilitation, contribution to safety and security of the society, better safeguard health of the citizens and protect environment, capacity building and modernization of administration and IT development. It aims to create a modern and efficient customs administration fully in line with EU standards and best practices that is capable of meeting the needs of the business community while effectively enforcing customs laws and regulations. </w:t>
      </w:r>
    </w:p>
    <w:p w14:paraId="3F03FF90" w14:textId="77777777" w:rsidR="007E2B4E" w:rsidRPr="001F151E" w:rsidRDefault="007E2B4E" w:rsidP="002E6AB5">
      <w:pPr>
        <w:spacing w:line="276" w:lineRule="auto"/>
        <w:jc w:val="both"/>
        <w:rPr>
          <w:b/>
          <w:bCs/>
          <w:lang w:val="en-GB"/>
        </w:rPr>
      </w:pPr>
    </w:p>
    <w:p w14:paraId="626AB5C3" w14:textId="15F0A913" w:rsidR="0060231D" w:rsidRPr="001F151E" w:rsidRDefault="007E2B4E" w:rsidP="002E6AB5">
      <w:pPr>
        <w:pStyle w:val="N-Bullet"/>
        <w:numPr>
          <w:ilvl w:val="0"/>
          <w:numId w:val="0"/>
        </w:numPr>
        <w:spacing w:line="276" w:lineRule="auto"/>
        <w:jc w:val="both"/>
        <w:rPr>
          <w:lang w:val="en-GB"/>
        </w:rPr>
      </w:pPr>
      <w:r w:rsidRPr="001F151E">
        <w:rPr>
          <w:b/>
          <w:bCs/>
          <w:lang w:val="en-GB"/>
        </w:rPr>
        <w:t>National Strategy for Public Procurement 2020-2023</w:t>
      </w:r>
      <w:r w:rsidRPr="001F151E">
        <w:rPr>
          <w:lang w:val="en-GB"/>
        </w:rPr>
        <w:t xml:space="preserve"> </w:t>
      </w:r>
    </w:p>
    <w:p w14:paraId="1DCD02F5" w14:textId="1FD62D71" w:rsidR="007A742A" w:rsidRPr="001F151E" w:rsidRDefault="007A742A" w:rsidP="002E6AB5">
      <w:pPr>
        <w:spacing w:line="276" w:lineRule="auto"/>
        <w:jc w:val="both"/>
        <w:rPr>
          <w:rStyle w:val="jlqj4b"/>
          <w:rFonts w:cstheme="majorHAnsi"/>
          <w:szCs w:val="24"/>
          <w:lang w:val="en-GB"/>
        </w:rPr>
      </w:pPr>
      <w:r w:rsidRPr="001F151E">
        <w:rPr>
          <w:lang w:val="en-GB"/>
        </w:rPr>
        <w:t xml:space="preserve">There is currently a National Strategy for Public Procurement 2020-2023 and the government is planning to adopt a new Public Procurement strategy to further align with PFM strategy. The Procurement Strategy lays out a comprehensive set of activities in the field of public contracts, concessions and public-private partnerships (PPPs) for both the legal and institutional framework to be undertaken in 2020-2023. </w:t>
      </w:r>
      <w:r w:rsidRPr="001F151E">
        <w:rPr>
          <w:rStyle w:val="jlqj4b"/>
          <w:lang w:val="en-GB"/>
        </w:rPr>
        <w:t>Taking into account the main areas of intervention, which are part of the procurement, the Strategy is organized in five main pillars: (1) efficient and sustainable public procurement; (2) improvement of the legal and institutional framework for concessions and public-private partnership; (3) reorganizing of procurements in the field of defense and security; (4) centrali</w:t>
      </w:r>
      <w:r w:rsidR="00505C7E" w:rsidRPr="001F151E">
        <w:rPr>
          <w:rStyle w:val="jlqj4b"/>
          <w:lang w:val="en-GB"/>
        </w:rPr>
        <w:t>s</w:t>
      </w:r>
      <w:r w:rsidRPr="001F151E">
        <w:rPr>
          <w:rStyle w:val="jlqj4b"/>
          <w:lang w:val="en-GB"/>
        </w:rPr>
        <w:t xml:space="preserve">ed purchasing; (5) improvement of the complaint review system. </w:t>
      </w:r>
      <w:r w:rsidR="009A77C3" w:rsidRPr="001F151E">
        <w:rPr>
          <w:rStyle w:val="jlqj4b"/>
          <w:lang w:val="en-GB"/>
        </w:rPr>
        <w:t xml:space="preserve">Pillar 2 and 5 of this Strategy are linked with the </w:t>
      </w:r>
      <w:r w:rsidR="000D116D">
        <w:rPr>
          <w:lang w:val="en-GB"/>
        </w:rPr>
        <w:t>Pillar</w:t>
      </w:r>
      <w:r w:rsidR="009A77C3" w:rsidRPr="001F151E">
        <w:rPr>
          <w:lang w:val="en-GB"/>
        </w:rPr>
        <w:t xml:space="preserve"> 4 (Component 4.</w:t>
      </w:r>
      <w:r w:rsidR="000D116D">
        <w:rPr>
          <w:lang w:val="en-GB"/>
        </w:rPr>
        <w:t>3</w:t>
      </w:r>
      <w:r w:rsidR="009A77C3" w:rsidRPr="001F151E">
        <w:rPr>
          <w:lang w:val="en-GB"/>
        </w:rPr>
        <w:t>)</w:t>
      </w:r>
      <w:r w:rsidR="009A77C3" w:rsidRPr="001F151E">
        <w:rPr>
          <w:rStyle w:val="jlqj4b"/>
          <w:lang w:val="en-GB"/>
        </w:rPr>
        <w:t xml:space="preserve"> the PFM Strategy</w:t>
      </w:r>
    </w:p>
    <w:p w14:paraId="2196BD3F" w14:textId="77777777" w:rsidR="00097914" w:rsidRPr="001F151E" w:rsidRDefault="00097914" w:rsidP="002E6AB5">
      <w:pPr>
        <w:spacing w:line="276" w:lineRule="auto"/>
        <w:jc w:val="both"/>
        <w:rPr>
          <w:lang w:val="en-GB"/>
        </w:rPr>
      </w:pPr>
    </w:p>
    <w:p w14:paraId="72F12C32" w14:textId="3358A32F" w:rsidR="0060231D" w:rsidRPr="001F151E" w:rsidRDefault="00097914" w:rsidP="002E6AB5">
      <w:pPr>
        <w:spacing w:line="276" w:lineRule="auto"/>
        <w:jc w:val="both"/>
        <w:rPr>
          <w:b/>
          <w:bCs/>
          <w:lang w:val="en-GB"/>
        </w:rPr>
      </w:pPr>
      <w:r w:rsidRPr="001F151E">
        <w:rPr>
          <w:b/>
          <w:bCs/>
          <w:lang w:val="en-GB"/>
        </w:rPr>
        <w:t>Medium Term Debt Management Strategy</w:t>
      </w:r>
      <w:r w:rsidR="007E2B4E" w:rsidRPr="001F151E">
        <w:rPr>
          <w:b/>
          <w:bCs/>
          <w:lang w:val="en-GB"/>
        </w:rPr>
        <w:t xml:space="preserve"> </w:t>
      </w:r>
      <w:r w:rsidRPr="001F151E">
        <w:rPr>
          <w:b/>
          <w:bCs/>
          <w:lang w:val="en-GB"/>
        </w:rPr>
        <w:t>2022-2026</w:t>
      </w:r>
    </w:p>
    <w:p w14:paraId="61AA01E6" w14:textId="2E778498" w:rsidR="007A742A" w:rsidRPr="001F151E" w:rsidRDefault="007A742A" w:rsidP="002E6AB5">
      <w:pPr>
        <w:spacing w:line="276" w:lineRule="auto"/>
        <w:jc w:val="both"/>
        <w:rPr>
          <w:lang w:val="en-GB"/>
        </w:rPr>
      </w:pPr>
      <w:r w:rsidRPr="001F151E">
        <w:rPr>
          <w:lang w:val="en-GB"/>
        </w:rPr>
        <w:t xml:space="preserve">During 2022, the Ministry of Finance and Economy adopted the Medium Term Debt Management Strategy (MTDS) 2022-2026 aiming to outline the financing plans and the activities that will be undertaken in the medium term to ensure effective management of the public debt. The MTDMS has as main objectives: (i) to meet the government’s needs in a timely manner, including the need to service the current debt at the lowest possible cost while maintaining acceptable risk exposure levels; (ii) to improve and sustain primary market efficiency, supported by further development of the secondary market; (iii) Development of the government securities market; (iv) Drafting and publication of an annual borrowing plan; (v) Assessment of potential use of new alternative financing sources (Green, Social, etc.). The MTDMS is aligned with the </w:t>
      </w:r>
      <w:r w:rsidR="000D116D">
        <w:rPr>
          <w:lang w:val="en-GB"/>
        </w:rPr>
        <w:t>Pillar</w:t>
      </w:r>
      <w:r w:rsidRPr="001F151E">
        <w:rPr>
          <w:lang w:val="en-GB"/>
        </w:rPr>
        <w:t>4 (Component 4.</w:t>
      </w:r>
      <w:r w:rsidR="000D116D">
        <w:rPr>
          <w:lang w:val="en-GB"/>
        </w:rPr>
        <w:t>4</w:t>
      </w:r>
      <w:r w:rsidRPr="001F151E">
        <w:rPr>
          <w:lang w:val="en-GB"/>
        </w:rPr>
        <w:t xml:space="preserve">). </w:t>
      </w:r>
    </w:p>
    <w:p w14:paraId="6B891CF7" w14:textId="77777777" w:rsidR="00BB2BD0" w:rsidRPr="001F151E" w:rsidRDefault="00BB2BD0" w:rsidP="002E6AB5">
      <w:pPr>
        <w:spacing w:line="276" w:lineRule="auto"/>
        <w:jc w:val="both"/>
        <w:rPr>
          <w:lang w:val="en-GB"/>
        </w:rPr>
      </w:pPr>
    </w:p>
    <w:p w14:paraId="70040A3E" w14:textId="77777777" w:rsidR="007A742A" w:rsidRPr="001F151E" w:rsidRDefault="007A742A" w:rsidP="002E6AB5">
      <w:pPr>
        <w:spacing w:line="276" w:lineRule="auto"/>
        <w:jc w:val="both"/>
        <w:rPr>
          <w:b/>
          <w:bCs/>
          <w:lang w:val="en-GB"/>
        </w:rPr>
      </w:pPr>
      <w:r w:rsidRPr="001F151E">
        <w:rPr>
          <w:b/>
          <w:bCs/>
          <w:lang w:val="en-GB"/>
        </w:rPr>
        <w:t>Public Sector Accounting Country Strategy and Action Plan</w:t>
      </w:r>
    </w:p>
    <w:p w14:paraId="26B162F9" w14:textId="5EB155B9" w:rsidR="007A742A" w:rsidRPr="001F151E" w:rsidRDefault="007A742A" w:rsidP="002E6AB5">
      <w:pPr>
        <w:spacing w:line="276" w:lineRule="auto"/>
        <w:jc w:val="both"/>
        <w:rPr>
          <w:bCs/>
          <w:lang w:val="en-GB"/>
        </w:rPr>
      </w:pPr>
      <w:r w:rsidRPr="001F151E">
        <w:rPr>
          <w:lang w:val="en-GB"/>
        </w:rPr>
        <w:t xml:space="preserve">The Country Strategy and Action Plan (CSAP) for Public Sector Accounting and Financial Reporting has been finalized and approved by the Steering Committee in October 2019, providing strategic guidance on the implementation of IPSAS over medium to long term. The Public Sector Accounting (PSA) reforms represent ambitious initiatives, particularly within the context of Albania. Successful implementation demands the allocation of significant resources—both financial and human—as well as meticulous planning and coordination. Some main tasks of the CSAP are: (i) review and establish legal framework to facilitate adoption and preparation of public sector financial statements on an accrual basis; (ii) capacity building programme; (iii) prepare for IPSAS adoption, (iv) establish effective Governance frameworks necessary to underpin successful IPSAS implementation and public sector financial reporting on an accrual basis; (v) IPSAS rollout combined with the rollout of the new AGFIS system; (vi) Develop Preparation and presentation of financial statements and some other tasks. Some of the activities planned until 2026 are included in the PFM Strategy, under </w:t>
      </w:r>
      <w:r w:rsidR="000D116D">
        <w:rPr>
          <w:lang w:val="en-GB"/>
        </w:rPr>
        <w:t>Pillar</w:t>
      </w:r>
      <w:r w:rsidRPr="001F151E">
        <w:rPr>
          <w:lang w:val="en-GB"/>
        </w:rPr>
        <w:t xml:space="preserve"> 4, Component 4.</w:t>
      </w:r>
      <w:r w:rsidR="000D116D">
        <w:rPr>
          <w:lang w:val="en-GB"/>
        </w:rPr>
        <w:t>2</w:t>
      </w:r>
      <w:r w:rsidRPr="001F151E">
        <w:rPr>
          <w:bCs/>
          <w:lang w:val="en-GB"/>
        </w:rPr>
        <w:t>.</w:t>
      </w:r>
    </w:p>
    <w:p w14:paraId="6EB9FBF6" w14:textId="77777777" w:rsidR="007A742A" w:rsidRPr="001F151E" w:rsidRDefault="007A742A" w:rsidP="002E6AB5">
      <w:pPr>
        <w:spacing w:line="276" w:lineRule="auto"/>
        <w:jc w:val="both"/>
        <w:rPr>
          <w:lang w:val="en-GB"/>
        </w:rPr>
      </w:pPr>
    </w:p>
    <w:p w14:paraId="7F5ED381" w14:textId="77777777" w:rsidR="007A742A" w:rsidRPr="001F151E" w:rsidRDefault="007A742A" w:rsidP="002E6AB5">
      <w:pPr>
        <w:spacing w:line="276" w:lineRule="auto"/>
        <w:jc w:val="both"/>
        <w:rPr>
          <w:lang w:val="en-GB"/>
        </w:rPr>
      </w:pPr>
      <w:r w:rsidRPr="001F151E">
        <w:rPr>
          <w:b/>
          <w:bCs/>
          <w:lang w:val="en-GB"/>
        </w:rPr>
        <w:t>Development Strategy Albania Supreme Audit Institution 2023-2027</w:t>
      </w:r>
      <w:r w:rsidRPr="001F151E">
        <w:rPr>
          <w:lang w:val="en-GB"/>
        </w:rPr>
        <w:t xml:space="preserve"> </w:t>
      </w:r>
    </w:p>
    <w:p w14:paraId="1583686E" w14:textId="14B7355A" w:rsidR="009C3A40" w:rsidRPr="00F22823" w:rsidRDefault="007A742A" w:rsidP="00F22823">
      <w:pPr>
        <w:spacing w:line="276" w:lineRule="auto"/>
        <w:jc w:val="both"/>
        <w:rPr>
          <w:rStyle w:val="IntenseReference"/>
          <w:i w:val="0"/>
          <w:color w:val="auto"/>
          <w:lang w:val="en-GB"/>
        </w:rPr>
      </w:pPr>
      <w:r w:rsidRPr="001F151E">
        <w:rPr>
          <w:lang w:val="en-GB"/>
        </w:rPr>
        <w:t xml:space="preserve">The development strategy of ALSAI aims to further develop ALSAI in conformity with the values, principles and standards set by the INTOSAI community. The strategy formulates three strategic objectives: (i) Increasing and improving the role of the ALSAI as a supporter of the Parliament for effective accountability, careful and in-depth examination of entities that use public funds; (ii) Increasing the impact of audit work on good governance, through improving the level of implementation of recommendations and (iii) Optimizing professional capacities to acquire innovative knowledge in audit work. </w:t>
      </w:r>
      <w:r w:rsidR="009A77C3" w:rsidRPr="001F151E">
        <w:rPr>
          <w:lang w:val="en-GB"/>
        </w:rPr>
        <w:t>The ALSAI Strategy is linked with the Specific Objective 6 of the PFM Strategy.</w:t>
      </w:r>
      <w:bookmarkStart w:id="13" w:name="_Hlk151411446"/>
    </w:p>
    <w:p w14:paraId="0D478242" w14:textId="1DDD6DBD" w:rsidR="00096B2B" w:rsidRPr="001F151E" w:rsidRDefault="00096B2B" w:rsidP="003D4676">
      <w:pPr>
        <w:pStyle w:val="Heading1"/>
        <w:rPr>
          <w:rStyle w:val="IntenseReference"/>
          <w:rFonts w:eastAsiaTheme="majorEastAsia" w:cstheme="majorBidi"/>
          <w:i w:val="0"/>
          <w:sz w:val="26"/>
          <w:szCs w:val="26"/>
          <w:lang w:val="en-GB"/>
        </w:rPr>
      </w:pPr>
      <w:bookmarkStart w:id="14" w:name="_Toc163148007"/>
      <w:r w:rsidRPr="001F151E">
        <w:rPr>
          <w:rStyle w:val="IntenseReference"/>
          <w:rFonts w:eastAsiaTheme="majorEastAsia" w:cstheme="majorBidi"/>
          <w:i w:val="0"/>
          <w:sz w:val="26"/>
          <w:szCs w:val="26"/>
          <w:lang w:val="en-GB"/>
        </w:rPr>
        <w:lastRenderedPageBreak/>
        <w:t xml:space="preserve">Pillar 1: </w:t>
      </w:r>
      <w:r w:rsidR="00A07044" w:rsidRPr="001F151E">
        <w:rPr>
          <w:rStyle w:val="IntenseReference"/>
          <w:rFonts w:cstheme="majorBidi"/>
          <w:sz w:val="26"/>
          <w:szCs w:val="26"/>
          <w:lang w:val="en-GB"/>
        </w:rPr>
        <w:t xml:space="preserve"> </w:t>
      </w:r>
      <w:r w:rsidR="00A07044" w:rsidRPr="00A07044">
        <w:rPr>
          <w:rStyle w:val="IntenseReference"/>
          <w:rFonts w:eastAsiaTheme="majorEastAsia" w:cstheme="majorBidi"/>
          <w:i w:val="0"/>
          <w:sz w:val="26"/>
          <w:szCs w:val="26"/>
          <w:lang w:val="en-GB"/>
        </w:rPr>
        <w:t>Macroeconomic programming and Risk Monitoring</w:t>
      </w:r>
      <w:bookmarkEnd w:id="14"/>
    </w:p>
    <w:p w14:paraId="32897099" w14:textId="77777777" w:rsidR="00D209D0" w:rsidRPr="001F151E" w:rsidRDefault="00D209D0" w:rsidP="00D209D0">
      <w:pPr>
        <w:rPr>
          <w:lang w:val="en-GB"/>
        </w:rPr>
      </w:pPr>
    </w:p>
    <w:p w14:paraId="6B6DE13B" w14:textId="77777777" w:rsidR="0054169C" w:rsidRPr="001F151E" w:rsidRDefault="0054169C" w:rsidP="00D209D0">
      <w:pPr>
        <w:rPr>
          <w:lang w:val="en-GB"/>
        </w:rPr>
      </w:pPr>
    </w:p>
    <w:p w14:paraId="38D18690" w14:textId="77777777" w:rsidR="008476F3" w:rsidRPr="001F151E" w:rsidRDefault="008476F3" w:rsidP="00C96708">
      <w:pPr>
        <w:pStyle w:val="Heading2"/>
        <w:rPr>
          <w:lang w:val="en-GB"/>
        </w:rPr>
      </w:pPr>
      <w:bookmarkStart w:id="15" w:name="_Toc163148008"/>
      <w:r w:rsidRPr="001F151E">
        <w:rPr>
          <w:lang w:val="en-GB"/>
        </w:rPr>
        <w:t>Introduction</w:t>
      </w:r>
      <w:bookmarkEnd w:id="15"/>
    </w:p>
    <w:p w14:paraId="5924122F" w14:textId="77777777" w:rsidR="008476F3" w:rsidRPr="001F151E" w:rsidRDefault="008476F3" w:rsidP="008476F3">
      <w:pPr>
        <w:rPr>
          <w:lang w:val="en-GB"/>
        </w:rPr>
      </w:pPr>
    </w:p>
    <w:p w14:paraId="16A68E79" w14:textId="0E0C9A22" w:rsidR="009111FF" w:rsidRPr="001F151E" w:rsidRDefault="00A07044" w:rsidP="00634E17">
      <w:pPr>
        <w:rPr>
          <w:lang w:val="en-GB"/>
        </w:rPr>
      </w:pPr>
      <w:r w:rsidRPr="00A81790">
        <w:rPr>
          <w:lang w:val="en-GB"/>
        </w:rPr>
        <w:t xml:space="preserve">Specific Objective </w:t>
      </w:r>
      <w:r w:rsidR="00153874">
        <w:rPr>
          <w:lang w:val="en-GB"/>
        </w:rPr>
        <w:t xml:space="preserve">of pillar </w:t>
      </w:r>
      <w:r w:rsidRPr="00A81790">
        <w:rPr>
          <w:lang w:val="en-GB"/>
        </w:rPr>
        <w:t>1</w:t>
      </w:r>
      <w:r w:rsidR="00153874">
        <w:rPr>
          <w:lang w:val="en-GB"/>
        </w:rPr>
        <w:t xml:space="preserve"> is </w:t>
      </w:r>
      <w:r w:rsidRPr="00A81790">
        <w:rPr>
          <w:lang w:val="en-GB"/>
        </w:rPr>
        <w:t xml:space="preserve">“Macroeconomic programming and risk monitoring” </w:t>
      </w:r>
      <w:r w:rsidR="00153874">
        <w:rPr>
          <w:lang w:val="en-GB"/>
        </w:rPr>
        <w:t>and cover</w:t>
      </w:r>
      <w:r w:rsidRPr="00A81790">
        <w:rPr>
          <w:lang w:val="en-GB"/>
        </w:rPr>
        <w:t xml:space="preserve"> the components </w:t>
      </w:r>
      <w:r w:rsidR="00634E17" w:rsidRPr="00A81790">
        <w:rPr>
          <w:lang w:val="en-GB"/>
        </w:rPr>
        <w:t xml:space="preserve">of </w:t>
      </w:r>
      <w:r w:rsidR="00634E17">
        <w:rPr>
          <w:lang w:val="en-GB"/>
        </w:rPr>
        <w:t>prudent and realistic macro-economic programming</w:t>
      </w:r>
      <w:r w:rsidR="00634E17" w:rsidRPr="00A81790">
        <w:rPr>
          <w:lang w:val="en-GB"/>
        </w:rPr>
        <w:t xml:space="preserve">, </w:t>
      </w:r>
      <w:r w:rsidR="00634E17">
        <w:rPr>
          <w:lang w:val="en-GB"/>
        </w:rPr>
        <w:t>establishing a comprehensive Debt Sustainability Analysis, fiscal risk management and fiscal oversight.</w:t>
      </w:r>
    </w:p>
    <w:p w14:paraId="6A2683E8" w14:textId="77777777" w:rsidR="00293628" w:rsidRPr="001F151E" w:rsidRDefault="00293628" w:rsidP="002E6AB5">
      <w:pPr>
        <w:pStyle w:val="H5"/>
        <w:spacing w:line="276" w:lineRule="auto"/>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left w:w="85" w:type="dxa"/>
          <w:bottom w:w="57" w:type="dxa"/>
          <w:right w:w="85" w:type="dxa"/>
        </w:tblCellMar>
        <w:tblLook w:val="04A0" w:firstRow="1" w:lastRow="0" w:firstColumn="1" w:lastColumn="0" w:noHBand="0" w:noVBand="1"/>
      </w:tblPr>
      <w:tblGrid>
        <w:gridCol w:w="9016"/>
      </w:tblGrid>
      <w:tr w:rsidR="00BA761C" w:rsidRPr="001F151E" w14:paraId="5FEAD4BA" w14:textId="77777777" w:rsidTr="00BA761C">
        <w:trPr>
          <w:trHeight w:val="20"/>
        </w:trPr>
        <w:tc>
          <w:tcPr>
            <w:tcW w:w="9016" w:type="dxa"/>
            <w:shd w:val="clear" w:color="auto" w:fill="F2F2F2" w:themeFill="background1" w:themeFillShade="F2"/>
          </w:tcPr>
          <w:p w14:paraId="514B6872" w14:textId="2E2B1E76" w:rsidR="00BA761C" w:rsidRPr="001F151E" w:rsidRDefault="00BA761C" w:rsidP="002E6AB5">
            <w:pPr>
              <w:pStyle w:val="T-normal"/>
              <w:spacing w:after="60" w:line="276" w:lineRule="auto"/>
              <w:jc w:val="both"/>
              <w:rPr>
                <w:b/>
                <w:bCs/>
              </w:rPr>
            </w:pPr>
            <w:r w:rsidRPr="001F151E">
              <w:rPr>
                <w:b/>
                <w:bCs/>
              </w:rPr>
              <w:t xml:space="preserve">Component 1.1 </w:t>
            </w:r>
            <w:r w:rsidR="00F13023" w:rsidRPr="00F13023">
              <w:rPr>
                <w:b/>
                <w:bCs/>
              </w:rPr>
              <w:t>Prudent and realistic</w:t>
            </w:r>
            <w:r w:rsidR="00F13023" w:rsidRPr="001F151E">
              <w:rPr>
                <w:rFonts w:eastAsia="Times New Roman" w:cs="Times New Roman"/>
              </w:rPr>
              <w:t xml:space="preserve"> </w:t>
            </w:r>
            <w:r w:rsidR="00F13023">
              <w:rPr>
                <w:b/>
                <w:bCs/>
              </w:rPr>
              <w:t>m</w:t>
            </w:r>
            <w:r w:rsidRPr="001F151E">
              <w:rPr>
                <w:b/>
                <w:bCs/>
              </w:rPr>
              <w:t xml:space="preserve">acro-economic </w:t>
            </w:r>
            <w:r w:rsidR="007D242D" w:rsidRPr="001F151E">
              <w:rPr>
                <w:b/>
                <w:bCs/>
              </w:rPr>
              <w:t>programming</w:t>
            </w:r>
          </w:p>
          <w:p w14:paraId="56364C45" w14:textId="25157EB3" w:rsidR="00BA761C" w:rsidRPr="001F151E" w:rsidRDefault="00A07044" w:rsidP="002E6AB5">
            <w:pPr>
              <w:pStyle w:val="T-normal"/>
              <w:spacing w:line="276" w:lineRule="auto"/>
              <w:jc w:val="both"/>
            </w:pPr>
            <w:r w:rsidRPr="00A81790">
              <w:t>Goal 2030: The goal for 2030 is to have in place a system of generally accepted fiscal rules in combination with solid practices for macroeconomic programming and forecasting and developing a credible medium-term fiscal framework that form a sound basis for formulating the medium-term fiscal policy and MTBP.</w:t>
            </w:r>
            <w:r w:rsidR="004D182B">
              <w:t xml:space="preserve"> </w:t>
            </w:r>
            <w:r w:rsidR="00BA761C" w:rsidRPr="001F151E">
              <w:t>Measures for 2023-2026:</w:t>
            </w:r>
          </w:p>
          <w:p w14:paraId="5D127343" w14:textId="57D12B33" w:rsidR="009654A3" w:rsidRPr="001F151E" w:rsidRDefault="009654A3" w:rsidP="002E6AB5">
            <w:pPr>
              <w:pStyle w:val="T-bullet0"/>
              <w:spacing w:line="276" w:lineRule="auto"/>
              <w:jc w:val="both"/>
            </w:pPr>
            <w:r w:rsidRPr="001F151E">
              <w:t>Measure 1.1.1 Prudent forecasting of macroeconomic indicators in line with independent and international forecasters</w:t>
            </w:r>
            <w:r w:rsidR="009C35E5" w:rsidRPr="001F151E">
              <w:t>;</w:t>
            </w:r>
          </w:p>
          <w:p w14:paraId="27DCB260" w14:textId="02120EAC" w:rsidR="009654A3" w:rsidRPr="001F151E" w:rsidRDefault="009654A3" w:rsidP="002E6AB5">
            <w:pPr>
              <w:pStyle w:val="T-bullet0"/>
              <w:spacing w:line="276" w:lineRule="auto"/>
              <w:jc w:val="both"/>
            </w:pPr>
            <w:r w:rsidRPr="001F151E">
              <w:t xml:space="preserve">Measure 1.1.2 </w:t>
            </w:r>
            <w:r w:rsidRPr="00E65CA5">
              <w:t>Prudent</w:t>
            </w:r>
            <w:r w:rsidRPr="001F151E">
              <w:t xml:space="preserve"> and realistic medium-term revenue forecasting in line with independent and international forecasters</w:t>
            </w:r>
            <w:r w:rsidR="009C35E5" w:rsidRPr="001F151E">
              <w:t>;</w:t>
            </w:r>
          </w:p>
          <w:p w14:paraId="58B3C8F7" w14:textId="394BCD86" w:rsidR="009654A3" w:rsidRPr="007F5689" w:rsidRDefault="009654A3" w:rsidP="002E6AB5">
            <w:pPr>
              <w:pStyle w:val="T-bullet0"/>
              <w:spacing w:line="276" w:lineRule="auto"/>
              <w:jc w:val="both"/>
            </w:pPr>
            <w:r w:rsidRPr="001F151E">
              <w:t xml:space="preserve">Measure 1.1.3 </w:t>
            </w:r>
            <w:r w:rsidRPr="00E65CA5">
              <w:t>Safeguard sound public finances through the permanent compliance with the Fiscal Rules</w:t>
            </w:r>
            <w:r w:rsidR="00E65CA5">
              <w:t>.</w:t>
            </w:r>
          </w:p>
          <w:p w14:paraId="33046AB3" w14:textId="77777777" w:rsidR="00E65CA5" w:rsidRDefault="00E65CA5" w:rsidP="002E6AB5">
            <w:pPr>
              <w:pStyle w:val="T-normal"/>
              <w:spacing w:after="60" w:line="276" w:lineRule="auto"/>
              <w:jc w:val="both"/>
              <w:rPr>
                <w:b/>
                <w:bCs/>
              </w:rPr>
            </w:pPr>
          </w:p>
          <w:p w14:paraId="78BAD82F" w14:textId="6DCEBFCA" w:rsidR="00E65CA5" w:rsidRPr="00E65CA5" w:rsidRDefault="00E65CA5" w:rsidP="002E6AB5">
            <w:pPr>
              <w:pStyle w:val="T-normal"/>
              <w:spacing w:after="60" w:line="276" w:lineRule="auto"/>
              <w:jc w:val="both"/>
              <w:rPr>
                <w:b/>
                <w:bCs/>
              </w:rPr>
            </w:pPr>
            <w:r w:rsidRPr="001F151E">
              <w:rPr>
                <w:b/>
                <w:bCs/>
              </w:rPr>
              <w:t>Component 1.</w:t>
            </w:r>
            <w:r>
              <w:rPr>
                <w:b/>
                <w:bCs/>
              </w:rPr>
              <w:t>2</w:t>
            </w:r>
            <w:r w:rsidRPr="001F151E">
              <w:rPr>
                <w:b/>
                <w:bCs/>
              </w:rPr>
              <w:t xml:space="preserve"> </w:t>
            </w:r>
            <w:r w:rsidRPr="007F5689">
              <w:rPr>
                <w:rFonts w:eastAsia="Times New Roman" w:cs="Times New Roman"/>
                <w:b/>
              </w:rPr>
              <w:t>Establishing a comprehensive Debt Sustainability Analysis</w:t>
            </w:r>
          </w:p>
          <w:p w14:paraId="5E041124" w14:textId="2950F5B7" w:rsidR="009654A3" w:rsidRDefault="00E65CA5" w:rsidP="002E6AB5">
            <w:pPr>
              <w:pStyle w:val="T-bullet0"/>
              <w:numPr>
                <w:ilvl w:val="0"/>
                <w:numId w:val="0"/>
              </w:numPr>
              <w:spacing w:line="276" w:lineRule="auto"/>
              <w:jc w:val="both"/>
              <w:rPr>
                <w:b/>
              </w:rPr>
            </w:pPr>
            <w:r w:rsidRPr="001F151E">
              <w:t xml:space="preserve">Goal 2030: </w:t>
            </w:r>
            <w:r w:rsidRPr="00875B03">
              <w:rPr>
                <w:rFonts w:eastAsia="Calibri"/>
                <w:bCs/>
              </w:rPr>
              <w:t xml:space="preserve">The objective is to </w:t>
            </w:r>
            <w:r w:rsidR="007F5689">
              <w:rPr>
                <w:rFonts w:eastAsia="Calibri"/>
                <w:bCs/>
              </w:rPr>
              <w:t xml:space="preserve">have </w:t>
            </w:r>
            <w:r w:rsidRPr="00875B03">
              <w:rPr>
                <w:rFonts w:eastAsia="Calibri"/>
                <w:bCs/>
              </w:rPr>
              <w:t>establish</w:t>
            </w:r>
            <w:r w:rsidR="007F5689">
              <w:rPr>
                <w:rFonts w:eastAsia="Calibri"/>
                <w:bCs/>
              </w:rPr>
              <w:t>ed</w:t>
            </w:r>
            <w:r w:rsidRPr="00875B03">
              <w:rPr>
                <w:rFonts w:eastAsia="Calibri"/>
                <w:bCs/>
              </w:rPr>
              <w:t xml:space="preserve"> a comprehensive Debt Sustainability Analysis (DSA) framework.</w:t>
            </w:r>
          </w:p>
          <w:p w14:paraId="1FCDC0E7" w14:textId="77777777" w:rsidR="00E65CA5" w:rsidRDefault="00E65CA5" w:rsidP="002E6AB5">
            <w:pPr>
              <w:pStyle w:val="T-bullet0"/>
              <w:numPr>
                <w:ilvl w:val="0"/>
                <w:numId w:val="0"/>
              </w:numPr>
              <w:spacing w:line="276" w:lineRule="auto"/>
              <w:jc w:val="both"/>
              <w:rPr>
                <w:b/>
              </w:rPr>
            </w:pPr>
          </w:p>
          <w:p w14:paraId="0C128192" w14:textId="77777777" w:rsidR="00E65CA5" w:rsidRPr="001F151E" w:rsidRDefault="00E65CA5" w:rsidP="002E6AB5">
            <w:pPr>
              <w:pStyle w:val="T-normal"/>
              <w:spacing w:line="276" w:lineRule="auto"/>
              <w:jc w:val="both"/>
            </w:pPr>
            <w:r w:rsidRPr="001F151E">
              <w:t>Measures for 2023-2026:</w:t>
            </w:r>
          </w:p>
          <w:p w14:paraId="45F2BB91" w14:textId="60A32246" w:rsidR="00E65CA5" w:rsidRPr="007F5689" w:rsidRDefault="00E65CA5" w:rsidP="002E6AB5">
            <w:pPr>
              <w:pStyle w:val="T-bullet0"/>
              <w:spacing w:line="276" w:lineRule="auto"/>
              <w:jc w:val="both"/>
            </w:pPr>
            <w:r w:rsidRPr="007F5689">
              <w:t>Measure 1.2.1 Provide technical assistance for the DSA process</w:t>
            </w:r>
          </w:p>
          <w:p w14:paraId="2B64AD95" w14:textId="1AEA305E" w:rsidR="00E65CA5" w:rsidRPr="007F5689" w:rsidRDefault="00E65CA5" w:rsidP="002E6AB5">
            <w:pPr>
              <w:pStyle w:val="T-bullet0"/>
              <w:spacing w:line="276" w:lineRule="auto"/>
              <w:jc w:val="both"/>
            </w:pPr>
            <w:r w:rsidRPr="007F5689">
              <w:t>Measure 1.2.2 Introduce the DSA framework as a macroeconomic programming tool.</w:t>
            </w:r>
          </w:p>
          <w:p w14:paraId="254E3787" w14:textId="77777777" w:rsidR="00E65CA5" w:rsidRPr="00E65CA5" w:rsidRDefault="00E65CA5" w:rsidP="002E6AB5">
            <w:pPr>
              <w:pStyle w:val="T-bullet0"/>
              <w:numPr>
                <w:ilvl w:val="0"/>
                <w:numId w:val="0"/>
              </w:numPr>
              <w:spacing w:line="276" w:lineRule="auto"/>
              <w:ind w:left="720"/>
              <w:jc w:val="both"/>
            </w:pPr>
          </w:p>
          <w:p w14:paraId="045641D1" w14:textId="5FA60052" w:rsidR="00BA761C" w:rsidRPr="001F151E" w:rsidRDefault="00BA761C" w:rsidP="002E6AB5">
            <w:pPr>
              <w:pStyle w:val="T-normal"/>
              <w:spacing w:after="60" w:line="276" w:lineRule="auto"/>
              <w:jc w:val="both"/>
              <w:rPr>
                <w:b/>
                <w:bCs/>
              </w:rPr>
            </w:pPr>
            <w:r w:rsidRPr="001F151E">
              <w:rPr>
                <w:b/>
                <w:bCs/>
              </w:rPr>
              <w:t>Component 1.</w:t>
            </w:r>
            <w:r w:rsidR="00E65CA5">
              <w:rPr>
                <w:b/>
                <w:bCs/>
              </w:rPr>
              <w:t>3</w:t>
            </w:r>
            <w:r w:rsidRPr="001F151E">
              <w:rPr>
                <w:b/>
                <w:bCs/>
              </w:rPr>
              <w:t xml:space="preserve"> Fiscal Risk Management</w:t>
            </w:r>
          </w:p>
          <w:p w14:paraId="19D5A0D7" w14:textId="7D581D32" w:rsidR="00BA761C" w:rsidRPr="001F151E" w:rsidRDefault="00BA761C" w:rsidP="002E6AB5">
            <w:pPr>
              <w:pStyle w:val="T-normal"/>
              <w:spacing w:after="60" w:line="276" w:lineRule="auto"/>
              <w:jc w:val="both"/>
            </w:pPr>
            <w:r w:rsidRPr="001F151E">
              <w:t xml:space="preserve">Goal 2030: A comprehensive Fiscal Risk Management system and reporting addressing </w:t>
            </w:r>
            <w:r w:rsidR="0087324A">
              <w:t>the main</w:t>
            </w:r>
            <w:r w:rsidRPr="001F151E">
              <w:t xml:space="preserve"> relevant contingent liabilities and other fiscal risks is in place.</w:t>
            </w:r>
          </w:p>
          <w:p w14:paraId="338812A0" w14:textId="7F8BF094" w:rsidR="00BA761C" w:rsidRPr="001F151E" w:rsidRDefault="00BA761C" w:rsidP="002E6AB5">
            <w:pPr>
              <w:pStyle w:val="T-normal"/>
              <w:spacing w:line="276" w:lineRule="auto"/>
              <w:jc w:val="both"/>
            </w:pPr>
            <w:r w:rsidRPr="001F151E">
              <w:t>Measures for 2023-2026:</w:t>
            </w:r>
          </w:p>
          <w:p w14:paraId="063F58A6" w14:textId="31270E43" w:rsidR="00BA761C" w:rsidRPr="001F151E" w:rsidRDefault="00BA761C" w:rsidP="002E6AB5">
            <w:pPr>
              <w:pStyle w:val="T-bullet0"/>
              <w:spacing w:line="276" w:lineRule="auto"/>
              <w:jc w:val="both"/>
            </w:pPr>
            <w:r w:rsidRPr="001F151E">
              <w:t>Measure 1.</w:t>
            </w:r>
            <w:r w:rsidR="00E65CA5">
              <w:t>3</w:t>
            </w:r>
            <w:r w:rsidRPr="001F151E">
              <w:t xml:space="preserve">.1 Introduce Annual Fiscal Risk Statement and gradually expand </w:t>
            </w:r>
            <w:r w:rsidR="006044AD">
              <w:t xml:space="preserve">the scope of </w:t>
            </w:r>
            <w:r w:rsidRPr="001F151E">
              <w:t>fiscal risk monitoring and reporting</w:t>
            </w:r>
            <w:r w:rsidR="009C35E5" w:rsidRPr="001F151E">
              <w:t>;</w:t>
            </w:r>
          </w:p>
          <w:p w14:paraId="47388796" w14:textId="6D7EC8F3" w:rsidR="00BA761C" w:rsidRPr="001F151E" w:rsidRDefault="00BA761C" w:rsidP="002E6AB5">
            <w:pPr>
              <w:pStyle w:val="T-bullet0"/>
              <w:spacing w:line="276" w:lineRule="auto"/>
              <w:jc w:val="both"/>
            </w:pPr>
            <w:r w:rsidRPr="001F151E">
              <w:t>Measure 1.</w:t>
            </w:r>
            <w:r w:rsidR="00E65CA5">
              <w:t>3</w:t>
            </w:r>
            <w:r w:rsidRPr="001F151E">
              <w:t>.2 Strengthen the management of Fiscal Risk related to PPPs and concession contracts</w:t>
            </w:r>
            <w:r w:rsidR="009C35E5" w:rsidRPr="001F151E">
              <w:t>;</w:t>
            </w:r>
          </w:p>
          <w:p w14:paraId="5EB65092" w14:textId="33EFFAA7" w:rsidR="00BA761C" w:rsidRPr="001F151E" w:rsidRDefault="00BA761C" w:rsidP="002E6AB5">
            <w:pPr>
              <w:pStyle w:val="T-bullet0"/>
              <w:spacing w:line="276" w:lineRule="auto"/>
              <w:jc w:val="both"/>
            </w:pPr>
            <w:r w:rsidRPr="001F151E">
              <w:t>Measure 1.</w:t>
            </w:r>
            <w:r w:rsidR="00E65CA5">
              <w:t>3</w:t>
            </w:r>
            <w:r w:rsidRPr="001F151E">
              <w:t>.3 Strengthen the fiscal oversight of State Owned Enterprises</w:t>
            </w:r>
            <w:r w:rsidR="009C35E5" w:rsidRPr="001F151E">
              <w:t>;</w:t>
            </w:r>
          </w:p>
          <w:p w14:paraId="133DCB08" w14:textId="186FB38F" w:rsidR="00BA761C" w:rsidRPr="004D182B" w:rsidRDefault="00BA761C" w:rsidP="002E6AB5">
            <w:pPr>
              <w:pStyle w:val="T-bullet0"/>
              <w:spacing w:line="276" w:lineRule="auto"/>
              <w:jc w:val="both"/>
              <w:rPr>
                <w:b/>
                <w:bCs/>
              </w:rPr>
            </w:pPr>
            <w:r w:rsidRPr="001F151E">
              <w:t>Measure 1.</w:t>
            </w:r>
            <w:r w:rsidR="00E65CA5">
              <w:t>3</w:t>
            </w:r>
            <w:r w:rsidRPr="001F151E">
              <w:t>.4 Further enhance management of arrears</w:t>
            </w:r>
            <w:r w:rsidR="003E0A56" w:rsidRPr="001F151E">
              <w:t>.</w:t>
            </w:r>
          </w:p>
          <w:p w14:paraId="65A78B0B" w14:textId="77777777" w:rsidR="00A07044" w:rsidRPr="001F151E" w:rsidRDefault="00A07044" w:rsidP="002E6AB5">
            <w:pPr>
              <w:pStyle w:val="T-bullet0"/>
              <w:numPr>
                <w:ilvl w:val="0"/>
                <w:numId w:val="0"/>
              </w:numPr>
              <w:spacing w:line="276" w:lineRule="auto"/>
              <w:ind w:left="360"/>
              <w:jc w:val="both"/>
              <w:rPr>
                <w:b/>
                <w:bCs/>
              </w:rPr>
            </w:pPr>
          </w:p>
          <w:p w14:paraId="15A771EA" w14:textId="77777777" w:rsidR="000F2535" w:rsidRPr="001F151E" w:rsidRDefault="000F2535" w:rsidP="002E6AB5">
            <w:pPr>
              <w:pStyle w:val="T-bullet0"/>
              <w:numPr>
                <w:ilvl w:val="0"/>
                <w:numId w:val="0"/>
              </w:numPr>
              <w:spacing w:line="276" w:lineRule="auto"/>
              <w:jc w:val="both"/>
            </w:pPr>
          </w:p>
          <w:p w14:paraId="3623F6DE" w14:textId="1124DF3A" w:rsidR="000F2535" w:rsidRPr="001F151E" w:rsidRDefault="000F2535" w:rsidP="002E6AB5">
            <w:pPr>
              <w:pStyle w:val="T-normal"/>
              <w:spacing w:after="60" w:line="276" w:lineRule="auto"/>
              <w:jc w:val="both"/>
              <w:rPr>
                <w:b/>
                <w:bCs/>
              </w:rPr>
            </w:pPr>
            <w:r w:rsidRPr="001F151E">
              <w:rPr>
                <w:b/>
                <w:bCs/>
              </w:rPr>
              <w:t>Component 1.</w:t>
            </w:r>
            <w:r w:rsidR="00297283">
              <w:rPr>
                <w:b/>
                <w:bCs/>
              </w:rPr>
              <w:t>4</w:t>
            </w:r>
            <w:r w:rsidRPr="001F151E">
              <w:rPr>
                <w:b/>
                <w:bCs/>
              </w:rPr>
              <w:t xml:space="preserve"> Fiscal </w:t>
            </w:r>
            <w:r w:rsidR="00C22304">
              <w:rPr>
                <w:b/>
                <w:bCs/>
              </w:rPr>
              <w:t>Council</w:t>
            </w:r>
          </w:p>
          <w:p w14:paraId="1CC26EA1" w14:textId="77777777" w:rsidR="000F2535" w:rsidRPr="001F151E" w:rsidRDefault="000F2535" w:rsidP="002E6AB5">
            <w:pPr>
              <w:pStyle w:val="T-normal"/>
              <w:spacing w:after="60" w:line="276" w:lineRule="auto"/>
              <w:jc w:val="both"/>
            </w:pPr>
            <w:r w:rsidRPr="001F151E">
              <w:t>Goal 2030: Fiscal Council in place for evaluating the fiscal policy of the Government.</w:t>
            </w:r>
          </w:p>
          <w:p w14:paraId="6A1AD101" w14:textId="071C4B40" w:rsidR="000F2535" w:rsidRPr="001F151E" w:rsidRDefault="000F2535" w:rsidP="002E6AB5">
            <w:pPr>
              <w:pStyle w:val="T-normal"/>
              <w:spacing w:line="276" w:lineRule="auto"/>
              <w:jc w:val="both"/>
            </w:pPr>
            <w:r w:rsidRPr="001F151E">
              <w:t>Measure for 2023-2026</w:t>
            </w:r>
            <w:r w:rsidR="007D242D" w:rsidRPr="001F151E">
              <w:t>:</w:t>
            </w:r>
          </w:p>
          <w:p w14:paraId="04162089" w14:textId="7FD08FE9" w:rsidR="000F2535" w:rsidRPr="001F151E" w:rsidRDefault="000F2535" w:rsidP="002E6AB5">
            <w:pPr>
              <w:pStyle w:val="T-bullet0"/>
              <w:spacing w:line="276" w:lineRule="auto"/>
              <w:jc w:val="both"/>
            </w:pPr>
            <w:r w:rsidRPr="001F151E">
              <w:t>Measure 1.</w:t>
            </w:r>
            <w:r w:rsidR="00E65CA5">
              <w:t>5</w:t>
            </w:r>
            <w:r w:rsidRPr="001F151E">
              <w:t>.1 Establish the fiscal council.</w:t>
            </w:r>
          </w:p>
        </w:tc>
      </w:tr>
    </w:tbl>
    <w:p w14:paraId="04C00AAA" w14:textId="77777777" w:rsidR="009654A3" w:rsidRPr="001F151E" w:rsidRDefault="009654A3" w:rsidP="008476F3">
      <w:pPr>
        <w:pStyle w:val="H5"/>
        <w:rPr>
          <w:lang w:val="en-GB"/>
        </w:rPr>
      </w:pPr>
    </w:p>
    <w:p w14:paraId="6E278715" w14:textId="77777777" w:rsidR="00BA761C" w:rsidRPr="001F151E" w:rsidRDefault="00BA761C" w:rsidP="008476F3">
      <w:pPr>
        <w:pStyle w:val="H5"/>
        <w:rPr>
          <w:lang w:val="en-GB"/>
        </w:rPr>
      </w:pPr>
    </w:p>
    <w:p w14:paraId="60DD9B59" w14:textId="3ED8923B" w:rsidR="00AB73F1" w:rsidRPr="001F151E" w:rsidRDefault="00AB73F1" w:rsidP="00AB73F1">
      <w:pPr>
        <w:pStyle w:val="Heading2"/>
        <w:rPr>
          <w:rStyle w:val="UnresolvedMention1"/>
          <w:color w:val="0070C0"/>
          <w:shd w:val="clear" w:color="auto" w:fill="auto"/>
          <w:lang w:val="en-GB"/>
        </w:rPr>
      </w:pPr>
      <w:bookmarkStart w:id="16" w:name="_Toc163148009"/>
      <w:bookmarkStart w:id="17" w:name="_Toc151048283"/>
      <w:r w:rsidRPr="001F151E">
        <w:rPr>
          <w:rStyle w:val="UnresolvedMention1"/>
          <w:color w:val="0070C0"/>
          <w:shd w:val="clear" w:color="auto" w:fill="auto"/>
          <w:lang w:val="en-GB"/>
        </w:rPr>
        <w:t xml:space="preserve">Component 1.1 </w:t>
      </w:r>
      <w:r w:rsidR="00DD557B" w:rsidRPr="001F151E">
        <w:rPr>
          <w:rFonts w:eastAsia="Times New Roman" w:cs="Times New Roman"/>
          <w:lang w:val="en-GB"/>
        </w:rPr>
        <w:t>Prudent and realistic macroeconomic programming</w:t>
      </w:r>
      <w:bookmarkEnd w:id="16"/>
      <w:r w:rsidRPr="001F151E">
        <w:rPr>
          <w:rStyle w:val="UnresolvedMention1"/>
          <w:color w:val="0070C0"/>
          <w:shd w:val="clear" w:color="auto" w:fill="auto"/>
          <w:lang w:val="en-GB"/>
        </w:rPr>
        <w:t xml:space="preserve"> </w:t>
      </w:r>
      <w:bookmarkEnd w:id="17"/>
    </w:p>
    <w:p w14:paraId="309D9D71" w14:textId="77777777" w:rsidR="00AB73F1" w:rsidRPr="001F151E" w:rsidRDefault="00AB73F1" w:rsidP="00AB73F1">
      <w:pPr>
        <w:rPr>
          <w:i/>
          <w:iCs/>
          <w:lang w:val="en-GB"/>
        </w:rPr>
      </w:pPr>
    </w:p>
    <w:p w14:paraId="29ADD869" w14:textId="77777777" w:rsidR="00AB73F1" w:rsidRPr="001F151E" w:rsidRDefault="00AB73F1" w:rsidP="00AB73F1">
      <w:pPr>
        <w:pStyle w:val="H5"/>
        <w:rPr>
          <w:lang w:val="en-GB"/>
        </w:rPr>
      </w:pPr>
      <w:r w:rsidRPr="001F151E">
        <w:rPr>
          <w:lang w:val="en-GB"/>
        </w:rPr>
        <w:t>Objective</w:t>
      </w:r>
    </w:p>
    <w:p w14:paraId="0FD2B8E4" w14:textId="5382C896" w:rsidR="00097E88" w:rsidRPr="001F151E" w:rsidRDefault="00097E88" w:rsidP="002E6AB5">
      <w:pPr>
        <w:spacing w:line="276" w:lineRule="auto"/>
        <w:jc w:val="both"/>
        <w:rPr>
          <w:lang w:val="en-GB"/>
        </w:rPr>
      </w:pPr>
      <w:r w:rsidRPr="001F151E">
        <w:rPr>
          <w:lang w:val="en-GB"/>
        </w:rPr>
        <w:t xml:space="preserve">The goal for 2030 is to have in place a system of generally accepted fiscal rules in combination with solid practices for macroeconomic </w:t>
      </w:r>
      <w:r w:rsidR="002542C5" w:rsidRPr="001F151E">
        <w:rPr>
          <w:lang w:val="en-GB"/>
        </w:rPr>
        <w:t>programming</w:t>
      </w:r>
      <w:r w:rsidRPr="001F151E">
        <w:rPr>
          <w:lang w:val="en-GB"/>
        </w:rPr>
        <w:t xml:space="preserve"> and forecasting and developing a credible medium-term fiscal framework that form a sound basis for formulating the medium-term fiscal policy and MTBP</w:t>
      </w:r>
      <w:r w:rsidR="000F2535" w:rsidRPr="001F151E">
        <w:rPr>
          <w:lang w:val="en-GB"/>
        </w:rPr>
        <w:t>.</w:t>
      </w:r>
      <w:r w:rsidR="00041EF8">
        <w:rPr>
          <w:lang w:val="en-GB"/>
        </w:rPr>
        <w:t xml:space="preserve"> </w:t>
      </w:r>
    </w:p>
    <w:p w14:paraId="3FDB42A6" w14:textId="77777777" w:rsidR="00097E88" w:rsidRPr="001F151E" w:rsidRDefault="00097E88" w:rsidP="002E6AB5">
      <w:pPr>
        <w:spacing w:line="276" w:lineRule="auto"/>
        <w:jc w:val="both"/>
        <w:rPr>
          <w:lang w:val="en-GB"/>
        </w:rPr>
      </w:pPr>
    </w:p>
    <w:p w14:paraId="3BE29F26" w14:textId="77777777" w:rsidR="004D182B" w:rsidRDefault="004D182B" w:rsidP="002E6AB5">
      <w:pPr>
        <w:spacing w:after="160" w:line="276" w:lineRule="auto"/>
        <w:jc w:val="both"/>
        <w:rPr>
          <w:b/>
          <w:bCs/>
          <w:color w:val="0070C0"/>
          <w:lang w:val="en-GB"/>
        </w:rPr>
      </w:pPr>
      <w:r>
        <w:rPr>
          <w:lang w:val="en-GB"/>
        </w:rPr>
        <w:br w:type="page"/>
      </w:r>
    </w:p>
    <w:p w14:paraId="4067B6B2" w14:textId="022761E1" w:rsidR="00AB73F1" w:rsidRPr="001F151E" w:rsidRDefault="00AB73F1" w:rsidP="002E6AB5">
      <w:pPr>
        <w:pStyle w:val="H5"/>
        <w:spacing w:line="276" w:lineRule="auto"/>
        <w:jc w:val="both"/>
        <w:rPr>
          <w:lang w:val="en-GB"/>
        </w:rPr>
      </w:pPr>
      <w:r w:rsidRPr="001F151E">
        <w:rPr>
          <w:lang w:val="en-GB"/>
        </w:rPr>
        <w:lastRenderedPageBreak/>
        <w:t>Context</w:t>
      </w:r>
    </w:p>
    <w:p w14:paraId="207A750A" w14:textId="50DD6C0C" w:rsidR="009A66D6" w:rsidRPr="001F151E" w:rsidRDefault="009A66D6" w:rsidP="002E6AB5">
      <w:pPr>
        <w:spacing w:line="276" w:lineRule="auto"/>
        <w:jc w:val="both"/>
        <w:rPr>
          <w:lang w:val="en-GB"/>
        </w:rPr>
      </w:pPr>
      <w:r w:rsidRPr="001F151E">
        <w:rPr>
          <w:lang w:val="en-GB"/>
        </w:rPr>
        <w:t>The capacity for macroeconomic programming, encompassing macro-fiscal forecasting, has evolved over the years, bolstered also by support and collaborative efforts with the IMF and EU. The overarching objective of macroeconomic programming is twofold: first, to sustain and strengthen the nation's macroeconomic stability; second, to foster an environment conducive to high and sustainable economic growth, ultimately striving for expeditious convergence toward the average well-being level of the European Union. A comprehensive set of robust fiscal rules has been institutionalized in the legislative framework since 2016. The macro-fiscal projections serve as integral inputs for the MTBP and ERP, as well as for annual budgets (both the pre-budget statement and the annual budget monitoring report). In adherence to le</w:t>
      </w:r>
      <w:r w:rsidR="007A14B3">
        <w:rPr>
          <w:lang w:val="en-GB"/>
        </w:rPr>
        <w:t>gislative requirements, the MoF</w:t>
      </w:r>
      <w:r w:rsidRPr="001F151E">
        <w:rPr>
          <w:lang w:val="en-GB"/>
        </w:rPr>
        <w:t xml:space="preserve"> aligns its projections of key macroeconomic variables with those of the IMF, a practice upheld since 2016. </w:t>
      </w:r>
    </w:p>
    <w:p w14:paraId="7246FDB0" w14:textId="77777777" w:rsidR="009A66D6" w:rsidRDefault="009A66D6" w:rsidP="002E6AB5">
      <w:pPr>
        <w:spacing w:line="276" w:lineRule="auto"/>
        <w:jc w:val="both"/>
        <w:rPr>
          <w:lang w:val="en-GB"/>
        </w:rPr>
      </w:pPr>
    </w:p>
    <w:p w14:paraId="2BD5E88B" w14:textId="5927B7F8" w:rsidR="00345B28" w:rsidRPr="001F151E" w:rsidRDefault="00D5668A" w:rsidP="002E6AB5">
      <w:pPr>
        <w:spacing w:line="276" w:lineRule="auto"/>
        <w:jc w:val="both"/>
        <w:rPr>
          <w:lang w:val="en-GB"/>
        </w:rPr>
      </w:pPr>
      <w:r>
        <w:rPr>
          <w:lang w:val="en-GB"/>
        </w:rPr>
        <w:t>E</w:t>
      </w:r>
      <w:r w:rsidR="00345B28" w:rsidRPr="001F151E">
        <w:rPr>
          <w:lang w:val="en-GB"/>
        </w:rPr>
        <w:t>nsuring</w:t>
      </w:r>
      <w:r>
        <w:rPr>
          <w:lang w:val="en-GB"/>
        </w:rPr>
        <w:t xml:space="preserve"> prudent,</w:t>
      </w:r>
      <w:r w:rsidR="00345B28" w:rsidRPr="001F151E">
        <w:rPr>
          <w:lang w:val="en-GB"/>
        </w:rPr>
        <w:t xml:space="preserve"> judicious and careful forecasting of macroeconomic indicators stands as a paramount priority. This entails employing a cautious and well-informed approach in predicting key economic variables, providing a foundation for informed policy decisions.</w:t>
      </w:r>
      <w:r w:rsidR="00853212">
        <w:rPr>
          <w:lang w:val="en-GB"/>
        </w:rPr>
        <w:t xml:space="preserve"> </w:t>
      </w:r>
      <w:r>
        <w:rPr>
          <w:lang w:val="en-GB"/>
        </w:rPr>
        <w:t>Moreover e</w:t>
      </w:r>
      <w:r w:rsidR="00345B28" w:rsidRPr="001F151E">
        <w:rPr>
          <w:lang w:val="en-GB"/>
        </w:rPr>
        <w:t>mphasizing prudence and realism in medium-term revenue forecasting is crucial. This involves adopting a careful and grounded approach to anticipate revenue streams over the medium term, enabling the formulation of sound fiscal policies and resource allocation.</w:t>
      </w:r>
      <w:r w:rsidR="007A289E">
        <w:rPr>
          <w:lang w:val="en-GB"/>
        </w:rPr>
        <w:t xml:space="preserve"> Also safeguarding </w:t>
      </w:r>
      <w:r w:rsidR="00345B28" w:rsidRPr="001F151E">
        <w:rPr>
          <w:lang w:val="en-GB"/>
        </w:rPr>
        <w:t>sound public finances through the permanent compliance with the Fiscal Rules</w:t>
      </w:r>
      <w:r w:rsidR="003C1B7A">
        <w:rPr>
          <w:lang w:val="en-GB"/>
        </w:rPr>
        <w:t xml:space="preserve"> remains a commitment</w:t>
      </w:r>
      <w:r w:rsidR="00345B28" w:rsidRPr="001F151E">
        <w:rPr>
          <w:lang w:val="en-GB"/>
        </w:rPr>
        <w:t>. A pivotal focus is on upholding the integrity of public finances by consistently adhering to fiscal rules. This commitment to compliance ensures a stable fiscal framework, fostering fiscal responsibility and sustainability over the specified period. Such adherence contributes to the overall economic stability and resilience of the country.</w:t>
      </w:r>
      <w:r w:rsidR="003C1B7A">
        <w:rPr>
          <w:lang w:val="en-GB"/>
        </w:rPr>
        <w:t xml:space="preserve"> </w:t>
      </w:r>
    </w:p>
    <w:p w14:paraId="21A31B51" w14:textId="77777777" w:rsidR="00A9061C" w:rsidRPr="001F151E" w:rsidRDefault="00A9061C" w:rsidP="002E6AB5">
      <w:pPr>
        <w:spacing w:line="276" w:lineRule="auto"/>
        <w:jc w:val="both"/>
        <w:rPr>
          <w:lang w:val="en-GB"/>
        </w:rPr>
      </w:pPr>
    </w:p>
    <w:p w14:paraId="07D714F4" w14:textId="77777777" w:rsidR="00AB73F1" w:rsidRPr="001F151E" w:rsidRDefault="00AB73F1" w:rsidP="002E6AB5">
      <w:pPr>
        <w:pStyle w:val="H5"/>
        <w:spacing w:line="276" w:lineRule="auto"/>
        <w:jc w:val="both"/>
        <w:rPr>
          <w:lang w:val="en-GB"/>
        </w:rPr>
      </w:pPr>
      <w:r w:rsidRPr="001F151E">
        <w:rPr>
          <w:lang w:val="en-GB"/>
        </w:rPr>
        <w:t>Priorities</w:t>
      </w:r>
    </w:p>
    <w:p w14:paraId="13DC64B3" w14:textId="77777777" w:rsidR="00B51989" w:rsidRPr="001F151E" w:rsidRDefault="00B51989" w:rsidP="002E6AB5">
      <w:pPr>
        <w:spacing w:line="276" w:lineRule="auto"/>
        <w:jc w:val="both"/>
        <w:rPr>
          <w:rFonts w:eastAsia="Calibri"/>
          <w:lang w:val="en-GB"/>
        </w:rPr>
      </w:pPr>
      <w:r w:rsidRPr="001F151E">
        <w:rPr>
          <w:rFonts w:eastAsia="Calibri"/>
          <w:lang w:val="en-GB"/>
        </w:rPr>
        <w:t>For the period 2023-2026 the priorities are:</w:t>
      </w:r>
    </w:p>
    <w:p w14:paraId="6DCAD01C" w14:textId="77777777" w:rsidR="003C1B7A" w:rsidRDefault="003C1B7A" w:rsidP="002E6AB5">
      <w:pPr>
        <w:pStyle w:val="N-Bullet"/>
        <w:spacing w:line="276" w:lineRule="auto"/>
        <w:jc w:val="both"/>
      </w:pPr>
      <w:r w:rsidRPr="001F151E">
        <w:t>Prudent forecasting of macroeconomic indicators in line with independent and international forecasters.</w:t>
      </w:r>
    </w:p>
    <w:p w14:paraId="0F127A82" w14:textId="77777777" w:rsidR="003C1B7A" w:rsidRPr="003C1B7A" w:rsidRDefault="003C1B7A" w:rsidP="002E6AB5">
      <w:pPr>
        <w:pStyle w:val="N-Bullet"/>
        <w:spacing w:line="276" w:lineRule="auto"/>
        <w:jc w:val="both"/>
      </w:pPr>
      <w:r w:rsidRPr="003C1B7A">
        <w:t>Prudent and realistic medium-term revenue forecasting in line with independent and international forecasters.</w:t>
      </w:r>
    </w:p>
    <w:p w14:paraId="60FD0CE3" w14:textId="25CACDEA" w:rsidR="00AB73F1" w:rsidRPr="003C1B7A" w:rsidRDefault="003C1B7A" w:rsidP="002E6AB5">
      <w:pPr>
        <w:pStyle w:val="N-Bullet"/>
        <w:spacing w:line="276" w:lineRule="auto"/>
        <w:jc w:val="both"/>
      </w:pPr>
      <w:r w:rsidRPr="003C1B7A">
        <w:t xml:space="preserve">Safeguard sound public finances through the permanent compliance with the Fiscal Rules.  </w:t>
      </w:r>
    </w:p>
    <w:p w14:paraId="6B6D6C7C" w14:textId="77777777" w:rsidR="003C1B7A" w:rsidRPr="001F151E" w:rsidRDefault="003C1B7A" w:rsidP="002E6AB5">
      <w:pPr>
        <w:spacing w:line="276" w:lineRule="auto"/>
        <w:jc w:val="both"/>
        <w:rPr>
          <w:lang w:val="en-GB"/>
        </w:rPr>
      </w:pPr>
    </w:p>
    <w:p w14:paraId="66E437E7" w14:textId="77777777" w:rsidR="00AB73F1" w:rsidRPr="001F151E" w:rsidRDefault="00AB73F1" w:rsidP="00AB73F1">
      <w:pPr>
        <w:pStyle w:val="H5"/>
        <w:rPr>
          <w:lang w:val="en-GB"/>
        </w:rPr>
      </w:pPr>
      <w:r w:rsidRPr="001F151E">
        <w:rPr>
          <w:lang w:val="en-GB"/>
        </w:rPr>
        <w:t>Measures and activities</w:t>
      </w:r>
    </w:p>
    <w:tbl>
      <w:tblPr>
        <w:tblStyle w:val="TableGrid"/>
        <w:tblW w:w="5000" w:type="pct"/>
        <w:tblCellMar>
          <w:top w:w="28" w:type="dxa"/>
          <w:left w:w="85" w:type="dxa"/>
          <w:bottom w:w="28" w:type="dxa"/>
          <w:right w:w="85" w:type="dxa"/>
        </w:tblCellMar>
        <w:tblLook w:val="04A0" w:firstRow="1" w:lastRow="0" w:firstColumn="1" w:lastColumn="0" w:noHBand="0" w:noVBand="1"/>
      </w:tblPr>
      <w:tblGrid>
        <w:gridCol w:w="2035"/>
        <w:gridCol w:w="3607"/>
        <w:gridCol w:w="796"/>
        <w:gridCol w:w="795"/>
        <w:gridCol w:w="1783"/>
      </w:tblGrid>
      <w:tr w:rsidR="00EA3152" w:rsidRPr="001F151E" w14:paraId="13E0EF37" w14:textId="77777777" w:rsidTr="00F75C8C">
        <w:trPr>
          <w:cantSplit/>
          <w:trHeight w:val="20"/>
          <w:tblHeader/>
        </w:trPr>
        <w:tc>
          <w:tcPr>
            <w:tcW w:w="2035" w:type="dxa"/>
            <w:shd w:val="clear" w:color="auto" w:fill="D9D9D9"/>
          </w:tcPr>
          <w:p w14:paraId="31550E1C" w14:textId="77777777"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Measure</w:t>
            </w:r>
          </w:p>
        </w:tc>
        <w:tc>
          <w:tcPr>
            <w:tcW w:w="3607" w:type="dxa"/>
            <w:shd w:val="clear" w:color="auto" w:fill="D9D9D9"/>
          </w:tcPr>
          <w:p w14:paraId="270B1C65" w14:textId="77777777"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Activity</w:t>
            </w:r>
          </w:p>
        </w:tc>
        <w:tc>
          <w:tcPr>
            <w:tcW w:w="796" w:type="dxa"/>
            <w:shd w:val="clear" w:color="auto" w:fill="D9D9D9"/>
          </w:tcPr>
          <w:p w14:paraId="704D0875" w14:textId="77777777"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Start</w:t>
            </w:r>
          </w:p>
        </w:tc>
        <w:tc>
          <w:tcPr>
            <w:tcW w:w="795" w:type="dxa"/>
            <w:shd w:val="clear" w:color="auto" w:fill="D9D9D9"/>
          </w:tcPr>
          <w:p w14:paraId="564A726E" w14:textId="77777777"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End</w:t>
            </w:r>
          </w:p>
        </w:tc>
        <w:tc>
          <w:tcPr>
            <w:tcW w:w="1783" w:type="dxa"/>
            <w:shd w:val="clear" w:color="auto" w:fill="D9D9D9"/>
          </w:tcPr>
          <w:p w14:paraId="0114BE9B" w14:textId="77777777"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Stakeholders</w:t>
            </w:r>
          </w:p>
        </w:tc>
      </w:tr>
      <w:tr w:rsidR="00EA3152" w:rsidRPr="001F151E" w14:paraId="5BE8E15A" w14:textId="77777777" w:rsidTr="00F75C8C">
        <w:trPr>
          <w:cantSplit/>
          <w:trHeight w:val="456"/>
        </w:trPr>
        <w:tc>
          <w:tcPr>
            <w:tcW w:w="2035" w:type="dxa"/>
            <w:vMerge w:val="restart"/>
            <w:shd w:val="clear" w:color="auto" w:fill="auto"/>
          </w:tcPr>
          <w:p w14:paraId="127ACD7B" w14:textId="77777777" w:rsidR="00E24B2C" w:rsidRPr="001F151E" w:rsidRDefault="00B51989" w:rsidP="003472DA">
            <w:pPr>
              <w:spacing w:line="200" w:lineRule="exact"/>
              <w:rPr>
                <w:rFonts w:eastAsia="Calibri"/>
                <w:b/>
                <w:bCs/>
                <w:sz w:val="16"/>
                <w:szCs w:val="16"/>
              </w:rPr>
            </w:pPr>
            <w:r w:rsidRPr="001F151E">
              <w:rPr>
                <w:rFonts w:eastAsia="Calibri"/>
                <w:b/>
                <w:bCs/>
                <w:sz w:val="16"/>
                <w:szCs w:val="16"/>
              </w:rPr>
              <w:t xml:space="preserve">Measure 1.1.1 </w:t>
            </w:r>
          </w:p>
          <w:p w14:paraId="6E82B948" w14:textId="357C1980" w:rsidR="00B51989" w:rsidRDefault="00B51989" w:rsidP="003472DA">
            <w:pPr>
              <w:spacing w:line="200" w:lineRule="exact"/>
              <w:rPr>
                <w:rFonts w:eastAsia="Calibri"/>
                <w:b/>
                <w:sz w:val="16"/>
                <w:szCs w:val="16"/>
              </w:rPr>
            </w:pPr>
            <w:r w:rsidRPr="001F151E">
              <w:rPr>
                <w:rFonts w:eastAsia="Calibri"/>
                <w:b/>
                <w:sz w:val="16"/>
                <w:szCs w:val="16"/>
              </w:rPr>
              <w:t>Prudent forecasting of macroeconomic indicators in line with independent and international forecasters</w:t>
            </w:r>
          </w:p>
          <w:p w14:paraId="3745DF95" w14:textId="56604873" w:rsidR="004635FB" w:rsidRPr="001F151E" w:rsidRDefault="004635FB" w:rsidP="003472DA">
            <w:pPr>
              <w:spacing w:line="200" w:lineRule="exact"/>
              <w:rPr>
                <w:rFonts w:eastAsia="Times New Roman"/>
                <w:b/>
                <w:bCs/>
                <w:sz w:val="16"/>
                <w:szCs w:val="16"/>
              </w:rPr>
            </w:pPr>
          </w:p>
        </w:tc>
        <w:tc>
          <w:tcPr>
            <w:tcW w:w="3607" w:type="dxa"/>
            <w:vAlign w:val="center"/>
          </w:tcPr>
          <w:p w14:paraId="0E9F2ADD" w14:textId="1972FE79" w:rsidR="00B51989" w:rsidRPr="001F151E" w:rsidRDefault="001C7EF8" w:rsidP="00AF6A3A">
            <w:pPr>
              <w:pStyle w:val="T-number"/>
            </w:pPr>
            <w:r>
              <w:t xml:space="preserve">Continuously benchmark </w:t>
            </w:r>
            <w:r w:rsidR="00B51989" w:rsidRPr="001F151E">
              <w:t>MoF's macroeconomic indicator projections with independent and international forecasters</w:t>
            </w:r>
            <w:r>
              <w:t xml:space="preserve"> and disclose such comparison</w:t>
            </w:r>
            <w:r w:rsidR="00AF6A3A">
              <w:t xml:space="preserve"> annually</w:t>
            </w:r>
            <w:r>
              <w:t>.</w:t>
            </w:r>
            <w:r w:rsidR="00B51989" w:rsidRPr="001F151E">
              <w:t xml:space="preserve"> </w:t>
            </w:r>
            <w:r w:rsidR="00A07044" w:rsidRPr="005C6B26">
              <w:t>This comparative analysis will be disseminated through the</w:t>
            </w:r>
            <w:r w:rsidR="00A07044">
              <w:t>:</w:t>
            </w:r>
            <w:r w:rsidR="00A07044" w:rsidRPr="005C6B26">
              <w:t xml:space="preserve"> "Macroeconomic and Fiscal Framework"</w:t>
            </w:r>
            <w:r w:rsidR="00A07044">
              <w:t xml:space="preserve">; and </w:t>
            </w:r>
            <w:r w:rsidR="00A07044" w:rsidRPr="0019354C">
              <w:rPr>
                <w:rFonts w:eastAsia="Times New Roman"/>
                <w:bCs/>
              </w:rPr>
              <w:t>the "Econo</w:t>
            </w:r>
            <w:r w:rsidR="00A07044">
              <w:rPr>
                <w:rFonts w:eastAsia="Times New Roman"/>
                <w:bCs/>
              </w:rPr>
              <w:t>mic Reform Programme</w:t>
            </w:r>
            <w:r w:rsidR="00A07044" w:rsidRPr="0019354C">
              <w:rPr>
                <w:rFonts w:eastAsia="Times New Roman"/>
                <w:bCs/>
              </w:rPr>
              <w:t>"</w:t>
            </w:r>
            <w:r w:rsidR="00A07044">
              <w:rPr>
                <w:rFonts w:eastAsia="Times New Roman"/>
                <w:bCs/>
              </w:rPr>
              <w:t>.</w:t>
            </w:r>
          </w:p>
        </w:tc>
        <w:tc>
          <w:tcPr>
            <w:tcW w:w="796" w:type="dxa"/>
            <w:shd w:val="clear" w:color="auto" w:fill="auto"/>
            <w:vAlign w:val="center"/>
          </w:tcPr>
          <w:p w14:paraId="0B3C2646" w14:textId="77777777" w:rsidR="00B51989" w:rsidRPr="001F151E" w:rsidRDefault="00B51989" w:rsidP="003472DA">
            <w:pPr>
              <w:spacing w:line="200" w:lineRule="exact"/>
              <w:jc w:val="both"/>
              <w:rPr>
                <w:rFonts w:eastAsia="Calibri"/>
                <w:sz w:val="16"/>
                <w:szCs w:val="16"/>
                <w:highlight w:val="yellow"/>
              </w:rPr>
            </w:pPr>
            <w:r w:rsidRPr="001F151E">
              <w:rPr>
                <w:rFonts w:eastAsia="Calibri"/>
                <w:sz w:val="16"/>
                <w:szCs w:val="16"/>
              </w:rPr>
              <w:t>Q1 2023</w:t>
            </w:r>
          </w:p>
        </w:tc>
        <w:tc>
          <w:tcPr>
            <w:tcW w:w="795" w:type="dxa"/>
            <w:vAlign w:val="center"/>
          </w:tcPr>
          <w:p w14:paraId="1D94F192" w14:textId="77777777" w:rsidR="00B51989" w:rsidRPr="001F151E" w:rsidRDefault="00B51989" w:rsidP="003472DA">
            <w:pPr>
              <w:spacing w:line="200" w:lineRule="exact"/>
              <w:jc w:val="both"/>
              <w:rPr>
                <w:rFonts w:eastAsia="Calibri"/>
                <w:sz w:val="16"/>
                <w:szCs w:val="16"/>
                <w:highlight w:val="yellow"/>
              </w:rPr>
            </w:pPr>
            <w:r w:rsidRPr="001F151E">
              <w:rPr>
                <w:rFonts w:eastAsia="Calibri"/>
                <w:sz w:val="16"/>
                <w:szCs w:val="16"/>
              </w:rPr>
              <w:t>Q4 2026</w:t>
            </w:r>
          </w:p>
        </w:tc>
        <w:tc>
          <w:tcPr>
            <w:tcW w:w="1783" w:type="dxa"/>
            <w:vMerge w:val="restart"/>
          </w:tcPr>
          <w:p w14:paraId="760432F8" w14:textId="77777777"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Responsible entity:</w:t>
            </w:r>
          </w:p>
          <w:p w14:paraId="1A24587F" w14:textId="20040F72" w:rsidR="00B51989" w:rsidRPr="001F151E" w:rsidRDefault="00B51989" w:rsidP="003472DA">
            <w:pPr>
              <w:spacing w:line="200" w:lineRule="exact"/>
              <w:jc w:val="both"/>
              <w:rPr>
                <w:rFonts w:eastAsia="Calibri"/>
                <w:sz w:val="16"/>
                <w:szCs w:val="16"/>
              </w:rPr>
            </w:pPr>
            <w:r w:rsidRPr="001F151E">
              <w:rPr>
                <w:rFonts w:eastAsia="Calibri"/>
                <w:sz w:val="16"/>
                <w:szCs w:val="16"/>
              </w:rPr>
              <w:t>DGMP (lead)</w:t>
            </w:r>
            <w:r w:rsidRPr="001F151E">
              <w:rPr>
                <w:rFonts w:eastAsia="Calibri" w:cs="Open Sans Light"/>
                <w:sz w:val="16"/>
                <w:szCs w:val="16"/>
                <w:vertAlign w:val="superscript"/>
              </w:rPr>
              <w:footnoteReference w:id="5"/>
            </w:r>
          </w:p>
          <w:p w14:paraId="7F63B21C" w14:textId="77777777" w:rsidR="00B51989" w:rsidRPr="001F151E" w:rsidRDefault="00B51989" w:rsidP="003472DA">
            <w:pPr>
              <w:spacing w:line="200" w:lineRule="exact"/>
              <w:jc w:val="both"/>
              <w:rPr>
                <w:rFonts w:eastAsia="Calibri"/>
                <w:b/>
                <w:bCs/>
                <w:sz w:val="8"/>
                <w:szCs w:val="8"/>
              </w:rPr>
            </w:pPr>
          </w:p>
          <w:p w14:paraId="2EB4E24B" w14:textId="77777777" w:rsidR="00B51989" w:rsidRPr="001F151E" w:rsidRDefault="00B51989" w:rsidP="003472DA">
            <w:pPr>
              <w:spacing w:line="200" w:lineRule="exact"/>
              <w:jc w:val="both"/>
              <w:rPr>
                <w:rFonts w:eastAsia="Calibri"/>
                <w:sz w:val="16"/>
                <w:szCs w:val="16"/>
              </w:rPr>
            </w:pPr>
            <w:r w:rsidRPr="001F151E">
              <w:rPr>
                <w:rFonts w:eastAsia="Calibri"/>
                <w:b/>
                <w:bCs/>
                <w:sz w:val="16"/>
                <w:szCs w:val="16"/>
              </w:rPr>
              <w:t>Partners:</w:t>
            </w:r>
            <w:r w:rsidRPr="001F151E">
              <w:rPr>
                <w:rFonts w:eastAsia="Calibri"/>
                <w:sz w:val="16"/>
                <w:szCs w:val="16"/>
              </w:rPr>
              <w:t xml:space="preserve"> </w:t>
            </w:r>
          </w:p>
          <w:p w14:paraId="6C5A367A" w14:textId="77777777" w:rsidR="00B51989" w:rsidRPr="001F151E" w:rsidRDefault="00B51989" w:rsidP="003472DA">
            <w:pPr>
              <w:spacing w:line="200" w:lineRule="exact"/>
              <w:jc w:val="both"/>
              <w:rPr>
                <w:rFonts w:eastAsia="Calibri"/>
                <w:b/>
                <w:bCs/>
                <w:sz w:val="16"/>
                <w:szCs w:val="16"/>
              </w:rPr>
            </w:pPr>
            <w:r w:rsidRPr="001F151E">
              <w:rPr>
                <w:rFonts w:eastAsia="Calibri"/>
                <w:sz w:val="16"/>
                <w:szCs w:val="16"/>
              </w:rPr>
              <w:t>IMF</w:t>
            </w:r>
          </w:p>
        </w:tc>
      </w:tr>
      <w:tr w:rsidR="00EA3152" w:rsidRPr="001F151E" w14:paraId="50B1267C" w14:textId="77777777" w:rsidTr="00F75C8C">
        <w:trPr>
          <w:cantSplit/>
          <w:trHeight w:val="20"/>
        </w:trPr>
        <w:tc>
          <w:tcPr>
            <w:tcW w:w="2035" w:type="dxa"/>
            <w:vMerge/>
            <w:shd w:val="clear" w:color="auto" w:fill="auto"/>
          </w:tcPr>
          <w:p w14:paraId="101A1D6E" w14:textId="77777777" w:rsidR="00B51989" w:rsidRPr="001F151E" w:rsidRDefault="00B51989" w:rsidP="003472DA">
            <w:pPr>
              <w:spacing w:line="200" w:lineRule="exact"/>
              <w:jc w:val="both"/>
              <w:rPr>
                <w:rFonts w:eastAsia="Calibri"/>
                <w:b/>
                <w:bCs/>
                <w:sz w:val="16"/>
                <w:szCs w:val="16"/>
              </w:rPr>
            </w:pPr>
          </w:p>
        </w:tc>
        <w:tc>
          <w:tcPr>
            <w:tcW w:w="3607" w:type="dxa"/>
            <w:vAlign w:val="center"/>
          </w:tcPr>
          <w:p w14:paraId="54E7AF5F" w14:textId="77777777" w:rsidR="00B51989" w:rsidRPr="001F151E" w:rsidRDefault="00B51989" w:rsidP="00E24B2C">
            <w:pPr>
              <w:pStyle w:val="T-number"/>
            </w:pPr>
            <w:r w:rsidRPr="001F151E">
              <w:t xml:space="preserve">Address vacancies for specialized staff and develop and implement specialized training of DGMP staff. </w:t>
            </w:r>
          </w:p>
        </w:tc>
        <w:tc>
          <w:tcPr>
            <w:tcW w:w="796" w:type="dxa"/>
            <w:shd w:val="clear" w:color="auto" w:fill="auto"/>
            <w:vAlign w:val="center"/>
          </w:tcPr>
          <w:p w14:paraId="573FA202" w14:textId="77777777" w:rsidR="00B51989" w:rsidRPr="001F151E" w:rsidRDefault="00B51989" w:rsidP="003472DA">
            <w:pPr>
              <w:spacing w:line="200" w:lineRule="exact"/>
              <w:jc w:val="both"/>
              <w:rPr>
                <w:rFonts w:eastAsia="Calibri"/>
                <w:sz w:val="16"/>
                <w:szCs w:val="16"/>
              </w:rPr>
            </w:pPr>
            <w:r w:rsidRPr="001F151E">
              <w:rPr>
                <w:rFonts w:eastAsia="Calibri"/>
                <w:sz w:val="16"/>
                <w:szCs w:val="16"/>
              </w:rPr>
              <w:t>Q4 2023</w:t>
            </w:r>
          </w:p>
        </w:tc>
        <w:tc>
          <w:tcPr>
            <w:tcW w:w="795" w:type="dxa"/>
            <w:vAlign w:val="center"/>
          </w:tcPr>
          <w:p w14:paraId="3F37000B" w14:textId="77777777" w:rsidR="00B51989" w:rsidRPr="001F151E" w:rsidRDefault="00B51989" w:rsidP="003472DA">
            <w:pPr>
              <w:spacing w:line="200" w:lineRule="exact"/>
              <w:jc w:val="both"/>
              <w:rPr>
                <w:rFonts w:eastAsia="Calibri"/>
                <w:sz w:val="16"/>
                <w:szCs w:val="16"/>
              </w:rPr>
            </w:pPr>
            <w:r w:rsidRPr="001F151E">
              <w:rPr>
                <w:rFonts w:eastAsia="Calibri"/>
                <w:sz w:val="16"/>
                <w:szCs w:val="16"/>
              </w:rPr>
              <w:t>Q4 2026</w:t>
            </w:r>
          </w:p>
        </w:tc>
        <w:tc>
          <w:tcPr>
            <w:tcW w:w="1783" w:type="dxa"/>
            <w:vMerge/>
          </w:tcPr>
          <w:p w14:paraId="3C096D41" w14:textId="77777777" w:rsidR="00B51989" w:rsidRPr="001F151E" w:rsidRDefault="00B51989" w:rsidP="003472DA">
            <w:pPr>
              <w:spacing w:line="200" w:lineRule="exact"/>
              <w:jc w:val="both"/>
              <w:rPr>
                <w:rFonts w:eastAsia="Calibri"/>
                <w:b/>
                <w:bCs/>
                <w:sz w:val="16"/>
                <w:szCs w:val="16"/>
              </w:rPr>
            </w:pPr>
          </w:p>
        </w:tc>
      </w:tr>
      <w:tr w:rsidR="00EA3152" w:rsidRPr="001F151E" w14:paraId="436075CB" w14:textId="77777777" w:rsidTr="00F75C8C">
        <w:trPr>
          <w:cantSplit/>
          <w:trHeight w:val="13"/>
        </w:trPr>
        <w:tc>
          <w:tcPr>
            <w:tcW w:w="2035" w:type="dxa"/>
            <w:shd w:val="clear" w:color="auto" w:fill="auto"/>
          </w:tcPr>
          <w:p w14:paraId="18660A7C" w14:textId="77777777" w:rsidR="00E24B2C" w:rsidRPr="001F151E" w:rsidRDefault="00B51989" w:rsidP="003472DA">
            <w:pPr>
              <w:spacing w:line="200" w:lineRule="exact"/>
              <w:rPr>
                <w:rFonts w:eastAsia="Calibri"/>
                <w:b/>
                <w:bCs/>
                <w:sz w:val="16"/>
                <w:szCs w:val="16"/>
              </w:rPr>
            </w:pPr>
            <w:r w:rsidRPr="001F151E">
              <w:rPr>
                <w:rFonts w:eastAsia="Calibri"/>
                <w:b/>
                <w:bCs/>
                <w:sz w:val="16"/>
                <w:szCs w:val="16"/>
              </w:rPr>
              <w:t xml:space="preserve">Measure 1.1.2 </w:t>
            </w:r>
          </w:p>
          <w:p w14:paraId="371E5504" w14:textId="74EB1FF5" w:rsidR="00B51989" w:rsidRPr="001F151E" w:rsidRDefault="00E65CA5" w:rsidP="00E74613">
            <w:pPr>
              <w:spacing w:line="200" w:lineRule="exact"/>
              <w:rPr>
                <w:rFonts w:eastAsia="Calibri"/>
                <w:b/>
                <w:sz w:val="16"/>
                <w:szCs w:val="16"/>
              </w:rPr>
            </w:pPr>
            <w:r w:rsidRPr="003C1B7A">
              <w:rPr>
                <w:rFonts w:eastAsia="Calibri"/>
                <w:b/>
                <w:bCs/>
                <w:sz w:val="16"/>
                <w:szCs w:val="16"/>
              </w:rPr>
              <w:t>Prudent and realistic medium-term revenue forecasting in line with independent and international forecasters</w:t>
            </w:r>
          </w:p>
        </w:tc>
        <w:tc>
          <w:tcPr>
            <w:tcW w:w="3607" w:type="dxa"/>
          </w:tcPr>
          <w:p w14:paraId="21B0387F" w14:textId="5CF58E8D" w:rsidR="00B51989" w:rsidRPr="001F151E" w:rsidRDefault="00791005" w:rsidP="00B45892">
            <w:pPr>
              <w:pStyle w:val="T-number"/>
              <w:numPr>
                <w:ilvl w:val="0"/>
                <w:numId w:val="89"/>
              </w:numPr>
            </w:pPr>
            <w:r>
              <w:t xml:space="preserve">Continuously benchmark and disclose the </w:t>
            </w:r>
            <w:r w:rsidR="00B51989" w:rsidRPr="001F151E">
              <w:t xml:space="preserve">MoF's </w:t>
            </w:r>
            <w:r w:rsidR="00B51989" w:rsidRPr="001F151E">
              <w:rPr>
                <w:rFonts w:eastAsia="Calibri"/>
              </w:rPr>
              <w:t>medium-term revenue forecast</w:t>
            </w:r>
            <w:r w:rsidR="00B51989" w:rsidRPr="001F151E">
              <w:t xml:space="preserve"> projections with independent and international forecasters. </w:t>
            </w:r>
            <w:r w:rsidR="00A07044" w:rsidRPr="005C6B26">
              <w:t>This comparative analysis will be disseminated through the</w:t>
            </w:r>
            <w:r w:rsidR="00A07044">
              <w:t xml:space="preserve">: </w:t>
            </w:r>
            <w:r w:rsidR="00A07044" w:rsidRPr="005C6B26">
              <w:t xml:space="preserve"> "Macroeconomic and Fiscal Framework"</w:t>
            </w:r>
            <w:r w:rsidR="00A07044">
              <w:t>;</w:t>
            </w:r>
            <w:r w:rsidR="00A07044" w:rsidRPr="005C6B26">
              <w:t xml:space="preserve"> and "Economic Reform Programme".</w:t>
            </w:r>
          </w:p>
        </w:tc>
        <w:tc>
          <w:tcPr>
            <w:tcW w:w="796" w:type="dxa"/>
            <w:vAlign w:val="center"/>
          </w:tcPr>
          <w:p w14:paraId="007422E7" w14:textId="77777777" w:rsidR="00B51989" w:rsidRPr="001F151E" w:rsidRDefault="00B51989" w:rsidP="003472DA">
            <w:pPr>
              <w:spacing w:line="200" w:lineRule="exact"/>
              <w:jc w:val="both"/>
              <w:rPr>
                <w:rFonts w:eastAsia="Calibri"/>
                <w:sz w:val="16"/>
                <w:szCs w:val="16"/>
              </w:rPr>
            </w:pPr>
            <w:r w:rsidRPr="001F151E">
              <w:rPr>
                <w:rFonts w:eastAsia="Calibri"/>
                <w:sz w:val="16"/>
                <w:szCs w:val="16"/>
              </w:rPr>
              <w:t>Q1 2025</w:t>
            </w:r>
          </w:p>
        </w:tc>
        <w:tc>
          <w:tcPr>
            <w:tcW w:w="795" w:type="dxa"/>
            <w:vAlign w:val="center"/>
          </w:tcPr>
          <w:p w14:paraId="026BA554" w14:textId="77777777" w:rsidR="00B51989" w:rsidRPr="001F151E" w:rsidRDefault="00B51989" w:rsidP="003472DA">
            <w:pPr>
              <w:spacing w:line="200" w:lineRule="exact"/>
              <w:jc w:val="both"/>
              <w:rPr>
                <w:rFonts w:eastAsia="Calibri"/>
                <w:sz w:val="16"/>
                <w:szCs w:val="16"/>
              </w:rPr>
            </w:pPr>
            <w:r w:rsidRPr="001F151E">
              <w:rPr>
                <w:rFonts w:eastAsia="Calibri"/>
                <w:sz w:val="16"/>
                <w:szCs w:val="16"/>
              </w:rPr>
              <w:t>Q4 2026</w:t>
            </w:r>
          </w:p>
        </w:tc>
        <w:tc>
          <w:tcPr>
            <w:tcW w:w="1783" w:type="dxa"/>
          </w:tcPr>
          <w:p w14:paraId="76B23DD6" w14:textId="77777777"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 xml:space="preserve">Responsible entity: </w:t>
            </w:r>
          </w:p>
          <w:p w14:paraId="2EFB3A88" w14:textId="30072B74" w:rsidR="00B51989" w:rsidRPr="001F151E" w:rsidRDefault="00B51989" w:rsidP="003472DA">
            <w:pPr>
              <w:spacing w:line="200" w:lineRule="exact"/>
              <w:jc w:val="both"/>
              <w:rPr>
                <w:rFonts w:eastAsia="Calibri"/>
                <w:sz w:val="16"/>
                <w:szCs w:val="16"/>
              </w:rPr>
            </w:pPr>
            <w:r w:rsidRPr="001F151E">
              <w:rPr>
                <w:rFonts w:eastAsia="Calibri"/>
                <w:sz w:val="16"/>
                <w:szCs w:val="16"/>
              </w:rPr>
              <w:t>DGMP (lead)</w:t>
            </w:r>
          </w:p>
          <w:p w14:paraId="77014167" w14:textId="77777777" w:rsidR="00B51989" w:rsidRPr="001F151E" w:rsidRDefault="00B51989" w:rsidP="003472DA">
            <w:pPr>
              <w:spacing w:line="200" w:lineRule="exact"/>
              <w:jc w:val="both"/>
              <w:rPr>
                <w:rFonts w:eastAsia="Calibri"/>
                <w:b/>
                <w:bCs/>
                <w:sz w:val="8"/>
                <w:szCs w:val="8"/>
              </w:rPr>
            </w:pPr>
          </w:p>
          <w:p w14:paraId="06370FFF" w14:textId="77777777"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Partners:</w:t>
            </w:r>
          </w:p>
          <w:p w14:paraId="096D5B9E" w14:textId="77777777" w:rsidR="00B51989" w:rsidRPr="001F151E" w:rsidRDefault="00B51989" w:rsidP="003472DA">
            <w:pPr>
              <w:spacing w:line="200" w:lineRule="exact"/>
              <w:jc w:val="both"/>
              <w:rPr>
                <w:rFonts w:eastAsia="Calibri"/>
                <w:sz w:val="16"/>
                <w:szCs w:val="16"/>
              </w:rPr>
            </w:pPr>
            <w:r w:rsidRPr="001F151E">
              <w:rPr>
                <w:rFonts w:eastAsia="Calibri"/>
                <w:sz w:val="16"/>
                <w:szCs w:val="16"/>
              </w:rPr>
              <w:t>IMF</w:t>
            </w:r>
          </w:p>
        </w:tc>
      </w:tr>
      <w:tr w:rsidR="00EA3152" w:rsidRPr="001F151E" w14:paraId="0FDA76CB" w14:textId="77777777" w:rsidTr="00F75C8C">
        <w:trPr>
          <w:cantSplit/>
          <w:trHeight w:val="420"/>
        </w:trPr>
        <w:tc>
          <w:tcPr>
            <w:tcW w:w="2035" w:type="dxa"/>
            <w:vMerge w:val="restart"/>
            <w:shd w:val="clear" w:color="auto" w:fill="auto"/>
          </w:tcPr>
          <w:p w14:paraId="6693CBD4" w14:textId="03D79D59" w:rsidR="00B51989" w:rsidRPr="001F151E" w:rsidRDefault="00B51989" w:rsidP="001D365D">
            <w:pPr>
              <w:spacing w:line="200" w:lineRule="exact"/>
              <w:rPr>
                <w:rFonts w:eastAsia="Calibri"/>
                <w:b/>
                <w:bCs/>
                <w:sz w:val="16"/>
                <w:szCs w:val="16"/>
              </w:rPr>
            </w:pPr>
            <w:r w:rsidRPr="001F151E">
              <w:rPr>
                <w:rFonts w:eastAsia="Calibri"/>
                <w:b/>
                <w:bCs/>
                <w:sz w:val="16"/>
                <w:szCs w:val="16"/>
              </w:rPr>
              <w:t>Measure 1.1.3 Safeguard sound public finances through the permanent compliance with the Fiscal Rules</w:t>
            </w:r>
          </w:p>
        </w:tc>
        <w:tc>
          <w:tcPr>
            <w:tcW w:w="3607" w:type="dxa"/>
          </w:tcPr>
          <w:p w14:paraId="4EFF711C" w14:textId="4ACD4116" w:rsidR="00B51989" w:rsidRPr="001F151E" w:rsidRDefault="00B51989" w:rsidP="00B45892">
            <w:pPr>
              <w:pStyle w:val="T-number"/>
              <w:numPr>
                <w:ilvl w:val="0"/>
                <w:numId w:val="88"/>
              </w:numPr>
              <w:rPr>
                <w:rFonts w:eastAsia="Calibri"/>
              </w:rPr>
            </w:pPr>
            <w:r w:rsidRPr="001F151E">
              <w:rPr>
                <w:rFonts w:eastAsia="Calibri"/>
              </w:rPr>
              <w:t>Guaranteeing strict compliance with legislatively mandated fiscal rules. This commitment underscores the dedication to abiding by established fiscal regulations, fostering a resilient fiscal framework and reinforcing the stability and accountability of public finances.</w:t>
            </w:r>
          </w:p>
        </w:tc>
        <w:tc>
          <w:tcPr>
            <w:tcW w:w="796" w:type="dxa"/>
            <w:vAlign w:val="center"/>
          </w:tcPr>
          <w:p w14:paraId="38A32AFF" w14:textId="77777777" w:rsidR="00B51989" w:rsidRPr="001F151E" w:rsidRDefault="00B51989" w:rsidP="003472DA">
            <w:pPr>
              <w:spacing w:line="200" w:lineRule="exact"/>
              <w:jc w:val="both"/>
              <w:rPr>
                <w:rFonts w:eastAsia="Calibri"/>
                <w:sz w:val="16"/>
                <w:szCs w:val="16"/>
              </w:rPr>
            </w:pPr>
            <w:r w:rsidRPr="001F151E">
              <w:rPr>
                <w:rFonts w:eastAsia="Calibri"/>
                <w:sz w:val="16"/>
                <w:szCs w:val="16"/>
              </w:rPr>
              <w:t>Q1 2023</w:t>
            </w:r>
          </w:p>
        </w:tc>
        <w:tc>
          <w:tcPr>
            <w:tcW w:w="795" w:type="dxa"/>
            <w:vAlign w:val="center"/>
          </w:tcPr>
          <w:p w14:paraId="66B53AB9" w14:textId="77777777" w:rsidR="00B51989" w:rsidRPr="001F151E" w:rsidRDefault="00B51989" w:rsidP="003472DA">
            <w:pPr>
              <w:spacing w:line="200" w:lineRule="exact"/>
              <w:jc w:val="both"/>
              <w:rPr>
                <w:rFonts w:eastAsia="Calibri"/>
                <w:sz w:val="16"/>
                <w:szCs w:val="16"/>
              </w:rPr>
            </w:pPr>
            <w:r w:rsidRPr="001F151E">
              <w:rPr>
                <w:rFonts w:eastAsia="Calibri"/>
                <w:sz w:val="16"/>
                <w:szCs w:val="16"/>
              </w:rPr>
              <w:t>Q4 2026</w:t>
            </w:r>
          </w:p>
        </w:tc>
        <w:tc>
          <w:tcPr>
            <w:tcW w:w="1783" w:type="dxa"/>
            <w:vMerge w:val="restart"/>
          </w:tcPr>
          <w:p w14:paraId="519AACFD" w14:textId="77777777"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 xml:space="preserve">Responsible entity: </w:t>
            </w:r>
          </w:p>
          <w:p w14:paraId="35EB4153" w14:textId="250E0183" w:rsidR="00B51989" w:rsidRPr="001F151E" w:rsidRDefault="00B51989" w:rsidP="003472DA">
            <w:pPr>
              <w:spacing w:line="200" w:lineRule="exact"/>
              <w:jc w:val="both"/>
              <w:rPr>
                <w:rFonts w:eastAsia="Calibri"/>
                <w:bCs/>
                <w:sz w:val="16"/>
                <w:szCs w:val="16"/>
              </w:rPr>
            </w:pPr>
            <w:r w:rsidRPr="001F151E">
              <w:rPr>
                <w:rFonts w:eastAsia="Calibri"/>
                <w:bCs/>
                <w:sz w:val="16"/>
                <w:szCs w:val="16"/>
              </w:rPr>
              <w:t>DGMP (lead)</w:t>
            </w:r>
          </w:p>
          <w:p w14:paraId="1D35D7B5" w14:textId="77777777" w:rsidR="00B51989" w:rsidRPr="001F151E" w:rsidRDefault="00B51989" w:rsidP="003472DA">
            <w:pPr>
              <w:spacing w:line="200" w:lineRule="exact"/>
              <w:jc w:val="both"/>
              <w:rPr>
                <w:rFonts w:eastAsia="Calibri"/>
                <w:bCs/>
                <w:sz w:val="16"/>
                <w:szCs w:val="16"/>
              </w:rPr>
            </w:pPr>
          </w:p>
          <w:p w14:paraId="35A10A54" w14:textId="77777777" w:rsidR="00B51989" w:rsidRPr="001F151E" w:rsidRDefault="00B51989" w:rsidP="003472DA">
            <w:pPr>
              <w:spacing w:line="200" w:lineRule="exact"/>
              <w:jc w:val="both"/>
              <w:rPr>
                <w:rFonts w:eastAsia="Calibri"/>
                <w:b/>
                <w:bCs/>
                <w:sz w:val="16"/>
                <w:szCs w:val="16"/>
              </w:rPr>
            </w:pPr>
            <w:r w:rsidRPr="001F151E">
              <w:rPr>
                <w:rFonts w:eastAsia="Calibri"/>
                <w:b/>
                <w:bCs/>
                <w:sz w:val="16"/>
                <w:szCs w:val="16"/>
              </w:rPr>
              <w:t>Partners:</w:t>
            </w:r>
          </w:p>
          <w:p w14:paraId="7E160E9B" w14:textId="77777777" w:rsidR="00B51989" w:rsidRPr="001F151E" w:rsidRDefault="00B51989" w:rsidP="003472DA">
            <w:pPr>
              <w:spacing w:line="200" w:lineRule="exact"/>
              <w:jc w:val="both"/>
              <w:rPr>
                <w:rFonts w:eastAsia="Calibri"/>
                <w:bCs/>
                <w:sz w:val="16"/>
                <w:szCs w:val="16"/>
              </w:rPr>
            </w:pPr>
            <w:r w:rsidRPr="001F151E">
              <w:rPr>
                <w:rFonts w:eastAsia="Calibri"/>
                <w:bCs/>
                <w:sz w:val="16"/>
                <w:szCs w:val="16"/>
              </w:rPr>
              <w:t>IMF</w:t>
            </w:r>
          </w:p>
          <w:p w14:paraId="2F3B4533" w14:textId="77777777" w:rsidR="00B51989" w:rsidRPr="001F151E" w:rsidRDefault="00B51989" w:rsidP="003472DA">
            <w:pPr>
              <w:spacing w:line="200" w:lineRule="exact"/>
              <w:jc w:val="both"/>
              <w:rPr>
                <w:rFonts w:eastAsia="Calibri"/>
                <w:bCs/>
                <w:sz w:val="16"/>
                <w:szCs w:val="16"/>
              </w:rPr>
            </w:pPr>
          </w:p>
        </w:tc>
      </w:tr>
      <w:tr w:rsidR="00EA3152" w:rsidRPr="001F151E" w14:paraId="7DE735E9" w14:textId="77777777" w:rsidTr="00F75C8C">
        <w:trPr>
          <w:cantSplit/>
          <w:trHeight w:val="20"/>
        </w:trPr>
        <w:tc>
          <w:tcPr>
            <w:tcW w:w="2035" w:type="dxa"/>
            <w:vMerge/>
            <w:shd w:val="clear" w:color="auto" w:fill="auto"/>
          </w:tcPr>
          <w:p w14:paraId="4B0C053D" w14:textId="77777777" w:rsidR="00B51989" w:rsidRPr="001F151E" w:rsidRDefault="00B51989" w:rsidP="003472DA">
            <w:pPr>
              <w:spacing w:line="200" w:lineRule="exact"/>
              <w:rPr>
                <w:rFonts w:eastAsia="Calibri"/>
                <w:b/>
                <w:bCs/>
                <w:sz w:val="16"/>
                <w:szCs w:val="16"/>
              </w:rPr>
            </w:pPr>
          </w:p>
        </w:tc>
        <w:tc>
          <w:tcPr>
            <w:tcW w:w="3607" w:type="dxa"/>
          </w:tcPr>
          <w:p w14:paraId="2731D78B" w14:textId="65DAC2E8" w:rsidR="00B51989" w:rsidRPr="001F151E" w:rsidRDefault="00B51989" w:rsidP="00774A76">
            <w:pPr>
              <w:pStyle w:val="T-number"/>
              <w:rPr>
                <w:rFonts w:eastAsia="Calibri"/>
              </w:rPr>
            </w:pPr>
            <w:r w:rsidRPr="001F151E">
              <w:rPr>
                <w:rFonts w:eastAsia="Calibri"/>
              </w:rPr>
              <w:t xml:space="preserve">Enhancing transparency and providing comprehensive explanations pertaining to the adherence to fiscal rules. </w:t>
            </w:r>
            <w:r w:rsidR="00A07044" w:rsidRPr="005C6B26">
              <w:rPr>
                <w:rFonts w:eastAsia="Calibri"/>
              </w:rPr>
              <w:t>This commitment will be fulfilled through the regul</w:t>
            </w:r>
            <w:r w:rsidR="00A07044">
              <w:rPr>
                <w:rFonts w:eastAsia="Calibri"/>
              </w:rPr>
              <w:t xml:space="preserve">ar dissemination in </w:t>
            </w:r>
            <w:r w:rsidR="00A07044" w:rsidRPr="005C6B26">
              <w:rPr>
                <w:rFonts w:eastAsia="Calibri"/>
              </w:rPr>
              <w:t>the</w:t>
            </w:r>
            <w:r w:rsidR="00A07044">
              <w:rPr>
                <w:rFonts w:eastAsia="Calibri"/>
              </w:rPr>
              <w:t>:</w:t>
            </w:r>
            <w:r w:rsidR="00A07044" w:rsidRPr="005C6B26">
              <w:rPr>
                <w:rFonts w:eastAsia="Calibri"/>
              </w:rPr>
              <w:t xml:space="preserve"> “Macroe</w:t>
            </w:r>
            <w:r w:rsidR="00A07044">
              <w:rPr>
                <w:rFonts w:eastAsia="Calibri"/>
              </w:rPr>
              <w:t>conomic and Fiscal Framework";</w:t>
            </w:r>
            <w:r w:rsidR="00A07044" w:rsidRPr="005C6B26">
              <w:rPr>
                <w:rFonts w:eastAsia="Calibri"/>
              </w:rPr>
              <w:t xml:space="preserve"> </w:t>
            </w:r>
            <w:r w:rsidR="00A07044">
              <w:rPr>
                <w:rFonts w:eastAsia="Calibri"/>
              </w:rPr>
              <w:t>"Economic Reform Programme";</w:t>
            </w:r>
            <w:r w:rsidR="00A07044" w:rsidRPr="005C6B26">
              <w:rPr>
                <w:rFonts w:eastAsia="Calibri"/>
              </w:rPr>
              <w:t xml:space="preserve"> and the "Report on the Implementation of the Annual Budget, Macroeconomic and Fiscal Situation".</w:t>
            </w:r>
          </w:p>
        </w:tc>
        <w:tc>
          <w:tcPr>
            <w:tcW w:w="796" w:type="dxa"/>
            <w:vAlign w:val="center"/>
          </w:tcPr>
          <w:p w14:paraId="3E26B5EE" w14:textId="77777777" w:rsidR="00B51989" w:rsidRPr="001F151E" w:rsidRDefault="00B51989" w:rsidP="00EA3152">
            <w:pPr>
              <w:spacing w:line="200" w:lineRule="exact"/>
              <w:jc w:val="center"/>
              <w:rPr>
                <w:rFonts w:eastAsia="Calibri"/>
                <w:sz w:val="16"/>
                <w:szCs w:val="16"/>
              </w:rPr>
            </w:pPr>
            <w:r w:rsidRPr="001F151E">
              <w:rPr>
                <w:rFonts w:eastAsia="Calibri"/>
                <w:sz w:val="16"/>
                <w:szCs w:val="16"/>
              </w:rPr>
              <w:t>Q1 2023</w:t>
            </w:r>
          </w:p>
        </w:tc>
        <w:tc>
          <w:tcPr>
            <w:tcW w:w="795" w:type="dxa"/>
            <w:vAlign w:val="center"/>
          </w:tcPr>
          <w:p w14:paraId="6E1E3B68" w14:textId="77777777" w:rsidR="00B51989" w:rsidRPr="001F151E" w:rsidRDefault="00B51989" w:rsidP="00EA3152">
            <w:pPr>
              <w:spacing w:line="200" w:lineRule="exact"/>
              <w:jc w:val="center"/>
              <w:rPr>
                <w:rFonts w:eastAsia="Calibri"/>
                <w:sz w:val="16"/>
                <w:szCs w:val="16"/>
              </w:rPr>
            </w:pPr>
            <w:r w:rsidRPr="001F151E">
              <w:rPr>
                <w:rFonts w:eastAsia="Calibri"/>
                <w:sz w:val="16"/>
                <w:szCs w:val="16"/>
              </w:rPr>
              <w:t>Q4 2026</w:t>
            </w:r>
          </w:p>
        </w:tc>
        <w:tc>
          <w:tcPr>
            <w:tcW w:w="1783" w:type="dxa"/>
            <w:vMerge/>
          </w:tcPr>
          <w:p w14:paraId="18D9FDB8" w14:textId="77777777" w:rsidR="00B51989" w:rsidRPr="001F151E" w:rsidRDefault="00B51989" w:rsidP="003472DA">
            <w:pPr>
              <w:spacing w:line="200" w:lineRule="exact"/>
              <w:jc w:val="both"/>
              <w:rPr>
                <w:rFonts w:eastAsia="Calibri"/>
                <w:b/>
                <w:bCs/>
                <w:sz w:val="16"/>
                <w:szCs w:val="16"/>
              </w:rPr>
            </w:pPr>
          </w:p>
        </w:tc>
      </w:tr>
    </w:tbl>
    <w:p w14:paraId="585D8010" w14:textId="77777777" w:rsidR="000D65EC" w:rsidRDefault="000D65EC" w:rsidP="00B51989">
      <w:pPr>
        <w:pStyle w:val="H5"/>
        <w:rPr>
          <w:lang w:val="en-GB"/>
        </w:rPr>
      </w:pPr>
    </w:p>
    <w:p w14:paraId="408CA944" w14:textId="497AF245" w:rsidR="00B51989" w:rsidRPr="001F151E" w:rsidRDefault="00AB73F1" w:rsidP="00B51989">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B51989" w:rsidRPr="001F151E" w14:paraId="19B44346" w14:textId="77777777" w:rsidTr="003472DA">
        <w:tc>
          <w:tcPr>
            <w:tcW w:w="311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F466A5F" w14:textId="77777777" w:rsidR="00B51989" w:rsidRPr="001F151E" w:rsidRDefault="00B51989" w:rsidP="003472DA">
            <w:pPr>
              <w:spacing w:line="264" w:lineRule="auto"/>
              <w:jc w:val="center"/>
              <w:rPr>
                <w:rFonts w:eastAsia="Calibri"/>
                <w:b/>
                <w:bCs/>
                <w:sz w:val="16"/>
                <w:szCs w:val="16"/>
              </w:rPr>
            </w:pPr>
            <w:r w:rsidRPr="001F151E">
              <w:rPr>
                <w:rFonts w:eastAsia="Calibri"/>
                <w:b/>
                <w:bCs/>
                <w:sz w:val="16"/>
                <w:szCs w:val="16"/>
              </w:rPr>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7B6BA217" w14:textId="0686A6AF" w:rsidR="00B51989" w:rsidRPr="001F151E" w:rsidRDefault="00B51989" w:rsidP="003472DA">
            <w:pPr>
              <w:spacing w:line="264" w:lineRule="auto"/>
              <w:jc w:val="center"/>
              <w:rPr>
                <w:rFonts w:eastAsia="Calibri"/>
                <w:b/>
                <w:bCs/>
                <w:sz w:val="16"/>
                <w:szCs w:val="16"/>
              </w:rPr>
            </w:pPr>
            <w:r w:rsidRPr="001F151E">
              <w:rPr>
                <w:rFonts w:eastAsia="Calibri"/>
                <w:b/>
                <w:bCs/>
                <w:sz w:val="16"/>
                <w:szCs w:val="16"/>
              </w:rPr>
              <w:t>Baseline value (</w:t>
            </w:r>
            <w:r w:rsidR="000909BA" w:rsidRPr="001F151E">
              <w:rPr>
                <w:rFonts w:eastAsia="Calibri"/>
                <w:b/>
                <w:bCs/>
                <w:sz w:val="16"/>
                <w:szCs w:val="16"/>
              </w:rPr>
              <w:t>year</w:t>
            </w:r>
            <w:r w:rsidRPr="001F151E">
              <w:rPr>
                <w:rFonts w:eastAsia="Calibri"/>
                <w:b/>
                <w:bCs/>
                <w:sz w:val="16"/>
                <w:szCs w:val="16"/>
              </w:rPr>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B3635A1" w14:textId="77777777" w:rsidR="00B51989" w:rsidRPr="001F151E" w:rsidRDefault="00B51989" w:rsidP="003472DA">
            <w:pPr>
              <w:spacing w:line="264" w:lineRule="auto"/>
              <w:jc w:val="center"/>
              <w:rPr>
                <w:rFonts w:eastAsia="Calibri"/>
                <w:b/>
                <w:bCs/>
                <w:sz w:val="16"/>
                <w:szCs w:val="16"/>
              </w:rPr>
            </w:pPr>
            <w:r w:rsidRPr="001F151E">
              <w:rPr>
                <w:rFonts w:eastAsia="Calibri"/>
                <w:b/>
                <w:bCs/>
                <w:sz w:val="16"/>
                <w:szCs w:val="16"/>
              </w:rPr>
              <w:t>Target Value</w:t>
            </w:r>
          </w:p>
        </w:tc>
      </w:tr>
      <w:tr w:rsidR="00B51989" w:rsidRPr="001F151E" w14:paraId="419A514D" w14:textId="77777777" w:rsidTr="003472DA">
        <w:tc>
          <w:tcPr>
            <w:tcW w:w="3114" w:type="dxa"/>
            <w:vMerge/>
            <w:tcBorders>
              <w:top w:val="single" w:sz="4" w:space="0" w:color="auto"/>
              <w:left w:val="single" w:sz="4" w:space="0" w:color="auto"/>
              <w:bottom w:val="single" w:sz="4" w:space="0" w:color="auto"/>
              <w:right w:val="single" w:sz="4" w:space="0" w:color="auto"/>
            </w:tcBorders>
            <w:vAlign w:val="center"/>
            <w:hideMark/>
          </w:tcPr>
          <w:p w14:paraId="3385898E" w14:textId="77777777" w:rsidR="00B51989" w:rsidRPr="001F151E" w:rsidRDefault="00B51989" w:rsidP="003472DA">
            <w:pPr>
              <w:spacing w:line="264" w:lineRule="auto"/>
              <w:jc w:val="both"/>
              <w:rPr>
                <w:rFonts w:eastAsia="Calibri"/>
                <w:b/>
                <w:bCs/>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4FADE1C" w14:textId="77777777" w:rsidR="00B51989" w:rsidRPr="001F151E" w:rsidRDefault="00B51989" w:rsidP="003472DA">
            <w:pPr>
              <w:spacing w:line="264" w:lineRule="auto"/>
              <w:jc w:val="both"/>
              <w:rPr>
                <w:rFonts w:eastAsia="Calibri"/>
                <w:b/>
                <w:bCs/>
                <w:sz w:val="16"/>
                <w:szCs w:val="16"/>
              </w:rPr>
            </w:pP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27A3A0" w14:textId="77777777" w:rsidR="00B51989" w:rsidRPr="001F151E" w:rsidRDefault="00B51989" w:rsidP="003472DA">
            <w:pPr>
              <w:spacing w:line="264" w:lineRule="auto"/>
              <w:jc w:val="center"/>
              <w:rPr>
                <w:rFonts w:eastAsia="Calibri"/>
                <w:b/>
                <w:bCs/>
                <w:sz w:val="16"/>
                <w:szCs w:val="16"/>
              </w:rPr>
            </w:pPr>
            <w:r w:rsidRPr="001F151E">
              <w:rPr>
                <w:rFonts w:eastAsia="Calibri"/>
                <w:b/>
                <w:bCs/>
                <w:sz w:val="16"/>
                <w:szCs w:val="16"/>
              </w:rPr>
              <w:t>2023</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BD0797" w14:textId="77777777" w:rsidR="00B51989" w:rsidRPr="001F151E" w:rsidRDefault="00B51989" w:rsidP="003472DA">
            <w:pPr>
              <w:spacing w:line="264" w:lineRule="auto"/>
              <w:jc w:val="center"/>
              <w:rPr>
                <w:rFonts w:eastAsia="Calibri"/>
                <w:b/>
                <w:bCs/>
                <w:sz w:val="16"/>
                <w:szCs w:val="16"/>
              </w:rPr>
            </w:pPr>
            <w:r w:rsidRPr="001F151E">
              <w:rPr>
                <w:rFonts w:eastAsia="Calibri"/>
                <w:b/>
                <w:bCs/>
                <w:sz w:val="16"/>
                <w:szCs w:val="16"/>
              </w:rPr>
              <w:t>2024</w:t>
            </w: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D91D39" w14:textId="77777777" w:rsidR="00B51989" w:rsidRPr="001F151E" w:rsidRDefault="00B51989" w:rsidP="003472DA">
            <w:pPr>
              <w:spacing w:line="264" w:lineRule="auto"/>
              <w:jc w:val="center"/>
              <w:rPr>
                <w:rFonts w:eastAsia="Calibri"/>
                <w:b/>
                <w:bCs/>
                <w:sz w:val="16"/>
                <w:szCs w:val="16"/>
              </w:rPr>
            </w:pPr>
            <w:r w:rsidRPr="001F151E">
              <w:rPr>
                <w:rFonts w:eastAsia="Calibri"/>
                <w:b/>
                <w:bCs/>
                <w:sz w:val="16"/>
                <w:szCs w:val="16"/>
              </w:rPr>
              <w:t>2025</w:t>
            </w: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42E6BB" w14:textId="77777777" w:rsidR="00B51989" w:rsidRPr="001F151E" w:rsidRDefault="00B51989" w:rsidP="003472DA">
            <w:pPr>
              <w:spacing w:line="264" w:lineRule="auto"/>
              <w:jc w:val="center"/>
              <w:rPr>
                <w:rFonts w:eastAsia="Calibri"/>
                <w:b/>
                <w:bCs/>
                <w:sz w:val="16"/>
                <w:szCs w:val="16"/>
              </w:rPr>
            </w:pPr>
            <w:r w:rsidRPr="001F151E">
              <w:rPr>
                <w:rFonts w:eastAsia="Calibri"/>
                <w:b/>
                <w:bCs/>
                <w:sz w:val="16"/>
                <w:szCs w:val="16"/>
              </w:rPr>
              <w:t>2026</w:t>
            </w:r>
          </w:p>
        </w:tc>
      </w:tr>
      <w:tr w:rsidR="00B51989" w:rsidRPr="001F151E" w14:paraId="113699F2" w14:textId="77777777" w:rsidTr="003472DA">
        <w:tc>
          <w:tcPr>
            <w:tcW w:w="3114" w:type="dxa"/>
            <w:tcBorders>
              <w:top w:val="single" w:sz="4" w:space="0" w:color="auto"/>
              <w:left w:val="single" w:sz="4" w:space="0" w:color="auto"/>
              <w:bottom w:val="single" w:sz="4" w:space="0" w:color="auto"/>
              <w:right w:val="single" w:sz="4" w:space="0" w:color="auto"/>
            </w:tcBorders>
          </w:tcPr>
          <w:p w14:paraId="582DC7BF" w14:textId="77777777" w:rsidR="00B51989" w:rsidRPr="001F151E" w:rsidRDefault="00B51989" w:rsidP="00897DDC">
            <w:pPr>
              <w:numPr>
                <w:ilvl w:val="0"/>
                <w:numId w:val="33"/>
              </w:numPr>
              <w:contextualSpacing/>
              <w:rPr>
                <w:rFonts w:eastAsia="Calibri"/>
                <w:sz w:val="16"/>
                <w:szCs w:val="16"/>
              </w:rPr>
            </w:pPr>
            <w:r w:rsidRPr="001F151E">
              <w:rPr>
                <w:rFonts w:eastAsia="Calibri"/>
                <w:sz w:val="16"/>
                <w:szCs w:val="16"/>
              </w:rPr>
              <w:t>Nominal GDP: the difference of the forecasted values between MoF and IMF should not be higher than zero.</w:t>
            </w:r>
          </w:p>
        </w:tc>
        <w:tc>
          <w:tcPr>
            <w:tcW w:w="1180" w:type="dxa"/>
            <w:tcBorders>
              <w:top w:val="single" w:sz="4" w:space="0" w:color="auto"/>
              <w:left w:val="single" w:sz="4" w:space="0" w:color="auto"/>
              <w:bottom w:val="single" w:sz="4" w:space="0" w:color="auto"/>
              <w:right w:val="single" w:sz="4" w:space="0" w:color="auto"/>
            </w:tcBorders>
            <w:vAlign w:val="center"/>
          </w:tcPr>
          <w:p w14:paraId="7DF67362" w14:textId="77777777" w:rsidR="00B51989" w:rsidRPr="001F151E" w:rsidRDefault="00B51989" w:rsidP="003472DA">
            <w:pPr>
              <w:spacing w:line="264" w:lineRule="auto"/>
              <w:jc w:val="center"/>
              <w:rPr>
                <w:rFonts w:eastAsia="Calibri"/>
                <w:sz w:val="16"/>
                <w:szCs w:val="16"/>
              </w:rPr>
            </w:pPr>
            <w:r w:rsidRPr="001F151E">
              <w:rPr>
                <w:rFonts w:eastAsia="Calibri"/>
                <w:sz w:val="16"/>
                <w:szCs w:val="16"/>
              </w:rPr>
              <w:t>0.0</w:t>
            </w:r>
          </w:p>
          <w:p w14:paraId="6F54BCE1" w14:textId="70FD686F" w:rsidR="000909BA" w:rsidRPr="001F151E" w:rsidRDefault="000909BA" w:rsidP="003472DA">
            <w:pPr>
              <w:spacing w:line="264" w:lineRule="auto"/>
              <w:jc w:val="center"/>
              <w:rPr>
                <w:rFonts w:eastAsia="Calibri"/>
                <w:sz w:val="16"/>
                <w:szCs w:val="16"/>
              </w:rPr>
            </w:pPr>
            <w:r w:rsidRPr="001F151E">
              <w:rPr>
                <w:rFonts w:eastAsia="Calibri"/>
                <w:sz w:val="16"/>
                <w:szCs w:val="16"/>
              </w:rPr>
              <w:t>(2022)</w:t>
            </w:r>
          </w:p>
        </w:tc>
        <w:tc>
          <w:tcPr>
            <w:tcW w:w="1181" w:type="dxa"/>
            <w:tcBorders>
              <w:top w:val="single" w:sz="4" w:space="0" w:color="auto"/>
              <w:left w:val="single" w:sz="4" w:space="0" w:color="auto"/>
              <w:bottom w:val="single" w:sz="4" w:space="0" w:color="auto"/>
              <w:right w:val="single" w:sz="4" w:space="0" w:color="auto"/>
            </w:tcBorders>
            <w:vAlign w:val="center"/>
          </w:tcPr>
          <w:p w14:paraId="20DF036B" w14:textId="77777777" w:rsidR="00B51989" w:rsidRPr="001F151E" w:rsidRDefault="00B51989" w:rsidP="003472DA">
            <w:pPr>
              <w:spacing w:line="264" w:lineRule="auto"/>
              <w:jc w:val="center"/>
              <w:rPr>
                <w:rFonts w:eastAsia="Calibri"/>
                <w:sz w:val="16"/>
                <w:szCs w:val="16"/>
                <w:u w:val="single"/>
              </w:rPr>
            </w:pPr>
            <w:r w:rsidRPr="001F151E">
              <w:rPr>
                <w:rFonts w:eastAsia="Calibri"/>
                <w:sz w:val="16"/>
                <w:szCs w:val="16"/>
                <w:u w:val="single"/>
              </w:rPr>
              <w:t>&lt;</w:t>
            </w:r>
            <w:r w:rsidRPr="001F151E">
              <w:rPr>
                <w:rFonts w:eastAsia="Calibri"/>
                <w:sz w:val="16"/>
                <w:szCs w:val="16"/>
              </w:rPr>
              <w:t xml:space="preserve"> 0</w:t>
            </w:r>
          </w:p>
        </w:tc>
        <w:tc>
          <w:tcPr>
            <w:tcW w:w="1180" w:type="dxa"/>
            <w:tcBorders>
              <w:top w:val="single" w:sz="4" w:space="0" w:color="auto"/>
              <w:left w:val="single" w:sz="4" w:space="0" w:color="auto"/>
              <w:bottom w:val="single" w:sz="4" w:space="0" w:color="auto"/>
              <w:right w:val="single" w:sz="4" w:space="0" w:color="auto"/>
            </w:tcBorders>
            <w:vAlign w:val="center"/>
          </w:tcPr>
          <w:p w14:paraId="2692E721" w14:textId="77777777" w:rsidR="00B51989" w:rsidRPr="001F151E" w:rsidRDefault="00B51989" w:rsidP="003472DA">
            <w:pPr>
              <w:jc w:val="center"/>
              <w:rPr>
                <w:rFonts w:eastAsia="Calibri"/>
                <w:sz w:val="16"/>
                <w:szCs w:val="16"/>
              </w:rPr>
            </w:pPr>
            <w:r w:rsidRPr="001F151E">
              <w:rPr>
                <w:rFonts w:eastAsia="Calibri"/>
                <w:sz w:val="16"/>
                <w:szCs w:val="16"/>
                <w:u w:val="single"/>
              </w:rPr>
              <w:t>&lt;</w:t>
            </w:r>
            <w:r w:rsidRPr="001F151E">
              <w:rPr>
                <w:rFonts w:eastAsia="Calibri"/>
                <w:sz w:val="16"/>
                <w:szCs w:val="16"/>
              </w:rPr>
              <w:t xml:space="preserve"> 0</w:t>
            </w:r>
          </w:p>
        </w:tc>
        <w:tc>
          <w:tcPr>
            <w:tcW w:w="1181" w:type="dxa"/>
            <w:tcBorders>
              <w:top w:val="single" w:sz="4" w:space="0" w:color="auto"/>
              <w:left w:val="single" w:sz="4" w:space="0" w:color="auto"/>
              <w:bottom w:val="single" w:sz="4" w:space="0" w:color="auto"/>
              <w:right w:val="single" w:sz="4" w:space="0" w:color="auto"/>
            </w:tcBorders>
            <w:vAlign w:val="center"/>
          </w:tcPr>
          <w:p w14:paraId="6CB9ACDC" w14:textId="77777777" w:rsidR="00B51989" w:rsidRPr="001F151E" w:rsidRDefault="00B51989" w:rsidP="003472DA">
            <w:pPr>
              <w:jc w:val="center"/>
              <w:rPr>
                <w:rFonts w:eastAsia="Calibri"/>
                <w:sz w:val="16"/>
                <w:szCs w:val="16"/>
              </w:rPr>
            </w:pPr>
            <w:r w:rsidRPr="001F151E">
              <w:rPr>
                <w:rFonts w:eastAsia="Calibri"/>
                <w:sz w:val="16"/>
                <w:szCs w:val="16"/>
                <w:u w:val="single"/>
              </w:rPr>
              <w:t>&lt;</w:t>
            </w:r>
            <w:r w:rsidRPr="001F151E">
              <w:rPr>
                <w:rFonts w:eastAsia="Calibri"/>
                <w:sz w:val="16"/>
                <w:szCs w:val="16"/>
              </w:rPr>
              <w:t xml:space="preserve"> 0</w:t>
            </w:r>
          </w:p>
        </w:tc>
        <w:tc>
          <w:tcPr>
            <w:tcW w:w="1181" w:type="dxa"/>
            <w:tcBorders>
              <w:top w:val="single" w:sz="4" w:space="0" w:color="auto"/>
              <w:left w:val="single" w:sz="4" w:space="0" w:color="auto"/>
              <w:bottom w:val="single" w:sz="4" w:space="0" w:color="auto"/>
              <w:right w:val="single" w:sz="4" w:space="0" w:color="auto"/>
            </w:tcBorders>
            <w:vAlign w:val="center"/>
          </w:tcPr>
          <w:p w14:paraId="2A2965E4" w14:textId="77777777" w:rsidR="00B51989" w:rsidRPr="001F151E" w:rsidRDefault="00B51989" w:rsidP="003472DA">
            <w:pPr>
              <w:jc w:val="center"/>
              <w:rPr>
                <w:rFonts w:eastAsia="Calibri"/>
                <w:sz w:val="16"/>
                <w:szCs w:val="16"/>
              </w:rPr>
            </w:pPr>
            <w:r w:rsidRPr="001F151E">
              <w:rPr>
                <w:rFonts w:eastAsia="Calibri"/>
                <w:sz w:val="16"/>
                <w:szCs w:val="16"/>
                <w:u w:val="single"/>
              </w:rPr>
              <w:t>&lt;</w:t>
            </w:r>
            <w:r w:rsidRPr="001F151E">
              <w:rPr>
                <w:rFonts w:eastAsia="Calibri"/>
                <w:sz w:val="16"/>
                <w:szCs w:val="16"/>
              </w:rPr>
              <w:t xml:space="preserve"> 0</w:t>
            </w:r>
          </w:p>
        </w:tc>
      </w:tr>
      <w:tr w:rsidR="00B51989" w:rsidRPr="001F151E" w14:paraId="67F5C340" w14:textId="77777777" w:rsidTr="003472DA">
        <w:tc>
          <w:tcPr>
            <w:tcW w:w="3114" w:type="dxa"/>
            <w:tcBorders>
              <w:top w:val="single" w:sz="4" w:space="0" w:color="auto"/>
              <w:left w:val="single" w:sz="4" w:space="0" w:color="auto"/>
              <w:bottom w:val="single" w:sz="4" w:space="0" w:color="auto"/>
              <w:right w:val="single" w:sz="4" w:space="0" w:color="auto"/>
            </w:tcBorders>
          </w:tcPr>
          <w:p w14:paraId="76BCA2A4" w14:textId="77777777" w:rsidR="00B51989" w:rsidRPr="001F151E" w:rsidRDefault="00B51989" w:rsidP="00897DDC">
            <w:pPr>
              <w:numPr>
                <w:ilvl w:val="0"/>
                <w:numId w:val="33"/>
              </w:numPr>
              <w:contextualSpacing/>
              <w:rPr>
                <w:rFonts w:eastAsia="Calibri"/>
                <w:sz w:val="16"/>
                <w:szCs w:val="16"/>
              </w:rPr>
            </w:pPr>
            <w:r w:rsidRPr="001F151E">
              <w:rPr>
                <w:rFonts w:eastAsia="Calibri"/>
                <w:sz w:val="16"/>
                <w:szCs w:val="16"/>
              </w:rPr>
              <w:t>Primary Balance: commencing from the year 2024, the Primary Balance will be legally mandated as a new Fiscal Rule, and it is stipulated to be no less than zero.</w:t>
            </w:r>
          </w:p>
        </w:tc>
        <w:tc>
          <w:tcPr>
            <w:tcW w:w="1180" w:type="dxa"/>
            <w:tcBorders>
              <w:top w:val="single" w:sz="4" w:space="0" w:color="auto"/>
              <w:left w:val="single" w:sz="4" w:space="0" w:color="auto"/>
              <w:bottom w:val="single" w:sz="4" w:space="0" w:color="auto"/>
              <w:right w:val="single" w:sz="4" w:space="0" w:color="auto"/>
            </w:tcBorders>
            <w:vAlign w:val="center"/>
          </w:tcPr>
          <w:p w14:paraId="484EE825" w14:textId="77777777" w:rsidR="00B51989" w:rsidRPr="001F151E" w:rsidRDefault="00B51989" w:rsidP="003472DA">
            <w:pPr>
              <w:spacing w:line="264" w:lineRule="auto"/>
              <w:jc w:val="center"/>
              <w:rPr>
                <w:rFonts w:eastAsia="Calibri"/>
                <w:sz w:val="16"/>
                <w:szCs w:val="16"/>
              </w:rPr>
            </w:pPr>
            <w:r w:rsidRPr="001F151E">
              <w:rPr>
                <w:rFonts w:eastAsia="Calibri"/>
                <w:sz w:val="16"/>
                <w:szCs w:val="16"/>
              </w:rPr>
              <w:t>-1.8</w:t>
            </w:r>
          </w:p>
          <w:p w14:paraId="3DB86397" w14:textId="11257E63" w:rsidR="000909BA" w:rsidRPr="001F151E" w:rsidRDefault="000909BA" w:rsidP="003472DA">
            <w:pPr>
              <w:spacing w:line="264" w:lineRule="auto"/>
              <w:jc w:val="center"/>
              <w:rPr>
                <w:rFonts w:eastAsia="Calibri"/>
                <w:sz w:val="16"/>
                <w:szCs w:val="16"/>
              </w:rPr>
            </w:pPr>
            <w:r w:rsidRPr="001F151E">
              <w:rPr>
                <w:rFonts w:eastAsia="Calibri"/>
                <w:sz w:val="16"/>
                <w:szCs w:val="16"/>
              </w:rPr>
              <w:t>(2022)</w:t>
            </w:r>
          </w:p>
        </w:tc>
        <w:tc>
          <w:tcPr>
            <w:tcW w:w="1181" w:type="dxa"/>
            <w:tcBorders>
              <w:top w:val="single" w:sz="4" w:space="0" w:color="auto"/>
              <w:left w:val="single" w:sz="4" w:space="0" w:color="auto"/>
              <w:bottom w:val="single" w:sz="4" w:space="0" w:color="auto"/>
              <w:right w:val="single" w:sz="4" w:space="0" w:color="auto"/>
            </w:tcBorders>
            <w:vAlign w:val="center"/>
          </w:tcPr>
          <w:p w14:paraId="65D174FD" w14:textId="77777777" w:rsidR="00B51989" w:rsidRPr="001F151E" w:rsidRDefault="00B51989" w:rsidP="003472DA">
            <w:pPr>
              <w:spacing w:line="264" w:lineRule="auto"/>
              <w:jc w:val="center"/>
              <w:rPr>
                <w:rFonts w:eastAsia="Calibri"/>
                <w:sz w:val="16"/>
                <w:szCs w:val="16"/>
              </w:rPr>
            </w:pPr>
            <w:r w:rsidRPr="001F151E">
              <w:rPr>
                <w:rFonts w:eastAsia="Calibri"/>
                <w:sz w:val="16"/>
                <w:szCs w:val="16"/>
                <w:u w:val="single"/>
              </w:rPr>
              <w:t>&gt;</w:t>
            </w:r>
            <w:r w:rsidRPr="001F151E">
              <w:rPr>
                <w:rFonts w:eastAsia="Calibri"/>
                <w:sz w:val="16"/>
                <w:szCs w:val="16"/>
              </w:rPr>
              <w:t xml:space="preserve"> 0</w:t>
            </w:r>
          </w:p>
        </w:tc>
        <w:tc>
          <w:tcPr>
            <w:tcW w:w="1180" w:type="dxa"/>
            <w:tcBorders>
              <w:top w:val="single" w:sz="4" w:space="0" w:color="auto"/>
              <w:left w:val="single" w:sz="4" w:space="0" w:color="auto"/>
              <w:bottom w:val="single" w:sz="4" w:space="0" w:color="auto"/>
              <w:right w:val="single" w:sz="4" w:space="0" w:color="auto"/>
            </w:tcBorders>
            <w:vAlign w:val="center"/>
          </w:tcPr>
          <w:p w14:paraId="2F8205A6" w14:textId="77777777" w:rsidR="00B51989" w:rsidRPr="001F151E" w:rsidRDefault="00B51989" w:rsidP="003472DA">
            <w:pPr>
              <w:jc w:val="center"/>
              <w:rPr>
                <w:rFonts w:eastAsia="Calibri"/>
                <w:sz w:val="16"/>
                <w:szCs w:val="16"/>
              </w:rPr>
            </w:pPr>
            <w:r w:rsidRPr="001F151E">
              <w:rPr>
                <w:rFonts w:eastAsia="Calibri"/>
                <w:sz w:val="16"/>
                <w:szCs w:val="16"/>
                <w:u w:val="single"/>
              </w:rPr>
              <w:t>&gt;</w:t>
            </w:r>
            <w:r w:rsidRPr="001F151E">
              <w:rPr>
                <w:rFonts w:eastAsia="Calibri"/>
                <w:sz w:val="16"/>
                <w:szCs w:val="16"/>
              </w:rPr>
              <w:t xml:space="preserve"> 0</w:t>
            </w:r>
          </w:p>
        </w:tc>
        <w:tc>
          <w:tcPr>
            <w:tcW w:w="1181" w:type="dxa"/>
            <w:tcBorders>
              <w:top w:val="single" w:sz="4" w:space="0" w:color="auto"/>
              <w:left w:val="single" w:sz="4" w:space="0" w:color="auto"/>
              <w:bottom w:val="single" w:sz="4" w:space="0" w:color="auto"/>
              <w:right w:val="single" w:sz="4" w:space="0" w:color="auto"/>
            </w:tcBorders>
            <w:vAlign w:val="center"/>
          </w:tcPr>
          <w:p w14:paraId="2A1F6ED3" w14:textId="77777777" w:rsidR="00B51989" w:rsidRPr="001F151E" w:rsidRDefault="00B51989" w:rsidP="003472DA">
            <w:pPr>
              <w:jc w:val="center"/>
              <w:rPr>
                <w:rFonts w:eastAsia="Calibri"/>
                <w:sz w:val="16"/>
                <w:szCs w:val="16"/>
              </w:rPr>
            </w:pPr>
            <w:r w:rsidRPr="001F151E">
              <w:rPr>
                <w:rFonts w:eastAsia="Calibri"/>
                <w:sz w:val="16"/>
                <w:szCs w:val="16"/>
                <w:u w:val="single"/>
              </w:rPr>
              <w:t>&gt;</w:t>
            </w:r>
            <w:r w:rsidRPr="001F151E">
              <w:rPr>
                <w:rFonts w:eastAsia="Calibri"/>
                <w:sz w:val="16"/>
                <w:szCs w:val="16"/>
              </w:rPr>
              <w:t xml:space="preserve"> 0</w:t>
            </w:r>
          </w:p>
        </w:tc>
        <w:tc>
          <w:tcPr>
            <w:tcW w:w="1181" w:type="dxa"/>
            <w:tcBorders>
              <w:top w:val="single" w:sz="4" w:space="0" w:color="auto"/>
              <w:left w:val="single" w:sz="4" w:space="0" w:color="auto"/>
              <w:bottom w:val="single" w:sz="4" w:space="0" w:color="auto"/>
              <w:right w:val="single" w:sz="4" w:space="0" w:color="auto"/>
            </w:tcBorders>
            <w:vAlign w:val="center"/>
          </w:tcPr>
          <w:p w14:paraId="12EB4D00" w14:textId="77777777" w:rsidR="00B51989" w:rsidRPr="001F151E" w:rsidRDefault="00B51989" w:rsidP="003472DA">
            <w:pPr>
              <w:jc w:val="center"/>
              <w:rPr>
                <w:rFonts w:eastAsia="Calibri"/>
                <w:sz w:val="16"/>
                <w:szCs w:val="16"/>
              </w:rPr>
            </w:pPr>
            <w:r w:rsidRPr="001F151E">
              <w:rPr>
                <w:rFonts w:eastAsia="Calibri"/>
                <w:sz w:val="16"/>
                <w:szCs w:val="16"/>
                <w:u w:val="single"/>
              </w:rPr>
              <w:t>&gt;</w:t>
            </w:r>
            <w:r w:rsidRPr="001F151E">
              <w:rPr>
                <w:rFonts w:eastAsia="Calibri"/>
                <w:sz w:val="16"/>
                <w:szCs w:val="16"/>
              </w:rPr>
              <w:t xml:space="preserve"> 0</w:t>
            </w:r>
          </w:p>
        </w:tc>
      </w:tr>
    </w:tbl>
    <w:p w14:paraId="16515BE6" w14:textId="77777777" w:rsidR="000909BA" w:rsidRPr="001F151E" w:rsidRDefault="000909BA" w:rsidP="00B51989">
      <w:pPr>
        <w:jc w:val="both"/>
        <w:rPr>
          <w:rFonts w:eastAsia="Calibri"/>
          <w:lang w:val="en-GB"/>
        </w:rPr>
      </w:pPr>
    </w:p>
    <w:p w14:paraId="00D3F014" w14:textId="77777777" w:rsidR="00FA1898" w:rsidRDefault="00FA1898" w:rsidP="00AB73F1">
      <w:pPr>
        <w:rPr>
          <w:lang w:val="en-GB"/>
        </w:rPr>
      </w:pPr>
    </w:p>
    <w:p w14:paraId="4732AA7F" w14:textId="6666F103" w:rsidR="00942755" w:rsidRDefault="00942755" w:rsidP="006F368A">
      <w:pPr>
        <w:pStyle w:val="Heading2"/>
        <w:spacing w:before="120" w:after="120"/>
        <w:ind w:left="562"/>
        <w:rPr>
          <w:rFonts w:eastAsia="Times New Roman" w:cs="Times New Roman"/>
          <w:lang w:val="en-GB"/>
        </w:rPr>
      </w:pPr>
      <w:bookmarkStart w:id="18" w:name="_Toc163148010"/>
      <w:r w:rsidRPr="001F151E">
        <w:rPr>
          <w:rStyle w:val="UnresolvedMention1"/>
          <w:color w:val="0070C0"/>
          <w:shd w:val="clear" w:color="auto" w:fill="auto"/>
          <w:lang w:val="en-GB"/>
        </w:rPr>
        <w:t>C</w:t>
      </w:r>
      <w:r>
        <w:rPr>
          <w:rStyle w:val="UnresolvedMention1"/>
          <w:color w:val="0070C0"/>
          <w:shd w:val="clear" w:color="auto" w:fill="auto"/>
          <w:lang w:val="en-GB"/>
        </w:rPr>
        <w:t>omponent 1.2</w:t>
      </w:r>
      <w:r w:rsidRPr="001F151E">
        <w:rPr>
          <w:rStyle w:val="UnresolvedMention1"/>
          <w:color w:val="0070C0"/>
          <w:shd w:val="clear" w:color="auto" w:fill="auto"/>
          <w:lang w:val="en-GB"/>
        </w:rPr>
        <w:t xml:space="preserve"> </w:t>
      </w:r>
      <w:r w:rsidR="000D65EC" w:rsidRPr="00C37F55">
        <w:rPr>
          <w:rFonts w:eastAsia="Times New Roman" w:cs="Times New Roman"/>
        </w:rPr>
        <w:t>Establishing a comprehensive Debt Sustainability Analysis</w:t>
      </w:r>
      <w:bookmarkEnd w:id="18"/>
      <w:r w:rsidR="000D65EC" w:rsidRPr="001F151E">
        <w:rPr>
          <w:rFonts w:eastAsia="Times New Roman" w:cs="Times New Roman"/>
          <w:lang w:val="en-GB"/>
        </w:rPr>
        <w:t xml:space="preserve"> </w:t>
      </w:r>
    </w:p>
    <w:p w14:paraId="456CD53A" w14:textId="77777777" w:rsidR="00060175" w:rsidRPr="00060175" w:rsidRDefault="00060175" w:rsidP="00060175">
      <w:pPr>
        <w:rPr>
          <w:lang w:val="en-GB"/>
        </w:rPr>
      </w:pPr>
    </w:p>
    <w:p w14:paraId="0735215D" w14:textId="66EAB474" w:rsidR="00E74613" w:rsidRPr="00060175" w:rsidRDefault="00E74613" w:rsidP="002E6AB5">
      <w:pPr>
        <w:pStyle w:val="H5"/>
        <w:spacing w:line="276" w:lineRule="auto"/>
        <w:jc w:val="both"/>
      </w:pPr>
      <w:r w:rsidRPr="00060175">
        <w:t>Objectives</w:t>
      </w:r>
    </w:p>
    <w:p w14:paraId="6FE1E781" w14:textId="3D399129" w:rsidR="000D65EC" w:rsidRPr="00875B03" w:rsidRDefault="00060175" w:rsidP="002E6AB5">
      <w:pPr>
        <w:spacing w:line="276" w:lineRule="auto"/>
        <w:jc w:val="both"/>
      </w:pPr>
      <w:r>
        <w:t xml:space="preserve">The goal is </w:t>
      </w:r>
      <w:r w:rsidR="000D65EC" w:rsidRPr="00875B03">
        <w:t xml:space="preserve">to establish a comprehensive Debt Sustainability Analysis (DSA) framework </w:t>
      </w:r>
      <w:r>
        <w:t>(</w:t>
      </w:r>
      <w:r w:rsidR="000D65EC" w:rsidRPr="00875B03">
        <w:t>by the year 2027</w:t>
      </w:r>
      <w:r>
        <w:t>)</w:t>
      </w:r>
      <w:r w:rsidR="000D65EC" w:rsidRPr="00875B03">
        <w:t xml:space="preserve">. This initiative aims to fortify debt sustainability, proactively identify potential risks associated with indebtedness in the future, assess the impact of current policies on the debt trajectory, and underscore the necessity for timely policy interventions. The DSA framework will serve as </w:t>
      </w:r>
      <w:r w:rsidR="000D65EC">
        <w:t xml:space="preserve">an additional </w:t>
      </w:r>
      <w:r w:rsidR="000D65EC" w:rsidRPr="00875B03">
        <w:t xml:space="preserve">strategic tool </w:t>
      </w:r>
      <w:r w:rsidR="000D65EC">
        <w:t xml:space="preserve">to the macroeconomic programming </w:t>
      </w:r>
      <w:r w:rsidR="000D65EC" w:rsidRPr="00875B03">
        <w:t xml:space="preserve">to </w:t>
      </w:r>
      <w:r w:rsidR="000D65EC">
        <w:t xml:space="preserve">better </w:t>
      </w:r>
      <w:r w:rsidR="000D65EC" w:rsidRPr="00875B03">
        <w:t xml:space="preserve">inform decision-makers about the long-term implications of debt dynamics, contributing to prudent debt management practices and the overall </w:t>
      </w:r>
      <w:r w:rsidR="000D65EC">
        <w:t xml:space="preserve">public finances sustainability and macroeconomic </w:t>
      </w:r>
      <w:r w:rsidR="000D65EC" w:rsidRPr="00875B03">
        <w:t xml:space="preserve">stability of the </w:t>
      </w:r>
      <w:r w:rsidR="000D65EC">
        <w:t>country</w:t>
      </w:r>
      <w:r w:rsidR="000D65EC" w:rsidRPr="00875B03">
        <w:t>.</w:t>
      </w:r>
    </w:p>
    <w:p w14:paraId="0CDD1FF0" w14:textId="77777777" w:rsidR="00060175" w:rsidRDefault="00060175" w:rsidP="002E6AB5">
      <w:pPr>
        <w:spacing w:line="276" w:lineRule="auto"/>
        <w:jc w:val="both"/>
      </w:pPr>
    </w:p>
    <w:p w14:paraId="487B3128" w14:textId="5B05E989" w:rsidR="000D65EC" w:rsidRDefault="000D65EC" w:rsidP="002E6AB5">
      <w:pPr>
        <w:pStyle w:val="H5"/>
        <w:spacing w:line="276" w:lineRule="auto"/>
        <w:jc w:val="both"/>
      </w:pPr>
      <w:r w:rsidRPr="000B34C9">
        <w:t xml:space="preserve">Context </w:t>
      </w:r>
    </w:p>
    <w:p w14:paraId="39199796" w14:textId="77777777" w:rsidR="000D65EC" w:rsidRPr="00875B03" w:rsidRDefault="000D65EC" w:rsidP="002E6AB5">
      <w:pPr>
        <w:spacing w:line="276" w:lineRule="auto"/>
        <w:jc w:val="both"/>
      </w:pPr>
      <w:r w:rsidRPr="00875B03">
        <w:t>The ongoing imperative to continually advance macroeconomic programming underscores the need for a significant leap forward. Specifically, the development of a dedicated Debt Sustainability Analysis (DSA) framework is deemed essential to augment the existing macroeconomic toolkit. This strategic addition analytical tool will be ensured by allocating the necessary resources, personnel, and technology, as well as supported and guided by a dedicated professional technical assistance. The ultimate objective is to systematically formalize a robust and tailored DSA framework which will foster a more comprehensive understanding of the country's public debt dynamics, thereby reinforcing the overall efficacy of macroeconomic programming</w:t>
      </w:r>
      <w:r>
        <w:t>.</w:t>
      </w:r>
    </w:p>
    <w:p w14:paraId="25D916FB" w14:textId="77777777" w:rsidR="000D65EC" w:rsidRPr="00875B03" w:rsidRDefault="000D65EC" w:rsidP="002E6AB5">
      <w:pPr>
        <w:spacing w:line="276" w:lineRule="auto"/>
        <w:jc w:val="both"/>
      </w:pPr>
    </w:p>
    <w:p w14:paraId="5F530925" w14:textId="77777777" w:rsidR="000D65EC" w:rsidRDefault="000D65EC" w:rsidP="002E6AB5">
      <w:pPr>
        <w:pStyle w:val="H5"/>
        <w:spacing w:line="276" w:lineRule="auto"/>
        <w:jc w:val="both"/>
      </w:pPr>
      <w:r w:rsidRPr="000B34C9">
        <w:t>Priorities</w:t>
      </w:r>
    </w:p>
    <w:p w14:paraId="0F92BE5D" w14:textId="77777777" w:rsidR="000D65EC" w:rsidRDefault="000D65EC" w:rsidP="002E6AB5">
      <w:pPr>
        <w:spacing w:line="276" w:lineRule="auto"/>
        <w:jc w:val="both"/>
        <w:rPr>
          <w:rFonts w:eastAsia="Calibri"/>
        </w:rPr>
      </w:pPr>
      <w:r w:rsidRPr="00467498">
        <w:rPr>
          <w:rFonts w:eastAsia="Calibri"/>
        </w:rPr>
        <w:t>For the period 2023-2026 the priorities are:</w:t>
      </w:r>
    </w:p>
    <w:p w14:paraId="0B9DBB2C" w14:textId="77777777" w:rsidR="000D65EC" w:rsidRDefault="000D65EC" w:rsidP="002E6AB5">
      <w:pPr>
        <w:pStyle w:val="N-Bullet"/>
        <w:spacing w:line="276" w:lineRule="auto"/>
        <w:jc w:val="both"/>
      </w:pPr>
      <w:r w:rsidRPr="00EF6DB9">
        <w:t xml:space="preserve">Provide </w:t>
      </w:r>
      <w:r>
        <w:t xml:space="preserve">adequate </w:t>
      </w:r>
      <w:r w:rsidRPr="00EF6DB9">
        <w:t>technical assistance for the DSA process.</w:t>
      </w:r>
    </w:p>
    <w:p w14:paraId="3D22421A" w14:textId="77777777" w:rsidR="000D65EC" w:rsidRPr="00467498" w:rsidRDefault="000D65EC" w:rsidP="002E6AB5">
      <w:pPr>
        <w:pStyle w:val="N-Bullet"/>
        <w:spacing w:line="276" w:lineRule="auto"/>
        <w:jc w:val="both"/>
      </w:pPr>
      <w:r w:rsidRPr="00EF6DB9">
        <w:t>Introduce the DSA framework as a</w:t>
      </w:r>
      <w:r>
        <w:t>n additional macroeconomic programming</w:t>
      </w:r>
      <w:r w:rsidRPr="00EF6DB9">
        <w:t xml:space="preserve"> </w:t>
      </w:r>
      <w:r>
        <w:t xml:space="preserve">analytical </w:t>
      </w:r>
      <w:r w:rsidRPr="00EF6DB9">
        <w:t>tool.</w:t>
      </w:r>
    </w:p>
    <w:p w14:paraId="76F5C25E" w14:textId="77777777" w:rsidR="000D65EC" w:rsidRDefault="000D65EC" w:rsidP="003E5F43"/>
    <w:p w14:paraId="7EC1E9E9" w14:textId="77777777" w:rsidR="00F22823" w:rsidRDefault="00F22823" w:rsidP="003E5F43"/>
    <w:p w14:paraId="2A42F9A2" w14:textId="77777777" w:rsidR="00F22823" w:rsidRDefault="00F22823" w:rsidP="003E5F43"/>
    <w:p w14:paraId="666F81D5" w14:textId="77777777" w:rsidR="00F22823" w:rsidRDefault="00F22823" w:rsidP="003E5F43"/>
    <w:p w14:paraId="5ED4BB3E" w14:textId="77777777" w:rsidR="00F22823" w:rsidRDefault="00F22823" w:rsidP="003E5F43"/>
    <w:p w14:paraId="222024D3" w14:textId="77777777" w:rsidR="00F22823" w:rsidRDefault="00F22823" w:rsidP="003E5F43"/>
    <w:p w14:paraId="46316A53" w14:textId="77777777" w:rsidR="00F22823" w:rsidRDefault="00F22823" w:rsidP="003E5F43"/>
    <w:p w14:paraId="4D2E8496" w14:textId="796B3EA5" w:rsidR="000D65EC" w:rsidRPr="00B259EB" w:rsidRDefault="000D65EC" w:rsidP="000D65EC">
      <w:pPr>
        <w:spacing w:after="60"/>
        <w:jc w:val="both"/>
        <w:rPr>
          <w:rFonts w:eastAsia="Calibri"/>
          <w:b/>
          <w:bCs/>
          <w:color w:val="0070C0"/>
        </w:rPr>
      </w:pPr>
      <w:r w:rsidRPr="00B259EB">
        <w:rPr>
          <w:rFonts w:eastAsia="Calibri"/>
          <w:b/>
          <w:bCs/>
          <w:color w:val="0070C0"/>
        </w:rPr>
        <w:lastRenderedPageBreak/>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32"/>
        <w:gridCol w:w="3596"/>
        <w:gridCol w:w="795"/>
        <w:gridCol w:w="812"/>
        <w:gridCol w:w="1781"/>
      </w:tblGrid>
      <w:tr w:rsidR="000D65EC" w:rsidRPr="00B259EB" w14:paraId="567CEEAC" w14:textId="77777777" w:rsidTr="000D65EC">
        <w:trPr>
          <w:trHeight w:val="20"/>
          <w:tblHeader/>
        </w:trPr>
        <w:tc>
          <w:tcPr>
            <w:tcW w:w="2093" w:type="dxa"/>
            <w:shd w:val="clear" w:color="auto" w:fill="D9D9D9"/>
          </w:tcPr>
          <w:p w14:paraId="0CA152D3" w14:textId="77777777" w:rsidR="000D65EC" w:rsidRPr="00B259EB" w:rsidRDefault="000D65EC" w:rsidP="000D65EC">
            <w:pPr>
              <w:jc w:val="both"/>
              <w:rPr>
                <w:rFonts w:eastAsia="Calibri"/>
                <w:b/>
                <w:bCs/>
                <w:sz w:val="16"/>
                <w:szCs w:val="16"/>
              </w:rPr>
            </w:pPr>
            <w:r w:rsidRPr="00B259EB">
              <w:rPr>
                <w:rFonts w:eastAsia="Calibri"/>
                <w:b/>
                <w:bCs/>
                <w:sz w:val="16"/>
                <w:szCs w:val="16"/>
              </w:rPr>
              <w:t>Measure</w:t>
            </w:r>
          </w:p>
        </w:tc>
        <w:tc>
          <w:tcPr>
            <w:tcW w:w="3772" w:type="dxa"/>
            <w:shd w:val="clear" w:color="auto" w:fill="D9D9D9"/>
          </w:tcPr>
          <w:p w14:paraId="23F32472" w14:textId="77777777" w:rsidR="000D65EC" w:rsidRPr="00B259EB" w:rsidRDefault="000D65EC" w:rsidP="000D65EC">
            <w:pPr>
              <w:jc w:val="both"/>
              <w:rPr>
                <w:rFonts w:eastAsia="Calibri"/>
                <w:b/>
                <w:bCs/>
                <w:sz w:val="16"/>
                <w:szCs w:val="16"/>
              </w:rPr>
            </w:pPr>
            <w:r w:rsidRPr="00B259EB">
              <w:rPr>
                <w:rFonts w:eastAsia="Calibri"/>
                <w:b/>
                <w:bCs/>
                <w:sz w:val="16"/>
                <w:szCs w:val="16"/>
              </w:rPr>
              <w:t>Activity</w:t>
            </w:r>
          </w:p>
        </w:tc>
        <w:tc>
          <w:tcPr>
            <w:tcW w:w="823" w:type="dxa"/>
            <w:shd w:val="clear" w:color="auto" w:fill="D9D9D9"/>
          </w:tcPr>
          <w:p w14:paraId="41CA014E" w14:textId="77777777" w:rsidR="000D65EC" w:rsidRPr="00B259EB" w:rsidRDefault="000D65EC" w:rsidP="000D65EC">
            <w:pPr>
              <w:jc w:val="both"/>
              <w:rPr>
                <w:rFonts w:eastAsia="Calibri"/>
                <w:b/>
                <w:bCs/>
                <w:sz w:val="16"/>
                <w:szCs w:val="16"/>
              </w:rPr>
            </w:pPr>
            <w:r w:rsidRPr="00B259EB">
              <w:rPr>
                <w:rFonts w:eastAsia="Calibri"/>
                <w:b/>
                <w:bCs/>
                <w:sz w:val="16"/>
                <w:szCs w:val="16"/>
              </w:rPr>
              <w:t>Start</w:t>
            </w:r>
          </w:p>
        </w:tc>
        <w:tc>
          <w:tcPr>
            <w:tcW w:w="823" w:type="dxa"/>
            <w:shd w:val="clear" w:color="auto" w:fill="D9D9D9"/>
          </w:tcPr>
          <w:p w14:paraId="7DA0E9A5" w14:textId="77777777" w:rsidR="000D65EC" w:rsidRPr="00B259EB" w:rsidRDefault="000D65EC" w:rsidP="000D65EC">
            <w:pPr>
              <w:jc w:val="both"/>
              <w:rPr>
                <w:rFonts w:eastAsia="Calibri"/>
                <w:b/>
                <w:bCs/>
                <w:sz w:val="16"/>
                <w:szCs w:val="16"/>
              </w:rPr>
            </w:pPr>
            <w:r w:rsidRPr="00B259EB">
              <w:rPr>
                <w:rFonts w:eastAsia="Calibri"/>
                <w:b/>
                <w:bCs/>
                <w:sz w:val="16"/>
                <w:szCs w:val="16"/>
              </w:rPr>
              <w:t>End</w:t>
            </w:r>
          </w:p>
        </w:tc>
        <w:tc>
          <w:tcPr>
            <w:tcW w:w="1839" w:type="dxa"/>
            <w:shd w:val="clear" w:color="auto" w:fill="D9D9D9"/>
          </w:tcPr>
          <w:p w14:paraId="213056C1" w14:textId="77777777" w:rsidR="000D65EC" w:rsidRPr="00B259EB" w:rsidRDefault="000D65EC" w:rsidP="000D65EC">
            <w:pPr>
              <w:jc w:val="both"/>
              <w:rPr>
                <w:rFonts w:eastAsia="Calibri"/>
                <w:b/>
                <w:bCs/>
                <w:sz w:val="16"/>
                <w:szCs w:val="16"/>
              </w:rPr>
            </w:pPr>
            <w:r w:rsidRPr="00B259EB">
              <w:rPr>
                <w:rFonts w:eastAsia="Calibri"/>
                <w:b/>
                <w:bCs/>
                <w:sz w:val="16"/>
                <w:szCs w:val="16"/>
              </w:rPr>
              <w:t>Stakeholders</w:t>
            </w:r>
          </w:p>
        </w:tc>
      </w:tr>
      <w:tr w:rsidR="000D65EC" w:rsidRPr="00B259EB" w14:paraId="4893C82C" w14:textId="77777777" w:rsidTr="000D65EC">
        <w:trPr>
          <w:trHeight w:val="20"/>
        </w:trPr>
        <w:tc>
          <w:tcPr>
            <w:tcW w:w="2093" w:type="dxa"/>
            <w:vMerge w:val="restart"/>
            <w:shd w:val="clear" w:color="auto" w:fill="auto"/>
          </w:tcPr>
          <w:p w14:paraId="11DD1E0B" w14:textId="64BCDF3C" w:rsidR="000D65EC" w:rsidRPr="00B259EB" w:rsidRDefault="000D65EC" w:rsidP="000D65EC">
            <w:pPr>
              <w:spacing w:line="264" w:lineRule="auto"/>
              <w:rPr>
                <w:rFonts w:eastAsia="Times New Roman"/>
                <w:b/>
                <w:bCs/>
                <w:sz w:val="16"/>
                <w:szCs w:val="16"/>
              </w:rPr>
            </w:pPr>
            <w:r>
              <w:rPr>
                <w:rFonts w:eastAsia="Times New Roman"/>
                <w:b/>
                <w:bCs/>
                <w:sz w:val="16"/>
                <w:szCs w:val="16"/>
              </w:rPr>
              <w:t>1.2.1 Provide technical assistance for the DSA process</w:t>
            </w:r>
            <w:r w:rsidR="00060175">
              <w:rPr>
                <w:rFonts w:eastAsia="Times New Roman"/>
                <w:b/>
                <w:bCs/>
                <w:sz w:val="16"/>
                <w:szCs w:val="16"/>
              </w:rPr>
              <w:t>.</w:t>
            </w:r>
          </w:p>
        </w:tc>
        <w:tc>
          <w:tcPr>
            <w:tcW w:w="3772" w:type="dxa"/>
          </w:tcPr>
          <w:p w14:paraId="6AD65280" w14:textId="77777777" w:rsidR="000D65EC" w:rsidRPr="00B259EB" w:rsidRDefault="000D65EC" w:rsidP="00B45892">
            <w:pPr>
              <w:numPr>
                <w:ilvl w:val="0"/>
                <w:numId w:val="91"/>
              </w:numPr>
              <w:autoSpaceDE w:val="0"/>
              <w:autoSpaceDN w:val="0"/>
              <w:adjustRightInd w:val="0"/>
              <w:spacing w:line="240" w:lineRule="auto"/>
              <w:contextualSpacing/>
              <w:rPr>
                <w:rFonts w:eastAsia="Times New Roman"/>
                <w:bCs/>
                <w:sz w:val="16"/>
                <w:szCs w:val="16"/>
              </w:rPr>
            </w:pPr>
            <w:r>
              <w:rPr>
                <w:rFonts w:eastAsia="Times New Roman"/>
                <w:bCs/>
                <w:sz w:val="16"/>
                <w:szCs w:val="16"/>
              </w:rPr>
              <w:t xml:space="preserve">Allocate resources (staff and technology) for the DSA process. </w:t>
            </w:r>
          </w:p>
        </w:tc>
        <w:tc>
          <w:tcPr>
            <w:tcW w:w="823" w:type="dxa"/>
            <w:shd w:val="clear" w:color="auto" w:fill="auto"/>
            <w:vAlign w:val="center"/>
          </w:tcPr>
          <w:p w14:paraId="3B27F5C8" w14:textId="77777777" w:rsidR="000D65EC" w:rsidRPr="00B259EB" w:rsidRDefault="000D65EC" w:rsidP="000D65EC">
            <w:pPr>
              <w:jc w:val="both"/>
              <w:rPr>
                <w:rFonts w:eastAsia="Calibri"/>
                <w:sz w:val="16"/>
                <w:szCs w:val="16"/>
              </w:rPr>
            </w:pPr>
            <w:r>
              <w:rPr>
                <w:rFonts w:eastAsia="Calibri"/>
                <w:sz w:val="16"/>
                <w:szCs w:val="16"/>
              </w:rPr>
              <w:t>Q4 2024</w:t>
            </w:r>
          </w:p>
        </w:tc>
        <w:tc>
          <w:tcPr>
            <w:tcW w:w="823" w:type="dxa"/>
            <w:shd w:val="clear" w:color="auto" w:fill="auto"/>
            <w:vAlign w:val="center"/>
          </w:tcPr>
          <w:p w14:paraId="070CC81C" w14:textId="77777777" w:rsidR="000D65EC" w:rsidRPr="00B259EB" w:rsidRDefault="000D65EC" w:rsidP="000D65EC">
            <w:pPr>
              <w:jc w:val="both"/>
              <w:rPr>
                <w:rFonts w:eastAsia="Calibri"/>
                <w:sz w:val="16"/>
                <w:szCs w:val="16"/>
              </w:rPr>
            </w:pPr>
            <w:r>
              <w:rPr>
                <w:rFonts w:eastAsia="Calibri"/>
                <w:sz w:val="16"/>
                <w:szCs w:val="16"/>
              </w:rPr>
              <w:t>Q4 2026</w:t>
            </w:r>
          </w:p>
        </w:tc>
        <w:tc>
          <w:tcPr>
            <w:tcW w:w="1839" w:type="dxa"/>
            <w:vMerge w:val="restart"/>
          </w:tcPr>
          <w:p w14:paraId="10659478" w14:textId="77777777" w:rsidR="000D65EC" w:rsidRPr="00B259EB" w:rsidRDefault="000D65EC" w:rsidP="000D65EC">
            <w:pPr>
              <w:jc w:val="both"/>
              <w:rPr>
                <w:rFonts w:eastAsia="Calibri"/>
                <w:b/>
                <w:bCs/>
                <w:sz w:val="16"/>
                <w:szCs w:val="16"/>
              </w:rPr>
            </w:pPr>
            <w:r w:rsidRPr="00B259EB">
              <w:rPr>
                <w:rFonts w:eastAsia="Calibri"/>
                <w:b/>
                <w:bCs/>
                <w:sz w:val="16"/>
                <w:szCs w:val="16"/>
              </w:rPr>
              <w:t>Responsible entity:</w:t>
            </w:r>
          </w:p>
          <w:p w14:paraId="23FD7F36" w14:textId="280CCD26" w:rsidR="000D65EC" w:rsidRPr="00B259EB" w:rsidRDefault="009466AD" w:rsidP="000D65EC">
            <w:pPr>
              <w:spacing w:line="264" w:lineRule="auto"/>
              <w:jc w:val="both"/>
              <w:rPr>
                <w:rFonts w:eastAsia="Calibri"/>
                <w:sz w:val="16"/>
                <w:szCs w:val="16"/>
              </w:rPr>
            </w:pPr>
            <w:r>
              <w:rPr>
                <w:rFonts w:eastAsia="Calibri"/>
                <w:sz w:val="16"/>
                <w:szCs w:val="16"/>
              </w:rPr>
              <w:t>MoF</w:t>
            </w:r>
            <w:r w:rsidR="000D65EC" w:rsidRPr="00B259EB">
              <w:rPr>
                <w:rFonts w:eastAsia="Calibri"/>
                <w:sz w:val="16"/>
                <w:szCs w:val="16"/>
              </w:rPr>
              <w:t xml:space="preserve"> </w:t>
            </w:r>
            <w:r w:rsidR="000D65EC">
              <w:rPr>
                <w:rFonts w:eastAsia="Calibri"/>
                <w:sz w:val="16"/>
                <w:szCs w:val="16"/>
              </w:rPr>
              <w:t>DGMP</w:t>
            </w:r>
            <w:r w:rsidR="000D65EC" w:rsidRPr="00B259EB">
              <w:rPr>
                <w:rFonts w:eastAsia="Calibri"/>
                <w:sz w:val="16"/>
                <w:szCs w:val="16"/>
              </w:rPr>
              <w:t xml:space="preserve"> (lead)</w:t>
            </w:r>
          </w:p>
          <w:p w14:paraId="4F05F642" w14:textId="77777777" w:rsidR="000D65EC" w:rsidRPr="00B259EB" w:rsidRDefault="000D65EC" w:rsidP="000D65EC">
            <w:pPr>
              <w:spacing w:line="264" w:lineRule="auto"/>
              <w:jc w:val="both"/>
              <w:rPr>
                <w:rFonts w:eastAsia="Calibri"/>
                <w:b/>
                <w:bCs/>
                <w:sz w:val="16"/>
                <w:szCs w:val="16"/>
              </w:rPr>
            </w:pPr>
          </w:p>
          <w:p w14:paraId="32C5324C" w14:textId="77777777" w:rsidR="000D65EC" w:rsidRPr="00B259EB" w:rsidRDefault="000D65EC" w:rsidP="000D65EC">
            <w:pPr>
              <w:spacing w:line="264" w:lineRule="auto"/>
              <w:jc w:val="both"/>
              <w:rPr>
                <w:rFonts w:eastAsia="Calibri"/>
                <w:sz w:val="16"/>
                <w:szCs w:val="16"/>
              </w:rPr>
            </w:pPr>
            <w:r w:rsidRPr="00B259EB">
              <w:rPr>
                <w:rFonts w:eastAsia="Calibri"/>
                <w:b/>
                <w:bCs/>
                <w:sz w:val="16"/>
                <w:szCs w:val="16"/>
              </w:rPr>
              <w:t>Partners:</w:t>
            </w:r>
            <w:r w:rsidRPr="00B259EB">
              <w:rPr>
                <w:rFonts w:eastAsia="Calibri"/>
                <w:sz w:val="16"/>
                <w:szCs w:val="16"/>
              </w:rPr>
              <w:t xml:space="preserve"> </w:t>
            </w:r>
          </w:p>
          <w:p w14:paraId="52274BCD" w14:textId="6B7D1183" w:rsidR="000D65EC" w:rsidRPr="00B259EB" w:rsidRDefault="000D65EC" w:rsidP="003F639E">
            <w:pPr>
              <w:spacing w:line="264" w:lineRule="auto"/>
              <w:jc w:val="both"/>
              <w:rPr>
                <w:rFonts w:eastAsia="Calibri"/>
                <w:b/>
                <w:bCs/>
                <w:sz w:val="16"/>
                <w:szCs w:val="16"/>
              </w:rPr>
            </w:pPr>
            <w:r w:rsidRPr="00B259EB">
              <w:rPr>
                <w:rFonts w:eastAsia="Calibri"/>
                <w:sz w:val="16"/>
                <w:szCs w:val="16"/>
              </w:rPr>
              <w:t>IMF</w:t>
            </w:r>
            <w:r>
              <w:rPr>
                <w:rFonts w:eastAsia="Calibri"/>
                <w:sz w:val="16"/>
                <w:szCs w:val="16"/>
              </w:rPr>
              <w:t xml:space="preserve">, </w:t>
            </w:r>
            <w:r w:rsidR="003F639E">
              <w:rPr>
                <w:rFonts w:eastAsia="Calibri"/>
                <w:sz w:val="16"/>
                <w:szCs w:val="16"/>
              </w:rPr>
              <w:t>EU</w:t>
            </w:r>
            <w:r w:rsidRPr="00B259EB">
              <w:rPr>
                <w:rFonts w:eastAsia="Calibri" w:cs="Open Sans Light"/>
                <w:sz w:val="16"/>
                <w:szCs w:val="16"/>
                <w:vertAlign w:val="superscript"/>
              </w:rPr>
              <w:footnoteReference w:id="6"/>
            </w:r>
          </w:p>
        </w:tc>
      </w:tr>
      <w:tr w:rsidR="000D65EC" w:rsidRPr="00B259EB" w14:paraId="3302C616" w14:textId="77777777" w:rsidTr="000D65EC">
        <w:trPr>
          <w:trHeight w:val="464"/>
        </w:trPr>
        <w:tc>
          <w:tcPr>
            <w:tcW w:w="2093" w:type="dxa"/>
            <w:vMerge/>
            <w:shd w:val="clear" w:color="auto" w:fill="auto"/>
          </w:tcPr>
          <w:p w14:paraId="68730B83" w14:textId="77777777" w:rsidR="000D65EC" w:rsidRPr="00B259EB" w:rsidRDefault="000D65EC" w:rsidP="000D65EC">
            <w:pPr>
              <w:numPr>
                <w:ilvl w:val="0"/>
                <w:numId w:val="17"/>
              </w:numPr>
              <w:jc w:val="both"/>
              <w:rPr>
                <w:rFonts w:eastAsia="Calibri"/>
                <w:sz w:val="16"/>
                <w:szCs w:val="16"/>
              </w:rPr>
            </w:pPr>
          </w:p>
        </w:tc>
        <w:tc>
          <w:tcPr>
            <w:tcW w:w="3772" w:type="dxa"/>
          </w:tcPr>
          <w:p w14:paraId="208D7E07" w14:textId="77777777" w:rsidR="000D65EC" w:rsidRPr="00B259EB" w:rsidRDefault="000D65EC" w:rsidP="00B45892">
            <w:pPr>
              <w:numPr>
                <w:ilvl w:val="0"/>
                <w:numId w:val="91"/>
              </w:numPr>
              <w:autoSpaceDE w:val="0"/>
              <w:autoSpaceDN w:val="0"/>
              <w:adjustRightInd w:val="0"/>
              <w:spacing w:line="240" w:lineRule="auto"/>
              <w:contextualSpacing/>
              <w:rPr>
                <w:rFonts w:eastAsia="Times New Roman"/>
                <w:bCs/>
                <w:sz w:val="16"/>
                <w:szCs w:val="16"/>
              </w:rPr>
            </w:pPr>
            <w:r>
              <w:rPr>
                <w:rFonts w:eastAsia="Times New Roman"/>
                <w:bCs/>
                <w:sz w:val="16"/>
                <w:szCs w:val="16"/>
              </w:rPr>
              <w:t xml:space="preserve">Develop and implement capacity development activities. </w:t>
            </w:r>
          </w:p>
        </w:tc>
        <w:tc>
          <w:tcPr>
            <w:tcW w:w="823" w:type="dxa"/>
          </w:tcPr>
          <w:p w14:paraId="6F28996C" w14:textId="77777777" w:rsidR="000D65EC" w:rsidRPr="00B259EB" w:rsidRDefault="000D65EC" w:rsidP="000D65EC">
            <w:pPr>
              <w:jc w:val="both"/>
              <w:rPr>
                <w:rFonts w:eastAsia="Calibri"/>
                <w:sz w:val="16"/>
                <w:szCs w:val="16"/>
              </w:rPr>
            </w:pPr>
            <w:r>
              <w:rPr>
                <w:rFonts w:eastAsia="Calibri"/>
                <w:sz w:val="16"/>
                <w:szCs w:val="16"/>
              </w:rPr>
              <w:t>Q4 2024</w:t>
            </w:r>
          </w:p>
        </w:tc>
        <w:tc>
          <w:tcPr>
            <w:tcW w:w="823" w:type="dxa"/>
          </w:tcPr>
          <w:p w14:paraId="0392BDFF" w14:textId="77777777" w:rsidR="000D65EC" w:rsidRPr="00B259EB" w:rsidRDefault="000D65EC" w:rsidP="000D65EC">
            <w:pPr>
              <w:jc w:val="both"/>
              <w:rPr>
                <w:rFonts w:eastAsia="Calibri"/>
                <w:sz w:val="16"/>
                <w:szCs w:val="16"/>
              </w:rPr>
            </w:pPr>
            <w:r>
              <w:rPr>
                <w:rFonts w:eastAsia="Calibri"/>
                <w:sz w:val="16"/>
                <w:szCs w:val="16"/>
              </w:rPr>
              <w:t>Q4 2026</w:t>
            </w:r>
          </w:p>
        </w:tc>
        <w:tc>
          <w:tcPr>
            <w:tcW w:w="1839" w:type="dxa"/>
            <w:vMerge/>
          </w:tcPr>
          <w:p w14:paraId="2F8F998F" w14:textId="77777777" w:rsidR="000D65EC" w:rsidRPr="00B259EB" w:rsidRDefault="000D65EC" w:rsidP="000D65EC">
            <w:pPr>
              <w:jc w:val="both"/>
              <w:rPr>
                <w:rFonts w:eastAsia="Calibri"/>
                <w:sz w:val="16"/>
                <w:szCs w:val="16"/>
              </w:rPr>
            </w:pPr>
          </w:p>
        </w:tc>
      </w:tr>
      <w:tr w:rsidR="000D65EC" w:rsidRPr="00B259EB" w14:paraId="25140BB2" w14:textId="77777777" w:rsidTr="000D65EC">
        <w:trPr>
          <w:trHeight w:val="374"/>
        </w:trPr>
        <w:tc>
          <w:tcPr>
            <w:tcW w:w="2093" w:type="dxa"/>
            <w:vMerge w:val="restart"/>
            <w:shd w:val="clear" w:color="auto" w:fill="auto"/>
          </w:tcPr>
          <w:p w14:paraId="0C760A3E" w14:textId="77777777" w:rsidR="000D65EC" w:rsidRPr="00890C33" w:rsidRDefault="000D65EC" w:rsidP="000D65EC">
            <w:pPr>
              <w:rPr>
                <w:rFonts w:eastAsia="Calibri"/>
                <w:b/>
                <w:sz w:val="16"/>
                <w:szCs w:val="16"/>
              </w:rPr>
            </w:pPr>
            <w:r w:rsidRPr="00890C33">
              <w:rPr>
                <w:rFonts w:eastAsia="Calibri"/>
                <w:b/>
                <w:sz w:val="16"/>
                <w:szCs w:val="16"/>
              </w:rPr>
              <w:t>1.2.2</w:t>
            </w:r>
            <w:r>
              <w:rPr>
                <w:rFonts w:eastAsia="Calibri"/>
                <w:b/>
                <w:sz w:val="16"/>
                <w:szCs w:val="16"/>
              </w:rPr>
              <w:t xml:space="preserve"> Introduce the DSA framework as a macroeconomic programming tool.</w:t>
            </w:r>
          </w:p>
        </w:tc>
        <w:tc>
          <w:tcPr>
            <w:tcW w:w="3772" w:type="dxa"/>
          </w:tcPr>
          <w:p w14:paraId="2773B49B" w14:textId="77777777" w:rsidR="000D65EC" w:rsidRPr="00B259EB" w:rsidRDefault="000D65EC" w:rsidP="00B45892">
            <w:pPr>
              <w:numPr>
                <w:ilvl w:val="0"/>
                <w:numId w:val="92"/>
              </w:numPr>
              <w:autoSpaceDE w:val="0"/>
              <w:autoSpaceDN w:val="0"/>
              <w:adjustRightInd w:val="0"/>
              <w:spacing w:line="240" w:lineRule="auto"/>
              <w:contextualSpacing/>
              <w:jc w:val="both"/>
              <w:rPr>
                <w:rFonts w:eastAsia="Times New Roman"/>
                <w:bCs/>
                <w:sz w:val="16"/>
                <w:szCs w:val="16"/>
              </w:rPr>
            </w:pPr>
            <w:r>
              <w:rPr>
                <w:rFonts w:eastAsia="Times New Roman"/>
                <w:bCs/>
                <w:sz w:val="16"/>
                <w:szCs w:val="16"/>
              </w:rPr>
              <w:t xml:space="preserve">Prepare the customised DSA framework. </w:t>
            </w:r>
          </w:p>
        </w:tc>
        <w:tc>
          <w:tcPr>
            <w:tcW w:w="823" w:type="dxa"/>
            <w:vAlign w:val="center"/>
          </w:tcPr>
          <w:p w14:paraId="1CE46E1C" w14:textId="77777777" w:rsidR="000D65EC" w:rsidRPr="00B259EB" w:rsidRDefault="000D65EC" w:rsidP="000D65EC">
            <w:pPr>
              <w:jc w:val="both"/>
              <w:rPr>
                <w:rFonts w:eastAsia="Calibri"/>
                <w:sz w:val="16"/>
                <w:szCs w:val="16"/>
              </w:rPr>
            </w:pPr>
            <w:r>
              <w:rPr>
                <w:rFonts w:eastAsia="Calibri"/>
                <w:sz w:val="16"/>
                <w:szCs w:val="16"/>
              </w:rPr>
              <w:t>Q1 2025</w:t>
            </w:r>
          </w:p>
        </w:tc>
        <w:tc>
          <w:tcPr>
            <w:tcW w:w="823" w:type="dxa"/>
            <w:vAlign w:val="center"/>
          </w:tcPr>
          <w:p w14:paraId="0260ECCF" w14:textId="77777777" w:rsidR="000D65EC" w:rsidRPr="00B259EB" w:rsidRDefault="000D65EC" w:rsidP="000D65EC">
            <w:pPr>
              <w:jc w:val="both"/>
              <w:rPr>
                <w:rFonts w:eastAsia="Calibri"/>
                <w:sz w:val="16"/>
                <w:szCs w:val="16"/>
              </w:rPr>
            </w:pPr>
            <w:r>
              <w:rPr>
                <w:rFonts w:eastAsia="Calibri"/>
                <w:sz w:val="16"/>
                <w:szCs w:val="16"/>
              </w:rPr>
              <w:t>Q4 2026</w:t>
            </w:r>
          </w:p>
        </w:tc>
        <w:tc>
          <w:tcPr>
            <w:tcW w:w="1839" w:type="dxa"/>
            <w:vMerge w:val="restart"/>
          </w:tcPr>
          <w:p w14:paraId="5B69835C" w14:textId="77777777" w:rsidR="000D65EC" w:rsidRPr="00B259EB" w:rsidRDefault="000D65EC" w:rsidP="000D65EC">
            <w:pPr>
              <w:jc w:val="both"/>
              <w:rPr>
                <w:rFonts w:eastAsia="Calibri"/>
                <w:b/>
                <w:bCs/>
                <w:sz w:val="16"/>
                <w:szCs w:val="16"/>
              </w:rPr>
            </w:pPr>
            <w:r w:rsidRPr="00B259EB">
              <w:rPr>
                <w:rFonts w:eastAsia="Calibri"/>
                <w:b/>
                <w:bCs/>
                <w:sz w:val="16"/>
                <w:szCs w:val="16"/>
              </w:rPr>
              <w:t xml:space="preserve">Responsible entity: </w:t>
            </w:r>
          </w:p>
          <w:p w14:paraId="79E1492C" w14:textId="45B3B76D" w:rsidR="000D65EC" w:rsidRPr="00B259EB" w:rsidRDefault="000D65EC" w:rsidP="000D65EC">
            <w:pPr>
              <w:spacing w:line="264" w:lineRule="auto"/>
              <w:jc w:val="both"/>
              <w:rPr>
                <w:rFonts w:eastAsia="Calibri"/>
                <w:sz w:val="16"/>
                <w:szCs w:val="16"/>
              </w:rPr>
            </w:pPr>
            <w:r>
              <w:rPr>
                <w:rFonts w:eastAsia="Calibri"/>
                <w:sz w:val="16"/>
                <w:szCs w:val="16"/>
              </w:rPr>
              <w:t xml:space="preserve">DGMP </w:t>
            </w:r>
            <w:r w:rsidRPr="00B259EB">
              <w:rPr>
                <w:rFonts w:eastAsia="Calibri"/>
                <w:sz w:val="16"/>
                <w:szCs w:val="16"/>
              </w:rPr>
              <w:t>(lead)</w:t>
            </w:r>
          </w:p>
          <w:p w14:paraId="52C10B47" w14:textId="77777777" w:rsidR="000D65EC" w:rsidRPr="00B259EB" w:rsidRDefault="000D65EC" w:rsidP="000D65EC">
            <w:pPr>
              <w:spacing w:line="264" w:lineRule="auto"/>
              <w:jc w:val="both"/>
              <w:rPr>
                <w:rFonts w:eastAsia="Calibri"/>
                <w:b/>
                <w:bCs/>
                <w:sz w:val="16"/>
                <w:szCs w:val="16"/>
              </w:rPr>
            </w:pPr>
          </w:p>
          <w:p w14:paraId="52DA8B04" w14:textId="77777777" w:rsidR="000D65EC" w:rsidRPr="00B259EB" w:rsidRDefault="000D65EC" w:rsidP="000D65EC">
            <w:pPr>
              <w:spacing w:line="264" w:lineRule="auto"/>
              <w:jc w:val="both"/>
              <w:rPr>
                <w:rFonts w:eastAsia="Calibri"/>
                <w:sz w:val="16"/>
                <w:szCs w:val="16"/>
              </w:rPr>
            </w:pPr>
          </w:p>
        </w:tc>
      </w:tr>
      <w:tr w:rsidR="000D65EC" w:rsidRPr="00B259EB" w14:paraId="0F5A7FD3" w14:textId="77777777" w:rsidTr="00060175">
        <w:trPr>
          <w:trHeight w:val="20"/>
        </w:trPr>
        <w:tc>
          <w:tcPr>
            <w:tcW w:w="2093" w:type="dxa"/>
            <w:vMerge/>
            <w:shd w:val="clear" w:color="auto" w:fill="auto"/>
          </w:tcPr>
          <w:p w14:paraId="0D116D14" w14:textId="77777777" w:rsidR="000D65EC" w:rsidRPr="00B259EB" w:rsidRDefault="000D65EC" w:rsidP="000D65EC">
            <w:pPr>
              <w:jc w:val="both"/>
              <w:rPr>
                <w:rFonts w:eastAsia="Calibri"/>
                <w:sz w:val="16"/>
                <w:szCs w:val="16"/>
              </w:rPr>
            </w:pPr>
          </w:p>
        </w:tc>
        <w:tc>
          <w:tcPr>
            <w:tcW w:w="3772" w:type="dxa"/>
          </w:tcPr>
          <w:p w14:paraId="709261B1" w14:textId="77777777" w:rsidR="000D65EC" w:rsidRPr="00EF6DB9" w:rsidRDefault="000D65EC" w:rsidP="00B45892">
            <w:pPr>
              <w:pStyle w:val="ListParagraph"/>
              <w:numPr>
                <w:ilvl w:val="0"/>
                <w:numId w:val="94"/>
              </w:numPr>
              <w:autoSpaceDE w:val="0"/>
              <w:autoSpaceDN w:val="0"/>
              <w:adjustRightInd w:val="0"/>
              <w:spacing w:line="240" w:lineRule="auto"/>
              <w:rPr>
                <w:rFonts w:eastAsia="Times New Roman"/>
                <w:bCs/>
                <w:sz w:val="16"/>
                <w:szCs w:val="16"/>
              </w:rPr>
            </w:pPr>
            <w:r w:rsidRPr="00EF6DB9">
              <w:rPr>
                <w:rFonts w:eastAsia="Times New Roman"/>
                <w:bCs/>
                <w:sz w:val="16"/>
                <w:szCs w:val="16"/>
              </w:rPr>
              <w:t xml:space="preserve">Involve the DSA framework </w:t>
            </w:r>
            <w:r>
              <w:rPr>
                <w:rFonts w:eastAsia="Times New Roman"/>
                <w:bCs/>
                <w:sz w:val="16"/>
                <w:szCs w:val="16"/>
              </w:rPr>
              <w:t xml:space="preserve">and findings </w:t>
            </w:r>
            <w:r w:rsidRPr="00EF6DB9">
              <w:rPr>
                <w:rFonts w:eastAsia="Times New Roman"/>
                <w:bCs/>
                <w:sz w:val="16"/>
                <w:szCs w:val="16"/>
              </w:rPr>
              <w:t xml:space="preserve">in the macroeconomic programming. </w:t>
            </w:r>
          </w:p>
        </w:tc>
        <w:tc>
          <w:tcPr>
            <w:tcW w:w="823" w:type="dxa"/>
            <w:vAlign w:val="center"/>
          </w:tcPr>
          <w:p w14:paraId="3ABAC3CE" w14:textId="77777777" w:rsidR="000D65EC" w:rsidRPr="00B259EB" w:rsidRDefault="000D65EC" w:rsidP="000D65EC">
            <w:pPr>
              <w:jc w:val="both"/>
              <w:rPr>
                <w:rFonts w:eastAsia="Calibri"/>
                <w:sz w:val="16"/>
                <w:szCs w:val="16"/>
              </w:rPr>
            </w:pPr>
            <w:r>
              <w:rPr>
                <w:rFonts w:eastAsia="Calibri"/>
                <w:sz w:val="16"/>
                <w:szCs w:val="16"/>
              </w:rPr>
              <w:t>Q4 2026</w:t>
            </w:r>
          </w:p>
        </w:tc>
        <w:tc>
          <w:tcPr>
            <w:tcW w:w="823" w:type="dxa"/>
            <w:vAlign w:val="center"/>
          </w:tcPr>
          <w:p w14:paraId="29F67D18" w14:textId="77777777" w:rsidR="000D65EC" w:rsidRPr="00B259EB" w:rsidRDefault="000D65EC" w:rsidP="000D65EC">
            <w:pPr>
              <w:jc w:val="both"/>
              <w:rPr>
                <w:rFonts w:eastAsia="Calibri"/>
                <w:sz w:val="16"/>
                <w:szCs w:val="16"/>
              </w:rPr>
            </w:pPr>
            <w:r>
              <w:rPr>
                <w:rFonts w:eastAsia="Calibri"/>
                <w:sz w:val="16"/>
                <w:szCs w:val="16"/>
              </w:rPr>
              <w:t>Q4 2026</w:t>
            </w:r>
          </w:p>
        </w:tc>
        <w:tc>
          <w:tcPr>
            <w:tcW w:w="1839" w:type="dxa"/>
            <w:vMerge/>
          </w:tcPr>
          <w:p w14:paraId="7029D197" w14:textId="77777777" w:rsidR="000D65EC" w:rsidRPr="00B259EB" w:rsidRDefault="000D65EC" w:rsidP="000D65EC">
            <w:pPr>
              <w:jc w:val="both"/>
              <w:rPr>
                <w:rFonts w:eastAsia="Calibri"/>
                <w:sz w:val="16"/>
                <w:szCs w:val="16"/>
              </w:rPr>
            </w:pPr>
          </w:p>
        </w:tc>
      </w:tr>
      <w:tr w:rsidR="000D65EC" w:rsidRPr="00B259EB" w14:paraId="6FE1BD44" w14:textId="77777777" w:rsidTr="00060175">
        <w:trPr>
          <w:trHeight w:val="20"/>
        </w:trPr>
        <w:tc>
          <w:tcPr>
            <w:tcW w:w="2093" w:type="dxa"/>
            <w:vMerge/>
            <w:shd w:val="clear" w:color="auto" w:fill="auto"/>
          </w:tcPr>
          <w:p w14:paraId="1DE67FC5" w14:textId="77777777" w:rsidR="000D65EC" w:rsidRPr="00B259EB" w:rsidRDefault="000D65EC" w:rsidP="000D65EC">
            <w:pPr>
              <w:jc w:val="both"/>
              <w:rPr>
                <w:rFonts w:eastAsia="Calibri"/>
                <w:sz w:val="16"/>
                <w:szCs w:val="16"/>
              </w:rPr>
            </w:pPr>
          </w:p>
        </w:tc>
        <w:tc>
          <w:tcPr>
            <w:tcW w:w="3772" w:type="dxa"/>
          </w:tcPr>
          <w:p w14:paraId="2EC0724C" w14:textId="77777777" w:rsidR="000D65EC" w:rsidRDefault="000D65EC" w:rsidP="00B45892">
            <w:pPr>
              <w:numPr>
                <w:ilvl w:val="0"/>
                <w:numId w:val="95"/>
              </w:numPr>
              <w:autoSpaceDE w:val="0"/>
              <w:autoSpaceDN w:val="0"/>
              <w:adjustRightInd w:val="0"/>
              <w:spacing w:line="240" w:lineRule="auto"/>
              <w:contextualSpacing/>
              <w:rPr>
                <w:rFonts w:eastAsia="Times New Roman"/>
                <w:bCs/>
                <w:sz w:val="16"/>
                <w:szCs w:val="16"/>
              </w:rPr>
            </w:pPr>
            <w:r>
              <w:rPr>
                <w:rFonts w:eastAsia="Times New Roman"/>
                <w:bCs/>
                <w:sz w:val="16"/>
                <w:szCs w:val="16"/>
              </w:rPr>
              <w:t xml:space="preserve">Ensure transparency in reporting and publishing the DSA process. </w:t>
            </w:r>
          </w:p>
        </w:tc>
        <w:tc>
          <w:tcPr>
            <w:tcW w:w="823" w:type="dxa"/>
            <w:vAlign w:val="center"/>
          </w:tcPr>
          <w:p w14:paraId="27ED9D43" w14:textId="77777777" w:rsidR="000D65EC" w:rsidRPr="00B259EB" w:rsidRDefault="000D65EC" w:rsidP="000D65EC">
            <w:pPr>
              <w:jc w:val="both"/>
              <w:rPr>
                <w:rFonts w:eastAsia="Calibri"/>
                <w:sz w:val="16"/>
                <w:szCs w:val="16"/>
              </w:rPr>
            </w:pPr>
            <w:r>
              <w:rPr>
                <w:rFonts w:eastAsia="Calibri"/>
                <w:sz w:val="16"/>
                <w:szCs w:val="16"/>
              </w:rPr>
              <w:t>Q4 2026</w:t>
            </w:r>
          </w:p>
        </w:tc>
        <w:tc>
          <w:tcPr>
            <w:tcW w:w="823" w:type="dxa"/>
            <w:vAlign w:val="center"/>
          </w:tcPr>
          <w:p w14:paraId="61B6CA09" w14:textId="77777777" w:rsidR="000D65EC" w:rsidRPr="00B259EB" w:rsidRDefault="000D65EC" w:rsidP="000D65EC">
            <w:pPr>
              <w:jc w:val="both"/>
              <w:rPr>
                <w:rFonts w:eastAsia="Calibri"/>
                <w:sz w:val="16"/>
                <w:szCs w:val="16"/>
              </w:rPr>
            </w:pPr>
            <w:r>
              <w:rPr>
                <w:rFonts w:eastAsia="Calibri"/>
                <w:sz w:val="16"/>
                <w:szCs w:val="16"/>
              </w:rPr>
              <w:t>ongoing</w:t>
            </w:r>
          </w:p>
        </w:tc>
        <w:tc>
          <w:tcPr>
            <w:tcW w:w="1839" w:type="dxa"/>
            <w:vMerge/>
          </w:tcPr>
          <w:p w14:paraId="3C71AC0A" w14:textId="77777777" w:rsidR="000D65EC" w:rsidRPr="00B259EB" w:rsidRDefault="000D65EC" w:rsidP="000D65EC">
            <w:pPr>
              <w:jc w:val="both"/>
              <w:rPr>
                <w:rFonts w:eastAsia="Calibri"/>
                <w:b/>
                <w:bCs/>
                <w:sz w:val="16"/>
                <w:szCs w:val="16"/>
              </w:rPr>
            </w:pPr>
          </w:p>
        </w:tc>
      </w:tr>
    </w:tbl>
    <w:p w14:paraId="4226DE67" w14:textId="77777777" w:rsidR="000D65EC" w:rsidRDefault="000D65EC" w:rsidP="003E5F43"/>
    <w:p w14:paraId="70C8CA6A" w14:textId="77777777" w:rsidR="00F22823" w:rsidRPr="000B34C9" w:rsidRDefault="00F22823" w:rsidP="003E5F43"/>
    <w:p w14:paraId="69D19D57" w14:textId="77777777" w:rsidR="000D65EC" w:rsidRPr="00B259EB" w:rsidRDefault="000D65EC" w:rsidP="000D65EC">
      <w:pPr>
        <w:spacing w:after="60"/>
        <w:jc w:val="both"/>
        <w:rPr>
          <w:rFonts w:eastAsia="Calibri"/>
          <w:b/>
          <w:bCs/>
          <w:color w:val="0070C0"/>
        </w:rPr>
      </w:pPr>
      <w:r w:rsidRPr="00B259EB">
        <w:rPr>
          <w:rFonts w:eastAsia="Calibri"/>
          <w:b/>
          <w:bCs/>
          <w:color w:val="0070C0"/>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D65EC" w:rsidRPr="00B259EB" w14:paraId="69761C13" w14:textId="77777777" w:rsidTr="000D65EC">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98DF331" w14:textId="77777777" w:rsidR="000D65EC" w:rsidRPr="00B259EB" w:rsidRDefault="000D65EC" w:rsidP="000D65EC">
            <w:pPr>
              <w:spacing w:line="264" w:lineRule="auto"/>
              <w:jc w:val="both"/>
              <w:rPr>
                <w:rFonts w:eastAsia="Calibri"/>
                <w:b/>
                <w:bCs/>
                <w:sz w:val="16"/>
                <w:szCs w:val="16"/>
              </w:rPr>
            </w:pPr>
            <w:r w:rsidRPr="00B259EB">
              <w:rPr>
                <w:rFonts w:eastAsia="Calibri"/>
                <w:b/>
                <w:bCs/>
                <w:sz w:val="16"/>
                <w:szCs w:val="16"/>
              </w:rPr>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5B75772" w14:textId="77777777" w:rsidR="000D65EC" w:rsidRPr="00B259EB" w:rsidRDefault="000D65EC" w:rsidP="000D65EC">
            <w:pPr>
              <w:spacing w:line="264" w:lineRule="auto"/>
              <w:jc w:val="both"/>
              <w:rPr>
                <w:rFonts w:eastAsia="Calibri"/>
                <w:b/>
                <w:bCs/>
                <w:sz w:val="16"/>
                <w:szCs w:val="16"/>
              </w:rPr>
            </w:pPr>
            <w:r w:rsidRPr="00B259EB">
              <w:rPr>
                <w:rFonts w:eastAsia="Calibri"/>
                <w:b/>
                <w:bCs/>
                <w:sz w:val="16"/>
                <w:szCs w:val="16"/>
              </w:rPr>
              <w:t>Baseline value (</w:t>
            </w:r>
            <w:r>
              <w:rPr>
                <w:rFonts w:eastAsia="Calibri"/>
                <w:b/>
                <w:bCs/>
                <w:sz w:val="16"/>
                <w:szCs w:val="16"/>
              </w:rPr>
              <w:t>2022</w:t>
            </w:r>
            <w:r w:rsidRPr="00B259EB">
              <w:rPr>
                <w:rFonts w:eastAsia="Calibri"/>
                <w:b/>
                <w:bCs/>
                <w:sz w:val="16"/>
                <w:szCs w:val="16"/>
              </w:rPr>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5A2968B" w14:textId="77777777" w:rsidR="000D65EC" w:rsidRPr="00B259EB" w:rsidRDefault="000D65EC" w:rsidP="000D65EC">
            <w:pPr>
              <w:spacing w:line="264" w:lineRule="auto"/>
              <w:jc w:val="both"/>
              <w:rPr>
                <w:rFonts w:eastAsia="Calibri"/>
                <w:b/>
                <w:bCs/>
                <w:sz w:val="16"/>
                <w:szCs w:val="16"/>
              </w:rPr>
            </w:pPr>
            <w:r w:rsidRPr="00B259EB">
              <w:rPr>
                <w:rFonts w:eastAsia="Calibri"/>
                <w:b/>
                <w:bCs/>
                <w:sz w:val="16"/>
                <w:szCs w:val="16"/>
              </w:rPr>
              <w:t>Target Value</w:t>
            </w:r>
          </w:p>
        </w:tc>
      </w:tr>
      <w:tr w:rsidR="000D65EC" w:rsidRPr="00B259EB" w14:paraId="259679CD" w14:textId="77777777" w:rsidTr="000D65EC">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31FECFA" w14:textId="77777777" w:rsidR="000D65EC" w:rsidRPr="00B259EB" w:rsidRDefault="000D65EC" w:rsidP="000D65EC">
            <w:pPr>
              <w:spacing w:line="264" w:lineRule="auto"/>
              <w:jc w:val="both"/>
              <w:rPr>
                <w:rFonts w:eastAsia="Calibri"/>
                <w:b/>
                <w:bCs/>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AD31820" w14:textId="77777777" w:rsidR="000D65EC" w:rsidRPr="00B259EB" w:rsidRDefault="000D65EC" w:rsidP="000D65EC">
            <w:pPr>
              <w:spacing w:line="264" w:lineRule="auto"/>
              <w:jc w:val="both"/>
              <w:rPr>
                <w:rFonts w:eastAsia="Calibri"/>
                <w:b/>
                <w:bCs/>
                <w:sz w:val="16"/>
                <w:szCs w:val="16"/>
              </w:rPr>
            </w:pP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514D47" w14:textId="77777777" w:rsidR="000D65EC" w:rsidRPr="00B259EB" w:rsidRDefault="000D65EC" w:rsidP="000D65EC">
            <w:pPr>
              <w:spacing w:line="264" w:lineRule="auto"/>
              <w:jc w:val="center"/>
              <w:rPr>
                <w:rFonts w:eastAsia="Calibri"/>
                <w:b/>
                <w:bCs/>
                <w:sz w:val="16"/>
                <w:szCs w:val="16"/>
              </w:rPr>
            </w:pPr>
            <w:r w:rsidRPr="00B259EB">
              <w:rPr>
                <w:rFonts w:eastAsia="Calibri"/>
                <w:b/>
                <w:bCs/>
                <w:sz w:val="16"/>
                <w:szCs w:val="16"/>
              </w:rPr>
              <w:t>2023</w:t>
            </w:r>
          </w:p>
        </w:tc>
        <w:tc>
          <w:tcPr>
            <w:tcW w:w="11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0E8BD6" w14:textId="77777777" w:rsidR="000D65EC" w:rsidRPr="00B259EB" w:rsidRDefault="000D65EC" w:rsidP="000D65EC">
            <w:pPr>
              <w:spacing w:line="264" w:lineRule="auto"/>
              <w:jc w:val="center"/>
              <w:rPr>
                <w:rFonts w:eastAsia="Calibri"/>
                <w:b/>
                <w:bCs/>
                <w:sz w:val="16"/>
                <w:szCs w:val="16"/>
              </w:rPr>
            </w:pPr>
            <w:r w:rsidRPr="00B259EB">
              <w:rPr>
                <w:rFonts w:eastAsia="Calibri"/>
                <w:b/>
                <w:bCs/>
                <w:sz w:val="16"/>
                <w:szCs w:val="16"/>
              </w:rPr>
              <w:t>2024</w:t>
            </w: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177213" w14:textId="77777777" w:rsidR="000D65EC" w:rsidRPr="00B259EB" w:rsidRDefault="000D65EC" w:rsidP="000D65EC">
            <w:pPr>
              <w:spacing w:line="264" w:lineRule="auto"/>
              <w:jc w:val="center"/>
              <w:rPr>
                <w:rFonts w:eastAsia="Calibri"/>
                <w:b/>
                <w:bCs/>
                <w:sz w:val="16"/>
                <w:szCs w:val="16"/>
              </w:rPr>
            </w:pPr>
            <w:r w:rsidRPr="00B259EB">
              <w:rPr>
                <w:rFonts w:eastAsia="Calibri"/>
                <w:b/>
                <w:bCs/>
                <w:sz w:val="16"/>
                <w:szCs w:val="16"/>
              </w:rPr>
              <w:t>2025</w:t>
            </w:r>
          </w:p>
        </w:tc>
        <w:tc>
          <w:tcPr>
            <w:tcW w:w="11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801AF2" w14:textId="77777777" w:rsidR="000D65EC" w:rsidRPr="00B259EB" w:rsidRDefault="000D65EC" w:rsidP="000D65EC">
            <w:pPr>
              <w:spacing w:line="264" w:lineRule="auto"/>
              <w:jc w:val="center"/>
              <w:rPr>
                <w:rFonts w:eastAsia="Calibri"/>
                <w:b/>
                <w:bCs/>
                <w:sz w:val="16"/>
                <w:szCs w:val="16"/>
              </w:rPr>
            </w:pPr>
            <w:r w:rsidRPr="00B259EB">
              <w:rPr>
                <w:rFonts w:eastAsia="Calibri"/>
                <w:b/>
                <w:bCs/>
                <w:sz w:val="16"/>
                <w:szCs w:val="16"/>
              </w:rPr>
              <w:t>2026</w:t>
            </w:r>
          </w:p>
        </w:tc>
      </w:tr>
      <w:tr w:rsidR="000D65EC" w:rsidRPr="00B259EB" w14:paraId="1864A273" w14:textId="77777777" w:rsidTr="000D65EC">
        <w:tc>
          <w:tcPr>
            <w:tcW w:w="3114" w:type="dxa"/>
            <w:tcBorders>
              <w:top w:val="single" w:sz="4" w:space="0" w:color="auto"/>
              <w:left w:val="single" w:sz="4" w:space="0" w:color="auto"/>
              <w:bottom w:val="single" w:sz="4" w:space="0" w:color="auto"/>
              <w:right w:val="single" w:sz="4" w:space="0" w:color="auto"/>
            </w:tcBorders>
            <w:vAlign w:val="center"/>
          </w:tcPr>
          <w:p w14:paraId="18CB76AE" w14:textId="1AD3C846" w:rsidR="000D65EC" w:rsidRDefault="000D65EC" w:rsidP="00B45892">
            <w:pPr>
              <w:numPr>
                <w:ilvl w:val="0"/>
                <w:numId w:val="93"/>
              </w:numPr>
              <w:contextualSpacing/>
              <w:jc w:val="both"/>
              <w:rPr>
                <w:rFonts w:eastAsia="Calibri"/>
                <w:sz w:val="16"/>
                <w:szCs w:val="16"/>
              </w:rPr>
            </w:pPr>
            <w:r>
              <w:rPr>
                <w:rFonts w:eastAsia="Calibri"/>
                <w:sz w:val="16"/>
                <w:szCs w:val="16"/>
              </w:rPr>
              <w:t xml:space="preserve">Completing the technical assistance for DSA. </w:t>
            </w:r>
          </w:p>
          <w:p w14:paraId="5094B672" w14:textId="77777777" w:rsidR="000D65EC" w:rsidRPr="00B259EB" w:rsidRDefault="000D65EC" w:rsidP="000D65EC">
            <w:pPr>
              <w:contextualSpacing/>
              <w:jc w:val="both"/>
              <w:rPr>
                <w:rFonts w:eastAsia="Calibri"/>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tcPr>
          <w:p w14:paraId="742806F5" w14:textId="77777777" w:rsidR="000D65EC" w:rsidRPr="00B259EB" w:rsidRDefault="000D65EC" w:rsidP="000D65EC">
            <w:pPr>
              <w:jc w:val="center"/>
              <w:rPr>
                <w:rFonts w:eastAsia="Calibri"/>
                <w:sz w:val="16"/>
                <w:szCs w:val="16"/>
              </w:rPr>
            </w:pPr>
            <w:r>
              <w:rPr>
                <w:rFonts w:eastAsia="Calibri"/>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3E9FD326" w14:textId="77777777" w:rsidR="000D65EC" w:rsidRPr="00B259EB" w:rsidRDefault="000D65EC" w:rsidP="000D65EC">
            <w:pPr>
              <w:jc w:val="center"/>
              <w:rPr>
                <w:rFonts w:eastAsia="Calibri"/>
                <w:sz w:val="16"/>
                <w:szCs w:val="16"/>
              </w:rPr>
            </w:pPr>
            <w:r>
              <w:rPr>
                <w:rFonts w:eastAsia="Calibri"/>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1474333F" w14:textId="77777777" w:rsidR="000D65EC" w:rsidRPr="00B259EB" w:rsidRDefault="000D65EC" w:rsidP="000D65EC">
            <w:pPr>
              <w:jc w:val="center"/>
              <w:rPr>
                <w:rFonts w:eastAsia="Calibri"/>
                <w:sz w:val="16"/>
                <w:szCs w:val="16"/>
              </w:rPr>
            </w:pPr>
            <w:r>
              <w:rPr>
                <w:rFonts w:eastAsia="Calibri"/>
                <w:sz w:val="16"/>
                <w:szCs w:val="16"/>
              </w:rPr>
              <w:t>Request of technical assistance.</w:t>
            </w:r>
          </w:p>
        </w:tc>
        <w:tc>
          <w:tcPr>
            <w:tcW w:w="1181" w:type="dxa"/>
            <w:tcBorders>
              <w:top w:val="single" w:sz="4" w:space="0" w:color="auto"/>
              <w:left w:val="single" w:sz="4" w:space="0" w:color="auto"/>
              <w:bottom w:val="single" w:sz="4" w:space="0" w:color="auto"/>
              <w:right w:val="single" w:sz="4" w:space="0" w:color="auto"/>
            </w:tcBorders>
            <w:vAlign w:val="center"/>
          </w:tcPr>
          <w:p w14:paraId="48DEB494" w14:textId="77777777" w:rsidR="000D65EC" w:rsidRPr="00B259EB" w:rsidRDefault="000D65EC" w:rsidP="000D65EC">
            <w:pPr>
              <w:jc w:val="center"/>
              <w:rPr>
                <w:rFonts w:eastAsia="Calibri"/>
                <w:sz w:val="16"/>
                <w:szCs w:val="16"/>
              </w:rPr>
            </w:pPr>
            <w:r>
              <w:rPr>
                <w:rFonts w:eastAsia="Calibri"/>
                <w:sz w:val="16"/>
                <w:szCs w:val="16"/>
              </w:rPr>
              <w:t xml:space="preserve">Continuation of the technical assistance. </w:t>
            </w:r>
          </w:p>
        </w:tc>
        <w:tc>
          <w:tcPr>
            <w:tcW w:w="1181" w:type="dxa"/>
            <w:tcBorders>
              <w:top w:val="single" w:sz="4" w:space="0" w:color="auto"/>
              <w:left w:val="single" w:sz="4" w:space="0" w:color="auto"/>
              <w:bottom w:val="single" w:sz="4" w:space="0" w:color="auto"/>
              <w:right w:val="single" w:sz="4" w:space="0" w:color="auto"/>
            </w:tcBorders>
            <w:vAlign w:val="center"/>
          </w:tcPr>
          <w:p w14:paraId="22C2708D" w14:textId="77777777" w:rsidR="000D65EC" w:rsidRPr="00B259EB" w:rsidRDefault="000D65EC" w:rsidP="000D65EC">
            <w:pPr>
              <w:jc w:val="center"/>
              <w:rPr>
                <w:rFonts w:eastAsia="Calibri"/>
                <w:sz w:val="16"/>
                <w:szCs w:val="16"/>
              </w:rPr>
            </w:pPr>
            <w:r>
              <w:rPr>
                <w:rFonts w:eastAsia="Calibri"/>
                <w:sz w:val="16"/>
                <w:szCs w:val="16"/>
              </w:rPr>
              <w:t xml:space="preserve">Technical assistance completed. </w:t>
            </w:r>
          </w:p>
        </w:tc>
      </w:tr>
      <w:tr w:rsidR="000D65EC" w:rsidRPr="00B259EB" w14:paraId="4AF4576F" w14:textId="77777777" w:rsidTr="000D65EC">
        <w:tc>
          <w:tcPr>
            <w:tcW w:w="3114" w:type="dxa"/>
            <w:tcBorders>
              <w:top w:val="single" w:sz="4" w:space="0" w:color="auto"/>
              <w:left w:val="single" w:sz="4" w:space="0" w:color="auto"/>
              <w:bottom w:val="single" w:sz="4" w:space="0" w:color="auto"/>
              <w:right w:val="single" w:sz="4" w:space="0" w:color="auto"/>
            </w:tcBorders>
            <w:vAlign w:val="center"/>
          </w:tcPr>
          <w:p w14:paraId="67B8C55B" w14:textId="18E9E3F8" w:rsidR="000D65EC" w:rsidRPr="00EF6DB9" w:rsidRDefault="000D65EC" w:rsidP="00B45892">
            <w:pPr>
              <w:numPr>
                <w:ilvl w:val="0"/>
                <w:numId w:val="93"/>
              </w:numPr>
              <w:contextualSpacing/>
              <w:jc w:val="both"/>
              <w:rPr>
                <w:rFonts w:eastAsia="Calibri"/>
                <w:sz w:val="16"/>
                <w:szCs w:val="16"/>
              </w:rPr>
            </w:pPr>
            <w:r>
              <w:rPr>
                <w:rFonts w:eastAsia="Calibri"/>
                <w:sz w:val="16"/>
                <w:szCs w:val="16"/>
              </w:rPr>
              <w:t>DSA framework established</w:t>
            </w:r>
          </w:p>
        </w:tc>
        <w:tc>
          <w:tcPr>
            <w:tcW w:w="1180" w:type="dxa"/>
            <w:tcBorders>
              <w:top w:val="single" w:sz="4" w:space="0" w:color="auto"/>
              <w:left w:val="single" w:sz="4" w:space="0" w:color="auto"/>
              <w:bottom w:val="single" w:sz="4" w:space="0" w:color="auto"/>
              <w:right w:val="single" w:sz="4" w:space="0" w:color="auto"/>
            </w:tcBorders>
            <w:vAlign w:val="center"/>
          </w:tcPr>
          <w:p w14:paraId="36781B03" w14:textId="77777777" w:rsidR="000D65EC" w:rsidRDefault="000D65EC" w:rsidP="000D65EC">
            <w:pPr>
              <w:jc w:val="center"/>
              <w:rPr>
                <w:rFonts w:eastAsia="Calibri"/>
                <w:sz w:val="16"/>
                <w:szCs w:val="16"/>
              </w:rPr>
            </w:pPr>
            <w:r>
              <w:rPr>
                <w:rFonts w:eastAsia="Calibri"/>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38B10B98" w14:textId="77777777" w:rsidR="000D65EC" w:rsidRDefault="000D65EC" w:rsidP="000D65EC">
            <w:pPr>
              <w:jc w:val="center"/>
              <w:rPr>
                <w:rFonts w:eastAsia="Calibri"/>
                <w:sz w:val="16"/>
                <w:szCs w:val="16"/>
              </w:rPr>
            </w:pPr>
            <w:r>
              <w:rPr>
                <w:rFonts w:eastAsia="Calibri"/>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7B16A753" w14:textId="77777777" w:rsidR="000D65EC" w:rsidRPr="00B259EB" w:rsidRDefault="000D65EC" w:rsidP="000D65EC">
            <w:pPr>
              <w:jc w:val="center"/>
              <w:rPr>
                <w:rFonts w:eastAsia="Calibri"/>
                <w:sz w:val="16"/>
                <w:szCs w:val="16"/>
              </w:rPr>
            </w:pPr>
            <w:r>
              <w:rPr>
                <w:rFonts w:eastAsia="Calibri"/>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F1E0494" w14:textId="77777777" w:rsidR="000D65EC" w:rsidRPr="00B259EB" w:rsidRDefault="000D65EC" w:rsidP="000D65EC">
            <w:pPr>
              <w:jc w:val="center"/>
              <w:rPr>
                <w:rFonts w:eastAsia="Calibri"/>
                <w:sz w:val="16"/>
                <w:szCs w:val="16"/>
              </w:rPr>
            </w:pPr>
            <w:r>
              <w:rPr>
                <w:rFonts w:eastAsia="Calibri"/>
                <w:sz w:val="16"/>
                <w:szCs w:val="16"/>
              </w:rPr>
              <w:t xml:space="preserve">Introduction of a basic DSA framework. </w:t>
            </w:r>
          </w:p>
        </w:tc>
        <w:tc>
          <w:tcPr>
            <w:tcW w:w="1181" w:type="dxa"/>
            <w:tcBorders>
              <w:top w:val="single" w:sz="4" w:space="0" w:color="auto"/>
              <w:left w:val="single" w:sz="4" w:space="0" w:color="auto"/>
              <w:bottom w:val="single" w:sz="4" w:space="0" w:color="auto"/>
              <w:right w:val="single" w:sz="4" w:space="0" w:color="auto"/>
            </w:tcBorders>
            <w:vAlign w:val="center"/>
          </w:tcPr>
          <w:p w14:paraId="2DA26B1F" w14:textId="77777777" w:rsidR="000D65EC" w:rsidRPr="00B259EB" w:rsidRDefault="000D65EC" w:rsidP="000D65EC">
            <w:pPr>
              <w:jc w:val="center"/>
              <w:rPr>
                <w:rFonts w:eastAsia="Calibri"/>
                <w:sz w:val="16"/>
                <w:szCs w:val="16"/>
              </w:rPr>
            </w:pPr>
            <w:r>
              <w:rPr>
                <w:rFonts w:eastAsia="Calibri"/>
                <w:sz w:val="16"/>
                <w:szCs w:val="16"/>
              </w:rPr>
              <w:t xml:space="preserve">DSA established. </w:t>
            </w:r>
          </w:p>
        </w:tc>
      </w:tr>
    </w:tbl>
    <w:p w14:paraId="1ACB08A1" w14:textId="77777777" w:rsidR="000D65EC" w:rsidRDefault="000D65EC" w:rsidP="003E5F43"/>
    <w:p w14:paraId="0E7204E6" w14:textId="77777777" w:rsidR="00942755" w:rsidRPr="001F151E" w:rsidRDefault="00942755" w:rsidP="00AB73F1">
      <w:pPr>
        <w:rPr>
          <w:lang w:val="en-GB"/>
        </w:rPr>
      </w:pPr>
    </w:p>
    <w:p w14:paraId="391C34B4" w14:textId="565E8CA5" w:rsidR="00FA1898" w:rsidRPr="001F151E" w:rsidRDefault="00942755" w:rsidP="00FA1898">
      <w:pPr>
        <w:pStyle w:val="Heading2"/>
        <w:rPr>
          <w:rStyle w:val="IntenseReference"/>
          <w:rFonts w:eastAsiaTheme="majorEastAsia" w:cstheme="majorBidi"/>
          <w:i w:val="0"/>
          <w:sz w:val="22"/>
          <w:szCs w:val="22"/>
          <w:lang w:val="en-GB"/>
        </w:rPr>
      </w:pPr>
      <w:bookmarkStart w:id="19" w:name="_Toc151048284"/>
      <w:bookmarkStart w:id="20" w:name="_Toc163148011"/>
      <w:r>
        <w:rPr>
          <w:rStyle w:val="IntenseReference"/>
          <w:rFonts w:eastAsiaTheme="majorEastAsia" w:cstheme="majorBidi"/>
          <w:i w:val="0"/>
          <w:sz w:val="22"/>
          <w:szCs w:val="22"/>
          <w:lang w:val="en-GB"/>
        </w:rPr>
        <w:t>Component 1.3</w:t>
      </w:r>
      <w:r w:rsidR="00FA1898" w:rsidRPr="001F151E">
        <w:rPr>
          <w:rStyle w:val="IntenseReference"/>
          <w:rFonts w:eastAsiaTheme="majorEastAsia" w:cstheme="majorBidi"/>
          <w:i w:val="0"/>
          <w:sz w:val="22"/>
          <w:szCs w:val="22"/>
          <w:lang w:val="en-GB"/>
        </w:rPr>
        <w:t xml:space="preserve"> Fiscal Risk Management</w:t>
      </w:r>
      <w:bookmarkEnd w:id="19"/>
      <w:bookmarkEnd w:id="20"/>
    </w:p>
    <w:p w14:paraId="0A1EA686" w14:textId="77777777" w:rsidR="00FA1898" w:rsidRPr="001F151E" w:rsidRDefault="00FA1898" w:rsidP="00FA1898">
      <w:pPr>
        <w:rPr>
          <w:lang w:val="en-GB"/>
        </w:rPr>
      </w:pPr>
    </w:p>
    <w:p w14:paraId="54E720F2" w14:textId="77777777" w:rsidR="00FA1898" w:rsidRPr="00060175" w:rsidRDefault="00FA1898" w:rsidP="002E6AB5">
      <w:pPr>
        <w:pStyle w:val="H5"/>
        <w:spacing w:line="276" w:lineRule="auto"/>
        <w:jc w:val="both"/>
      </w:pPr>
      <w:r w:rsidRPr="00060175">
        <w:t xml:space="preserve">Objectives </w:t>
      </w:r>
    </w:p>
    <w:p w14:paraId="41E7BB95" w14:textId="49D0BACB" w:rsidR="00FA1898" w:rsidRPr="001F151E" w:rsidRDefault="00FA1898" w:rsidP="002E6AB5">
      <w:pPr>
        <w:spacing w:line="276" w:lineRule="auto"/>
        <w:jc w:val="both"/>
        <w:rPr>
          <w:lang w:val="en-GB"/>
        </w:rPr>
      </w:pPr>
      <w:r w:rsidRPr="001F151E">
        <w:rPr>
          <w:lang w:val="en-GB"/>
        </w:rPr>
        <w:t xml:space="preserve">The goal for 2030 is to have in place a comprehensive Fiscal Risk Management system and reporting addressing </w:t>
      </w:r>
      <w:r w:rsidR="002C1A3C" w:rsidRPr="001F151E">
        <w:rPr>
          <w:lang w:val="en-GB"/>
        </w:rPr>
        <w:t>the main</w:t>
      </w:r>
      <w:r w:rsidRPr="001F151E">
        <w:rPr>
          <w:lang w:val="en-GB"/>
        </w:rPr>
        <w:t xml:space="preserve"> relevant contingent liabilities and other fiscal risks.  </w:t>
      </w:r>
    </w:p>
    <w:p w14:paraId="72140A88" w14:textId="77777777" w:rsidR="00FA1898" w:rsidRPr="001F151E" w:rsidRDefault="00FA1898" w:rsidP="002E6AB5">
      <w:pPr>
        <w:pStyle w:val="H5"/>
        <w:spacing w:line="276" w:lineRule="auto"/>
        <w:jc w:val="both"/>
        <w:rPr>
          <w:lang w:val="en-GB"/>
        </w:rPr>
      </w:pPr>
    </w:p>
    <w:p w14:paraId="05E50795" w14:textId="77777777" w:rsidR="00FA1898" w:rsidRPr="001F151E" w:rsidRDefault="00FA1898" w:rsidP="002E6AB5">
      <w:pPr>
        <w:pStyle w:val="H5"/>
        <w:spacing w:line="276" w:lineRule="auto"/>
        <w:jc w:val="both"/>
        <w:rPr>
          <w:lang w:val="en-GB"/>
        </w:rPr>
      </w:pPr>
      <w:r w:rsidRPr="001F151E">
        <w:rPr>
          <w:lang w:val="en-GB"/>
        </w:rPr>
        <w:t>Context</w:t>
      </w:r>
    </w:p>
    <w:p w14:paraId="584CEAFE" w14:textId="15991A7F" w:rsidR="003F0C46" w:rsidRPr="003541AC" w:rsidRDefault="003F0C46" w:rsidP="003F0C46">
      <w:pPr>
        <w:pStyle w:val="CommentText"/>
        <w:spacing w:line="276" w:lineRule="auto"/>
        <w:rPr>
          <w:rFonts w:ascii="Arial" w:hAnsi="Arial" w:cs="Arial"/>
          <w:sz w:val="18"/>
          <w:szCs w:val="18"/>
        </w:rPr>
      </w:pPr>
      <w:r>
        <w:rPr>
          <w:rFonts w:ascii="Arial" w:hAnsi="Arial" w:cs="Arial"/>
          <w:sz w:val="18"/>
          <w:szCs w:val="18"/>
        </w:rPr>
        <w:t>The fiscal risk management process in Albania has been continuously improved since 2016, with the</w:t>
      </w:r>
      <w:r w:rsidRPr="00F9696B">
        <w:rPr>
          <w:rFonts w:ascii="Arial" w:hAnsi="Arial" w:cs="Arial"/>
          <w:sz w:val="18"/>
          <w:szCs w:val="18"/>
        </w:rPr>
        <w:t xml:space="preserve"> establishment of the Fiscal Risk Unit</w:t>
      </w:r>
      <w:r>
        <w:rPr>
          <w:rFonts w:ascii="Arial" w:hAnsi="Arial" w:cs="Arial"/>
          <w:sz w:val="18"/>
          <w:szCs w:val="18"/>
        </w:rPr>
        <w:t xml:space="preserve"> (FRU) as part of the Budget Management Directorate / General Budget Directorate. FRU is focused on monitoring arrears, </w:t>
      </w:r>
      <w:r w:rsidRPr="001A28E4">
        <w:rPr>
          <w:rFonts w:ascii="Arial" w:hAnsi="Arial" w:cs="Arial"/>
          <w:sz w:val="18"/>
          <w:szCs w:val="18"/>
        </w:rPr>
        <w:t xml:space="preserve">monitoring and reporting actual and planned payments for concessions/PPP contracts with budget support, monitoring contingent liabilities for court decisions (Arbitration and </w:t>
      </w:r>
      <w:r>
        <w:rPr>
          <w:rFonts w:ascii="Arial" w:hAnsi="Arial" w:cs="Arial"/>
          <w:sz w:val="18"/>
          <w:szCs w:val="18"/>
        </w:rPr>
        <w:t xml:space="preserve">European Court of Human Rights </w:t>
      </w:r>
      <w:r w:rsidRPr="001A28E4">
        <w:rPr>
          <w:rFonts w:ascii="Arial" w:hAnsi="Arial" w:cs="Arial"/>
          <w:sz w:val="18"/>
          <w:szCs w:val="18"/>
        </w:rPr>
        <w:t xml:space="preserve">Decisions), evaluation of risks coming from state enterprises. During the last years, some improvements have been made in the direction of strengthening the monitoring of state enterprises (SOEs), through the expansion of the monitoring of SOEs including the enterprises of the Water and Sewerage Companies, and other state enterprises that may have budget impact. </w:t>
      </w:r>
      <w:r>
        <w:rPr>
          <w:rFonts w:ascii="Arial" w:hAnsi="Arial" w:cs="Arial"/>
          <w:sz w:val="18"/>
          <w:szCs w:val="18"/>
        </w:rPr>
        <w:t>T</w:t>
      </w:r>
      <w:r w:rsidRPr="00F9696B">
        <w:rPr>
          <w:rFonts w:ascii="Arial" w:hAnsi="Arial" w:cs="Arial"/>
          <w:sz w:val="18"/>
          <w:szCs w:val="18"/>
        </w:rPr>
        <w:t>herefore the PFM target has been completed yearly</w:t>
      </w:r>
      <w:r w:rsidRPr="001A28E4">
        <w:rPr>
          <w:rFonts w:ascii="Arial" w:hAnsi="Arial" w:cs="Arial"/>
          <w:sz w:val="18"/>
          <w:szCs w:val="18"/>
        </w:rPr>
        <w:t xml:space="preserve">. </w:t>
      </w:r>
      <w:r w:rsidRPr="00F9696B">
        <w:rPr>
          <w:rFonts w:ascii="Arial" w:hAnsi="Arial" w:cs="Arial"/>
          <w:sz w:val="18"/>
          <w:szCs w:val="18"/>
        </w:rPr>
        <w:t>Furthermore, with the Co-signing o</w:t>
      </w:r>
      <w:r>
        <w:rPr>
          <w:rFonts w:ascii="Arial" w:hAnsi="Arial" w:cs="Arial"/>
          <w:sz w:val="18"/>
          <w:szCs w:val="18"/>
        </w:rPr>
        <w:t>f the joint order of MIE and MoF</w:t>
      </w:r>
      <w:r w:rsidRPr="00F9696B">
        <w:rPr>
          <w:rFonts w:ascii="Arial" w:hAnsi="Arial" w:cs="Arial"/>
          <w:sz w:val="18"/>
          <w:szCs w:val="18"/>
        </w:rPr>
        <w:t xml:space="preserve"> Nr. 304 date 17.12.2020 “For the approval of the action plan for the reduction of arrears in the electricity sector” and joint </w:t>
      </w:r>
      <w:r>
        <w:rPr>
          <w:rFonts w:ascii="Arial" w:hAnsi="Arial" w:cs="Arial"/>
          <w:sz w:val="18"/>
          <w:szCs w:val="18"/>
        </w:rPr>
        <w:t>order of MIE and MoF</w:t>
      </w:r>
      <w:r w:rsidRPr="00F9696B">
        <w:rPr>
          <w:rFonts w:ascii="Arial" w:hAnsi="Arial" w:cs="Arial"/>
          <w:sz w:val="18"/>
          <w:szCs w:val="18"/>
        </w:rPr>
        <w:t xml:space="preserve"> no. 379 dated 30.09.2021 "On the implementation of the plan of measures for the reduction of arrears in the electricity sector", FRU on a monthly basis collects information regarding the reporting and clearance of the mutual arrears that the state enterprises of the energy sector have with each other and with other state entities (W</w:t>
      </w:r>
      <w:r>
        <w:rPr>
          <w:rFonts w:ascii="Arial" w:hAnsi="Arial" w:cs="Arial"/>
          <w:sz w:val="18"/>
          <w:szCs w:val="18"/>
        </w:rPr>
        <w:t xml:space="preserve">ater </w:t>
      </w:r>
      <w:r w:rsidRPr="00F9696B">
        <w:rPr>
          <w:rFonts w:ascii="Arial" w:hAnsi="Arial" w:cs="Arial"/>
          <w:sz w:val="18"/>
          <w:szCs w:val="18"/>
        </w:rPr>
        <w:t>U</w:t>
      </w:r>
      <w:r>
        <w:rPr>
          <w:rFonts w:ascii="Arial" w:hAnsi="Arial" w:cs="Arial"/>
          <w:sz w:val="18"/>
          <w:szCs w:val="18"/>
        </w:rPr>
        <w:t>tility</w:t>
      </w:r>
      <w:r w:rsidRPr="00F9696B">
        <w:rPr>
          <w:rFonts w:ascii="Arial" w:hAnsi="Arial" w:cs="Arial"/>
          <w:sz w:val="18"/>
          <w:szCs w:val="18"/>
        </w:rPr>
        <w:t>, GDT, etc.), the modalities of which are included in the supplementary budget instruction of the Minister of Finance.</w:t>
      </w:r>
      <w:r>
        <w:rPr>
          <w:rFonts w:ascii="Arial" w:hAnsi="Arial" w:cs="Arial"/>
          <w:sz w:val="18"/>
          <w:szCs w:val="18"/>
        </w:rPr>
        <w:t xml:space="preserve"> </w:t>
      </w:r>
      <w:r w:rsidRPr="00F9696B">
        <w:rPr>
          <w:rFonts w:ascii="Arial" w:hAnsi="Arial" w:cs="Arial"/>
          <w:sz w:val="18"/>
          <w:szCs w:val="18"/>
        </w:rPr>
        <w:t xml:space="preserve">The scope of fiscal risks that are being monitored and reported on has been gradually increased and include currently risks related to Debt, Macro-economic developments, SOEs, PPPs and concession contracts, Arrears, Revenue, Local Government, Legal procedures and Court Cases. Improving the quality and expanding the scope of fiscal risk </w:t>
      </w:r>
      <w:r w:rsidRPr="00F9696B">
        <w:rPr>
          <w:rFonts w:ascii="Arial" w:hAnsi="Arial" w:cs="Arial"/>
          <w:sz w:val="18"/>
          <w:szCs w:val="18"/>
        </w:rPr>
        <w:lastRenderedPageBreak/>
        <w:t>management is foreseen, for instance by gradually including in the monitoring framework the risks related to natur</w:t>
      </w:r>
      <w:r>
        <w:rPr>
          <w:rFonts w:ascii="Arial" w:hAnsi="Arial" w:cs="Arial"/>
          <w:sz w:val="18"/>
          <w:szCs w:val="18"/>
        </w:rPr>
        <w:t>al disasters and climate change</w:t>
      </w:r>
      <w:r w:rsidR="0017221A">
        <w:rPr>
          <w:rFonts w:ascii="Arial" w:hAnsi="Arial" w:cs="Arial"/>
          <w:sz w:val="18"/>
          <w:szCs w:val="18"/>
        </w:rPr>
        <w:t>.</w:t>
      </w:r>
    </w:p>
    <w:p w14:paraId="19DFFEFF" w14:textId="77777777" w:rsidR="003F0C46" w:rsidRDefault="003F0C46" w:rsidP="003F0C46">
      <w:pPr>
        <w:pStyle w:val="CommentText"/>
        <w:spacing w:line="276" w:lineRule="auto"/>
        <w:rPr>
          <w:rFonts w:ascii="Arial" w:hAnsi="Arial" w:cs="Arial"/>
          <w:sz w:val="18"/>
          <w:szCs w:val="18"/>
        </w:rPr>
      </w:pPr>
      <w:r w:rsidRPr="001A28E4">
        <w:rPr>
          <w:rFonts w:ascii="Arial" w:hAnsi="Arial" w:cs="Arial"/>
          <w:sz w:val="18"/>
          <w:szCs w:val="18"/>
        </w:rPr>
        <w:t xml:space="preserve">In addition to the dedicated chapters in the Budget Reports such as: the Draft Budget Report for the following year, the </w:t>
      </w:r>
      <w:r>
        <w:rPr>
          <w:rFonts w:ascii="Arial" w:hAnsi="Arial" w:cs="Arial"/>
          <w:sz w:val="18"/>
          <w:szCs w:val="18"/>
        </w:rPr>
        <w:t>c</w:t>
      </w:r>
      <w:r w:rsidRPr="001A28E4">
        <w:rPr>
          <w:rFonts w:ascii="Arial" w:hAnsi="Arial" w:cs="Arial"/>
          <w:sz w:val="18"/>
          <w:szCs w:val="18"/>
        </w:rPr>
        <w:t>onsolidated Annual Budget Report and the Mid-Year Report, at the end of May 2024, the Fiscal Risk Statement for 2023 will be published for the first time, as a authentic and comprehensive document on the assessment and monitoring of fiscal risks that characterize the management of public finances (including risks from natural disasters), in line with the criteria and recommendations of international partners. In order to further improve the fiscal risk management process, in the new organic structure of the Ministry of Finance, approved in February 2024, the "Fiscal Risk Directorate (DRF)" was created, which will now be a leader in coordination, the development and advancement of the work in the MoF, in terms of fiscal risk management as a whole, and the Budget Risk Sector (SRB) as part of the Budget Management Directorate / General Budget Directorate, with a focus on monitoring the performance of the implementation of state budget, in order to monitor and report the risks that accompany its implementation.</w:t>
      </w:r>
      <w:r>
        <w:rPr>
          <w:rFonts w:ascii="Arial" w:hAnsi="Arial" w:cs="Arial"/>
          <w:sz w:val="18"/>
          <w:szCs w:val="18"/>
        </w:rPr>
        <w:t xml:space="preserve"> </w:t>
      </w:r>
    </w:p>
    <w:p w14:paraId="56D8C864" w14:textId="77777777" w:rsidR="00FA1898" w:rsidRPr="001F151E" w:rsidRDefault="00FA1898" w:rsidP="002E6AB5">
      <w:pPr>
        <w:pStyle w:val="H5"/>
        <w:spacing w:line="276" w:lineRule="auto"/>
        <w:jc w:val="both"/>
        <w:rPr>
          <w:lang w:val="en-GB"/>
        </w:rPr>
      </w:pPr>
      <w:r w:rsidRPr="001F151E">
        <w:rPr>
          <w:lang w:val="en-GB"/>
        </w:rPr>
        <w:t>Priorities</w:t>
      </w:r>
    </w:p>
    <w:p w14:paraId="558C9B9D" w14:textId="72F524C3" w:rsidR="00FA1898" w:rsidRPr="001F151E" w:rsidRDefault="00FA1898" w:rsidP="002E6AB5">
      <w:pPr>
        <w:spacing w:line="276" w:lineRule="auto"/>
        <w:jc w:val="both"/>
        <w:rPr>
          <w:lang w:val="en-GB"/>
        </w:rPr>
      </w:pPr>
      <w:r w:rsidRPr="001F151E">
        <w:rPr>
          <w:lang w:val="en-GB"/>
        </w:rPr>
        <w:t>For the period 2023-2026 the priorities are:</w:t>
      </w:r>
    </w:p>
    <w:p w14:paraId="0E3AB679" w14:textId="5FD3A7DD" w:rsidR="00FA1898" w:rsidRPr="001F151E" w:rsidRDefault="00FA1898" w:rsidP="002E6AB5">
      <w:pPr>
        <w:pStyle w:val="EcorysBody"/>
        <w:numPr>
          <w:ilvl w:val="0"/>
          <w:numId w:val="1"/>
        </w:numPr>
        <w:spacing w:line="276" w:lineRule="auto"/>
        <w:ind w:left="357" w:hanging="357"/>
        <w:jc w:val="both"/>
        <w:rPr>
          <w:rFonts w:ascii="Arial" w:hAnsi="Arial" w:cs="Arial"/>
          <w:lang w:val="en-GB"/>
        </w:rPr>
      </w:pPr>
      <w:r w:rsidRPr="001F151E">
        <w:rPr>
          <w:rFonts w:ascii="Arial" w:hAnsi="Arial" w:cs="Arial"/>
          <w:lang w:val="en-GB"/>
        </w:rPr>
        <w:t xml:space="preserve">Introduction of the Annual Fiscal Risk Statement introduced as a separate report presenting </w:t>
      </w:r>
      <w:r w:rsidR="002C1A3C" w:rsidRPr="001F151E">
        <w:rPr>
          <w:rFonts w:ascii="Arial" w:hAnsi="Arial" w:cs="Arial"/>
          <w:lang w:val="en-GB"/>
        </w:rPr>
        <w:t xml:space="preserve">the main </w:t>
      </w:r>
      <w:r w:rsidRPr="001F151E">
        <w:rPr>
          <w:rFonts w:ascii="Arial" w:hAnsi="Arial" w:cs="Arial"/>
          <w:lang w:val="en-GB"/>
        </w:rPr>
        <w:t>assessed fiscal risks.</w:t>
      </w:r>
    </w:p>
    <w:p w14:paraId="7D76EAAA" w14:textId="23A8CD40" w:rsidR="00FA1898" w:rsidRPr="001F151E" w:rsidRDefault="00FA1898" w:rsidP="002E6AB5">
      <w:pPr>
        <w:pStyle w:val="EcorysBody"/>
        <w:numPr>
          <w:ilvl w:val="0"/>
          <w:numId w:val="1"/>
        </w:numPr>
        <w:spacing w:line="276" w:lineRule="auto"/>
        <w:ind w:left="357" w:hanging="357"/>
        <w:jc w:val="both"/>
        <w:rPr>
          <w:rFonts w:ascii="Arial" w:hAnsi="Arial" w:cs="Arial"/>
          <w:lang w:val="en-GB"/>
        </w:rPr>
      </w:pPr>
      <w:r w:rsidRPr="001F151E">
        <w:rPr>
          <w:rFonts w:ascii="Arial" w:hAnsi="Arial" w:cs="Arial"/>
          <w:lang w:val="en-GB"/>
        </w:rPr>
        <w:t xml:space="preserve">Fiscal risk </w:t>
      </w:r>
      <w:r w:rsidR="00AA640A">
        <w:rPr>
          <w:rFonts w:ascii="Arial" w:hAnsi="Arial" w:cs="Arial"/>
          <w:lang w:val="en-GB"/>
        </w:rPr>
        <w:t>monitoring including natural disasters and climate change risks</w:t>
      </w:r>
      <w:r w:rsidRPr="001F151E">
        <w:rPr>
          <w:rFonts w:ascii="Arial" w:hAnsi="Arial" w:cs="Arial"/>
          <w:lang w:val="en-GB"/>
        </w:rPr>
        <w:t xml:space="preserve">. </w:t>
      </w:r>
    </w:p>
    <w:p w14:paraId="56156A20" w14:textId="77777777" w:rsidR="00FA1898" w:rsidRPr="001F151E" w:rsidRDefault="00FA1898" w:rsidP="00FA1898">
      <w:pPr>
        <w:pStyle w:val="EcorysBody"/>
        <w:rPr>
          <w:rFonts w:ascii="Arial" w:hAnsi="Arial" w:cs="Arial"/>
          <w:lang w:val="en-GB"/>
        </w:rPr>
      </w:pPr>
    </w:p>
    <w:p w14:paraId="0E4DECEB" w14:textId="4483F9F5" w:rsidR="00FA1898" w:rsidRPr="001F151E" w:rsidRDefault="00FA1898" w:rsidP="00FA1898">
      <w:pPr>
        <w:pStyle w:val="H5"/>
        <w:rPr>
          <w:lang w:val="en-GB"/>
        </w:rPr>
      </w:pPr>
      <w:r w:rsidRPr="001F151E">
        <w:rPr>
          <w:lang w:val="en-GB"/>
        </w:rPr>
        <w:t>Measures and activities</w:t>
      </w:r>
      <w:r w:rsidR="000565DE">
        <w:rPr>
          <w:lang w:val="en-GB"/>
        </w:rPr>
        <w:t xml:space="preserve"> </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05"/>
        <w:gridCol w:w="3587"/>
        <w:gridCol w:w="789"/>
        <w:gridCol w:w="864"/>
        <w:gridCol w:w="1771"/>
      </w:tblGrid>
      <w:tr w:rsidR="000565DE" w:rsidRPr="001F151E" w14:paraId="4D6A111F" w14:textId="77777777" w:rsidTr="00113384">
        <w:trPr>
          <w:trHeight w:val="20"/>
          <w:tblHeader/>
        </w:trPr>
        <w:tc>
          <w:tcPr>
            <w:tcW w:w="2005" w:type="dxa"/>
            <w:shd w:val="clear" w:color="auto" w:fill="D9D9D9" w:themeFill="background1" w:themeFillShade="D9"/>
          </w:tcPr>
          <w:p w14:paraId="107F98F9" w14:textId="77777777" w:rsidR="000565DE" w:rsidRPr="001F151E" w:rsidRDefault="000565DE" w:rsidP="00113384">
            <w:pPr>
              <w:pStyle w:val="T-bold"/>
              <w:spacing w:line="288" w:lineRule="auto"/>
            </w:pPr>
            <w:r w:rsidRPr="001F151E">
              <w:t>Measure</w:t>
            </w:r>
          </w:p>
        </w:tc>
        <w:tc>
          <w:tcPr>
            <w:tcW w:w="3587" w:type="dxa"/>
            <w:shd w:val="clear" w:color="auto" w:fill="D9D9D9" w:themeFill="background1" w:themeFillShade="D9"/>
          </w:tcPr>
          <w:p w14:paraId="0A1C399D" w14:textId="77777777" w:rsidR="000565DE" w:rsidRPr="001F151E" w:rsidRDefault="000565DE" w:rsidP="00113384">
            <w:pPr>
              <w:pStyle w:val="T-bold"/>
              <w:spacing w:line="288" w:lineRule="auto"/>
            </w:pPr>
            <w:r w:rsidRPr="001F151E">
              <w:t>Activity</w:t>
            </w:r>
          </w:p>
        </w:tc>
        <w:tc>
          <w:tcPr>
            <w:tcW w:w="789" w:type="dxa"/>
            <w:shd w:val="clear" w:color="auto" w:fill="D9D9D9" w:themeFill="background1" w:themeFillShade="D9"/>
          </w:tcPr>
          <w:p w14:paraId="77DAF581" w14:textId="77777777" w:rsidR="000565DE" w:rsidRPr="001F151E" w:rsidRDefault="000565DE" w:rsidP="00113384">
            <w:pPr>
              <w:pStyle w:val="T-bold"/>
              <w:spacing w:line="288" w:lineRule="auto"/>
              <w:jc w:val="center"/>
            </w:pPr>
            <w:r w:rsidRPr="001F151E">
              <w:t>Start</w:t>
            </w:r>
          </w:p>
        </w:tc>
        <w:tc>
          <w:tcPr>
            <w:tcW w:w="864" w:type="dxa"/>
            <w:shd w:val="clear" w:color="auto" w:fill="D9D9D9" w:themeFill="background1" w:themeFillShade="D9"/>
          </w:tcPr>
          <w:p w14:paraId="26093BEB" w14:textId="77777777" w:rsidR="000565DE" w:rsidRPr="001F151E" w:rsidRDefault="000565DE" w:rsidP="00113384">
            <w:pPr>
              <w:pStyle w:val="T-bold"/>
              <w:spacing w:line="288" w:lineRule="auto"/>
              <w:jc w:val="center"/>
            </w:pPr>
            <w:r w:rsidRPr="001F151E">
              <w:t>End</w:t>
            </w:r>
          </w:p>
        </w:tc>
        <w:tc>
          <w:tcPr>
            <w:tcW w:w="1771" w:type="dxa"/>
            <w:shd w:val="clear" w:color="auto" w:fill="D9D9D9" w:themeFill="background1" w:themeFillShade="D9"/>
          </w:tcPr>
          <w:p w14:paraId="4B4C6922" w14:textId="77777777" w:rsidR="000565DE" w:rsidRPr="001F151E" w:rsidRDefault="000565DE" w:rsidP="00113384">
            <w:pPr>
              <w:pStyle w:val="T-bold"/>
              <w:spacing w:line="288" w:lineRule="auto"/>
            </w:pPr>
            <w:r w:rsidRPr="001F151E">
              <w:t>Stakeholders</w:t>
            </w:r>
          </w:p>
        </w:tc>
      </w:tr>
      <w:tr w:rsidR="000565DE" w:rsidRPr="001F151E" w14:paraId="2E9F169C" w14:textId="77777777" w:rsidTr="00113384">
        <w:trPr>
          <w:trHeight w:val="473"/>
        </w:trPr>
        <w:tc>
          <w:tcPr>
            <w:tcW w:w="2005" w:type="dxa"/>
            <w:vMerge w:val="restart"/>
            <w:shd w:val="clear" w:color="auto" w:fill="auto"/>
          </w:tcPr>
          <w:p w14:paraId="791FAEF2" w14:textId="77777777" w:rsidR="000565DE" w:rsidRPr="001F151E" w:rsidRDefault="000565DE" w:rsidP="00113384">
            <w:pPr>
              <w:pStyle w:val="EcorysBody"/>
              <w:rPr>
                <w:rFonts w:ascii="Arial" w:hAnsi="Arial" w:cs="Arial"/>
                <w:b/>
                <w:bCs/>
                <w:sz w:val="16"/>
                <w:szCs w:val="16"/>
              </w:rPr>
            </w:pPr>
            <w:r w:rsidRPr="001F151E">
              <w:rPr>
                <w:rFonts w:ascii="Arial" w:hAnsi="Arial" w:cs="Arial"/>
                <w:b/>
                <w:bCs/>
                <w:sz w:val="16"/>
                <w:szCs w:val="16"/>
              </w:rPr>
              <w:t>Measure 1.</w:t>
            </w:r>
            <w:r>
              <w:rPr>
                <w:rFonts w:ascii="Arial" w:hAnsi="Arial" w:cs="Arial"/>
                <w:b/>
                <w:bCs/>
                <w:sz w:val="16"/>
                <w:szCs w:val="16"/>
              </w:rPr>
              <w:t>3</w:t>
            </w:r>
            <w:r w:rsidRPr="001F151E">
              <w:rPr>
                <w:rFonts w:ascii="Arial" w:hAnsi="Arial" w:cs="Arial"/>
                <w:b/>
                <w:bCs/>
                <w:sz w:val="16"/>
                <w:szCs w:val="16"/>
              </w:rPr>
              <w:t>.1 Introduce Annual Fiscal Risk Statement and gradually expand the scope of fiscal risk monitoring and reporting</w:t>
            </w:r>
          </w:p>
        </w:tc>
        <w:tc>
          <w:tcPr>
            <w:tcW w:w="3587" w:type="dxa"/>
          </w:tcPr>
          <w:p w14:paraId="4F876E34" w14:textId="77777777" w:rsidR="000565DE" w:rsidRPr="00214581" w:rsidRDefault="000565DE" w:rsidP="000565DE">
            <w:pPr>
              <w:pStyle w:val="T-number"/>
              <w:numPr>
                <w:ilvl w:val="0"/>
                <w:numId w:val="29"/>
              </w:numPr>
            </w:pPr>
            <w:r w:rsidRPr="00214581">
              <w:t>Develop and implement capacity building of staff for fiscal risk management.</w:t>
            </w:r>
          </w:p>
        </w:tc>
        <w:tc>
          <w:tcPr>
            <w:tcW w:w="789" w:type="dxa"/>
            <w:shd w:val="clear" w:color="auto" w:fill="auto"/>
            <w:vAlign w:val="center"/>
          </w:tcPr>
          <w:p w14:paraId="199B9723" w14:textId="77777777" w:rsidR="000565DE" w:rsidRPr="00214581" w:rsidRDefault="000565DE" w:rsidP="00113384">
            <w:pPr>
              <w:rPr>
                <w:color w:val="FF0000"/>
                <w:sz w:val="16"/>
                <w:szCs w:val="16"/>
              </w:rPr>
            </w:pPr>
            <w:r w:rsidRPr="00214581">
              <w:rPr>
                <w:sz w:val="16"/>
                <w:szCs w:val="16"/>
              </w:rPr>
              <w:t>Q1 2024</w:t>
            </w:r>
          </w:p>
        </w:tc>
        <w:tc>
          <w:tcPr>
            <w:tcW w:w="864" w:type="dxa"/>
            <w:shd w:val="clear" w:color="auto" w:fill="auto"/>
            <w:vAlign w:val="center"/>
          </w:tcPr>
          <w:p w14:paraId="0101CFD1" w14:textId="77777777" w:rsidR="000565DE" w:rsidRPr="00214581" w:rsidRDefault="000565DE" w:rsidP="00113384">
            <w:pPr>
              <w:rPr>
                <w:color w:val="FF0000"/>
                <w:sz w:val="16"/>
                <w:szCs w:val="16"/>
              </w:rPr>
            </w:pPr>
            <w:r w:rsidRPr="00214581">
              <w:rPr>
                <w:sz w:val="16"/>
                <w:szCs w:val="16"/>
              </w:rPr>
              <w:t>Q4 2026</w:t>
            </w:r>
          </w:p>
        </w:tc>
        <w:tc>
          <w:tcPr>
            <w:tcW w:w="1771" w:type="dxa"/>
            <w:vMerge w:val="restart"/>
          </w:tcPr>
          <w:p w14:paraId="3D8E3DF2" w14:textId="77777777" w:rsidR="000565DE" w:rsidRPr="001F151E" w:rsidRDefault="000565DE" w:rsidP="00113384">
            <w:pPr>
              <w:rPr>
                <w:b/>
                <w:bCs/>
                <w:sz w:val="16"/>
                <w:szCs w:val="16"/>
              </w:rPr>
            </w:pPr>
            <w:r w:rsidRPr="001F151E">
              <w:rPr>
                <w:b/>
                <w:bCs/>
                <w:sz w:val="16"/>
                <w:szCs w:val="16"/>
              </w:rPr>
              <w:t>Responsible entity:</w:t>
            </w:r>
          </w:p>
          <w:p w14:paraId="14EB4F86" w14:textId="77777777" w:rsidR="000565DE" w:rsidRPr="001F151E" w:rsidRDefault="000565DE" w:rsidP="00113384">
            <w:pPr>
              <w:pStyle w:val="EcorysBody"/>
              <w:rPr>
                <w:rFonts w:ascii="Arial" w:hAnsi="Arial" w:cs="Arial"/>
                <w:sz w:val="16"/>
                <w:szCs w:val="16"/>
              </w:rPr>
            </w:pPr>
            <w:r>
              <w:rPr>
                <w:rFonts w:ascii="Arial" w:hAnsi="Arial" w:cs="Arial"/>
                <w:sz w:val="16"/>
                <w:szCs w:val="16"/>
              </w:rPr>
              <w:t>DFR</w:t>
            </w:r>
            <w:r w:rsidRPr="001F151E">
              <w:rPr>
                <w:rFonts w:ascii="Arial" w:hAnsi="Arial" w:cs="Arial"/>
                <w:sz w:val="16"/>
                <w:szCs w:val="16"/>
              </w:rPr>
              <w:t xml:space="preserve"> (lead)</w:t>
            </w:r>
          </w:p>
          <w:p w14:paraId="2256881F" w14:textId="77777777" w:rsidR="000565DE" w:rsidRPr="001F151E" w:rsidRDefault="000565DE" w:rsidP="00113384">
            <w:pPr>
              <w:pStyle w:val="EcorysBody"/>
              <w:rPr>
                <w:rFonts w:ascii="Arial" w:hAnsi="Arial" w:cs="Arial"/>
                <w:b/>
                <w:bCs/>
                <w:sz w:val="16"/>
                <w:szCs w:val="16"/>
              </w:rPr>
            </w:pPr>
          </w:p>
          <w:p w14:paraId="6CB0C8D4" w14:textId="77777777" w:rsidR="000565DE" w:rsidRPr="001F151E" w:rsidRDefault="000565DE" w:rsidP="00113384">
            <w:pPr>
              <w:pStyle w:val="EcorysBody"/>
              <w:rPr>
                <w:rFonts w:ascii="Arial" w:hAnsi="Arial" w:cs="Arial"/>
                <w:sz w:val="16"/>
                <w:szCs w:val="16"/>
              </w:rPr>
            </w:pPr>
            <w:r w:rsidRPr="001F151E">
              <w:rPr>
                <w:rFonts w:ascii="Arial" w:hAnsi="Arial" w:cs="Arial"/>
                <w:b/>
                <w:bCs/>
                <w:sz w:val="16"/>
                <w:szCs w:val="16"/>
              </w:rPr>
              <w:t>Partners:</w:t>
            </w:r>
            <w:r w:rsidRPr="001F151E">
              <w:rPr>
                <w:rFonts w:ascii="Arial" w:hAnsi="Arial" w:cs="Arial"/>
                <w:sz w:val="16"/>
                <w:szCs w:val="16"/>
              </w:rPr>
              <w:t xml:space="preserve"> </w:t>
            </w:r>
          </w:p>
          <w:p w14:paraId="5515565D" w14:textId="77777777" w:rsidR="000565DE" w:rsidRPr="001F151E" w:rsidRDefault="000565DE" w:rsidP="00113384">
            <w:pPr>
              <w:pStyle w:val="EcorysBody"/>
              <w:rPr>
                <w:b/>
                <w:bCs/>
                <w:sz w:val="16"/>
                <w:szCs w:val="16"/>
              </w:rPr>
            </w:pPr>
            <w:r w:rsidRPr="001F151E">
              <w:rPr>
                <w:rFonts w:ascii="Arial" w:hAnsi="Arial" w:cs="Arial"/>
                <w:sz w:val="16"/>
                <w:szCs w:val="16"/>
              </w:rPr>
              <w:t>IMF</w:t>
            </w:r>
            <w:r w:rsidRPr="001F151E">
              <w:rPr>
                <w:rStyle w:val="FootnoteReference"/>
                <w:sz w:val="16"/>
                <w:szCs w:val="16"/>
              </w:rPr>
              <w:footnoteReference w:id="7"/>
            </w:r>
          </w:p>
        </w:tc>
      </w:tr>
      <w:tr w:rsidR="000565DE" w:rsidRPr="001F151E" w14:paraId="0DE2E5C4" w14:textId="77777777" w:rsidTr="00113384">
        <w:trPr>
          <w:trHeight w:val="20"/>
        </w:trPr>
        <w:tc>
          <w:tcPr>
            <w:tcW w:w="2005" w:type="dxa"/>
            <w:vMerge/>
            <w:shd w:val="clear" w:color="auto" w:fill="auto"/>
          </w:tcPr>
          <w:p w14:paraId="28333CEF" w14:textId="77777777" w:rsidR="000565DE" w:rsidRPr="001F151E" w:rsidRDefault="000565DE" w:rsidP="00113384">
            <w:pPr>
              <w:pStyle w:val="EcorysBody"/>
              <w:rPr>
                <w:rFonts w:ascii="Arial" w:eastAsia="Times New Roman" w:hAnsi="Arial" w:cs="Arial"/>
                <w:b/>
                <w:bCs/>
                <w:sz w:val="16"/>
                <w:szCs w:val="16"/>
              </w:rPr>
            </w:pPr>
          </w:p>
        </w:tc>
        <w:tc>
          <w:tcPr>
            <w:tcW w:w="3587" w:type="dxa"/>
          </w:tcPr>
          <w:p w14:paraId="50B563A1" w14:textId="77777777" w:rsidR="000565DE" w:rsidRPr="001F151E" w:rsidRDefault="000565DE" w:rsidP="000565DE">
            <w:pPr>
              <w:pStyle w:val="T-number"/>
              <w:numPr>
                <w:ilvl w:val="0"/>
                <w:numId w:val="29"/>
              </w:numPr>
            </w:pPr>
            <w:r w:rsidRPr="001F151E">
              <w:t>Develop, pilot and publish each year the Annual Fiscal Risk Statement.</w:t>
            </w:r>
          </w:p>
        </w:tc>
        <w:tc>
          <w:tcPr>
            <w:tcW w:w="789" w:type="dxa"/>
            <w:shd w:val="clear" w:color="auto" w:fill="auto"/>
            <w:vAlign w:val="center"/>
          </w:tcPr>
          <w:p w14:paraId="59BC0A47" w14:textId="77777777" w:rsidR="000565DE" w:rsidRPr="001F151E" w:rsidRDefault="000565DE" w:rsidP="00113384">
            <w:pPr>
              <w:jc w:val="center"/>
              <w:rPr>
                <w:sz w:val="16"/>
                <w:szCs w:val="16"/>
              </w:rPr>
            </w:pPr>
            <w:r w:rsidRPr="001F151E">
              <w:rPr>
                <w:sz w:val="16"/>
                <w:szCs w:val="16"/>
              </w:rPr>
              <w:t>Q1 2023</w:t>
            </w:r>
          </w:p>
        </w:tc>
        <w:tc>
          <w:tcPr>
            <w:tcW w:w="864" w:type="dxa"/>
            <w:shd w:val="clear" w:color="auto" w:fill="auto"/>
            <w:vAlign w:val="center"/>
          </w:tcPr>
          <w:p w14:paraId="1DE32A20" w14:textId="77777777" w:rsidR="000565DE" w:rsidRPr="001F151E" w:rsidRDefault="000565DE" w:rsidP="00113384">
            <w:pPr>
              <w:jc w:val="center"/>
              <w:rPr>
                <w:sz w:val="16"/>
                <w:szCs w:val="16"/>
              </w:rPr>
            </w:pPr>
            <w:r w:rsidRPr="001F151E">
              <w:rPr>
                <w:sz w:val="16"/>
                <w:szCs w:val="16"/>
              </w:rPr>
              <w:t>Q4 2025</w:t>
            </w:r>
          </w:p>
        </w:tc>
        <w:tc>
          <w:tcPr>
            <w:tcW w:w="1771" w:type="dxa"/>
            <w:vMerge/>
          </w:tcPr>
          <w:p w14:paraId="2ED3C96B" w14:textId="77777777" w:rsidR="000565DE" w:rsidRPr="001F151E" w:rsidRDefault="000565DE" w:rsidP="00113384">
            <w:pPr>
              <w:pStyle w:val="EcorysBody"/>
              <w:rPr>
                <w:rFonts w:ascii="Arial" w:hAnsi="Arial" w:cs="Arial"/>
                <w:b/>
                <w:bCs/>
                <w:sz w:val="16"/>
                <w:szCs w:val="16"/>
              </w:rPr>
            </w:pPr>
          </w:p>
        </w:tc>
      </w:tr>
      <w:tr w:rsidR="000565DE" w:rsidRPr="001F151E" w14:paraId="293ED8F0" w14:textId="77777777" w:rsidTr="00113384">
        <w:trPr>
          <w:trHeight w:val="20"/>
        </w:trPr>
        <w:tc>
          <w:tcPr>
            <w:tcW w:w="2005" w:type="dxa"/>
            <w:vMerge/>
            <w:shd w:val="clear" w:color="auto" w:fill="auto"/>
          </w:tcPr>
          <w:p w14:paraId="54954627" w14:textId="77777777" w:rsidR="000565DE" w:rsidRPr="001F151E" w:rsidRDefault="000565DE" w:rsidP="00113384">
            <w:pPr>
              <w:pStyle w:val="EcorysBody"/>
              <w:numPr>
                <w:ilvl w:val="0"/>
                <w:numId w:val="17"/>
              </w:numPr>
              <w:spacing w:line="288" w:lineRule="auto"/>
              <w:rPr>
                <w:rFonts w:ascii="Arial" w:hAnsi="Arial" w:cs="Arial"/>
                <w:sz w:val="16"/>
                <w:szCs w:val="16"/>
              </w:rPr>
            </w:pPr>
          </w:p>
        </w:tc>
        <w:tc>
          <w:tcPr>
            <w:tcW w:w="3587" w:type="dxa"/>
          </w:tcPr>
          <w:p w14:paraId="7DB1179D" w14:textId="77777777" w:rsidR="000565DE" w:rsidRPr="001F151E" w:rsidRDefault="000565DE" w:rsidP="00113384">
            <w:pPr>
              <w:pStyle w:val="T-number"/>
            </w:pPr>
            <w:r w:rsidRPr="007670B9">
              <w:t>Expand the scope of fiscal risks reported in the FRS by also including risks related to natural disasters and climate change</w:t>
            </w:r>
            <w:r>
              <w:t>.</w:t>
            </w:r>
          </w:p>
        </w:tc>
        <w:tc>
          <w:tcPr>
            <w:tcW w:w="789" w:type="dxa"/>
            <w:vAlign w:val="center"/>
          </w:tcPr>
          <w:p w14:paraId="0DE3CCE3" w14:textId="77777777" w:rsidR="000565DE" w:rsidRPr="001F151E" w:rsidRDefault="000565DE" w:rsidP="00113384">
            <w:pPr>
              <w:jc w:val="center"/>
              <w:rPr>
                <w:sz w:val="16"/>
                <w:szCs w:val="16"/>
              </w:rPr>
            </w:pPr>
            <w:r w:rsidRPr="001F151E">
              <w:rPr>
                <w:sz w:val="16"/>
                <w:szCs w:val="16"/>
              </w:rPr>
              <w:t>Q2 2024</w:t>
            </w:r>
          </w:p>
        </w:tc>
        <w:tc>
          <w:tcPr>
            <w:tcW w:w="864" w:type="dxa"/>
            <w:vAlign w:val="center"/>
          </w:tcPr>
          <w:p w14:paraId="7737D4D6" w14:textId="77777777" w:rsidR="000565DE" w:rsidRPr="001F151E" w:rsidRDefault="000565DE" w:rsidP="00113384">
            <w:pPr>
              <w:jc w:val="center"/>
              <w:rPr>
                <w:sz w:val="16"/>
                <w:szCs w:val="16"/>
              </w:rPr>
            </w:pPr>
            <w:r w:rsidRPr="000276A8">
              <w:rPr>
                <w:sz w:val="16"/>
                <w:szCs w:val="16"/>
              </w:rPr>
              <w:t>&gt;2026</w:t>
            </w:r>
          </w:p>
        </w:tc>
        <w:tc>
          <w:tcPr>
            <w:tcW w:w="1771" w:type="dxa"/>
            <w:vMerge/>
          </w:tcPr>
          <w:p w14:paraId="33ED14AC" w14:textId="77777777" w:rsidR="000565DE" w:rsidRPr="001F151E" w:rsidRDefault="000565DE" w:rsidP="00113384">
            <w:pPr>
              <w:rPr>
                <w:sz w:val="16"/>
                <w:szCs w:val="16"/>
              </w:rPr>
            </w:pPr>
          </w:p>
        </w:tc>
      </w:tr>
      <w:tr w:rsidR="000565DE" w:rsidRPr="001F151E" w14:paraId="59E3982A" w14:textId="77777777" w:rsidTr="00113384">
        <w:trPr>
          <w:trHeight w:val="251"/>
        </w:trPr>
        <w:tc>
          <w:tcPr>
            <w:tcW w:w="2005" w:type="dxa"/>
            <w:shd w:val="clear" w:color="auto" w:fill="auto"/>
          </w:tcPr>
          <w:p w14:paraId="6B15297B" w14:textId="77777777" w:rsidR="000565DE" w:rsidRPr="001F151E" w:rsidRDefault="000565DE" w:rsidP="00113384">
            <w:pPr>
              <w:pStyle w:val="EcorysBody"/>
              <w:spacing w:line="288" w:lineRule="auto"/>
              <w:rPr>
                <w:rFonts w:ascii="Arial" w:hAnsi="Arial" w:cs="Arial"/>
                <w:sz w:val="16"/>
                <w:szCs w:val="16"/>
              </w:rPr>
            </w:pPr>
            <w:r w:rsidRPr="001F151E">
              <w:rPr>
                <w:rFonts w:ascii="Arial" w:hAnsi="Arial" w:cs="Arial"/>
                <w:b/>
                <w:bCs/>
                <w:sz w:val="16"/>
                <w:szCs w:val="16"/>
              </w:rPr>
              <w:t>Measure 1.</w:t>
            </w:r>
            <w:r>
              <w:rPr>
                <w:rFonts w:ascii="Arial" w:hAnsi="Arial" w:cs="Arial"/>
                <w:b/>
                <w:bCs/>
                <w:sz w:val="16"/>
                <w:szCs w:val="16"/>
              </w:rPr>
              <w:t>3</w:t>
            </w:r>
            <w:r w:rsidRPr="001F151E">
              <w:rPr>
                <w:rFonts w:ascii="Arial" w:hAnsi="Arial" w:cs="Arial"/>
                <w:b/>
                <w:bCs/>
                <w:sz w:val="16"/>
                <w:szCs w:val="16"/>
              </w:rPr>
              <w:t>.2 Strengthen the manage</w:t>
            </w:r>
            <w:r>
              <w:rPr>
                <w:rFonts w:ascii="Arial" w:hAnsi="Arial" w:cs="Arial"/>
                <w:b/>
                <w:bCs/>
                <w:sz w:val="16"/>
                <w:szCs w:val="16"/>
              </w:rPr>
              <w:t xml:space="preserve">ment of Fiscal Risk related to </w:t>
            </w:r>
            <w:r w:rsidRPr="001F151E">
              <w:rPr>
                <w:rFonts w:ascii="Arial" w:hAnsi="Arial" w:cs="Arial"/>
                <w:b/>
                <w:bCs/>
                <w:sz w:val="16"/>
                <w:szCs w:val="16"/>
              </w:rPr>
              <w:t>PPP and concession contracts</w:t>
            </w:r>
          </w:p>
        </w:tc>
        <w:tc>
          <w:tcPr>
            <w:tcW w:w="3587" w:type="dxa"/>
          </w:tcPr>
          <w:p w14:paraId="25E539AA" w14:textId="77777777" w:rsidR="000565DE" w:rsidRPr="001F151E" w:rsidRDefault="000565DE" w:rsidP="000565DE">
            <w:pPr>
              <w:pStyle w:val="T-number"/>
              <w:numPr>
                <w:ilvl w:val="0"/>
                <w:numId w:val="29"/>
              </w:numPr>
            </w:pPr>
            <w:r w:rsidRPr="001F151E">
              <w:t>Improve the methodology and regulations for assessing and monitoring of fiscal risks of all PPPs and concession contracts at national and subnational level.</w:t>
            </w:r>
          </w:p>
        </w:tc>
        <w:tc>
          <w:tcPr>
            <w:tcW w:w="789" w:type="dxa"/>
            <w:vAlign w:val="center"/>
          </w:tcPr>
          <w:p w14:paraId="65E1EA79" w14:textId="77777777" w:rsidR="000565DE" w:rsidRPr="001F151E" w:rsidRDefault="000565DE" w:rsidP="00113384">
            <w:pPr>
              <w:jc w:val="center"/>
              <w:rPr>
                <w:sz w:val="16"/>
                <w:szCs w:val="16"/>
              </w:rPr>
            </w:pPr>
            <w:r w:rsidRPr="001F151E">
              <w:rPr>
                <w:sz w:val="16"/>
                <w:szCs w:val="16"/>
              </w:rPr>
              <w:t>Q2 2025</w:t>
            </w:r>
          </w:p>
        </w:tc>
        <w:tc>
          <w:tcPr>
            <w:tcW w:w="864" w:type="dxa"/>
            <w:vAlign w:val="center"/>
          </w:tcPr>
          <w:p w14:paraId="26ED1B3F" w14:textId="77777777" w:rsidR="000565DE" w:rsidRPr="001F151E" w:rsidRDefault="000565DE" w:rsidP="00113384">
            <w:pPr>
              <w:jc w:val="center"/>
              <w:rPr>
                <w:sz w:val="16"/>
                <w:szCs w:val="16"/>
              </w:rPr>
            </w:pPr>
            <w:r w:rsidRPr="001F151E">
              <w:rPr>
                <w:sz w:val="16"/>
                <w:szCs w:val="16"/>
              </w:rPr>
              <w:t>Q2 2026</w:t>
            </w:r>
          </w:p>
        </w:tc>
        <w:tc>
          <w:tcPr>
            <w:tcW w:w="1771" w:type="dxa"/>
          </w:tcPr>
          <w:p w14:paraId="713AF9F4" w14:textId="77777777" w:rsidR="000565DE" w:rsidRPr="001F151E" w:rsidRDefault="000565DE" w:rsidP="00113384">
            <w:pPr>
              <w:rPr>
                <w:b/>
                <w:bCs/>
                <w:sz w:val="16"/>
                <w:szCs w:val="16"/>
              </w:rPr>
            </w:pPr>
            <w:r w:rsidRPr="001F151E">
              <w:rPr>
                <w:b/>
                <w:bCs/>
                <w:sz w:val="16"/>
                <w:szCs w:val="16"/>
              </w:rPr>
              <w:t xml:space="preserve">Responsible entity: </w:t>
            </w:r>
          </w:p>
          <w:p w14:paraId="7E93FD13" w14:textId="77777777" w:rsidR="000565DE" w:rsidRPr="001F151E" w:rsidRDefault="000565DE" w:rsidP="00113384">
            <w:pPr>
              <w:pStyle w:val="EcorysBody"/>
              <w:rPr>
                <w:rFonts w:ascii="Arial" w:hAnsi="Arial" w:cs="Arial"/>
                <w:sz w:val="16"/>
                <w:szCs w:val="16"/>
              </w:rPr>
            </w:pPr>
            <w:r w:rsidRPr="001F151E">
              <w:rPr>
                <w:rFonts w:ascii="Arial" w:hAnsi="Arial" w:cs="Arial"/>
                <w:sz w:val="16"/>
                <w:szCs w:val="16"/>
              </w:rPr>
              <w:t>DC (lead)</w:t>
            </w:r>
          </w:p>
          <w:p w14:paraId="0E60B06D" w14:textId="77777777" w:rsidR="000565DE" w:rsidRPr="001F151E" w:rsidRDefault="000565DE" w:rsidP="00113384">
            <w:pPr>
              <w:pStyle w:val="EcorysBody"/>
              <w:rPr>
                <w:rFonts w:ascii="Arial" w:hAnsi="Arial" w:cs="Arial"/>
                <w:b/>
                <w:bCs/>
                <w:sz w:val="16"/>
                <w:szCs w:val="16"/>
              </w:rPr>
            </w:pPr>
          </w:p>
          <w:p w14:paraId="2E5CF614" w14:textId="77777777" w:rsidR="000565DE" w:rsidRPr="001F151E" w:rsidRDefault="000565DE" w:rsidP="00113384">
            <w:pPr>
              <w:pStyle w:val="EcorysBody"/>
              <w:rPr>
                <w:rFonts w:ascii="Arial" w:hAnsi="Arial" w:cs="Arial"/>
                <w:b/>
                <w:bCs/>
                <w:sz w:val="16"/>
                <w:szCs w:val="16"/>
              </w:rPr>
            </w:pPr>
            <w:r w:rsidRPr="001F151E">
              <w:rPr>
                <w:rFonts w:ascii="Arial" w:hAnsi="Arial" w:cs="Arial"/>
                <w:b/>
                <w:bCs/>
                <w:sz w:val="16"/>
                <w:szCs w:val="16"/>
              </w:rPr>
              <w:t>Partners:</w:t>
            </w:r>
          </w:p>
          <w:p w14:paraId="3F5924BF" w14:textId="77777777" w:rsidR="000565DE" w:rsidRPr="001F151E" w:rsidRDefault="000565DE" w:rsidP="00113384">
            <w:pPr>
              <w:pStyle w:val="EcorysBody"/>
              <w:rPr>
                <w:rFonts w:ascii="Arial" w:hAnsi="Arial" w:cs="Arial"/>
                <w:sz w:val="16"/>
                <w:szCs w:val="16"/>
              </w:rPr>
            </w:pPr>
            <w:r w:rsidRPr="001F151E">
              <w:rPr>
                <w:rFonts w:ascii="Arial" w:hAnsi="Arial" w:cs="Arial"/>
                <w:sz w:val="16"/>
                <w:szCs w:val="16"/>
              </w:rPr>
              <w:t>IMF</w:t>
            </w:r>
          </w:p>
        </w:tc>
      </w:tr>
      <w:tr w:rsidR="000565DE" w:rsidRPr="001F151E" w14:paraId="6CB6CB0D" w14:textId="77777777" w:rsidTr="00113384">
        <w:trPr>
          <w:trHeight w:val="20"/>
        </w:trPr>
        <w:tc>
          <w:tcPr>
            <w:tcW w:w="2005" w:type="dxa"/>
            <w:vMerge w:val="restart"/>
            <w:shd w:val="clear" w:color="auto" w:fill="auto"/>
          </w:tcPr>
          <w:p w14:paraId="0B5168DD" w14:textId="77777777" w:rsidR="000565DE" w:rsidRPr="001F151E" w:rsidRDefault="000565DE" w:rsidP="00113384">
            <w:pPr>
              <w:pStyle w:val="EcorysBody"/>
              <w:spacing w:line="288" w:lineRule="auto"/>
              <w:rPr>
                <w:rFonts w:ascii="Arial" w:hAnsi="Arial" w:cs="Arial"/>
                <w:sz w:val="16"/>
                <w:szCs w:val="16"/>
              </w:rPr>
            </w:pPr>
            <w:r w:rsidRPr="001F151E">
              <w:rPr>
                <w:rFonts w:ascii="Arial" w:hAnsi="Arial" w:cs="Arial"/>
                <w:b/>
                <w:bCs/>
                <w:sz w:val="16"/>
                <w:szCs w:val="16"/>
              </w:rPr>
              <w:t>Measure 1.</w:t>
            </w:r>
            <w:r>
              <w:rPr>
                <w:rFonts w:ascii="Arial" w:hAnsi="Arial" w:cs="Arial"/>
                <w:b/>
                <w:bCs/>
                <w:sz w:val="16"/>
                <w:szCs w:val="16"/>
              </w:rPr>
              <w:t>3</w:t>
            </w:r>
            <w:r w:rsidRPr="001F151E">
              <w:rPr>
                <w:rFonts w:ascii="Arial" w:hAnsi="Arial" w:cs="Arial"/>
                <w:b/>
                <w:bCs/>
                <w:sz w:val="16"/>
                <w:szCs w:val="16"/>
              </w:rPr>
              <w:t>.3 Strengthen the fiscal oversight of State Owned Enterprises</w:t>
            </w:r>
          </w:p>
        </w:tc>
        <w:tc>
          <w:tcPr>
            <w:tcW w:w="3587" w:type="dxa"/>
            <w:shd w:val="clear" w:color="auto" w:fill="auto"/>
          </w:tcPr>
          <w:p w14:paraId="4D30A573" w14:textId="77777777" w:rsidR="000565DE" w:rsidRPr="00BE215C" w:rsidRDefault="000565DE" w:rsidP="000565DE">
            <w:pPr>
              <w:pStyle w:val="T-number"/>
              <w:numPr>
                <w:ilvl w:val="0"/>
                <w:numId w:val="29"/>
              </w:numPr>
            </w:pPr>
            <w:r w:rsidRPr="00BE215C">
              <w:t>Enhance the methodology and regulations for assessing, monitoring and oversight of (fiscal) risks related to State Owned Enterprises</w:t>
            </w:r>
            <w:r w:rsidRPr="00214581">
              <w:rPr>
                <w:vertAlign w:val="superscript"/>
              </w:rPr>
              <w:footnoteReference w:id="8"/>
            </w:r>
            <w:r w:rsidRPr="00214581">
              <w:rPr>
                <w:vertAlign w:val="superscript"/>
              </w:rPr>
              <w:t xml:space="preserve"> </w:t>
            </w:r>
            <w:r w:rsidRPr="00BE215C">
              <w:t>at national and subnational level.</w:t>
            </w:r>
          </w:p>
        </w:tc>
        <w:tc>
          <w:tcPr>
            <w:tcW w:w="789" w:type="dxa"/>
            <w:shd w:val="clear" w:color="auto" w:fill="auto"/>
            <w:vAlign w:val="center"/>
          </w:tcPr>
          <w:p w14:paraId="5E480B56" w14:textId="1D8D0CBA" w:rsidR="000565DE" w:rsidRPr="00BE215C" w:rsidRDefault="000565DE" w:rsidP="003D0CF5">
            <w:pPr>
              <w:jc w:val="center"/>
              <w:rPr>
                <w:sz w:val="16"/>
                <w:szCs w:val="16"/>
              </w:rPr>
            </w:pPr>
            <w:r w:rsidRPr="00BE215C">
              <w:rPr>
                <w:sz w:val="16"/>
                <w:szCs w:val="16"/>
              </w:rPr>
              <w:t>Q1 202</w:t>
            </w:r>
            <w:r w:rsidR="003D0CF5">
              <w:rPr>
                <w:sz w:val="16"/>
                <w:szCs w:val="16"/>
              </w:rPr>
              <w:t>5</w:t>
            </w:r>
          </w:p>
        </w:tc>
        <w:tc>
          <w:tcPr>
            <w:tcW w:w="864" w:type="dxa"/>
            <w:shd w:val="clear" w:color="auto" w:fill="auto"/>
            <w:vAlign w:val="center"/>
          </w:tcPr>
          <w:p w14:paraId="0CE7C4ED" w14:textId="4CCD3C44" w:rsidR="000565DE" w:rsidRPr="00BE215C" w:rsidRDefault="000565DE" w:rsidP="003D0CF5">
            <w:pPr>
              <w:jc w:val="center"/>
              <w:rPr>
                <w:sz w:val="16"/>
                <w:szCs w:val="16"/>
              </w:rPr>
            </w:pPr>
            <w:r w:rsidRPr="00BE215C">
              <w:rPr>
                <w:sz w:val="16"/>
                <w:szCs w:val="16"/>
              </w:rPr>
              <w:t>Q4 202</w:t>
            </w:r>
            <w:r w:rsidR="003D0CF5">
              <w:rPr>
                <w:sz w:val="16"/>
                <w:szCs w:val="16"/>
              </w:rPr>
              <w:t>6</w:t>
            </w:r>
          </w:p>
        </w:tc>
        <w:tc>
          <w:tcPr>
            <w:tcW w:w="1771" w:type="dxa"/>
            <w:vMerge w:val="restart"/>
          </w:tcPr>
          <w:p w14:paraId="327A740B" w14:textId="77777777" w:rsidR="000565DE" w:rsidRPr="001F151E" w:rsidRDefault="000565DE" w:rsidP="00113384">
            <w:pPr>
              <w:rPr>
                <w:b/>
                <w:bCs/>
                <w:sz w:val="16"/>
                <w:szCs w:val="16"/>
              </w:rPr>
            </w:pPr>
            <w:r w:rsidRPr="001F151E">
              <w:rPr>
                <w:b/>
                <w:bCs/>
                <w:sz w:val="16"/>
                <w:szCs w:val="16"/>
              </w:rPr>
              <w:t xml:space="preserve">Responsible entity: </w:t>
            </w:r>
          </w:p>
          <w:p w14:paraId="1EC28976" w14:textId="77777777" w:rsidR="000565DE" w:rsidRPr="001F151E" w:rsidRDefault="000565DE" w:rsidP="00113384">
            <w:pPr>
              <w:rPr>
                <w:sz w:val="16"/>
                <w:szCs w:val="16"/>
              </w:rPr>
            </w:pPr>
            <w:r>
              <w:rPr>
                <w:sz w:val="16"/>
                <w:szCs w:val="16"/>
              </w:rPr>
              <w:t>DFR</w:t>
            </w:r>
            <w:r w:rsidRPr="001F151E">
              <w:rPr>
                <w:sz w:val="16"/>
                <w:szCs w:val="16"/>
              </w:rPr>
              <w:t xml:space="preserve"> (lead)</w:t>
            </w:r>
            <w:r>
              <w:rPr>
                <w:sz w:val="16"/>
                <w:szCs w:val="16"/>
              </w:rPr>
              <w:t>, MoF, MoECI</w:t>
            </w:r>
          </w:p>
          <w:p w14:paraId="282047F0" w14:textId="77777777" w:rsidR="000565DE" w:rsidRPr="001F151E" w:rsidRDefault="000565DE" w:rsidP="00113384">
            <w:pPr>
              <w:pStyle w:val="EcorysBody"/>
              <w:rPr>
                <w:rFonts w:ascii="Arial" w:hAnsi="Arial" w:cs="Arial"/>
                <w:b/>
                <w:bCs/>
                <w:sz w:val="16"/>
                <w:szCs w:val="16"/>
              </w:rPr>
            </w:pPr>
          </w:p>
          <w:p w14:paraId="79749461" w14:textId="77777777" w:rsidR="000565DE" w:rsidRPr="001F151E" w:rsidRDefault="000565DE" w:rsidP="00113384">
            <w:pPr>
              <w:pStyle w:val="EcorysBody"/>
              <w:rPr>
                <w:rFonts w:ascii="Arial" w:hAnsi="Arial" w:cs="Arial"/>
                <w:b/>
                <w:bCs/>
                <w:sz w:val="16"/>
                <w:szCs w:val="16"/>
              </w:rPr>
            </w:pPr>
            <w:r w:rsidRPr="001F151E">
              <w:rPr>
                <w:rFonts w:ascii="Arial" w:hAnsi="Arial" w:cs="Arial"/>
                <w:b/>
                <w:bCs/>
                <w:sz w:val="16"/>
                <w:szCs w:val="16"/>
              </w:rPr>
              <w:t>Partners:</w:t>
            </w:r>
          </w:p>
          <w:p w14:paraId="086D5769" w14:textId="77777777" w:rsidR="000565DE" w:rsidRPr="001F151E" w:rsidRDefault="000565DE" w:rsidP="00113384">
            <w:pPr>
              <w:pStyle w:val="EcorysBody"/>
              <w:rPr>
                <w:rFonts w:ascii="Arial" w:hAnsi="Arial" w:cs="Arial"/>
                <w:sz w:val="16"/>
                <w:szCs w:val="16"/>
              </w:rPr>
            </w:pPr>
            <w:r w:rsidRPr="001F151E">
              <w:rPr>
                <w:rFonts w:ascii="Arial" w:hAnsi="Arial" w:cs="Arial"/>
                <w:sz w:val="16"/>
                <w:szCs w:val="16"/>
              </w:rPr>
              <w:t>IMF</w:t>
            </w:r>
          </w:p>
          <w:p w14:paraId="65BF0885" w14:textId="77777777" w:rsidR="000565DE" w:rsidRPr="001F151E" w:rsidRDefault="000565DE" w:rsidP="00113384">
            <w:pPr>
              <w:rPr>
                <w:sz w:val="16"/>
                <w:szCs w:val="16"/>
              </w:rPr>
            </w:pPr>
          </w:p>
        </w:tc>
      </w:tr>
      <w:tr w:rsidR="000565DE" w:rsidRPr="001F151E" w14:paraId="3E4D0B1F" w14:textId="77777777" w:rsidTr="00113384">
        <w:trPr>
          <w:trHeight w:val="20"/>
        </w:trPr>
        <w:tc>
          <w:tcPr>
            <w:tcW w:w="2005" w:type="dxa"/>
            <w:vMerge/>
            <w:shd w:val="clear" w:color="auto" w:fill="auto"/>
          </w:tcPr>
          <w:p w14:paraId="3B98B1C7" w14:textId="77777777" w:rsidR="000565DE" w:rsidRPr="001F151E" w:rsidRDefault="000565DE" w:rsidP="00113384">
            <w:pPr>
              <w:pStyle w:val="EcorysBody"/>
              <w:numPr>
                <w:ilvl w:val="0"/>
                <w:numId w:val="17"/>
              </w:numPr>
              <w:spacing w:line="288" w:lineRule="auto"/>
              <w:rPr>
                <w:rFonts w:ascii="Arial" w:hAnsi="Arial" w:cs="Arial"/>
                <w:sz w:val="16"/>
                <w:szCs w:val="16"/>
              </w:rPr>
            </w:pPr>
          </w:p>
        </w:tc>
        <w:tc>
          <w:tcPr>
            <w:tcW w:w="3587" w:type="dxa"/>
            <w:shd w:val="clear" w:color="auto" w:fill="auto"/>
          </w:tcPr>
          <w:p w14:paraId="6BE8E31A" w14:textId="77777777" w:rsidR="000565DE" w:rsidRPr="00BE215C" w:rsidRDefault="000565DE" w:rsidP="00113384">
            <w:pPr>
              <w:pStyle w:val="T-number"/>
            </w:pPr>
            <w:r w:rsidRPr="00BE215C">
              <w:t>Strengthen capacity for regular monitoring and reporting fiscal risks related to State Owned Enterprises.</w:t>
            </w:r>
          </w:p>
        </w:tc>
        <w:tc>
          <w:tcPr>
            <w:tcW w:w="789" w:type="dxa"/>
            <w:shd w:val="clear" w:color="auto" w:fill="auto"/>
            <w:vAlign w:val="center"/>
          </w:tcPr>
          <w:p w14:paraId="605D450B" w14:textId="77777777" w:rsidR="000565DE" w:rsidRPr="00BE215C" w:rsidRDefault="000565DE" w:rsidP="00113384">
            <w:pPr>
              <w:jc w:val="center"/>
              <w:rPr>
                <w:sz w:val="16"/>
                <w:szCs w:val="16"/>
              </w:rPr>
            </w:pPr>
            <w:r w:rsidRPr="00BE215C">
              <w:rPr>
                <w:sz w:val="16"/>
                <w:szCs w:val="16"/>
              </w:rPr>
              <w:t>Q1 2026</w:t>
            </w:r>
          </w:p>
        </w:tc>
        <w:tc>
          <w:tcPr>
            <w:tcW w:w="864" w:type="dxa"/>
            <w:shd w:val="clear" w:color="auto" w:fill="auto"/>
            <w:vAlign w:val="center"/>
          </w:tcPr>
          <w:p w14:paraId="752EA6B6" w14:textId="77777777" w:rsidR="000565DE" w:rsidRPr="00BE215C" w:rsidRDefault="000565DE" w:rsidP="00113384">
            <w:pPr>
              <w:jc w:val="center"/>
              <w:rPr>
                <w:sz w:val="16"/>
                <w:szCs w:val="16"/>
              </w:rPr>
            </w:pPr>
            <w:r w:rsidRPr="00BE215C">
              <w:rPr>
                <w:sz w:val="16"/>
                <w:szCs w:val="16"/>
              </w:rPr>
              <w:t>Q4 2026</w:t>
            </w:r>
          </w:p>
        </w:tc>
        <w:tc>
          <w:tcPr>
            <w:tcW w:w="1771" w:type="dxa"/>
            <w:vMerge/>
          </w:tcPr>
          <w:p w14:paraId="19BE8DA7" w14:textId="77777777" w:rsidR="000565DE" w:rsidRPr="001F151E" w:rsidRDefault="000565DE" w:rsidP="00113384">
            <w:pPr>
              <w:rPr>
                <w:sz w:val="16"/>
                <w:szCs w:val="16"/>
              </w:rPr>
            </w:pPr>
          </w:p>
        </w:tc>
      </w:tr>
      <w:tr w:rsidR="000565DE" w:rsidRPr="001F151E" w14:paraId="7CD5F2A4" w14:textId="77777777" w:rsidTr="00113384">
        <w:trPr>
          <w:trHeight w:val="883"/>
        </w:trPr>
        <w:tc>
          <w:tcPr>
            <w:tcW w:w="2005" w:type="dxa"/>
            <w:shd w:val="clear" w:color="auto" w:fill="auto"/>
          </w:tcPr>
          <w:p w14:paraId="2CB07ABB" w14:textId="77777777" w:rsidR="000565DE" w:rsidRPr="001F151E" w:rsidRDefault="000565DE" w:rsidP="00113384">
            <w:pPr>
              <w:pStyle w:val="EcorysBody"/>
              <w:spacing w:line="288" w:lineRule="auto"/>
              <w:rPr>
                <w:rFonts w:ascii="Arial" w:hAnsi="Arial" w:cs="Arial"/>
                <w:b/>
                <w:bCs/>
                <w:sz w:val="16"/>
                <w:szCs w:val="16"/>
              </w:rPr>
            </w:pPr>
            <w:r w:rsidRPr="001F151E">
              <w:rPr>
                <w:rFonts w:ascii="Arial" w:hAnsi="Arial" w:cs="Arial"/>
                <w:b/>
                <w:bCs/>
                <w:sz w:val="16"/>
                <w:szCs w:val="16"/>
              </w:rPr>
              <w:t>Measure 1.</w:t>
            </w:r>
            <w:r>
              <w:rPr>
                <w:rFonts w:ascii="Arial" w:hAnsi="Arial" w:cs="Arial"/>
                <w:b/>
                <w:bCs/>
                <w:sz w:val="16"/>
                <w:szCs w:val="16"/>
              </w:rPr>
              <w:t>3</w:t>
            </w:r>
            <w:r w:rsidRPr="001F151E">
              <w:rPr>
                <w:rFonts w:ascii="Arial" w:hAnsi="Arial" w:cs="Arial"/>
                <w:b/>
                <w:bCs/>
                <w:sz w:val="16"/>
                <w:szCs w:val="16"/>
              </w:rPr>
              <w:t>.4 Further enhance management of arrears</w:t>
            </w:r>
          </w:p>
        </w:tc>
        <w:tc>
          <w:tcPr>
            <w:tcW w:w="3587" w:type="dxa"/>
            <w:shd w:val="clear" w:color="auto" w:fill="auto"/>
          </w:tcPr>
          <w:p w14:paraId="096122F1" w14:textId="77777777" w:rsidR="000565DE" w:rsidRPr="00BE215C" w:rsidRDefault="000565DE" w:rsidP="000565DE">
            <w:pPr>
              <w:pStyle w:val="T-number"/>
              <w:numPr>
                <w:ilvl w:val="0"/>
                <w:numId w:val="29"/>
              </w:numPr>
            </w:pPr>
            <w:r w:rsidRPr="00BE215C">
              <w:t>Consolidate and further improve methodology of monitoring and reporting on arrears.</w:t>
            </w:r>
          </w:p>
        </w:tc>
        <w:tc>
          <w:tcPr>
            <w:tcW w:w="789" w:type="dxa"/>
            <w:shd w:val="clear" w:color="auto" w:fill="auto"/>
            <w:vAlign w:val="center"/>
          </w:tcPr>
          <w:p w14:paraId="6E862435" w14:textId="77777777" w:rsidR="000565DE" w:rsidRPr="00BE215C" w:rsidRDefault="000565DE" w:rsidP="00113384">
            <w:pPr>
              <w:jc w:val="center"/>
              <w:rPr>
                <w:sz w:val="16"/>
                <w:szCs w:val="16"/>
              </w:rPr>
            </w:pPr>
            <w:r>
              <w:rPr>
                <w:sz w:val="16"/>
                <w:szCs w:val="16"/>
              </w:rPr>
              <w:t>Q1 2024</w:t>
            </w:r>
          </w:p>
        </w:tc>
        <w:tc>
          <w:tcPr>
            <w:tcW w:w="864" w:type="dxa"/>
            <w:shd w:val="clear" w:color="auto" w:fill="auto"/>
            <w:vAlign w:val="center"/>
          </w:tcPr>
          <w:p w14:paraId="2B27E8FC" w14:textId="77777777" w:rsidR="000565DE" w:rsidRPr="00BE215C" w:rsidRDefault="000565DE" w:rsidP="00113384">
            <w:pPr>
              <w:jc w:val="center"/>
              <w:rPr>
                <w:sz w:val="16"/>
                <w:szCs w:val="16"/>
              </w:rPr>
            </w:pPr>
            <w:r>
              <w:rPr>
                <w:sz w:val="16"/>
                <w:szCs w:val="16"/>
              </w:rPr>
              <w:t>Q4 2026</w:t>
            </w:r>
          </w:p>
        </w:tc>
        <w:tc>
          <w:tcPr>
            <w:tcW w:w="1771" w:type="dxa"/>
          </w:tcPr>
          <w:p w14:paraId="3521DC65" w14:textId="77777777" w:rsidR="000565DE" w:rsidRPr="001F151E" w:rsidRDefault="000565DE" w:rsidP="00113384">
            <w:pPr>
              <w:rPr>
                <w:b/>
                <w:bCs/>
                <w:sz w:val="16"/>
                <w:szCs w:val="16"/>
              </w:rPr>
            </w:pPr>
            <w:r w:rsidRPr="001F151E">
              <w:rPr>
                <w:b/>
                <w:bCs/>
                <w:sz w:val="16"/>
                <w:szCs w:val="16"/>
              </w:rPr>
              <w:t xml:space="preserve">Responsible entity: </w:t>
            </w:r>
          </w:p>
          <w:p w14:paraId="6F10E827" w14:textId="77777777" w:rsidR="000565DE" w:rsidRPr="001F151E" w:rsidRDefault="000565DE" w:rsidP="00113384">
            <w:pPr>
              <w:rPr>
                <w:sz w:val="16"/>
                <w:szCs w:val="16"/>
              </w:rPr>
            </w:pPr>
            <w:r w:rsidRPr="00BE215C">
              <w:rPr>
                <w:sz w:val="16"/>
                <w:szCs w:val="16"/>
              </w:rPr>
              <w:t xml:space="preserve">WG of arrears </w:t>
            </w:r>
            <w:r w:rsidRPr="001F151E">
              <w:rPr>
                <w:sz w:val="16"/>
                <w:szCs w:val="16"/>
              </w:rPr>
              <w:t>(lead)</w:t>
            </w:r>
          </w:p>
          <w:p w14:paraId="76A71BB9" w14:textId="77777777" w:rsidR="000565DE" w:rsidRPr="001F151E" w:rsidRDefault="000565DE" w:rsidP="00113384">
            <w:pPr>
              <w:pStyle w:val="EcorysBody"/>
              <w:rPr>
                <w:rFonts w:ascii="Arial" w:hAnsi="Arial" w:cs="Arial"/>
                <w:b/>
                <w:bCs/>
                <w:sz w:val="16"/>
                <w:szCs w:val="16"/>
              </w:rPr>
            </w:pPr>
          </w:p>
          <w:p w14:paraId="03DF7648" w14:textId="77777777" w:rsidR="000565DE" w:rsidRPr="001F151E" w:rsidRDefault="000565DE" w:rsidP="00113384">
            <w:pPr>
              <w:pStyle w:val="EcorysBody"/>
              <w:rPr>
                <w:rFonts w:ascii="Arial" w:hAnsi="Arial" w:cs="Arial"/>
                <w:b/>
                <w:bCs/>
                <w:sz w:val="16"/>
                <w:szCs w:val="16"/>
              </w:rPr>
            </w:pPr>
            <w:r w:rsidRPr="001F151E">
              <w:rPr>
                <w:rFonts w:ascii="Arial" w:hAnsi="Arial" w:cs="Arial"/>
                <w:b/>
                <w:bCs/>
                <w:sz w:val="16"/>
                <w:szCs w:val="16"/>
              </w:rPr>
              <w:t>Partners:</w:t>
            </w:r>
          </w:p>
          <w:p w14:paraId="2EC95531" w14:textId="77777777" w:rsidR="000565DE" w:rsidRPr="001F151E" w:rsidRDefault="000565DE" w:rsidP="00113384">
            <w:pPr>
              <w:pStyle w:val="EcorysBody"/>
              <w:rPr>
                <w:rFonts w:ascii="Arial" w:hAnsi="Arial" w:cs="Arial"/>
                <w:sz w:val="16"/>
                <w:szCs w:val="16"/>
              </w:rPr>
            </w:pPr>
            <w:r w:rsidRPr="001F151E">
              <w:rPr>
                <w:rFonts w:ascii="Arial" w:hAnsi="Arial" w:cs="Arial"/>
                <w:sz w:val="16"/>
                <w:szCs w:val="16"/>
              </w:rPr>
              <w:t>EU</w:t>
            </w:r>
            <w:r w:rsidRPr="001F151E">
              <w:rPr>
                <w:rStyle w:val="FootnoteReference"/>
              </w:rPr>
              <w:footnoteReference w:id="9"/>
            </w:r>
          </w:p>
        </w:tc>
      </w:tr>
    </w:tbl>
    <w:p w14:paraId="03A1CA50" w14:textId="77777777" w:rsidR="00FA1898" w:rsidRPr="001F151E" w:rsidRDefault="00FA1898" w:rsidP="00FA1898">
      <w:pPr>
        <w:pStyle w:val="H5"/>
        <w:rPr>
          <w:lang w:val="en-GB"/>
        </w:rPr>
      </w:pPr>
    </w:p>
    <w:p w14:paraId="7D7399A3" w14:textId="77777777" w:rsidR="00453FE9" w:rsidRDefault="00453FE9" w:rsidP="00FA1898">
      <w:pPr>
        <w:pStyle w:val="H5"/>
        <w:rPr>
          <w:lang w:val="en-GB"/>
        </w:rPr>
      </w:pPr>
    </w:p>
    <w:p w14:paraId="2C63C2E3" w14:textId="4BD8B381" w:rsidR="00AB73F1" w:rsidRPr="001F151E" w:rsidRDefault="00FA1898" w:rsidP="00BD7D16">
      <w:pPr>
        <w:pStyle w:val="H5"/>
        <w:rPr>
          <w:lang w:val="en-GB"/>
        </w:rPr>
      </w:pPr>
      <w:r w:rsidRPr="001F151E">
        <w:rPr>
          <w:lang w:val="en-GB"/>
        </w:rPr>
        <w:lastRenderedPageBreak/>
        <w:t>Perfor</w:t>
      </w:r>
      <w:r w:rsidR="00BD7D16">
        <w:rPr>
          <w:lang w:val="en-GB"/>
        </w:rPr>
        <w:t>mance</w:t>
      </w:r>
      <w:r w:rsidR="000565DE">
        <w:rPr>
          <w:lang w:val="en-GB"/>
        </w:rPr>
        <w:t xml:space="preserve"> indicators and milestones </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565DE" w:rsidRPr="001F151E" w14:paraId="363625C5" w14:textId="77777777" w:rsidTr="00113384">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8FD5F3" w14:textId="77777777" w:rsidR="000565DE" w:rsidRPr="001F151E" w:rsidRDefault="000565DE" w:rsidP="00113384">
            <w:pPr>
              <w:pStyle w:val="T-bold"/>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FB9A6" w14:textId="77777777" w:rsidR="000565DE" w:rsidRPr="001F151E" w:rsidRDefault="000565DE" w:rsidP="00113384">
            <w:pPr>
              <w:pStyle w:val="T-bold"/>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1F523" w14:textId="77777777" w:rsidR="000565DE" w:rsidRPr="001F151E" w:rsidRDefault="000565DE" w:rsidP="00113384">
            <w:pPr>
              <w:pStyle w:val="T-bold"/>
              <w:jc w:val="center"/>
            </w:pPr>
            <w:r w:rsidRPr="001F151E">
              <w:t>Target Value</w:t>
            </w:r>
          </w:p>
        </w:tc>
      </w:tr>
      <w:tr w:rsidR="000565DE" w:rsidRPr="001F151E" w14:paraId="4467B2D4" w14:textId="77777777" w:rsidTr="00113384">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653B954" w14:textId="77777777" w:rsidR="000565DE" w:rsidRPr="001F151E" w:rsidRDefault="000565DE" w:rsidP="00113384">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4F99F49" w14:textId="77777777" w:rsidR="000565DE" w:rsidRPr="001F151E" w:rsidRDefault="000565DE" w:rsidP="00113384">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09034" w14:textId="77777777" w:rsidR="000565DE" w:rsidRPr="001F151E" w:rsidRDefault="000565DE" w:rsidP="00113384">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890F2E" w14:textId="77777777" w:rsidR="000565DE" w:rsidRPr="001F151E" w:rsidRDefault="000565DE" w:rsidP="00113384">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82DF4" w14:textId="77777777" w:rsidR="000565DE" w:rsidRPr="001F151E" w:rsidRDefault="000565DE" w:rsidP="00113384">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7C61A" w14:textId="77777777" w:rsidR="000565DE" w:rsidRPr="001F151E" w:rsidRDefault="000565DE" w:rsidP="00113384">
            <w:pPr>
              <w:pStyle w:val="T-bold"/>
              <w:jc w:val="center"/>
            </w:pPr>
            <w:r w:rsidRPr="001F151E">
              <w:t>2026</w:t>
            </w:r>
          </w:p>
        </w:tc>
      </w:tr>
      <w:tr w:rsidR="000565DE" w:rsidRPr="001F151E" w14:paraId="7CF2E7B3" w14:textId="77777777" w:rsidTr="00113384">
        <w:tc>
          <w:tcPr>
            <w:tcW w:w="3114" w:type="dxa"/>
            <w:tcBorders>
              <w:top w:val="single" w:sz="4" w:space="0" w:color="auto"/>
              <w:left w:val="single" w:sz="4" w:space="0" w:color="auto"/>
              <w:bottom w:val="single" w:sz="4" w:space="0" w:color="auto"/>
              <w:right w:val="single" w:sz="4" w:space="0" w:color="auto"/>
            </w:tcBorders>
            <w:vAlign w:val="center"/>
          </w:tcPr>
          <w:p w14:paraId="5944519F" w14:textId="77777777" w:rsidR="000565DE" w:rsidRPr="001F151E" w:rsidRDefault="000565DE" w:rsidP="00B45892">
            <w:pPr>
              <w:pStyle w:val="ListParagraph"/>
              <w:numPr>
                <w:ilvl w:val="0"/>
                <w:numId w:val="90"/>
              </w:numPr>
              <w:rPr>
                <w:sz w:val="16"/>
                <w:szCs w:val="16"/>
              </w:rPr>
            </w:pPr>
            <w:r w:rsidRPr="001F151E">
              <w:rPr>
                <w:sz w:val="16"/>
                <w:szCs w:val="16"/>
              </w:rPr>
              <w:t>Annual Fiscal Risk Statement introduced.</w:t>
            </w:r>
          </w:p>
        </w:tc>
        <w:tc>
          <w:tcPr>
            <w:tcW w:w="1180" w:type="dxa"/>
            <w:tcBorders>
              <w:top w:val="single" w:sz="4" w:space="0" w:color="auto"/>
              <w:left w:val="single" w:sz="4" w:space="0" w:color="auto"/>
              <w:bottom w:val="single" w:sz="4" w:space="0" w:color="auto"/>
              <w:right w:val="single" w:sz="4" w:space="0" w:color="auto"/>
            </w:tcBorders>
            <w:vAlign w:val="center"/>
          </w:tcPr>
          <w:p w14:paraId="2CFC1C1A" w14:textId="77777777" w:rsidR="000565DE" w:rsidRPr="001F151E" w:rsidRDefault="000565DE" w:rsidP="00113384">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5ECED507" w14:textId="77777777" w:rsidR="000565DE" w:rsidRPr="001F151E" w:rsidRDefault="000565DE" w:rsidP="00113384">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3FCF679A" w14:textId="77777777" w:rsidR="000565DE" w:rsidRPr="001F151E" w:rsidRDefault="000565DE" w:rsidP="00113384">
            <w:pPr>
              <w:pStyle w:val="T-normal"/>
              <w:jc w:val="center"/>
            </w:pPr>
            <w:r w:rsidRPr="001F151E">
              <w:t>Piloted</w:t>
            </w:r>
          </w:p>
        </w:tc>
        <w:tc>
          <w:tcPr>
            <w:tcW w:w="1181" w:type="dxa"/>
            <w:tcBorders>
              <w:top w:val="single" w:sz="4" w:space="0" w:color="auto"/>
              <w:left w:val="single" w:sz="4" w:space="0" w:color="auto"/>
              <w:bottom w:val="single" w:sz="4" w:space="0" w:color="auto"/>
              <w:right w:val="single" w:sz="4" w:space="0" w:color="auto"/>
            </w:tcBorders>
            <w:vAlign w:val="center"/>
          </w:tcPr>
          <w:p w14:paraId="12C654AB" w14:textId="77777777" w:rsidR="000565DE" w:rsidRPr="001F151E" w:rsidRDefault="000565DE" w:rsidP="00113384">
            <w:pPr>
              <w:pStyle w:val="T-normal"/>
              <w:jc w:val="center"/>
            </w:pPr>
            <w:r w:rsidRPr="001F151E">
              <w:t>Completed</w:t>
            </w:r>
          </w:p>
        </w:tc>
        <w:tc>
          <w:tcPr>
            <w:tcW w:w="1181" w:type="dxa"/>
            <w:tcBorders>
              <w:top w:val="single" w:sz="4" w:space="0" w:color="auto"/>
              <w:left w:val="single" w:sz="4" w:space="0" w:color="auto"/>
              <w:bottom w:val="single" w:sz="4" w:space="0" w:color="auto"/>
              <w:right w:val="single" w:sz="4" w:space="0" w:color="auto"/>
            </w:tcBorders>
            <w:vAlign w:val="center"/>
          </w:tcPr>
          <w:p w14:paraId="5DAACFCE" w14:textId="77777777" w:rsidR="000565DE" w:rsidRPr="001F151E" w:rsidRDefault="000565DE" w:rsidP="00113384">
            <w:pPr>
              <w:pStyle w:val="T-normal"/>
              <w:jc w:val="center"/>
            </w:pPr>
            <w:r w:rsidRPr="001F151E">
              <w:t>Consolidated</w:t>
            </w:r>
          </w:p>
        </w:tc>
      </w:tr>
      <w:tr w:rsidR="000565DE" w:rsidRPr="001F151E" w14:paraId="2835F4E1" w14:textId="77777777" w:rsidTr="00113384">
        <w:tc>
          <w:tcPr>
            <w:tcW w:w="3114" w:type="dxa"/>
            <w:tcBorders>
              <w:top w:val="single" w:sz="4" w:space="0" w:color="auto"/>
              <w:left w:val="single" w:sz="4" w:space="0" w:color="auto"/>
              <w:bottom w:val="single" w:sz="4" w:space="0" w:color="auto"/>
              <w:right w:val="single" w:sz="4" w:space="0" w:color="auto"/>
            </w:tcBorders>
            <w:vAlign w:val="center"/>
          </w:tcPr>
          <w:p w14:paraId="0DAFC461" w14:textId="77777777" w:rsidR="000565DE" w:rsidRPr="001F151E" w:rsidRDefault="000565DE" w:rsidP="00B45892">
            <w:pPr>
              <w:pStyle w:val="ListParagraph"/>
              <w:numPr>
                <w:ilvl w:val="0"/>
                <w:numId w:val="90"/>
              </w:numPr>
              <w:rPr>
                <w:sz w:val="16"/>
                <w:szCs w:val="16"/>
              </w:rPr>
            </w:pPr>
            <w:r w:rsidRPr="001F151E">
              <w:rPr>
                <w:sz w:val="16"/>
                <w:szCs w:val="16"/>
              </w:rPr>
              <w:t>Score PEFA Indicator PI 10.3 Contingent liabilities and other fiscal risks.</w:t>
            </w:r>
          </w:p>
        </w:tc>
        <w:tc>
          <w:tcPr>
            <w:tcW w:w="1180" w:type="dxa"/>
            <w:tcBorders>
              <w:top w:val="single" w:sz="4" w:space="0" w:color="auto"/>
              <w:left w:val="single" w:sz="4" w:space="0" w:color="auto"/>
              <w:bottom w:val="single" w:sz="4" w:space="0" w:color="auto"/>
              <w:right w:val="single" w:sz="4" w:space="0" w:color="auto"/>
            </w:tcBorders>
            <w:vAlign w:val="center"/>
          </w:tcPr>
          <w:p w14:paraId="2B0D6494" w14:textId="77777777" w:rsidR="000565DE" w:rsidRPr="001F151E" w:rsidRDefault="000565DE" w:rsidP="00113384">
            <w:pPr>
              <w:pStyle w:val="T-normal"/>
              <w:jc w:val="center"/>
            </w:pPr>
            <w:r w:rsidRPr="001F151E">
              <w:t xml:space="preserve">C </w:t>
            </w:r>
          </w:p>
          <w:p w14:paraId="3BD8431B" w14:textId="77777777" w:rsidR="000565DE" w:rsidRPr="001F151E" w:rsidRDefault="000565DE" w:rsidP="00113384">
            <w:pPr>
              <w:pStyle w:val="T-normal"/>
              <w:jc w:val="center"/>
            </w:pPr>
            <w:r w:rsidRPr="001F151E">
              <w:t>(2017)</w:t>
            </w:r>
          </w:p>
        </w:tc>
        <w:tc>
          <w:tcPr>
            <w:tcW w:w="1181" w:type="dxa"/>
            <w:tcBorders>
              <w:top w:val="single" w:sz="4" w:space="0" w:color="auto"/>
              <w:left w:val="single" w:sz="4" w:space="0" w:color="auto"/>
              <w:bottom w:val="single" w:sz="4" w:space="0" w:color="auto"/>
              <w:right w:val="single" w:sz="4" w:space="0" w:color="auto"/>
            </w:tcBorders>
            <w:vAlign w:val="center"/>
          </w:tcPr>
          <w:p w14:paraId="72932544" w14:textId="77777777" w:rsidR="000565DE" w:rsidRPr="001F151E" w:rsidRDefault="000565DE" w:rsidP="00113384">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1209A654" w14:textId="77777777" w:rsidR="000565DE" w:rsidRPr="001F151E" w:rsidRDefault="000565DE" w:rsidP="00113384">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173EAB7A" w14:textId="77777777" w:rsidR="000565DE" w:rsidRPr="001F151E" w:rsidRDefault="000565DE" w:rsidP="00113384">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5A451B52" w14:textId="77777777" w:rsidR="000565DE" w:rsidRPr="001F151E" w:rsidRDefault="000565DE" w:rsidP="00113384">
            <w:pPr>
              <w:pStyle w:val="T-normal"/>
              <w:jc w:val="center"/>
            </w:pPr>
            <w:r w:rsidRPr="001F151E">
              <w:t xml:space="preserve">B </w:t>
            </w:r>
          </w:p>
        </w:tc>
      </w:tr>
      <w:tr w:rsidR="000565DE" w:rsidRPr="001F151E" w14:paraId="708F017B" w14:textId="77777777" w:rsidTr="00113384">
        <w:tc>
          <w:tcPr>
            <w:tcW w:w="3114" w:type="dxa"/>
            <w:tcBorders>
              <w:top w:val="single" w:sz="4" w:space="0" w:color="auto"/>
              <w:left w:val="single" w:sz="4" w:space="0" w:color="auto"/>
              <w:bottom w:val="single" w:sz="4" w:space="0" w:color="auto"/>
              <w:right w:val="single" w:sz="4" w:space="0" w:color="auto"/>
            </w:tcBorders>
            <w:vAlign w:val="center"/>
          </w:tcPr>
          <w:p w14:paraId="39001848" w14:textId="77777777" w:rsidR="000565DE" w:rsidRPr="00214581" w:rsidRDefault="000565DE" w:rsidP="00B45892">
            <w:pPr>
              <w:pStyle w:val="ListParagraph"/>
              <w:numPr>
                <w:ilvl w:val="0"/>
                <w:numId w:val="90"/>
              </w:numPr>
              <w:rPr>
                <w:sz w:val="16"/>
                <w:szCs w:val="16"/>
              </w:rPr>
            </w:pPr>
            <w:r w:rsidRPr="00214581">
              <w:rPr>
                <w:sz w:val="16"/>
                <w:szCs w:val="16"/>
              </w:rPr>
              <w:t>Score PEFA Indicator PI 10.1 Monitoring of Public corporations.</w:t>
            </w:r>
          </w:p>
        </w:tc>
        <w:tc>
          <w:tcPr>
            <w:tcW w:w="1180" w:type="dxa"/>
            <w:tcBorders>
              <w:top w:val="single" w:sz="4" w:space="0" w:color="auto"/>
              <w:left w:val="single" w:sz="4" w:space="0" w:color="auto"/>
              <w:bottom w:val="single" w:sz="4" w:space="0" w:color="auto"/>
              <w:right w:val="single" w:sz="4" w:space="0" w:color="auto"/>
            </w:tcBorders>
            <w:vAlign w:val="center"/>
          </w:tcPr>
          <w:p w14:paraId="53B05301" w14:textId="77777777" w:rsidR="000565DE" w:rsidRPr="00214581" w:rsidRDefault="000565DE" w:rsidP="00113384">
            <w:pPr>
              <w:pStyle w:val="T-normal"/>
              <w:jc w:val="center"/>
            </w:pPr>
            <w:r w:rsidRPr="00214581">
              <w:t xml:space="preserve">C </w:t>
            </w:r>
          </w:p>
          <w:p w14:paraId="2E6D26D4" w14:textId="77777777" w:rsidR="000565DE" w:rsidRPr="00214581" w:rsidRDefault="000565DE" w:rsidP="00113384">
            <w:pPr>
              <w:pStyle w:val="T-normal"/>
              <w:jc w:val="center"/>
            </w:pPr>
            <w:r w:rsidRPr="00214581">
              <w:t>(2017)</w:t>
            </w:r>
          </w:p>
        </w:tc>
        <w:tc>
          <w:tcPr>
            <w:tcW w:w="1181" w:type="dxa"/>
            <w:tcBorders>
              <w:top w:val="single" w:sz="4" w:space="0" w:color="auto"/>
              <w:left w:val="single" w:sz="4" w:space="0" w:color="auto"/>
              <w:bottom w:val="single" w:sz="4" w:space="0" w:color="auto"/>
              <w:right w:val="single" w:sz="4" w:space="0" w:color="auto"/>
            </w:tcBorders>
            <w:vAlign w:val="center"/>
          </w:tcPr>
          <w:p w14:paraId="2C776836" w14:textId="77777777" w:rsidR="000565DE" w:rsidRPr="00214581" w:rsidRDefault="000565DE" w:rsidP="00113384">
            <w:pPr>
              <w:pStyle w:val="T-normal"/>
              <w:jc w:val="center"/>
            </w:pPr>
            <w:r w:rsidRPr="00214581">
              <w:t>-</w:t>
            </w:r>
          </w:p>
        </w:tc>
        <w:tc>
          <w:tcPr>
            <w:tcW w:w="1180" w:type="dxa"/>
            <w:tcBorders>
              <w:top w:val="single" w:sz="4" w:space="0" w:color="auto"/>
              <w:left w:val="single" w:sz="4" w:space="0" w:color="auto"/>
              <w:bottom w:val="single" w:sz="4" w:space="0" w:color="auto"/>
              <w:right w:val="single" w:sz="4" w:space="0" w:color="auto"/>
            </w:tcBorders>
            <w:vAlign w:val="center"/>
          </w:tcPr>
          <w:p w14:paraId="7BE5A73F" w14:textId="77777777" w:rsidR="000565DE" w:rsidRPr="00214581" w:rsidRDefault="000565DE" w:rsidP="00113384">
            <w:pPr>
              <w:pStyle w:val="T-normal"/>
              <w:jc w:val="center"/>
            </w:pPr>
            <w:r w:rsidRPr="00214581">
              <w:t>-</w:t>
            </w:r>
          </w:p>
        </w:tc>
        <w:tc>
          <w:tcPr>
            <w:tcW w:w="1181" w:type="dxa"/>
            <w:tcBorders>
              <w:top w:val="single" w:sz="4" w:space="0" w:color="auto"/>
              <w:left w:val="single" w:sz="4" w:space="0" w:color="auto"/>
              <w:bottom w:val="single" w:sz="4" w:space="0" w:color="auto"/>
              <w:right w:val="single" w:sz="4" w:space="0" w:color="auto"/>
            </w:tcBorders>
            <w:vAlign w:val="center"/>
          </w:tcPr>
          <w:p w14:paraId="344E0E9A" w14:textId="77777777" w:rsidR="000565DE" w:rsidRPr="00214581" w:rsidRDefault="000565DE" w:rsidP="00113384">
            <w:pPr>
              <w:pStyle w:val="T-normal"/>
              <w:jc w:val="center"/>
            </w:pPr>
            <w:r w:rsidRPr="00214581">
              <w:t>-</w:t>
            </w:r>
          </w:p>
        </w:tc>
        <w:tc>
          <w:tcPr>
            <w:tcW w:w="1181" w:type="dxa"/>
            <w:tcBorders>
              <w:top w:val="single" w:sz="4" w:space="0" w:color="auto"/>
              <w:left w:val="single" w:sz="4" w:space="0" w:color="auto"/>
              <w:bottom w:val="single" w:sz="4" w:space="0" w:color="auto"/>
              <w:right w:val="single" w:sz="4" w:space="0" w:color="auto"/>
            </w:tcBorders>
            <w:vAlign w:val="center"/>
          </w:tcPr>
          <w:p w14:paraId="31930762" w14:textId="77777777" w:rsidR="000565DE" w:rsidRPr="00214581" w:rsidRDefault="000565DE" w:rsidP="00113384">
            <w:pPr>
              <w:pStyle w:val="T-normal"/>
              <w:jc w:val="center"/>
            </w:pPr>
            <w:r w:rsidRPr="00214581">
              <w:t>B</w:t>
            </w:r>
          </w:p>
        </w:tc>
      </w:tr>
      <w:tr w:rsidR="000565DE" w:rsidRPr="001F151E" w14:paraId="22D49CCC" w14:textId="77777777" w:rsidTr="00113384">
        <w:tc>
          <w:tcPr>
            <w:tcW w:w="3114" w:type="dxa"/>
            <w:tcBorders>
              <w:top w:val="single" w:sz="4" w:space="0" w:color="auto"/>
              <w:left w:val="single" w:sz="4" w:space="0" w:color="auto"/>
              <w:bottom w:val="single" w:sz="4" w:space="0" w:color="auto"/>
              <w:right w:val="single" w:sz="4" w:space="0" w:color="auto"/>
            </w:tcBorders>
            <w:vAlign w:val="center"/>
          </w:tcPr>
          <w:p w14:paraId="3938C571" w14:textId="77777777" w:rsidR="000565DE" w:rsidRPr="00214581" w:rsidRDefault="000565DE" w:rsidP="00B45892">
            <w:pPr>
              <w:pStyle w:val="ListParagraph"/>
              <w:numPr>
                <w:ilvl w:val="0"/>
                <w:numId w:val="90"/>
              </w:numPr>
              <w:rPr>
                <w:sz w:val="16"/>
                <w:szCs w:val="16"/>
              </w:rPr>
            </w:pPr>
            <w:r w:rsidRPr="00214581">
              <w:rPr>
                <w:sz w:val="16"/>
                <w:szCs w:val="16"/>
              </w:rPr>
              <w:t>Methodology for assessing, monitoring and oversight of (fiscal) risks related to SOE improved</w:t>
            </w:r>
          </w:p>
        </w:tc>
        <w:tc>
          <w:tcPr>
            <w:tcW w:w="1180" w:type="dxa"/>
            <w:tcBorders>
              <w:top w:val="single" w:sz="4" w:space="0" w:color="auto"/>
              <w:left w:val="single" w:sz="4" w:space="0" w:color="auto"/>
              <w:bottom w:val="single" w:sz="4" w:space="0" w:color="auto"/>
              <w:right w:val="single" w:sz="4" w:space="0" w:color="auto"/>
            </w:tcBorders>
            <w:vAlign w:val="center"/>
          </w:tcPr>
          <w:p w14:paraId="51FB6055" w14:textId="77777777" w:rsidR="000565DE" w:rsidRPr="00214581" w:rsidRDefault="000565DE" w:rsidP="00113384">
            <w:pPr>
              <w:pStyle w:val="T-normal"/>
              <w:jc w:val="center"/>
            </w:pPr>
            <w:r w:rsidRPr="00214581">
              <w:t>-</w:t>
            </w:r>
          </w:p>
          <w:p w14:paraId="33AB8661" w14:textId="77777777" w:rsidR="000565DE" w:rsidRPr="00214581" w:rsidRDefault="000565DE" w:rsidP="00113384">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564F077C" w14:textId="77777777" w:rsidR="000565DE" w:rsidRPr="00214581" w:rsidRDefault="000565DE" w:rsidP="00113384">
            <w:pPr>
              <w:pStyle w:val="T-normal"/>
              <w:jc w:val="center"/>
            </w:pPr>
            <w:r w:rsidRPr="00214581">
              <w:t>-</w:t>
            </w:r>
          </w:p>
        </w:tc>
        <w:tc>
          <w:tcPr>
            <w:tcW w:w="1180" w:type="dxa"/>
            <w:tcBorders>
              <w:top w:val="single" w:sz="4" w:space="0" w:color="auto"/>
              <w:left w:val="single" w:sz="4" w:space="0" w:color="auto"/>
              <w:bottom w:val="single" w:sz="4" w:space="0" w:color="auto"/>
              <w:right w:val="single" w:sz="4" w:space="0" w:color="auto"/>
            </w:tcBorders>
            <w:vAlign w:val="center"/>
          </w:tcPr>
          <w:p w14:paraId="30DF0E7E" w14:textId="77777777" w:rsidR="000565DE" w:rsidRPr="00214581" w:rsidRDefault="000565DE" w:rsidP="00113384">
            <w:pPr>
              <w:pStyle w:val="T-normal"/>
              <w:jc w:val="center"/>
            </w:pPr>
            <w:r w:rsidRPr="00214581">
              <w:t>-</w:t>
            </w:r>
          </w:p>
        </w:tc>
        <w:tc>
          <w:tcPr>
            <w:tcW w:w="1181" w:type="dxa"/>
            <w:tcBorders>
              <w:top w:val="single" w:sz="4" w:space="0" w:color="auto"/>
              <w:left w:val="single" w:sz="4" w:space="0" w:color="auto"/>
              <w:bottom w:val="single" w:sz="4" w:space="0" w:color="auto"/>
              <w:right w:val="single" w:sz="4" w:space="0" w:color="auto"/>
            </w:tcBorders>
            <w:vAlign w:val="center"/>
          </w:tcPr>
          <w:p w14:paraId="783BC792" w14:textId="77777777" w:rsidR="000565DE" w:rsidRPr="00214581" w:rsidRDefault="000565DE" w:rsidP="00113384">
            <w:pPr>
              <w:pStyle w:val="T-normal"/>
              <w:jc w:val="center"/>
            </w:pPr>
            <w:r w:rsidRPr="00214581">
              <w:t>-</w:t>
            </w:r>
          </w:p>
        </w:tc>
        <w:tc>
          <w:tcPr>
            <w:tcW w:w="1181" w:type="dxa"/>
            <w:tcBorders>
              <w:top w:val="single" w:sz="4" w:space="0" w:color="auto"/>
              <w:left w:val="single" w:sz="4" w:space="0" w:color="auto"/>
              <w:bottom w:val="single" w:sz="4" w:space="0" w:color="auto"/>
              <w:right w:val="single" w:sz="4" w:space="0" w:color="auto"/>
            </w:tcBorders>
            <w:vAlign w:val="center"/>
          </w:tcPr>
          <w:p w14:paraId="2864170A" w14:textId="77777777" w:rsidR="000565DE" w:rsidRPr="00214581" w:rsidRDefault="000565DE" w:rsidP="00113384">
            <w:pPr>
              <w:pStyle w:val="T-normal"/>
              <w:jc w:val="center"/>
            </w:pPr>
            <w:r>
              <w:t>Improved</w:t>
            </w:r>
          </w:p>
        </w:tc>
      </w:tr>
    </w:tbl>
    <w:p w14:paraId="17A8BC48" w14:textId="77777777" w:rsidR="009A3B76" w:rsidRDefault="009A3B76" w:rsidP="000F2535">
      <w:pPr>
        <w:rPr>
          <w:lang w:val="en-GB"/>
        </w:rPr>
      </w:pPr>
    </w:p>
    <w:p w14:paraId="67873949" w14:textId="77777777" w:rsidR="00A67FA8" w:rsidRPr="001F151E" w:rsidRDefault="00A67FA8" w:rsidP="000F2535">
      <w:pPr>
        <w:rPr>
          <w:lang w:val="en-GB"/>
        </w:rPr>
      </w:pPr>
    </w:p>
    <w:p w14:paraId="2B604278" w14:textId="3EA2DD92" w:rsidR="000F2535" w:rsidRPr="001F151E" w:rsidRDefault="000F2535" w:rsidP="000F2535">
      <w:pPr>
        <w:pStyle w:val="Heading2"/>
        <w:rPr>
          <w:lang w:val="en-GB"/>
        </w:rPr>
      </w:pPr>
      <w:bookmarkStart w:id="21" w:name="_Toc163148012"/>
      <w:bookmarkStart w:id="22" w:name="_Hlk151411707"/>
      <w:bookmarkEnd w:id="13"/>
      <w:r w:rsidRPr="001F151E">
        <w:rPr>
          <w:lang w:val="en-GB"/>
        </w:rPr>
        <w:t>C</w:t>
      </w:r>
      <w:r w:rsidR="00942755">
        <w:rPr>
          <w:lang w:val="en-GB"/>
        </w:rPr>
        <w:t>omponent 1.</w:t>
      </w:r>
      <w:r w:rsidR="00297283">
        <w:rPr>
          <w:lang w:val="en-GB"/>
        </w:rPr>
        <w:t>4</w:t>
      </w:r>
      <w:r w:rsidRPr="001F151E">
        <w:rPr>
          <w:lang w:val="en-GB"/>
        </w:rPr>
        <w:t xml:space="preserve"> Fiscal </w:t>
      </w:r>
      <w:r w:rsidR="00060175">
        <w:rPr>
          <w:lang w:val="en-GB"/>
        </w:rPr>
        <w:t>Council</w:t>
      </w:r>
      <w:bookmarkEnd w:id="21"/>
    </w:p>
    <w:p w14:paraId="61C2F401" w14:textId="77777777" w:rsidR="000F2535" w:rsidRPr="001F151E" w:rsidRDefault="000F2535" w:rsidP="000F2535">
      <w:pPr>
        <w:rPr>
          <w:lang w:val="en-GB"/>
        </w:rPr>
      </w:pPr>
    </w:p>
    <w:p w14:paraId="0469DF26" w14:textId="77777777" w:rsidR="000F2535" w:rsidRPr="001F151E" w:rsidRDefault="000F2535" w:rsidP="000F2535">
      <w:pPr>
        <w:pStyle w:val="H5"/>
        <w:rPr>
          <w:lang w:val="en-GB"/>
        </w:rPr>
      </w:pPr>
      <w:r w:rsidRPr="001F151E">
        <w:rPr>
          <w:lang w:val="en-GB"/>
        </w:rPr>
        <w:t>Objective</w:t>
      </w:r>
    </w:p>
    <w:p w14:paraId="6CA2668E" w14:textId="0D5677E2" w:rsidR="000F2535" w:rsidRPr="001F151E" w:rsidRDefault="000F2535" w:rsidP="000F2535">
      <w:pPr>
        <w:jc w:val="both"/>
        <w:rPr>
          <w:lang w:val="en-GB"/>
        </w:rPr>
      </w:pPr>
      <w:r w:rsidRPr="001F151E">
        <w:rPr>
          <w:lang w:val="en-GB"/>
        </w:rPr>
        <w:t>The goal for 2030 is to have in place a fully-fledged fiscal council to evaluate the fiscal policy of the Government.</w:t>
      </w:r>
    </w:p>
    <w:p w14:paraId="7D30654D" w14:textId="77777777" w:rsidR="000F2535" w:rsidRPr="001F151E" w:rsidRDefault="000F2535" w:rsidP="000F2535">
      <w:pPr>
        <w:pStyle w:val="H5"/>
        <w:rPr>
          <w:lang w:val="en-GB"/>
        </w:rPr>
      </w:pPr>
    </w:p>
    <w:p w14:paraId="65841100" w14:textId="7373012C" w:rsidR="000F2535" w:rsidRPr="001F151E" w:rsidRDefault="000F2535" w:rsidP="000F2535">
      <w:pPr>
        <w:pStyle w:val="H5"/>
        <w:rPr>
          <w:lang w:val="en-GB"/>
        </w:rPr>
      </w:pPr>
      <w:r w:rsidRPr="001F151E">
        <w:rPr>
          <w:lang w:val="en-GB"/>
        </w:rPr>
        <w:t>Context</w:t>
      </w:r>
    </w:p>
    <w:p w14:paraId="3BFF9D69" w14:textId="6F2F90DA" w:rsidR="000F2535" w:rsidRPr="001F151E" w:rsidRDefault="000F2535" w:rsidP="006F1382">
      <w:pPr>
        <w:jc w:val="both"/>
        <w:rPr>
          <w:lang w:val="en-GB"/>
        </w:rPr>
      </w:pPr>
      <w:r w:rsidRPr="001F151E">
        <w:rPr>
          <w:lang w:val="en-GB"/>
        </w:rPr>
        <w:t>In accordance with the PAR roadmap</w:t>
      </w:r>
      <w:r w:rsidR="00861795" w:rsidRPr="001F151E">
        <w:rPr>
          <w:rStyle w:val="FootnoteReference"/>
          <w:lang w:val="en-GB"/>
        </w:rPr>
        <w:footnoteReference w:id="10"/>
      </w:r>
      <w:r w:rsidRPr="001F151E">
        <w:rPr>
          <w:lang w:val="en-GB"/>
        </w:rPr>
        <w:t xml:space="preserve"> and EU recommendations and regulations</w:t>
      </w:r>
      <w:r w:rsidRPr="001F151E">
        <w:rPr>
          <w:rStyle w:val="FootnoteReference"/>
          <w:lang w:val="en-GB"/>
        </w:rPr>
        <w:footnoteReference w:id="11"/>
      </w:r>
      <w:r w:rsidRPr="001F151E">
        <w:rPr>
          <w:lang w:val="en-GB"/>
        </w:rPr>
        <w:t>, an independent fiscal institution (fiscal council) shall be established in the framework of the EU integration process. The mandate of the fiscal council would be to – among other – evaluate the fiscal policy of the Government.</w:t>
      </w:r>
      <w:r w:rsidRPr="001F151E">
        <w:rPr>
          <w:rStyle w:val="FootnoteReference"/>
          <w:lang w:val="en-GB"/>
        </w:rPr>
        <w:footnoteReference w:id="12"/>
      </w:r>
      <w:r w:rsidRPr="001F151E">
        <w:rPr>
          <w:lang w:val="en-GB"/>
        </w:rPr>
        <w:t xml:space="preserve"> </w:t>
      </w:r>
    </w:p>
    <w:p w14:paraId="757CF6D4" w14:textId="77777777" w:rsidR="000F2535" w:rsidRPr="001F151E" w:rsidRDefault="000F2535" w:rsidP="006F1382">
      <w:pPr>
        <w:jc w:val="both"/>
        <w:rPr>
          <w:lang w:val="en-GB"/>
        </w:rPr>
      </w:pPr>
    </w:p>
    <w:p w14:paraId="5B2ED40C" w14:textId="77777777" w:rsidR="00861795" w:rsidRPr="001F151E" w:rsidRDefault="00861795" w:rsidP="00861795">
      <w:pPr>
        <w:pStyle w:val="H5"/>
        <w:rPr>
          <w:lang w:val="en-GB"/>
        </w:rPr>
      </w:pPr>
      <w:r w:rsidRPr="001F151E">
        <w:rPr>
          <w:lang w:val="en-GB"/>
        </w:rPr>
        <w:t>Priorities</w:t>
      </w:r>
    </w:p>
    <w:p w14:paraId="2E89A6D4" w14:textId="77777777" w:rsidR="00861795" w:rsidRPr="001F151E" w:rsidRDefault="00861795" w:rsidP="006F1382">
      <w:pPr>
        <w:jc w:val="both"/>
        <w:rPr>
          <w:lang w:val="en-GB"/>
        </w:rPr>
      </w:pPr>
      <w:r w:rsidRPr="001F151E">
        <w:rPr>
          <w:lang w:val="en-GB"/>
        </w:rPr>
        <w:t>For the period 2023-2026 the priorities are:</w:t>
      </w:r>
    </w:p>
    <w:p w14:paraId="1B3F38D7" w14:textId="77777777" w:rsidR="00861795" w:rsidRPr="001F151E" w:rsidRDefault="00861795" w:rsidP="006F1382">
      <w:pPr>
        <w:pStyle w:val="N-Bullet"/>
        <w:jc w:val="both"/>
        <w:rPr>
          <w:lang w:val="en-GB"/>
        </w:rPr>
      </w:pPr>
      <w:r w:rsidRPr="001F151E">
        <w:rPr>
          <w:lang w:val="en-GB"/>
        </w:rPr>
        <w:t>Establish the Fiscal Council (Independent Fiscal Institution).</w:t>
      </w:r>
    </w:p>
    <w:p w14:paraId="283A81BE" w14:textId="77777777" w:rsidR="000F2535" w:rsidRPr="001F151E" w:rsidRDefault="000F2535" w:rsidP="006F1382">
      <w:pPr>
        <w:jc w:val="both"/>
        <w:rPr>
          <w:lang w:val="en-GB"/>
        </w:rPr>
      </w:pPr>
    </w:p>
    <w:p w14:paraId="1C0B475D" w14:textId="77777777" w:rsidR="00861795" w:rsidRPr="001F151E" w:rsidRDefault="00861795" w:rsidP="00861795">
      <w:pPr>
        <w:pStyle w:val="H5"/>
        <w:rPr>
          <w:lang w:val="en-GB"/>
        </w:rPr>
      </w:pPr>
      <w:r w:rsidRPr="001F151E">
        <w:rPr>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18"/>
        <w:gridCol w:w="3637"/>
        <w:gridCol w:w="794"/>
        <w:gridCol w:w="794"/>
        <w:gridCol w:w="1773"/>
      </w:tblGrid>
      <w:tr w:rsidR="00861795" w:rsidRPr="001F151E" w14:paraId="77F131C8" w14:textId="77777777" w:rsidTr="003472DA">
        <w:trPr>
          <w:trHeight w:val="20"/>
          <w:tblHeader/>
        </w:trPr>
        <w:tc>
          <w:tcPr>
            <w:tcW w:w="2018" w:type="dxa"/>
            <w:shd w:val="clear" w:color="auto" w:fill="D9D9D9" w:themeFill="background1" w:themeFillShade="D9"/>
          </w:tcPr>
          <w:p w14:paraId="77BD8CE7" w14:textId="77777777" w:rsidR="00861795" w:rsidRPr="001F151E" w:rsidRDefault="00861795" w:rsidP="003472DA">
            <w:pPr>
              <w:pStyle w:val="T-bold"/>
              <w:spacing w:line="200" w:lineRule="exact"/>
            </w:pPr>
            <w:r w:rsidRPr="001F151E">
              <w:t>Measure</w:t>
            </w:r>
          </w:p>
        </w:tc>
        <w:tc>
          <w:tcPr>
            <w:tcW w:w="3637" w:type="dxa"/>
            <w:shd w:val="clear" w:color="auto" w:fill="D9D9D9" w:themeFill="background1" w:themeFillShade="D9"/>
          </w:tcPr>
          <w:p w14:paraId="3DD37D1E" w14:textId="77777777" w:rsidR="00861795" w:rsidRPr="001F151E" w:rsidRDefault="00861795" w:rsidP="003472DA">
            <w:pPr>
              <w:pStyle w:val="T-bold"/>
              <w:spacing w:line="200" w:lineRule="exact"/>
            </w:pPr>
            <w:r w:rsidRPr="001F151E">
              <w:t>Activity</w:t>
            </w:r>
          </w:p>
        </w:tc>
        <w:tc>
          <w:tcPr>
            <w:tcW w:w="794" w:type="dxa"/>
            <w:shd w:val="clear" w:color="auto" w:fill="D9D9D9" w:themeFill="background1" w:themeFillShade="D9"/>
          </w:tcPr>
          <w:p w14:paraId="7573C3D5" w14:textId="77777777" w:rsidR="00861795" w:rsidRPr="001F151E" w:rsidRDefault="00861795" w:rsidP="003472DA">
            <w:pPr>
              <w:pStyle w:val="T-bold"/>
              <w:spacing w:line="200" w:lineRule="exact"/>
              <w:jc w:val="center"/>
            </w:pPr>
            <w:r w:rsidRPr="001F151E">
              <w:t>Start</w:t>
            </w:r>
          </w:p>
        </w:tc>
        <w:tc>
          <w:tcPr>
            <w:tcW w:w="794" w:type="dxa"/>
            <w:shd w:val="clear" w:color="auto" w:fill="D9D9D9" w:themeFill="background1" w:themeFillShade="D9"/>
          </w:tcPr>
          <w:p w14:paraId="752CBDB5" w14:textId="77777777" w:rsidR="00861795" w:rsidRPr="001F151E" w:rsidRDefault="00861795" w:rsidP="003472DA">
            <w:pPr>
              <w:pStyle w:val="T-bold"/>
              <w:spacing w:line="200" w:lineRule="exact"/>
              <w:jc w:val="center"/>
            </w:pPr>
            <w:r w:rsidRPr="001F151E">
              <w:t>End</w:t>
            </w:r>
          </w:p>
        </w:tc>
        <w:tc>
          <w:tcPr>
            <w:tcW w:w="1773" w:type="dxa"/>
            <w:shd w:val="clear" w:color="auto" w:fill="D9D9D9" w:themeFill="background1" w:themeFillShade="D9"/>
          </w:tcPr>
          <w:p w14:paraId="5076C85B" w14:textId="77777777" w:rsidR="00861795" w:rsidRPr="001F151E" w:rsidRDefault="00861795" w:rsidP="003472DA">
            <w:pPr>
              <w:pStyle w:val="T-bold"/>
              <w:spacing w:line="200" w:lineRule="exact"/>
            </w:pPr>
            <w:r w:rsidRPr="001F151E">
              <w:t>Stakeholders</w:t>
            </w:r>
          </w:p>
        </w:tc>
      </w:tr>
      <w:tr w:rsidR="00861795" w:rsidRPr="001F151E" w14:paraId="422A68F8" w14:textId="77777777" w:rsidTr="003472DA">
        <w:trPr>
          <w:trHeight w:val="1104"/>
        </w:trPr>
        <w:tc>
          <w:tcPr>
            <w:tcW w:w="2018" w:type="dxa"/>
            <w:vMerge w:val="restart"/>
            <w:shd w:val="clear" w:color="auto" w:fill="auto"/>
          </w:tcPr>
          <w:p w14:paraId="47F9EA26" w14:textId="091B0322" w:rsidR="00861795" w:rsidRPr="001F151E" w:rsidRDefault="00861795" w:rsidP="003472DA">
            <w:pPr>
              <w:pStyle w:val="EcorysBody"/>
              <w:spacing w:line="200" w:lineRule="exact"/>
              <w:rPr>
                <w:rFonts w:ascii="Arial" w:hAnsi="Arial" w:cs="Arial"/>
                <w:b/>
                <w:bCs/>
                <w:sz w:val="16"/>
                <w:szCs w:val="16"/>
              </w:rPr>
            </w:pPr>
            <w:r w:rsidRPr="001F151E">
              <w:rPr>
                <w:rFonts w:ascii="Arial" w:hAnsi="Arial" w:cs="Arial"/>
                <w:b/>
                <w:bCs/>
                <w:sz w:val="16"/>
                <w:szCs w:val="16"/>
              </w:rPr>
              <w:t>Measure 1.</w:t>
            </w:r>
            <w:r w:rsidR="00297283">
              <w:rPr>
                <w:rFonts w:ascii="Arial" w:hAnsi="Arial" w:cs="Arial"/>
                <w:b/>
                <w:bCs/>
                <w:sz w:val="16"/>
                <w:szCs w:val="16"/>
              </w:rPr>
              <w:t>4</w:t>
            </w:r>
            <w:r w:rsidRPr="001F151E">
              <w:rPr>
                <w:rFonts w:ascii="Arial" w:hAnsi="Arial" w:cs="Arial"/>
                <w:b/>
                <w:bCs/>
                <w:sz w:val="16"/>
                <w:szCs w:val="16"/>
              </w:rPr>
              <w:t xml:space="preserve">.1 </w:t>
            </w:r>
          </w:p>
          <w:p w14:paraId="59989F67" w14:textId="3AED5CDD" w:rsidR="00861795" w:rsidRPr="001F151E" w:rsidRDefault="00861795" w:rsidP="003472DA">
            <w:pPr>
              <w:pStyle w:val="EcorysBody"/>
              <w:spacing w:line="200" w:lineRule="exact"/>
              <w:rPr>
                <w:rFonts w:ascii="Arial" w:hAnsi="Arial" w:cs="Arial"/>
                <w:sz w:val="16"/>
                <w:szCs w:val="16"/>
              </w:rPr>
            </w:pPr>
            <w:r w:rsidRPr="001F151E">
              <w:rPr>
                <w:rFonts w:ascii="Arial" w:hAnsi="Arial" w:cs="Arial"/>
                <w:b/>
                <w:bCs/>
                <w:sz w:val="16"/>
                <w:szCs w:val="16"/>
              </w:rPr>
              <w:t>Establish the Fiscal Council</w:t>
            </w:r>
          </w:p>
        </w:tc>
        <w:tc>
          <w:tcPr>
            <w:tcW w:w="3637" w:type="dxa"/>
          </w:tcPr>
          <w:p w14:paraId="4F2805F6" w14:textId="77777777" w:rsidR="00861795" w:rsidRPr="001F151E" w:rsidRDefault="00861795" w:rsidP="00897DDC">
            <w:pPr>
              <w:pStyle w:val="ListParagraph"/>
              <w:numPr>
                <w:ilvl w:val="0"/>
                <w:numId w:val="18"/>
              </w:numPr>
              <w:autoSpaceDE w:val="0"/>
              <w:autoSpaceDN w:val="0"/>
              <w:adjustRightInd w:val="0"/>
              <w:spacing w:line="200" w:lineRule="exact"/>
              <w:rPr>
                <w:rFonts w:eastAsia="Times New Roman"/>
                <w:bCs/>
                <w:sz w:val="16"/>
                <w:szCs w:val="16"/>
              </w:rPr>
            </w:pPr>
            <w:r w:rsidRPr="001F151E">
              <w:rPr>
                <w:sz w:val="16"/>
                <w:szCs w:val="16"/>
              </w:rPr>
              <w:t>Prepare an options paper presenting possible modalities for a Fiscal Council tailored to the Albanian context. Identify the preferred option and develop a costed plan for establishing and operating the Fiscal Council.</w:t>
            </w:r>
          </w:p>
        </w:tc>
        <w:tc>
          <w:tcPr>
            <w:tcW w:w="794" w:type="dxa"/>
            <w:vAlign w:val="center"/>
          </w:tcPr>
          <w:p w14:paraId="4D799C83" w14:textId="4F1E4C10" w:rsidR="00861795" w:rsidRPr="007D2B4E" w:rsidRDefault="007D2B4E" w:rsidP="003472DA">
            <w:pPr>
              <w:spacing w:line="200" w:lineRule="exact"/>
              <w:jc w:val="center"/>
              <w:rPr>
                <w:sz w:val="16"/>
                <w:szCs w:val="16"/>
              </w:rPr>
            </w:pPr>
            <w:r w:rsidRPr="007D2B4E">
              <w:rPr>
                <w:sz w:val="16"/>
                <w:szCs w:val="16"/>
              </w:rPr>
              <w:t>Q1 2024</w:t>
            </w:r>
          </w:p>
        </w:tc>
        <w:tc>
          <w:tcPr>
            <w:tcW w:w="794" w:type="dxa"/>
            <w:vAlign w:val="center"/>
          </w:tcPr>
          <w:p w14:paraId="4D7627E1" w14:textId="663846F8" w:rsidR="00861795" w:rsidRPr="007D2B4E" w:rsidRDefault="007D2B4E" w:rsidP="003472DA">
            <w:pPr>
              <w:spacing w:line="200" w:lineRule="exact"/>
              <w:jc w:val="center"/>
              <w:rPr>
                <w:sz w:val="16"/>
                <w:szCs w:val="16"/>
              </w:rPr>
            </w:pPr>
            <w:r w:rsidRPr="007D2B4E">
              <w:rPr>
                <w:sz w:val="16"/>
                <w:szCs w:val="16"/>
              </w:rPr>
              <w:t>Q4 2024</w:t>
            </w:r>
          </w:p>
        </w:tc>
        <w:tc>
          <w:tcPr>
            <w:tcW w:w="1773" w:type="dxa"/>
            <w:vMerge w:val="restart"/>
          </w:tcPr>
          <w:p w14:paraId="48E4B7DB" w14:textId="77777777" w:rsidR="00861795" w:rsidRPr="007D2B4E" w:rsidRDefault="00861795" w:rsidP="003472DA">
            <w:pPr>
              <w:spacing w:line="200" w:lineRule="exact"/>
              <w:rPr>
                <w:b/>
                <w:bCs/>
                <w:sz w:val="16"/>
                <w:szCs w:val="16"/>
              </w:rPr>
            </w:pPr>
            <w:r w:rsidRPr="007D2B4E">
              <w:rPr>
                <w:b/>
                <w:bCs/>
                <w:sz w:val="16"/>
                <w:szCs w:val="16"/>
              </w:rPr>
              <w:t xml:space="preserve">Responsible entity: </w:t>
            </w:r>
          </w:p>
          <w:p w14:paraId="096E3397" w14:textId="319C4CB1" w:rsidR="00861795" w:rsidRPr="007D2B4E" w:rsidRDefault="007D2B4E" w:rsidP="003472DA">
            <w:pPr>
              <w:spacing w:line="200" w:lineRule="exact"/>
              <w:rPr>
                <w:sz w:val="16"/>
                <w:szCs w:val="16"/>
              </w:rPr>
            </w:pPr>
            <w:r>
              <w:rPr>
                <w:sz w:val="16"/>
                <w:szCs w:val="16"/>
              </w:rPr>
              <w:t xml:space="preserve">Fiscal Council </w:t>
            </w:r>
            <w:r w:rsidRPr="007D2B4E">
              <w:rPr>
                <w:sz w:val="16"/>
                <w:szCs w:val="16"/>
              </w:rPr>
              <w:t>Working Group</w:t>
            </w:r>
            <w:r w:rsidR="00861795" w:rsidRPr="007D2B4E">
              <w:rPr>
                <w:sz w:val="16"/>
                <w:szCs w:val="16"/>
              </w:rPr>
              <w:t xml:space="preserve"> (lead)</w:t>
            </w:r>
          </w:p>
          <w:p w14:paraId="63BDD1F7" w14:textId="77777777" w:rsidR="00861795" w:rsidRPr="007D2B4E" w:rsidRDefault="00861795" w:rsidP="003472DA">
            <w:pPr>
              <w:pStyle w:val="EcorysBody"/>
              <w:spacing w:line="200" w:lineRule="exact"/>
              <w:rPr>
                <w:rFonts w:ascii="Arial" w:hAnsi="Arial" w:cs="Arial"/>
                <w:b/>
                <w:bCs/>
                <w:sz w:val="8"/>
                <w:szCs w:val="8"/>
              </w:rPr>
            </w:pPr>
          </w:p>
          <w:p w14:paraId="042CCDB8" w14:textId="77777777" w:rsidR="00861795" w:rsidRPr="007D2B4E" w:rsidRDefault="00861795" w:rsidP="003472DA">
            <w:pPr>
              <w:pStyle w:val="EcorysBody"/>
              <w:spacing w:line="200" w:lineRule="exact"/>
              <w:rPr>
                <w:rFonts w:ascii="Arial" w:hAnsi="Arial" w:cs="Arial"/>
                <w:b/>
                <w:bCs/>
                <w:sz w:val="16"/>
                <w:szCs w:val="16"/>
              </w:rPr>
            </w:pPr>
            <w:r w:rsidRPr="007D2B4E">
              <w:rPr>
                <w:rFonts w:ascii="Arial" w:hAnsi="Arial" w:cs="Arial"/>
                <w:b/>
                <w:bCs/>
                <w:sz w:val="16"/>
                <w:szCs w:val="16"/>
              </w:rPr>
              <w:t>Partners:</w:t>
            </w:r>
          </w:p>
          <w:p w14:paraId="4308C2EA" w14:textId="79B585DC" w:rsidR="00861795" w:rsidRPr="007D2B4E" w:rsidRDefault="00453FE9" w:rsidP="007D2B4E">
            <w:pPr>
              <w:pStyle w:val="EcorysBody"/>
              <w:spacing w:line="200" w:lineRule="exact"/>
              <w:rPr>
                <w:sz w:val="16"/>
                <w:szCs w:val="16"/>
              </w:rPr>
            </w:pPr>
            <w:r>
              <w:rPr>
                <w:sz w:val="16"/>
                <w:szCs w:val="16"/>
              </w:rPr>
              <w:t>WB</w:t>
            </w:r>
            <w:r w:rsidRPr="00F006E3">
              <w:rPr>
                <w:sz w:val="16"/>
                <w:szCs w:val="16"/>
              </w:rPr>
              <w:t>/Regional EU Trust Fund</w:t>
            </w:r>
          </w:p>
        </w:tc>
      </w:tr>
      <w:tr w:rsidR="00861795" w:rsidRPr="001F151E" w14:paraId="56197A02" w14:textId="77777777" w:rsidTr="003472DA">
        <w:trPr>
          <w:trHeight w:val="20"/>
        </w:trPr>
        <w:tc>
          <w:tcPr>
            <w:tcW w:w="2018" w:type="dxa"/>
            <w:vMerge/>
            <w:shd w:val="clear" w:color="auto" w:fill="auto"/>
          </w:tcPr>
          <w:p w14:paraId="7009C363" w14:textId="77777777" w:rsidR="00861795" w:rsidRPr="001F151E" w:rsidRDefault="00861795" w:rsidP="00897DDC">
            <w:pPr>
              <w:pStyle w:val="EcorysBody"/>
              <w:numPr>
                <w:ilvl w:val="0"/>
                <w:numId w:val="17"/>
              </w:numPr>
              <w:spacing w:line="200" w:lineRule="exact"/>
              <w:rPr>
                <w:rFonts w:ascii="Arial" w:hAnsi="Arial" w:cs="Arial"/>
                <w:sz w:val="16"/>
                <w:szCs w:val="16"/>
              </w:rPr>
            </w:pPr>
          </w:p>
        </w:tc>
        <w:tc>
          <w:tcPr>
            <w:tcW w:w="3637" w:type="dxa"/>
          </w:tcPr>
          <w:p w14:paraId="4199B03D" w14:textId="77777777" w:rsidR="00861795" w:rsidRPr="001F151E" w:rsidRDefault="00861795" w:rsidP="00897DDC">
            <w:pPr>
              <w:pStyle w:val="ListParagraph"/>
              <w:numPr>
                <w:ilvl w:val="0"/>
                <w:numId w:val="18"/>
              </w:numPr>
              <w:autoSpaceDE w:val="0"/>
              <w:autoSpaceDN w:val="0"/>
              <w:adjustRightInd w:val="0"/>
              <w:spacing w:line="200" w:lineRule="exact"/>
              <w:rPr>
                <w:rFonts w:eastAsia="Times New Roman"/>
                <w:bCs/>
                <w:sz w:val="16"/>
                <w:szCs w:val="16"/>
              </w:rPr>
            </w:pPr>
            <w:r w:rsidRPr="001F151E">
              <w:rPr>
                <w:sz w:val="16"/>
                <w:szCs w:val="16"/>
              </w:rPr>
              <w:t>Prepare and implement the necessary changes to the relevant legislation including a sub-legal act for the operations of the Fiscal Council.</w:t>
            </w:r>
          </w:p>
        </w:tc>
        <w:tc>
          <w:tcPr>
            <w:tcW w:w="794" w:type="dxa"/>
            <w:vAlign w:val="center"/>
          </w:tcPr>
          <w:p w14:paraId="400AF6FE" w14:textId="24C4534D" w:rsidR="00861795" w:rsidRPr="007D2B4E" w:rsidRDefault="007D2B4E" w:rsidP="003472DA">
            <w:pPr>
              <w:spacing w:line="200" w:lineRule="exact"/>
              <w:jc w:val="center"/>
              <w:rPr>
                <w:sz w:val="16"/>
                <w:szCs w:val="16"/>
              </w:rPr>
            </w:pPr>
            <w:r w:rsidRPr="007D2B4E">
              <w:rPr>
                <w:sz w:val="16"/>
                <w:szCs w:val="16"/>
              </w:rPr>
              <w:t>Q1 2025</w:t>
            </w:r>
          </w:p>
        </w:tc>
        <w:tc>
          <w:tcPr>
            <w:tcW w:w="794" w:type="dxa"/>
            <w:vAlign w:val="center"/>
          </w:tcPr>
          <w:p w14:paraId="7FB23826" w14:textId="2DD957EA" w:rsidR="00861795" w:rsidRPr="007D2B4E" w:rsidRDefault="007D2B4E" w:rsidP="003472DA">
            <w:pPr>
              <w:spacing w:line="200" w:lineRule="exact"/>
              <w:jc w:val="center"/>
              <w:rPr>
                <w:sz w:val="16"/>
                <w:szCs w:val="16"/>
              </w:rPr>
            </w:pPr>
            <w:r w:rsidRPr="007D2B4E">
              <w:rPr>
                <w:sz w:val="16"/>
                <w:szCs w:val="16"/>
              </w:rPr>
              <w:t>Q4 2026</w:t>
            </w:r>
          </w:p>
        </w:tc>
        <w:tc>
          <w:tcPr>
            <w:tcW w:w="1773" w:type="dxa"/>
            <w:vMerge/>
          </w:tcPr>
          <w:p w14:paraId="73210DC0" w14:textId="77777777" w:rsidR="00861795" w:rsidRPr="001F151E" w:rsidRDefault="00861795" w:rsidP="003472DA">
            <w:pPr>
              <w:spacing w:line="200" w:lineRule="exact"/>
              <w:rPr>
                <w:sz w:val="16"/>
                <w:szCs w:val="16"/>
              </w:rPr>
            </w:pPr>
          </w:p>
        </w:tc>
      </w:tr>
      <w:tr w:rsidR="00861795" w:rsidRPr="001F151E" w14:paraId="3D4766C9" w14:textId="77777777" w:rsidTr="003472DA">
        <w:trPr>
          <w:trHeight w:val="20"/>
        </w:trPr>
        <w:tc>
          <w:tcPr>
            <w:tcW w:w="2018" w:type="dxa"/>
            <w:vMerge/>
            <w:shd w:val="clear" w:color="auto" w:fill="auto"/>
          </w:tcPr>
          <w:p w14:paraId="2A6A70ED" w14:textId="77777777" w:rsidR="00861795" w:rsidRPr="001F151E" w:rsidRDefault="00861795" w:rsidP="00897DDC">
            <w:pPr>
              <w:pStyle w:val="EcorysBody"/>
              <w:numPr>
                <w:ilvl w:val="0"/>
                <w:numId w:val="17"/>
              </w:numPr>
              <w:spacing w:line="200" w:lineRule="exact"/>
              <w:rPr>
                <w:rFonts w:ascii="Arial" w:hAnsi="Arial" w:cs="Arial"/>
                <w:sz w:val="16"/>
                <w:szCs w:val="16"/>
              </w:rPr>
            </w:pPr>
          </w:p>
        </w:tc>
        <w:tc>
          <w:tcPr>
            <w:tcW w:w="3637" w:type="dxa"/>
          </w:tcPr>
          <w:p w14:paraId="507AF18A" w14:textId="060E75AB" w:rsidR="00861795" w:rsidRPr="001F151E" w:rsidRDefault="00861795" w:rsidP="007D2B4E">
            <w:pPr>
              <w:pStyle w:val="ListParagraph"/>
              <w:numPr>
                <w:ilvl w:val="0"/>
                <w:numId w:val="18"/>
              </w:numPr>
              <w:autoSpaceDE w:val="0"/>
              <w:autoSpaceDN w:val="0"/>
              <w:adjustRightInd w:val="0"/>
              <w:spacing w:line="200" w:lineRule="exact"/>
              <w:rPr>
                <w:rFonts w:eastAsia="Times New Roman"/>
                <w:bCs/>
                <w:sz w:val="16"/>
                <w:szCs w:val="16"/>
              </w:rPr>
            </w:pPr>
            <w:r w:rsidRPr="007D2B4E">
              <w:rPr>
                <w:rFonts w:eastAsia="Times New Roman"/>
                <w:bCs/>
                <w:sz w:val="16"/>
                <w:szCs w:val="16"/>
              </w:rPr>
              <w:t>Establish the Fiscal Council.</w:t>
            </w:r>
          </w:p>
        </w:tc>
        <w:tc>
          <w:tcPr>
            <w:tcW w:w="794" w:type="dxa"/>
            <w:vAlign w:val="center"/>
          </w:tcPr>
          <w:p w14:paraId="179112E0" w14:textId="027EB51F" w:rsidR="00861795" w:rsidRPr="007D2B4E" w:rsidRDefault="007D2B4E" w:rsidP="003472DA">
            <w:pPr>
              <w:spacing w:line="200" w:lineRule="exact"/>
              <w:jc w:val="center"/>
              <w:rPr>
                <w:sz w:val="16"/>
                <w:szCs w:val="16"/>
              </w:rPr>
            </w:pPr>
            <w:r w:rsidRPr="007D2B4E">
              <w:rPr>
                <w:sz w:val="16"/>
                <w:szCs w:val="16"/>
              </w:rPr>
              <w:t>Q1 2026</w:t>
            </w:r>
          </w:p>
        </w:tc>
        <w:tc>
          <w:tcPr>
            <w:tcW w:w="794" w:type="dxa"/>
            <w:vAlign w:val="center"/>
          </w:tcPr>
          <w:p w14:paraId="338DE9C0" w14:textId="2F85B048" w:rsidR="00861795" w:rsidRPr="007D2B4E" w:rsidRDefault="007D2B4E" w:rsidP="003472DA">
            <w:pPr>
              <w:spacing w:line="200" w:lineRule="exact"/>
              <w:jc w:val="center"/>
              <w:rPr>
                <w:sz w:val="16"/>
                <w:szCs w:val="16"/>
              </w:rPr>
            </w:pPr>
            <w:r w:rsidRPr="007D2B4E">
              <w:rPr>
                <w:sz w:val="16"/>
                <w:szCs w:val="16"/>
              </w:rPr>
              <w:t>Q4 2026</w:t>
            </w:r>
          </w:p>
        </w:tc>
        <w:tc>
          <w:tcPr>
            <w:tcW w:w="1773" w:type="dxa"/>
            <w:vMerge/>
          </w:tcPr>
          <w:p w14:paraId="664D4470" w14:textId="77777777" w:rsidR="00861795" w:rsidRPr="001F151E" w:rsidRDefault="00861795" w:rsidP="003472DA">
            <w:pPr>
              <w:spacing w:line="200" w:lineRule="exact"/>
              <w:rPr>
                <w:sz w:val="16"/>
                <w:szCs w:val="16"/>
              </w:rPr>
            </w:pPr>
          </w:p>
        </w:tc>
      </w:tr>
    </w:tbl>
    <w:p w14:paraId="773F0EA6" w14:textId="77777777" w:rsidR="00861795" w:rsidRDefault="00861795" w:rsidP="00861795">
      <w:pPr>
        <w:rPr>
          <w:lang w:val="en-GB"/>
        </w:rPr>
      </w:pPr>
    </w:p>
    <w:p w14:paraId="43DD362B" w14:textId="77777777" w:rsidR="00453FE9" w:rsidRDefault="00453FE9" w:rsidP="00861795">
      <w:pPr>
        <w:rPr>
          <w:lang w:val="en-GB"/>
        </w:rPr>
      </w:pPr>
    </w:p>
    <w:p w14:paraId="1873E32B" w14:textId="77777777" w:rsidR="00453FE9" w:rsidRDefault="00453FE9" w:rsidP="00861795">
      <w:pPr>
        <w:rPr>
          <w:lang w:val="en-GB"/>
        </w:rPr>
      </w:pPr>
    </w:p>
    <w:p w14:paraId="30DEB067" w14:textId="77777777" w:rsidR="00453FE9" w:rsidRDefault="00453FE9" w:rsidP="00861795">
      <w:pPr>
        <w:rPr>
          <w:lang w:val="en-GB"/>
        </w:rPr>
      </w:pPr>
    </w:p>
    <w:p w14:paraId="620A43A9" w14:textId="77777777" w:rsidR="00F22823" w:rsidRDefault="00F22823" w:rsidP="00861795">
      <w:pPr>
        <w:rPr>
          <w:lang w:val="en-GB"/>
        </w:rPr>
      </w:pPr>
    </w:p>
    <w:p w14:paraId="3ED28DAD" w14:textId="77777777" w:rsidR="00F22823" w:rsidRDefault="00F22823" w:rsidP="00861795">
      <w:pPr>
        <w:rPr>
          <w:lang w:val="en-GB"/>
        </w:rPr>
      </w:pPr>
    </w:p>
    <w:p w14:paraId="6A2239B4" w14:textId="77777777" w:rsidR="00453FE9" w:rsidRPr="001F151E" w:rsidRDefault="00453FE9" w:rsidP="00861795">
      <w:pPr>
        <w:rPr>
          <w:lang w:val="en-GB"/>
        </w:rPr>
      </w:pPr>
    </w:p>
    <w:p w14:paraId="4921EA25" w14:textId="77777777" w:rsidR="00861795" w:rsidRPr="001F151E" w:rsidRDefault="00861795" w:rsidP="00861795">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861795" w:rsidRPr="001F151E" w14:paraId="016AAD5B" w14:textId="77777777" w:rsidTr="003472DA">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206063" w14:textId="77777777" w:rsidR="00861795" w:rsidRPr="001F151E" w:rsidRDefault="00861795" w:rsidP="003472DA">
            <w:pPr>
              <w:pStyle w:val="T-bold"/>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E92BA" w14:textId="77777777" w:rsidR="00861795" w:rsidRPr="001F151E" w:rsidRDefault="00861795" w:rsidP="003472DA">
            <w:pPr>
              <w:pStyle w:val="T-bold"/>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FBE77" w14:textId="77777777" w:rsidR="00861795" w:rsidRPr="001F151E" w:rsidRDefault="00861795" w:rsidP="003472DA">
            <w:pPr>
              <w:pStyle w:val="T-bold"/>
              <w:jc w:val="center"/>
            </w:pPr>
            <w:r w:rsidRPr="001F151E">
              <w:t>Target Value</w:t>
            </w:r>
          </w:p>
        </w:tc>
      </w:tr>
      <w:tr w:rsidR="00861795" w:rsidRPr="001F151E" w14:paraId="76916568" w14:textId="77777777" w:rsidTr="003472DA">
        <w:tc>
          <w:tcPr>
            <w:tcW w:w="3114" w:type="dxa"/>
            <w:vMerge/>
            <w:tcBorders>
              <w:top w:val="single" w:sz="4" w:space="0" w:color="auto"/>
              <w:left w:val="single" w:sz="4" w:space="0" w:color="auto"/>
              <w:bottom w:val="single" w:sz="4" w:space="0" w:color="auto"/>
              <w:right w:val="single" w:sz="4" w:space="0" w:color="auto"/>
            </w:tcBorders>
            <w:vAlign w:val="center"/>
            <w:hideMark/>
          </w:tcPr>
          <w:p w14:paraId="74893287" w14:textId="77777777" w:rsidR="00861795" w:rsidRPr="001F151E" w:rsidRDefault="00861795" w:rsidP="003472DA">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E646745" w14:textId="77777777" w:rsidR="00861795" w:rsidRPr="001F151E" w:rsidRDefault="00861795" w:rsidP="003472DA">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A9B9A" w14:textId="77777777" w:rsidR="00861795" w:rsidRPr="001F151E" w:rsidRDefault="00861795" w:rsidP="003472DA">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906578" w14:textId="77777777" w:rsidR="00861795" w:rsidRPr="001F151E" w:rsidRDefault="00861795" w:rsidP="003472DA">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91969E" w14:textId="77777777" w:rsidR="00861795" w:rsidRPr="001F151E" w:rsidRDefault="00861795" w:rsidP="003472DA">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4C060F" w14:textId="77777777" w:rsidR="00861795" w:rsidRPr="001F151E" w:rsidRDefault="00861795" w:rsidP="003472DA">
            <w:pPr>
              <w:pStyle w:val="T-bold"/>
              <w:jc w:val="center"/>
            </w:pPr>
            <w:r w:rsidRPr="001F151E">
              <w:t>2026</w:t>
            </w:r>
          </w:p>
        </w:tc>
      </w:tr>
      <w:tr w:rsidR="00861795" w:rsidRPr="001F151E" w14:paraId="4D1107F8" w14:textId="77777777" w:rsidTr="003472DA">
        <w:tc>
          <w:tcPr>
            <w:tcW w:w="3114" w:type="dxa"/>
            <w:tcBorders>
              <w:top w:val="single" w:sz="4" w:space="0" w:color="auto"/>
              <w:left w:val="single" w:sz="4" w:space="0" w:color="auto"/>
              <w:bottom w:val="single" w:sz="4" w:space="0" w:color="auto"/>
              <w:right w:val="single" w:sz="4" w:space="0" w:color="auto"/>
            </w:tcBorders>
          </w:tcPr>
          <w:p w14:paraId="42EC3F91" w14:textId="77777777" w:rsidR="00861795" w:rsidRPr="001F151E" w:rsidRDefault="00861795" w:rsidP="00B45892">
            <w:pPr>
              <w:pStyle w:val="ListParagraph"/>
              <w:numPr>
                <w:ilvl w:val="0"/>
                <w:numId w:val="96"/>
              </w:numPr>
              <w:rPr>
                <w:sz w:val="16"/>
                <w:szCs w:val="16"/>
              </w:rPr>
            </w:pPr>
            <w:r w:rsidRPr="001F151E">
              <w:rPr>
                <w:sz w:val="16"/>
                <w:szCs w:val="16"/>
              </w:rPr>
              <w:t>Fiscal Council established</w:t>
            </w:r>
          </w:p>
        </w:tc>
        <w:tc>
          <w:tcPr>
            <w:tcW w:w="1180" w:type="dxa"/>
            <w:tcBorders>
              <w:top w:val="single" w:sz="4" w:space="0" w:color="auto"/>
              <w:left w:val="single" w:sz="4" w:space="0" w:color="auto"/>
              <w:bottom w:val="single" w:sz="4" w:space="0" w:color="auto"/>
              <w:right w:val="single" w:sz="4" w:space="0" w:color="auto"/>
            </w:tcBorders>
            <w:vAlign w:val="center"/>
          </w:tcPr>
          <w:p w14:paraId="7C4F7005" w14:textId="77777777" w:rsidR="00861795" w:rsidRPr="001F151E" w:rsidRDefault="00861795" w:rsidP="003472DA">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0E896190" w14:textId="77777777" w:rsidR="00861795" w:rsidRPr="001F151E" w:rsidRDefault="00861795" w:rsidP="003472DA">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tcPr>
          <w:p w14:paraId="47707A99" w14:textId="77777777" w:rsidR="00861795" w:rsidRPr="007D2B4E" w:rsidRDefault="00861795" w:rsidP="003472DA">
            <w:pPr>
              <w:pStyle w:val="T-normal"/>
              <w:jc w:val="center"/>
            </w:pPr>
            <w:r w:rsidRPr="007D2B4E">
              <w:t>Fiscal Council options paper prepared</w:t>
            </w:r>
          </w:p>
        </w:tc>
        <w:tc>
          <w:tcPr>
            <w:tcW w:w="1181" w:type="dxa"/>
            <w:tcBorders>
              <w:top w:val="single" w:sz="4" w:space="0" w:color="auto"/>
              <w:left w:val="single" w:sz="4" w:space="0" w:color="auto"/>
              <w:bottom w:val="single" w:sz="4" w:space="0" w:color="auto"/>
              <w:right w:val="single" w:sz="4" w:space="0" w:color="auto"/>
            </w:tcBorders>
          </w:tcPr>
          <w:p w14:paraId="411C1CA5" w14:textId="1EC070FD" w:rsidR="00861795" w:rsidRPr="007D2B4E" w:rsidRDefault="00861795" w:rsidP="00FD7528">
            <w:pPr>
              <w:pStyle w:val="T-normal"/>
              <w:jc w:val="center"/>
            </w:pPr>
            <w:r w:rsidRPr="007D2B4E">
              <w:t xml:space="preserve">Fiscal Council legal framework </w:t>
            </w:r>
            <w:r w:rsidR="00FD7528">
              <w:t>drafted</w:t>
            </w:r>
          </w:p>
        </w:tc>
        <w:tc>
          <w:tcPr>
            <w:tcW w:w="1181" w:type="dxa"/>
            <w:tcBorders>
              <w:top w:val="single" w:sz="4" w:space="0" w:color="auto"/>
              <w:left w:val="single" w:sz="4" w:space="0" w:color="auto"/>
              <w:bottom w:val="single" w:sz="4" w:space="0" w:color="auto"/>
              <w:right w:val="single" w:sz="4" w:space="0" w:color="auto"/>
            </w:tcBorders>
          </w:tcPr>
          <w:p w14:paraId="6E83B058" w14:textId="076F427B" w:rsidR="00861795" w:rsidRPr="007D2B4E" w:rsidRDefault="00FD7528" w:rsidP="003472DA">
            <w:pPr>
              <w:pStyle w:val="T-normal"/>
              <w:jc w:val="center"/>
            </w:pPr>
            <w:r w:rsidRPr="007D2B4E">
              <w:t>Fiscal Council legal framework</w:t>
            </w:r>
            <w:r>
              <w:t xml:space="preserve"> ap</w:t>
            </w:r>
            <w:r w:rsidR="00BD7D16">
              <w:t>p</w:t>
            </w:r>
            <w:r>
              <w:t>roved</w:t>
            </w:r>
          </w:p>
        </w:tc>
      </w:tr>
    </w:tbl>
    <w:p w14:paraId="2864D685" w14:textId="77777777" w:rsidR="00FD3ABF" w:rsidRDefault="00FD3ABF" w:rsidP="00FD3ABF">
      <w:pPr>
        <w:pStyle w:val="Heading1"/>
        <w:numPr>
          <w:ilvl w:val="0"/>
          <w:numId w:val="0"/>
        </w:numPr>
        <w:rPr>
          <w:rStyle w:val="IntenseReference"/>
          <w:rFonts w:eastAsiaTheme="majorEastAsia" w:cstheme="majorBidi"/>
          <w:i w:val="0"/>
          <w:sz w:val="26"/>
          <w:szCs w:val="26"/>
          <w:lang w:val="en-GB"/>
        </w:rPr>
      </w:pPr>
    </w:p>
    <w:p w14:paraId="52D66C19" w14:textId="34159178" w:rsidR="003D4676" w:rsidRPr="001F151E" w:rsidRDefault="003D4676" w:rsidP="003D4676">
      <w:pPr>
        <w:pStyle w:val="Heading1"/>
        <w:rPr>
          <w:rStyle w:val="IntenseReference"/>
          <w:rFonts w:eastAsiaTheme="majorEastAsia" w:cstheme="majorBidi"/>
          <w:i w:val="0"/>
          <w:sz w:val="26"/>
          <w:szCs w:val="26"/>
          <w:lang w:val="en-GB"/>
        </w:rPr>
      </w:pPr>
      <w:bookmarkStart w:id="23" w:name="_Toc163148013"/>
      <w:r w:rsidRPr="001F151E">
        <w:rPr>
          <w:rStyle w:val="IntenseReference"/>
          <w:rFonts w:eastAsiaTheme="majorEastAsia" w:cstheme="majorBidi"/>
          <w:i w:val="0"/>
          <w:sz w:val="26"/>
          <w:szCs w:val="26"/>
          <w:lang w:val="en-GB"/>
        </w:rPr>
        <w:t xml:space="preserve">Pillar </w:t>
      </w:r>
      <w:r w:rsidR="003779B6" w:rsidRPr="001F151E">
        <w:rPr>
          <w:rStyle w:val="IntenseReference"/>
          <w:rFonts w:eastAsiaTheme="majorEastAsia" w:cstheme="majorBidi"/>
          <w:i w:val="0"/>
          <w:sz w:val="26"/>
          <w:szCs w:val="26"/>
          <w:lang w:val="en-GB"/>
        </w:rPr>
        <w:t>2</w:t>
      </w:r>
      <w:r w:rsidRPr="001F151E">
        <w:rPr>
          <w:rStyle w:val="IntenseReference"/>
          <w:rFonts w:eastAsiaTheme="majorEastAsia" w:cstheme="majorBidi"/>
          <w:i w:val="0"/>
          <w:sz w:val="26"/>
          <w:szCs w:val="26"/>
          <w:lang w:val="en-GB"/>
        </w:rPr>
        <w:t xml:space="preserve"> </w:t>
      </w:r>
      <w:r w:rsidR="001E6E04" w:rsidRPr="001F151E">
        <w:rPr>
          <w:rStyle w:val="IntenseReference"/>
          <w:rFonts w:eastAsiaTheme="majorEastAsia" w:cstheme="majorBidi"/>
          <w:i w:val="0"/>
          <w:sz w:val="26"/>
          <w:szCs w:val="26"/>
          <w:lang w:val="en-GB"/>
        </w:rPr>
        <w:t>Integrated strategic and budget planning, monitoring, and transparent reporting</w:t>
      </w:r>
      <w:bookmarkEnd w:id="23"/>
    </w:p>
    <w:p w14:paraId="55C6B1E9" w14:textId="77777777" w:rsidR="003D4676" w:rsidRPr="001F151E" w:rsidRDefault="003D4676" w:rsidP="00375486">
      <w:pPr>
        <w:rPr>
          <w:rStyle w:val="IntenseReference"/>
          <w:rFonts w:eastAsiaTheme="majorEastAsia" w:cstheme="majorBidi"/>
          <w:i w:val="0"/>
          <w:iCs/>
          <w:sz w:val="22"/>
          <w:szCs w:val="22"/>
          <w:lang w:val="en-GB"/>
        </w:rPr>
      </w:pPr>
    </w:p>
    <w:p w14:paraId="57A26833" w14:textId="77777777" w:rsidR="00B05174" w:rsidRPr="001F151E" w:rsidRDefault="00B05174" w:rsidP="00C96708">
      <w:pPr>
        <w:pStyle w:val="Heading2"/>
        <w:rPr>
          <w:lang w:val="en-GB"/>
        </w:rPr>
      </w:pPr>
      <w:bookmarkStart w:id="24" w:name="_Toc163148014"/>
      <w:r w:rsidRPr="001F151E">
        <w:rPr>
          <w:lang w:val="en-GB"/>
        </w:rPr>
        <w:t>Introduction</w:t>
      </w:r>
      <w:bookmarkEnd w:id="24"/>
    </w:p>
    <w:p w14:paraId="0C845BF3" w14:textId="77777777" w:rsidR="00B05174" w:rsidRPr="001F151E" w:rsidRDefault="00B05174" w:rsidP="006F1382">
      <w:pPr>
        <w:jc w:val="both"/>
        <w:rPr>
          <w:lang w:val="en-GB"/>
        </w:rPr>
      </w:pPr>
    </w:p>
    <w:p w14:paraId="5C843B8B" w14:textId="239C04E4" w:rsidR="0054169C" w:rsidRPr="001F151E" w:rsidRDefault="0054169C" w:rsidP="006F1382">
      <w:pPr>
        <w:jc w:val="both"/>
        <w:rPr>
          <w:lang w:val="en-GB"/>
        </w:rPr>
      </w:pPr>
      <w:r w:rsidRPr="001F151E">
        <w:rPr>
          <w:lang w:val="en-GB"/>
        </w:rPr>
        <w:t xml:space="preserve">Specific Objective </w:t>
      </w:r>
      <w:r w:rsidR="002A00E2">
        <w:rPr>
          <w:lang w:val="en-GB"/>
        </w:rPr>
        <w:t xml:space="preserve">of pillar </w:t>
      </w:r>
      <w:r w:rsidRPr="001F151E">
        <w:rPr>
          <w:lang w:val="en-GB"/>
        </w:rPr>
        <w:t>2</w:t>
      </w:r>
      <w:r w:rsidR="002A00E2">
        <w:rPr>
          <w:lang w:val="en-GB"/>
        </w:rPr>
        <w:t xml:space="preserve"> is</w:t>
      </w:r>
      <w:r w:rsidRPr="001F151E">
        <w:rPr>
          <w:lang w:val="en-GB"/>
        </w:rPr>
        <w:t xml:space="preserve"> </w:t>
      </w:r>
      <w:r w:rsidR="00015AC9" w:rsidRPr="001F151E">
        <w:rPr>
          <w:lang w:val="en-GB"/>
        </w:rPr>
        <w:t>“</w:t>
      </w:r>
      <w:r w:rsidR="001E6E04" w:rsidRPr="001F151E">
        <w:rPr>
          <w:lang w:val="en-GB"/>
        </w:rPr>
        <w:t>Budget planning and budget execution monitoring practices enhanced</w:t>
      </w:r>
      <w:r w:rsidR="00015AC9" w:rsidRPr="001F151E">
        <w:rPr>
          <w:lang w:val="en-GB"/>
        </w:rPr>
        <w:t xml:space="preserve">” </w:t>
      </w:r>
      <w:r w:rsidR="002A00E2">
        <w:rPr>
          <w:lang w:val="en-GB"/>
        </w:rPr>
        <w:t xml:space="preserve">and </w:t>
      </w:r>
      <w:r w:rsidR="00015AC9" w:rsidRPr="001F151E">
        <w:rPr>
          <w:lang w:val="en-GB"/>
        </w:rPr>
        <w:t>cover the components integrated strategic planning, medium term budget planning, public investment management, local finance and budget execution monitoring.</w:t>
      </w:r>
      <w:r w:rsidR="00293628" w:rsidRPr="001F151E">
        <w:rPr>
          <w:lang w:val="en-GB"/>
        </w:rPr>
        <w:t xml:space="preserve"> The long term objectives and medium term measures are summarised below.</w:t>
      </w:r>
    </w:p>
    <w:p w14:paraId="16DC07B5" w14:textId="77777777" w:rsidR="00015AC9" w:rsidRPr="001F151E" w:rsidRDefault="00015AC9" w:rsidP="00015AC9">
      <w:pPr>
        <w:rPr>
          <w:b/>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left w:w="85" w:type="dxa"/>
          <w:bottom w:w="57" w:type="dxa"/>
          <w:right w:w="85" w:type="dxa"/>
        </w:tblCellMar>
        <w:tblLook w:val="04A0" w:firstRow="1" w:lastRow="0" w:firstColumn="1" w:lastColumn="0" w:noHBand="0" w:noVBand="1"/>
      </w:tblPr>
      <w:tblGrid>
        <w:gridCol w:w="9016"/>
      </w:tblGrid>
      <w:tr w:rsidR="00BA761C" w:rsidRPr="001F151E" w14:paraId="4BA618D7" w14:textId="77777777" w:rsidTr="006F1382">
        <w:trPr>
          <w:trHeight w:val="20"/>
        </w:trPr>
        <w:tc>
          <w:tcPr>
            <w:tcW w:w="9016" w:type="dxa"/>
            <w:shd w:val="clear" w:color="auto" w:fill="F2F2F2" w:themeFill="background1" w:themeFillShade="F2"/>
          </w:tcPr>
          <w:p w14:paraId="11557F23" w14:textId="77777777" w:rsidR="00BA761C" w:rsidRPr="001F151E" w:rsidRDefault="00BA761C" w:rsidP="00322D0B">
            <w:pPr>
              <w:pStyle w:val="T-normal"/>
              <w:spacing w:after="60" w:line="220" w:lineRule="exact"/>
              <w:rPr>
                <w:b/>
                <w:bCs/>
              </w:rPr>
            </w:pPr>
            <w:r w:rsidRPr="001F151E">
              <w:rPr>
                <w:b/>
                <w:bCs/>
              </w:rPr>
              <w:t>Component 2.1 Integrated Strategic Planning</w:t>
            </w:r>
          </w:p>
          <w:p w14:paraId="17FB2BBF" w14:textId="318F7A42" w:rsidR="00BA761C" w:rsidRPr="001F151E" w:rsidRDefault="00BA761C" w:rsidP="00322D0B">
            <w:pPr>
              <w:pStyle w:val="T-normal"/>
              <w:spacing w:after="60" w:line="220" w:lineRule="exact"/>
            </w:pPr>
            <w:r w:rsidRPr="001F151E">
              <w:t>G</w:t>
            </w:r>
            <w:r w:rsidRPr="001F151E">
              <w:rPr>
                <w:rStyle w:val="IntenseReference"/>
                <w:i w:val="0"/>
                <w:color w:val="auto"/>
                <w:sz w:val="16"/>
                <w:szCs w:val="16"/>
              </w:rPr>
              <w:t xml:space="preserve">oal </w:t>
            </w:r>
            <w:r w:rsidRPr="001F151E">
              <w:t xml:space="preserve">for </w:t>
            </w:r>
            <w:r w:rsidRPr="001F151E">
              <w:rPr>
                <w:rStyle w:val="IntenseReference"/>
                <w:i w:val="0"/>
                <w:color w:val="auto"/>
                <w:sz w:val="16"/>
                <w:szCs w:val="16"/>
              </w:rPr>
              <w:t>2030</w:t>
            </w:r>
            <w:r w:rsidRPr="001F151E">
              <w:t>: To o</w:t>
            </w:r>
            <w:r w:rsidRPr="001F151E">
              <w:rPr>
                <w:rStyle w:val="IntenseReference"/>
                <w:i w:val="0"/>
                <w:color w:val="auto"/>
                <w:sz w:val="16"/>
                <w:szCs w:val="16"/>
              </w:rPr>
              <w:t xml:space="preserve">perate an integrated planning system (IPS) to effectively </w:t>
            </w:r>
            <w:r w:rsidR="00F13023">
              <w:rPr>
                <w:rStyle w:val="IntenseReference"/>
                <w:i w:val="0"/>
                <w:color w:val="auto"/>
                <w:sz w:val="16"/>
                <w:szCs w:val="16"/>
              </w:rPr>
              <w:t xml:space="preserve">develop, monitor and evaluate  </w:t>
            </w:r>
            <w:r w:rsidRPr="001F151E">
              <w:rPr>
                <w:rStyle w:val="IntenseReference"/>
                <w:i w:val="0"/>
                <w:color w:val="auto"/>
                <w:sz w:val="16"/>
                <w:szCs w:val="16"/>
              </w:rPr>
              <w:t>nterlinked national, (sub)sectoral, cross-cutting and regional strategies and prioritized public investments in connection with budgetary resources.</w:t>
            </w:r>
          </w:p>
          <w:p w14:paraId="19CA038C" w14:textId="5D51D741" w:rsidR="00BA761C" w:rsidRPr="001F151E" w:rsidRDefault="00BA761C" w:rsidP="00322D0B">
            <w:pPr>
              <w:spacing w:line="220" w:lineRule="exact"/>
              <w:jc w:val="both"/>
              <w:rPr>
                <w:sz w:val="16"/>
                <w:szCs w:val="16"/>
              </w:rPr>
            </w:pPr>
            <w:r w:rsidRPr="001F151E">
              <w:rPr>
                <w:sz w:val="16"/>
                <w:szCs w:val="16"/>
              </w:rPr>
              <w:t>Measures for 2023-2026:</w:t>
            </w:r>
          </w:p>
          <w:p w14:paraId="75F6DE6F" w14:textId="755CB9CD" w:rsidR="00BA761C" w:rsidRPr="001F151E" w:rsidRDefault="00BA761C" w:rsidP="00322D0B">
            <w:pPr>
              <w:pStyle w:val="T-bullet0"/>
              <w:spacing w:line="220" w:lineRule="exact"/>
              <w:ind w:left="284" w:hanging="284"/>
              <w:rPr>
                <w:rStyle w:val="IntenseReference"/>
                <w:rFonts w:eastAsiaTheme="majorEastAsia"/>
                <w:i w:val="0"/>
                <w:color w:val="auto"/>
                <w:sz w:val="16"/>
                <w:szCs w:val="16"/>
              </w:rPr>
            </w:pPr>
            <w:r w:rsidRPr="001F151E">
              <w:rPr>
                <w:rStyle w:val="IntenseReference"/>
                <w:rFonts w:eastAsiaTheme="majorEastAsia"/>
                <w:i w:val="0"/>
                <w:color w:val="auto"/>
                <w:sz w:val="16"/>
                <w:szCs w:val="16"/>
              </w:rPr>
              <w:t>Measure 2.</w:t>
            </w:r>
            <w:r w:rsidR="00DF3971">
              <w:rPr>
                <w:rStyle w:val="IntenseReference"/>
                <w:rFonts w:eastAsiaTheme="majorEastAsia"/>
                <w:i w:val="0"/>
                <w:color w:val="auto"/>
                <w:sz w:val="16"/>
                <w:szCs w:val="16"/>
              </w:rPr>
              <w:t>1</w:t>
            </w:r>
            <w:r w:rsidRPr="001F151E">
              <w:rPr>
                <w:rStyle w:val="IntenseReference"/>
                <w:rFonts w:eastAsiaTheme="majorEastAsia"/>
                <w:i w:val="0"/>
                <w:color w:val="auto"/>
                <w:sz w:val="16"/>
                <w:szCs w:val="16"/>
              </w:rPr>
              <w:t>.1 Enhance the IT-supported Integrated Planning System for formulating and monitoring strategies</w:t>
            </w:r>
            <w:r w:rsidR="0011538B" w:rsidRPr="001F151E">
              <w:rPr>
                <w:rStyle w:val="IntenseReference"/>
                <w:rFonts w:eastAsiaTheme="majorEastAsia"/>
                <w:i w:val="0"/>
                <w:color w:val="auto"/>
                <w:sz w:val="16"/>
                <w:szCs w:val="16"/>
              </w:rPr>
              <w:t>;</w:t>
            </w:r>
          </w:p>
          <w:p w14:paraId="1AC03A98" w14:textId="16C3CE28" w:rsidR="00BA761C" w:rsidRPr="001F151E" w:rsidRDefault="00BA761C" w:rsidP="00322D0B">
            <w:pPr>
              <w:pStyle w:val="T-bullet0"/>
              <w:spacing w:line="220" w:lineRule="exact"/>
              <w:ind w:left="284" w:hanging="284"/>
              <w:rPr>
                <w:b/>
                <w:bCs/>
              </w:rPr>
            </w:pPr>
            <w:r w:rsidRPr="001F151E">
              <w:rPr>
                <w:rStyle w:val="IntenseReference"/>
                <w:rFonts w:eastAsiaTheme="majorEastAsia"/>
                <w:i w:val="0"/>
                <w:color w:val="auto"/>
                <w:sz w:val="16"/>
                <w:szCs w:val="16"/>
              </w:rPr>
              <w:t>Measure 2.</w:t>
            </w:r>
            <w:r w:rsidR="00DF3971">
              <w:rPr>
                <w:rStyle w:val="IntenseReference"/>
                <w:rFonts w:eastAsiaTheme="majorEastAsia"/>
                <w:i w:val="0"/>
                <w:color w:val="auto"/>
                <w:sz w:val="16"/>
                <w:szCs w:val="16"/>
              </w:rPr>
              <w:t>1</w:t>
            </w:r>
            <w:r w:rsidRPr="001F151E">
              <w:rPr>
                <w:rStyle w:val="IntenseReference"/>
                <w:rFonts w:eastAsiaTheme="majorEastAsia"/>
                <w:i w:val="0"/>
                <w:color w:val="auto"/>
                <w:sz w:val="16"/>
                <w:szCs w:val="16"/>
              </w:rPr>
              <w:t>.2 Expand the mid-term review and ex-post evaluation of strategies and action plans</w:t>
            </w:r>
            <w:r w:rsidR="0011538B" w:rsidRPr="001F151E">
              <w:rPr>
                <w:rStyle w:val="IntenseReference"/>
                <w:rFonts w:eastAsiaTheme="majorEastAsia"/>
                <w:i w:val="0"/>
                <w:color w:val="auto"/>
                <w:sz w:val="16"/>
                <w:szCs w:val="16"/>
              </w:rPr>
              <w:t>.</w:t>
            </w:r>
          </w:p>
          <w:p w14:paraId="458D0006" w14:textId="77777777" w:rsidR="00BA761C" w:rsidRPr="001F151E" w:rsidRDefault="00BA761C" w:rsidP="00322D0B">
            <w:pPr>
              <w:pStyle w:val="T-normal"/>
              <w:spacing w:line="220" w:lineRule="exact"/>
              <w:rPr>
                <w:b/>
                <w:bCs/>
              </w:rPr>
            </w:pPr>
          </w:p>
          <w:p w14:paraId="5B948CD8" w14:textId="2A8B857E" w:rsidR="00BA761C" w:rsidRPr="001F151E" w:rsidRDefault="00BA761C" w:rsidP="00322D0B">
            <w:pPr>
              <w:pStyle w:val="T-normal"/>
              <w:spacing w:after="60" w:line="220" w:lineRule="exact"/>
              <w:rPr>
                <w:b/>
                <w:bCs/>
              </w:rPr>
            </w:pPr>
            <w:r w:rsidRPr="001F151E">
              <w:rPr>
                <w:b/>
                <w:bCs/>
              </w:rPr>
              <w:t>Component 2.2 Medium Term Budget Planning</w:t>
            </w:r>
          </w:p>
          <w:p w14:paraId="6CEC1A13" w14:textId="77777777" w:rsidR="00BA761C" w:rsidRPr="001F151E" w:rsidRDefault="00BA761C" w:rsidP="00322D0B">
            <w:pPr>
              <w:pStyle w:val="T-normal"/>
              <w:spacing w:after="60" w:line="220" w:lineRule="exact"/>
            </w:pPr>
            <w:r w:rsidRPr="001F151E">
              <w:t>Goal for 2030: to have the systems in place to ensure high-quality and credible MTBP (both pre-budget statement and annual budget law) serving the implementation of the government priorities and policies and the delivery of public services.</w:t>
            </w:r>
          </w:p>
          <w:p w14:paraId="38B1426A" w14:textId="7CAF3B7E" w:rsidR="00BA761C" w:rsidRPr="001F151E" w:rsidRDefault="00BA761C" w:rsidP="00322D0B">
            <w:pPr>
              <w:spacing w:line="220" w:lineRule="exact"/>
              <w:jc w:val="both"/>
              <w:rPr>
                <w:sz w:val="16"/>
                <w:szCs w:val="16"/>
              </w:rPr>
            </w:pPr>
            <w:r w:rsidRPr="001F151E">
              <w:rPr>
                <w:sz w:val="16"/>
                <w:szCs w:val="16"/>
              </w:rPr>
              <w:t>Measures for 2023-2026:</w:t>
            </w:r>
          </w:p>
          <w:p w14:paraId="034DAB90" w14:textId="77777777" w:rsidR="00BA761C" w:rsidRPr="001F151E" w:rsidRDefault="00BA761C" w:rsidP="00322D0B">
            <w:pPr>
              <w:pStyle w:val="T-bullet0"/>
              <w:spacing w:line="220" w:lineRule="exact"/>
              <w:ind w:left="284" w:hanging="284"/>
              <w:rPr>
                <w:rStyle w:val="IntenseReference"/>
                <w:rFonts w:eastAsiaTheme="majorEastAsia"/>
                <w:i w:val="0"/>
                <w:color w:val="auto"/>
                <w:sz w:val="16"/>
                <w:szCs w:val="16"/>
              </w:rPr>
            </w:pPr>
            <w:r w:rsidRPr="001F151E">
              <w:rPr>
                <w:rStyle w:val="IntenseReference"/>
                <w:rFonts w:eastAsiaTheme="majorEastAsia"/>
                <w:i w:val="0"/>
                <w:color w:val="auto"/>
                <w:sz w:val="16"/>
                <w:szCs w:val="16"/>
              </w:rPr>
              <w:t>Measure 2.2.1 Further improve methods, procedures and managerial accountability for MTBP formulation</w:t>
            </w:r>
          </w:p>
          <w:p w14:paraId="55BB58A0" w14:textId="77777777" w:rsidR="00BA761C" w:rsidRPr="001F151E" w:rsidRDefault="00BA761C" w:rsidP="00322D0B">
            <w:pPr>
              <w:pStyle w:val="T-bullet0"/>
              <w:spacing w:line="220" w:lineRule="exact"/>
              <w:ind w:left="284" w:hanging="284"/>
              <w:rPr>
                <w:rStyle w:val="IntenseReference"/>
                <w:rFonts w:eastAsiaTheme="majorEastAsia"/>
                <w:i w:val="0"/>
                <w:color w:val="auto"/>
                <w:sz w:val="16"/>
                <w:szCs w:val="16"/>
              </w:rPr>
            </w:pPr>
            <w:r w:rsidRPr="001F151E">
              <w:rPr>
                <w:rStyle w:val="IntenseReference"/>
                <w:rFonts w:eastAsiaTheme="majorEastAsia"/>
                <w:i w:val="0"/>
                <w:color w:val="auto"/>
                <w:sz w:val="16"/>
                <w:szCs w:val="16"/>
              </w:rPr>
              <w:t>Measure 2.2.2 Enhance budget documentation and in particular the element of performance information</w:t>
            </w:r>
          </w:p>
          <w:p w14:paraId="0F43DD81" w14:textId="1A9983CF" w:rsidR="00BA761C" w:rsidRPr="001F151E" w:rsidRDefault="00BA761C" w:rsidP="00322D0B">
            <w:pPr>
              <w:pStyle w:val="T-bullet0"/>
              <w:spacing w:line="220" w:lineRule="exact"/>
              <w:ind w:left="284" w:hanging="284"/>
              <w:rPr>
                <w:rStyle w:val="IntenseReference"/>
                <w:rFonts w:eastAsiaTheme="majorEastAsia"/>
                <w:i w:val="0"/>
                <w:color w:val="auto"/>
                <w:sz w:val="16"/>
                <w:szCs w:val="16"/>
              </w:rPr>
            </w:pPr>
            <w:r w:rsidRPr="001F151E">
              <w:rPr>
                <w:rStyle w:val="IntenseReference"/>
                <w:rFonts w:eastAsiaTheme="majorEastAsia"/>
                <w:i w:val="0"/>
                <w:color w:val="auto"/>
                <w:sz w:val="16"/>
                <w:szCs w:val="16"/>
              </w:rPr>
              <w:t>Measure 2.2.3 Introduce</w:t>
            </w:r>
            <w:r w:rsidR="00250287">
              <w:rPr>
                <w:rStyle w:val="IntenseReference"/>
                <w:rFonts w:eastAsiaTheme="majorEastAsia"/>
                <w:i w:val="0"/>
                <w:color w:val="auto"/>
                <w:sz w:val="16"/>
                <w:szCs w:val="16"/>
              </w:rPr>
              <w:t xml:space="preserve"> </w:t>
            </w:r>
            <w:r w:rsidR="00250287" w:rsidRPr="00250287">
              <w:rPr>
                <w:bCs/>
              </w:rPr>
              <w:t>spending reviews</w:t>
            </w:r>
          </w:p>
          <w:p w14:paraId="39954D25" w14:textId="77777777" w:rsidR="00BA761C" w:rsidRPr="00B515C9" w:rsidRDefault="00BA761C" w:rsidP="00322D0B">
            <w:pPr>
              <w:pStyle w:val="T-bullet0"/>
              <w:spacing w:line="220" w:lineRule="exact"/>
              <w:ind w:left="284" w:hanging="284"/>
              <w:rPr>
                <w:rStyle w:val="IntenseReference"/>
                <w:b/>
                <w:bCs/>
                <w:i w:val="0"/>
                <w:color w:val="auto"/>
                <w:sz w:val="16"/>
                <w:szCs w:val="16"/>
              </w:rPr>
            </w:pPr>
            <w:r w:rsidRPr="001F151E">
              <w:rPr>
                <w:rStyle w:val="IntenseReference"/>
                <w:rFonts w:eastAsiaTheme="majorEastAsia"/>
                <w:i w:val="0"/>
                <w:color w:val="auto"/>
                <w:sz w:val="16"/>
                <w:szCs w:val="16"/>
              </w:rPr>
              <w:t>Measure 2.2.4 Further develop and introduce gender-responsive budgeting and climate-responsive budgeting</w:t>
            </w:r>
          </w:p>
          <w:p w14:paraId="655B26B7" w14:textId="585FF059" w:rsidR="00B515C9" w:rsidRPr="001F151E" w:rsidRDefault="00B515C9" w:rsidP="00322D0B">
            <w:pPr>
              <w:pStyle w:val="T-bullet0"/>
              <w:spacing w:line="220" w:lineRule="exact"/>
              <w:ind w:left="284" w:hanging="284"/>
              <w:rPr>
                <w:b/>
                <w:bCs/>
              </w:rPr>
            </w:pPr>
            <w:r>
              <w:rPr>
                <w:rStyle w:val="IntenseReference"/>
                <w:rFonts w:eastAsiaTheme="majorEastAsia"/>
                <w:i w:val="0"/>
                <w:color w:val="auto"/>
                <w:sz w:val="16"/>
                <w:szCs w:val="16"/>
              </w:rPr>
              <w:t xml:space="preserve">Measure 2.2.5 </w:t>
            </w:r>
            <w:r w:rsidR="00D62DD7" w:rsidRPr="00D62DD7">
              <w:rPr>
                <w:rStyle w:val="IntenseReference"/>
                <w:rFonts w:eastAsiaTheme="majorEastAsia"/>
                <w:i w:val="0"/>
                <w:color w:val="auto"/>
                <w:sz w:val="16"/>
                <w:szCs w:val="16"/>
              </w:rPr>
              <w:t>Approval of the PPD together with the NSPP</w:t>
            </w:r>
          </w:p>
          <w:p w14:paraId="2FD0DF83" w14:textId="77777777" w:rsidR="00BA761C" w:rsidRPr="001F151E" w:rsidRDefault="00BA761C" w:rsidP="00322D0B">
            <w:pPr>
              <w:pStyle w:val="T-normal"/>
              <w:spacing w:line="220" w:lineRule="exact"/>
              <w:rPr>
                <w:b/>
                <w:bCs/>
              </w:rPr>
            </w:pPr>
          </w:p>
          <w:p w14:paraId="2FBD4F85" w14:textId="4D46CA6F" w:rsidR="00BA761C" w:rsidRPr="001F151E" w:rsidRDefault="00BA761C" w:rsidP="00322D0B">
            <w:pPr>
              <w:pStyle w:val="T-normal"/>
              <w:spacing w:after="60" w:line="220" w:lineRule="exact"/>
              <w:rPr>
                <w:b/>
                <w:bCs/>
              </w:rPr>
            </w:pPr>
            <w:r w:rsidRPr="001F151E">
              <w:rPr>
                <w:b/>
                <w:bCs/>
              </w:rPr>
              <w:t>Component 2.3 Public Investment Management</w:t>
            </w:r>
          </w:p>
          <w:p w14:paraId="0CA07B4F" w14:textId="77777777" w:rsidR="00BA761C" w:rsidRPr="001F151E" w:rsidRDefault="00BA761C" w:rsidP="00322D0B">
            <w:pPr>
              <w:pStyle w:val="T-normal"/>
              <w:spacing w:after="60" w:line="220" w:lineRule="exact"/>
            </w:pPr>
            <w:r w:rsidRPr="001F151E">
              <w:t>Goal for 2030: A sound system for public investment management based on national single project pipeline, practices for merit-based project appraisal and selection linked to strategic government objectives, and transparent monitoring, reporting and evaluation on public investment project selection, execution and completion.</w:t>
            </w:r>
          </w:p>
          <w:p w14:paraId="03A73EF3" w14:textId="50383C8B" w:rsidR="00BA761C" w:rsidRPr="001F151E" w:rsidRDefault="00BA761C" w:rsidP="00322D0B">
            <w:pPr>
              <w:spacing w:line="220" w:lineRule="exact"/>
              <w:jc w:val="both"/>
              <w:rPr>
                <w:sz w:val="16"/>
                <w:szCs w:val="16"/>
              </w:rPr>
            </w:pPr>
            <w:r w:rsidRPr="001F151E">
              <w:rPr>
                <w:sz w:val="16"/>
                <w:szCs w:val="16"/>
              </w:rPr>
              <w:t>Measures for 2023-2026:</w:t>
            </w:r>
          </w:p>
          <w:p w14:paraId="42269B10" w14:textId="40DAFABE" w:rsidR="00BA761C" w:rsidRPr="001F151E" w:rsidRDefault="00BA761C" w:rsidP="00322D0B">
            <w:pPr>
              <w:pStyle w:val="T-bullet0"/>
              <w:spacing w:line="220" w:lineRule="exact"/>
              <w:rPr>
                <w:rStyle w:val="IntenseReference"/>
                <w:i w:val="0"/>
                <w:color w:val="auto"/>
                <w:sz w:val="16"/>
                <w:szCs w:val="16"/>
              </w:rPr>
            </w:pPr>
            <w:r w:rsidRPr="001F151E">
              <w:rPr>
                <w:rStyle w:val="IntenseReference"/>
                <w:i w:val="0"/>
                <w:color w:val="auto"/>
                <w:sz w:val="16"/>
                <w:szCs w:val="16"/>
              </w:rPr>
              <w:t xml:space="preserve">Measure 2.3.1 </w:t>
            </w:r>
            <w:r w:rsidR="006B0ACD">
              <w:rPr>
                <w:rStyle w:val="IntenseReference"/>
                <w:i w:val="0"/>
                <w:color w:val="auto"/>
                <w:sz w:val="16"/>
                <w:szCs w:val="16"/>
              </w:rPr>
              <w:t>O</w:t>
            </w:r>
            <w:r w:rsidR="00AB5E11" w:rsidRPr="001F151E">
              <w:rPr>
                <w:rStyle w:val="IntenseReference"/>
                <w:i w:val="0"/>
                <w:color w:val="auto"/>
                <w:sz w:val="16"/>
                <w:szCs w:val="16"/>
              </w:rPr>
              <w:t>perationalise</w:t>
            </w:r>
            <w:r w:rsidRPr="001F151E">
              <w:rPr>
                <w:rStyle w:val="IntenseReference"/>
                <w:i w:val="0"/>
                <w:color w:val="auto"/>
                <w:sz w:val="16"/>
                <w:szCs w:val="16"/>
              </w:rPr>
              <w:t xml:space="preserve"> procedures for improved public investment management</w:t>
            </w:r>
            <w:r w:rsidR="00603906" w:rsidRPr="001F151E">
              <w:rPr>
                <w:rStyle w:val="IntenseReference"/>
                <w:i w:val="0"/>
                <w:color w:val="auto"/>
                <w:sz w:val="16"/>
                <w:szCs w:val="16"/>
              </w:rPr>
              <w:t>;</w:t>
            </w:r>
          </w:p>
          <w:p w14:paraId="5E1783C9" w14:textId="50A3F9DF" w:rsidR="00BA761C" w:rsidRPr="001F151E" w:rsidRDefault="00BA761C" w:rsidP="00322D0B">
            <w:pPr>
              <w:pStyle w:val="T-bullet0"/>
              <w:spacing w:line="220" w:lineRule="exact"/>
              <w:rPr>
                <w:rStyle w:val="IntenseReference"/>
                <w:i w:val="0"/>
                <w:color w:val="auto"/>
                <w:sz w:val="16"/>
                <w:szCs w:val="16"/>
              </w:rPr>
            </w:pPr>
            <w:r w:rsidRPr="001F151E">
              <w:rPr>
                <w:rStyle w:val="IntenseReference"/>
                <w:i w:val="0"/>
                <w:color w:val="auto"/>
                <w:sz w:val="16"/>
                <w:szCs w:val="16"/>
              </w:rPr>
              <w:t xml:space="preserve">Measure 2.3.2 Strengthen the Single Project Pipeline and enhance the gatekeeper role of </w:t>
            </w:r>
            <w:r w:rsidR="00A660B5">
              <w:rPr>
                <w:rStyle w:val="IntenseReference"/>
                <w:i w:val="0"/>
                <w:color w:val="auto"/>
                <w:sz w:val="16"/>
                <w:szCs w:val="16"/>
              </w:rPr>
              <w:t>MoF</w:t>
            </w:r>
            <w:r w:rsidR="00603906" w:rsidRPr="001F151E">
              <w:rPr>
                <w:rStyle w:val="IntenseReference"/>
                <w:i w:val="0"/>
                <w:color w:val="auto"/>
                <w:sz w:val="16"/>
                <w:szCs w:val="16"/>
              </w:rPr>
              <w:t>;</w:t>
            </w:r>
          </w:p>
          <w:p w14:paraId="69216FE1" w14:textId="77777777" w:rsidR="00BA761C" w:rsidRPr="001F151E" w:rsidRDefault="00BA761C" w:rsidP="00322D0B">
            <w:pPr>
              <w:pStyle w:val="T-normal"/>
              <w:spacing w:line="220" w:lineRule="exact"/>
              <w:rPr>
                <w:b/>
                <w:bCs/>
              </w:rPr>
            </w:pPr>
          </w:p>
          <w:p w14:paraId="7B3AF988" w14:textId="7B1B8099" w:rsidR="00BA761C" w:rsidRPr="001F151E" w:rsidRDefault="00BA761C" w:rsidP="00322D0B">
            <w:pPr>
              <w:pStyle w:val="T-normal"/>
              <w:spacing w:after="60" w:line="220" w:lineRule="exact"/>
              <w:rPr>
                <w:b/>
                <w:bCs/>
              </w:rPr>
            </w:pPr>
            <w:r w:rsidRPr="001F151E">
              <w:rPr>
                <w:b/>
                <w:bCs/>
              </w:rPr>
              <w:t>Component 2.4 Local Finance</w:t>
            </w:r>
          </w:p>
          <w:p w14:paraId="2083C42E" w14:textId="77777777" w:rsidR="00BA761C" w:rsidRPr="001F151E" w:rsidRDefault="00BA761C" w:rsidP="00322D0B">
            <w:pPr>
              <w:pStyle w:val="T-normal"/>
              <w:spacing w:after="60" w:line="220" w:lineRule="exact"/>
            </w:pPr>
            <w:r w:rsidRPr="001F151E">
              <w:t>Goal for 2030: to have in place Municipalities with strong PFM systems and adequate financial resources through transparent revenue sharing and transfer mechanisms and revenue collection capacity that enable them to provide public services in accordance with the applicable standards.</w:t>
            </w:r>
          </w:p>
          <w:p w14:paraId="7A09D03B" w14:textId="1FFA88D0" w:rsidR="00BA761C" w:rsidRPr="001F151E" w:rsidRDefault="00BA761C" w:rsidP="00322D0B">
            <w:pPr>
              <w:spacing w:line="220" w:lineRule="exact"/>
              <w:jc w:val="both"/>
              <w:rPr>
                <w:sz w:val="16"/>
                <w:szCs w:val="16"/>
              </w:rPr>
            </w:pPr>
            <w:r w:rsidRPr="001F151E">
              <w:rPr>
                <w:sz w:val="16"/>
                <w:szCs w:val="16"/>
              </w:rPr>
              <w:t>Measures for 2023-2026:</w:t>
            </w:r>
          </w:p>
          <w:p w14:paraId="0AAFA511" w14:textId="2FB9FAFD" w:rsidR="00F63BDF" w:rsidRPr="001F151E" w:rsidRDefault="00F63BDF" w:rsidP="00F63BDF">
            <w:pPr>
              <w:pStyle w:val="T-Bullet"/>
            </w:pPr>
            <w:r w:rsidRPr="001F151E">
              <w:t>Measure 2.4.1 Improve the grant formula and calculation system for local government;</w:t>
            </w:r>
          </w:p>
          <w:p w14:paraId="6DEFA4A8" w14:textId="75424721" w:rsidR="00BA761C" w:rsidRPr="006B0ACD" w:rsidRDefault="00BA761C" w:rsidP="00F63BDF">
            <w:pPr>
              <w:pStyle w:val="T-Bullet"/>
              <w:rPr>
                <w:rStyle w:val="IntenseReference"/>
                <w:b/>
                <w:bCs/>
                <w:i w:val="0"/>
                <w:color w:val="auto"/>
                <w:sz w:val="16"/>
                <w:szCs w:val="16"/>
              </w:rPr>
            </w:pPr>
            <w:r w:rsidRPr="001F151E">
              <w:rPr>
                <w:rStyle w:val="IntenseReference"/>
                <w:rFonts w:eastAsiaTheme="majorEastAsia"/>
                <w:i w:val="0"/>
                <w:color w:val="auto"/>
                <w:sz w:val="16"/>
                <w:szCs w:val="16"/>
              </w:rPr>
              <w:t>Measure 2.4.2 Strengthen MTBP formulation and monitoring implementation in Municipalities</w:t>
            </w:r>
            <w:r w:rsidR="00603906" w:rsidRPr="001F151E">
              <w:rPr>
                <w:rStyle w:val="IntenseReference"/>
                <w:rFonts w:eastAsiaTheme="majorEastAsia"/>
                <w:i w:val="0"/>
                <w:color w:val="auto"/>
                <w:sz w:val="16"/>
                <w:szCs w:val="16"/>
              </w:rPr>
              <w:t>.</w:t>
            </w:r>
          </w:p>
          <w:p w14:paraId="2BD233DA" w14:textId="5753B661" w:rsidR="006B0ACD" w:rsidRPr="00B1480D" w:rsidRDefault="006B0ACD" w:rsidP="00F63BDF">
            <w:pPr>
              <w:pStyle w:val="T-Bullet"/>
              <w:rPr>
                <w:rStyle w:val="IntenseReference"/>
                <w:rFonts w:eastAsiaTheme="majorEastAsia"/>
                <w:color w:val="auto"/>
                <w:sz w:val="16"/>
                <w:szCs w:val="16"/>
              </w:rPr>
            </w:pPr>
            <w:r w:rsidRPr="001F151E">
              <w:rPr>
                <w:rStyle w:val="IntenseReference"/>
                <w:rFonts w:eastAsiaTheme="majorEastAsia"/>
                <w:i w:val="0"/>
                <w:color w:val="auto"/>
                <w:sz w:val="16"/>
                <w:szCs w:val="16"/>
              </w:rPr>
              <w:t>Measure 2.4.</w:t>
            </w:r>
            <w:r w:rsidR="009B1421">
              <w:rPr>
                <w:rStyle w:val="IntenseReference"/>
                <w:rFonts w:eastAsiaTheme="majorEastAsia"/>
                <w:i w:val="0"/>
                <w:color w:val="auto"/>
                <w:sz w:val="16"/>
                <w:szCs w:val="16"/>
              </w:rPr>
              <w:t xml:space="preserve">3 </w:t>
            </w:r>
            <w:r w:rsidRPr="006B0ACD">
              <w:rPr>
                <w:rStyle w:val="IntenseReference"/>
                <w:rFonts w:eastAsiaTheme="majorEastAsia"/>
                <w:i w:val="0"/>
                <w:color w:val="auto"/>
                <w:sz w:val="16"/>
                <w:szCs w:val="16"/>
              </w:rPr>
              <w:t>Develop and deploy the new Local Budget Management System (LBMS) for  subnational budget preparation and monitoring</w:t>
            </w:r>
          </w:p>
          <w:p w14:paraId="71577896" w14:textId="4188893F" w:rsidR="00B1480D" w:rsidRPr="006B0ACD" w:rsidRDefault="00B1480D" w:rsidP="00F63BDF">
            <w:pPr>
              <w:pStyle w:val="T-Bullet"/>
              <w:rPr>
                <w:rStyle w:val="IntenseReference"/>
                <w:rFonts w:eastAsiaTheme="majorEastAsia"/>
                <w:color w:val="auto"/>
                <w:sz w:val="16"/>
                <w:szCs w:val="16"/>
              </w:rPr>
            </w:pPr>
            <w:r w:rsidRPr="001F151E">
              <w:rPr>
                <w:rStyle w:val="IntenseReference"/>
                <w:rFonts w:eastAsiaTheme="majorEastAsia"/>
                <w:i w:val="0"/>
                <w:color w:val="auto"/>
                <w:sz w:val="16"/>
                <w:szCs w:val="16"/>
              </w:rPr>
              <w:t>Measure 2.4.</w:t>
            </w:r>
            <w:r>
              <w:rPr>
                <w:rStyle w:val="IntenseReference"/>
                <w:rFonts w:eastAsiaTheme="majorEastAsia"/>
                <w:i w:val="0"/>
                <w:color w:val="auto"/>
                <w:sz w:val="16"/>
                <w:szCs w:val="16"/>
              </w:rPr>
              <w:t>4</w:t>
            </w:r>
            <w:r w:rsidRPr="006B0ACD">
              <w:rPr>
                <w:rStyle w:val="IntenseReference"/>
                <w:rFonts w:eastAsiaTheme="majorEastAsia"/>
                <w:i w:val="0"/>
                <w:color w:val="auto"/>
                <w:sz w:val="16"/>
                <w:szCs w:val="16"/>
              </w:rPr>
              <w:t xml:space="preserve"> </w:t>
            </w:r>
            <w:r w:rsidRPr="00B1480D">
              <w:rPr>
                <w:bCs/>
              </w:rPr>
              <w:t>Improve the level of financial resources from shared taxes</w:t>
            </w:r>
          </w:p>
          <w:p w14:paraId="74CE997F" w14:textId="77777777" w:rsidR="00BA761C" w:rsidRPr="001F151E" w:rsidRDefault="00BA761C" w:rsidP="00322D0B">
            <w:pPr>
              <w:pStyle w:val="T-normal"/>
              <w:spacing w:line="220" w:lineRule="exact"/>
              <w:rPr>
                <w:b/>
                <w:bCs/>
              </w:rPr>
            </w:pPr>
          </w:p>
          <w:p w14:paraId="1D8CA37D" w14:textId="42CE0625" w:rsidR="00BA761C" w:rsidRPr="001F151E" w:rsidRDefault="00BA761C" w:rsidP="00322D0B">
            <w:pPr>
              <w:pStyle w:val="T-normal"/>
              <w:spacing w:after="60" w:line="220" w:lineRule="exact"/>
              <w:rPr>
                <w:b/>
                <w:bCs/>
              </w:rPr>
            </w:pPr>
            <w:r w:rsidRPr="001F151E">
              <w:rPr>
                <w:b/>
                <w:bCs/>
              </w:rPr>
              <w:t>Component 2.5 Budget Execution Monitoring and Reporting</w:t>
            </w:r>
          </w:p>
          <w:p w14:paraId="3768BFF6" w14:textId="77777777" w:rsidR="00BA761C" w:rsidRPr="001F151E" w:rsidRDefault="00BA761C" w:rsidP="00322D0B">
            <w:pPr>
              <w:pStyle w:val="T-normal"/>
              <w:spacing w:after="60" w:line="220" w:lineRule="exact"/>
            </w:pPr>
            <w:r w:rsidRPr="001F151E">
              <w:t>Goal for 2030: A comprehensive and transparent budget monitoring and reporting system in place at the level of budget institutions and at central level covering all aspects of the budget reporting in place.</w:t>
            </w:r>
          </w:p>
          <w:p w14:paraId="48991A22" w14:textId="76AAD00C" w:rsidR="00BA761C" w:rsidRPr="001F151E" w:rsidRDefault="00BA761C" w:rsidP="00322D0B">
            <w:pPr>
              <w:spacing w:line="220" w:lineRule="exact"/>
              <w:jc w:val="both"/>
              <w:rPr>
                <w:sz w:val="16"/>
                <w:szCs w:val="16"/>
              </w:rPr>
            </w:pPr>
            <w:r w:rsidRPr="001F151E">
              <w:rPr>
                <w:sz w:val="16"/>
                <w:szCs w:val="16"/>
              </w:rPr>
              <w:t>Measures for 2023-2026:</w:t>
            </w:r>
          </w:p>
          <w:p w14:paraId="348C550E" w14:textId="73804D3F" w:rsidR="00BA761C" w:rsidRPr="001F151E" w:rsidRDefault="00BA761C" w:rsidP="009C35E5">
            <w:pPr>
              <w:pStyle w:val="T-Bullet"/>
              <w:rPr>
                <w:rStyle w:val="IntenseReference"/>
                <w:rFonts w:eastAsiaTheme="majorEastAsia"/>
                <w:i w:val="0"/>
                <w:color w:val="auto"/>
                <w:sz w:val="16"/>
                <w:szCs w:val="16"/>
              </w:rPr>
            </w:pPr>
            <w:r w:rsidRPr="001F151E">
              <w:rPr>
                <w:rStyle w:val="IntenseReference"/>
                <w:rFonts w:eastAsiaTheme="majorEastAsia"/>
                <w:i w:val="0"/>
                <w:color w:val="auto"/>
                <w:sz w:val="16"/>
                <w:szCs w:val="16"/>
              </w:rPr>
              <w:t>Measure 2.5.1 Improve budget execution monitoring and reporting and introduce Citizens Budget Execution report</w:t>
            </w:r>
            <w:r w:rsidR="00603906" w:rsidRPr="001F151E">
              <w:rPr>
                <w:rStyle w:val="IntenseReference"/>
                <w:rFonts w:eastAsiaTheme="majorEastAsia"/>
                <w:i w:val="0"/>
                <w:color w:val="auto"/>
                <w:sz w:val="16"/>
                <w:szCs w:val="16"/>
              </w:rPr>
              <w:t>;</w:t>
            </w:r>
          </w:p>
          <w:p w14:paraId="06A7D79A" w14:textId="1C205410" w:rsidR="00BA761C" w:rsidRPr="001F151E" w:rsidRDefault="00BA761C" w:rsidP="009C35E5">
            <w:pPr>
              <w:pStyle w:val="T-Bullet"/>
              <w:rPr>
                <w:rStyle w:val="IntenseReference"/>
                <w:rFonts w:eastAsiaTheme="majorEastAsia"/>
                <w:i w:val="0"/>
                <w:color w:val="auto"/>
                <w:sz w:val="16"/>
                <w:szCs w:val="16"/>
              </w:rPr>
            </w:pPr>
            <w:r w:rsidRPr="001F151E">
              <w:rPr>
                <w:rStyle w:val="IntenseReference"/>
                <w:rFonts w:eastAsiaTheme="majorEastAsia"/>
                <w:i w:val="0"/>
                <w:color w:val="auto"/>
                <w:sz w:val="16"/>
                <w:szCs w:val="16"/>
              </w:rPr>
              <w:t>Measure 2.5.2 Improve monitoring and reporting on Public Investment Projects</w:t>
            </w:r>
            <w:r w:rsidR="00603906" w:rsidRPr="001F151E">
              <w:rPr>
                <w:rStyle w:val="IntenseReference"/>
                <w:rFonts w:eastAsiaTheme="majorEastAsia"/>
                <w:i w:val="0"/>
                <w:color w:val="auto"/>
                <w:sz w:val="16"/>
                <w:szCs w:val="16"/>
              </w:rPr>
              <w:t>;</w:t>
            </w:r>
          </w:p>
          <w:p w14:paraId="1261C3ED" w14:textId="1F45AC20" w:rsidR="00BA761C" w:rsidRPr="001F151E" w:rsidRDefault="00BA761C" w:rsidP="009C35E5">
            <w:pPr>
              <w:pStyle w:val="T-Bullet"/>
              <w:rPr>
                <w:b/>
                <w:bCs/>
              </w:rPr>
            </w:pPr>
            <w:r w:rsidRPr="001F151E">
              <w:rPr>
                <w:rStyle w:val="IntenseReference"/>
                <w:rFonts w:eastAsiaTheme="majorEastAsia"/>
                <w:i w:val="0"/>
                <w:color w:val="auto"/>
                <w:sz w:val="16"/>
                <w:szCs w:val="16"/>
              </w:rPr>
              <w:t>Measure 2.5.3 Improve monitoring and reporting on Public Private Partnerships and Concession Contracts</w:t>
            </w:r>
            <w:r w:rsidR="00603906" w:rsidRPr="001F151E">
              <w:rPr>
                <w:rStyle w:val="IntenseReference"/>
                <w:rFonts w:eastAsiaTheme="majorEastAsia"/>
                <w:i w:val="0"/>
                <w:color w:val="auto"/>
                <w:sz w:val="16"/>
                <w:szCs w:val="16"/>
              </w:rPr>
              <w:t>.</w:t>
            </w:r>
          </w:p>
        </w:tc>
      </w:tr>
    </w:tbl>
    <w:p w14:paraId="12602D43" w14:textId="77777777" w:rsidR="00F63BDF" w:rsidRPr="001F151E" w:rsidRDefault="00F63BDF" w:rsidP="00015AC9">
      <w:pPr>
        <w:rPr>
          <w:b/>
          <w:bCs/>
          <w:lang w:val="en-GB"/>
        </w:rPr>
      </w:pPr>
    </w:p>
    <w:p w14:paraId="61147FC9" w14:textId="77777777" w:rsidR="00C229B5" w:rsidRPr="001F151E" w:rsidRDefault="00C229B5" w:rsidP="00CA65A6">
      <w:pPr>
        <w:rPr>
          <w:rStyle w:val="IntenseReference"/>
          <w:rFonts w:eastAsiaTheme="majorEastAsia" w:cstheme="majorBidi"/>
          <w:i w:val="0"/>
          <w:iCs/>
          <w:sz w:val="22"/>
          <w:szCs w:val="22"/>
          <w:lang w:val="en-GB"/>
        </w:rPr>
      </w:pPr>
    </w:p>
    <w:p w14:paraId="501DDC8F" w14:textId="09C3AEF1" w:rsidR="005D7DF3" w:rsidRPr="001F151E" w:rsidRDefault="005D7DF3" w:rsidP="00C96708">
      <w:pPr>
        <w:pStyle w:val="Heading2"/>
        <w:rPr>
          <w:rStyle w:val="IntenseReference"/>
          <w:rFonts w:eastAsiaTheme="majorEastAsia" w:cstheme="majorBidi"/>
          <w:i w:val="0"/>
          <w:iCs w:val="0"/>
          <w:sz w:val="22"/>
          <w:szCs w:val="22"/>
          <w:lang w:val="en-GB"/>
        </w:rPr>
      </w:pPr>
      <w:bookmarkStart w:id="25" w:name="_Toc163148015"/>
      <w:r w:rsidRPr="001F151E">
        <w:rPr>
          <w:rStyle w:val="IntenseReference"/>
          <w:rFonts w:eastAsiaTheme="majorEastAsia" w:cstheme="majorBidi"/>
          <w:i w:val="0"/>
          <w:sz w:val="22"/>
          <w:szCs w:val="22"/>
          <w:lang w:val="en-GB"/>
        </w:rPr>
        <w:t xml:space="preserve">Component </w:t>
      </w:r>
      <w:r w:rsidR="003779B6" w:rsidRPr="001F151E">
        <w:rPr>
          <w:rStyle w:val="IntenseReference"/>
          <w:rFonts w:eastAsiaTheme="majorEastAsia" w:cstheme="majorBidi"/>
          <w:i w:val="0"/>
          <w:sz w:val="22"/>
          <w:szCs w:val="22"/>
          <w:lang w:val="en-GB"/>
        </w:rPr>
        <w:t>2</w:t>
      </w:r>
      <w:r w:rsidRPr="001F151E">
        <w:rPr>
          <w:rStyle w:val="IntenseReference"/>
          <w:rFonts w:eastAsiaTheme="majorEastAsia" w:cstheme="majorBidi"/>
          <w:i w:val="0"/>
          <w:sz w:val="22"/>
          <w:szCs w:val="22"/>
          <w:lang w:val="en-GB"/>
        </w:rPr>
        <w:t xml:space="preserve">.1 Integrated </w:t>
      </w:r>
      <w:r w:rsidR="004B0F2C" w:rsidRPr="001F151E">
        <w:rPr>
          <w:rStyle w:val="IntenseReference"/>
          <w:rFonts w:eastAsiaTheme="majorEastAsia" w:cstheme="majorBidi"/>
          <w:i w:val="0"/>
          <w:sz w:val="22"/>
          <w:szCs w:val="22"/>
          <w:lang w:val="en-GB"/>
        </w:rPr>
        <w:t xml:space="preserve">Strategic </w:t>
      </w:r>
      <w:r w:rsidRPr="001F151E">
        <w:rPr>
          <w:rStyle w:val="IntenseReference"/>
          <w:rFonts w:eastAsiaTheme="majorEastAsia" w:cstheme="majorBidi"/>
          <w:i w:val="0"/>
          <w:sz w:val="22"/>
          <w:szCs w:val="22"/>
          <w:lang w:val="en-GB"/>
        </w:rPr>
        <w:t>Planning</w:t>
      </w:r>
      <w:bookmarkEnd w:id="25"/>
      <w:r w:rsidRPr="001F151E">
        <w:rPr>
          <w:rStyle w:val="IntenseReference"/>
          <w:rFonts w:eastAsiaTheme="majorEastAsia" w:cstheme="majorBidi"/>
          <w:i w:val="0"/>
          <w:sz w:val="22"/>
          <w:szCs w:val="22"/>
          <w:lang w:val="en-GB"/>
        </w:rPr>
        <w:t xml:space="preserve"> </w:t>
      </w:r>
    </w:p>
    <w:p w14:paraId="23ECBF38" w14:textId="77777777" w:rsidR="005D7DF3" w:rsidRPr="001F151E" w:rsidRDefault="005D7DF3" w:rsidP="005D7DF3">
      <w:pPr>
        <w:rPr>
          <w:lang w:val="en-GB"/>
        </w:rPr>
      </w:pPr>
    </w:p>
    <w:p w14:paraId="544F9F25" w14:textId="27676530" w:rsidR="00A143BC" w:rsidRPr="001F151E" w:rsidRDefault="00A143BC" w:rsidP="006F1382">
      <w:pPr>
        <w:pStyle w:val="H5"/>
        <w:jc w:val="both"/>
        <w:rPr>
          <w:lang w:val="en-GB"/>
        </w:rPr>
      </w:pPr>
      <w:r w:rsidRPr="001F151E">
        <w:rPr>
          <w:lang w:val="en-GB"/>
        </w:rPr>
        <w:t>Objective</w:t>
      </w:r>
    </w:p>
    <w:p w14:paraId="14B312B8" w14:textId="45E8F9B7" w:rsidR="00A143BC" w:rsidRPr="001F151E" w:rsidRDefault="00DC021D" w:rsidP="006F1382">
      <w:pPr>
        <w:jc w:val="both"/>
        <w:rPr>
          <w:lang w:val="en-GB"/>
        </w:rPr>
      </w:pPr>
      <w:r w:rsidRPr="001F151E">
        <w:rPr>
          <w:lang w:val="en-GB"/>
        </w:rPr>
        <w:t xml:space="preserve">The goal for </w:t>
      </w:r>
      <w:r w:rsidR="006627AD" w:rsidRPr="001F151E">
        <w:rPr>
          <w:lang w:val="en-GB"/>
        </w:rPr>
        <w:t>2030</w:t>
      </w:r>
      <w:r w:rsidRPr="001F151E">
        <w:rPr>
          <w:lang w:val="en-GB"/>
        </w:rPr>
        <w:t xml:space="preserve"> is</w:t>
      </w:r>
      <w:r w:rsidR="006627AD" w:rsidRPr="001F151E">
        <w:rPr>
          <w:lang w:val="en-GB"/>
        </w:rPr>
        <w:t xml:space="preserve"> to operate an IT supported integrated planning system</w:t>
      </w:r>
      <w:r w:rsidR="0045377E" w:rsidRPr="001F151E">
        <w:rPr>
          <w:lang w:val="en-GB"/>
        </w:rPr>
        <w:t xml:space="preserve"> (IPS)</w:t>
      </w:r>
      <w:r w:rsidR="006627AD" w:rsidRPr="001F151E">
        <w:rPr>
          <w:lang w:val="en-GB"/>
        </w:rPr>
        <w:t xml:space="preserve"> that enables the government to effectively develop and monitor </w:t>
      </w:r>
      <w:r w:rsidR="0045377E" w:rsidRPr="001F151E">
        <w:rPr>
          <w:lang w:val="en-GB"/>
        </w:rPr>
        <w:t xml:space="preserve">interlinked </w:t>
      </w:r>
      <w:r w:rsidR="006627AD" w:rsidRPr="001F151E">
        <w:rPr>
          <w:lang w:val="en-GB"/>
        </w:rPr>
        <w:t xml:space="preserve">national, </w:t>
      </w:r>
      <w:r w:rsidR="0045377E" w:rsidRPr="001F151E">
        <w:rPr>
          <w:lang w:val="en-GB"/>
        </w:rPr>
        <w:t>(sub)</w:t>
      </w:r>
      <w:r w:rsidR="006627AD" w:rsidRPr="001F151E">
        <w:rPr>
          <w:lang w:val="en-GB"/>
        </w:rPr>
        <w:t>sectoral</w:t>
      </w:r>
      <w:r w:rsidR="005014F0" w:rsidRPr="001F151E">
        <w:rPr>
          <w:lang w:val="en-GB"/>
        </w:rPr>
        <w:t>, cross-cutting</w:t>
      </w:r>
      <w:r w:rsidR="0045377E" w:rsidRPr="001F151E">
        <w:rPr>
          <w:lang w:val="en-GB"/>
        </w:rPr>
        <w:t xml:space="preserve"> </w:t>
      </w:r>
      <w:r w:rsidR="006627AD" w:rsidRPr="001F151E">
        <w:rPr>
          <w:lang w:val="en-GB"/>
        </w:rPr>
        <w:t>and regional strategies</w:t>
      </w:r>
      <w:r w:rsidR="0045377E" w:rsidRPr="001F151E">
        <w:rPr>
          <w:lang w:val="en-GB"/>
        </w:rPr>
        <w:t>, policies and prioritized public investments</w:t>
      </w:r>
      <w:r w:rsidR="006627AD" w:rsidRPr="001F151E">
        <w:rPr>
          <w:lang w:val="en-GB"/>
        </w:rPr>
        <w:t xml:space="preserve"> in </w:t>
      </w:r>
      <w:r w:rsidR="0045377E" w:rsidRPr="001F151E">
        <w:rPr>
          <w:lang w:val="en-GB"/>
        </w:rPr>
        <w:t xml:space="preserve">support of achieving the </w:t>
      </w:r>
      <w:r w:rsidR="006627AD" w:rsidRPr="001F151E">
        <w:rPr>
          <w:lang w:val="en-GB"/>
        </w:rPr>
        <w:t>goals for national development and EU integration</w:t>
      </w:r>
      <w:r w:rsidR="0045377E" w:rsidRPr="001F151E">
        <w:rPr>
          <w:lang w:val="en-GB"/>
        </w:rPr>
        <w:t xml:space="preserve"> and in alignment with available budgetary resources.</w:t>
      </w:r>
    </w:p>
    <w:p w14:paraId="6994864C" w14:textId="77777777" w:rsidR="00A00F0C" w:rsidRPr="001F151E" w:rsidRDefault="00A00F0C" w:rsidP="006F1382">
      <w:pPr>
        <w:jc w:val="both"/>
        <w:rPr>
          <w:lang w:val="en-GB"/>
        </w:rPr>
      </w:pPr>
    </w:p>
    <w:p w14:paraId="57537998" w14:textId="77777777" w:rsidR="00A00F0C" w:rsidRPr="001F151E" w:rsidRDefault="00A00F0C" w:rsidP="006F1382">
      <w:pPr>
        <w:pStyle w:val="H5"/>
        <w:jc w:val="both"/>
        <w:rPr>
          <w:lang w:val="en-GB"/>
        </w:rPr>
      </w:pPr>
      <w:r w:rsidRPr="001F151E">
        <w:rPr>
          <w:lang w:val="en-GB"/>
        </w:rPr>
        <w:t>Context</w:t>
      </w:r>
    </w:p>
    <w:p w14:paraId="7065D47D" w14:textId="4FC39598" w:rsidR="00A00F0C" w:rsidRPr="001F151E" w:rsidRDefault="00C34322" w:rsidP="006F1382">
      <w:pPr>
        <w:jc w:val="both"/>
        <w:rPr>
          <w:lang w:val="en-GB"/>
        </w:rPr>
      </w:pPr>
      <w:r w:rsidRPr="001F151E">
        <w:rPr>
          <w:lang w:val="en-GB"/>
        </w:rPr>
        <w:t>The government bodies have established a</w:t>
      </w:r>
      <w:r w:rsidR="00A00F0C" w:rsidRPr="001F151E">
        <w:rPr>
          <w:lang w:val="en-GB"/>
        </w:rPr>
        <w:t xml:space="preserve"> comprehensive set of strategies and associated action plans is in place consisting of the overarching National Strategy for Development and European Integration (NSDEI) and </w:t>
      </w:r>
      <w:r w:rsidRPr="001F151E">
        <w:rPr>
          <w:lang w:val="en-GB"/>
        </w:rPr>
        <w:t xml:space="preserve">several sectoral, sub-sectoral, cross-cutting and regional strategies have been developed and are being renewed on a regular basis. SASPAC has put in place regulations and instructions to guide the development and monitoring of strategies and their action plans in a consistent manner. Moreover, an Information System (IPSIS) has been put in operation to supporting the Integrated Planning Process. The IPSIS has </w:t>
      </w:r>
      <w:r w:rsidR="0021242B" w:rsidRPr="001F151E">
        <w:rPr>
          <w:lang w:val="en-GB"/>
        </w:rPr>
        <w:t>so far</w:t>
      </w:r>
      <w:r w:rsidRPr="001F151E">
        <w:rPr>
          <w:lang w:val="en-GB"/>
        </w:rPr>
        <w:t xml:space="preserve"> only</w:t>
      </w:r>
      <w:r w:rsidR="00DC021D" w:rsidRPr="001F151E">
        <w:rPr>
          <w:lang w:val="en-GB"/>
        </w:rPr>
        <w:t xml:space="preserve"> been utilised </w:t>
      </w:r>
      <w:r w:rsidRPr="001F151E">
        <w:rPr>
          <w:lang w:val="en-GB"/>
        </w:rPr>
        <w:t>to a</w:t>
      </w:r>
      <w:r w:rsidR="00DC021D" w:rsidRPr="001F151E">
        <w:rPr>
          <w:lang w:val="en-GB"/>
        </w:rPr>
        <w:t xml:space="preserve"> very</w:t>
      </w:r>
      <w:r w:rsidRPr="001F151E">
        <w:rPr>
          <w:lang w:val="en-GB"/>
        </w:rPr>
        <w:t xml:space="preserve"> limited extent</w:t>
      </w:r>
      <w:r w:rsidR="005014F0" w:rsidRPr="001F151E">
        <w:rPr>
          <w:lang w:val="en-GB"/>
        </w:rPr>
        <w:t xml:space="preserve"> and plans are made to improve the IPSIS to better serve the needs of its users. </w:t>
      </w:r>
      <w:r w:rsidR="00A00F0C" w:rsidRPr="001F151E">
        <w:rPr>
          <w:lang w:val="en-GB"/>
        </w:rPr>
        <w:t xml:space="preserve">A </w:t>
      </w:r>
      <w:r w:rsidRPr="001F151E">
        <w:rPr>
          <w:lang w:val="en-GB"/>
        </w:rPr>
        <w:t>continuing</w:t>
      </w:r>
      <w:r w:rsidR="00A00F0C" w:rsidRPr="001F151E">
        <w:rPr>
          <w:lang w:val="en-GB"/>
        </w:rPr>
        <w:t xml:space="preserve"> challenge remains (i) t</w:t>
      </w:r>
      <w:r w:rsidRPr="001F151E">
        <w:rPr>
          <w:lang w:val="en-GB"/>
        </w:rPr>
        <w:t xml:space="preserve">he </w:t>
      </w:r>
      <w:r w:rsidR="00A00F0C" w:rsidRPr="001F151E">
        <w:rPr>
          <w:lang w:val="en-GB"/>
        </w:rPr>
        <w:t xml:space="preserve">align and integrate the various strategies at the various levels and (ii) to develop adequately costed strategies and action plans within available resources allocated through the Medium Term Budget Programs. </w:t>
      </w:r>
    </w:p>
    <w:p w14:paraId="49A50D11" w14:textId="77777777" w:rsidR="00A143BC" w:rsidRPr="001F151E" w:rsidRDefault="00A143BC" w:rsidP="006F1382">
      <w:pPr>
        <w:jc w:val="both"/>
        <w:rPr>
          <w:lang w:val="en-GB"/>
        </w:rPr>
      </w:pPr>
    </w:p>
    <w:p w14:paraId="2B8B6DEF" w14:textId="5705E09D" w:rsidR="002C447B" w:rsidRPr="001F151E" w:rsidRDefault="002C447B" w:rsidP="006F1382">
      <w:pPr>
        <w:pStyle w:val="H5"/>
        <w:jc w:val="both"/>
        <w:rPr>
          <w:color w:val="auto"/>
          <w:lang w:val="en-GB"/>
        </w:rPr>
      </w:pPr>
      <w:r w:rsidRPr="001F151E">
        <w:rPr>
          <w:lang w:val="en-GB"/>
        </w:rPr>
        <w:t>Priorities</w:t>
      </w:r>
    </w:p>
    <w:p w14:paraId="2743EAF8" w14:textId="49B26888" w:rsidR="002C447B" w:rsidRPr="001F151E" w:rsidRDefault="002C447B" w:rsidP="006F1382">
      <w:pPr>
        <w:jc w:val="both"/>
        <w:rPr>
          <w:lang w:val="en-GB"/>
        </w:rPr>
      </w:pPr>
      <w:r w:rsidRPr="001F151E">
        <w:rPr>
          <w:lang w:val="en-GB"/>
        </w:rPr>
        <w:t>The key priorities for the period 2023-2026 are to</w:t>
      </w:r>
    </w:p>
    <w:p w14:paraId="227609EE" w14:textId="0D77B1E7" w:rsidR="005314BF" w:rsidRPr="001F151E" w:rsidRDefault="005014F0" w:rsidP="006F1382">
      <w:pPr>
        <w:pStyle w:val="N-Bullet"/>
        <w:numPr>
          <w:ilvl w:val="0"/>
          <w:numId w:val="19"/>
        </w:numPr>
        <w:jc w:val="both"/>
        <w:rPr>
          <w:lang w:val="en-GB"/>
        </w:rPr>
      </w:pPr>
      <w:r w:rsidRPr="001F151E">
        <w:rPr>
          <w:lang w:val="en-GB"/>
        </w:rPr>
        <w:t>Review and i</w:t>
      </w:r>
      <w:r w:rsidR="002C447B" w:rsidRPr="001F151E">
        <w:rPr>
          <w:lang w:val="en-GB"/>
        </w:rPr>
        <w:t xml:space="preserve">mprove the IPS </w:t>
      </w:r>
      <w:r w:rsidR="005314BF" w:rsidRPr="001F151E">
        <w:rPr>
          <w:lang w:val="en-GB"/>
        </w:rPr>
        <w:t>to secure effective integrated strategy development at all levels.</w:t>
      </w:r>
    </w:p>
    <w:p w14:paraId="7399E290" w14:textId="37D2745E" w:rsidR="002C447B" w:rsidRPr="001F151E" w:rsidRDefault="005314BF" w:rsidP="006F1382">
      <w:pPr>
        <w:pStyle w:val="N-Bullet"/>
        <w:numPr>
          <w:ilvl w:val="0"/>
          <w:numId w:val="19"/>
        </w:numPr>
        <w:jc w:val="both"/>
        <w:rPr>
          <w:lang w:val="en-GB"/>
        </w:rPr>
      </w:pPr>
      <w:r w:rsidRPr="001F151E">
        <w:rPr>
          <w:lang w:val="en-GB"/>
        </w:rPr>
        <w:t xml:space="preserve">Introduce </w:t>
      </w:r>
      <w:r w:rsidR="002C447B" w:rsidRPr="001F151E">
        <w:rPr>
          <w:lang w:val="en-GB"/>
        </w:rPr>
        <w:t>and</w:t>
      </w:r>
      <w:r w:rsidRPr="001F151E">
        <w:rPr>
          <w:lang w:val="en-GB"/>
        </w:rPr>
        <w:t xml:space="preserve"> gradually improve the annual </w:t>
      </w:r>
      <w:r w:rsidR="002C447B" w:rsidRPr="001F151E">
        <w:rPr>
          <w:lang w:val="en-GB"/>
        </w:rPr>
        <w:t>policy priority document</w:t>
      </w:r>
      <w:r w:rsidRPr="001F151E">
        <w:rPr>
          <w:lang w:val="en-GB"/>
        </w:rPr>
        <w:t xml:space="preserve"> and attached to that the </w:t>
      </w:r>
      <w:r w:rsidR="00931FA2">
        <w:rPr>
          <w:lang w:val="en-GB"/>
        </w:rPr>
        <w:t>National Single Project Pipeline</w:t>
      </w:r>
      <w:r w:rsidRPr="001F151E">
        <w:rPr>
          <w:lang w:val="en-GB"/>
        </w:rPr>
        <w:t xml:space="preserve"> marking the start of the MTBP process.</w:t>
      </w:r>
    </w:p>
    <w:p w14:paraId="12ABA877" w14:textId="073C18A6" w:rsidR="005314BF" w:rsidRPr="001F151E" w:rsidRDefault="005014F0" w:rsidP="006F1382">
      <w:pPr>
        <w:pStyle w:val="N-Bullet"/>
        <w:numPr>
          <w:ilvl w:val="0"/>
          <w:numId w:val="19"/>
        </w:numPr>
        <w:jc w:val="both"/>
        <w:rPr>
          <w:lang w:val="en-GB"/>
        </w:rPr>
      </w:pPr>
      <w:r w:rsidRPr="001F151E">
        <w:rPr>
          <w:lang w:val="en-GB"/>
        </w:rPr>
        <w:t>Further d</w:t>
      </w:r>
      <w:r w:rsidR="002C447B" w:rsidRPr="001F151E">
        <w:rPr>
          <w:lang w:val="en-GB"/>
        </w:rPr>
        <w:t>evelop the IPSIS in support of the IPS</w:t>
      </w:r>
      <w:r w:rsidR="005314BF" w:rsidRPr="001F151E">
        <w:rPr>
          <w:lang w:val="en-GB"/>
        </w:rPr>
        <w:t xml:space="preserve"> and ensuring in particular linkages with (i) budget module of the AFMIS for developing the performance oriented MTBP, (ii) the PIM module of the AFMIS for public investment planning; (iii) the monitoring module of AFMIS for monitoring and reporting on the implementation of the MTBP and public investment projects; and (iv) the (E</w:t>
      </w:r>
      <w:r w:rsidR="007E2464">
        <w:rPr>
          <w:lang w:val="en-GB"/>
        </w:rPr>
        <w:t>A</w:t>
      </w:r>
      <w:r w:rsidR="005314BF" w:rsidRPr="001F151E">
        <w:rPr>
          <w:lang w:val="en-GB"/>
        </w:rPr>
        <w:t xml:space="preserve">MIS) system for planning and managing development projects with external support. </w:t>
      </w:r>
    </w:p>
    <w:p w14:paraId="0910F50C" w14:textId="77777777" w:rsidR="00A00F0C" w:rsidRPr="001F151E" w:rsidRDefault="00A00F0C" w:rsidP="00160474">
      <w:pPr>
        <w:pStyle w:val="N-Bullet"/>
        <w:numPr>
          <w:ilvl w:val="0"/>
          <w:numId w:val="0"/>
        </w:numPr>
        <w:ind w:left="360" w:hanging="360"/>
        <w:rPr>
          <w:lang w:val="en-GB"/>
        </w:rPr>
      </w:pPr>
    </w:p>
    <w:p w14:paraId="1D1B285D" w14:textId="77777777" w:rsidR="00160474" w:rsidRPr="001F151E" w:rsidRDefault="00160474" w:rsidP="00160474">
      <w:pPr>
        <w:pStyle w:val="H5"/>
        <w:rPr>
          <w:lang w:val="en-GB"/>
        </w:rPr>
      </w:pPr>
      <w:r w:rsidRPr="001F151E">
        <w:rPr>
          <w:lang w:val="en-GB"/>
        </w:rPr>
        <w:t>Measures and activities</w:t>
      </w:r>
    </w:p>
    <w:tbl>
      <w:tblPr>
        <w:tblStyle w:val="TableGrid"/>
        <w:tblW w:w="5000" w:type="pct"/>
        <w:tblCellMar>
          <w:top w:w="28" w:type="dxa"/>
          <w:left w:w="57" w:type="dxa"/>
          <w:bottom w:w="28" w:type="dxa"/>
          <w:right w:w="57" w:type="dxa"/>
        </w:tblCellMar>
        <w:tblLook w:val="04A0" w:firstRow="1" w:lastRow="0" w:firstColumn="1" w:lastColumn="0" w:noHBand="0" w:noVBand="1"/>
      </w:tblPr>
      <w:tblGrid>
        <w:gridCol w:w="1838"/>
        <w:gridCol w:w="3923"/>
        <w:gridCol w:w="769"/>
        <w:gridCol w:w="764"/>
        <w:gridCol w:w="1722"/>
      </w:tblGrid>
      <w:tr w:rsidR="00160474" w:rsidRPr="001F151E" w14:paraId="0D19E9E3" w14:textId="77777777" w:rsidTr="00A263BE">
        <w:trPr>
          <w:trHeight w:val="182"/>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E839CC" w14:textId="77777777" w:rsidR="00160474" w:rsidRPr="001F151E" w:rsidRDefault="00160474" w:rsidP="002B7FF8">
            <w:pPr>
              <w:pStyle w:val="T-bold"/>
            </w:pPr>
            <w:r w:rsidRPr="001F151E">
              <w:t>Measure</w:t>
            </w:r>
          </w:p>
        </w:tc>
        <w:tc>
          <w:tcPr>
            <w:tcW w:w="3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FE21ED" w14:textId="77777777" w:rsidR="00160474" w:rsidRPr="001F151E" w:rsidRDefault="00160474" w:rsidP="002B7FF8">
            <w:pPr>
              <w:pStyle w:val="T-bold"/>
            </w:pPr>
            <w:r w:rsidRPr="001F151E">
              <w:t>Activity</w:t>
            </w: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83A45" w14:textId="77777777" w:rsidR="00160474" w:rsidRPr="001F151E" w:rsidRDefault="00160474" w:rsidP="002B7FF8">
            <w:pPr>
              <w:pStyle w:val="T-bold"/>
              <w:jc w:val="center"/>
            </w:pPr>
            <w:r w:rsidRPr="001F151E">
              <w:t>Start</w:t>
            </w:r>
          </w:p>
        </w:tc>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903340" w14:textId="77777777" w:rsidR="00160474" w:rsidRPr="001F151E" w:rsidRDefault="00160474" w:rsidP="002B7FF8">
            <w:pPr>
              <w:pStyle w:val="T-bold"/>
              <w:jc w:val="center"/>
            </w:pPr>
            <w:r w:rsidRPr="001F151E">
              <w:t>End</w:t>
            </w:r>
          </w:p>
        </w:tc>
        <w:tc>
          <w:tcPr>
            <w:tcW w:w="1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ACAFB" w14:textId="77777777" w:rsidR="00160474" w:rsidRPr="001F151E" w:rsidRDefault="00160474" w:rsidP="002B7FF8">
            <w:pPr>
              <w:pStyle w:val="T-bold"/>
            </w:pPr>
            <w:r w:rsidRPr="001F151E">
              <w:t>Stakeholders</w:t>
            </w:r>
          </w:p>
        </w:tc>
      </w:tr>
      <w:tr w:rsidR="00A143BC" w:rsidRPr="001F151E" w14:paraId="1AAAFB9B" w14:textId="77777777" w:rsidTr="00A263BE">
        <w:trPr>
          <w:trHeight w:val="455"/>
        </w:trPr>
        <w:tc>
          <w:tcPr>
            <w:tcW w:w="1838" w:type="dxa"/>
            <w:vMerge w:val="restart"/>
            <w:tcBorders>
              <w:top w:val="single" w:sz="4" w:space="0" w:color="auto"/>
              <w:left w:val="single" w:sz="4" w:space="0" w:color="auto"/>
              <w:right w:val="single" w:sz="4" w:space="0" w:color="auto"/>
            </w:tcBorders>
          </w:tcPr>
          <w:p w14:paraId="362E4FC1" w14:textId="5E8CD4C9" w:rsidR="00A143BC" w:rsidRPr="001F151E" w:rsidRDefault="00AD58D4" w:rsidP="002B7FF8">
            <w:pPr>
              <w:pStyle w:val="EcorysBody"/>
              <w:rPr>
                <w:rFonts w:ascii="Arial" w:hAnsi="Arial" w:cs="Arial"/>
                <w:b/>
                <w:bCs/>
                <w:sz w:val="16"/>
                <w:szCs w:val="16"/>
              </w:rPr>
            </w:pPr>
            <w:r>
              <w:rPr>
                <w:rFonts w:ascii="Arial" w:hAnsi="Arial" w:cs="Arial"/>
                <w:b/>
                <w:bCs/>
                <w:sz w:val="16"/>
                <w:szCs w:val="16"/>
              </w:rPr>
              <w:t>Measure 2.1</w:t>
            </w:r>
            <w:r w:rsidR="00A143BC" w:rsidRPr="001F151E">
              <w:rPr>
                <w:rFonts w:ascii="Arial" w:hAnsi="Arial" w:cs="Arial"/>
                <w:b/>
                <w:bCs/>
                <w:sz w:val="16"/>
                <w:szCs w:val="16"/>
              </w:rPr>
              <w:t xml:space="preserve">.1 Enhance the </w:t>
            </w:r>
            <w:r w:rsidR="00811658" w:rsidRPr="001F151E">
              <w:rPr>
                <w:rFonts w:ascii="Arial" w:hAnsi="Arial" w:cs="Arial"/>
                <w:b/>
                <w:bCs/>
                <w:sz w:val="16"/>
                <w:szCs w:val="16"/>
              </w:rPr>
              <w:t xml:space="preserve">IT-supported </w:t>
            </w:r>
            <w:r w:rsidR="00A143BC" w:rsidRPr="001F151E">
              <w:rPr>
                <w:rFonts w:ascii="Arial" w:hAnsi="Arial" w:cs="Arial"/>
                <w:b/>
                <w:bCs/>
                <w:sz w:val="16"/>
                <w:szCs w:val="16"/>
              </w:rPr>
              <w:t>Integrated Planning System</w:t>
            </w:r>
            <w:r w:rsidR="005014F0" w:rsidRPr="001F151E">
              <w:rPr>
                <w:rFonts w:ascii="Arial" w:hAnsi="Arial" w:cs="Arial"/>
                <w:b/>
                <w:bCs/>
                <w:sz w:val="16"/>
                <w:szCs w:val="16"/>
              </w:rPr>
              <w:t xml:space="preserve"> for formulating and monitoring strategies</w:t>
            </w:r>
          </w:p>
        </w:tc>
        <w:tc>
          <w:tcPr>
            <w:tcW w:w="3923" w:type="dxa"/>
            <w:tcBorders>
              <w:top w:val="single" w:sz="4" w:space="0" w:color="auto"/>
              <w:left w:val="single" w:sz="4" w:space="0" w:color="auto"/>
              <w:bottom w:val="single" w:sz="4" w:space="0" w:color="auto"/>
              <w:right w:val="single" w:sz="4" w:space="0" w:color="auto"/>
            </w:tcBorders>
            <w:vAlign w:val="center"/>
          </w:tcPr>
          <w:p w14:paraId="29B671FC" w14:textId="6B68CB1D" w:rsidR="00A143BC" w:rsidRPr="001F151E" w:rsidRDefault="00A143BC" w:rsidP="00897DDC">
            <w:pPr>
              <w:pStyle w:val="EcorysBody"/>
              <w:numPr>
                <w:ilvl w:val="0"/>
                <w:numId w:val="21"/>
              </w:numPr>
              <w:rPr>
                <w:rFonts w:ascii="Arial" w:hAnsi="Arial" w:cs="Arial"/>
                <w:sz w:val="16"/>
                <w:szCs w:val="16"/>
              </w:rPr>
            </w:pPr>
            <w:r w:rsidRPr="001F151E">
              <w:rPr>
                <w:rFonts w:ascii="Arial" w:hAnsi="Arial" w:cs="Arial"/>
                <w:sz w:val="16"/>
                <w:szCs w:val="16"/>
              </w:rPr>
              <w:t>Review the effectiveness of the current Integrated Planning System and develop proposals for improvement.</w:t>
            </w:r>
          </w:p>
        </w:tc>
        <w:tc>
          <w:tcPr>
            <w:tcW w:w="769" w:type="dxa"/>
            <w:tcBorders>
              <w:top w:val="single" w:sz="4" w:space="0" w:color="auto"/>
              <w:left w:val="single" w:sz="4" w:space="0" w:color="auto"/>
              <w:bottom w:val="single" w:sz="4" w:space="0" w:color="auto"/>
              <w:right w:val="single" w:sz="4" w:space="0" w:color="auto"/>
            </w:tcBorders>
            <w:vAlign w:val="center"/>
          </w:tcPr>
          <w:p w14:paraId="573FA657" w14:textId="690692A0" w:rsidR="00A143BC" w:rsidRPr="002E6AB5" w:rsidRDefault="00F3608B" w:rsidP="002B7FF8">
            <w:pPr>
              <w:jc w:val="center"/>
              <w:rPr>
                <w:sz w:val="16"/>
                <w:szCs w:val="16"/>
              </w:rPr>
            </w:pPr>
            <w:r w:rsidRPr="002E6AB5">
              <w:rPr>
                <w:sz w:val="16"/>
                <w:szCs w:val="16"/>
              </w:rPr>
              <w:t>Q1 2024</w:t>
            </w:r>
          </w:p>
        </w:tc>
        <w:tc>
          <w:tcPr>
            <w:tcW w:w="764" w:type="dxa"/>
            <w:tcBorders>
              <w:top w:val="single" w:sz="4" w:space="0" w:color="auto"/>
              <w:left w:val="single" w:sz="4" w:space="0" w:color="auto"/>
              <w:bottom w:val="single" w:sz="4" w:space="0" w:color="auto"/>
              <w:right w:val="single" w:sz="4" w:space="0" w:color="auto"/>
            </w:tcBorders>
            <w:vAlign w:val="center"/>
          </w:tcPr>
          <w:p w14:paraId="3FDD309F" w14:textId="3C33F50B" w:rsidR="00A143BC" w:rsidRPr="002E6AB5" w:rsidRDefault="00F3608B" w:rsidP="002B7FF8">
            <w:pPr>
              <w:jc w:val="center"/>
              <w:rPr>
                <w:sz w:val="16"/>
                <w:szCs w:val="16"/>
              </w:rPr>
            </w:pPr>
            <w:r w:rsidRPr="002E6AB5">
              <w:rPr>
                <w:sz w:val="16"/>
                <w:szCs w:val="16"/>
              </w:rPr>
              <w:t>Q4 2025</w:t>
            </w:r>
          </w:p>
        </w:tc>
        <w:tc>
          <w:tcPr>
            <w:tcW w:w="1722" w:type="dxa"/>
            <w:vMerge w:val="restart"/>
            <w:tcBorders>
              <w:top w:val="single" w:sz="4" w:space="0" w:color="auto"/>
              <w:left w:val="single" w:sz="4" w:space="0" w:color="auto"/>
              <w:right w:val="single" w:sz="4" w:space="0" w:color="auto"/>
            </w:tcBorders>
          </w:tcPr>
          <w:p w14:paraId="239F1583" w14:textId="77777777" w:rsidR="00A143BC" w:rsidRPr="001F151E" w:rsidRDefault="00A143BC" w:rsidP="002B7FF8">
            <w:pPr>
              <w:rPr>
                <w:b/>
                <w:bCs/>
                <w:sz w:val="16"/>
                <w:szCs w:val="16"/>
              </w:rPr>
            </w:pPr>
            <w:r w:rsidRPr="001F151E">
              <w:rPr>
                <w:b/>
                <w:bCs/>
                <w:sz w:val="16"/>
                <w:szCs w:val="16"/>
              </w:rPr>
              <w:t>Responsible entity:</w:t>
            </w:r>
          </w:p>
          <w:p w14:paraId="58CED098" w14:textId="1CBFB3A2" w:rsidR="00A143BC" w:rsidRPr="001F151E" w:rsidRDefault="00A143BC" w:rsidP="002B7FF8">
            <w:pPr>
              <w:pStyle w:val="EcorysBody"/>
              <w:rPr>
                <w:rFonts w:ascii="Arial" w:hAnsi="Arial" w:cs="Arial"/>
                <w:sz w:val="16"/>
                <w:szCs w:val="16"/>
              </w:rPr>
            </w:pPr>
            <w:r w:rsidRPr="001F151E">
              <w:rPr>
                <w:rFonts w:ascii="Arial" w:hAnsi="Arial" w:cs="Arial"/>
                <w:sz w:val="16"/>
                <w:szCs w:val="16"/>
              </w:rPr>
              <w:t>SASPAC (lead), MoF.</w:t>
            </w:r>
          </w:p>
          <w:p w14:paraId="537DE4E6" w14:textId="77777777" w:rsidR="00A143BC" w:rsidRPr="001F151E" w:rsidRDefault="00A143BC" w:rsidP="002B7FF8">
            <w:pPr>
              <w:pStyle w:val="EcorysBody"/>
              <w:rPr>
                <w:rFonts w:ascii="Arial" w:hAnsi="Arial" w:cs="Arial"/>
                <w:b/>
                <w:bCs/>
                <w:sz w:val="16"/>
                <w:szCs w:val="16"/>
              </w:rPr>
            </w:pPr>
          </w:p>
          <w:p w14:paraId="112549B6" w14:textId="77777777" w:rsidR="00A143BC" w:rsidRPr="001F151E" w:rsidRDefault="00A143BC" w:rsidP="002B7FF8">
            <w:pPr>
              <w:pStyle w:val="EcorysBody"/>
              <w:rPr>
                <w:rFonts w:ascii="Arial" w:hAnsi="Arial" w:cs="Arial"/>
                <w:b/>
                <w:bCs/>
                <w:sz w:val="16"/>
                <w:szCs w:val="16"/>
              </w:rPr>
            </w:pPr>
            <w:r w:rsidRPr="001F151E">
              <w:rPr>
                <w:rFonts w:ascii="Arial" w:hAnsi="Arial" w:cs="Arial"/>
                <w:b/>
                <w:bCs/>
                <w:sz w:val="16"/>
                <w:szCs w:val="16"/>
              </w:rPr>
              <w:t>Partners:</w:t>
            </w:r>
          </w:p>
          <w:p w14:paraId="5E899392" w14:textId="37E49492" w:rsidR="00A143BC" w:rsidRPr="001F151E" w:rsidRDefault="00CD156A" w:rsidP="002B7FF8">
            <w:pPr>
              <w:pStyle w:val="EcorysBody"/>
              <w:rPr>
                <w:rFonts w:ascii="Arial" w:hAnsi="Arial" w:cs="Arial"/>
                <w:sz w:val="16"/>
                <w:szCs w:val="16"/>
              </w:rPr>
            </w:pPr>
            <w:r>
              <w:rPr>
                <w:rFonts w:ascii="Arial" w:hAnsi="Arial" w:cs="Arial"/>
                <w:sz w:val="16"/>
                <w:szCs w:val="16"/>
              </w:rPr>
              <w:t>Line Ministries, Foreign Aid Donors</w:t>
            </w:r>
          </w:p>
          <w:p w14:paraId="5EEF3AAE" w14:textId="77777777" w:rsidR="00A143BC" w:rsidRPr="001F151E" w:rsidRDefault="00A143BC" w:rsidP="002B7FF8">
            <w:pPr>
              <w:rPr>
                <w:b/>
                <w:bCs/>
                <w:sz w:val="16"/>
                <w:szCs w:val="16"/>
              </w:rPr>
            </w:pPr>
          </w:p>
        </w:tc>
      </w:tr>
      <w:tr w:rsidR="00A143BC" w:rsidRPr="001F151E" w14:paraId="75C6F968" w14:textId="77777777" w:rsidTr="00A263BE">
        <w:trPr>
          <w:trHeight w:val="455"/>
        </w:trPr>
        <w:tc>
          <w:tcPr>
            <w:tcW w:w="1838" w:type="dxa"/>
            <w:vMerge/>
            <w:tcBorders>
              <w:left w:val="single" w:sz="4" w:space="0" w:color="auto"/>
              <w:right w:val="single" w:sz="4" w:space="0" w:color="auto"/>
            </w:tcBorders>
          </w:tcPr>
          <w:p w14:paraId="2C832D58" w14:textId="77777777" w:rsidR="00A143BC" w:rsidRPr="001F151E" w:rsidRDefault="00A143BC" w:rsidP="002B7FF8">
            <w:pPr>
              <w:pStyle w:val="EcorysBody"/>
              <w:rPr>
                <w:rFonts w:ascii="Arial" w:hAnsi="Arial" w:cs="Arial"/>
                <w:b/>
                <w:bCs/>
                <w:sz w:val="16"/>
                <w:szCs w:val="16"/>
              </w:rPr>
            </w:pPr>
          </w:p>
        </w:tc>
        <w:tc>
          <w:tcPr>
            <w:tcW w:w="3923" w:type="dxa"/>
            <w:tcBorders>
              <w:top w:val="single" w:sz="4" w:space="0" w:color="auto"/>
              <w:left w:val="single" w:sz="4" w:space="0" w:color="auto"/>
              <w:bottom w:val="single" w:sz="4" w:space="0" w:color="auto"/>
              <w:right w:val="single" w:sz="4" w:space="0" w:color="auto"/>
            </w:tcBorders>
            <w:vAlign w:val="center"/>
          </w:tcPr>
          <w:p w14:paraId="3F6F601C" w14:textId="6EED47D3" w:rsidR="00A143BC" w:rsidRPr="001F151E" w:rsidRDefault="00A143BC" w:rsidP="00897DDC">
            <w:pPr>
              <w:pStyle w:val="EcorysBody"/>
              <w:numPr>
                <w:ilvl w:val="0"/>
                <w:numId w:val="21"/>
              </w:numPr>
              <w:rPr>
                <w:rFonts w:ascii="Arial" w:hAnsi="Arial" w:cs="Arial"/>
                <w:sz w:val="16"/>
                <w:szCs w:val="16"/>
              </w:rPr>
            </w:pPr>
            <w:r w:rsidRPr="001F151E">
              <w:rPr>
                <w:rFonts w:ascii="Arial" w:hAnsi="Arial" w:cs="Arial"/>
                <w:sz w:val="16"/>
                <w:szCs w:val="16"/>
              </w:rPr>
              <w:t>Enhance laws, by-laws and guidelines for integrated planning where needed.</w:t>
            </w:r>
          </w:p>
        </w:tc>
        <w:tc>
          <w:tcPr>
            <w:tcW w:w="769" w:type="dxa"/>
            <w:tcBorders>
              <w:top w:val="single" w:sz="4" w:space="0" w:color="auto"/>
              <w:left w:val="single" w:sz="4" w:space="0" w:color="auto"/>
              <w:bottom w:val="single" w:sz="4" w:space="0" w:color="auto"/>
              <w:right w:val="single" w:sz="4" w:space="0" w:color="auto"/>
            </w:tcBorders>
            <w:vAlign w:val="center"/>
          </w:tcPr>
          <w:p w14:paraId="2EC6F587" w14:textId="304C7692" w:rsidR="00A143BC" w:rsidRPr="002E6AB5" w:rsidRDefault="00F3608B" w:rsidP="002B7FF8">
            <w:pPr>
              <w:jc w:val="center"/>
              <w:rPr>
                <w:sz w:val="16"/>
                <w:szCs w:val="16"/>
              </w:rPr>
            </w:pPr>
            <w:r w:rsidRPr="002E6AB5">
              <w:rPr>
                <w:sz w:val="16"/>
                <w:szCs w:val="16"/>
              </w:rPr>
              <w:t>Q1 2024</w:t>
            </w:r>
          </w:p>
        </w:tc>
        <w:tc>
          <w:tcPr>
            <w:tcW w:w="764" w:type="dxa"/>
            <w:tcBorders>
              <w:top w:val="single" w:sz="4" w:space="0" w:color="auto"/>
              <w:left w:val="single" w:sz="4" w:space="0" w:color="auto"/>
              <w:bottom w:val="single" w:sz="4" w:space="0" w:color="auto"/>
              <w:right w:val="single" w:sz="4" w:space="0" w:color="auto"/>
            </w:tcBorders>
            <w:vAlign w:val="center"/>
          </w:tcPr>
          <w:p w14:paraId="21C61057" w14:textId="006D9523" w:rsidR="00A143BC" w:rsidRPr="002E6AB5" w:rsidRDefault="00F3608B" w:rsidP="002B7FF8">
            <w:pPr>
              <w:jc w:val="center"/>
              <w:rPr>
                <w:sz w:val="16"/>
                <w:szCs w:val="16"/>
              </w:rPr>
            </w:pPr>
            <w:r w:rsidRPr="002E6AB5">
              <w:rPr>
                <w:sz w:val="16"/>
                <w:szCs w:val="16"/>
              </w:rPr>
              <w:t>Q4 2025</w:t>
            </w:r>
          </w:p>
        </w:tc>
        <w:tc>
          <w:tcPr>
            <w:tcW w:w="1722" w:type="dxa"/>
            <w:vMerge/>
            <w:tcBorders>
              <w:left w:val="single" w:sz="4" w:space="0" w:color="auto"/>
              <w:right w:val="single" w:sz="4" w:space="0" w:color="auto"/>
            </w:tcBorders>
          </w:tcPr>
          <w:p w14:paraId="466D9A58" w14:textId="77777777" w:rsidR="00A143BC" w:rsidRPr="001F151E" w:rsidRDefault="00A143BC" w:rsidP="002B7FF8">
            <w:pPr>
              <w:rPr>
                <w:b/>
                <w:bCs/>
                <w:sz w:val="16"/>
                <w:szCs w:val="16"/>
              </w:rPr>
            </w:pPr>
          </w:p>
        </w:tc>
      </w:tr>
      <w:tr w:rsidR="00A143BC" w:rsidRPr="001F151E" w14:paraId="4D608933" w14:textId="77777777" w:rsidTr="00A263BE">
        <w:trPr>
          <w:trHeight w:val="107"/>
        </w:trPr>
        <w:tc>
          <w:tcPr>
            <w:tcW w:w="1838" w:type="dxa"/>
            <w:vMerge/>
            <w:tcBorders>
              <w:left w:val="single" w:sz="4" w:space="0" w:color="auto"/>
              <w:right w:val="single" w:sz="4" w:space="0" w:color="auto"/>
            </w:tcBorders>
            <w:hideMark/>
          </w:tcPr>
          <w:p w14:paraId="6D5B0A02" w14:textId="77777777" w:rsidR="00A143BC" w:rsidRPr="001F151E" w:rsidRDefault="00A143BC" w:rsidP="002B7FF8">
            <w:pPr>
              <w:pStyle w:val="EcorysBody"/>
              <w:rPr>
                <w:rFonts w:ascii="Arial" w:hAnsi="Arial" w:cs="Arial"/>
                <w:sz w:val="16"/>
                <w:szCs w:val="16"/>
              </w:rPr>
            </w:pPr>
          </w:p>
        </w:tc>
        <w:tc>
          <w:tcPr>
            <w:tcW w:w="3923" w:type="dxa"/>
            <w:tcBorders>
              <w:top w:val="single" w:sz="4" w:space="0" w:color="auto"/>
              <w:left w:val="single" w:sz="4" w:space="0" w:color="auto"/>
              <w:right w:val="single" w:sz="4" w:space="0" w:color="auto"/>
            </w:tcBorders>
            <w:vAlign w:val="center"/>
          </w:tcPr>
          <w:p w14:paraId="589BD90C" w14:textId="428C6EA4" w:rsidR="00A143BC" w:rsidRPr="001F151E" w:rsidRDefault="00A143BC" w:rsidP="00897DDC">
            <w:pPr>
              <w:pStyle w:val="EcorysBody"/>
              <w:numPr>
                <w:ilvl w:val="0"/>
                <w:numId w:val="21"/>
              </w:numPr>
              <w:rPr>
                <w:rFonts w:ascii="Arial" w:hAnsi="Arial" w:cs="Arial"/>
                <w:sz w:val="16"/>
                <w:szCs w:val="16"/>
              </w:rPr>
            </w:pPr>
            <w:r w:rsidRPr="001F151E">
              <w:rPr>
                <w:rFonts w:ascii="Arial" w:hAnsi="Arial" w:cs="Arial"/>
                <w:sz w:val="16"/>
                <w:szCs w:val="16"/>
              </w:rPr>
              <w:t>Upgrade the IPSIS including its interfaces with other relevant computer systems</w:t>
            </w:r>
            <w:r w:rsidRPr="001F151E">
              <w:rPr>
                <w:rStyle w:val="FootnoteReference"/>
                <w:rFonts w:cs="Arial"/>
              </w:rPr>
              <w:footnoteReference w:id="13"/>
            </w:r>
            <w:r w:rsidRPr="001F151E">
              <w:rPr>
                <w:rFonts w:ascii="Arial" w:hAnsi="Arial" w:cs="Arial"/>
                <w:sz w:val="16"/>
                <w:szCs w:val="16"/>
              </w:rPr>
              <w:t>.</w:t>
            </w:r>
          </w:p>
        </w:tc>
        <w:tc>
          <w:tcPr>
            <w:tcW w:w="769" w:type="dxa"/>
            <w:tcBorders>
              <w:top w:val="single" w:sz="4" w:space="0" w:color="auto"/>
              <w:left w:val="single" w:sz="4" w:space="0" w:color="auto"/>
              <w:right w:val="single" w:sz="4" w:space="0" w:color="auto"/>
            </w:tcBorders>
            <w:vAlign w:val="center"/>
          </w:tcPr>
          <w:p w14:paraId="6DE297F8" w14:textId="06FF07E1" w:rsidR="00A143BC" w:rsidRPr="002E6AB5" w:rsidRDefault="00F3608B" w:rsidP="002B7FF8">
            <w:pPr>
              <w:jc w:val="center"/>
              <w:rPr>
                <w:sz w:val="16"/>
                <w:szCs w:val="16"/>
              </w:rPr>
            </w:pPr>
            <w:r w:rsidRPr="002E6AB5">
              <w:rPr>
                <w:sz w:val="16"/>
                <w:szCs w:val="16"/>
              </w:rPr>
              <w:t>Q1 2024</w:t>
            </w:r>
          </w:p>
        </w:tc>
        <w:tc>
          <w:tcPr>
            <w:tcW w:w="764" w:type="dxa"/>
            <w:tcBorders>
              <w:top w:val="single" w:sz="4" w:space="0" w:color="auto"/>
              <w:left w:val="single" w:sz="4" w:space="0" w:color="auto"/>
              <w:right w:val="single" w:sz="4" w:space="0" w:color="auto"/>
            </w:tcBorders>
            <w:vAlign w:val="center"/>
          </w:tcPr>
          <w:p w14:paraId="28ECF38A" w14:textId="00DE0402" w:rsidR="00A143BC" w:rsidRPr="002E6AB5" w:rsidRDefault="00F3608B" w:rsidP="002B7FF8">
            <w:pPr>
              <w:jc w:val="center"/>
              <w:rPr>
                <w:sz w:val="16"/>
                <w:szCs w:val="16"/>
              </w:rPr>
            </w:pPr>
            <w:r w:rsidRPr="002E6AB5">
              <w:rPr>
                <w:sz w:val="16"/>
                <w:szCs w:val="16"/>
              </w:rPr>
              <w:t>Q4 2025</w:t>
            </w:r>
          </w:p>
        </w:tc>
        <w:tc>
          <w:tcPr>
            <w:tcW w:w="1722" w:type="dxa"/>
            <w:vMerge/>
            <w:tcBorders>
              <w:left w:val="single" w:sz="4" w:space="0" w:color="auto"/>
              <w:right w:val="single" w:sz="4" w:space="0" w:color="auto"/>
            </w:tcBorders>
          </w:tcPr>
          <w:p w14:paraId="2547C515" w14:textId="77777777" w:rsidR="00A143BC" w:rsidRPr="001F151E" w:rsidRDefault="00A143BC" w:rsidP="002B7FF8">
            <w:pPr>
              <w:rPr>
                <w:sz w:val="16"/>
                <w:szCs w:val="16"/>
              </w:rPr>
            </w:pPr>
          </w:p>
        </w:tc>
      </w:tr>
      <w:tr w:rsidR="00A143BC" w:rsidRPr="001F151E" w14:paraId="70DA0D7A" w14:textId="77777777" w:rsidTr="00A263BE">
        <w:trPr>
          <w:trHeight w:val="36"/>
        </w:trPr>
        <w:tc>
          <w:tcPr>
            <w:tcW w:w="1838" w:type="dxa"/>
            <w:vMerge/>
            <w:tcBorders>
              <w:left w:val="single" w:sz="4" w:space="0" w:color="auto"/>
              <w:right w:val="single" w:sz="4" w:space="0" w:color="auto"/>
            </w:tcBorders>
          </w:tcPr>
          <w:p w14:paraId="028089B6" w14:textId="68819794" w:rsidR="00A143BC" w:rsidRPr="001F151E" w:rsidRDefault="00A143BC" w:rsidP="002B7FF8">
            <w:pPr>
              <w:rPr>
                <w:sz w:val="16"/>
                <w:szCs w:val="16"/>
              </w:rPr>
            </w:pPr>
          </w:p>
        </w:tc>
        <w:tc>
          <w:tcPr>
            <w:tcW w:w="3923" w:type="dxa"/>
            <w:tcBorders>
              <w:top w:val="single" w:sz="4" w:space="0" w:color="auto"/>
              <w:left w:val="single" w:sz="4" w:space="0" w:color="auto"/>
              <w:right w:val="single" w:sz="4" w:space="0" w:color="auto"/>
            </w:tcBorders>
            <w:vAlign w:val="center"/>
          </w:tcPr>
          <w:p w14:paraId="182FCD82" w14:textId="1DA7C941" w:rsidR="00A143BC" w:rsidRPr="001F151E" w:rsidRDefault="00A143BC" w:rsidP="00897DDC">
            <w:pPr>
              <w:pStyle w:val="ListParagraph"/>
              <w:numPr>
                <w:ilvl w:val="0"/>
                <w:numId w:val="21"/>
              </w:numPr>
              <w:rPr>
                <w:sz w:val="16"/>
                <w:szCs w:val="16"/>
              </w:rPr>
            </w:pPr>
            <w:r w:rsidRPr="001F151E">
              <w:rPr>
                <w:sz w:val="16"/>
                <w:szCs w:val="16"/>
              </w:rPr>
              <w:t>Develop and implement a comprehensive capacity development plan for civil servants engaged in the integrated planning process.</w:t>
            </w:r>
          </w:p>
        </w:tc>
        <w:tc>
          <w:tcPr>
            <w:tcW w:w="769" w:type="dxa"/>
            <w:tcBorders>
              <w:top w:val="single" w:sz="4" w:space="0" w:color="auto"/>
              <w:left w:val="single" w:sz="4" w:space="0" w:color="auto"/>
              <w:right w:val="single" w:sz="4" w:space="0" w:color="auto"/>
            </w:tcBorders>
            <w:vAlign w:val="center"/>
          </w:tcPr>
          <w:p w14:paraId="7CEBA527" w14:textId="604C615B" w:rsidR="00A143BC" w:rsidRPr="002E6AB5" w:rsidRDefault="00F3608B" w:rsidP="002B7FF8">
            <w:pPr>
              <w:jc w:val="center"/>
              <w:rPr>
                <w:sz w:val="16"/>
                <w:szCs w:val="16"/>
              </w:rPr>
            </w:pPr>
            <w:r w:rsidRPr="002E6AB5">
              <w:rPr>
                <w:sz w:val="16"/>
                <w:szCs w:val="16"/>
              </w:rPr>
              <w:t>Q1 2024</w:t>
            </w:r>
          </w:p>
        </w:tc>
        <w:tc>
          <w:tcPr>
            <w:tcW w:w="764" w:type="dxa"/>
            <w:tcBorders>
              <w:top w:val="single" w:sz="4" w:space="0" w:color="auto"/>
              <w:left w:val="single" w:sz="4" w:space="0" w:color="auto"/>
              <w:right w:val="single" w:sz="4" w:space="0" w:color="auto"/>
            </w:tcBorders>
            <w:vAlign w:val="center"/>
          </w:tcPr>
          <w:p w14:paraId="772BD176" w14:textId="13886559" w:rsidR="00A143BC" w:rsidRPr="002E6AB5" w:rsidRDefault="00CD156A" w:rsidP="002B7FF8">
            <w:pPr>
              <w:jc w:val="center"/>
              <w:rPr>
                <w:sz w:val="16"/>
                <w:szCs w:val="16"/>
              </w:rPr>
            </w:pPr>
            <w:r>
              <w:rPr>
                <w:sz w:val="16"/>
                <w:szCs w:val="16"/>
              </w:rPr>
              <w:t>Q4 2025</w:t>
            </w:r>
          </w:p>
        </w:tc>
        <w:tc>
          <w:tcPr>
            <w:tcW w:w="1722" w:type="dxa"/>
            <w:vMerge/>
            <w:tcBorders>
              <w:left w:val="single" w:sz="4" w:space="0" w:color="auto"/>
              <w:right w:val="single" w:sz="4" w:space="0" w:color="auto"/>
            </w:tcBorders>
          </w:tcPr>
          <w:p w14:paraId="6B6A876B" w14:textId="4F3D457F" w:rsidR="00A143BC" w:rsidRPr="001F151E" w:rsidRDefault="00A143BC" w:rsidP="002B7FF8">
            <w:pPr>
              <w:pStyle w:val="EcorysBody"/>
              <w:rPr>
                <w:rFonts w:ascii="Arial" w:hAnsi="Arial" w:cs="Arial"/>
                <w:sz w:val="16"/>
                <w:szCs w:val="16"/>
              </w:rPr>
            </w:pPr>
          </w:p>
        </w:tc>
      </w:tr>
      <w:tr w:rsidR="00A143BC" w:rsidRPr="001F151E" w14:paraId="767ECB0F" w14:textId="77777777" w:rsidTr="00A263BE">
        <w:trPr>
          <w:trHeight w:val="662"/>
        </w:trPr>
        <w:tc>
          <w:tcPr>
            <w:tcW w:w="1838" w:type="dxa"/>
            <w:vMerge/>
            <w:tcBorders>
              <w:left w:val="single" w:sz="4" w:space="0" w:color="auto"/>
              <w:right w:val="single" w:sz="4" w:space="0" w:color="auto"/>
            </w:tcBorders>
            <w:vAlign w:val="center"/>
          </w:tcPr>
          <w:p w14:paraId="7843FA07" w14:textId="77777777" w:rsidR="00A143BC" w:rsidRPr="001F151E" w:rsidRDefault="00A143BC" w:rsidP="002B7FF8">
            <w:pPr>
              <w:spacing w:line="240" w:lineRule="auto"/>
              <w:rPr>
                <w:sz w:val="16"/>
                <w:szCs w:val="16"/>
              </w:rPr>
            </w:pPr>
          </w:p>
        </w:tc>
        <w:tc>
          <w:tcPr>
            <w:tcW w:w="3923" w:type="dxa"/>
            <w:tcBorders>
              <w:top w:val="single" w:sz="4" w:space="0" w:color="auto"/>
              <w:left w:val="single" w:sz="4" w:space="0" w:color="auto"/>
              <w:bottom w:val="single" w:sz="4" w:space="0" w:color="auto"/>
              <w:right w:val="single" w:sz="4" w:space="0" w:color="auto"/>
            </w:tcBorders>
            <w:vAlign w:val="center"/>
          </w:tcPr>
          <w:p w14:paraId="62DBD05B" w14:textId="444531B4" w:rsidR="00A143BC" w:rsidRPr="001F151E" w:rsidRDefault="00A143BC" w:rsidP="00897DDC">
            <w:pPr>
              <w:pStyle w:val="ListParagraph"/>
              <w:numPr>
                <w:ilvl w:val="0"/>
                <w:numId w:val="21"/>
              </w:numPr>
              <w:rPr>
                <w:sz w:val="16"/>
                <w:szCs w:val="16"/>
              </w:rPr>
            </w:pPr>
            <w:r w:rsidRPr="001F151E">
              <w:rPr>
                <w:sz w:val="16"/>
                <w:szCs w:val="16"/>
              </w:rPr>
              <w:t>Upgrade the E</w:t>
            </w:r>
            <w:r w:rsidR="00F3608B">
              <w:rPr>
                <w:sz w:val="16"/>
                <w:szCs w:val="16"/>
              </w:rPr>
              <w:t>A</w:t>
            </w:r>
            <w:r w:rsidRPr="001F151E">
              <w:rPr>
                <w:sz w:val="16"/>
                <w:szCs w:val="16"/>
              </w:rPr>
              <w:t>MIS to adequately plan and manage projects implemented with external partners.</w:t>
            </w:r>
          </w:p>
        </w:tc>
        <w:tc>
          <w:tcPr>
            <w:tcW w:w="769" w:type="dxa"/>
            <w:tcBorders>
              <w:top w:val="single" w:sz="4" w:space="0" w:color="auto"/>
              <w:left w:val="single" w:sz="4" w:space="0" w:color="auto"/>
              <w:bottom w:val="single" w:sz="4" w:space="0" w:color="auto"/>
              <w:right w:val="single" w:sz="4" w:space="0" w:color="auto"/>
            </w:tcBorders>
            <w:vAlign w:val="center"/>
          </w:tcPr>
          <w:p w14:paraId="25D52FF7" w14:textId="0A255826" w:rsidR="00A143BC" w:rsidRPr="00CD156A" w:rsidRDefault="00CD156A" w:rsidP="002B7FF8">
            <w:pPr>
              <w:jc w:val="center"/>
              <w:rPr>
                <w:sz w:val="16"/>
                <w:szCs w:val="16"/>
              </w:rPr>
            </w:pPr>
            <w:r w:rsidRPr="00CD156A">
              <w:rPr>
                <w:sz w:val="16"/>
                <w:szCs w:val="16"/>
              </w:rPr>
              <w:t>Q1 2024</w:t>
            </w:r>
          </w:p>
        </w:tc>
        <w:tc>
          <w:tcPr>
            <w:tcW w:w="764" w:type="dxa"/>
            <w:tcBorders>
              <w:top w:val="single" w:sz="4" w:space="0" w:color="auto"/>
              <w:left w:val="single" w:sz="4" w:space="0" w:color="auto"/>
              <w:bottom w:val="single" w:sz="4" w:space="0" w:color="auto"/>
              <w:right w:val="single" w:sz="4" w:space="0" w:color="auto"/>
            </w:tcBorders>
            <w:vAlign w:val="center"/>
          </w:tcPr>
          <w:p w14:paraId="7E9DE8B3" w14:textId="2A1C8F8A" w:rsidR="00A143BC" w:rsidRPr="00CD156A" w:rsidRDefault="00CD156A" w:rsidP="002B7FF8">
            <w:pPr>
              <w:jc w:val="center"/>
              <w:rPr>
                <w:sz w:val="16"/>
                <w:szCs w:val="16"/>
              </w:rPr>
            </w:pPr>
            <w:r w:rsidRPr="00CD156A">
              <w:rPr>
                <w:sz w:val="16"/>
                <w:szCs w:val="16"/>
              </w:rPr>
              <w:t>Q2 2026</w:t>
            </w:r>
          </w:p>
        </w:tc>
        <w:tc>
          <w:tcPr>
            <w:tcW w:w="1722" w:type="dxa"/>
            <w:vMerge/>
            <w:tcBorders>
              <w:left w:val="single" w:sz="4" w:space="0" w:color="auto"/>
              <w:right w:val="single" w:sz="4" w:space="0" w:color="auto"/>
            </w:tcBorders>
            <w:vAlign w:val="center"/>
          </w:tcPr>
          <w:p w14:paraId="0AF5104B" w14:textId="77777777" w:rsidR="00A143BC" w:rsidRPr="001F151E" w:rsidRDefault="00A143BC" w:rsidP="002B7FF8">
            <w:pPr>
              <w:spacing w:line="240" w:lineRule="auto"/>
              <w:rPr>
                <w:sz w:val="16"/>
                <w:szCs w:val="16"/>
              </w:rPr>
            </w:pPr>
          </w:p>
        </w:tc>
      </w:tr>
      <w:tr w:rsidR="00A263BE" w:rsidRPr="001F151E" w14:paraId="6A67FD16" w14:textId="77777777" w:rsidTr="00A263BE">
        <w:trPr>
          <w:trHeight w:val="24"/>
        </w:trPr>
        <w:tc>
          <w:tcPr>
            <w:tcW w:w="1838" w:type="dxa"/>
            <w:vMerge w:val="restart"/>
            <w:tcBorders>
              <w:left w:val="single" w:sz="4" w:space="0" w:color="auto"/>
              <w:right w:val="single" w:sz="4" w:space="0" w:color="auto"/>
            </w:tcBorders>
            <w:vAlign w:val="center"/>
          </w:tcPr>
          <w:p w14:paraId="6D540F1C" w14:textId="3E6DB60A" w:rsidR="00A263BE" w:rsidRPr="001F151E" w:rsidRDefault="00A263BE" w:rsidP="00A263BE">
            <w:pPr>
              <w:pStyle w:val="EcorysBody"/>
              <w:rPr>
                <w:rFonts w:ascii="Arial" w:hAnsi="Arial" w:cs="Arial"/>
                <w:b/>
                <w:bCs/>
                <w:sz w:val="16"/>
                <w:szCs w:val="16"/>
              </w:rPr>
            </w:pPr>
            <w:r w:rsidRPr="001F151E">
              <w:rPr>
                <w:rFonts w:ascii="Arial" w:hAnsi="Arial" w:cs="Arial"/>
                <w:b/>
                <w:bCs/>
                <w:sz w:val="16"/>
                <w:szCs w:val="16"/>
              </w:rPr>
              <w:t>Measure 2.</w:t>
            </w:r>
            <w:r w:rsidR="00AD58D4">
              <w:rPr>
                <w:rFonts w:ascii="Arial" w:hAnsi="Arial" w:cs="Arial"/>
                <w:b/>
                <w:bCs/>
                <w:sz w:val="16"/>
                <w:szCs w:val="16"/>
              </w:rPr>
              <w:t>1</w:t>
            </w:r>
            <w:r w:rsidRPr="001F151E">
              <w:rPr>
                <w:rFonts w:ascii="Arial" w:hAnsi="Arial" w:cs="Arial"/>
                <w:b/>
                <w:bCs/>
                <w:sz w:val="16"/>
                <w:szCs w:val="16"/>
              </w:rPr>
              <w:t xml:space="preserve">.2 </w:t>
            </w:r>
          </w:p>
          <w:p w14:paraId="724ED03C" w14:textId="2AC1F155" w:rsidR="00A263BE" w:rsidRPr="001F151E" w:rsidRDefault="00A263BE" w:rsidP="00A263BE">
            <w:pPr>
              <w:pStyle w:val="EcorysBody"/>
              <w:rPr>
                <w:sz w:val="16"/>
                <w:szCs w:val="16"/>
              </w:rPr>
            </w:pPr>
            <w:r w:rsidRPr="001F151E">
              <w:rPr>
                <w:rFonts w:ascii="Arial" w:hAnsi="Arial" w:cs="Arial"/>
                <w:b/>
                <w:bCs/>
                <w:sz w:val="16"/>
                <w:szCs w:val="16"/>
              </w:rPr>
              <w:t>Expand the mid-term review and ex-post evaluation of strategies and action plans</w:t>
            </w:r>
          </w:p>
        </w:tc>
        <w:tc>
          <w:tcPr>
            <w:tcW w:w="3923" w:type="dxa"/>
            <w:tcBorders>
              <w:top w:val="single" w:sz="4" w:space="0" w:color="auto"/>
              <w:left w:val="single" w:sz="4" w:space="0" w:color="auto"/>
              <w:bottom w:val="single" w:sz="4" w:space="0" w:color="auto"/>
              <w:right w:val="single" w:sz="4" w:space="0" w:color="auto"/>
            </w:tcBorders>
            <w:vAlign w:val="center"/>
          </w:tcPr>
          <w:p w14:paraId="54976F94" w14:textId="146EDCF4" w:rsidR="00A263BE" w:rsidRPr="001F151E" w:rsidRDefault="00A263BE" w:rsidP="00B45892">
            <w:pPr>
              <w:pStyle w:val="ListParagraph"/>
              <w:numPr>
                <w:ilvl w:val="0"/>
                <w:numId w:val="41"/>
              </w:numPr>
              <w:rPr>
                <w:sz w:val="16"/>
                <w:szCs w:val="16"/>
              </w:rPr>
            </w:pPr>
            <w:r w:rsidRPr="001F151E">
              <w:rPr>
                <w:sz w:val="16"/>
                <w:szCs w:val="16"/>
              </w:rPr>
              <w:t>Develop/update methodology/guideline for mid-term reviews and ex-post evaluations</w:t>
            </w:r>
            <w:r w:rsidR="00DC021D" w:rsidRPr="001F151E">
              <w:rPr>
                <w:sz w:val="16"/>
                <w:szCs w:val="16"/>
              </w:rPr>
              <w:t>.</w:t>
            </w:r>
          </w:p>
        </w:tc>
        <w:tc>
          <w:tcPr>
            <w:tcW w:w="769" w:type="dxa"/>
            <w:tcBorders>
              <w:top w:val="single" w:sz="4" w:space="0" w:color="auto"/>
              <w:left w:val="single" w:sz="4" w:space="0" w:color="auto"/>
              <w:bottom w:val="single" w:sz="4" w:space="0" w:color="auto"/>
              <w:right w:val="single" w:sz="4" w:space="0" w:color="auto"/>
            </w:tcBorders>
            <w:vAlign w:val="center"/>
          </w:tcPr>
          <w:p w14:paraId="50A05C41" w14:textId="7CE4E9F8" w:rsidR="00A263BE" w:rsidRPr="001F151E" w:rsidRDefault="00A263BE" w:rsidP="002B7FF8">
            <w:pPr>
              <w:jc w:val="center"/>
              <w:rPr>
                <w:sz w:val="16"/>
                <w:szCs w:val="16"/>
              </w:rPr>
            </w:pPr>
            <w:r w:rsidRPr="001F151E">
              <w:rPr>
                <w:sz w:val="16"/>
                <w:szCs w:val="16"/>
              </w:rPr>
              <w:t>Q1 2024</w:t>
            </w:r>
          </w:p>
        </w:tc>
        <w:tc>
          <w:tcPr>
            <w:tcW w:w="764" w:type="dxa"/>
            <w:tcBorders>
              <w:top w:val="single" w:sz="4" w:space="0" w:color="auto"/>
              <w:left w:val="single" w:sz="4" w:space="0" w:color="auto"/>
              <w:bottom w:val="single" w:sz="4" w:space="0" w:color="auto"/>
              <w:right w:val="single" w:sz="4" w:space="0" w:color="auto"/>
            </w:tcBorders>
            <w:vAlign w:val="center"/>
          </w:tcPr>
          <w:p w14:paraId="32FFFB23" w14:textId="642B342F" w:rsidR="00A263BE" w:rsidRPr="001F151E" w:rsidRDefault="00A263BE" w:rsidP="002B7FF8">
            <w:pPr>
              <w:jc w:val="center"/>
              <w:rPr>
                <w:sz w:val="16"/>
                <w:szCs w:val="16"/>
              </w:rPr>
            </w:pPr>
            <w:r w:rsidRPr="001F151E">
              <w:rPr>
                <w:sz w:val="16"/>
                <w:szCs w:val="16"/>
              </w:rPr>
              <w:t>Q4 2026</w:t>
            </w:r>
          </w:p>
        </w:tc>
        <w:tc>
          <w:tcPr>
            <w:tcW w:w="1722" w:type="dxa"/>
            <w:vMerge w:val="restart"/>
            <w:tcBorders>
              <w:left w:val="single" w:sz="4" w:space="0" w:color="auto"/>
              <w:right w:val="single" w:sz="4" w:space="0" w:color="auto"/>
            </w:tcBorders>
            <w:vAlign w:val="center"/>
          </w:tcPr>
          <w:p w14:paraId="3A594E9D" w14:textId="77777777" w:rsidR="00A263BE" w:rsidRPr="001F151E" w:rsidRDefault="00A263BE" w:rsidP="00A263BE">
            <w:pPr>
              <w:rPr>
                <w:b/>
                <w:bCs/>
                <w:sz w:val="16"/>
                <w:szCs w:val="16"/>
              </w:rPr>
            </w:pPr>
            <w:r w:rsidRPr="001F151E">
              <w:rPr>
                <w:b/>
                <w:bCs/>
                <w:sz w:val="16"/>
                <w:szCs w:val="16"/>
              </w:rPr>
              <w:t>Responsible entity:</w:t>
            </w:r>
          </w:p>
          <w:p w14:paraId="0F299E60" w14:textId="004A7F7F" w:rsidR="00A263BE" w:rsidRPr="001F151E" w:rsidRDefault="00A263BE" w:rsidP="00A263BE">
            <w:pPr>
              <w:pStyle w:val="EcorysBody"/>
              <w:rPr>
                <w:rFonts w:ascii="Arial" w:hAnsi="Arial" w:cs="Arial"/>
                <w:sz w:val="16"/>
                <w:szCs w:val="16"/>
              </w:rPr>
            </w:pPr>
            <w:r w:rsidRPr="001F151E">
              <w:rPr>
                <w:rFonts w:ascii="Arial" w:hAnsi="Arial" w:cs="Arial"/>
                <w:sz w:val="16"/>
                <w:szCs w:val="16"/>
              </w:rPr>
              <w:t>SASPAC (lead), MoF.</w:t>
            </w:r>
          </w:p>
          <w:p w14:paraId="4AAD8B56" w14:textId="77777777" w:rsidR="00A263BE" w:rsidRPr="001F151E" w:rsidRDefault="00A263BE" w:rsidP="00A263BE">
            <w:pPr>
              <w:pStyle w:val="EcorysBody"/>
              <w:rPr>
                <w:rFonts w:ascii="Arial" w:hAnsi="Arial" w:cs="Arial"/>
                <w:b/>
                <w:bCs/>
                <w:sz w:val="16"/>
                <w:szCs w:val="16"/>
              </w:rPr>
            </w:pPr>
          </w:p>
          <w:p w14:paraId="7EC74080" w14:textId="77777777" w:rsidR="00A263BE" w:rsidRPr="001F151E" w:rsidRDefault="00A263BE" w:rsidP="00A263BE">
            <w:pPr>
              <w:pStyle w:val="EcorysBody"/>
              <w:rPr>
                <w:rFonts w:ascii="Arial" w:hAnsi="Arial" w:cs="Arial"/>
                <w:b/>
                <w:bCs/>
                <w:sz w:val="16"/>
                <w:szCs w:val="16"/>
              </w:rPr>
            </w:pPr>
            <w:r w:rsidRPr="001F151E">
              <w:rPr>
                <w:rFonts w:ascii="Arial" w:hAnsi="Arial" w:cs="Arial"/>
                <w:b/>
                <w:bCs/>
                <w:sz w:val="16"/>
                <w:szCs w:val="16"/>
              </w:rPr>
              <w:t>Partners:</w:t>
            </w:r>
          </w:p>
          <w:p w14:paraId="2152392B" w14:textId="75B10A07" w:rsidR="00A263BE" w:rsidRPr="001F151E" w:rsidRDefault="00A263BE" w:rsidP="00A263BE">
            <w:pPr>
              <w:pStyle w:val="EcorysBody"/>
              <w:rPr>
                <w:rFonts w:ascii="Arial" w:hAnsi="Arial" w:cs="Arial"/>
                <w:sz w:val="16"/>
                <w:szCs w:val="16"/>
              </w:rPr>
            </w:pPr>
          </w:p>
        </w:tc>
      </w:tr>
      <w:tr w:rsidR="00B86D28" w:rsidRPr="001F151E" w14:paraId="1A628CC8" w14:textId="77777777" w:rsidTr="00A263BE">
        <w:trPr>
          <w:trHeight w:val="408"/>
        </w:trPr>
        <w:tc>
          <w:tcPr>
            <w:tcW w:w="1838" w:type="dxa"/>
            <w:vMerge/>
            <w:tcBorders>
              <w:left w:val="single" w:sz="4" w:space="0" w:color="auto"/>
              <w:right w:val="single" w:sz="4" w:space="0" w:color="auto"/>
            </w:tcBorders>
            <w:vAlign w:val="center"/>
          </w:tcPr>
          <w:p w14:paraId="3395E3B0" w14:textId="77777777" w:rsidR="00B86D28" w:rsidRPr="001F151E" w:rsidRDefault="00B86D28" w:rsidP="00B86D28">
            <w:pPr>
              <w:spacing w:line="240" w:lineRule="auto"/>
              <w:rPr>
                <w:sz w:val="16"/>
                <w:szCs w:val="16"/>
              </w:rPr>
            </w:pPr>
          </w:p>
        </w:tc>
        <w:tc>
          <w:tcPr>
            <w:tcW w:w="3923" w:type="dxa"/>
            <w:tcBorders>
              <w:top w:val="single" w:sz="4" w:space="0" w:color="auto"/>
              <w:left w:val="single" w:sz="4" w:space="0" w:color="auto"/>
              <w:right w:val="single" w:sz="4" w:space="0" w:color="auto"/>
            </w:tcBorders>
            <w:vAlign w:val="center"/>
          </w:tcPr>
          <w:p w14:paraId="184CA145" w14:textId="7A185BC4" w:rsidR="00B86D28" w:rsidRPr="001F151E" w:rsidRDefault="00B86D28" w:rsidP="00B45892">
            <w:pPr>
              <w:pStyle w:val="ListParagraph"/>
              <w:numPr>
                <w:ilvl w:val="0"/>
                <w:numId w:val="41"/>
              </w:numPr>
              <w:rPr>
                <w:sz w:val="16"/>
                <w:szCs w:val="16"/>
              </w:rPr>
            </w:pPr>
            <w:r w:rsidRPr="001F151E">
              <w:rPr>
                <w:sz w:val="16"/>
                <w:szCs w:val="16"/>
              </w:rPr>
              <w:t>Develop and implement capacity development of evaluation teams.</w:t>
            </w:r>
          </w:p>
        </w:tc>
        <w:tc>
          <w:tcPr>
            <w:tcW w:w="769" w:type="dxa"/>
            <w:tcBorders>
              <w:top w:val="single" w:sz="4" w:space="0" w:color="auto"/>
              <w:left w:val="single" w:sz="4" w:space="0" w:color="auto"/>
              <w:right w:val="single" w:sz="4" w:space="0" w:color="auto"/>
            </w:tcBorders>
            <w:vAlign w:val="center"/>
          </w:tcPr>
          <w:p w14:paraId="4ED38EBC" w14:textId="643ECD43" w:rsidR="00B86D28" w:rsidRPr="001F151E" w:rsidRDefault="00B86D28" w:rsidP="00B86D28">
            <w:pPr>
              <w:jc w:val="center"/>
              <w:rPr>
                <w:sz w:val="16"/>
                <w:szCs w:val="16"/>
              </w:rPr>
            </w:pPr>
            <w:r w:rsidRPr="001F151E">
              <w:rPr>
                <w:sz w:val="16"/>
                <w:szCs w:val="16"/>
              </w:rPr>
              <w:t>Q1 2026</w:t>
            </w:r>
          </w:p>
        </w:tc>
        <w:tc>
          <w:tcPr>
            <w:tcW w:w="764" w:type="dxa"/>
            <w:tcBorders>
              <w:top w:val="single" w:sz="4" w:space="0" w:color="auto"/>
              <w:left w:val="single" w:sz="4" w:space="0" w:color="auto"/>
              <w:right w:val="single" w:sz="4" w:space="0" w:color="auto"/>
            </w:tcBorders>
            <w:vAlign w:val="center"/>
          </w:tcPr>
          <w:p w14:paraId="2517A4C1" w14:textId="58558078" w:rsidR="00B86D28" w:rsidRPr="001F151E" w:rsidRDefault="00B86D28" w:rsidP="00B86D28">
            <w:pPr>
              <w:jc w:val="center"/>
              <w:rPr>
                <w:sz w:val="16"/>
                <w:szCs w:val="16"/>
              </w:rPr>
            </w:pPr>
            <w:r w:rsidRPr="001F151E">
              <w:rPr>
                <w:sz w:val="16"/>
                <w:szCs w:val="16"/>
              </w:rPr>
              <w:t>Q4 2026</w:t>
            </w:r>
          </w:p>
        </w:tc>
        <w:tc>
          <w:tcPr>
            <w:tcW w:w="1722" w:type="dxa"/>
            <w:vMerge/>
            <w:tcBorders>
              <w:left w:val="single" w:sz="4" w:space="0" w:color="auto"/>
              <w:right w:val="single" w:sz="4" w:space="0" w:color="auto"/>
            </w:tcBorders>
            <w:vAlign w:val="center"/>
          </w:tcPr>
          <w:p w14:paraId="17184D84" w14:textId="77777777" w:rsidR="00B86D28" w:rsidRPr="001F151E" w:rsidRDefault="00B86D28" w:rsidP="00B86D28">
            <w:pPr>
              <w:spacing w:line="240" w:lineRule="auto"/>
              <w:rPr>
                <w:sz w:val="16"/>
                <w:szCs w:val="16"/>
              </w:rPr>
            </w:pPr>
          </w:p>
        </w:tc>
      </w:tr>
      <w:tr w:rsidR="00B86D28" w:rsidRPr="001F151E" w14:paraId="61C22834" w14:textId="77777777" w:rsidTr="00A263BE">
        <w:trPr>
          <w:trHeight w:val="408"/>
        </w:trPr>
        <w:tc>
          <w:tcPr>
            <w:tcW w:w="1838" w:type="dxa"/>
            <w:vMerge/>
            <w:tcBorders>
              <w:left w:val="single" w:sz="4" w:space="0" w:color="auto"/>
              <w:right w:val="single" w:sz="4" w:space="0" w:color="auto"/>
            </w:tcBorders>
            <w:vAlign w:val="center"/>
          </w:tcPr>
          <w:p w14:paraId="214C7695" w14:textId="77777777" w:rsidR="00B86D28" w:rsidRPr="001F151E" w:rsidRDefault="00B86D28" w:rsidP="00B86D28">
            <w:pPr>
              <w:spacing w:line="240" w:lineRule="auto"/>
              <w:rPr>
                <w:sz w:val="16"/>
                <w:szCs w:val="16"/>
              </w:rPr>
            </w:pPr>
          </w:p>
        </w:tc>
        <w:tc>
          <w:tcPr>
            <w:tcW w:w="3923" w:type="dxa"/>
            <w:tcBorders>
              <w:top w:val="single" w:sz="4" w:space="0" w:color="auto"/>
              <w:left w:val="single" w:sz="4" w:space="0" w:color="auto"/>
              <w:right w:val="single" w:sz="4" w:space="0" w:color="auto"/>
            </w:tcBorders>
            <w:vAlign w:val="center"/>
          </w:tcPr>
          <w:p w14:paraId="0D6DF5A5" w14:textId="69F33D0A" w:rsidR="00B86D28" w:rsidRPr="001F151E" w:rsidRDefault="00B86D28" w:rsidP="00B45892">
            <w:pPr>
              <w:pStyle w:val="ListParagraph"/>
              <w:numPr>
                <w:ilvl w:val="0"/>
                <w:numId w:val="41"/>
              </w:numPr>
              <w:rPr>
                <w:sz w:val="16"/>
                <w:szCs w:val="16"/>
              </w:rPr>
            </w:pPr>
            <w:r w:rsidRPr="001F151E">
              <w:rPr>
                <w:sz w:val="16"/>
                <w:szCs w:val="16"/>
              </w:rPr>
              <w:t xml:space="preserve">Gradually start implementing/expanding mid-term reviews and ex-post evaluations through pilots  </w:t>
            </w:r>
          </w:p>
        </w:tc>
        <w:tc>
          <w:tcPr>
            <w:tcW w:w="769" w:type="dxa"/>
            <w:tcBorders>
              <w:top w:val="single" w:sz="4" w:space="0" w:color="auto"/>
              <w:left w:val="single" w:sz="4" w:space="0" w:color="auto"/>
              <w:right w:val="single" w:sz="4" w:space="0" w:color="auto"/>
            </w:tcBorders>
            <w:vAlign w:val="center"/>
          </w:tcPr>
          <w:p w14:paraId="4E75614E" w14:textId="4C096CD6" w:rsidR="00B86D28" w:rsidRPr="001F151E" w:rsidRDefault="00B86D28" w:rsidP="00B86D28">
            <w:pPr>
              <w:jc w:val="center"/>
              <w:rPr>
                <w:sz w:val="16"/>
                <w:szCs w:val="16"/>
              </w:rPr>
            </w:pPr>
            <w:r w:rsidRPr="001F151E">
              <w:rPr>
                <w:sz w:val="16"/>
                <w:szCs w:val="16"/>
              </w:rPr>
              <w:t>Q1 2026</w:t>
            </w:r>
          </w:p>
        </w:tc>
        <w:tc>
          <w:tcPr>
            <w:tcW w:w="764" w:type="dxa"/>
            <w:tcBorders>
              <w:top w:val="single" w:sz="4" w:space="0" w:color="auto"/>
              <w:left w:val="single" w:sz="4" w:space="0" w:color="auto"/>
              <w:right w:val="single" w:sz="4" w:space="0" w:color="auto"/>
            </w:tcBorders>
            <w:vAlign w:val="center"/>
          </w:tcPr>
          <w:p w14:paraId="0822C72E" w14:textId="06C35C00" w:rsidR="00B86D28" w:rsidRPr="001F151E" w:rsidRDefault="00B86D28" w:rsidP="00B86D28">
            <w:pPr>
              <w:jc w:val="center"/>
              <w:rPr>
                <w:sz w:val="16"/>
                <w:szCs w:val="16"/>
              </w:rPr>
            </w:pPr>
            <w:r w:rsidRPr="001F151E">
              <w:rPr>
                <w:sz w:val="16"/>
                <w:szCs w:val="16"/>
              </w:rPr>
              <w:t>Q4 2026</w:t>
            </w:r>
          </w:p>
        </w:tc>
        <w:tc>
          <w:tcPr>
            <w:tcW w:w="1722" w:type="dxa"/>
            <w:vMerge/>
            <w:tcBorders>
              <w:left w:val="single" w:sz="4" w:space="0" w:color="auto"/>
              <w:right w:val="single" w:sz="4" w:space="0" w:color="auto"/>
            </w:tcBorders>
            <w:vAlign w:val="center"/>
          </w:tcPr>
          <w:p w14:paraId="393FDB05" w14:textId="77777777" w:rsidR="00B86D28" w:rsidRPr="001F151E" w:rsidRDefault="00B86D28" w:rsidP="00B86D28">
            <w:pPr>
              <w:spacing w:line="240" w:lineRule="auto"/>
              <w:rPr>
                <w:sz w:val="16"/>
                <w:szCs w:val="16"/>
              </w:rPr>
            </w:pPr>
          </w:p>
        </w:tc>
      </w:tr>
    </w:tbl>
    <w:p w14:paraId="6F9EF5AE" w14:textId="77777777" w:rsidR="00160474" w:rsidRPr="001F151E" w:rsidRDefault="00160474" w:rsidP="00160474">
      <w:pPr>
        <w:pStyle w:val="H5"/>
        <w:rPr>
          <w:lang w:val="en-GB"/>
        </w:rPr>
      </w:pPr>
    </w:p>
    <w:p w14:paraId="4043F8EA" w14:textId="77777777" w:rsidR="00160474" w:rsidRPr="001F151E" w:rsidRDefault="00160474" w:rsidP="00160474">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160474" w:rsidRPr="001F151E" w14:paraId="2DCADED1" w14:textId="77777777" w:rsidTr="002B7FF8">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107A5" w14:textId="77777777" w:rsidR="00160474" w:rsidRPr="001F151E" w:rsidRDefault="00160474" w:rsidP="002B7FF8">
            <w:pPr>
              <w:pStyle w:val="T-bold"/>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7F083A" w14:textId="2D9091D8" w:rsidR="00160474" w:rsidRPr="001F151E" w:rsidRDefault="00160474">
            <w:pPr>
              <w:pStyle w:val="T-bold"/>
              <w:jc w:val="center"/>
            </w:pPr>
            <w:r w:rsidRPr="001F151E">
              <w:t>Baseline value (</w:t>
            </w:r>
            <w:r w:rsidR="00C8741D">
              <w:t>2022</w:t>
            </w:r>
            <w:r w:rsidRPr="001F151E">
              <w:t>)</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B7741" w14:textId="77777777" w:rsidR="00160474" w:rsidRPr="001F151E" w:rsidRDefault="00160474" w:rsidP="002B7FF8">
            <w:pPr>
              <w:pStyle w:val="T-bold"/>
              <w:jc w:val="center"/>
            </w:pPr>
            <w:r w:rsidRPr="001F151E">
              <w:t>Target Value</w:t>
            </w:r>
          </w:p>
        </w:tc>
      </w:tr>
      <w:tr w:rsidR="00160474" w:rsidRPr="001F151E" w14:paraId="619FB13B" w14:textId="77777777" w:rsidTr="002B7FF8">
        <w:tc>
          <w:tcPr>
            <w:tcW w:w="3114" w:type="dxa"/>
            <w:vMerge/>
            <w:tcBorders>
              <w:top w:val="single" w:sz="4" w:space="0" w:color="auto"/>
              <w:left w:val="single" w:sz="4" w:space="0" w:color="auto"/>
              <w:bottom w:val="single" w:sz="4" w:space="0" w:color="auto"/>
              <w:right w:val="single" w:sz="4" w:space="0" w:color="auto"/>
            </w:tcBorders>
            <w:vAlign w:val="center"/>
            <w:hideMark/>
          </w:tcPr>
          <w:p w14:paraId="5AD2C879" w14:textId="77777777" w:rsidR="00160474" w:rsidRPr="001F151E" w:rsidRDefault="00160474" w:rsidP="002B7FF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361ADE9" w14:textId="77777777" w:rsidR="00160474" w:rsidRPr="001F151E" w:rsidRDefault="00160474" w:rsidP="002B7FF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9A953" w14:textId="77777777" w:rsidR="00160474" w:rsidRPr="001F151E" w:rsidRDefault="00160474" w:rsidP="002B7FF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19B49" w14:textId="77777777" w:rsidR="00160474" w:rsidRPr="001F151E" w:rsidRDefault="00160474" w:rsidP="002B7FF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F19F5" w14:textId="77777777" w:rsidR="00160474" w:rsidRPr="001F151E" w:rsidRDefault="00160474" w:rsidP="002B7FF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3AF10" w14:textId="77777777" w:rsidR="00160474" w:rsidRPr="001F151E" w:rsidRDefault="00160474" w:rsidP="002B7FF8">
            <w:pPr>
              <w:pStyle w:val="T-bold"/>
              <w:jc w:val="center"/>
            </w:pPr>
            <w:r w:rsidRPr="001F151E">
              <w:t>2026</w:t>
            </w:r>
          </w:p>
        </w:tc>
      </w:tr>
      <w:tr w:rsidR="00160474" w:rsidRPr="001F151E" w14:paraId="3081CD9F" w14:textId="77777777" w:rsidTr="002B7FF8">
        <w:tc>
          <w:tcPr>
            <w:tcW w:w="3114" w:type="dxa"/>
            <w:tcBorders>
              <w:top w:val="single" w:sz="4" w:space="0" w:color="auto"/>
              <w:left w:val="single" w:sz="4" w:space="0" w:color="auto"/>
              <w:bottom w:val="single" w:sz="4" w:space="0" w:color="auto"/>
              <w:right w:val="single" w:sz="4" w:space="0" w:color="auto"/>
            </w:tcBorders>
          </w:tcPr>
          <w:p w14:paraId="465F1C05" w14:textId="13744649" w:rsidR="00160474" w:rsidRPr="001F151E" w:rsidRDefault="00DC021D" w:rsidP="00B45892">
            <w:pPr>
              <w:pStyle w:val="ListParagraph"/>
              <w:numPr>
                <w:ilvl w:val="0"/>
                <w:numId w:val="82"/>
              </w:numPr>
              <w:rPr>
                <w:sz w:val="16"/>
                <w:szCs w:val="16"/>
              </w:rPr>
            </w:pPr>
            <w:r w:rsidRPr="001F151E">
              <w:rPr>
                <w:sz w:val="16"/>
                <w:szCs w:val="16"/>
              </w:rPr>
              <w:t>Percentage of strategies and action plans developed in accordance with IPS guidelines</w:t>
            </w:r>
          </w:p>
        </w:tc>
        <w:tc>
          <w:tcPr>
            <w:tcW w:w="1180" w:type="dxa"/>
            <w:tcBorders>
              <w:top w:val="single" w:sz="4" w:space="0" w:color="auto"/>
              <w:left w:val="single" w:sz="4" w:space="0" w:color="auto"/>
              <w:bottom w:val="single" w:sz="4" w:space="0" w:color="auto"/>
              <w:right w:val="single" w:sz="4" w:space="0" w:color="auto"/>
            </w:tcBorders>
            <w:vAlign w:val="center"/>
          </w:tcPr>
          <w:p w14:paraId="4F90166D" w14:textId="60E37F30" w:rsidR="00E5063A" w:rsidRPr="002E6AB5" w:rsidRDefault="00C8741D" w:rsidP="002B7FF8">
            <w:pPr>
              <w:pStyle w:val="EcorysBody"/>
              <w:jc w:val="center"/>
              <w:rPr>
                <w:rFonts w:ascii="Arial" w:hAnsi="Arial" w:cs="Arial"/>
                <w:sz w:val="16"/>
                <w:szCs w:val="16"/>
              </w:rPr>
            </w:pPr>
            <w:r w:rsidRPr="002E6AB5">
              <w:rPr>
                <w:rFonts w:ascii="Arial" w:hAnsi="Arial" w:cs="Arial"/>
                <w:sz w:val="16"/>
                <w:szCs w:val="16"/>
              </w:rPr>
              <w:t>65%</w:t>
            </w:r>
          </w:p>
        </w:tc>
        <w:tc>
          <w:tcPr>
            <w:tcW w:w="1181" w:type="dxa"/>
            <w:tcBorders>
              <w:top w:val="single" w:sz="4" w:space="0" w:color="auto"/>
              <w:left w:val="single" w:sz="4" w:space="0" w:color="auto"/>
              <w:bottom w:val="single" w:sz="4" w:space="0" w:color="auto"/>
              <w:right w:val="single" w:sz="4" w:space="0" w:color="auto"/>
            </w:tcBorders>
            <w:vAlign w:val="center"/>
          </w:tcPr>
          <w:p w14:paraId="65B94377" w14:textId="12934DD3"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70%</w:t>
            </w:r>
          </w:p>
        </w:tc>
        <w:tc>
          <w:tcPr>
            <w:tcW w:w="1180" w:type="dxa"/>
            <w:tcBorders>
              <w:top w:val="single" w:sz="4" w:space="0" w:color="auto"/>
              <w:left w:val="single" w:sz="4" w:space="0" w:color="auto"/>
              <w:bottom w:val="single" w:sz="4" w:space="0" w:color="auto"/>
              <w:right w:val="single" w:sz="4" w:space="0" w:color="auto"/>
            </w:tcBorders>
            <w:vAlign w:val="center"/>
          </w:tcPr>
          <w:p w14:paraId="0F5E0D57" w14:textId="381D5505"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75%</w:t>
            </w:r>
          </w:p>
        </w:tc>
        <w:tc>
          <w:tcPr>
            <w:tcW w:w="1181" w:type="dxa"/>
            <w:tcBorders>
              <w:top w:val="single" w:sz="4" w:space="0" w:color="auto"/>
              <w:left w:val="single" w:sz="4" w:space="0" w:color="auto"/>
              <w:bottom w:val="single" w:sz="4" w:space="0" w:color="auto"/>
              <w:right w:val="single" w:sz="4" w:space="0" w:color="auto"/>
            </w:tcBorders>
            <w:vAlign w:val="center"/>
          </w:tcPr>
          <w:p w14:paraId="263285AB" w14:textId="58537197"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85%</w:t>
            </w:r>
          </w:p>
        </w:tc>
        <w:tc>
          <w:tcPr>
            <w:tcW w:w="1181" w:type="dxa"/>
            <w:tcBorders>
              <w:top w:val="single" w:sz="4" w:space="0" w:color="auto"/>
              <w:left w:val="single" w:sz="4" w:space="0" w:color="auto"/>
              <w:bottom w:val="single" w:sz="4" w:space="0" w:color="auto"/>
              <w:right w:val="single" w:sz="4" w:space="0" w:color="auto"/>
            </w:tcBorders>
            <w:vAlign w:val="center"/>
          </w:tcPr>
          <w:p w14:paraId="7B3EBA66" w14:textId="1439805B"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90%</w:t>
            </w:r>
          </w:p>
        </w:tc>
      </w:tr>
      <w:tr w:rsidR="00160474" w:rsidRPr="001F151E" w14:paraId="1FF4F06A" w14:textId="77777777" w:rsidTr="00160474">
        <w:tc>
          <w:tcPr>
            <w:tcW w:w="3114" w:type="dxa"/>
            <w:tcBorders>
              <w:top w:val="single" w:sz="4" w:space="0" w:color="auto"/>
              <w:left w:val="single" w:sz="4" w:space="0" w:color="auto"/>
              <w:bottom w:val="single" w:sz="4" w:space="0" w:color="auto"/>
              <w:right w:val="single" w:sz="4" w:space="0" w:color="auto"/>
            </w:tcBorders>
          </w:tcPr>
          <w:p w14:paraId="7EBA1C42" w14:textId="666F16D6" w:rsidR="00160474" w:rsidRPr="001F151E" w:rsidRDefault="00DC021D" w:rsidP="00B45892">
            <w:pPr>
              <w:pStyle w:val="ListParagraph"/>
              <w:numPr>
                <w:ilvl w:val="0"/>
                <w:numId w:val="82"/>
              </w:numPr>
              <w:rPr>
                <w:sz w:val="16"/>
                <w:szCs w:val="16"/>
              </w:rPr>
            </w:pPr>
            <w:r w:rsidRPr="001F151E">
              <w:rPr>
                <w:sz w:val="16"/>
                <w:szCs w:val="16"/>
              </w:rPr>
              <w:t>Percentage of strategies and action plans monitored through the IPSIS</w:t>
            </w:r>
          </w:p>
        </w:tc>
        <w:tc>
          <w:tcPr>
            <w:tcW w:w="1180" w:type="dxa"/>
            <w:tcBorders>
              <w:top w:val="single" w:sz="4" w:space="0" w:color="auto"/>
              <w:left w:val="single" w:sz="4" w:space="0" w:color="auto"/>
              <w:bottom w:val="single" w:sz="4" w:space="0" w:color="auto"/>
              <w:right w:val="single" w:sz="4" w:space="0" w:color="auto"/>
            </w:tcBorders>
            <w:vAlign w:val="center"/>
          </w:tcPr>
          <w:p w14:paraId="216D78E1" w14:textId="3107F859" w:rsidR="00160474" w:rsidRPr="002E6AB5" w:rsidRDefault="00C8741D" w:rsidP="00E5063A">
            <w:pPr>
              <w:pStyle w:val="EcorysBody"/>
              <w:jc w:val="center"/>
              <w:rPr>
                <w:rFonts w:ascii="Arial" w:hAnsi="Arial" w:cs="Arial"/>
                <w:sz w:val="16"/>
                <w:szCs w:val="16"/>
              </w:rPr>
            </w:pPr>
            <w:r w:rsidRPr="002E6AB5">
              <w:rPr>
                <w:rFonts w:ascii="Arial" w:hAnsi="Arial" w:cs="Arial"/>
                <w:sz w:val="16"/>
                <w:szCs w:val="16"/>
              </w:rPr>
              <w:t>NA</w:t>
            </w:r>
          </w:p>
        </w:tc>
        <w:tc>
          <w:tcPr>
            <w:tcW w:w="1181" w:type="dxa"/>
            <w:tcBorders>
              <w:top w:val="single" w:sz="4" w:space="0" w:color="auto"/>
              <w:left w:val="single" w:sz="4" w:space="0" w:color="auto"/>
              <w:bottom w:val="single" w:sz="4" w:space="0" w:color="auto"/>
              <w:right w:val="single" w:sz="4" w:space="0" w:color="auto"/>
            </w:tcBorders>
            <w:vAlign w:val="center"/>
          </w:tcPr>
          <w:p w14:paraId="7FC3109F" w14:textId="19CF3E48"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NA</w:t>
            </w:r>
          </w:p>
        </w:tc>
        <w:tc>
          <w:tcPr>
            <w:tcW w:w="1180" w:type="dxa"/>
            <w:tcBorders>
              <w:top w:val="single" w:sz="4" w:space="0" w:color="auto"/>
              <w:left w:val="single" w:sz="4" w:space="0" w:color="auto"/>
              <w:bottom w:val="single" w:sz="4" w:space="0" w:color="auto"/>
              <w:right w:val="single" w:sz="4" w:space="0" w:color="auto"/>
            </w:tcBorders>
            <w:vAlign w:val="center"/>
          </w:tcPr>
          <w:p w14:paraId="7961AF80" w14:textId="3E9522BA"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30%</w:t>
            </w:r>
          </w:p>
        </w:tc>
        <w:tc>
          <w:tcPr>
            <w:tcW w:w="1181" w:type="dxa"/>
            <w:tcBorders>
              <w:top w:val="single" w:sz="4" w:space="0" w:color="auto"/>
              <w:left w:val="single" w:sz="4" w:space="0" w:color="auto"/>
              <w:bottom w:val="single" w:sz="4" w:space="0" w:color="auto"/>
              <w:right w:val="single" w:sz="4" w:space="0" w:color="auto"/>
            </w:tcBorders>
            <w:vAlign w:val="center"/>
          </w:tcPr>
          <w:p w14:paraId="3396B890" w14:textId="7A6219DA"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40%</w:t>
            </w:r>
          </w:p>
        </w:tc>
        <w:tc>
          <w:tcPr>
            <w:tcW w:w="1181" w:type="dxa"/>
            <w:tcBorders>
              <w:top w:val="single" w:sz="4" w:space="0" w:color="auto"/>
              <w:left w:val="single" w:sz="4" w:space="0" w:color="auto"/>
              <w:bottom w:val="single" w:sz="4" w:space="0" w:color="auto"/>
              <w:right w:val="single" w:sz="4" w:space="0" w:color="auto"/>
            </w:tcBorders>
            <w:vAlign w:val="center"/>
          </w:tcPr>
          <w:p w14:paraId="383337EA" w14:textId="2086A9B2" w:rsidR="00160474" w:rsidRPr="002E6AB5" w:rsidRDefault="00C8741D" w:rsidP="002B7FF8">
            <w:pPr>
              <w:pStyle w:val="EcorysBody"/>
              <w:jc w:val="center"/>
              <w:rPr>
                <w:rFonts w:ascii="Arial" w:hAnsi="Arial" w:cs="Arial"/>
                <w:sz w:val="16"/>
                <w:szCs w:val="16"/>
              </w:rPr>
            </w:pPr>
            <w:r w:rsidRPr="002E6AB5">
              <w:rPr>
                <w:rFonts w:ascii="Arial" w:hAnsi="Arial" w:cs="Arial"/>
                <w:sz w:val="16"/>
                <w:szCs w:val="16"/>
              </w:rPr>
              <w:t>55%</w:t>
            </w:r>
          </w:p>
        </w:tc>
      </w:tr>
    </w:tbl>
    <w:p w14:paraId="7CB3B1C5" w14:textId="77777777" w:rsidR="00160474" w:rsidRPr="001F151E" w:rsidRDefault="00160474" w:rsidP="00160474">
      <w:pPr>
        <w:rPr>
          <w:lang w:val="en-GB"/>
        </w:rPr>
      </w:pPr>
    </w:p>
    <w:p w14:paraId="78DAD230" w14:textId="77777777" w:rsidR="002C447B" w:rsidRPr="001F151E" w:rsidRDefault="002C447B" w:rsidP="002C447B">
      <w:pPr>
        <w:rPr>
          <w:rStyle w:val="IntenseReference"/>
          <w:rFonts w:eastAsiaTheme="majorEastAsia" w:cstheme="majorBidi"/>
          <w:i w:val="0"/>
          <w:iCs/>
          <w:sz w:val="22"/>
          <w:szCs w:val="22"/>
          <w:lang w:val="en-GB"/>
        </w:rPr>
      </w:pPr>
    </w:p>
    <w:p w14:paraId="7020F160" w14:textId="77777777" w:rsidR="002C447B" w:rsidRPr="001F151E" w:rsidRDefault="002C447B" w:rsidP="00C96708">
      <w:pPr>
        <w:pStyle w:val="Heading2"/>
        <w:rPr>
          <w:rStyle w:val="IntenseReference"/>
          <w:rFonts w:eastAsiaTheme="majorEastAsia" w:cstheme="majorBidi"/>
          <w:i w:val="0"/>
          <w:iCs w:val="0"/>
          <w:sz w:val="22"/>
          <w:szCs w:val="22"/>
          <w:lang w:val="en-GB"/>
        </w:rPr>
      </w:pPr>
      <w:bookmarkStart w:id="26" w:name="_Toc163148016"/>
      <w:r w:rsidRPr="001F151E">
        <w:rPr>
          <w:rStyle w:val="IntenseReference"/>
          <w:rFonts w:eastAsiaTheme="majorEastAsia" w:cstheme="majorBidi"/>
          <w:i w:val="0"/>
          <w:sz w:val="22"/>
          <w:szCs w:val="22"/>
          <w:lang w:val="en-GB"/>
        </w:rPr>
        <w:t>Component 2.2 Medium Term Budget Planning</w:t>
      </w:r>
      <w:bookmarkEnd w:id="26"/>
    </w:p>
    <w:p w14:paraId="3AD8ED4E" w14:textId="77777777" w:rsidR="002C447B" w:rsidRPr="001F151E" w:rsidRDefault="002C447B" w:rsidP="002C447B">
      <w:pPr>
        <w:rPr>
          <w:rStyle w:val="IntenseReference"/>
          <w:rFonts w:eastAsiaTheme="majorEastAsia" w:cstheme="majorBidi"/>
          <w:i w:val="0"/>
          <w:iCs/>
          <w:sz w:val="22"/>
          <w:szCs w:val="22"/>
          <w:lang w:val="en-GB"/>
        </w:rPr>
      </w:pPr>
    </w:p>
    <w:p w14:paraId="5A8E532B" w14:textId="77777777" w:rsidR="00BE64A2" w:rsidRPr="001F151E" w:rsidRDefault="00BE64A2" w:rsidP="006F1382">
      <w:pPr>
        <w:pStyle w:val="H5"/>
        <w:jc w:val="both"/>
        <w:rPr>
          <w:lang w:val="en-GB"/>
        </w:rPr>
      </w:pPr>
      <w:r w:rsidRPr="001F151E">
        <w:rPr>
          <w:lang w:val="en-GB"/>
        </w:rPr>
        <w:t>Objective</w:t>
      </w:r>
    </w:p>
    <w:p w14:paraId="21198CD6" w14:textId="77777777" w:rsidR="00BE64A2" w:rsidRPr="001F151E" w:rsidRDefault="00BE64A2" w:rsidP="006F1382">
      <w:pPr>
        <w:jc w:val="both"/>
        <w:rPr>
          <w:lang w:val="en-GB"/>
        </w:rPr>
      </w:pPr>
      <w:r w:rsidRPr="001F151E">
        <w:rPr>
          <w:lang w:val="en-GB"/>
        </w:rPr>
        <w:t>The goal for 2030 is to have fully developed and institutionalised processes for developing a high-quality and credible MTBP (both pre-budget statement and annual budget law) serving the implementation of the government priorities and policies and the delivery of public services.</w:t>
      </w:r>
    </w:p>
    <w:p w14:paraId="6C3CBD04" w14:textId="77777777" w:rsidR="00BE64A2" w:rsidRPr="001F151E" w:rsidRDefault="00BE64A2" w:rsidP="006F1382">
      <w:pPr>
        <w:pStyle w:val="H5"/>
        <w:jc w:val="both"/>
        <w:rPr>
          <w:lang w:val="en-GB"/>
        </w:rPr>
      </w:pPr>
    </w:p>
    <w:p w14:paraId="712C2308" w14:textId="77777777" w:rsidR="00BE64A2" w:rsidRPr="001F151E" w:rsidRDefault="00BE64A2" w:rsidP="006F1382">
      <w:pPr>
        <w:pStyle w:val="H5"/>
        <w:jc w:val="both"/>
        <w:rPr>
          <w:lang w:val="en-GB"/>
        </w:rPr>
      </w:pPr>
      <w:r w:rsidRPr="001F151E">
        <w:rPr>
          <w:lang w:val="en-GB"/>
        </w:rPr>
        <w:t>Context</w:t>
      </w:r>
    </w:p>
    <w:p w14:paraId="4548EF5B" w14:textId="77777777" w:rsidR="00BE64A2" w:rsidRPr="001F151E" w:rsidRDefault="00BE64A2" w:rsidP="006F1382">
      <w:pPr>
        <w:jc w:val="both"/>
        <w:rPr>
          <w:color w:val="000000" w:themeColor="text1"/>
          <w:lang w:val="en-GB"/>
        </w:rPr>
      </w:pPr>
      <w:r w:rsidRPr="001F151E">
        <w:rPr>
          <w:color w:val="000000" w:themeColor="text1"/>
          <w:lang w:val="en-GB"/>
        </w:rPr>
        <w:t>The MTBP process has been firmly established and the credibility of medium-term expenditure plans has improved since 2017.</w:t>
      </w:r>
      <w:r w:rsidRPr="001F151E">
        <w:rPr>
          <w:rStyle w:val="FootnoteReference"/>
          <w:color w:val="000000" w:themeColor="text1"/>
          <w:lang w:val="en-GB"/>
        </w:rPr>
        <w:footnoteReference w:id="14"/>
      </w:r>
      <w:r w:rsidRPr="001F151E">
        <w:rPr>
          <w:color w:val="000000" w:themeColor="text1"/>
          <w:lang w:val="en-GB"/>
        </w:rPr>
        <w:t xml:space="preserve"> The progress is a result of efforts to strengthen the MTBP role in the budget process, through regulatory amendments and capacity building activities. The AFMIS has been further developed and covers all relevant business processes for MTBP formulation and the quality of MTBP documentation (pre-budget statement and annual budget documentation) has improved and includes performance information. Moreover, the concept of Gender Responsive Budgeting (GRB) has progressed due to improved legislation and regulations. All central and local government institutions present their policies and budgets in accordance with Gender Equality principles. </w:t>
      </w:r>
    </w:p>
    <w:p w14:paraId="1A133CDE" w14:textId="77777777" w:rsidR="00BE64A2" w:rsidRPr="001F151E" w:rsidRDefault="00BE64A2" w:rsidP="006F1382">
      <w:pPr>
        <w:jc w:val="both"/>
        <w:rPr>
          <w:color w:val="000000" w:themeColor="text1"/>
          <w:lang w:val="en-GB"/>
        </w:rPr>
      </w:pPr>
    </w:p>
    <w:p w14:paraId="6F12DD13" w14:textId="66B5D81F" w:rsidR="00BE64A2" w:rsidRPr="001F151E" w:rsidRDefault="00BE64A2" w:rsidP="006F1382">
      <w:pPr>
        <w:jc w:val="both"/>
        <w:rPr>
          <w:color w:val="FF0000"/>
          <w:lang w:val="en-GB"/>
        </w:rPr>
      </w:pPr>
      <w:r w:rsidRPr="001F151E">
        <w:rPr>
          <w:lang w:val="en-GB"/>
        </w:rPr>
        <w:t xml:space="preserve">A number of challenges remain to be addressed. Also the quality of performance information in the budget documentation provided by Central Government Units (CGU) is not yet always at satisfactory level. The principle of programme management needs to be further elaborated in the context of managerial accountability reform. </w:t>
      </w:r>
      <w:r w:rsidRPr="001F151E">
        <w:rPr>
          <w:color w:val="000000" w:themeColor="text1"/>
          <w:lang w:val="en-GB"/>
        </w:rPr>
        <w:t xml:space="preserve">Expenditure reviews (as stand-alone assessments or as part of a mid-year budget review) are considered very helpful for formulating supplementary budgets or the budget for the next medium term period. Such reviews are not common practice. </w:t>
      </w:r>
    </w:p>
    <w:p w14:paraId="41B8063B" w14:textId="77777777" w:rsidR="00BE64A2" w:rsidRDefault="00BE64A2" w:rsidP="006F1382">
      <w:pPr>
        <w:jc w:val="both"/>
        <w:rPr>
          <w:lang w:val="en-GB"/>
        </w:rPr>
      </w:pPr>
    </w:p>
    <w:p w14:paraId="2E91F32D" w14:textId="77777777" w:rsidR="00F22823" w:rsidRDefault="00F22823" w:rsidP="006F1382">
      <w:pPr>
        <w:jc w:val="both"/>
        <w:rPr>
          <w:lang w:val="en-GB"/>
        </w:rPr>
      </w:pPr>
    </w:p>
    <w:p w14:paraId="302ACA35" w14:textId="77777777" w:rsidR="00F22823" w:rsidRDefault="00F22823" w:rsidP="006F1382">
      <w:pPr>
        <w:jc w:val="both"/>
        <w:rPr>
          <w:lang w:val="en-GB"/>
        </w:rPr>
      </w:pPr>
    </w:p>
    <w:p w14:paraId="749C2A51" w14:textId="77777777" w:rsidR="00F22823" w:rsidRPr="001F151E" w:rsidRDefault="00F22823" w:rsidP="006F1382">
      <w:pPr>
        <w:jc w:val="both"/>
        <w:rPr>
          <w:lang w:val="en-GB"/>
        </w:rPr>
      </w:pPr>
    </w:p>
    <w:p w14:paraId="4BD3E7AA" w14:textId="77777777" w:rsidR="00BE64A2" w:rsidRPr="001F151E" w:rsidRDefault="00BE64A2" w:rsidP="006F1382">
      <w:pPr>
        <w:pStyle w:val="H5"/>
        <w:jc w:val="both"/>
        <w:rPr>
          <w:lang w:val="en-GB"/>
        </w:rPr>
      </w:pPr>
      <w:r w:rsidRPr="001F151E">
        <w:rPr>
          <w:lang w:val="en-GB"/>
        </w:rPr>
        <w:lastRenderedPageBreak/>
        <w:t>Priorities</w:t>
      </w:r>
    </w:p>
    <w:p w14:paraId="1B6B439F" w14:textId="77777777" w:rsidR="00BE64A2" w:rsidRPr="001F151E" w:rsidRDefault="00BE64A2" w:rsidP="006F1382">
      <w:pPr>
        <w:jc w:val="both"/>
        <w:rPr>
          <w:lang w:val="en-GB"/>
        </w:rPr>
      </w:pPr>
      <w:r w:rsidRPr="001F151E">
        <w:rPr>
          <w:lang w:val="en-GB"/>
        </w:rPr>
        <w:t>The priorities for the period 2023-2026 are:</w:t>
      </w:r>
    </w:p>
    <w:p w14:paraId="7D0DDC96" w14:textId="77777777" w:rsidR="00BE64A2" w:rsidRPr="001F151E" w:rsidRDefault="00BE64A2" w:rsidP="006F1382">
      <w:pPr>
        <w:pStyle w:val="ListParagraph"/>
        <w:numPr>
          <w:ilvl w:val="0"/>
          <w:numId w:val="20"/>
        </w:numPr>
        <w:jc w:val="both"/>
        <w:rPr>
          <w:lang w:val="en-GB"/>
        </w:rPr>
      </w:pPr>
      <w:r w:rsidRPr="001F151E">
        <w:rPr>
          <w:lang w:val="en-GB"/>
        </w:rPr>
        <w:t xml:space="preserve">Methods, procedures and managerial accountability framework for MTBP formulation further strengthened, in particular for internal budget hearings, public participation. </w:t>
      </w:r>
    </w:p>
    <w:p w14:paraId="17D45EAE" w14:textId="77777777" w:rsidR="00BE64A2" w:rsidRPr="001F151E" w:rsidRDefault="00BE64A2" w:rsidP="006F1382">
      <w:pPr>
        <w:pStyle w:val="ListParagraph"/>
        <w:numPr>
          <w:ilvl w:val="0"/>
          <w:numId w:val="20"/>
        </w:numPr>
        <w:jc w:val="both"/>
        <w:rPr>
          <w:lang w:val="en-GB"/>
        </w:rPr>
      </w:pPr>
      <w:r w:rsidRPr="001F151E">
        <w:rPr>
          <w:lang w:val="en-GB"/>
        </w:rPr>
        <w:t>Budget documentation and in particular the element of performance information further improved.</w:t>
      </w:r>
    </w:p>
    <w:p w14:paraId="4940FA2C" w14:textId="77777777" w:rsidR="00BE64A2" w:rsidRPr="001F151E" w:rsidRDefault="00BE64A2" w:rsidP="006F1382">
      <w:pPr>
        <w:pStyle w:val="ListParagraph"/>
        <w:numPr>
          <w:ilvl w:val="0"/>
          <w:numId w:val="20"/>
        </w:numPr>
        <w:jc w:val="both"/>
        <w:rPr>
          <w:lang w:val="en-GB"/>
        </w:rPr>
      </w:pPr>
      <w:r w:rsidRPr="001F151E">
        <w:rPr>
          <w:lang w:val="en-GB"/>
        </w:rPr>
        <w:t>Sector-specific spending reviews gradually introduced.</w:t>
      </w:r>
    </w:p>
    <w:p w14:paraId="5CCA5654" w14:textId="77777777" w:rsidR="00BE64A2" w:rsidRPr="001F151E" w:rsidRDefault="00BE64A2" w:rsidP="006F1382">
      <w:pPr>
        <w:pStyle w:val="ListParagraph"/>
        <w:numPr>
          <w:ilvl w:val="0"/>
          <w:numId w:val="20"/>
        </w:numPr>
        <w:jc w:val="both"/>
        <w:rPr>
          <w:lang w:val="en-GB"/>
        </w:rPr>
      </w:pPr>
      <w:r w:rsidRPr="001F151E">
        <w:rPr>
          <w:lang w:val="en-GB"/>
        </w:rPr>
        <w:t>Basic elements of the concept of green / climate-responsive budgeting introduced and gender-responsive budgeting (in particular gender gap analysis) further enhanced.</w:t>
      </w:r>
    </w:p>
    <w:p w14:paraId="02BEDA6D" w14:textId="77777777" w:rsidR="00852403" w:rsidRPr="001F151E" w:rsidRDefault="00852403" w:rsidP="006F1382">
      <w:pPr>
        <w:jc w:val="both"/>
        <w:rPr>
          <w:b/>
          <w:bCs/>
          <w:color w:val="0070C0"/>
          <w:lang w:val="en-GB"/>
        </w:rPr>
      </w:pPr>
    </w:p>
    <w:p w14:paraId="2413BF8A" w14:textId="77777777" w:rsidR="00BE64A2" w:rsidRPr="001F151E" w:rsidRDefault="00BE64A2" w:rsidP="00BE64A2">
      <w:pPr>
        <w:pStyle w:val="H5"/>
        <w:rPr>
          <w:lang w:val="en-GB"/>
        </w:rPr>
      </w:pPr>
      <w:r w:rsidRPr="001F151E">
        <w:rPr>
          <w:lang w:val="en-GB"/>
        </w:rPr>
        <w:t>Measures and activities</w:t>
      </w:r>
    </w:p>
    <w:tbl>
      <w:tblPr>
        <w:tblStyle w:val="TableGrid"/>
        <w:tblW w:w="5000" w:type="pct"/>
        <w:tblCellMar>
          <w:top w:w="28" w:type="dxa"/>
          <w:left w:w="57" w:type="dxa"/>
          <w:bottom w:w="28" w:type="dxa"/>
          <w:right w:w="57" w:type="dxa"/>
        </w:tblCellMar>
        <w:tblLook w:val="04A0" w:firstRow="1" w:lastRow="0" w:firstColumn="1" w:lastColumn="0" w:noHBand="0" w:noVBand="1"/>
      </w:tblPr>
      <w:tblGrid>
        <w:gridCol w:w="2065"/>
        <w:gridCol w:w="3780"/>
        <w:gridCol w:w="825"/>
        <w:gridCol w:w="795"/>
        <w:gridCol w:w="1551"/>
      </w:tblGrid>
      <w:tr w:rsidR="00B515C9" w:rsidRPr="001F151E" w14:paraId="15762C31" w14:textId="77777777" w:rsidTr="00B515C9">
        <w:trPr>
          <w:trHeight w:val="182"/>
          <w:tblHeader/>
        </w:trPr>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A7C8CE" w14:textId="77777777" w:rsidR="00BE64A2" w:rsidRPr="001F151E" w:rsidRDefault="00BE64A2" w:rsidP="002B7FF8">
            <w:pPr>
              <w:pStyle w:val="T-bold"/>
            </w:pPr>
            <w:r w:rsidRPr="001F151E">
              <w:t>Measure</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CF5F1A" w14:textId="77777777" w:rsidR="00BE64A2" w:rsidRPr="001F151E" w:rsidRDefault="00BE64A2" w:rsidP="002B7FF8">
            <w:pPr>
              <w:pStyle w:val="T-bold"/>
            </w:pPr>
            <w:r w:rsidRPr="001F151E">
              <w:t>Activity</w:t>
            </w:r>
          </w:p>
        </w:tc>
        <w:tc>
          <w:tcPr>
            <w:tcW w:w="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80413C" w14:textId="77777777" w:rsidR="00BE64A2" w:rsidRPr="001F151E" w:rsidRDefault="00BE64A2" w:rsidP="002B7FF8">
            <w:pPr>
              <w:pStyle w:val="T-bold"/>
              <w:jc w:val="center"/>
            </w:pPr>
            <w:r w:rsidRPr="001F151E">
              <w:t>Start</w:t>
            </w:r>
          </w:p>
        </w:tc>
        <w:tc>
          <w:tcPr>
            <w:tcW w:w="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537E01" w14:textId="77777777" w:rsidR="00BE64A2" w:rsidRPr="001F151E" w:rsidRDefault="00BE64A2" w:rsidP="002B7FF8">
            <w:pPr>
              <w:pStyle w:val="T-bold"/>
              <w:jc w:val="center"/>
            </w:pPr>
            <w:r w:rsidRPr="001F151E">
              <w:t>End</w:t>
            </w:r>
          </w:p>
        </w:tc>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15B2BA" w14:textId="77777777" w:rsidR="00BE64A2" w:rsidRPr="001F151E" w:rsidRDefault="00BE64A2" w:rsidP="002B7FF8">
            <w:pPr>
              <w:pStyle w:val="T-bold"/>
            </w:pPr>
            <w:r w:rsidRPr="001F151E">
              <w:t>Stakeholders</w:t>
            </w:r>
          </w:p>
        </w:tc>
      </w:tr>
      <w:tr w:rsidR="00B515C9" w:rsidRPr="001F151E" w14:paraId="6783DA65" w14:textId="77777777" w:rsidTr="00B515C9">
        <w:trPr>
          <w:trHeight w:val="455"/>
        </w:trPr>
        <w:tc>
          <w:tcPr>
            <w:tcW w:w="2065" w:type="dxa"/>
            <w:vMerge w:val="restart"/>
            <w:tcBorders>
              <w:top w:val="single" w:sz="4" w:space="0" w:color="auto"/>
              <w:left w:val="single" w:sz="4" w:space="0" w:color="auto"/>
              <w:right w:val="single" w:sz="4" w:space="0" w:color="auto"/>
            </w:tcBorders>
          </w:tcPr>
          <w:p w14:paraId="142F2C2B" w14:textId="77777777" w:rsidR="00B76369" w:rsidRDefault="002D6DF5" w:rsidP="002B7FF8">
            <w:pPr>
              <w:pStyle w:val="EcorysBody"/>
              <w:rPr>
                <w:rFonts w:ascii="Arial" w:hAnsi="Arial" w:cs="Arial"/>
                <w:b/>
                <w:bCs/>
                <w:sz w:val="16"/>
                <w:szCs w:val="16"/>
              </w:rPr>
            </w:pPr>
            <w:r w:rsidRPr="001F151E">
              <w:rPr>
                <w:rFonts w:ascii="Arial" w:hAnsi="Arial" w:cs="Arial"/>
                <w:b/>
                <w:bCs/>
                <w:sz w:val="16"/>
                <w:szCs w:val="16"/>
              </w:rPr>
              <w:t xml:space="preserve">Measure 2.2.1 </w:t>
            </w:r>
          </w:p>
          <w:p w14:paraId="718A0421" w14:textId="1D59AC2E" w:rsidR="002D6DF5" w:rsidRPr="001F151E" w:rsidRDefault="002D6DF5" w:rsidP="002B7FF8">
            <w:pPr>
              <w:pStyle w:val="EcorysBody"/>
              <w:rPr>
                <w:rFonts w:ascii="Arial" w:hAnsi="Arial" w:cs="Arial"/>
                <w:b/>
                <w:bCs/>
                <w:sz w:val="16"/>
                <w:szCs w:val="16"/>
              </w:rPr>
            </w:pPr>
            <w:r w:rsidRPr="001F151E">
              <w:rPr>
                <w:rFonts w:ascii="Arial" w:hAnsi="Arial" w:cs="Arial"/>
                <w:b/>
                <w:bCs/>
                <w:sz w:val="16"/>
                <w:szCs w:val="16"/>
              </w:rPr>
              <w:t>Further improve methods, procedures and managerial accountability for MTBP formulation</w:t>
            </w:r>
          </w:p>
        </w:tc>
        <w:tc>
          <w:tcPr>
            <w:tcW w:w="3780" w:type="dxa"/>
            <w:tcBorders>
              <w:top w:val="single" w:sz="4" w:space="0" w:color="auto"/>
              <w:left w:val="single" w:sz="4" w:space="0" w:color="auto"/>
              <w:bottom w:val="single" w:sz="4" w:space="0" w:color="auto"/>
              <w:right w:val="single" w:sz="4" w:space="0" w:color="auto"/>
            </w:tcBorders>
            <w:vAlign w:val="center"/>
          </w:tcPr>
          <w:p w14:paraId="56CD5CE6" w14:textId="325A1B14" w:rsidR="002D6DF5" w:rsidRPr="001F151E" w:rsidRDefault="002D6DF5" w:rsidP="00B45892">
            <w:pPr>
              <w:pStyle w:val="EcorysBody"/>
              <w:numPr>
                <w:ilvl w:val="0"/>
                <w:numId w:val="64"/>
              </w:numPr>
              <w:rPr>
                <w:rFonts w:ascii="Arial" w:hAnsi="Arial" w:cs="Arial"/>
                <w:sz w:val="16"/>
                <w:szCs w:val="16"/>
              </w:rPr>
            </w:pPr>
            <w:r w:rsidRPr="001F151E">
              <w:rPr>
                <w:rFonts w:ascii="Arial" w:hAnsi="Arial" w:cs="Arial"/>
                <w:sz w:val="16"/>
                <w:szCs w:val="16"/>
              </w:rPr>
              <w:t>Strengthen the concept of managerial accountability in MTBP formulation;</w:t>
            </w:r>
            <w:r w:rsidRPr="001F151E">
              <w:rPr>
                <w:rStyle w:val="FootnoteReference"/>
                <w:rFonts w:cs="Arial"/>
              </w:rPr>
              <w:footnoteReference w:id="15"/>
            </w:r>
            <w:r w:rsidRPr="001F151E">
              <w:rPr>
                <w:rFonts w:ascii="Arial" w:hAnsi="Arial" w:cs="Arial"/>
                <w:sz w:val="16"/>
                <w:szCs w:val="16"/>
              </w:rPr>
              <w:t xml:space="preserve"> amend legislation and AFMIS system.</w:t>
            </w:r>
            <w:r w:rsidRPr="001F151E">
              <w:rPr>
                <w:rStyle w:val="FootnoteReference"/>
                <w:rFonts w:cs="Arial"/>
                <w:sz w:val="16"/>
                <w:szCs w:val="16"/>
              </w:rPr>
              <w:footnoteReference w:id="16"/>
            </w:r>
          </w:p>
        </w:tc>
        <w:tc>
          <w:tcPr>
            <w:tcW w:w="825" w:type="dxa"/>
            <w:tcBorders>
              <w:top w:val="single" w:sz="4" w:space="0" w:color="auto"/>
              <w:left w:val="single" w:sz="4" w:space="0" w:color="auto"/>
              <w:bottom w:val="single" w:sz="4" w:space="0" w:color="auto"/>
              <w:right w:val="single" w:sz="4" w:space="0" w:color="auto"/>
            </w:tcBorders>
            <w:vAlign w:val="center"/>
          </w:tcPr>
          <w:p w14:paraId="1F71C796" w14:textId="60E89CD5" w:rsidR="002D6DF5" w:rsidRPr="001F151E" w:rsidRDefault="002D6DF5" w:rsidP="002B7FF8">
            <w:pPr>
              <w:jc w:val="center"/>
              <w:rPr>
                <w:sz w:val="16"/>
                <w:szCs w:val="16"/>
              </w:rPr>
            </w:pPr>
            <w:r w:rsidRPr="001F151E">
              <w:rPr>
                <w:sz w:val="16"/>
                <w:szCs w:val="16"/>
              </w:rPr>
              <w:t>Q1 2024</w:t>
            </w:r>
          </w:p>
        </w:tc>
        <w:tc>
          <w:tcPr>
            <w:tcW w:w="795" w:type="dxa"/>
            <w:tcBorders>
              <w:top w:val="single" w:sz="4" w:space="0" w:color="auto"/>
              <w:left w:val="single" w:sz="4" w:space="0" w:color="auto"/>
              <w:bottom w:val="single" w:sz="4" w:space="0" w:color="auto"/>
              <w:right w:val="single" w:sz="4" w:space="0" w:color="auto"/>
            </w:tcBorders>
            <w:vAlign w:val="center"/>
          </w:tcPr>
          <w:p w14:paraId="6B028BC6" w14:textId="1ABDDEC2" w:rsidR="002D6DF5" w:rsidRPr="001F151E" w:rsidRDefault="002D6DF5" w:rsidP="002B7FF8">
            <w:pPr>
              <w:jc w:val="center"/>
              <w:rPr>
                <w:sz w:val="16"/>
                <w:szCs w:val="16"/>
              </w:rPr>
            </w:pPr>
            <w:r w:rsidRPr="001F151E">
              <w:rPr>
                <w:sz w:val="16"/>
                <w:szCs w:val="16"/>
              </w:rPr>
              <w:t>Q4 2026</w:t>
            </w:r>
          </w:p>
        </w:tc>
        <w:tc>
          <w:tcPr>
            <w:tcW w:w="1551" w:type="dxa"/>
            <w:vMerge w:val="restart"/>
            <w:tcBorders>
              <w:top w:val="single" w:sz="4" w:space="0" w:color="auto"/>
              <w:left w:val="single" w:sz="4" w:space="0" w:color="auto"/>
              <w:right w:val="single" w:sz="4" w:space="0" w:color="auto"/>
            </w:tcBorders>
          </w:tcPr>
          <w:p w14:paraId="5BB9134E" w14:textId="77777777" w:rsidR="002D6DF5" w:rsidRPr="001F151E" w:rsidRDefault="002D6DF5" w:rsidP="002B7FF8">
            <w:pPr>
              <w:rPr>
                <w:b/>
                <w:bCs/>
                <w:sz w:val="16"/>
                <w:szCs w:val="16"/>
              </w:rPr>
            </w:pPr>
            <w:r w:rsidRPr="001F151E">
              <w:rPr>
                <w:b/>
                <w:bCs/>
                <w:sz w:val="16"/>
                <w:szCs w:val="16"/>
              </w:rPr>
              <w:t>Responsible entity:</w:t>
            </w:r>
          </w:p>
          <w:p w14:paraId="66267239" w14:textId="2DF56EB8" w:rsidR="002D6DF5" w:rsidRPr="001F151E" w:rsidRDefault="002D6DF5" w:rsidP="002B7FF8">
            <w:pPr>
              <w:pStyle w:val="EcorysBody"/>
              <w:rPr>
                <w:rFonts w:ascii="Arial" w:hAnsi="Arial" w:cs="Arial"/>
                <w:sz w:val="16"/>
                <w:szCs w:val="16"/>
              </w:rPr>
            </w:pPr>
            <w:r w:rsidRPr="001F151E">
              <w:rPr>
                <w:rFonts w:ascii="Arial" w:hAnsi="Arial" w:cs="Arial"/>
                <w:sz w:val="16"/>
                <w:szCs w:val="16"/>
              </w:rPr>
              <w:t>DAPB (lead)</w:t>
            </w:r>
          </w:p>
          <w:p w14:paraId="6BF8DB35" w14:textId="77777777" w:rsidR="002D6DF5" w:rsidRPr="001F151E" w:rsidRDefault="002D6DF5" w:rsidP="002B7FF8">
            <w:pPr>
              <w:pStyle w:val="EcorysBody"/>
              <w:rPr>
                <w:rFonts w:ascii="Arial" w:hAnsi="Arial" w:cs="Arial"/>
                <w:b/>
                <w:bCs/>
                <w:sz w:val="16"/>
                <w:szCs w:val="16"/>
              </w:rPr>
            </w:pPr>
          </w:p>
          <w:p w14:paraId="44FE6CAD" w14:textId="77777777" w:rsidR="002D6DF5" w:rsidRPr="001F151E" w:rsidRDefault="002D6DF5" w:rsidP="002B7FF8">
            <w:pPr>
              <w:pStyle w:val="EcorysBody"/>
              <w:rPr>
                <w:rFonts w:ascii="Arial" w:hAnsi="Arial" w:cs="Arial"/>
                <w:b/>
                <w:bCs/>
                <w:sz w:val="16"/>
                <w:szCs w:val="16"/>
              </w:rPr>
            </w:pPr>
            <w:r w:rsidRPr="001F151E">
              <w:rPr>
                <w:rFonts w:ascii="Arial" w:hAnsi="Arial" w:cs="Arial"/>
                <w:b/>
                <w:bCs/>
                <w:sz w:val="16"/>
                <w:szCs w:val="16"/>
              </w:rPr>
              <w:t>Partners:</w:t>
            </w:r>
          </w:p>
          <w:p w14:paraId="6F9BFC64" w14:textId="77777777" w:rsidR="002D6DF5" w:rsidRPr="001F151E" w:rsidRDefault="002D6DF5" w:rsidP="002B7FF8">
            <w:pPr>
              <w:pStyle w:val="EcorysBody"/>
              <w:rPr>
                <w:rFonts w:ascii="Arial" w:hAnsi="Arial" w:cs="Arial"/>
                <w:sz w:val="16"/>
                <w:szCs w:val="16"/>
              </w:rPr>
            </w:pPr>
            <w:r w:rsidRPr="001F151E">
              <w:rPr>
                <w:rFonts w:ascii="Arial" w:hAnsi="Arial" w:cs="Arial"/>
                <w:sz w:val="16"/>
                <w:szCs w:val="16"/>
              </w:rPr>
              <w:t>SIGMA, EU</w:t>
            </w:r>
            <w:r w:rsidRPr="001F151E">
              <w:rPr>
                <w:rStyle w:val="FootnoteReference"/>
                <w:rFonts w:cs="Arial"/>
              </w:rPr>
              <w:footnoteReference w:id="17"/>
            </w:r>
            <w:r w:rsidRPr="001F151E">
              <w:rPr>
                <w:rFonts w:ascii="Arial" w:hAnsi="Arial" w:cs="Arial"/>
                <w:sz w:val="16"/>
                <w:szCs w:val="16"/>
              </w:rPr>
              <w:t xml:space="preserve"> </w:t>
            </w:r>
          </w:p>
          <w:p w14:paraId="4E2E7679" w14:textId="77777777" w:rsidR="002D6DF5" w:rsidRPr="001F151E" w:rsidRDefault="002D6DF5" w:rsidP="002B7FF8">
            <w:pPr>
              <w:rPr>
                <w:b/>
                <w:bCs/>
                <w:sz w:val="16"/>
                <w:szCs w:val="16"/>
              </w:rPr>
            </w:pPr>
          </w:p>
        </w:tc>
      </w:tr>
      <w:tr w:rsidR="00B515C9" w:rsidRPr="001F151E" w14:paraId="784B0E66" w14:textId="77777777" w:rsidTr="00B515C9">
        <w:trPr>
          <w:trHeight w:val="455"/>
        </w:trPr>
        <w:tc>
          <w:tcPr>
            <w:tcW w:w="2065" w:type="dxa"/>
            <w:vMerge/>
            <w:tcBorders>
              <w:left w:val="single" w:sz="4" w:space="0" w:color="auto"/>
              <w:right w:val="single" w:sz="4" w:space="0" w:color="auto"/>
            </w:tcBorders>
          </w:tcPr>
          <w:p w14:paraId="485E37BF" w14:textId="77777777" w:rsidR="002D6DF5" w:rsidRPr="001F151E" w:rsidRDefault="002D6DF5" w:rsidP="002B7FF8">
            <w:pPr>
              <w:pStyle w:val="EcorysBody"/>
              <w:rPr>
                <w:rFonts w:ascii="Arial" w:hAnsi="Arial" w:cs="Arial"/>
                <w:b/>
                <w:bCs/>
                <w:sz w:val="16"/>
                <w:szCs w:val="16"/>
              </w:rPr>
            </w:pPr>
          </w:p>
        </w:tc>
        <w:tc>
          <w:tcPr>
            <w:tcW w:w="3780" w:type="dxa"/>
            <w:tcBorders>
              <w:top w:val="single" w:sz="4" w:space="0" w:color="auto"/>
              <w:left w:val="single" w:sz="4" w:space="0" w:color="auto"/>
              <w:bottom w:val="single" w:sz="4" w:space="0" w:color="auto"/>
              <w:right w:val="single" w:sz="4" w:space="0" w:color="auto"/>
            </w:tcBorders>
            <w:vAlign w:val="center"/>
          </w:tcPr>
          <w:p w14:paraId="618D792B" w14:textId="073F74AA" w:rsidR="002D6DF5" w:rsidRPr="001F151E" w:rsidRDefault="002D6DF5" w:rsidP="00B45892">
            <w:pPr>
              <w:pStyle w:val="EcorysBody"/>
              <w:numPr>
                <w:ilvl w:val="0"/>
                <w:numId w:val="64"/>
              </w:numPr>
              <w:rPr>
                <w:rFonts w:ascii="Arial" w:hAnsi="Arial" w:cs="Arial"/>
                <w:sz w:val="16"/>
                <w:szCs w:val="16"/>
              </w:rPr>
            </w:pPr>
            <w:r w:rsidRPr="001F151E">
              <w:rPr>
                <w:rFonts w:ascii="Arial" w:hAnsi="Arial" w:cs="Arial"/>
                <w:sz w:val="16"/>
                <w:szCs w:val="16"/>
              </w:rPr>
              <w:t>Rollout the updated managerial accountability framework through pilots, awareness raising and training activities.</w:t>
            </w:r>
          </w:p>
        </w:tc>
        <w:tc>
          <w:tcPr>
            <w:tcW w:w="825" w:type="dxa"/>
            <w:tcBorders>
              <w:top w:val="single" w:sz="4" w:space="0" w:color="auto"/>
              <w:left w:val="single" w:sz="4" w:space="0" w:color="auto"/>
              <w:bottom w:val="single" w:sz="4" w:space="0" w:color="auto"/>
              <w:right w:val="single" w:sz="4" w:space="0" w:color="auto"/>
            </w:tcBorders>
            <w:vAlign w:val="center"/>
          </w:tcPr>
          <w:p w14:paraId="0B6E5E36" w14:textId="334AF6F1" w:rsidR="002D6DF5" w:rsidRPr="001F151E" w:rsidRDefault="002D6DF5" w:rsidP="002B7FF8">
            <w:pPr>
              <w:jc w:val="center"/>
              <w:rPr>
                <w:sz w:val="16"/>
                <w:szCs w:val="16"/>
              </w:rPr>
            </w:pPr>
            <w:r w:rsidRPr="001F151E">
              <w:rPr>
                <w:sz w:val="16"/>
                <w:szCs w:val="16"/>
              </w:rPr>
              <w:t>Q1 2024</w:t>
            </w:r>
          </w:p>
        </w:tc>
        <w:tc>
          <w:tcPr>
            <w:tcW w:w="795" w:type="dxa"/>
            <w:tcBorders>
              <w:top w:val="single" w:sz="4" w:space="0" w:color="auto"/>
              <w:left w:val="single" w:sz="4" w:space="0" w:color="auto"/>
              <w:bottom w:val="single" w:sz="4" w:space="0" w:color="auto"/>
              <w:right w:val="single" w:sz="4" w:space="0" w:color="auto"/>
            </w:tcBorders>
            <w:vAlign w:val="center"/>
          </w:tcPr>
          <w:p w14:paraId="2420ED33" w14:textId="3EB5CBE8" w:rsidR="002D6DF5" w:rsidRPr="001F151E" w:rsidRDefault="002D6DF5" w:rsidP="002B7FF8">
            <w:pPr>
              <w:jc w:val="center"/>
              <w:rPr>
                <w:sz w:val="16"/>
                <w:szCs w:val="16"/>
              </w:rPr>
            </w:pPr>
            <w:r w:rsidRPr="001F151E">
              <w:rPr>
                <w:sz w:val="16"/>
                <w:szCs w:val="16"/>
              </w:rPr>
              <w:t>Q4 2026</w:t>
            </w:r>
          </w:p>
        </w:tc>
        <w:tc>
          <w:tcPr>
            <w:tcW w:w="1551" w:type="dxa"/>
            <w:vMerge/>
            <w:tcBorders>
              <w:left w:val="single" w:sz="4" w:space="0" w:color="auto"/>
              <w:right w:val="single" w:sz="4" w:space="0" w:color="auto"/>
            </w:tcBorders>
          </w:tcPr>
          <w:p w14:paraId="1E387E1E" w14:textId="77777777" w:rsidR="002D6DF5" w:rsidRPr="001F151E" w:rsidRDefault="002D6DF5" w:rsidP="002B7FF8">
            <w:pPr>
              <w:rPr>
                <w:b/>
                <w:bCs/>
                <w:sz w:val="16"/>
                <w:szCs w:val="16"/>
              </w:rPr>
            </w:pPr>
          </w:p>
        </w:tc>
      </w:tr>
      <w:tr w:rsidR="00B515C9" w:rsidRPr="001F151E" w14:paraId="2A3AB120" w14:textId="77777777" w:rsidTr="00B515C9">
        <w:trPr>
          <w:trHeight w:val="455"/>
        </w:trPr>
        <w:tc>
          <w:tcPr>
            <w:tcW w:w="2065" w:type="dxa"/>
            <w:vMerge/>
            <w:tcBorders>
              <w:left w:val="single" w:sz="4" w:space="0" w:color="auto"/>
              <w:right w:val="single" w:sz="4" w:space="0" w:color="auto"/>
            </w:tcBorders>
            <w:hideMark/>
          </w:tcPr>
          <w:p w14:paraId="72746686" w14:textId="77777777" w:rsidR="002D6DF5" w:rsidRPr="001F151E" w:rsidRDefault="002D6DF5" w:rsidP="002B7FF8">
            <w:pPr>
              <w:pStyle w:val="EcorysBody"/>
              <w:rPr>
                <w:rFonts w:ascii="Arial" w:hAnsi="Arial" w:cs="Arial"/>
                <w:sz w:val="16"/>
                <w:szCs w:val="16"/>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768E0C1A" w14:textId="0181FC88" w:rsidR="002D6DF5" w:rsidRPr="001F151E" w:rsidRDefault="002D6DF5" w:rsidP="00B45892">
            <w:pPr>
              <w:pStyle w:val="EcorysBody"/>
              <w:numPr>
                <w:ilvl w:val="0"/>
                <w:numId w:val="64"/>
              </w:numPr>
              <w:rPr>
                <w:rFonts w:ascii="Arial" w:hAnsi="Arial" w:cs="Arial"/>
                <w:sz w:val="16"/>
                <w:szCs w:val="16"/>
              </w:rPr>
            </w:pPr>
            <w:r w:rsidRPr="001F151E">
              <w:rPr>
                <w:rFonts w:ascii="Arial" w:hAnsi="Arial" w:cs="Arial"/>
                <w:sz w:val="16"/>
                <w:szCs w:val="16"/>
              </w:rPr>
              <w:t xml:space="preserve">Improve procedures for internal budget hearings between </w:t>
            </w:r>
            <w:r w:rsidR="00A660B5">
              <w:rPr>
                <w:rFonts w:ascii="Arial" w:hAnsi="Arial" w:cs="Arial"/>
                <w:sz w:val="16"/>
                <w:szCs w:val="16"/>
              </w:rPr>
              <w:t>MoF</w:t>
            </w:r>
            <w:r w:rsidRPr="001F151E">
              <w:rPr>
                <w:rFonts w:ascii="Arial" w:hAnsi="Arial" w:cs="Arial"/>
                <w:sz w:val="16"/>
                <w:szCs w:val="16"/>
              </w:rPr>
              <w:t xml:space="preserve"> and Budget Institutions; update the regulatory framework. </w:t>
            </w:r>
          </w:p>
        </w:tc>
        <w:tc>
          <w:tcPr>
            <w:tcW w:w="825" w:type="dxa"/>
            <w:tcBorders>
              <w:top w:val="single" w:sz="4" w:space="0" w:color="auto"/>
              <w:left w:val="single" w:sz="4" w:space="0" w:color="auto"/>
              <w:bottom w:val="single" w:sz="4" w:space="0" w:color="auto"/>
              <w:right w:val="single" w:sz="4" w:space="0" w:color="auto"/>
            </w:tcBorders>
            <w:vAlign w:val="center"/>
          </w:tcPr>
          <w:p w14:paraId="4273312A" w14:textId="2EED73D6" w:rsidR="002D6DF5" w:rsidRPr="001F151E" w:rsidRDefault="002D6DF5" w:rsidP="002B7FF8">
            <w:pPr>
              <w:jc w:val="center"/>
              <w:rPr>
                <w:sz w:val="16"/>
                <w:szCs w:val="16"/>
              </w:rPr>
            </w:pPr>
            <w:r w:rsidRPr="001F151E">
              <w:rPr>
                <w:sz w:val="16"/>
                <w:szCs w:val="16"/>
              </w:rPr>
              <w:t>Q4 2024</w:t>
            </w:r>
          </w:p>
        </w:tc>
        <w:tc>
          <w:tcPr>
            <w:tcW w:w="795" w:type="dxa"/>
            <w:tcBorders>
              <w:top w:val="single" w:sz="4" w:space="0" w:color="auto"/>
              <w:left w:val="single" w:sz="4" w:space="0" w:color="auto"/>
              <w:bottom w:val="single" w:sz="4" w:space="0" w:color="auto"/>
              <w:right w:val="single" w:sz="4" w:space="0" w:color="auto"/>
            </w:tcBorders>
            <w:vAlign w:val="center"/>
          </w:tcPr>
          <w:p w14:paraId="5831EB81" w14:textId="63907419" w:rsidR="002D6DF5" w:rsidRPr="001F151E" w:rsidRDefault="002D6DF5" w:rsidP="002B7FF8">
            <w:pPr>
              <w:jc w:val="center"/>
              <w:rPr>
                <w:sz w:val="16"/>
                <w:szCs w:val="16"/>
              </w:rPr>
            </w:pPr>
            <w:r w:rsidRPr="001F151E">
              <w:rPr>
                <w:sz w:val="16"/>
                <w:szCs w:val="16"/>
              </w:rPr>
              <w:t>Q2 2025</w:t>
            </w:r>
          </w:p>
        </w:tc>
        <w:tc>
          <w:tcPr>
            <w:tcW w:w="1551" w:type="dxa"/>
            <w:vMerge/>
            <w:tcBorders>
              <w:left w:val="single" w:sz="4" w:space="0" w:color="auto"/>
              <w:right w:val="single" w:sz="4" w:space="0" w:color="auto"/>
            </w:tcBorders>
          </w:tcPr>
          <w:p w14:paraId="0E248623" w14:textId="77777777" w:rsidR="002D6DF5" w:rsidRPr="001F151E" w:rsidRDefault="002D6DF5" w:rsidP="002B7FF8">
            <w:pPr>
              <w:rPr>
                <w:sz w:val="16"/>
                <w:szCs w:val="16"/>
              </w:rPr>
            </w:pPr>
          </w:p>
        </w:tc>
      </w:tr>
      <w:tr w:rsidR="00B515C9" w:rsidRPr="001F151E" w14:paraId="5B7B1FF0" w14:textId="77777777" w:rsidTr="00B515C9">
        <w:trPr>
          <w:trHeight w:val="139"/>
        </w:trPr>
        <w:tc>
          <w:tcPr>
            <w:tcW w:w="2065" w:type="dxa"/>
            <w:vMerge/>
            <w:tcBorders>
              <w:left w:val="single" w:sz="4" w:space="0" w:color="auto"/>
              <w:right w:val="single" w:sz="4" w:space="0" w:color="auto"/>
            </w:tcBorders>
            <w:vAlign w:val="center"/>
            <w:hideMark/>
          </w:tcPr>
          <w:p w14:paraId="28A9EC3F" w14:textId="77777777" w:rsidR="002D6DF5" w:rsidRPr="001F151E" w:rsidRDefault="002D6DF5" w:rsidP="002B7FF8">
            <w:pPr>
              <w:spacing w:line="240" w:lineRule="auto"/>
              <w:rPr>
                <w:sz w:val="16"/>
                <w:szCs w:val="16"/>
              </w:rPr>
            </w:pPr>
          </w:p>
        </w:tc>
        <w:tc>
          <w:tcPr>
            <w:tcW w:w="3780" w:type="dxa"/>
            <w:tcBorders>
              <w:top w:val="single" w:sz="4" w:space="0" w:color="auto"/>
              <w:left w:val="single" w:sz="4" w:space="0" w:color="auto"/>
              <w:right w:val="single" w:sz="4" w:space="0" w:color="auto"/>
            </w:tcBorders>
            <w:vAlign w:val="center"/>
            <w:hideMark/>
          </w:tcPr>
          <w:p w14:paraId="19D8FBA4" w14:textId="3FBD36A5" w:rsidR="002D6DF5" w:rsidRPr="001F151E" w:rsidRDefault="002D6DF5" w:rsidP="00B45892">
            <w:pPr>
              <w:pStyle w:val="EcorysBody"/>
              <w:numPr>
                <w:ilvl w:val="0"/>
                <w:numId w:val="64"/>
              </w:numPr>
              <w:rPr>
                <w:rFonts w:ascii="Arial" w:hAnsi="Arial" w:cs="Arial"/>
                <w:sz w:val="16"/>
                <w:szCs w:val="16"/>
              </w:rPr>
            </w:pPr>
            <w:r w:rsidRPr="001F151E">
              <w:rPr>
                <w:rFonts w:ascii="Arial" w:hAnsi="Arial" w:cs="Arial"/>
                <w:sz w:val="16"/>
                <w:szCs w:val="16"/>
              </w:rPr>
              <w:t xml:space="preserve">Improve the procedure for public participation in the MTBP formulation process; Update the regulatory framework. </w:t>
            </w:r>
          </w:p>
        </w:tc>
        <w:tc>
          <w:tcPr>
            <w:tcW w:w="825" w:type="dxa"/>
            <w:tcBorders>
              <w:top w:val="single" w:sz="4" w:space="0" w:color="auto"/>
              <w:left w:val="single" w:sz="4" w:space="0" w:color="auto"/>
              <w:right w:val="single" w:sz="4" w:space="0" w:color="auto"/>
            </w:tcBorders>
            <w:vAlign w:val="center"/>
          </w:tcPr>
          <w:p w14:paraId="343A7262" w14:textId="2CDCF8A0" w:rsidR="002D6DF5" w:rsidRPr="001F151E" w:rsidRDefault="002D6DF5" w:rsidP="002B7FF8">
            <w:pPr>
              <w:jc w:val="center"/>
              <w:rPr>
                <w:sz w:val="16"/>
                <w:szCs w:val="16"/>
              </w:rPr>
            </w:pPr>
            <w:r w:rsidRPr="001F151E">
              <w:rPr>
                <w:sz w:val="16"/>
                <w:szCs w:val="16"/>
              </w:rPr>
              <w:t>Q2 2024</w:t>
            </w:r>
          </w:p>
        </w:tc>
        <w:tc>
          <w:tcPr>
            <w:tcW w:w="795" w:type="dxa"/>
            <w:tcBorders>
              <w:top w:val="single" w:sz="4" w:space="0" w:color="auto"/>
              <w:left w:val="single" w:sz="4" w:space="0" w:color="auto"/>
              <w:right w:val="single" w:sz="4" w:space="0" w:color="auto"/>
            </w:tcBorders>
            <w:vAlign w:val="center"/>
          </w:tcPr>
          <w:p w14:paraId="4142EF18" w14:textId="4C5521C2" w:rsidR="002D6DF5" w:rsidRPr="001F151E" w:rsidRDefault="002D6DF5" w:rsidP="00AD5107">
            <w:pPr>
              <w:jc w:val="center"/>
              <w:rPr>
                <w:sz w:val="16"/>
                <w:szCs w:val="16"/>
              </w:rPr>
            </w:pPr>
            <w:r w:rsidRPr="001F151E">
              <w:rPr>
                <w:sz w:val="16"/>
                <w:szCs w:val="16"/>
              </w:rPr>
              <w:t>Q4 2024</w:t>
            </w:r>
          </w:p>
        </w:tc>
        <w:tc>
          <w:tcPr>
            <w:tcW w:w="1551" w:type="dxa"/>
            <w:vMerge/>
            <w:tcBorders>
              <w:left w:val="single" w:sz="4" w:space="0" w:color="auto"/>
              <w:right w:val="single" w:sz="4" w:space="0" w:color="auto"/>
            </w:tcBorders>
            <w:vAlign w:val="center"/>
            <w:hideMark/>
          </w:tcPr>
          <w:p w14:paraId="3FDB4F39" w14:textId="77777777" w:rsidR="002D6DF5" w:rsidRPr="001F151E" w:rsidRDefault="002D6DF5" w:rsidP="002B7FF8">
            <w:pPr>
              <w:spacing w:line="240" w:lineRule="auto"/>
              <w:rPr>
                <w:sz w:val="16"/>
                <w:szCs w:val="16"/>
              </w:rPr>
            </w:pPr>
          </w:p>
        </w:tc>
      </w:tr>
      <w:tr w:rsidR="00B515C9" w:rsidRPr="001F151E" w14:paraId="160D72F6" w14:textId="77777777" w:rsidTr="00B515C9">
        <w:trPr>
          <w:trHeight w:val="139"/>
        </w:trPr>
        <w:tc>
          <w:tcPr>
            <w:tcW w:w="2065" w:type="dxa"/>
            <w:vMerge/>
            <w:tcBorders>
              <w:left w:val="single" w:sz="4" w:space="0" w:color="auto"/>
              <w:right w:val="single" w:sz="4" w:space="0" w:color="auto"/>
            </w:tcBorders>
            <w:vAlign w:val="center"/>
          </w:tcPr>
          <w:p w14:paraId="0B989F43" w14:textId="77777777" w:rsidR="002D6DF5" w:rsidRPr="001F151E" w:rsidRDefault="002D6DF5" w:rsidP="002B7FF8">
            <w:pPr>
              <w:spacing w:line="240" w:lineRule="auto"/>
              <w:rPr>
                <w:sz w:val="16"/>
                <w:szCs w:val="16"/>
              </w:rPr>
            </w:pPr>
          </w:p>
        </w:tc>
        <w:tc>
          <w:tcPr>
            <w:tcW w:w="3780" w:type="dxa"/>
            <w:tcBorders>
              <w:top w:val="single" w:sz="4" w:space="0" w:color="auto"/>
              <w:left w:val="single" w:sz="4" w:space="0" w:color="auto"/>
              <w:right w:val="single" w:sz="4" w:space="0" w:color="auto"/>
            </w:tcBorders>
            <w:vAlign w:val="center"/>
          </w:tcPr>
          <w:p w14:paraId="79228F16" w14:textId="4DC7E033" w:rsidR="002D6DF5" w:rsidRPr="001F151E" w:rsidRDefault="002D6DF5" w:rsidP="00B45892">
            <w:pPr>
              <w:pStyle w:val="EcorysBody"/>
              <w:numPr>
                <w:ilvl w:val="0"/>
                <w:numId w:val="64"/>
              </w:numPr>
              <w:rPr>
                <w:rFonts w:ascii="Arial" w:hAnsi="Arial" w:cs="Arial"/>
                <w:sz w:val="16"/>
                <w:szCs w:val="16"/>
              </w:rPr>
            </w:pPr>
            <w:r w:rsidRPr="001F151E">
              <w:rPr>
                <w:rFonts w:ascii="Arial" w:hAnsi="Arial" w:cs="Arial"/>
                <w:sz w:val="16"/>
                <w:szCs w:val="16"/>
              </w:rPr>
              <w:t xml:space="preserve">Introduce and regularise as part of the </w:t>
            </w:r>
            <w:r w:rsidR="00C43F23" w:rsidRPr="001F151E">
              <w:rPr>
                <w:rFonts w:ascii="Arial" w:hAnsi="Arial" w:cs="Arial"/>
                <w:sz w:val="16"/>
                <w:szCs w:val="16"/>
              </w:rPr>
              <w:t xml:space="preserve">MTBP procedures and </w:t>
            </w:r>
            <w:r w:rsidRPr="001F151E">
              <w:rPr>
                <w:rFonts w:ascii="Arial" w:hAnsi="Arial" w:cs="Arial"/>
                <w:sz w:val="16"/>
                <w:szCs w:val="16"/>
              </w:rPr>
              <w:t>budget documentation an overview of deviations between MTBP ceilings and budget ceilings as approved by parliament.</w:t>
            </w:r>
          </w:p>
        </w:tc>
        <w:tc>
          <w:tcPr>
            <w:tcW w:w="825" w:type="dxa"/>
            <w:tcBorders>
              <w:top w:val="single" w:sz="4" w:space="0" w:color="auto"/>
              <w:left w:val="single" w:sz="4" w:space="0" w:color="auto"/>
              <w:right w:val="single" w:sz="4" w:space="0" w:color="auto"/>
            </w:tcBorders>
            <w:vAlign w:val="center"/>
          </w:tcPr>
          <w:p w14:paraId="3DD83AF6" w14:textId="00B35AA7" w:rsidR="002D6DF5" w:rsidRPr="001F151E" w:rsidRDefault="008712A0" w:rsidP="00DE3581">
            <w:pPr>
              <w:jc w:val="center"/>
              <w:rPr>
                <w:sz w:val="16"/>
                <w:szCs w:val="16"/>
              </w:rPr>
            </w:pPr>
            <w:r w:rsidRPr="00DE3581">
              <w:rPr>
                <w:sz w:val="16"/>
                <w:szCs w:val="16"/>
              </w:rPr>
              <w:t>Q</w:t>
            </w:r>
            <w:r w:rsidR="00DE3581" w:rsidRPr="00DE3581">
              <w:rPr>
                <w:sz w:val="16"/>
                <w:szCs w:val="16"/>
              </w:rPr>
              <w:t>3</w:t>
            </w:r>
            <w:r w:rsidRPr="00DE3581">
              <w:rPr>
                <w:sz w:val="16"/>
                <w:szCs w:val="16"/>
              </w:rPr>
              <w:t xml:space="preserve"> 2024</w:t>
            </w:r>
          </w:p>
        </w:tc>
        <w:tc>
          <w:tcPr>
            <w:tcW w:w="795" w:type="dxa"/>
            <w:tcBorders>
              <w:top w:val="single" w:sz="4" w:space="0" w:color="auto"/>
              <w:left w:val="single" w:sz="4" w:space="0" w:color="auto"/>
              <w:right w:val="single" w:sz="4" w:space="0" w:color="auto"/>
            </w:tcBorders>
            <w:vAlign w:val="center"/>
          </w:tcPr>
          <w:p w14:paraId="2B5ACA42" w14:textId="48132FE5" w:rsidR="002D6DF5" w:rsidRPr="001F151E" w:rsidRDefault="002D6DF5" w:rsidP="00AD5107">
            <w:pPr>
              <w:jc w:val="center"/>
              <w:rPr>
                <w:sz w:val="16"/>
                <w:szCs w:val="16"/>
              </w:rPr>
            </w:pPr>
            <w:r w:rsidRPr="001F151E">
              <w:rPr>
                <w:sz w:val="16"/>
                <w:szCs w:val="16"/>
              </w:rPr>
              <w:t>Q4 2025</w:t>
            </w:r>
          </w:p>
        </w:tc>
        <w:tc>
          <w:tcPr>
            <w:tcW w:w="1551" w:type="dxa"/>
            <w:vMerge/>
            <w:tcBorders>
              <w:left w:val="single" w:sz="4" w:space="0" w:color="auto"/>
              <w:right w:val="single" w:sz="4" w:space="0" w:color="auto"/>
            </w:tcBorders>
            <w:vAlign w:val="center"/>
          </w:tcPr>
          <w:p w14:paraId="550E061D" w14:textId="77777777" w:rsidR="002D6DF5" w:rsidRPr="001F151E" w:rsidRDefault="002D6DF5" w:rsidP="002B7FF8">
            <w:pPr>
              <w:spacing w:line="240" w:lineRule="auto"/>
              <w:rPr>
                <w:sz w:val="16"/>
                <w:szCs w:val="16"/>
              </w:rPr>
            </w:pPr>
          </w:p>
        </w:tc>
      </w:tr>
      <w:tr w:rsidR="00B515C9" w:rsidRPr="001F151E" w14:paraId="6F10C7F2" w14:textId="77777777" w:rsidTr="00B515C9">
        <w:trPr>
          <w:trHeight w:val="1325"/>
        </w:trPr>
        <w:tc>
          <w:tcPr>
            <w:tcW w:w="2065" w:type="dxa"/>
            <w:tcBorders>
              <w:top w:val="single" w:sz="4" w:space="0" w:color="auto"/>
              <w:left w:val="single" w:sz="4" w:space="0" w:color="auto"/>
              <w:right w:val="single" w:sz="4" w:space="0" w:color="auto"/>
            </w:tcBorders>
            <w:hideMark/>
          </w:tcPr>
          <w:p w14:paraId="298A5FC1" w14:textId="77777777" w:rsidR="00015E3F" w:rsidRDefault="00015E3F" w:rsidP="00A846BA">
            <w:pPr>
              <w:rPr>
                <w:b/>
                <w:bCs/>
                <w:sz w:val="16"/>
                <w:szCs w:val="16"/>
              </w:rPr>
            </w:pPr>
            <w:r w:rsidRPr="001F151E">
              <w:rPr>
                <w:b/>
                <w:bCs/>
                <w:sz w:val="16"/>
                <w:szCs w:val="16"/>
              </w:rPr>
              <w:t xml:space="preserve">Measure 2.2.2 </w:t>
            </w:r>
          </w:p>
          <w:p w14:paraId="1D85190D" w14:textId="1047B228" w:rsidR="00015E3F" w:rsidRPr="001F151E" w:rsidRDefault="00015E3F" w:rsidP="00A846BA">
            <w:pPr>
              <w:rPr>
                <w:sz w:val="16"/>
                <w:szCs w:val="16"/>
              </w:rPr>
            </w:pPr>
            <w:r w:rsidRPr="001F151E">
              <w:rPr>
                <w:b/>
                <w:bCs/>
                <w:sz w:val="16"/>
                <w:szCs w:val="16"/>
              </w:rPr>
              <w:t>Enhance budget documentation and in particular the element of performance information</w:t>
            </w:r>
          </w:p>
        </w:tc>
        <w:tc>
          <w:tcPr>
            <w:tcW w:w="3780" w:type="dxa"/>
            <w:tcBorders>
              <w:top w:val="single" w:sz="4" w:space="0" w:color="auto"/>
              <w:left w:val="single" w:sz="4" w:space="0" w:color="auto"/>
              <w:right w:val="single" w:sz="4" w:space="0" w:color="auto"/>
            </w:tcBorders>
            <w:vAlign w:val="center"/>
          </w:tcPr>
          <w:p w14:paraId="161EB98E" w14:textId="5D52ADE3" w:rsidR="00015E3F" w:rsidRPr="002E6AB5" w:rsidRDefault="00015E3F" w:rsidP="00B45892">
            <w:pPr>
              <w:pStyle w:val="ListParagraph"/>
              <w:numPr>
                <w:ilvl w:val="0"/>
                <w:numId w:val="79"/>
              </w:numPr>
              <w:rPr>
                <w:sz w:val="16"/>
                <w:szCs w:val="16"/>
              </w:rPr>
            </w:pPr>
            <w:r w:rsidRPr="001F151E">
              <w:rPr>
                <w:sz w:val="16"/>
                <w:szCs w:val="16"/>
              </w:rPr>
              <w:t xml:space="preserve">Assist Budget Institutions with improving performance information in the budget through capacity development activities and quality assurance systems. </w:t>
            </w:r>
          </w:p>
        </w:tc>
        <w:tc>
          <w:tcPr>
            <w:tcW w:w="825" w:type="dxa"/>
            <w:tcBorders>
              <w:top w:val="single" w:sz="4" w:space="0" w:color="auto"/>
              <w:left w:val="single" w:sz="4" w:space="0" w:color="auto"/>
              <w:right w:val="single" w:sz="4" w:space="0" w:color="auto"/>
            </w:tcBorders>
            <w:vAlign w:val="center"/>
          </w:tcPr>
          <w:p w14:paraId="4B5F0662" w14:textId="77777777" w:rsidR="00015E3F" w:rsidRPr="001F151E" w:rsidRDefault="00015E3F" w:rsidP="00A846BA">
            <w:pPr>
              <w:jc w:val="center"/>
              <w:rPr>
                <w:color w:val="FF0000"/>
                <w:sz w:val="16"/>
                <w:szCs w:val="16"/>
              </w:rPr>
            </w:pPr>
            <w:r>
              <w:rPr>
                <w:sz w:val="16"/>
                <w:szCs w:val="16"/>
              </w:rPr>
              <w:t>Q4 2024</w:t>
            </w:r>
          </w:p>
          <w:p w14:paraId="33C1280C" w14:textId="47E5B4D5" w:rsidR="00015E3F" w:rsidRPr="001F151E" w:rsidRDefault="00015E3F" w:rsidP="002E6AB5">
            <w:pPr>
              <w:rPr>
                <w:color w:val="FF0000"/>
                <w:sz w:val="16"/>
                <w:szCs w:val="16"/>
              </w:rPr>
            </w:pPr>
          </w:p>
        </w:tc>
        <w:tc>
          <w:tcPr>
            <w:tcW w:w="795" w:type="dxa"/>
            <w:tcBorders>
              <w:top w:val="single" w:sz="4" w:space="0" w:color="auto"/>
              <w:left w:val="single" w:sz="4" w:space="0" w:color="auto"/>
              <w:right w:val="single" w:sz="4" w:space="0" w:color="auto"/>
            </w:tcBorders>
            <w:vAlign w:val="center"/>
          </w:tcPr>
          <w:p w14:paraId="3B115119" w14:textId="77777777" w:rsidR="00015E3F" w:rsidRPr="001F151E" w:rsidRDefault="00015E3F" w:rsidP="00A846BA">
            <w:pPr>
              <w:jc w:val="center"/>
              <w:rPr>
                <w:color w:val="FF0000"/>
                <w:sz w:val="16"/>
                <w:szCs w:val="16"/>
              </w:rPr>
            </w:pPr>
            <w:r>
              <w:rPr>
                <w:sz w:val="16"/>
                <w:szCs w:val="16"/>
              </w:rPr>
              <w:t>Q2 2025</w:t>
            </w:r>
          </w:p>
          <w:p w14:paraId="142A1553" w14:textId="52572146" w:rsidR="00015E3F" w:rsidRPr="001F151E" w:rsidRDefault="00015E3F" w:rsidP="002E6AB5">
            <w:pPr>
              <w:rPr>
                <w:color w:val="FF0000"/>
                <w:sz w:val="16"/>
                <w:szCs w:val="16"/>
              </w:rPr>
            </w:pPr>
          </w:p>
        </w:tc>
        <w:tc>
          <w:tcPr>
            <w:tcW w:w="1551" w:type="dxa"/>
            <w:tcBorders>
              <w:top w:val="single" w:sz="4" w:space="0" w:color="auto"/>
              <w:left w:val="single" w:sz="4" w:space="0" w:color="auto"/>
              <w:right w:val="single" w:sz="4" w:space="0" w:color="auto"/>
            </w:tcBorders>
          </w:tcPr>
          <w:p w14:paraId="2D80D723" w14:textId="77777777" w:rsidR="00015E3F" w:rsidRPr="001F151E" w:rsidRDefault="00015E3F" w:rsidP="00A846BA">
            <w:pPr>
              <w:rPr>
                <w:b/>
                <w:bCs/>
                <w:sz w:val="16"/>
                <w:szCs w:val="16"/>
              </w:rPr>
            </w:pPr>
            <w:r w:rsidRPr="001F151E">
              <w:rPr>
                <w:b/>
                <w:bCs/>
                <w:sz w:val="16"/>
                <w:szCs w:val="16"/>
              </w:rPr>
              <w:t xml:space="preserve">Responsible entity: </w:t>
            </w:r>
          </w:p>
          <w:p w14:paraId="42CA2637" w14:textId="77777777" w:rsidR="00015E3F" w:rsidRPr="001F151E" w:rsidRDefault="00015E3F" w:rsidP="00A846BA">
            <w:pPr>
              <w:pStyle w:val="EcorysBody"/>
              <w:rPr>
                <w:rFonts w:ascii="Arial" w:hAnsi="Arial" w:cs="Arial"/>
                <w:sz w:val="16"/>
                <w:szCs w:val="16"/>
              </w:rPr>
            </w:pPr>
            <w:r w:rsidRPr="001F151E">
              <w:rPr>
                <w:rFonts w:ascii="Arial" w:hAnsi="Arial" w:cs="Arial"/>
                <w:sz w:val="16"/>
                <w:szCs w:val="16"/>
              </w:rPr>
              <w:t>DAPB (lead), DBM</w:t>
            </w:r>
          </w:p>
          <w:p w14:paraId="6028F747" w14:textId="77777777" w:rsidR="00015E3F" w:rsidRPr="001F151E" w:rsidRDefault="00015E3F" w:rsidP="00A846BA"/>
          <w:p w14:paraId="1EA33CD5" w14:textId="77777777" w:rsidR="00015E3F" w:rsidRPr="001F151E" w:rsidRDefault="00015E3F" w:rsidP="00A846BA">
            <w:pPr>
              <w:pStyle w:val="EcorysBody"/>
              <w:rPr>
                <w:rFonts w:ascii="Arial" w:hAnsi="Arial" w:cs="Arial"/>
                <w:b/>
                <w:bCs/>
                <w:sz w:val="16"/>
                <w:szCs w:val="16"/>
              </w:rPr>
            </w:pPr>
            <w:r w:rsidRPr="001F151E">
              <w:rPr>
                <w:rFonts w:ascii="Arial" w:hAnsi="Arial" w:cs="Arial"/>
                <w:b/>
                <w:bCs/>
                <w:sz w:val="16"/>
                <w:szCs w:val="16"/>
              </w:rPr>
              <w:t>Partners:</w:t>
            </w:r>
          </w:p>
          <w:p w14:paraId="77616947" w14:textId="77777777" w:rsidR="00015E3F" w:rsidRPr="001F151E" w:rsidRDefault="00015E3F" w:rsidP="00A846BA">
            <w:pPr>
              <w:pStyle w:val="EcorysBody"/>
              <w:rPr>
                <w:rFonts w:ascii="Arial" w:hAnsi="Arial" w:cs="Arial"/>
                <w:sz w:val="16"/>
                <w:szCs w:val="16"/>
              </w:rPr>
            </w:pPr>
            <w:r w:rsidRPr="001F151E">
              <w:rPr>
                <w:rFonts w:ascii="Arial" w:hAnsi="Arial" w:cs="Arial"/>
                <w:sz w:val="16"/>
                <w:szCs w:val="16"/>
              </w:rPr>
              <w:t>EU</w:t>
            </w:r>
            <w:r w:rsidRPr="001F151E">
              <w:rPr>
                <w:rStyle w:val="FootnoteReference"/>
                <w:rFonts w:cs="Arial"/>
              </w:rPr>
              <w:footnoteReference w:id="18"/>
            </w:r>
          </w:p>
        </w:tc>
      </w:tr>
      <w:tr w:rsidR="00B515C9" w:rsidRPr="001F151E" w14:paraId="71DEDD36" w14:textId="77777777" w:rsidTr="00B515C9">
        <w:trPr>
          <w:trHeight w:val="20"/>
        </w:trPr>
        <w:tc>
          <w:tcPr>
            <w:tcW w:w="2065" w:type="dxa"/>
            <w:vMerge w:val="restart"/>
            <w:tcBorders>
              <w:top w:val="single" w:sz="4" w:space="0" w:color="auto"/>
              <w:left w:val="single" w:sz="4" w:space="0" w:color="auto"/>
              <w:bottom w:val="single" w:sz="4" w:space="0" w:color="auto"/>
              <w:right w:val="single" w:sz="4" w:space="0" w:color="auto"/>
            </w:tcBorders>
            <w:hideMark/>
          </w:tcPr>
          <w:p w14:paraId="52A2F2FA" w14:textId="77777777" w:rsidR="00B76369" w:rsidRDefault="00A846BA" w:rsidP="00A846BA">
            <w:pPr>
              <w:rPr>
                <w:b/>
                <w:bCs/>
                <w:sz w:val="16"/>
                <w:szCs w:val="16"/>
              </w:rPr>
            </w:pPr>
            <w:r w:rsidRPr="001F151E">
              <w:rPr>
                <w:b/>
                <w:bCs/>
                <w:sz w:val="16"/>
                <w:szCs w:val="16"/>
              </w:rPr>
              <w:t xml:space="preserve">Measure 2.2.3 </w:t>
            </w:r>
          </w:p>
          <w:p w14:paraId="2A17C0D5" w14:textId="3C8843EF" w:rsidR="00A846BA" w:rsidRPr="001F151E" w:rsidRDefault="00A846BA" w:rsidP="00A846BA">
            <w:pPr>
              <w:rPr>
                <w:sz w:val="16"/>
                <w:szCs w:val="16"/>
              </w:rPr>
            </w:pPr>
            <w:r w:rsidRPr="001F151E">
              <w:rPr>
                <w:b/>
                <w:bCs/>
                <w:sz w:val="16"/>
                <w:szCs w:val="16"/>
              </w:rPr>
              <w:t xml:space="preserve">Introduce </w:t>
            </w:r>
            <w:r w:rsidR="00DF2E07">
              <w:rPr>
                <w:b/>
                <w:bCs/>
                <w:sz w:val="16"/>
                <w:szCs w:val="16"/>
              </w:rPr>
              <w:t>spending reviews</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C4D739B" w14:textId="10CDFE49" w:rsidR="00A846BA" w:rsidRPr="001F151E" w:rsidRDefault="00A846BA" w:rsidP="00A846BA">
            <w:pPr>
              <w:pStyle w:val="ListParagraph"/>
              <w:numPr>
                <w:ilvl w:val="0"/>
                <w:numId w:val="22"/>
              </w:numPr>
              <w:rPr>
                <w:sz w:val="16"/>
                <w:szCs w:val="16"/>
              </w:rPr>
            </w:pPr>
            <w:r w:rsidRPr="001F151E">
              <w:rPr>
                <w:sz w:val="16"/>
                <w:szCs w:val="16"/>
              </w:rPr>
              <w:t>Develop a methodology for undertaking sector-specific expenditure reviews and adapt the relevant regulation.</w:t>
            </w:r>
          </w:p>
        </w:tc>
        <w:tc>
          <w:tcPr>
            <w:tcW w:w="825" w:type="dxa"/>
            <w:tcBorders>
              <w:top w:val="single" w:sz="4" w:space="0" w:color="auto"/>
              <w:left w:val="single" w:sz="4" w:space="0" w:color="auto"/>
              <w:bottom w:val="single" w:sz="4" w:space="0" w:color="auto"/>
              <w:right w:val="single" w:sz="4" w:space="0" w:color="auto"/>
            </w:tcBorders>
            <w:vAlign w:val="center"/>
          </w:tcPr>
          <w:p w14:paraId="72590568" w14:textId="351BE3DF" w:rsidR="00A846BA" w:rsidRPr="001F151E" w:rsidRDefault="00A846BA" w:rsidP="00A846BA">
            <w:pPr>
              <w:jc w:val="center"/>
              <w:rPr>
                <w:sz w:val="16"/>
                <w:szCs w:val="16"/>
              </w:rPr>
            </w:pPr>
            <w:r>
              <w:rPr>
                <w:sz w:val="16"/>
                <w:szCs w:val="16"/>
              </w:rPr>
              <w:t>Q3 2024</w:t>
            </w:r>
          </w:p>
        </w:tc>
        <w:tc>
          <w:tcPr>
            <w:tcW w:w="795" w:type="dxa"/>
            <w:tcBorders>
              <w:top w:val="single" w:sz="4" w:space="0" w:color="auto"/>
              <w:left w:val="single" w:sz="4" w:space="0" w:color="auto"/>
              <w:bottom w:val="single" w:sz="4" w:space="0" w:color="auto"/>
              <w:right w:val="single" w:sz="4" w:space="0" w:color="auto"/>
            </w:tcBorders>
            <w:vAlign w:val="center"/>
          </w:tcPr>
          <w:p w14:paraId="5C31499C" w14:textId="7E121D10" w:rsidR="00A846BA" w:rsidRPr="001F151E" w:rsidRDefault="00A846BA" w:rsidP="00A846BA">
            <w:pPr>
              <w:jc w:val="center"/>
              <w:rPr>
                <w:sz w:val="16"/>
                <w:szCs w:val="16"/>
              </w:rPr>
            </w:pPr>
            <w:r>
              <w:rPr>
                <w:sz w:val="16"/>
                <w:szCs w:val="16"/>
              </w:rPr>
              <w:t>Q2 2025</w:t>
            </w:r>
          </w:p>
        </w:tc>
        <w:tc>
          <w:tcPr>
            <w:tcW w:w="1551" w:type="dxa"/>
            <w:vMerge w:val="restart"/>
            <w:tcBorders>
              <w:top w:val="single" w:sz="4" w:space="0" w:color="auto"/>
              <w:left w:val="single" w:sz="4" w:space="0" w:color="auto"/>
              <w:bottom w:val="single" w:sz="4" w:space="0" w:color="auto"/>
              <w:right w:val="single" w:sz="4" w:space="0" w:color="auto"/>
            </w:tcBorders>
          </w:tcPr>
          <w:p w14:paraId="69E1D5FD" w14:textId="77777777" w:rsidR="00A846BA" w:rsidRPr="001F151E" w:rsidRDefault="00A846BA" w:rsidP="00A846BA">
            <w:pPr>
              <w:rPr>
                <w:b/>
                <w:bCs/>
                <w:sz w:val="16"/>
                <w:szCs w:val="16"/>
              </w:rPr>
            </w:pPr>
            <w:r w:rsidRPr="001F151E">
              <w:rPr>
                <w:b/>
                <w:bCs/>
                <w:sz w:val="16"/>
                <w:szCs w:val="16"/>
              </w:rPr>
              <w:t xml:space="preserve">Responsible entity: </w:t>
            </w:r>
          </w:p>
          <w:p w14:paraId="17DB2F77" w14:textId="4C585373" w:rsidR="00A846BA" w:rsidRPr="001F151E" w:rsidRDefault="00A846BA" w:rsidP="00A846BA">
            <w:pPr>
              <w:pStyle w:val="T-normal"/>
            </w:pPr>
            <w:r w:rsidRPr="001F151E">
              <w:t>DAPB (lead), DBM, DPIM, DFL</w:t>
            </w:r>
          </w:p>
          <w:p w14:paraId="4EB8B8ED" w14:textId="77777777" w:rsidR="00A846BA" w:rsidRPr="001F151E" w:rsidRDefault="00A846BA" w:rsidP="00A846BA">
            <w:pPr>
              <w:pStyle w:val="T-normal"/>
              <w:rPr>
                <w:b/>
                <w:bCs/>
              </w:rPr>
            </w:pPr>
          </w:p>
          <w:p w14:paraId="1F9B4DFE" w14:textId="77777777" w:rsidR="00A846BA" w:rsidRPr="001F151E" w:rsidRDefault="00A846BA" w:rsidP="00A846BA">
            <w:pPr>
              <w:pStyle w:val="EcorysBody"/>
              <w:rPr>
                <w:rFonts w:ascii="Arial" w:hAnsi="Arial" w:cs="Arial"/>
                <w:b/>
                <w:bCs/>
                <w:sz w:val="16"/>
                <w:szCs w:val="16"/>
              </w:rPr>
            </w:pPr>
            <w:r w:rsidRPr="001F151E">
              <w:rPr>
                <w:rFonts w:ascii="Arial" w:hAnsi="Arial" w:cs="Arial"/>
                <w:b/>
                <w:bCs/>
                <w:sz w:val="16"/>
                <w:szCs w:val="16"/>
              </w:rPr>
              <w:t>Partners:</w:t>
            </w:r>
          </w:p>
          <w:p w14:paraId="240BC059" w14:textId="612B6223" w:rsidR="00A846BA" w:rsidRPr="001F151E" w:rsidRDefault="00A846BA" w:rsidP="00A846BA">
            <w:pPr>
              <w:pStyle w:val="EcorysBody"/>
              <w:rPr>
                <w:rFonts w:ascii="Arial" w:hAnsi="Arial" w:cs="Arial"/>
                <w:sz w:val="16"/>
                <w:szCs w:val="16"/>
              </w:rPr>
            </w:pPr>
            <w:r w:rsidRPr="001F151E">
              <w:rPr>
                <w:rFonts w:ascii="Arial" w:hAnsi="Arial" w:cs="Arial"/>
                <w:sz w:val="16"/>
                <w:szCs w:val="16"/>
              </w:rPr>
              <w:t>EU</w:t>
            </w:r>
            <w:r w:rsidRPr="001F151E">
              <w:rPr>
                <w:rStyle w:val="FootnoteReference"/>
                <w:rFonts w:cs="Arial"/>
              </w:rPr>
              <w:footnoteReference w:id="19"/>
            </w:r>
          </w:p>
        </w:tc>
      </w:tr>
      <w:tr w:rsidR="00B515C9" w:rsidRPr="001F151E" w14:paraId="27BA0CB5" w14:textId="77777777" w:rsidTr="00B515C9">
        <w:trPr>
          <w:trHeight w:val="20"/>
        </w:trPr>
        <w:tc>
          <w:tcPr>
            <w:tcW w:w="2065" w:type="dxa"/>
            <w:vMerge/>
            <w:tcBorders>
              <w:top w:val="single" w:sz="4" w:space="0" w:color="auto"/>
              <w:left w:val="single" w:sz="4" w:space="0" w:color="auto"/>
              <w:bottom w:val="single" w:sz="4" w:space="0" w:color="auto"/>
              <w:right w:val="single" w:sz="4" w:space="0" w:color="auto"/>
            </w:tcBorders>
            <w:vAlign w:val="center"/>
            <w:hideMark/>
          </w:tcPr>
          <w:p w14:paraId="0DD95A61" w14:textId="77777777" w:rsidR="00A846BA" w:rsidRPr="001F151E" w:rsidRDefault="00A846BA" w:rsidP="00A846BA">
            <w:pPr>
              <w:spacing w:line="240" w:lineRule="auto"/>
              <w:rPr>
                <w:sz w:val="16"/>
                <w:szCs w:val="16"/>
              </w:rPr>
            </w:pPr>
          </w:p>
        </w:tc>
        <w:tc>
          <w:tcPr>
            <w:tcW w:w="3780" w:type="dxa"/>
            <w:tcBorders>
              <w:top w:val="single" w:sz="4" w:space="0" w:color="auto"/>
              <w:left w:val="single" w:sz="4" w:space="0" w:color="auto"/>
              <w:right w:val="single" w:sz="4" w:space="0" w:color="auto"/>
            </w:tcBorders>
            <w:vAlign w:val="center"/>
            <w:hideMark/>
          </w:tcPr>
          <w:p w14:paraId="666CF528" w14:textId="77777777" w:rsidR="00A846BA" w:rsidRPr="001F151E" w:rsidRDefault="00A846BA" w:rsidP="00A846BA">
            <w:pPr>
              <w:pStyle w:val="ListParagraph"/>
              <w:numPr>
                <w:ilvl w:val="0"/>
                <w:numId w:val="22"/>
              </w:numPr>
              <w:rPr>
                <w:sz w:val="16"/>
                <w:szCs w:val="16"/>
              </w:rPr>
            </w:pPr>
            <w:r w:rsidRPr="001F151E">
              <w:rPr>
                <w:sz w:val="16"/>
                <w:szCs w:val="16"/>
              </w:rPr>
              <w:t>Pilot the expenditure review in selected sectors / Budget Institutions; adapt the methodology and rollout to other sectors through capacity development activities.</w:t>
            </w:r>
          </w:p>
        </w:tc>
        <w:tc>
          <w:tcPr>
            <w:tcW w:w="825" w:type="dxa"/>
            <w:tcBorders>
              <w:top w:val="single" w:sz="4" w:space="0" w:color="auto"/>
              <w:left w:val="single" w:sz="4" w:space="0" w:color="auto"/>
              <w:right w:val="single" w:sz="4" w:space="0" w:color="auto"/>
            </w:tcBorders>
            <w:vAlign w:val="center"/>
          </w:tcPr>
          <w:p w14:paraId="7D05E907" w14:textId="390ADC95" w:rsidR="00A846BA" w:rsidRPr="001F151E" w:rsidRDefault="00A846BA" w:rsidP="00A846BA">
            <w:pPr>
              <w:jc w:val="center"/>
              <w:rPr>
                <w:color w:val="FF0000"/>
                <w:sz w:val="16"/>
                <w:szCs w:val="16"/>
              </w:rPr>
            </w:pPr>
            <w:r>
              <w:rPr>
                <w:sz w:val="16"/>
                <w:szCs w:val="16"/>
              </w:rPr>
              <w:t>Q1 2026</w:t>
            </w:r>
          </w:p>
        </w:tc>
        <w:tc>
          <w:tcPr>
            <w:tcW w:w="795" w:type="dxa"/>
            <w:tcBorders>
              <w:top w:val="single" w:sz="4" w:space="0" w:color="auto"/>
              <w:left w:val="single" w:sz="4" w:space="0" w:color="auto"/>
              <w:right w:val="single" w:sz="4" w:space="0" w:color="auto"/>
            </w:tcBorders>
            <w:vAlign w:val="center"/>
          </w:tcPr>
          <w:p w14:paraId="66C9A827" w14:textId="22B983D6" w:rsidR="00A846BA" w:rsidRPr="001F151E" w:rsidRDefault="00A846BA" w:rsidP="00A846BA">
            <w:pPr>
              <w:jc w:val="center"/>
              <w:rPr>
                <w:sz w:val="16"/>
                <w:szCs w:val="16"/>
              </w:rPr>
            </w:pPr>
            <w:r>
              <w:rPr>
                <w:sz w:val="16"/>
                <w:szCs w:val="16"/>
              </w:rPr>
              <w:t>Q4 2026</w:t>
            </w:r>
          </w:p>
        </w:tc>
        <w:tc>
          <w:tcPr>
            <w:tcW w:w="1551" w:type="dxa"/>
            <w:vMerge/>
            <w:tcBorders>
              <w:top w:val="single" w:sz="4" w:space="0" w:color="auto"/>
              <w:left w:val="single" w:sz="4" w:space="0" w:color="auto"/>
              <w:bottom w:val="single" w:sz="4" w:space="0" w:color="auto"/>
              <w:right w:val="single" w:sz="4" w:space="0" w:color="auto"/>
            </w:tcBorders>
            <w:vAlign w:val="center"/>
            <w:hideMark/>
          </w:tcPr>
          <w:p w14:paraId="6144CEAF" w14:textId="77777777" w:rsidR="00A846BA" w:rsidRPr="001F151E" w:rsidRDefault="00A846BA" w:rsidP="00A846BA">
            <w:pPr>
              <w:spacing w:line="240" w:lineRule="auto"/>
              <w:rPr>
                <w:sz w:val="16"/>
                <w:szCs w:val="16"/>
              </w:rPr>
            </w:pPr>
          </w:p>
        </w:tc>
      </w:tr>
      <w:tr w:rsidR="00B515C9" w:rsidRPr="001F151E" w14:paraId="4E702A1B" w14:textId="77777777" w:rsidTr="00B515C9">
        <w:trPr>
          <w:trHeight w:val="20"/>
        </w:trPr>
        <w:tc>
          <w:tcPr>
            <w:tcW w:w="2065" w:type="dxa"/>
            <w:vMerge w:val="restart"/>
            <w:tcBorders>
              <w:top w:val="single" w:sz="4" w:space="0" w:color="auto"/>
              <w:left w:val="single" w:sz="4" w:space="0" w:color="auto"/>
              <w:right w:val="single" w:sz="4" w:space="0" w:color="auto"/>
            </w:tcBorders>
            <w:hideMark/>
          </w:tcPr>
          <w:p w14:paraId="31F84AC8" w14:textId="77777777" w:rsidR="00B76369" w:rsidRDefault="00F45F0B" w:rsidP="00A846BA">
            <w:pPr>
              <w:rPr>
                <w:b/>
                <w:bCs/>
                <w:sz w:val="16"/>
                <w:szCs w:val="16"/>
              </w:rPr>
            </w:pPr>
            <w:r w:rsidRPr="001F151E">
              <w:rPr>
                <w:b/>
                <w:bCs/>
                <w:sz w:val="16"/>
                <w:szCs w:val="16"/>
              </w:rPr>
              <w:t xml:space="preserve">Measure 2.2.4 </w:t>
            </w:r>
          </w:p>
          <w:p w14:paraId="27863C45" w14:textId="505041C7" w:rsidR="00F45F0B" w:rsidRPr="001F151E" w:rsidRDefault="00F45F0B" w:rsidP="00A846BA">
            <w:pPr>
              <w:rPr>
                <w:sz w:val="16"/>
                <w:szCs w:val="16"/>
              </w:rPr>
            </w:pPr>
            <w:r w:rsidRPr="001F151E">
              <w:rPr>
                <w:b/>
                <w:bCs/>
                <w:sz w:val="16"/>
                <w:szCs w:val="16"/>
              </w:rPr>
              <w:t xml:space="preserve">Further develop and introduce gender-responsive budgeting </w:t>
            </w:r>
            <w:r>
              <w:rPr>
                <w:b/>
                <w:bCs/>
                <w:sz w:val="16"/>
                <w:szCs w:val="16"/>
              </w:rPr>
              <w:t>and climate-responsive budgeting</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3C2E59A" w14:textId="0899E2A7" w:rsidR="00F45F0B" w:rsidRPr="001F151E" w:rsidRDefault="00F45F0B" w:rsidP="00A846BA">
            <w:pPr>
              <w:pStyle w:val="ListParagraph"/>
              <w:numPr>
                <w:ilvl w:val="0"/>
                <w:numId w:val="23"/>
              </w:numPr>
              <w:rPr>
                <w:sz w:val="16"/>
                <w:szCs w:val="16"/>
              </w:rPr>
            </w:pPr>
            <w:r>
              <w:rPr>
                <w:sz w:val="16"/>
                <w:szCs w:val="16"/>
              </w:rPr>
              <w:t>Review budget methodology to include ex ante and ex post gender analysis as a procedure to be undertaken by LM and BI in the process of proposing NPI</w:t>
            </w:r>
          </w:p>
        </w:tc>
        <w:tc>
          <w:tcPr>
            <w:tcW w:w="825" w:type="dxa"/>
            <w:tcBorders>
              <w:top w:val="single" w:sz="4" w:space="0" w:color="auto"/>
              <w:left w:val="single" w:sz="4" w:space="0" w:color="auto"/>
              <w:bottom w:val="single" w:sz="4" w:space="0" w:color="auto"/>
              <w:right w:val="single" w:sz="4" w:space="0" w:color="auto"/>
            </w:tcBorders>
            <w:vAlign w:val="center"/>
          </w:tcPr>
          <w:p w14:paraId="46EF2A2C" w14:textId="7C7AB42D" w:rsidR="00F45F0B" w:rsidRPr="001F151E" w:rsidRDefault="00F45F0B" w:rsidP="00A846BA">
            <w:pPr>
              <w:jc w:val="center"/>
              <w:rPr>
                <w:color w:val="FF0000"/>
                <w:sz w:val="16"/>
                <w:szCs w:val="16"/>
              </w:rPr>
            </w:pPr>
            <w:r>
              <w:rPr>
                <w:sz w:val="16"/>
                <w:szCs w:val="16"/>
              </w:rPr>
              <w:t>Q1 2025</w:t>
            </w:r>
          </w:p>
        </w:tc>
        <w:tc>
          <w:tcPr>
            <w:tcW w:w="795" w:type="dxa"/>
            <w:tcBorders>
              <w:top w:val="single" w:sz="4" w:space="0" w:color="auto"/>
              <w:left w:val="single" w:sz="4" w:space="0" w:color="auto"/>
              <w:bottom w:val="single" w:sz="4" w:space="0" w:color="auto"/>
              <w:right w:val="single" w:sz="4" w:space="0" w:color="auto"/>
            </w:tcBorders>
            <w:vAlign w:val="center"/>
          </w:tcPr>
          <w:p w14:paraId="6031C308" w14:textId="00CB5562" w:rsidR="00F45F0B" w:rsidRPr="001F151E" w:rsidRDefault="00F45F0B" w:rsidP="00A846BA">
            <w:pPr>
              <w:jc w:val="center"/>
              <w:rPr>
                <w:sz w:val="16"/>
                <w:szCs w:val="16"/>
              </w:rPr>
            </w:pPr>
            <w:r>
              <w:rPr>
                <w:sz w:val="16"/>
                <w:szCs w:val="16"/>
              </w:rPr>
              <w:t>Q3 2025</w:t>
            </w:r>
          </w:p>
        </w:tc>
        <w:tc>
          <w:tcPr>
            <w:tcW w:w="1551" w:type="dxa"/>
            <w:vMerge w:val="restart"/>
            <w:tcBorders>
              <w:top w:val="single" w:sz="4" w:space="0" w:color="auto"/>
              <w:left w:val="single" w:sz="4" w:space="0" w:color="auto"/>
              <w:right w:val="single" w:sz="4" w:space="0" w:color="auto"/>
            </w:tcBorders>
          </w:tcPr>
          <w:p w14:paraId="7013FD12" w14:textId="77777777" w:rsidR="00F45F0B" w:rsidRPr="001F151E" w:rsidRDefault="00F45F0B" w:rsidP="00A846BA">
            <w:pPr>
              <w:pStyle w:val="T-normal"/>
              <w:rPr>
                <w:b/>
                <w:bCs/>
              </w:rPr>
            </w:pPr>
            <w:r w:rsidRPr="001F151E">
              <w:rPr>
                <w:b/>
                <w:bCs/>
              </w:rPr>
              <w:t>Responsible entity:</w:t>
            </w:r>
          </w:p>
          <w:p w14:paraId="49E07C59" w14:textId="77777777" w:rsidR="00F45F0B" w:rsidRPr="001F151E" w:rsidRDefault="00F45F0B" w:rsidP="00A846BA">
            <w:pPr>
              <w:pStyle w:val="T-normal"/>
            </w:pPr>
            <w:r w:rsidRPr="001F151E">
              <w:t>DAPB (lead)</w:t>
            </w:r>
          </w:p>
          <w:p w14:paraId="440F2FE2" w14:textId="77777777" w:rsidR="00F45F0B" w:rsidRPr="001F151E" w:rsidRDefault="00F45F0B" w:rsidP="00A846BA">
            <w:pPr>
              <w:pStyle w:val="T-normal"/>
            </w:pPr>
          </w:p>
          <w:p w14:paraId="15ACCADE" w14:textId="77777777" w:rsidR="00F45F0B" w:rsidRPr="001F151E" w:rsidRDefault="00F45F0B" w:rsidP="00A846BA">
            <w:pPr>
              <w:pStyle w:val="EcorysBody"/>
              <w:rPr>
                <w:b/>
                <w:bCs/>
                <w:sz w:val="16"/>
                <w:szCs w:val="16"/>
              </w:rPr>
            </w:pPr>
            <w:r w:rsidRPr="001F151E">
              <w:rPr>
                <w:rFonts w:ascii="Arial" w:hAnsi="Arial" w:cs="Arial"/>
                <w:b/>
                <w:bCs/>
                <w:kern w:val="2"/>
                <w:sz w:val="16"/>
                <w:szCs w:val="16"/>
                <w14:ligatures w14:val="standardContextual"/>
              </w:rPr>
              <w:t>Partners:</w:t>
            </w:r>
          </w:p>
          <w:p w14:paraId="20EF715B" w14:textId="77777777" w:rsidR="00F45F0B" w:rsidRPr="001F151E" w:rsidRDefault="00F45F0B" w:rsidP="00A846BA">
            <w:pPr>
              <w:pStyle w:val="EcorysBody"/>
              <w:rPr>
                <w:rFonts w:ascii="Arial" w:hAnsi="Arial" w:cs="Arial"/>
                <w:sz w:val="16"/>
                <w:szCs w:val="16"/>
              </w:rPr>
            </w:pPr>
            <w:r w:rsidRPr="001F151E">
              <w:rPr>
                <w:rFonts w:ascii="Arial" w:hAnsi="Arial" w:cs="Arial"/>
                <w:sz w:val="16"/>
                <w:szCs w:val="16"/>
              </w:rPr>
              <w:lastRenderedPageBreak/>
              <w:t>UN Women, WB and GIZ</w:t>
            </w:r>
          </w:p>
          <w:p w14:paraId="1CDC6735" w14:textId="77777777" w:rsidR="00F45F0B" w:rsidRPr="001F151E" w:rsidRDefault="00F45F0B" w:rsidP="00A846BA">
            <w:pPr>
              <w:pStyle w:val="EcorysBody"/>
              <w:rPr>
                <w:rFonts w:ascii="Arial" w:hAnsi="Arial" w:cs="Arial"/>
                <w:sz w:val="16"/>
                <w:szCs w:val="16"/>
              </w:rPr>
            </w:pPr>
          </w:p>
        </w:tc>
      </w:tr>
      <w:tr w:rsidR="00B515C9" w:rsidRPr="001F151E" w14:paraId="4E3BB7E0" w14:textId="77777777" w:rsidTr="00B515C9">
        <w:trPr>
          <w:trHeight w:val="42"/>
        </w:trPr>
        <w:tc>
          <w:tcPr>
            <w:tcW w:w="2065" w:type="dxa"/>
            <w:vMerge/>
            <w:tcBorders>
              <w:left w:val="single" w:sz="4" w:space="0" w:color="auto"/>
              <w:right w:val="single" w:sz="4" w:space="0" w:color="auto"/>
            </w:tcBorders>
            <w:vAlign w:val="center"/>
            <w:hideMark/>
          </w:tcPr>
          <w:p w14:paraId="400C1D15" w14:textId="77777777" w:rsidR="00F45F0B" w:rsidRPr="001F151E" w:rsidRDefault="00F45F0B" w:rsidP="00A846BA">
            <w:pPr>
              <w:spacing w:line="240" w:lineRule="auto"/>
              <w:rPr>
                <w:sz w:val="16"/>
                <w:szCs w:val="16"/>
              </w:rPr>
            </w:pPr>
          </w:p>
        </w:tc>
        <w:tc>
          <w:tcPr>
            <w:tcW w:w="3780" w:type="dxa"/>
            <w:tcBorders>
              <w:top w:val="single" w:sz="4" w:space="0" w:color="auto"/>
              <w:left w:val="single" w:sz="4" w:space="0" w:color="auto"/>
              <w:bottom w:val="single" w:sz="4" w:space="0" w:color="auto"/>
              <w:right w:val="single" w:sz="4" w:space="0" w:color="auto"/>
            </w:tcBorders>
            <w:vAlign w:val="center"/>
            <w:hideMark/>
          </w:tcPr>
          <w:p w14:paraId="2BC48F37" w14:textId="7298DF3E" w:rsidR="00F45F0B" w:rsidRPr="001F151E" w:rsidRDefault="00F45F0B" w:rsidP="00A846BA">
            <w:pPr>
              <w:pStyle w:val="ListParagraph"/>
              <w:numPr>
                <w:ilvl w:val="0"/>
                <w:numId w:val="23"/>
              </w:numPr>
              <w:rPr>
                <w:sz w:val="16"/>
                <w:szCs w:val="16"/>
              </w:rPr>
            </w:pPr>
            <w:r>
              <w:rPr>
                <w:sz w:val="16"/>
                <w:szCs w:val="16"/>
              </w:rPr>
              <w:t>Capacity building for LM and BI for conducting ex ante and ex post Gender Analysis</w:t>
            </w:r>
            <w:r w:rsidRPr="001F151E">
              <w:rPr>
                <w:sz w:val="16"/>
                <w:szCs w:val="16"/>
              </w:rPr>
              <w:t>.</w:t>
            </w:r>
          </w:p>
        </w:tc>
        <w:tc>
          <w:tcPr>
            <w:tcW w:w="825" w:type="dxa"/>
            <w:tcBorders>
              <w:top w:val="single" w:sz="4" w:space="0" w:color="auto"/>
              <w:left w:val="single" w:sz="4" w:space="0" w:color="auto"/>
              <w:bottom w:val="single" w:sz="4" w:space="0" w:color="auto"/>
              <w:right w:val="single" w:sz="4" w:space="0" w:color="auto"/>
            </w:tcBorders>
            <w:vAlign w:val="center"/>
          </w:tcPr>
          <w:p w14:paraId="2EB6E9A1" w14:textId="24908101" w:rsidR="00F45F0B" w:rsidRPr="001F151E" w:rsidRDefault="00F45F0B" w:rsidP="00A846BA">
            <w:pPr>
              <w:jc w:val="center"/>
              <w:rPr>
                <w:color w:val="FF0000"/>
                <w:sz w:val="16"/>
                <w:szCs w:val="16"/>
              </w:rPr>
            </w:pPr>
            <w:r>
              <w:rPr>
                <w:sz w:val="16"/>
                <w:szCs w:val="16"/>
              </w:rPr>
              <w:t>Q4 2025</w:t>
            </w:r>
          </w:p>
        </w:tc>
        <w:tc>
          <w:tcPr>
            <w:tcW w:w="795" w:type="dxa"/>
            <w:tcBorders>
              <w:top w:val="single" w:sz="4" w:space="0" w:color="auto"/>
              <w:left w:val="single" w:sz="4" w:space="0" w:color="auto"/>
              <w:bottom w:val="single" w:sz="4" w:space="0" w:color="auto"/>
              <w:right w:val="single" w:sz="4" w:space="0" w:color="auto"/>
            </w:tcBorders>
            <w:vAlign w:val="center"/>
          </w:tcPr>
          <w:p w14:paraId="3A2D8541" w14:textId="7BC89BE0" w:rsidR="00F45F0B" w:rsidRPr="001F151E" w:rsidRDefault="00F45F0B" w:rsidP="00A846BA">
            <w:pPr>
              <w:jc w:val="center"/>
              <w:rPr>
                <w:sz w:val="16"/>
                <w:szCs w:val="16"/>
              </w:rPr>
            </w:pPr>
            <w:r>
              <w:rPr>
                <w:sz w:val="16"/>
                <w:szCs w:val="16"/>
              </w:rPr>
              <w:t>Q4 2025</w:t>
            </w:r>
          </w:p>
        </w:tc>
        <w:tc>
          <w:tcPr>
            <w:tcW w:w="1551" w:type="dxa"/>
            <w:vMerge/>
            <w:tcBorders>
              <w:left w:val="single" w:sz="4" w:space="0" w:color="auto"/>
              <w:right w:val="single" w:sz="4" w:space="0" w:color="auto"/>
            </w:tcBorders>
            <w:vAlign w:val="center"/>
            <w:hideMark/>
          </w:tcPr>
          <w:p w14:paraId="7F5DD830" w14:textId="77777777" w:rsidR="00F45F0B" w:rsidRPr="001F151E" w:rsidRDefault="00F45F0B" w:rsidP="00A846BA">
            <w:pPr>
              <w:spacing w:line="240" w:lineRule="auto"/>
              <w:rPr>
                <w:sz w:val="16"/>
                <w:szCs w:val="16"/>
              </w:rPr>
            </w:pPr>
          </w:p>
        </w:tc>
      </w:tr>
      <w:tr w:rsidR="00B515C9" w:rsidRPr="001F151E" w14:paraId="098E8558" w14:textId="77777777" w:rsidTr="00B515C9">
        <w:trPr>
          <w:trHeight w:val="1104"/>
        </w:trPr>
        <w:tc>
          <w:tcPr>
            <w:tcW w:w="2065" w:type="dxa"/>
            <w:vMerge/>
            <w:tcBorders>
              <w:left w:val="single" w:sz="4" w:space="0" w:color="auto"/>
              <w:right w:val="single" w:sz="4" w:space="0" w:color="auto"/>
            </w:tcBorders>
            <w:vAlign w:val="center"/>
          </w:tcPr>
          <w:p w14:paraId="09A1C1B1" w14:textId="77777777" w:rsidR="00F45F0B" w:rsidRPr="001F151E" w:rsidRDefault="00F45F0B" w:rsidP="00A846BA">
            <w:pPr>
              <w:spacing w:line="240" w:lineRule="auto"/>
              <w:rPr>
                <w:sz w:val="16"/>
                <w:szCs w:val="16"/>
              </w:rPr>
            </w:pPr>
          </w:p>
        </w:tc>
        <w:tc>
          <w:tcPr>
            <w:tcW w:w="3780" w:type="dxa"/>
            <w:tcBorders>
              <w:top w:val="single" w:sz="4" w:space="0" w:color="auto"/>
              <w:left w:val="single" w:sz="4" w:space="0" w:color="auto"/>
              <w:bottom w:val="single" w:sz="4" w:space="0" w:color="auto"/>
              <w:right w:val="single" w:sz="4" w:space="0" w:color="auto"/>
            </w:tcBorders>
            <w:vAlign w:val="center"/>
          </w:tcPr>
          <w:p w14:paraId="1D905355" w14:textId="35473B9D" w:rsidR="00F45F0B" w:rsidRDefault="00F45F0B" w:rsidP="00A846BA">
            <w:pPr>
              <w:pStyle w:val="ListParagraph"/>
              <w:numPr>
                <w:ilvl w:val="0"/>
                <w:numId w:val="23"/>
              </w:numPr>
              <w:rPr>
                <w:sz w:val="16"/>
                <w:szCs w:val="16"/>
              </w:rPr>
            </w:pPr>
            <w:r>
              <w:rPr>
                <w:sz w:val="16"/>
                <w:szCs w:val="16"/>
              </w:rPr>
              <w:t>Develop a methodology for green / climate change-responsive budgeting and pilot the methodology for green / climate change-responsive budgeting in selected sectors / Budget Institutions.</w:t>
            </w:r>
          </w:p>
        </w:tc>
        <w:tc>
          <w:tcPr>
            <w:tcW w:w="825" w:type="dxa"/>
            <w:tcBorders>
              <w:top w:val="single" w:sz="4" w:space="0" w:color="auto"/>
              <w:left w:val="single" w:sz="4" w:space="0" w:color="auto"/>
              <w:bottom w:val="single" w:sz="4" w:space="0" w:color="auto"/>
              <w:right w:val="single" w:sz="4" w:space="0" w:color="auto"/>
            </w:tcBorders>
            <w:vAlign w:val="center"/>
          </w:tcPr>
          <w:p w14:paraId="44D9A7EA" w14:textId="08C6BD12" w:rsidR="00F45F0B" w:rsidRDefault="00F45F0B" w:rsidP="00A846BA">
            <w:pPr>
              <w:jc w:val="center"/>
              <w:rPr>
                <w:sz w:val="16"/>
                <w:szCs w:val="16"/>
              </w:rPr>
            </w:pPr>
            <w:r>
              <w:rPr>
                <w:sz w:val="16"/>
                <w:szCs w:val="16"/>
              </w:rPr>
              <w:t>Q2 2024</w:t>
            </w:r>
          </w:p>
        </w:tc>
        <w:tc>
          <w:tcPr>
            <w:tcW w:w="795" w:type="dxa"/>
            <w:tcBorders>
              <w:top w:val="single" w:sz="4" w:space="0" w:color="auto"/>
              <w:left w:val="single" w:sz="4" w:space="0" w:color="auto"/>
              <w:bottom w:val="single" w:sz="4" w:space="0" w:color="auto"/>
              <w:right w:val="single" w:sz="4" w:space="0" w:color="auto"/>
            </w:tcBorders>
            <w:vAlign w:val="center"/>
          </w:tcPr>
          <w:p w14:paraId="6D0B9326" w14:textId="4B501682" w:rsidR="00F45F0B" w:rsidRDefault="00F45F0B" w:rsidP="00A846BA">
            <w:pPr>
              <w:jc w:val="center"/>
              <w:rPr>
                <w:sz w:val="16"/>
                <w:szCs w:val="16"/>
              </w:rPr>
            </w:pPr>
            <w:r>
              <w:rPr>
                <w:sz w:val="16"/>
                <w:szCs w:val="16"/>
              </w:rPr>
              <w:t>Q4 2024</w:t>
            </w:r>
          </w:p>
        </w:tc>
        <w:tc>
          <w:tcPr>
            <w:tcW w:w="1551" w:type="dxa"/>
            <w:vMerge/>
            <w:tcBorders>
              <w:left w:val="single" w:sz="4" w:space="0" w:color="auto"/>
              <w:right w:val="single" w:sz="4" w:space="0" w:color="auto"/>
            </w:tcBorders>
            <w:vAlign w:val="center"/>
          </w:tcPr>
          <w:p w14:paraId="7018FC28" w14:textId="77777777" w:rsidR="00F45F0B" w:rsidRPr="001F151E" w:rsidRDefault="00F45F0B" w:rsidP="00A846BA">
            <w:pPr>
              <w:spacing w:line="240" w:lineRule="auto"/>
              <w:rPr>
                <w:sz w:val="16"/>
                <w:szCs w:val="16"/>
              </w:rPr>
            </w:pPr>
          </w:p>
        </w:tc>
      </w:tr>
      <w:tr w:rsidR="00B515C9" w:rsidRPr="001F151E" w14:paraId="05572C7F" w14:textId="77777777" w:rsidTr="00B515C9">
        <w:trPr>
          <w:trHeight w:val="1104"/>
        </w:trPr>
        <w:tc>
          <w:tcPr>
            <w:tcW w:w="2065" w:type="dxa"/>
            <w:tcBorders>
              <w:left w:val="single" w:sz="4" w:space="0" w:color="auto"/>
              <w:bottom w:val="single" w:sz="4" w:space="0" w:color="auto"/>
              <w:right w:val="single" w:sz="4" w:space="0" w:color="auto"/>
            </w:tcBorders>
            <w:vAlign w:val="center"/>
          </w:tcPr>
          <w:p w14:paraId="26253899" w14:textId="0E21339D" w:rsidR="00B515C9" w:rsidRPr="001F151E" w:rsidRDefault="00B515C9" w:rsidP="00B515C9">
            <w:pPr>
              <w:rPr>
                <w:sz w:val="16"/>
                <w:szCs w:val="16"/>
              </w:rPr>
            </w:pPr>
            <w:r w:rsidRPr="00B515C9">
              <w:rPr>
                <w:b/>
                <w:bCs/>
                <w:sz w:val="16"/>
                <w:szCs w:val="16"/>
              </w:rPr>
              <w:lastRenderedPageBreak/>
              <w:t>Measure 2.2.5 Approval of the PPD together</w:t>
            </w:r>
            <w:r>
              <w:rPr>
                <w:sz w:val="16"/>
                <w:szCs w:val="16"/>
              </w:rPr>
              <w:t xml:space="preserve"> </w:t>
            </w:r>
            <w:r w:rsidRPr="00B515C9">
              <w:rPr>
                <w:b/>
                <w:sz w:val="16"/>
                <w:szCs w:val="16"/>
              </w:rPr>
              <w:t xml:space="preserve">with the </w:t>
            </w:r>
            <w:r>
              <w:rPr>
                <w:b/>
                <w:sz w:val="16"/>
                <w:szCs w:val="16"/>
              </w:rPr>
              <w:t>NSPP</w:t>
            </w:r>
          </w:p>
        </w:tc>
        <w:tc>
          <w:tcPr>
            <w:tcW w:w="3780" w:type="dxa"/>
            <w:tcBorders>
              <w:top w:val="single" w:sz="4" w:space="0" w:color="auto"/>
              <w:left w:val="single" w:sz="4" w:space="0" w:color="auto"/>
              <w:right w:val="single" w:sz="4" w:space="0" w:color="auto"/>
            </w:tcBorders>
            <w:vAlign w:val="center"/>
          </w:tcPr>
          <w:p w14:paraId="7CF906D7" w14:textId="6BEDEA43" w:rsidR="00B515C9" w:rsidRPr="00B515C9" w:rsidRDefault="00B515C9" w:rsidP="00B45892">
            <w:pPr>
              <w:pStyle w:val="ListParagraph"/>
              <w:numPr>
                <w:ilvl w:val="0"/>
                <w:numId w:val="108"/>
              </w:numPr>
              <w:rPr>
                <w:sz w:val="16"/>
                <w:szCs w:val="16"/>
              </w:rPr>
            </w:pPr>
            <w:r>
              <w:rPr>
                <w:sz w:val="16"/>
                <w:szCs w:val="16"/>
              </w:rPr>
              <w:t>Approval of the Policy Priority Document together with NSPP as an integral part of it / contribution from line ministries.</w:t>
            </w:r>
          </w:p>
        </w:tc>
        <w:tc>
          <w:tcPr>
            <w:tcW w:w="825" w:type="dxa"/>
            <w:tcBorders>
              <w:top w:val="single" w:sz="4" w:space="0" w:color="auto"/>
              <w:left w:val="single" w:sz="4" w:space="0" w:color="auto"/>
              <w:right w:val="single" w:sz="4" w:space="0" w:color="auto"/>
            </w:tcBorders>
            <w:vAlign w:val="center"/>
          </w:tcPr>
          <w:p w14:paraId="78886E52" w14:textId="562F31F7" w:rsidR="00B515C9" w:rsidRDefault="00B515C9" w:rsidP="00A846BA">
            <w:pPr>
              <w:jc w:val="center"/>
              <w:rPr>
                <w:sz w:val="16"/>
                <w:szCs w:val="16"/>
              </w:rPr>
            </w:pPr>
            <w:r>
              <w:rPr>
                <w:sz w:val="16"/>
                <w:szCs w:val="16"/>
              </w:rPr>
              <w:t>Q1 2024</w:t>
            </w:r>
          </w:p>
        </w:tc>
        <w:tc>
          <w:tcPr>
            <w:tcW w:w="795" w:type="dxa"/>
            <w:tcBorders>
              <w:top w:val="single" w:sz="4" w:space="0" w:color="auto"/>
              <w:left w:val="single" w:sz="4" w:space="0" w:color="auto"/>
              <w:right w:val="single" w:sz="4" w:space="0" w:color="auto"/>
            </w:tcBorders>
            <w:vAlign w:val="center"/>
          </w:tcPr>
          <w:p w14:paraId="24FD48AF" w14:textId="74FD3A4D" w:rsidR="00B515C9" w:rsidRDefault="00B515C9" w:rsidP="00A846BA">
            <w:pPr>
              <w:jc w:val="center"/>
              <w:rPr>
                <w:sz w:val="16"/>
                <w:szCs w:val="16"/>
              </w:rPr>
            </w:pPr>
            <w:r>
              <w:rPr>
                <w:sz w:val="16"/>
                <w:szCs w:val="16"/>
              </w:rPr>
              <w:t>Q2 2024</w:t>
            </w:r>
          </w:p>
        </w:tc>
        <w:tc>
          <w:tcPr>
            <w:tcW w:w="1551" w:type="dxa"/>
            <w:tcBorders>
              <w:left w:val="single" w:sz="4" w:space="0" w:color="auto"/>
              <w:bottom w:val="single" w:sz="4" w:space="0" w:color="auto"/>
              <w:right w:val="single" w:sz="4" w:space="0" w:color="auto"/>
            </w:tcBorders>
            <w:vAlign w:val="center"/>
          </w:tcPr>
          <w:p w14:paraId="7C4BBD6F" w14:textId="77777777" w:rsidR="00B515C9" w:rsidRPr="001F151E" w:rsidRDefault="00B515C9" w:rsidP="00B515C9">
            <w:pPr>
              <w:pStyle w:val="T-normal"/>
              <w:rPr>
                <w:b/>
                <w:bCs/>
              </w:rPr>
            </w:pPr>
            <w:r w:rsidRPr="001F151E">
              <w:rPr>
                <w:b/>
                <w:bCs/>
              </w:rPr>
              <w:t>Responsible entity:</w:t>
            </w:r>
          </w:p>
          <w:p w14:paraId="456E2AD9" w14:textId="77777777" w:rsidR="00B515C9" w:rsidRDefault="00B515C9" w:rsidP="00A846BA">
            <w:pPr>
              <w:spacing w:line="240" w:lineRule="auto"/>
              <w:rPr>
                <w:sz w:val="16"/>
                <w:szCs w:val="16"/>
              </w:rPr>
            </w:pPr>
            <w:r>
              <w:rPr>
                <w:sz w:val="16"/>
                <w:szCs w:val="16"/>
              </w:rPr>
              <w:t xml:space="preserve">SASPAC (lead) </w:t>
            </w:r>
          </w:p>
          <w:p w14:paraId="415143B0" w14:textId="77777777" w:rsidR="00B515C9" w:rsidRPr="001F151E" w:rsidRDefault="00B515C9" w:rsidP="00B515C9">
            <w:pPr>
              <w:pStyle w:val="EcorysBody"/>
              <w:rPr>
                <w:b/>
                <w:bCs/>
                <w:sz w:val="16"/>
                <w:szCs w:val="16"/>
              </w:rPr>
            </w:pPr>
            <w:r w:rsidRPr="001F151E">
              <w:rPr>
                <w:rFonts w:ascii="Arial" w:hAnsi="Arial" w:cs="Arial"/>
                <w:b/>
                <w:bCs/>
                <w:kern w:val="2"/>
                <w:sz w:val="16"/>
                <w:szCs w:val="16"/>
                <w14:ligatures w14:val="standardContextual"/>
              </w:rPr>
              <w:t>Partners:</w:t>
            </w:r>
          </w:p>
          <w:p w14:paraId="23DA3605" w14:textId="082741DA" w:rsidR="00B515C9" w:rsidRPr="001F151E" w:rsidRDefault="00B515C9" w:rsidP="00A846BA">
            <w:pPr>
              <w:spacing w:line="240" w:lineRule="auto"/>
              <w:rPr>
                <w:sz w:val="16"/>
                <w:szCs w:val="16"/>
              </w:rPr>
            </w:pPr>
            <w:r>
              <w:rPr>
                <w:sz w:val="16"/>
                <w:szCs w:val="16"/>
              </w:rPr>
              <w:t>Line Ministries</w:t>
            </w:r>
          </w:p>
        </w:tc>
      </w:tr>
    </w:tbl>
    <w:p w14:paraId="6867161F" w14:textId="2E6EA4F2" w:rsidR="00D03F90" w:rsidRDefault="00D03F90">
      <w:pPr>
        <w:spacing w:after="160" w:line="259" w:lineRule="auto"/>
        <w:rPr>
          <w:b/>
          <w:bCs/>
          <w:color w:val="0070C0"/>
          <w:lang w:val="en-GB"/>
        </w:rPr>
      </w:pPr>
    </w:p>
    <w:p w14:paraId="6C8C49BC" w14:textId="30AC989A" w:rsidR="00BE64A2" w:rsidRPr="001F151E" w:rsidRDefault="00BE64A2" w:rsidP="00BE64A2">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BE64A2" w:rsidRPr="001F151E" w14:paraId="2BC32368" w14:textId="77777777" w:rsidTr="009A3B76">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59C38" w14:textId="77777777" w:rsidR="00BE64A2" w:rsidRPr="001F151E" w:rsidRDefault="00BE64A2" w:rsidP="005616E8">
            <w:pPr>
              <w:pStyle w:val="T-bold"/>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F1F9" w14:textId="77777777" w:rsidR="00BE64A2" w:rsidRPr="001F151E" w:rsidRDefault="00BE64A2" w:rsidP="005616E8">
            <w:pPr>
              <w:pStyle w:val="T-bold"/>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DD14C" w14:textId="77777777" w:rsidR="00BE64A2" w:rsidRPr="001F151E" w:rsidRDefault="00BE64A2" w:rsidP="005616E8">
            <w:pPr>
              <w:pStyle w:val="T-bold"/>
              <w:jc w:val="center"/>
            </w:pPr>
            <w:r w:rsidRPr="001F151E">
              <w:t>Target Value</w:t>
            </w:r>
          </w:p>
        </w:tc>
      </w:tr>
      <w:tr w:rsidR="00BE64A2" w:rsidRPr="001F151E" w14:paraId="466B7E70" w14:textId="77777777" w:rsidTr="009A3B76">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8321B9A" w14:textId="77777777" w:rsidR="00BE64A2" w:rsidRPr="001F151E" w:rsidRDefault="00BE64A2" w:rsidP="005616E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559E672" w14:textId="77777777" w:rsidR="00BE64A2" w:rsidRPr="001F151E" w:rsidRDefault="00BE64A2" w:rsidP="005616E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A74DC" w14:textId="77777777" w:rsidR="00BE64A2" w:rsidRPr="001F151E" w:rsidRDefault="00BE64A2" w:rsidP="005616E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206C5" w14:textId="77777777" w:rsidR="00BE64A2" w:rsidRPr="001F151E" w:rsidRDefault="00BE64A2" w:rsidP="005616E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1A8E28" w14:textId="77777777" w:rsidR="00BE64A2" w:rsidRPr="001F151E" w:rsidRDefault="00BE64A2" w:rsidP="005616E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C5F2A" w14:textId="77777777" w:rsidR="00BE64A2" w:rsidRPr="001F151E" w:rsidRDefault="00BE64A2" w:rsidP="005616E8">
            <w:pPr>
              <w:pStyle w:val="T-bold"/>
              <w:jc w:val="center"/>
            </w:pPr>
            <w:r w:rsidRPr="001F151E">
              <w:t>2026</w:t>
            </w:r>
          </w:p>
        </w:tc>
      </w:tr>
      <w:tr w:rsidR="00BE64A2" w:rsidRPr="001F151E" w14:paraId="7E4FF4A3" w14:textId="77777777" w:rsidTr="009A3B76">
        <w:trPr>
          <w:cantSplit/>
        </w:trPr>
        <w:tc>
          <w:tcPr>
            <w:tcW w:w="3114" w:type="dxa"/>
            <w:tcBorders>
              <w:top w:val="single" w:sz="4" w:space="0" w:color="auto"/>
              <w:left w:val="single" w:sz="4" w:space="0" w:color="auto"/>
              <w:bottom w:val="single" w:sz="4" w:space="0" w:color="auto"/>
              <w:right w:val="single" w:sz="4" w:space="0" w:color="auto"/>
            </w:tcBorders>
          </w:tcPr>
          <w:p w14:paraId="24DE60A9" w14:textId="77777777" w:rsidR="00BE64A2" w:rsidRPr="001F151E" w:rsidRDefault="00BE64A2" w:rsidP="00B45892">
            <w:pPr>
              <w:pStyle w:val="ListParagraph"/>
              <w:numPr>
                <w:ilvl w:val="0"/>
                <w:numId w:val="65"/>
              </w:numPr>
              <w:rPr>
                <w:sz w:val="16"/>
                <w:szCs w:val="16"/>
              </w:rPr>
            </w:pPr>
            <w:r w:rsidRPr="001F151E">
              <w:rPr>
                <w:sz w:val="16"/>
                <w:szCs w:val="16"/>
              </w:rPr>
              <w:t>PEFA Indicator 16 Medium Term Perspective in expenditure budgeting</w:t>
            </w:r>
          </w:p>
        </w:tc>
        <w:tc>
          <w:tcPr>
            <w:tcW w:w="1180" w:type="dxa"/>
            <w:tcBorders>
              <w:top w:val="single" w:sz="4" w:space="0" w:color="auto"/>
              <w:left w:val="single" w:sz="4" w:space="0" w:color="auto"/>
              <w:bottom w:val="single" w:sz="4" w:space="0" w:color="auto"/>
              <w:right w:val="single" w:sz="4" w:space="0" w:color="auto"/>
            </w:tcBorders>
            <w:vAlign w:val="center"/>
          </w:tcPr>
          <w:p w14:paraId="022F024C"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 xml:space="preserve">C+ </w:t>
            </w:r>
          </w:p>
          <w:p w14:paraId="6077DB59"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(2017)</w:t>
            </w:r>
          </w:p>
        </w:tc>
        <w:tc>
          <w:tcPr>
            <w:tcW w:w="1181" w:type="dxa"/>
            <w:tcBorders>
              <w:top w:val="single" w:sz="4" w:space="0" w:color="auto"/>
              <w:left w:val="single" w:sz="4" w:space="0" w:color="auto"/>
              <w:bottom w:val="single" w:sz="4" w:space="0" w:color="auto"/>
              <w:right w:val="single" w:sz="4" w:space="0" w:color="auto"/>
            </w:tcBorders>
            <w:vAlign w:val="center"/>
          </w:tcPr>
          <w:p w14:paraId="7126D8F2"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7A5DB72B"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B</w:t>
            </w:r>
          </w:p>
        </w:tc>
        <w:tc>
          <w:tcPr>
            <w:tcW w:w="1181" w:type="dxa"/>
            <w:tcBorders>
              <w:top w:val="single" w:sz="4" w:space="0" w:color="auto"/>
              <w:left w:val="single" w:sz="4" w:space="0" w:color="auto"/>
              <w:bottom w:val="single" w:sz="4" w:space="0" w:color="auto"/>
              <w:right w:val="single" w:sz="4" w:space="0" w:color="auto"/>
            </w:tcBorders>
            <w:vAlign w:val="center"/>
          </w:tcPr>
          <w:p w14:paraId="7848E52D"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B</w:t>
            </w:r>
          </w:p>
        </w:tc>
        <w:tc>
          <w:tcPr>
            <w:tcW w:w="1181" w:type="dxa"/>
            <w:tcBorders>
              <w:top w:val="single" w:sz="4" w:space="0" w:color="auto"/>
              <w:left w:val="single" w:sz="4" w:space="0" w:color="auto"/>
              <w:bottom w:val="single" w:sz="4" w:space="0" w:color="auto"/>
              <w:right w:val="single" w:sz="4" w:space="0" w:color="auto"/>
            </w:tcBorders>
            <w:vAlign w:val="center"/>
          </w:tcPr>
          <w:p w14:paraId="1F8CF998" w14:textId="480E082C" w:rsidR="00BE64A2" w:rsidRPr="001F151E" w:rsidRDefault="007817D6" w:rsidP="002B7FF8">
            <w:pPr>
              <w:pStyle w:val="EcorysBody"/>
              <w:jc w:val="center"/>
              <w:rPr>
                <w:rFonts w:ascii="Arial" w:hAnsi="Arial" w:cs="Arial"/>
                <w:sz w:val="16"/>
                <w:szCs w:val="16"/>
              </w:rPr>
            </w:pPr>
            <w:r>
              <w:rPr>
                <w:rFonts w:ascii="Arial" w:hAnsi="Arial" w:cs="Arial"/>
                <w:sz w:val="16"/>
                <w:szCs w:val="16"/>
              </w:rPr>
              <w:t>B+</w:t>
            </w:r>
          </w:p>
        </w:tc>
      </w:tr>
      <w:tr w:rsidR="00BE64A2" w:rsidRPr="001F151E" w14:paraId="39D4EE76" w14:textId="77777777" w:rsidTr="009A3B76">
        <w:trPr>
          <w:cantSplit/>
        </w:trPr>
        <w:tc>
          <w:tcPr>
            <w:tcW w:w="3114" w:type="dxa"/>
            <w:tcBorders>
              <w:top w:val="single" w:sz="4" w:space="0" w:color="auto"/>
              <w:left w:val="single" w:sz="4" w:space="0" w:color="auto"/>
              <w:bottom w:val="single" w:sz="4" w:space="0" w:color="auto"/>
              <w:right w:val="single" w:sz="4" w:space="0" w:color="auto"/>
            </w:tcBorders>
            <w:hideMark/>
          </w:tcPr>
          <w:p w14:paraId="5C6908CD" w14:textId="77777777" w:rsidR="00BE64A2" w:rsidRPr="001F151E" w:rsidRDefault="00BE64A2" w:rsidP="00B45892">
            <w:pPr>
              <w:pStyle w:val="ListParagraph"/>
              <w:numPr>
                <w:ilvl w:val="0"/>
                <w:numId w:val="65"/>
              </w:numPr>
              <w:rPr>
                <w:sz w:val="16"/>
                <w:szCs w:val="16"/>
              </w:rPr>
            </w:pPr>
            <w:r w:rsidRPr="001F151E">
              <w:rPr>
                <w:sz w:val="16"/>
                <w:szCs w:val="16"/>
              </w:rPr>
              <w:t xml:space="preserve">SIGMA Indicator 6.7.1 - Functioning of internal control (Alignment between management and budget structures (%) </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483766A" w14:textId="3D3D36DC"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0/</w:t>
            </w:r>
            <w:r w:rsidR="00DB4266">
              <w:rPr>
                <w:rFonts w:ascii="Arial" w:hAnsi="Arial" w:cs="Arial"/>
                <w:sz w:val="16"/>
                <w:szCs w:val="16"/>
              </w:rPr>
              <w:t>3</w:t>
            </w:r>
            <w:r w:rsidRPr="001F151E">
              <w:rPr>
                <w:rFonts w:ascii="Arial" w:hAnsi="Arial" w:cs="Arial"/>
                <w:sz w:val="16"/>
                <w:szCs w:val="16"/>
              </w:rPr>
              <w:t xml:space="preserve"> </w:t>
            </w:r>
          </w:p>
          <w:p w14:paraId="0262A777"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(2021)</w:t>
            </w:r>
          </w:p>
        </w:tc>
        <w:tc>
          <w:tcPr>
            <w:tcW w:w="1181" w:type="dxa"/>
            <w:tcBorders>
              <w:top w:val="single" w:sz="4" w:space="0" w:color="auto"/>
              <w:left w:val="single" w:sz="4" w:space="0" w:color="auto"/>
              <w:bottom w:val="single" w:sz="4" w:space="0" w:color="auto"/>
              <w:right w:val="single" w:sz="4" w:space="0" w:color="auto"/>
            </w:tcBorders>
            <w:vAlign w:val="center"/>
          </w:tcPr>
          <w:p w14:paraId="1DBF2360"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8BCD49F" w14:textId="678D833E" w:rsidR="00BE64A2" w:rsidRPr="001F151E" w:rsidRDefault="0020118B" w:rsidP="0020118B">
            <w:pPr>
              <w:pStyle w:val="EcorysBody"/>
              <w:jc w:val="center"/>
              <w:rPr>
                <w:rFonts w:ascii="Arial" w:hAnsi="Arial" w:cs="Arial"/>
                <w:sz w:val="16"/>
                <w:szCs w:val="16"/>
              </w:rPr>
            </w:pPr>
            <w:r>
              <w:rPr>
                <w:rFonts w:ascii="Arial" w:hAnsi="Arial" w:cs="Arial"/>
                <w:sz w:val="16"/>
                <w:szCs w:val="16"/>
              </w:rPr>
              <w:t>Growing trend</w:t>
            </w:r>
          </w:p>
        </w:tc>
        <w:tc>
          <w:tcPr>
            <w:tcW w:w="1181" w:type="dxa"/>
            <w:tcBorders>
              <w:top w:val="single" w:sz="4" w:space="0" w:color="auto"/>
              <w:left w:val="single" w:sz="4" w:space="0" w:color="auto"/>
              <w:bottom w:val="single" w:sz="4" w:space="0" w:color="auto"/>
              <w:right w:val="single" w:sz="4" w:space="0" w:color="auto"/>
            </w:tcBorders>
            <w:vAlign w:val="center"/>
            <w:hideMark/>
          </w:tcPr>
          <w:p w14:paraId="0F35B1D4" w14:textId="1F269B1D" w:rsidR="00BE64A2" w:rsidRPr="001F151E" w:rsidRDefault="0020118B" w:rsidP="00DB4266">
            <w:pPr>
              <w:pStyle w:val="EcorysBody"/>
              <w:jc w:val="center"/>
              <w:rPr>
                <w:rFonts w:ascii="Arial" w:hAnsi="Arial" w:cs="Arial"/>
                <w:sz w:val="16"/>
                <w:szCs w:val="16"/>
              </w:rPr>
            </w:pPr>
            <w:r>
              <w:rPr>
                <w:rFonts w:ascii="Arial" w:hAnsi="Arial" w:cs="Arial"/>
                <w:sz w:val="16"/>
                <w:szCs w:val="16"/>
              </w:rPr>
              <w:t>Growing trend</w:t>
            </w:r>
          </w:p>
        </w:tc>
        <w:tc>
          <w:tcPr>
            <w:tcW w:w="1181" w:type="dxa"/>
            <w:tcBorders>
              <w:top w:val="single" w:sz="4" w:space="0" w:color="auto"/>
              <w:left w:val="single" w:sz="4" w:space="0" w:color="auto"/>
              <w:bottom w:val="single" w:sz="4" w:space="0" w:color="auto"/>
              <w:right w:val="single" w:sz="4" w:space="0" w:color="auto"/>
            </w:tcBorders>
            <w:vAlign w:val="center"/>
          </w:tcPr>
          <w:p w14:paraId="19F3D23B" w14:textId="14B97D43" w:rsidR="00BE64A2" w:rsidRPr="001F151E" w:rsidRDefault="0020118B" w:rsidP="00DB4266">
            <w:pPr>
              <w:pStyle w:val="EcorysBody"/>
              <w:jc w:val="center"/>
              <w:rPr>
                <w:rFonts w:ascii="Arial" w:hAnsi="Arial" w:cs="Arial"/>
                <w:sz w:val="16"/>
                <w:szCs w:val="16"/>
              </w:rPr>
            </w:pPr>
            <w:r>
              <w:rPr>
                <w:rFonts w:ascii="Arial" w:hAnsi="Arial" w:cs="Arial"/>
                <w:sz w:val="16"/>
                <w:szCs w:val="16"/>
              </w:rPr>
              <w:t>Growing trend</w:t>
            </w:r>
          </w:p>
        </w:tc>
      </w:tr>
      <w:tr w:rsidR="00BE64A2" w:rsidRPr="001F151E" w14:paraId="10487306" w14:textId="77777777" w:rsidTr="009A3B76">
        <w:trPr>
          <w:cantSplit/>
          <w:trHeight w:val="736"/>
        </w:trPr>
        <w:tc>
          <w:tcPr>
            <w:tcW w:w="3114" w:type="dxa"/>
            <w:tcBorders>
              <w:top w:val="single" w:sz="4" w:space="0" w:color="auto"/>
              <w:left w:val="single" w:sz="4" w:space="0" w:color="auto"/>
              <w:bottom w:val="single" w:sz="4" w:space="0" w:color="auto"/>
              <w:right w:val="single" w:sz="4" w:space="0" w:color="auto"/>
            </w:tcBorders>
            <w:vAlign w:val="center"/>
            <w:hideMark/>
          </w:tcPr>
          <w:p w14:paraId="38CCF438" w14:textId="77777777" w:rsidR="00BE64A2" w:rsidRPr="001F151E" w:rsidRDefault="00BE64A2" w:rsidP="00B45892">
            <w:pPr>
              <w:pStyle w:val="ListParagraph"/>
              <w:numPr>
                <w:ilvl w:val="0"/>
                <w:numId w:val="65"/>
              </w:numPr>
              <w:rPr>
                <w:sz w:val="16"/>
                <w:szCs w:val="16"/>
              </w:rPr>
            </w:pPr>
            <w:r w:rsidRPr="001F151E">
              <w:rPr>
                <w:sz w:val="16"/>
                <w:szCs w:val="16"/>
              </w:rPr>
              <w:t>SIGMA Indicator 6.2.1 - Quality of the annual budget process and budget credibility (Operational alignment between the MTBF and the annual budget process)</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9C1C988"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 xml:space="preserve">2/4 </w:t>
            </w:r>
          </w:p>
          <w:p w14:paraId="0A5D414C"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(2021)</w:t>
            </w:r>
          </w:p>
        </w:tc>
        <w:tc>
          <w:tcPr>
            <w:tcW w:w="1181" w:type="dxa"/>
            <w:tcBorders>
              <w:top w:val="single" w:sz="4" w:space="0" w:color="auto"/>
              <w:left w:val="single" w:sz="4" w:space="0" w:color="auto"/>
              <w:bottom w:val="single" w:sz="4" w:space="0" w:color="auto"/>
              <w:right w:val="single" w:sz="4" w:space="0" w:color="auto"/>
            </w:tcBorders>
            <w:vAlign w:val="center"/>
          </w:tcPr>
          <w:p w14:paraId="369EC0C0"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03554BD0"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A4A17AB" w14:textId="4E1DDDF1" w:rsidR="00BE64A2" w:rsidRPr="001F151E" w:rsidRDefault="0020118B" w:rsidP="002B7FF8">
            <w:pPr>
              <w:pStyle w:val="EcorysBody"/>
              <w:jc w:val="center"/>
              <w:rPr>
                <w:rFonts w:ascii="Arial" w:hAnsi="Arial" w:cs="Arial"/>
                <w:sz w:val="16"/>
                <w:szCs w:val="16"/>
              </w:rPr>
            </w:pPr>
            <w:r>
              <w:rPr>
                <w:rFonts w:ascii="Arial" w:hAnsi="Arial" w:cs="Arial"/>
                <w:sz w:val="16"/>
                <w:szCs w:val="16"/>
              </w:rPr>
              <w:t>Growing trend</w:t>
            </w:r>
          </w:p>
        </w:tc>
        <w:tc>
          <w:tcPr>
            <w:tcW w:w="1181" w:type="dxa"/>
            <w:tcBorders>
              <w:top w:val="single" w:sz="4" w:space="0" w:color="auto"/>
              <w:left w:val="single" w:sz="4" w:space="0" w:color="auto"/>
              <w:bottom w:val="single" w:sz="4" w:space="0" w:color="auto"/>
              <w:right w:val="single" w:sz="4" w:space="0" w:color="auto"/>
            </w:tcBorders>
            <w:vAlign w:val="center"/>
            <w:hideMark/>
          </w:tcPr>
          <w:p w14:paraId="077AE24E" w14:textId="0336E482" w:rsidR="00BE64A2" w:rsidRPr="001F151E" w:rsidRDefault="0020118B" w:rsidP="002B7FF8">
            <w:pPr>
              <w:pStyle w:val="EcorysBody"/>
              <w:jc w:val="center"/>
              <w:rPr>
                <w:rFonts w:ascii="Arial" w:hAnsi="Arial" w:cs="Arial"/>
                <w:sz w:val="16"/>
                <w:szCs w:val="16"/>
              </w:rPr>
            </w:pPr>
            <w:r>
              <w:rPr>
                <w:rFonts w:ascii="Arial" w:hAnsi="Arial" w:cs="Arial"/>
                <w:sz w:val="16"/>
                <w:szCs w:val="16"/>
              </w:rPr>
              <w:t>Growing trend</w:t>
            </w:r>
          </w:p>
        </w:tc>
      </w:tr>
      <w:tr w:rsidR="00BE64A2" w:rsidRPr="001F151E" w14:paraId="0DEA2A49"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hideMark/>
          </w:tcPr>
          <w:p w14:paraId="467178DB" w14:textId="77777777" w:rsidR="00BE64A2" w:rsidRPr="001F151E" w:rsidRDefault="00BE64A2" w:rsidP="00B45892">
            <w:pPr>
              <w:pStyle w:val="ListParagraph"/>
              <w:numPr>
                <w:ilvl w:val="0"/>
                <w:numId w:val="65"/>
              </w:numPr>
              <w:rPr>
                <w:sz w:val="16"/>
                <w:szCs w:val="16"/>
              </w:rPr>
            </w:pPr>
            <w:r w:rsidRPr="001F151E">
              <w:rPr>
                <w:sz w:val="16"/>
                <w:szCs w:val="16"/>
              </w:rPr>
              <w:t>OBI assessment - Public Participation score</w:t>
            </w:r>
          </w:p>
        </w:tc>
        <w:tc>
          <w:tcPr>
            <w:tcW w:w="1180" w:type="dxa"/>
            <w:tcBorders>
              <w:top w:val="single" w:sz="4" w:space="0" w:color="auto"/>
              <w:left w:val="single" w:sz="4" w:space="0" w:color="auto"/>
              <w:bottom w:val="single" w:sz="4" w:space="0" w:color="auto"/>
              <w:right w:val="single" w:sz="4" w:space="0" w:color="auto"/>
            </w:tcBorders>
            <w:vAlign w:val="center"/>
            <w:hideMark/>
          </w:tcPr>
          <w:p w14:paraId="71C5F01B" w14:textId="77777777" w:rsidR="009A3B76" w:rsidRPr="001F151E" w:rsidRDefault="00BE64A2" w:rsidP="002B7FF8">
            <w:pPr>
              <w:pStyle w:val="EcorysBody"/>
              <w:jc w:val="center"/>
              <w:rPr>
                <w:rFonts w:ascii="Arial" w:hAnsi="Arial" w:cs="Arial"/>
                <w:sz w:val="16"/>
                <w:szCs w:val="16"/>
              </w:rPr>
            </w:pPr>
            <w:r w:rsidRPr="001F151E">
              <w:rPr>
                <w:rFonts w:ascii="Arial" w:hAnsi="Arial" w:cs="Arial"/>
                <w:sz w:val="16"/>
                <w:szCs w:val="16"/>
              </w:rPr>
              <w:t xml:space="preserve">6/100 </w:t>
            </w:r>
          </w:p>
          <w:p w14:paraId="0A3654EF" w14:textId="45A8A4C5"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(2021)</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61651376"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7DA8905F" w14:textId="77777777" w:rsidR="00BE64A2" w:rsidRPr="001F151E" w:rsidRDefault="00BE64A2" w:rsidP="002B7FF8">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78C0A" w14:textId="63421A46" w:rsidR="00BE64A2" w:rsidRPr="001F151E" w:rsidRDefault="0020118B" w:rsidP="002B7FF8">
            <w:pPr>
              <w:pStyle w:val="EcorysBody"/>
              <w:jc w:val="center"/>
              <w:rPr>
                <w:rFonts w:ascii="Arial" w:hAnsi="Arial" w:cs="Arial"/>
                <w:sz w:val="16"/>
                <w:szCs w:val="16"/>
              </w:rPr>
            </w:pPr>
            <w:r>
              <w:rPr>
                <w:rFonts w:ascii="Arial" w:hAnsi="Arial" w:cs="Arial"/>
                <w:sz w:val="16"/>
                <w:szCs w:val="16"/>
              </w:rPr>
              <w:t>Growing trend</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0A843B78" w14:textId="0CC4E008" w:rsidR="00BE64A2" w:rsidRPr="001F151E" w:rsidRDefault="0020118B" w:rsidP="002B7FF8">
            <w:pPr>
              <w:pStyle w:val="EcorysBody"/>
              <w:jc w:val="center"/>
              <w:rPr>
                <w:rFonts w:ascii="Arial" w:hAnsi="Arial" w:cs="Arial"/>
                <w:sz w:val="16"/>
                <w:szCs w:val="16"/>
              </w:rPr>
            </w:pPr>
            <w:r>
              <w:rPr>
                <w:rFonts w:ascii="Arial" w:hAnsi="Arial" w:cs="Arial"/>
                <w:sz w:val="16"/>
                <w:szCs w:val="16"/>
              </w:rPr>
              <w:t>Growing trend</w:t>
            </w:r>
          </w:p>
        </w:tc>
      </w:tr>
      <w:tr w:rsidR="00A846BA" w:rsidRPr="001F151E" w14:paraId="15323308"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tcPr>
          <w:p w14:paraId="3443310C" w14:textId="4BF75883" w:rsidR="00A846BA" w:rsidRPr="001F151E" w:rsidRDefault="00A846BA" w:rsidP="00B45892">
            <w:pPr>
              <w:pStyle w:val="ListParagraph"/>
              <w:numPr>
                <w:ilvl w:val="0"/>
                <w:numId w:val="65"/>
              </w:numPr>
              <w:rPr>
                <w:sz w:val="16"/>
                <w:szCs w:val="16"/>
              </w:rPr>
            </w:pPr>
            <w:r w:rsidRPr="00723CC8">
              <w:rPr>
                <w:sz w:val="16"/>
                <w:szCs w:val="16"/>
              </w:rPr>
              <w:t>OBI assessment</w:t>
            </w:r>
            <w:r>
              <w:rPr>
                <w:sz w:val="16"/>
                <w:szCs w:val="16"/>
              </w:rPr>
              <w:t xml:space="preserve"> –</w:t>
            </w:r>
            <w:r w:rsidRPr="00723CC8">
              <w:rPr>
                <w:sz w:val="16"/>
                <w:szCs w:val="16"/>
              </w:rPr>
              <w:t xml:space="preserve"> </w:t>
            </w:r>
            <w:r>
              <w:rPr>
                <w:sz w:val="16"/>
                <w:szCs w:val="16"/>
              </w:rPr>
              <w:t xml:space="preserve">Transparency </w:t>
            </w:r>
          </w:p>
        </w:tc>
        <w:tc>
          <w:tcPr>
            <w:tcW w:w="1180" w:type="dxa"/>
            <w:tcBorders>
              <w:top w:val="single" w:sz="4" w:space="0" w:color="auto"/>
              <w:left w:val="single" w:sz="4" w:space="0" w:color="auto"/>
              <w:bottom w:val="single" w:sz="4" w:space="0" w:color="auto"/>
              <w:right w:val="single" w:sz="4" w:space="0" w:color="auto"/>
            </w:tcBorders>
            <w:vAlign w:val="center"/>
          </w:tcPr>
          <w:p w14:paraId="6B0B76CD" w14:textId="77777777" w:rsidR="00A846BA" w:rsidRDefault="00A846BA" w:rsidP="00A846BA">
            <w:pPr>
              <w:pStyle w:val="EcorysBody"/>
              <w:jc w:val="center"/>
              <w:rPr>
                <w:rFonts w:ascii="Arial" w:hAnsi="Arial" w:cs="Arial"/>
                <w:sz w:val="16"/>
                <w:szCs w:val="16"/>
              </w:rPr>
            </w:pPr>
            <w:r>
              <w:rPr>
                <w:rFonts w:ascii="Arial" w:hAnsi="Arial" w:cs="Arial"/>
                <w:sz w:val="16"/>
                <w:szCs w:val="16"/>
              </w:rPr>
              <w:t>52</w:t>
            </w:r>
            <w:r w:rsidRPr="00723CC8">
              <w:rPr>
                <w:rFonts w:ascii="Arial" w:hAnsi="Arial" w:cs="Arial"/>
                <w:sz w:val="16"/>
                <w:szCs w:val="16"/>
              </w:rPr>
              <w:t xml:space="preserve">/100 </w:t>
            </w:r>
          </w:p>
          <w:p w14:paraId="10BD59BA" w14:textId="31D97D33" w:rsidR="00A846BA" w:rsidRPr="001F151E" w:rsidRDefault="00A846BA" w:rsidP="00A846BA">
            <w:pPr>
              <w:pStyle w:val="EcorysBody"/>
              <w:jc w:val="center"/>
              <w:rPr>
                <w:rFonts w:ascii="Arial" w:hAnsi="Arial" w:cs="Arial"/>
                <w:sz w:val="16"/>
                <w:szCs w:val="16"/>
              </w:rPr>
            </w:pPr>
            <w:r w:rsidRPr="00723CC8">
              <w:rPr>
                <w:rFonts w:ascii="Arial" w:hAnsi="Arial" w:cs="Arial"/>
                <w:sz w:val="16"/>
                <w:szCs w:val="16"/>
              </w:rPr>
              <w:t>(2021)</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B27E92B" w14:textId="7DC0B0D8" w:rsidR="00A846BA" w:rsidRPr="001F151E" w:rsidRDefault="007817D6" w:rsidP="00A846BA">
            <w:pPr>
              <w:pStyle w:val="EcorysBody"/>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55290417" w14:textId="354D9E5A" w:rsidR="00A846BA" w:rsidRPr="001F151E" w:rsidRDefault="007817D6" w:rsidP="00A846BA">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218ECEA8" w14:textId="02B54772" w:rsidR="00A846BA" w:rsidRPr="001F151E" w:rsidRDefault="0020118B" w:rsidP="00A846BA">
            <w:pPr>
              <w:pStyle w:val="EcorysBody"/>
              <w:jc w:val="center"/>
              <w:rPr>
                <w:rFonts w:ascii="Arial" w:hAnsi="Arial" w:cs="Arial"/>
                <w:sz w:val="16"/>
                <w:szCs w:val="16"/>
              </w:rPr>
            </w:pPr>
            <w:r>
              <w:rPr>
                <w:rFonts w:ascii="Arial" w:hAnsi="Arial" w:cs="Arial"/>
                <w:sz w:val="16"/>
                <w:szCs w:val="16"/>
              </w:rPr>
              <w:t>Growing trend</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7E9AD6DF" w14:textId="4510EC7F" w:rsidR="00A846BA" w:rsidRPr="001F151E" w:rsidRDefault="007817D6" w:rsidP="00A846BA">
            <w:pPr>
              <w:pStyle w:val="EcorysBody"/>
              <w:jc w:val="center"/>
              <w:rPr>
                <w:rFonts w:ascii="Arial" w:hAnsi="Arial" w:cs="Arial"/>
                <w:sz w:val="16"/>
                <w:szCs w:val="16"/>
              </w:rPr>
            </w:pPr>
            <w:r w:rsidRPr="001F151E">
              <w:rPr>
                <w:rFonts w:ascii="Arial" w:hAnsi="Arial" w:cs="Arial"/>
                <w:sz w:val="16"/>
                <w:szCs w:val="16"/>
              </w:rPr>
              <w:t>-</w:t>
            </w:r>
          </w:p>
        </w:tc>
      </w:tr>
      <w:tr w:rsidR="00A846BA" w:rsidRPr="001F151E" w14:paraId="73674D58"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hideMark/>
          </w:tcPr>
          <w:p w14:paraId="6B64F521" w14:textId="30BA31A1" w:rsidR="00A846BA" w:rsidRPr="001F151E" w:rsidRDefault="0071429D" w:rsidP="00B45892">
            <w:pPr>
              <w:pStyle w:val="ListParagraph"/>
              <w:numPr>
                <w:ilvl w:val="0"/>
                <w:numId w:val="65"/>
              </w:numPr>
              <w:rPr>
                <w:sz w:val="16"/>
                <w:szCs w:val="16"/>
              </w:rPr>
            </w:pPr>
            <w:r>
              <w:rPr>
                <w:sz w:val="16"/>
                <w:szCs w:val="16"/>
              </w:rPr>
              <w:t>Spending</w:t>
            </w:r>
            <w:r w:rsidR="00A846BA" w:rsidRPr="001F151E">
              <w:rPr>
                <w:sz w:val="16"/>
                <w:szCs w:val="16"/>
              </w:rPr>
              <w:t xml:space="preserve"> reviews introduced.</w:t>
            </w:r>
          </w:p>
        </w:tc>
        <w:tc>
          <w:tcPr>
            <w:tcW w:w="1180" w:type="dxa"/>
            <w:tcBorders>
              <w:top w:val="single" w:sz="4" w:space="0" w:color="auto"/>
              <w:left w:val="single" w:sz="4" w:space="0" w:color="auto"/>
              <w:bottom w:val="single" w:sz="4" w:space="0" w:color="auto"/>
              <w:right w:val="single" w:sz="4" w:space="0" w:color="auto"/>
            </w:tcBorders>
            <w:vAlign w:val="center"/>
          </w:tcPr>
          <w:p w14:paraId="1B1CDF30"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3DAAF301"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methodology prepared and regulated</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62393A8A"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expenditure reviews piloted</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8879D6B" w14:textId="66A2489C" w:rsidR="00A846BA" w:rsidRPr="001F151E" w:rsidRDefault="00A846BA" w:rsidP="007817D6">
            <w:pPr>
              <w:pStyle w:val="EcorysBody"/>
              <w:jc w:val="center"/>
              <w:rPr>
                <w:rFonts w:ascii="Arial" w:hAnsi="Arial" w:cs="Arial"/>
                <w:sz w:val="16"/>
                <w:szCs w:val="16"/>
              </w:rPr>
            </w:pPr>
            <w:r w:rsidRPr="001F151E">
              <w:rPr>
                <w:rFonts w:ascii="Arial" w:hAnsi="Arial" w:cs="Arial"/>
                <w:sz w:val="16"/>
                <w:szCs w:val="16"/>
              </w:rPr>
              <w:t xml:space="preserve">Expenditure reviews implemented </w:t>
            </w:r>
            <w:r w:rsidR="007817D6">
              <w:rPr>
                <w:rFonts w:ascii="Arial" w:hAnsi="Arial" w:cs="Arial"/>
                <w:sz w:val="16"/>
                <w:szCs w:val="16"/>
              </w:rPr>
              <w:t>in</w:t>
            </w:r>
            <w:r w:rsidRPr="001F151E">
              <w:rPr>
                <w:rFonts w:ascii="Arial" w:hAnsi="Arial" w:cs="Arial"/>
                <w:sz w:val="16"/>
                <w:szCs w:val="16"/>
              </w:rPr>
              <w:t xml:space="preserve"> </w:t>
            </w:r>
            <w:r w:rsidR="007817D6">
              <w:rPr>
                <w:rFonts w:ascii="Arial" w:hAnsi="Arial" w:cs="Arial"/>
                <w:sz w:val="16"/>
                <w:szCs w:val="16"/>
              </w:rPr>
              <w:t>1</w:t>
            </w:r>
            <w:r w:rsidRPr="001F151E">
              <w:rPr>
                <w:rFonts w:ascii="Arial" w:hAnsi="Arial" w:cs="Arial"/>
                <w:sz w:val="16"/>
                <w:szCs w:val="16"/>
              </w:rPr>
              <w:t xml:space="preserve"> </w:t>
            </w:r>
            <w:r w:rsidR="007817D6">
              <w:rPr>
                <w:rFonts w:ascii="Arial" w:hAnsi="Arial" w:cs="Arial"/>
                <w:sz w:val="16"/>
                <w:szCs w:val="16"/>
              </w:rPr>
              <w:t>program / sector</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5AEF12F" w14:textId="022AB03D" w:rsidR="00A846BA" w:rsidRPr="001F151E" w:rsidRDefault="00A846BA" w:rsidP="007817D6">
            <w:pPr>
              <w:pStyle w:val="EcorysBody"/>
              <w:jc w:val="center"/>
              <w:rPr>
                <w:rFonts w:ascii="Arial" w:hAnsi="Arial" w:cs="Arial"/>
                <w:sz w:val="16"/>
                <w:szCs w:val="16"/>
              </w:rPr>
            </w:pPr>
            <w:r w:rsidRPr="001F151E">
              <w:rPr>
                <w:rFonts w:ascii="Arial" w:hAnsi="Arial" w:cs="Arial"/>
                <w:sz w:val="16"/>
                <w:szCs w:val="16"/>
              </w:rPr>
              <w:t xml:space="preserve">Expenditure reviews implemented </w:t>
            </w:r>
            <w:r w:rsidR="007817D6">
              <w:rPr>
                <w:rFonts w:ascii="Arial" w:hAnsi="Arial" w:cs="Arial"/>
                <w:sz w:val="16"/>
                <w:szCs w:val="16"/>
              </w:rPr>
              <w:t>in</w:t>
            </w:r>
            <w:r w:rsidRPr="001F151E">
              <w:rPr>
                <w:rFonts w:ascii="Arial" w:hAnsi="Arial" w:cs="Arial"/>
                <w:sz w:val="16"/>
                <w:szCs w:val="16"/>
              </w:rPr>
              <w:t xml:space="preserve"> </w:t>
            </w:r>
            <w:r w:rsidR="007817D6">
              <w:rPr>
                <w:rFonts w:ascii="Arial" w:hAnsi="Arial" w:cs="Arial"/>
                <w:sz w:val="16"/>
                <w:szCs w:val="16"/>
              </w:rPr>
              <w:t>2</w:t>
            </w:r>
            <w:r w:rsidRPr="001F151E">
              <w:rPr>
                <w:rFonts w:ascii="Arial" w:hAnsi="Arial" w:cs="Arial"/>
                <w:sz w:val="16"/>
                <w:szCs w:val="16"/>
              </w:rPr>
              <w:t xml:space="preserve"> </w:t>
            </w:r>
            <w:r w:rsidR="007817D6">
              <w:rPr>
                <w:rFonts w:ascii="Arial" w:hAnsi="Arial" w:cs="Arial"/>
                <w:sz w:val="16"/>
                <w:szCs w:val="16"/>
              </w:rPr>
              <w:t>program / sector</w:t>
            </w:r>
          </w:p>
        </w:tc>
      </w:tr>
      <w:tr w:rsidR="00A846BA" w:rsidRPr="001F151E" w14:paraId="23944D27"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hideMark/>
          </w:tcPr>
          <w:p w14:paraId="5D0F2ECA" w14:textId="24B22DD8" w:rsidR="00A846BA" w:rsidRPr="001F151E" w:rsidRDefault="00A846BA" w:rsidP="00B45892">
            <w:pPr>
              <w:pStyle w:val="ListParagraph"/>
              <w:numPr>
                <w:ilvl w:val="0"/>
                <w:numId w:val="65"/>
              </w:numPr>
              <w:rPr>
                <w:sz w:val="16"/>
                <w:szCs w:val="16"/>
              </w:rPr>
            </w:pPr>
            <w:r w:rsidRPr="001F151E">
              <w:rPr>
                <w:sz w:val="16"/>
                <w:szCs w:val="16"/>
              </w:rPr>
              <w:t>Gender gap analysis (GGA) as part of GRB introduced</w:t>
            </w:r>
          </w:p>
        </w:tc>
        <w:tc>
          <w:tcPr>
            <w:tcW w:w="1180" w:type="dxa"/>
            <w:tcBorders>
              <w:top w:val="single" w:sz="4" w:space="0" w:color="auto"/>
              <w:left w:val="single" w:sz="4" w:space="0" w:color="auto"/>
              <w:bottom w:val="single" w:sz="4" w:space="0" w:color="auto"/>
              <w:right w:val="single" w:sz="4" w:space="0" w:color="auto"/>
            </w:tcBorders>
            <w:vAlign w:val="center"/>
          </w:tcPr>
          <w:p w14:paraId="2A82E51C"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7A9C21F5"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GGA methodology prepared and regulated</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52CFBC73"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 xml:space="preserve">GGA </w:t>
            </w:r>
          </w:p>
          <w:p w14:paraId="067D58C7"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piloted</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1C38B55"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 xml:space="preserve">GGA </w:t>
            </w:r>
          </w:p>
          <w:p w14:paraId="15C508D5"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 xml:space="preserve">rolled out </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2F09BC3"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 xml:space="preserve">GGA maintained </w:t>
            </w:r>
          </w:p>
        </w:tc>
      </w:tr>
      <w:tr w:rsidR="00A846BA" w:rsidRPr="001F151E" w14:paraId="39952178"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hideMark/>
          </w:tcPr>
          <w:p w14:paraId="0B608552" w14:textId="6AACCEE9" w:rsidR="00A846BA" w:rsidRPr="001F151E" w:rsidRDefault="00A846BA" w:rsidP="00B45892">
            <w:pPr>
              <w:pStyle w:val="ListParagraph"/>
              <w:numPr>
                <w:ilvl w:val="0"/>
                <w:numId w:val="65"/>
              </w:numPr>
              <w:rPr>
                <w:sz w:val="16"/>
                <w:szCs w:val="16"/>
              </w:rPr>
            </w:pPr>
            <w:r w:rsidRPr="001F151E">
              <w:rPr>
                <w:sz w:val="16"/>
                <w:szCs w:val="16"/>
              </w:rPr>
              <w:t>Green / Climate change-responsive budgeting (CCRB) introduced</w:t>
            </w:r>
          </w:p>
        </w:tc>
        <w:tc>
          <w:tcPr>
            <w:tcW w:w="1180" w:type="dxa"/>
            <w:tcBorders>
              <w:top w:val="single" w:sz="4" w:space="0" w:color="auto"/>
              <w:left w:val="single" w:sz="4" w:space="0" w:color="auto"/>
              <w:bottom w:val="single" w:sz="4" w:space="0" w:color="auto"/>
              <w:right w:val="single" w:sz="4" w:space="0" w:color="auto"/>
            </w:tcBorders>
            <w:vAlign w:val="center"/>
          </w:tcPr>
          <w:p w14:paraId="10E75E74"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71F3C72"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CCRB methodology prepared and regulated</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245E8CA6"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CCRB</w:t>
            </w:r>
          </w:p>
          <w:p w14:paraId="5A468EB9"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piloted</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5FDE47EA"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 xml:space="preserve">CCRB </w:t>
            </w:r>
          </w:p>
          <w:p w14:paraId="6D79CDBF"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piloted</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74D70E3F"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 xml:space="preserve">CCRB </w:t>
            </w:r>
          </w:p>
          <w:p w14:paraId="794A7C72" w14:textId="77777777" w:rsidR="00A846BA" w:rsidRPr="001F151E" w:rsidRDefault="00A846BA" w:rsidP="00A846BA">
            <w:pPr>
              <w:pStyle w:val="EcorysBody"/>
              <w:jc w:val="center"/>
              <w:rPr>
                <w:rFonts w:ascii="Arial" w:hAnsi="Arial" w:cs="Arial"/>
                <w:sz w:val="16"/>
                <w:szCs w:val="16"/>
              </w:rPr>
            </w:pPr>
            <w:r w:rsidRPr="001F151E">
              <w:rPr>
                <w:rFonts w:ascii="Arial" w:hAnsi="Arial" w:cs="Arial"/>
                <w:sz w:val="16"/>
                <w:szCs w:val="16"/>
              </w:rPr>
              <w:t>rolled out</w:t>
            </w:r>
          </w:p>
        </w:tc>
      </w:tr>
      <w:tr w:rsidR="00D62DD7" w:rsidRPr="001F151E" w14:paraId="5E5808DB" w14:textId="77777777" w:rsidTr="009A3B76">
        <w:trPr>
          <w:cantSplit/>
        </w:trPr>
        <w:tc>
          <w:tcPr>
            <w:tcW w:w="3114" w:type="dxa"/>
            <w:tcBorders>
              <w:top w:val="single" w:sz="4" w:space="0" w:color="auto"/>
              <w:left w:val="single" w:sz="4" w:space="0" w:color="auto"/>
              <w:bottom w:val="single" w:sz="4" w:space="0" w:color="auto"/>
              <w:right w:val="single" w:sz="4" w:space="0" w:color="auto"/>
            </w:tcBorders>
            <w:vAlign w:val="center"/>
          </w:tcPr>
          <w:p w14:paraId="40D63037" w14:textId="69F116F0" w:rsidR="00D62DD7" w:rsidRPr="001F151E" w:rsidRDefault="00D62DD7" w:rsidP="00B45892">
            <w:pPr>
              <w:pStyle w:val="ListParagraph"/>
              <w:numPr>
                <w:ilvl w:val="0"/>
                <w:numId w:val="65"/>
              </w:numPr>
              <w:rPr>
                <w:sz w:val="16"/>
                <w:szCs w:val="16"/>
              </w:rPr>
            </w:pPr>
            <w:r>
              <w:rPr>
                <w:sz w:val="16"/>
                <w:szCs w:val="16"/>
              </w:rPr>
              <w:t>Approval of the PPD together with the NSPP</w:t>
            </w:r>
          </w:p>
        </w:tc>
        <w:tc>
          <w:tcPr>
            <w:tcW w:w="1180" w:type="dxa"/>
            <w:tcBorders>
              <w:top w:val="single" w:sz="4" w:space="0" w:color="auto"/>
              <w:left w:val="single" w:sz="4" w:space="0" w:color="auto"/>
              <w:bottom w:val="single" w:sz="4" w:space="0" w:color="auto"/>
              <w:right w:val="single" w:sz="4" w:space="0" w:color="auto"/>
            </w:tcBorders>
            <w:vAlign w:val="center"/>
          </w:tcPr>
          <w:p w14:paraId="74048292" w14:textId="1A4279D9" w:rsidR="00D62DD7" w:rsidRPr="001F151E" w:rsidRDefault="00D62DD7" w:rsidP="00A846BA">
            <w:pPr>
              <w:pStyle w:val="EcorysBody"/>
              <w:jc w:val="center"/>
              <w:rPr>
                <w:rFonts w:ascii="Arial" w:hAnsi="Arial" w:cs="Arial"/>
                <w:sz w:val="16"/>
                <w:szCs w:val="16"/>
              </w:rPr>
            </w:pPr>
            <w:r>
              <w:rPr>
                <w:rFonts w:ascii="Arial" w:hAnsi="Arial" w:cs="Arial"/>
                <w:sz w:val="16"/>
                <w:szCs w:val="16"/>
              </w:rPr>
              <w:t>(2022)</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6C121E03" w14:textId="6488BF41" w:rsidR="00D62DD7" w:rsidRPr="001F151E" w:rsidRDefault="00D62DD7" w:rsidP="00A846BA">
            <w:pPr>
              <w:pStyle w:val="EcorysBody"/>
              <w:jc w:val="center"/>
              <w:rPr>
                <w:rFonts w:ascii="Arial" w:hAnsi="Arial" w:cs="Arial"/>
                <w:sz w:val="16"/>
                <w:szCs w:val="16"/>
              </w:rPr>
            </w:pPr>
            <w:r>
              <w:rPr>
                <w:rFonts w:ascii="Arial" w:hAnsi="Arial" w:cs="Arial"/>
                <w:sz w:val="16"/>
                <w:szCs w:val="16"/>
              </w:rPr>
              <w:t>Cooperation with Line Ministries and approval with DCM every beginning of the year</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0E16466A" w14:textId="32F87BFC" w:rsidR="00D62DD7" w:rsidRPr="001F151E" w:rsidRDefault="00D62DD7" w:rsidP="00A846BA">
            <w:pPr>
              <w:pStyle w:val="EcorysBody"/>
              <w:jc w:val="center"/>
              <w:rPr>
                <w:rFonts w:ascii="Arial" w:hAnsi="Arial" w:cs="Arial"/>
                <w:sz w:val="16"/>
                <w:szCs w:val="16"/>
              </w:rPr>
            </w:pPr>
            <w:r>
              <w:rPr>
                <w:rFonts w:ascii="Arial" w:hAnsi="Arial" w:cs="Arial"/>
                <w:sz w:val="16"/>
                <w:szCs w:val="16"/>
              </w:rPr>
              <w:t>Cooperation with Line Ministries and approval with DCM every beginning of the year</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07980496" w14:textId="01B945CC" w:rsidR="00D62DD7" w:rsidRPr="001F151E" w:rsidRDefault="00D62DD7" w:rsidP="00A846BA">
            <w:pPr>
              <w:pStyle w:val="EcorysBody"/>
              <w:jc w:val="center"/>
              <w:rPr>
                <w:rFonts w:ascii="Arial" w:hAnsi="Arial" w:cs="Arial"/>
                <w:sz w:val="16"/>
                <w:szCs w:val="16"/>
              </w:rPr>
            </w:pPr>
            <w:r>
              <w:rPr>
                <w:rFonts w:ascii="Arial" w:hAnsi="Arial" w:cs="Arial"/>
                <w:sz w:val="16"/>
                <w:szCs w:val="16"/>
              </w:rPr>
              <w:t>Cooperation with Line Ministries and approval with DCM every beginning of the year</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6DF4AB2E" w14:textId="3BB74F05" w:rsidR="00D62DD7" w:rsidRPr="001F151E" w:rsidRDefault="00D62DD7" w:rsidP="00A846BA">
            <w:pPr>
              <w:pStyle w:val="EcorysBody"/>
              <w:jc w:val="center"/>
              <w:rPr>
                <w:rFonts w:ascii="Arial" w:hAnsi="Arial" w:cs="Arial"/>
                <w:sz w:val="16"/>
                <w:szCs w:val="16"/>
              </w:rPr>
            </w:pPr>
            <w:r>
              <w:rPr>
                <w:rFonts w:ascii="Arial" w:hAnsi="Arial" w:cs="Arial"/>
                <w:sz w:val="16"/>
                <w:szCs w:val="16"/>
              </w:rPr>
              <w:t>Cooperation with Line Ministries and approval with DCM every beginning of the year</w:t>
            </w:r>
          </w:p>
        </w:tc>
      </w:tr>
    </w:tbl>
    <w:p w14:paraId="2931BC68" w14:textId="77777777" w:rsidR="00BE64A2" w:rsidRPr="001F151E" w:rsidRDefault="00BE64A2" w:rsidP="00BE64A2">
      <w:pPr>
        <w:rPr>
          <w:lang w:val="en-GB"/>
        </w:rPr>
      </w:pPr>
    </w:p>
    <w:p w14:paraId="31D8CF58" w14:textId="77777777" w:rsidR="002C447B" w:rsidRDefault="002C447B" w:rsidP="002C447B">
      <w:pPr>
        <w:rPr>
          <w:rStyle w:val="IntenseReference"/>
          <w:rFonts w:eastAsiaTheme="majorEastAsia" w:cstheme="majorBidi"/>
          <w:i w:val="0"/>
          <w:iCs/>
          <w:sz w:val="22"/>
          <w:szCs w:val="22"/>
          <w:lang w:val="en-GB"/>
        </w:rPr>
      </w:pPr>
    </w:p>
    <w:p w14:paraId="03E30DDF" w14:textId="77777777" w:rsidR="008137DF" w:rsidRDefault="008137DF" w:rsidP="002C447B">
      <w:pPr>
        <w:rPr>
          <w:rStyle w:val="IntenseReference"/>
          <w:rFonts w:eastAsiaTheme="majorEastAsia" w:cstheme="majorBidi"/>
          <w:i w:val="0"/>
          <w:iCs/>
          <w:sz w:val="22"/>
          <w:szCs w:val="22"/>
          <w:lang w:val="en-GB"/>
        </w:rPr>
      </w:pPr>
    </w:p>
    <w:p w14:paraId="2610682D" w14:textId="77777777" w:rsidR="00F22823" w:rsidRDefault="00F22823" w:rsidP="002C447B">
      <w:pPr>
        <w:rPr>
          <w:rStyle w:val="IntenseReference"/>
          <w:rFonts w:eastAsiaTheme="majorEastAsia" w:cstheme="majorBidi"/>
          <w:i w:val="0"/>
          <w:iCs/>
          <w:sz w:val="22"/>
          <w:szCs w:val="22"/>
          <w:lang w:val="en-GB"/>
        </w:rPr>
      </w:pPr>
    </w:p>
    <w:p w14:paraId="47C60138" w14:textId="77777777" w:rsidR="008137DF" w:rsidRPr="001F151E" w:rsidRDefault="008137DF" w:rsidP="002C447B">
      <w:pPr>
        <w:rPr>
          <w:rStyle w:val="IntenseReference"/>
          <w:rFonts w:eastAsiaTheme="majorEastAsia" w:cstheme="majorBidi"/>
          <w:i w:val="0"/>
          <w:iCs/>
          <w:sz w:val="22"/>
          <w:szCs w:val="22"/>
          <w:lang w:val="en-GB"/>
        </w:rPr>
      </w:pPr>
    </w:p>
    <w:p w14:paraId="65972547" w14:textId="77777777" w:rsidR="002C447B" w:rsidRPr="001F151E" w:rsidRDefault="002C447B" w:rsidP="00C96708">
      <w:pPr>
        <w:pStyle w:val="Heading2"/>
        <w:rPr>
          <w:rStyle w:val="IntenseReference"/>
          <w:rFonts w:eastAsiaTheme="majorEastAsia" w:cstheme="majorBidi"/>
          <w:i w:val="0"/>
          <w:iCs w:val="0"/>
          <w:sz w:val="22"/>
          <w:szCs w:val="22"/>
          <w:lang w:val="en-GB"/>
        </w:rPr>
      </w:pPr>
      <w:bookmarkStart w:id="27" w:name="_Toc163148017"/>
      <w:r w:rsidRPr="001F151E">
        <w:rPr>
          <w:rStyle w:val="IntenseReference"/>
          <w:rFonts w:eastAsiaTheme="majorEastAsia" w:cstheme="majorBidi"/>
          <w:i w:val="0"/>
          <w:sz w:val="22"/>
          <w:szCs w:val="22"/>
          <w:lang w:val="en-GB"/>
        </w:rPr>
        <w:lastRenderedPageBreak/>
        <w:t>Component 2.3 Public Investment Management</w:t>
      </w:r>
      <w:bookmarkEnd w:id="27"/>
    </w:p>
    <w:p w14:paraId="40C32619" w14:textId="77777777" w:rsidR="00733B9C" w:rsidRPr="001F151E" w:rsidRDefault="00733B9C" w:rsidP="00733B9C">
      <w:pPr>
        <w:rPr>
          <w:lang w:val="en-GB"/>
        </w:rPr>
      </w:pPr>
    </w:p>
    <w:p w14:paraId="0EDA2507" w14:textId="77777777" w:rsidR="00733B9C" w:rsidRPr="001F151E" w:rsidRDefault="00733B9C" w:rsidP="00EA6F1D">
      <w:pPr>
        <w:pStyle w:val="H5"/>
        <w:spacing w:line="276" w:lineRule="auto"/>
        <w:jc w:val="both"/>
        <w:rPr>
          <w:lang w:val="en-GB"/>
        </w:rPr>
      </w:pPr>
      <w:r w:rsidRPr="001F151E">
        <w:rPr>
          <w:lang w:val="en-GB"/>
        </w:rPr>
        <w:t>Objective</w:t>
      </w:r>
    </w:p>
    <w:p w14:paraId="61CB23D4" w14:textId="7337765D" w:rsidR="00733B9C" w:rsidRPr="001F151E" w:rsidRDefault="00733B9C" w:rsidP="00EA6F1D">
      <w:pPr>
        <w:spacing w:line="276" w:lineRule="auto"/>
        <w:jc w:val="both"/>
        <w:rPr>
          <w:lang w:val="en-GB"/>
        </w:rPr>
      </w:pPr>
      <w:r w:rsidRPr="001F151E">
        <w:rPr>
          <w:lang w:val="en-GB"/>
        </w:rPr>
        <w:t>The goal for 2030 is to have established a sound system for public investment management based on good international practices which includes a single project pipeline, practices for merit-based project appraisal and selection, transparent reporting on public investment project selection</w:t>
      </w:r>
      <w:r w:rsidR="00AF49E1" w:rsidRPr="001F151E">
        <w:rPr>
          <w:lang w:val="en-GB"/>
        </w:rPr>
        <w:t xml:space="preserve">, </w:t>
      </w:r>
      <w:r w:rsidRPr="001F151E">
        <w:rPr>
          <w:lang w:val="en-GB"/>
        </w:rPr>
        <w:t xml:space="preserve">execution </w:t>
      </w:r>
      <w:r w:rsidR="00AF49E1" w:rsidRPr="001F151E">
        <w:rPr>
          <w:lang w:val="en-GB"/>
        </w:rPr>
        <w:t>and evaluation.</w:t>
      </w:r>
    </w:p>
    <w:p w14:paraId="492A7540" w14:textId="77777777" w:rsidR="00733B9C" w:rsidRPr="001F151E" w:rsidRDefault="00733B9C" w:rsidP="00EA6F1D">
      <w:pPr>
        <w:pStyle w:val="H5"/>
        <w:spacing w:line="276" w:lineRule="auto"/>
        <w:jc w:val="both"/>
        <w:rPr>
          <w:lang w:val="en-GB"/>
        </w:rPr>
      </w:pPr>
    </w:p>
    <w:p w14:paraId="7CE0EE0A" w14:textId="77777777" w:rsidR="00733B9C" w:rsidRPr="001F151E" w:rsidRDefault="00733B9C" w:rsidP="00EA6F1D">
      <w:pPr>
        <w:pStyle w:val="H5"/>
        <w:spacing w:line="276" w:lineRule="auto"/>
        <w:jc w:val="both"/>
        <w:rPr>
          <w:lang w:val="en-GB"/>
        </w:rPr>
      </w:pPr>
      <w:r w:rsidRPr="001F151E">
        <w:rPr>
          <w:lang w:val="en-GB"/>
        </w:rPr>
        <w:t>Context</w:t>
      </w:r>
    </w:p>
    <w:p w14:paraId="7C6B77BC" w14:textId="77777777" w:rsidR="00F4641F" w:rsidRPr="001F151E" w:rsidRDefault="00F4641F" w:rsidP="00F4641F">
      <w:pPr>
        <w:spacing w:line="276" w:lineRule="auto"/>
        <w:jc w:val="both"/>
        <w:rPr>
          <w:lang w:val="en-GB"/>
        </w:rPr>
      </w:pPr>
      <w:r w:rsidRPr="001F151E">
        <w:rPr>
          <w:lang w:val="en-GB"/>
        </w:rPr>
        <w:t>Planning and monitoring of Public Investment</w:t>
      </w:r>
      <w:r>
        <w:rPr>
          <w:lang w:val="en-GB"/>
        </w:rPr>
        <w:t xml:space="preserve"> projects is implemented by MoF</w:t>
      </w:r>
      <w:r w:rsidRPr="001F151E">
        <w:rPr>
          <w:lang w:val="en-GB"/>
        </w:rPr>
        <w:t>, SASPAC and Budget Institutions.</w:t>
      </w:r>
      <w:r w:rsidRPr="001F151E">
        <w:rPr>
          <w:rStyle w:val="FootnoteReference"/>
          <w:lang w:val="en-GB"/>
        </w:rPr>
        <w:footnoteReference w:id="20"/>
      </w:r>
      <w:r w:rsidRPr="001F151E">
        <w:rPr>
          <w:lang w:val="en-GB"/>
        </w:rPr>
        <w:t xml:space="preserve"> Following the Public Investment Management Assessment (PIMA) of 2016, a number of reforms have been initiated and recently been finalised. These include the introduction </w:t>
      </w:r>
      <w:r>
        <w:rPr>
          <w:lang w:val="en-GB"/>
        </w:rPr>
        <w:t xml:space="preserve">and approval by DCM </w:t>
      </w:r>
      <w:r w:rsidRPr="001F151E">
        <w:rPr>
          <w:lang w:val="en-GB"/>
        </w:rPr>
        <w:t xml:space="preserve">of the </w:t>
      </w:r>
      <w:r w:rsidRPr="00540D4F">
        <w:t>‘</w:t>
      </w:r>
      <w:r w:rsidRPr="002E6AB5">
        <w:t>Nationa</w:t>
      </w:r>
      <w:r>
        <w:t>l</w:t>
      </w:r>
      <w:r w:rsidRPr="002E6AB5">
        <w:t xml:space="preserve"> Single Project Pipeline’ prepared by SASPAC</w:t>
      </w:r>
      <w:r w:rsidRPr="002E6AB5">
        <w:rPr>
          <w:rStyle w:val="FootnoteReference"/>
        </w:rPr>
        <w:footnoteReference w:id="21"/>
      </w:r>
      <w:r w:rsidRPr="002E6AB5">
        <w:t>,</w:t>
      </w:r>
      <w:r w:rsidRPr="00540D4F">
        <w:t xml:space="preserve"> a requirement for a</w:t>
      </w:r>
      <w:r>
        <w:t xml:space="preserve"> Feasibility Study for projects that exceed a financial threshold that is defined for each sector; a requirement for a project execution plan that with a minimum financial implementation rates</w:t>
      </w:r>
      <w:r>
        <w:rPr>
          <w:rStyle w:val="FootnoteReference"/>
        </w:rPr>
        <w:footnoteReference w:id="22"/>
      </w:r>
      <w:r>
        <w:t xml:space="preserve"> with the aim to reduce possible arrears and speed-up project implementation. These changes are being reflected in sub-legal acts.</w:t>
      </w:r>
      <w:r>
        <w:rPr>
          <w:rStyle w:val="FootnoteReference"/>
        </w:rPr>
        <w:footnoteReference w:id="23"/>
      </w:r>
      <w:r>
        <w:t xml:space="preserve">  Several training activities have been implemented in connection to these reforms. </w:t>
      </w:r>
      <w:r w:rsidRPr="001F151E">
        <w:rPr>
          <w:lang w:val="en-GB"/>
        </w:rPr>
        <w:t>AFMIS has a dedicated module for PIM which is used for planning of the capital budget part of the MTBP and also for reporting on capital budget execution. For the s</w:t>
      </w:r>
      <w:r>
        <w:rPr>
          <w:lang w:val="en-GB"/>
        </w:rPr>
        <w:t>hort term, the key focus of MoF</w:t>
      </w:r>
      <w:r w:rsidRPr="001F151E">
        <w:rPr>
          <w:lang w:val="en-GB"/>
        </w:rPr>
        <w:t xml:space="preserve"> is to fully put in operation the recent reforms, which requires additional training of staff engaged in PIM across the civil service and some adaptation of the AFMIS. </w:t>
      </w:r>
    </w:p>
    <w:p w14:paraId="41DD5870" w14:textId="77777777" w:rsidR="00F4641F" w:rsidRPr="001F151E" w:rsidRDefault="00F4641F" w:rsidP="00F4641F">
      <w:pPr>
        <w:spacing w:line="276" w:lineRule="auto"/>
        <w:jc w:val="both"/>
        <w:rPr>
          <w:lang w:val="en-GB"/>
        </w:rPr>
      </w:pPr>
    </w:p>
    <w:p w14:paraId="6396A550" w14:textId="5872C7EC" w:rsidR="00F4641F" w:rsidRPr="001F151E" w:rsidRDefault="00F4641F" w:rsidP="00F4641F">
      <w:pPr>
        <w:spacing w:line="276" w:lineRule="auto"/>
        <w:jc w:val="both"/>
        <w:rPr>
          <w:lang w:val="en-GB"/>
        </w:rPr>
      </w:pPr>
      <w:r w:rsidRPr="001F151E">
        <w:rPr>
          <w:lang w:val="en-GB"/>
        </w:rPr>
        <w:t>For the medium to long term, further reforms are considered as to address shortcomings in the PIM system and to prevent wasteful spending. These include the furthe</w:t>
      </w:r>
      <w:r>
        <w:rPr>
          <w:lang w:val="en-GB"/>
        </w:rPr>
        <w:t>r elaboration of the National Single P</w:t>
      </w:r>
      <w:r w:rsidRPr="001F151E">
        <w:rPr>
          <w:lang w:val="en-GB"/>
        </w:rPr>
        <w:t xml:space="preserve">roject </w:t>
      </w:r>
      <w:r>
        <w:rPr>
          <w:lang w:val="en-GB"/>
        </w:rPr>
        <w:t>P</w:t>
      </w:r>
      <w:r w:rsidRPr="001F151E">
        <w:rPr>
          <w:lang w:val="en-GB"/>
        </w:rPr>
        <w:t xml:space="preserve">ipeline, </w:t>
      </w:r>
      <w:r>
        <w:rPr>
          <w:lang w:val="en-GB"/>
        </w:rPr>
        <w:t>improving</w:t>
      </w:r>
      <w:r w:rsidRPr="001F151E">
        <w:rPr>
          <w:lang w:val="en-GB"/>
        </w:rPr>
        <w:t xml:space="preserve"> </w:t>
      </w:r>
      <w:r>
        <w:rPr>
          <w:lang w:val="en-GB"/>
        </w:rPr>
        <w:t xml:space="preserve">the methodology of </w:t>
      </w:r>
      <w:r w:rsidRPr="001F151E">
        <w:rPr>
          <w:lang w:val="en-GB"/>
        </w:rPr>
        <w:t>project appraisal and selection, strengthe</w:t>
      </w:r>
      <w:r>
        <w:rPr>
          <w:lang w:val="en-GB"/>
        </w:rPr>
        <w:t>ning the gatekeeper role of MoF</w:t>
      </w:r>
      <w:r w:rsidRPr="001F151E">
        <w:rPr>
          <w:lang w:val="en-GB"/>
        </w:rPr>
        <w:t xml:space="preserve"> (independen</w:t>
      </w:r>
      <w:r w:rsidR="008A3FB0">
        <w:rPr>
          <w:lang w:val="en-GB"/>
        </w:rPr>
        <w:t>t review of project proposals).</w:t>
      </w:r>
    </w:p>
    <w:p w14:paraId="25D3C68D" w14:textId="77777777" w:rsidR="00733B9C" w:rsidRPr="001F151E" w:rsidRDefault="00733B9C" w:rsidP="00733B9C">
      <w:pPr>
        <w:rPr>
          <w:lang w:val="en-GB"/>
        </w:rPr>
      </w:pPr>
    </w:p>
    <w:p w14:paraId="4874DB6D" w14:textId="77777777" w:rsidR="00733B9C" w:rsidRPr="001F151E" w:rsidRDefault="00733B9C" w:rsidP="00EA6F1D">
      <w:pPr>
        <w:pStyle w:val="H5"/>
        <w:spacing w:line="276" w:lineRule="auto"/>
        <w:jc w:val="both"/>
        <w:rPr>
          <w:lang w:val="en-GB"/>
        </w:rPr>
      </w:pPr>
      <w:r w:rsidRPr="001F151E">
        <w:rPr>
          <w:lang w:val="en-GB"/>
        </w:rPr>
        <w:t>Priorities</w:t>
      </w:r>
    </w:p>
    <w:p w14:paraId="4612B406" w14:textId="77777777" w:rsidR="00733B9C" w:rsidRPr="001F151E" w:rsidRDefault="00733B9C" w:rsidP="00EA6F1D">
      <w:pPr>
        <w:spacing w:line="276" w:lineRule="auto"/>
        <w:jc w:val="both"/>
        <w:rPr>
          <w:lang w:val="en-GB"/>
        </w:rPr>
      </w:pPr>
      <w:r w:rsidRPr="001F151E">
        <w:rPr>
          <w:lang w:val="en-GB"/>
        </w:rPr>
        <w:t>For the period 2023 - 2026 the priorities are:</w:t>
      </w:r>
    </w:p>
    <w:p w14:paraId="713C42EC" w14:textId="79C5A205" w:rsidR="00045E7F" w:rsidRDefault="00045E7F" w:rsidP="00EA6F1D">
      <w:pPr>
        <w:pStyle w:val="ListParagraph"/>
        <w:numPr>
          <w:ilvl w:val="0"/>
          <w:numId w:val="24"/>
        </w:numPr>
        <w:spacing w:line="276" w:lineRule="auto"/>
        <w:jc w:val="both"/>
        <w:rPr>
          <w:lang w:val="en-GB"/>
        </w:rPr>
      </w:pPr>
      <w:r>
        <w:rPr>
          <w:lang w:val="en-GB"/>
        </w:rPr>
        <w:t xml:space="preserve">Operationalise improved procedures for </w:t>
      </w:r>
      <w:r w:rsidR="00C75A23">
        <w:rPr>
          <w:lang w:val="en-GB"/>
        </w:rPr>
        <w:t>public investment management.</w:t>
      </w:r>
    </w:p>
    <w:p w14:paraId="59E6D84E" w14:textId="77777777" w:rsidR="00F4641F" w:rsidRPr="001F151E" w:rsidRDefault="00F4641F" w:rsidP="00F4641F">
      <w:pPr>
        <w:pStyle w:val="ListParagraph"/>
        <w:numPr>
          <w:ilvl w:val="0"/>
          <w:numId w:val="24"/>
        </w:numPr>
        <w:spacing w:line="276" w:lineRule="auto"/>
        <w:jc w:val="both"/>
        <w:rPr>
          <w:lang w:val="en-GB"/>
        </w:rPr>
      </w:pPr>
      <w:r w:rsidRPr="001F151E">
        <w:rPr>
          <w:lang w:val="en-GB"/>
        </w:rPr>
        <w:t>Elaborate and</w:t>
      </w:r>
      <w:r>
        <w:rPr>
          <w:lang w:val="en-GB"/>
        </w:rPr>
        <w:t xml:space="preserve"> put in operation of</w:t>
      </w:r>
      <w:r w:rsidRPr="001F151E">
        <w:rPr>
          <w:lang w:val="en-GB"/>
        </w:rPr>
        <w:t xml:space="preserve"> the </w:t>
      </w:r>
      <w:r>
        <w:rPr>
          <w:lang w:val="en-GB"/>
        </w:rPr>
        <w:t xml:space="preserve">National </w:t>
      </w:r>
      <w:r w:rsidRPr="001F151E">
        <w:rPr>
          <w:lang w:val="en-GB"/>
        </w:rPr>
        <w:t>Single Project Pipeline and streng</w:t>
      </w:r>
      <w:r>
        <w:rPr>
          <w:lang w:val="en-GB"/>
        </w:rPr>
        <w:t>then the gatekeeper role of MoF</w:t>
      </w:r>
      <w:r w:rsidRPr="001F151E">
        <w:rPr>
          <w:lang w:val="en-GB"/>
        </w:rPr>
        <w:t xml:space="preserve">, including establishing sound practices for </w:t>
      </w:r>
      <w:r>
        <w:rPr>
          <w:lang w:val="en-GB"/>
        </w:rPr>
        <w:t xml:space="preserve">identification, preparation and objective </w:t>
      </w:r>
      <w:r w:rsidRPr="001F151E">
        <w:rPr>
          <w:lang w:val="en-GB"/>
        </w:rPr>
        <w:t>appraisal</w:t>
      </w:r>
      <w:r>
        <w:rPr>
          <w:lang w:val="en-GB"/>
        </w:rPr>
        <w:t xml:space="preserve"> of projects in relation to strategic objectives</w:t>
      </w:r>
      <w:r w:rsidRPr="001F151E">
        <w:rPr>
          <w:lang w:val="en-GB"/>
        </w:rPr>
        <w:t xml:space="preserve">, </w:t>
      </w:r>
      <w:r>
        <w:rPr>
          <w:lang w:val="en-GB"/>
        </w:rPr>
        <w:t xml:space="preserve">the </w:t>
      </w:r>
      <w:r w:rsidRPr="001F151E">
        <w:rPr>
          <w:lang w:val="en-GB"/>
        </w:rPr>
        <w:t>independent review and selection of public investment projects.</w:t>
      </w:r>
    </w:p>
    <w:p w14:paraId="4CEBE7D8" w14:textId="77777777" w:rsidR="00733B9C" w:rsidRPr="001F151E" w:rsidRDefault="00733B9C" w:rsidP="00733B9C">
      <w:pPr>
        <w:rPr>
          <w:lang w:val="en-GB"/>
        </w:rPr>
      </w:pPr>
    </w:p>
    <w:p w14:paraId="112A2EB3" w14:textId="77777777" w:rsidR="00733B9C" w:rsidRPr="001F151E" w:rsidRDefault="00733B9C" w:rsidP="00733B9C">
      <w:pPr>
        <w:pStyle w:val="H5"/>
        <w:rPr>
          <w:lang w:val="en-GB"/>
        </w:rPr>
      </w:pPr>
      <w:r w:rsidRPr="001F151E">
        <w:rPr>
          <w:lang w:val="en-GB"/>
        </w:rPr>
        <w:t>Measures and activities</w:t>
      </w:r>
    </w:p>
    <w:tbl>
      <w:tblPr>
        <w:tblStyle w:val="TableGrid"/>
        <w:tblW w:w="5000" w:type="pct"/>
        <w:tblCellMar>
          <w:top w:w="28" w:type="dxa"/>
          <w:left w:w="57" w:type="dxa"/>
          <w:bottom w:w="28" w:type="dxa"/>
          <w:right w:w="57" w:type="dxa"/>
        </w:tblCellMar>
        <w:tblLook w:val="04A0" w:firstRow="1" w:lastRow="0" w:firstColumn="1" w:lastColumn="0" w:noHBand="0" w:noVBand="1"/>
      </w:tblPr>
      <w:tblGrid>
        <w:gridCol w:w="1972"/>
        <w:gridCol w:w="3703"/>
        <w:gridCol w:w="777"/>
        <w:gridCol w:w="826"/>
        <w:gridCol w:w="1738"/>
      </w:tblGrid>
      <w:tr w:rsidR="00733B9C" w:rsidRPr="001F151E" w14:paraId="75FDC270" w14:textId="77777777" w:rsidTr="00C314C1">
        <w:trPr>
          <w:trHeight w:val="20"/>
          <w:tblHeader/>
        </w:trPr>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E4BB7" w14:textId="77777777" w:rsidR="00733B9C" w:rsidRPr="001F151E" w:rsidRDefault="00733B9C" w:rsidP="002B7FF8">
            <w:pPr>
              <w:pStyle w:val="T-bold"/>
            </w:pPr>
            <w:r w:rsidRPr="001F151E">
              <w:t>Measure</w:t>
            </w:r>
          </w:p>
        </w:tc>
        <w:tc>
          <w:tcPr>
            <w:tcW w:w="3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BB7848" w14:textId="77777777" w:rsidR="00733B9C" w:rsidRPr="001F151E" w:rsidRDefault="00733B9C" w:rsidP="002B7FF8">
            <w:pPr>
              <w:pStyle w:val="T-bold"/>
            </w:pPr>
            <w:r w:rsidRPr="001F151E">
              <w:t>Activity</w:t>
            </w:r>
          </w:p>
        </w:tc>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242F6" w14:textId="77777777" w:rsidR="00733B9C" w:rsidRPr="001F151E" w:rsidRDefault="00733B9C" w:rsidP="002B7FF8">
            <w:pPr>
              <w:pStyle w:val="T-bold"/>
              <w:jc w:val="center"/>
            </w:pPr>
            <w:r w:rsidRPr="001F151E">
              <w:t>Start</w:t>
            </w:r>
          </w:p>
        </w:tc>
        <w:tc>
          <w:tcPr>
            <w:tcW w:w="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CFCB49" w14:textId="77777777" w:rsidR="00733B9C" w:rsidRPr="001F151E" w:rsidRDefault="00733B9C" w:rsidP="002B7FF8">
            <w:pPr>
              <w:pStyle w:val="T-bold"/>
              <w:jc w:val="center"/>
            </w:pPr>
            <w:r w:rsidRPr="001F151E">
              <w:t>End</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B662EC" w14:textId="77777777" w:rsidR="00733B9C" w:rsidRPr="001F151E" w:rsidRDefault="00733B9C" w:rsidP="002B7FF8">
            <w:pPr>
              <w:pStyle w:val="T-bold"/>
            </w:pPr>
            <w:r w:rsidRPr="001F151E">
              <w:t>Stakeholders</w:t>
            </w:r>
          </w:p>
        </w:tc>
      </w:tr>
      <w:tr w:rsidR="00A86002" w:rsidRPr="001F151E" w14:paraId="09409E81" w14:textId="77777777" w:rsidTr="002B7FF8">
        <w:trPr>
          <w:trHeight w:val="20"/>
        </w:trPr>
        <w:tc>
          <w:tcPr>
            <w:tcW w:w="1972" w:type="dxa"/>
            <w:vMerge w:val="restart"/>
            <w:tcBorders>
              <w:top w:val="single" w:sz="4" w:space="0" w:color="auto"/>
              <w:left w:val="single" w:sz="4" w:space="0" w:color="auto"/>
              <w:right w:val="single" w:sz="4" w:space="0" w:color="auto"/>
            </w:tcBorders>
          </w:tcPr>
          <w:p w14:paraId="327F7AC1" w14:textId="3C4D8B9D" w:rsidR="00A86002" w:rsidRPr="001F151E" w:rsidRDefault="00A86002" w:rsidP="002B7FF8">
            <w:pPr>
              <w:pStyle w:val="EcorysBody"/>
              <w:rPr>
                <w:rFonts w:ascii="Arial" w:hAnsi="Arial" w:cs="Arial"/>
                <w:b/>
                <w:bCs/>
                <w:sz w:val="16"/>
                <w:szCs w:val="16"/>
              </w:rPr>
            </w:pPr>
            <w:r w:rsidRPr="001F151E">
              <w:rPr>
                <w:rFonts w:ascii="Arial" w:hAnsi="Arial" w:cs="Arial"/>
                <w:b/>
                <w:bCs/>
                <w:sz w:val="16"/>
                <w:szCs w:val="16"/>
              </w:rPr>
              <w:t>Measure 2.3</w:t>
            </w:r>
            <w:r w:rsidR="00452F6A" w:rsidRPr="001F151E">
              <w:rPr>
                <w:rFonts w:ascii="Arial" w:hAnsi="Arial" w:cs="Arial"/>
                <w:b/>
                <w:bCs/>
                <w:sz w:val="16"/>
                <w:szCs w:val="16"/>
              </w:rPr>
              <w:t>.1</w:t>
            </w:r>
            <w:r w:rsidRPr="001F151E">
              <w:rPr>
                <w:rFonts w:ascii="Arial" w:hAnsi="Arial" w:cs="Arial"/>
                <w:b/>
                <w:bCs/>
                <w:sz w:val="16"/>
                <w:szCs w:val="16"/>
              </w:rPr>
              <w:t xml:space="preserve"> Operationalise procedures for improved public investment management</w:t>
            </w:r>
          </w:p>
        </w:tc>
        <w:tc>
          <w:tcPr>
            <w:tcW w:w="3703" w:type="dxa"/>
            <w:tcBorders>
              <w:top w:val="single" w:sz="4" w:space="0" w:color="auto"/>
              <w:left w:val="single" w:sz="4" w:space="0" w:color="auto"/>
              <w:right w:val="single" w:sz="4" w:space="0" w:color="auto"/>
            </w:tcBorders>
            <w:vAlign w:val="center"/>
          </w:tcPr>
          <w:p w14:paraId="5F95025F" w14:textId="40E6C11B" w:rsidR="00A86002" w:rsidRPr="001F151E" w:rsidRDefault="00A86002" w:rsidP="00897DDC">
            <w:pPr>
              <w:pStyle w:val="EcorysBody"/>
              <w:numPr>
                <w:ilvl w:val="0"/>
                <w:numId w:val="25"/>
              </w:numPr>
              <w:rPr>
                <w:rFonts w:ascii="Arial" w:hAnsi="Arial" w:cs="Arial"/>
                <w:sz w:val="16"/>
                <w:szCs w:val="16"/>
              </w:rPr>
            </w:pPr>
            <w:r w:rsidRPr="001F151E">
              <w:rPr>
                <w:rFonts w:ascii="Arial" w:hAnsi="Arial" w:cs="Arial"/>
                <w:sz w:val="16"/>
                <w:szCs w:val="16"/>
              </w:rPr>
              <w:t xml:space="preserve">Upgrade PIM module of AFMIS to reflect changes in the new PIM </w:t>
            </w:r>
            <w:r w:rsidR="004B2FF6" w:rsidRPr="001F151E">
              <w:rPr>
                <w:rFonts w:ascii="Arial" w:hAnsi="Arial" w:cs="Arial"/>
                <w:sz w:val="16"/>
                <w:szCs w:val="16"/>
              </w:rPr>
              <w:t>procedures (D</w:t>
            </w:r>
            <w:r w:rsidRPr="001F151E">
              <w:rPr>
                <w:rFonts w:ascii="Arial" w:hAnsi="Arial" w:cs="Arial"/>
                <w:sz w:val="16"/>
                <w:szCs w:val="16"/>
              </w:rPr>
              <w:t>ecision</w:t>
            </w:r>
            <w:r w:rsidR="00EA0A6F" w:rsidRPr="001F151E">
              <w:rPr>
                <w:rFonts w:ascii="Arial" w:hAnsi="Arial" w:cs="Arial"/>
                <w:sz w:val="16"/>
                <w:szCs w:val="16"/>
              </w:rPr>
              <w:t xml:space="preserve"> 887</w:t>
            </w:r>
            <w:r w:rsidR="004B2FF6" w:rsidRPr="001F151E">
              <w:rPr>
                <w:rFonts w:ascii="Arial" w:hAnsi="Arial" w:cs="Arial"/>
                <w:sz w:val="16"/>
                <w:szCs w:val="16"/>
              </w:rPr>
              <w:t>).</w:t>
            </w:r>
          </w:p>
        </w:tc>
        <w:tc>
          <w:tcPr>
            <w:tcW w:w="777" w:type="dxa"/>
            <w:tcBorders>
              <w:top w:val="single" w:sz="4" w:space="0" w:color="auto"/>
              <w:left w:val="single" w:sz="4" w:space="0" w:color="auto"/>
              <w:right w:val="single" w:sz="4" w:space="0" w:color="auto"/>
            </w:tcBorders>
            <w:shd w:val="clear" w:color="auto" w:fill="auto"/>
            <w:vAlign w:val="center"/>
          </w:tcPr>
          <w:p w14:paraId="7288E28E" w14:textId="541862A0" w:rsidR="00A86002" w:rsidRPr="001F151E" w:rsidRDefault="00A86002" w:rsidP="002B7FF8">
            <w:pPr>
              <w:jc w:val="center"/>
              <w:rPr>
                <w:sz w:val="16"/>
                <w:szCs w:val="16"/>
              </w:rPr>
            </w:pPr>
            <w:r w:rsidRPr="001F151E">
              <w:rPr>
                <w:sz w:val="16"/>
                <w:szCs w:val="16"/>
              </w:rPr>
              <w:t>Q1 2023</w:t>
            </w:r>
          </w:p>
        </w:tc>
        <w:tc>
          <w:tcPr>
            <w:tcW w:w="826" w:type="dxa"/>
            <w:tcBorders>
              <w:top w:val="single" w:sz="4" w:space="0" w:color="auto"/>
              <w:left w:val="single" w:sz="4" w:space="0" w:color="auto"/>
              <w:right w:val="single" w:sz="4" w:space="0" w:color="auto"/>
            </w:tcBorders>
            <w:shd w:val="clear" w:color="auto" w:fill="auto"/>
            <w:vAlign w:val="center"/>
          </w:tcPr>
          <w:p w14:paraId="08685EF2" w14:textId="5162A5FB" w:rsidR="00A86002" w:rsidRPr="001F151E" w:rsidRDefault="00861397" w:rsidP="00EE3E56">
            <w:pPr>
              <w:jc w:val="center"/>
              <w:rPr>
                <w:sz w:val="16"/>
                <w:szCs w:val="16"/>
              </w:rPr>
            </w:pPr>
            <w:r w:rsidRPr="001F151E">
              <w:rPr>
                <w:sz w:val="16"/>
                <w:szCs w:val="16"/>
              </w:rPr>
              <w:t>Q4</w:t>
            </w:r>
            <w:r w:rsidR="007B6988" w:rsidRPr="001F151E">
              <w:rPr>
                <w:sz w:val="16"/>
                <w:szCs w:val="16"/>
              </w:rPr>
              <w:t xml:space="preserve"> </w:t>
            </w:r>
            <w:r w:rsidRPr="001F151E">
              <w:rPr>
                <w:sz w:val="16"/>
                <w:szCs w:val="16"/>
              </w:rPr>
              <w:t xml:space="preserve">2024 </w:t>
            </w:r>
          </w:p>
        </w:tc>
        <w:tc>
          <w:tcPr>
            <w:tcW w:w="1738" w:type="dxa"/>
            <w:vMerge w:val="restart"/>
            <w:tcBorders>
              <w:top w:val="single" w:sz="4" w:space="0" w:color="auto"/>
              <w:left w:val="single" w:sz="4" w:space="0" w:color="auto"/>
              <w:right w:val="single" w:sz="4" w:space="0" w:color="auto"/>
            </w:tcBorders>
          </w:tcPr>
          <w:p w14:paraId="3F92C1DD" w14:textId="77777777" w:rsidR="00A86002" w:rsidRPr="001F151E" w:rsidRDefault="00A86002" w:rsidP="002B7FF8">
            <w:pPr>
              <w:rPr>
                <w:b/>
                <w:bCs/>
                <w:sz w:val="16"/>
                <w:szCs w:val="16"/>
              </w:rPr>
            </w:pPr>
            <w:r w:rsidRPr="001F151E">
              <w:rPr>
                <w:b/>
                <w:bCs/>
                <w:sz w:val="16"/>
                <w:szCs w:val="16"/>
              </w:rPr>
              <w:t>Responsible entity:</w:t>
            </w:r>
          </w:p>
          <w:p w14:paraId="7C24224F" w14:textId="598339E4" w:rsidR="00A86002" w:rsidRPr="001F151E" w:rsidRDefault="00A86002" w:rsidP="002B7FF8">
            <w:pPr>
              <w:pStyle w:val="EcorysBody"/>
              <w:rPr>
                <w:rFonts w:ascii="Arial" w:hAnsi="Arial" w:cs="Arial"/>
                <w:sz w:val="16"/>
                <w:szCs w:val="16"/>
              </w:rPr>
            </w:pPr>
            <w:r w:rsidRPr="001F151E">
              <w:rPr>
                <w:rFonts w:ascii="Arial" w:hAnsi="Arial" w:cs="Arial"/>
                <w:sz w:val="16"/>
                <w:szCs w:val="16"/>
              </w:rPr>
              <w:t xml:space="preserve">DPIM (lead), SASPAC, </w:t>
            </w:r>
            <w:r w:rsidR="005A0D5D" w:rsidRPr="001F151E">
              <w:rPr>
                <w:rFonts w:ascii="Arial" w:hAnsi="Arial" w:cs="Arial"/>
                <w:sz w:val="16"/>
                <w:szCs w:val="16"/>
              </w:rPr>
              <w:t>Budget Institutions</w:t>
            </w:r>
          </w:p>
          <w:p w14:paraId="1145278A" w14:textId="77777777" w:rsidR="00A86002" w:rsidRPr="001F151E" w:rsidRDefault="00A86002" w:rsidP="002B7FF8">
            <w:pPr>
              <w:pStyle w:val="EcorysBody"/>
              <w:rPr>
                <w:rFonts w:ascii="Arial" w:hAnsi="Arial" w:cs="Arial"/>
                <w:b/>
                <w:bCs/>
                <w:sz w:val="16"/>
                <w:szCs w:val="16"/>
              </w:rPr>
            </w:pPr>
          </w:p>
          <w:p w14:paraId="250A8FE8" w14:textId="77777777" w:rsidR="00A86002" w:rsidRPr="001F151E" w:rsidRDefault="00A86002" w:rsidP="002B7FF8">
            <w:pPr>
              <w:pStyle w:val="EcorysBody"/>
              <w:rPr>
                <w:rFonts w:ascii="Arial" w:hAnsi="Arial" w:cs="Arial"/>
                <w:b/>
                <w:bCs/>
                <w:sz w:val="16"/>
                <w:szCs w:val="16"/>
              </w:rPr>
            </w:pPr>
            <w:r w:rsidRPr="001F151E">
              <w:rPr>
                <w:rFonts w:ascii="Arial" w:hAnsi="Arial" w:cs="Arial"/>
                <w:b/>
                <w:bCs/>
                <w:sz w:val="16"/>
                <w:szCs w:val="16"/>
              </w:rPr>
              <w:t>Partners:</w:t>
            </w:r>
          </w:p>
          <w:p w14:paraId="270F190C" w14:textId="213F88A8" w:rsidR="00A86002" w:rsidRPr="001F151E" w:rsidRDefault="00A86002" w:rsidP="002B7FF8">
            <w:pPr>
              <w:pStyle w:val="EcorysBody"/>
              <w:rPr>
                <w:b/>
                <w:bCs/>
                <w:sz w:val="16"/>
                <w:szCs w:val="16"/>
              </w:rPr>
            </w:pPr>
            <w:r w:rsidRPr="001F151E">
              <w:rPr>
                <w:rFonts w:ascii="Arial" w:hAnsi="Arial" w:cs="Arial"/>
                <w:sz w:val="16"/>
                <w:szCs w:val="16"/>
              </w:rPr>
              <w:t>World Bank, IMF, EU</w:t>
            </w:r>
            <w:r w:rsidRPr="001F151E">
              <w:rPr>
                <w:rStyle w:val="FootnoteReference"/>
                <w:rFonts w:cs="Arial"/>
              </w:rPr>
              <w:footnoteReference w:id="24"/>
            </w:r>
          </w:p>
        </w:tc>
      </w:tr>
      <w:tr w:rsidR="00A86002" w:rsidRPr="001F151E" w14:paraId="4C2AA86D" w14:textId="77777777" w:rsidTr="002B7FF8">
        <w:trPr>
          <w:trHeight w:val="20"/>
        </w:trPr>
        <w:tc>
          <w:tcPr>
            <w:tcW w:w="1972" w:type="dxa"/>
            <w:vMerge/>
            <w:tcBorders>
              <w:left w:val="single" w:sz="4" w:space="0" w:color="auto"/>
              <w:right w:val="single" w:sz="4" w:space="0" w:color="auto"/>
            </w:tcBorders>
            <w:hideMark/>
          </w:tcPr>
          <w:p w14:paraId="23192BAA" w14:textId="79652E0B" w:rsidR="00A86002" w:rsidRPr="001F151E" w:rsidRDefault="00A86002" w:rsidP="002B7FF8">
            <w:pPr>
              <w:pStyle w:val="EcorysBody"/>
              <w:rPr>
                <w:rFonts w:ascii="Arial" w:hAnsi="Arial" w:cs="Arial"/>
                <w:b/>
                <w:bCs/>
                <w:sz w:val="16"/>
                <w:szCs w:val="16"/>
              </w:rPr>
            </w:pPr>
          </w:p>
        </w:tc>
        <w:tc>
          <w:tcPr>
            <w:tcW w:w="3703" w:type="dxa"/>
            <w:tcBorders>
              <w:top w:val="single" w:sz="4" w:space="0" w:color="auto"/>
              <w:left w:val="single" w:sz="4" w:space="0" w:color="auto"/>
              <w:right w:val="single" w:sz="4" w:space="0" w:color="auto"/>
            </w:tcBorders>
            <w:vAlign w:val="center"/>
            <w:hideMark/>
          </w:tcPr>
          <w:p w14:paraId="17ACDEAB" w14:textId="45ACADF8" w:rsidR="00A86002" w:rsidRPr="001F151E" w:rsidRDefault="00EA0A6F" w:rsidP="00897DDC">
            <w:pPr>
              <w:pStyle w:val="EcorysBody"/>
              <w:numPr>
                <w:ilvl w:val="0"/>
                <w:numId w:val="25"/>
              </w:numPr>
              <w:rPr>
                <w:rFonts w:ascii="Arial" w:hAnsi="Arial" w:cs="Arial"/>
                <w:sz w:val="16"/>
                <w:szCs w:val="16"/>
              </w:rPr>
            </w:pPr>
            <w:r w:rsidRPr="001F151E">
              <w:rPr>
                <w:rFonts w:ascii="Arial" w:hAnsi="Arial" w:cs="Arial"/>
                <w:sz w:val="16"/>
                <w:szCs w:val="16"/>
              </w:rPr>
              <w:t xml:space="preserve">Develop and </w:t>
            </w:r>
            <w:r w:rsidR="002C765F" w:rsidRPr="001F151E">
              <w:rPr>
                <w:rFonts w:ascii="Arial" w:hAnsi="Arial" w:cs="Arial"/>
                <w:sz w:val="16"/>
                <w:szCs w:val="16"/>
              </w:rPr>
              <w:t>deliver</w:t>
            </w:r>
            <w:r w:rsidR="00A86002" w:rsidRPr="001F151E">
              <w:rPr>
                <w:rFonts w:ascii="Arial" w:hAnsi="Arial" w:cs="Arial"/>
                <w:sz w:val="16"/>
                <w:szCs w:val="16"/>
              </w:rPr>
              <w:t xml:space="preserve"> training for the implementation of the PIM procedures (Decision 887).</w:t>
            </w:r>
          </w:p>
        </w:tc>
        <w:tc>
          <w:tcPr>
            <w:tcW w:w="777" w:type="dxa"/>
            <w:tcBorders>
              <w:top w:val="single" w:sz="4" w:space="0" w:color="auto"/>
              <w:left w:val="single" w:sz="4" w:space="0" w:color="auto"/>
              <w:right w:val="single" w:sz="4" w:space="0" w:color="auto"/>
            </w:tcBorders>
            <w:shd w:val="clear" w:color="auto" w:fill="auto"/>
            <w:vAlign w:val="center"/>
          </w:tcPr>
          <w:p w14:paraId="5DE70BA7" w14:textId="77777777" w:rsidR="00A86002" w:rsidRPr="001F151E" w:rsidRDefault="00A86002" w:rsidP="002B7FF8">
            <w:pPr>
              <w:jc w:val="center"/>
              <w:rPr>
                <w:sz w:val="16"/>
                <w:szCs w:val="16"/>
              </w:rPr>
            </w:pPr>
            <w:r w:rsidRPr="001F151E">
              <w:rPr>
                <w:sz w:val="16"/>
                <w:szCs w:val="16"/>
              </w:rPr>
              <w:t>Q1 2023</w:t>
            </w:r>
          </w:p>
        </w:tc>
        <w:tc>
          <w:tcPr>
            <w:tcW w:w="826" w:type="dxa"/>
            <w:tcBorders>
              <w:top w:val="single" w:sz="4" w:space="0" w:color="auto"/>
              <w:left w:val="single" w:sz="4" w:space="0" w:color="auto"/>
              <w:right w:val="single" w:sz="4" w:space="0" w:color="auto"/>
            </w:tcBorders>
            <w:shd w:val="clear" w:color="auto" w:fill="auto"/>
            <w:vAlign w:val="center"/>
          </w:tcPr>
          <w:p w14:paraId="03B6F517" w14:textId="77777777" w:rsidR="00A86002" w:rsidRPr="001F151E" w:rsidRDefault="00A86002" w:rsidP="002B7FF8">
            <w:pPr>
              <w:jc w:val="center"/>
              <w:rPr>
                <w:sz w:val="16"/>
                <w:szCs w:val="16"/>
              </w:rPr>
            </w:pPr>
            <w:r w:rsidRPr="001F151E">
              <w:rPr>
                <w:sz w:val="16"/>
                <w:szCs w:val="16"/>
              </w:rPr>
              <w:t>Q4 2026</w:t>
            </w:r>
          </w:p>
        </w:tc>
        <w:tc>
          <w:tcPr>
            <w:tcW w:w="1738" w:type="dxa"/>
            <w:vMerge/>
            <w:tcBorders>
              <w:left w:val="single" w:sz="4" w:space="0" w:color="auto"/>
              <w:right w:val="single" w:sz="4" w:space="0" w:color="auto"/>
            </w:tcBorders>
          </w:tcPr>
          <w:p w14:paraId="79339D68" w14:textId="2F65A2FA" w:rsidR="00A86002" w:rsidRPr="001F151E" w:rsidRDefault="00A86002" w:rsidP="002B7FF8">
            <w:pPr>
              <w:pStyle w:val="EcorysBody"/>
              <w:rPr>
                <w:rFonts w:ascii="Arial" w:hAnsi="Arial" w:cs="Arial"/>
                <w:sz w:val="16"/>
                <w:szCs w:val="16"/>
              </w:rPr>
            </w:pPr>
          </w:p>
        </w:tc>
      </w:tr>
      <w:tr w:rsidR="00A86002" w:rsidRPr="001F151E" w14:paraId="70F88F1C" w14:textId="77777777" w:rsidTr="002B7FF8">
        <w:trPr>
          <w:trHeight w:val="20"/>
        </w:trPr>
        <w:tc>
          <w:tcPr>
            <w:tcW w:w="1972" w:type="dxa"/>
            <w:vMerge/>
            <w:tcBorders>
              <w:left w:val="single" w:sz="4" w:space="0" w:color="auto"/>
              <w:bottom w:val="single" w:sz="4" w:space="0" w:color="auto"/>
              <w:right w:val="single" w:sz="4" w:space="0" w:color="auto"/>
            </w:tcBorders>
            <w:vAlign w:val="center"/>
            <w:hideMark/>
          </w:tcPr>
          <w:p w14:paraId="1B8C2B00" w14:textId="77777777" w:rsidR="00A86002" w:rsidRPr="001F151E" w:rsidRDefault="00A86002" w:rsidP="002B7FF8">
            <w:pPr>
              <w:spacing w:line="240" w:lineRule="auto"/>
              <w:rPr>
                <w:sz w:val="16"/>
                <w:szCs w:val="16"/>
              </w:rPr>
            </w:pPr>
          </w:p>
        </w:tc>
        <w:tc>
          <w:tcPr>
            <w:tcW w:w="3703" w:type="dxa"/>
            <w:tcBorders>
              <w:top w:val="single" w:sz="4" w:space="0" w:color="auto"/>
              <w:left w:val="single" w:sz="4" w:space="0" w:color="auto"/>
              <w:right w:val="single" w:sz="4" w:space="0" w:color="auto"/>
            </w:tcBorders>
            <w:vAlign w:val="center"/>
            <w:hideMark/>
          </w:tcPr>
          <w:p w14:paraId="6B5A6AD3" w14:textId="77777777" w:rsidR="00A86002" w:rsidRPr="001F151E" w:rsidRDefault="00A86002" w:rsidP="00897DDC">
            <w:pPr>
              <w:pStyle w:val="EcorysBody"/>
              <w:numPr>
                <w:ilvl w:val="0"/>
                <w:numId w:val="25"/>
              </w:numPr>
              <w:rPr>
                <w:rFonts w:ascii="Arial" w:hAnsi="Arial" w:cs="Arial"/>
                <w:sz w:val="16"/>
                <w:szCs w:val="16"/>
              </w:rPr>
            </w:pPr>
            <w:r w:rsidRPr="001F151E">
              <w:rPr>
                <w:rFonts w:ascii="Arial" w:hAnsi="Arial" w:cs="Arial"/>
                <w:sz w:val="16"/>
                <w:szCs w:val="16"/>
              </w:rPr>
              <w:t>Monitor the implementation of the PIM procedures; review and update the decision for PIM procedures if needed.</w:t>
            </w:r>
          </w:p>
        </w:tc>
        <w:tc>
          <w:tcPr>
            <w:tcW w:w="777" w:type="dxa"/>
            <w:tcBorders>
              <w:top w:val="single" w:sz="4" w:space="0" w:color="auto"/>
              <w:left w:val="single" w:sz="4" w:space="0" w:color="auto"/>
              <w:right w:val="single" w:sz="4" w:space="0" w:color="auto"/>
            </w:tcBorders>
            <w:shd w:val="clear" w:color="auto" w:fill="auto"/>
            <w:vAlign w:val="center"/>
          </w:tcPr>
          <w:p w14:paraId="06C119F7" w14:textId="77777777" w:rsidR="00A86002" w:rsidRPr="001F151E" w:rsidRDefault="00A86002" w:rsidP="002B7FF8">
            <w:pPr>
              <w:jc w:val="center"/>
              <w:rPr>
                <w:sz w:val="16"/>
                <w:szCs w:val="16"/>
              </w:rPr>
            </w:pPr>
            <w:r w:rsidRPr="001F151E">
              <w:rPr>
                <w:sz w:val="16"/>
                <w:szCs w:val="16"/>
              </w:rPr>
              <w:t>Q4 2025</w:t>
            </w:r>
          </w:p>
        </w:tc>
        <w:tc>
          <w:tcPr>
            <w:tcW w:w="826" w:type="dxa"/>
            <w:tcBorders>
              <w:top w:val="single" w:sz="4" w:space="0" w:color="auto"/>
              <w:left w:val="single" w:sz="4" w:space="0" w:color="auto"/>
              <w:right w:val="single" w:sz="4" w:space="0" w:color="auto"/>
            </w:tcBorders>
            <w:shd w:val="clear" w:color="auto" w:fill="auto"/>
            <w:vAlign w:val="center"/>
          </w:tcPr>
          <w:p w14:paraId="390DCF34" w14:textId="77777777" w:rsidR="00A86002" w:rsidRPr="001F151E" w:rsidRDefault="00A86002" w:rsidP="002B7FF8">
            <w:pPr>
              <w:jc w:val="center"/>
              <w:rPr>
                <w:sz w:val="16"/>
                <w:szCs w:val="16"/>
              </w:rPr>
            </w:pPr>
            <w:r w:rsidRPr="001F151E">
              <w:rPr>
                <w:sz w:val="16"/>
                <w:szCs w:val="16"/>
              </w:rPr>
              <w:t>Q4 2026</w:t>
            </w:r>
          </w:p>
        </w:tc>
        <w:tc>
          <w:tcPr>
            <w:tcW w:w="1738" w:type="dxa"/>
            <w:vMerge/>
            <w:tcBorders>
              <w:left w:val="single" w:sz="4" w:space="0" w:color="auto"/>
              <w:bottom w:val="single" w:sz="4" w:space="0" w:color="auto"/>
              <w:right w:val="single" w:sz="4" w:space="0" w:color="auto"/>
            </w:tcBorders>
            <w:vAlign w:val="center"/>
            <w:hideMark/>
          </w:tcPr>
          <w:p w14:paraId="61D2D9C0" w14:textId="77777777" w:rsidR="00A86002" w:rsidRPr="001F151E" w:rsidRDefault="00A86002" w:rsidP="002B7FF8">
            <w:pPr>
              <w:spacing w:line="240" w:lineRule="auto"/>
              <w:rPr>
                <w:sz w:val="16"/>
                <w:szCs w:val="16"/>
              </w:rPr>
            </w:pPr>
          </w:p>
        </w:tc>
      </w:tr>
      <w:tr w:rsidR="00733B9C" w:rsidRPr="001F151E" w14:paraId="2F1821C8" w14:textId="77777777" w:rsidTr="00C314C1">
        <w:trPr>
          <w:trHeight w:val="20"/>
        </w:trPr>
        <w:tc>
          <w:tcPr>
            <w:tcW w:w="1972" w:type="dxa"/>
            <w:vMerge w:val="restart"/>
            <w:tcBorders>
              <w:top w:val="single" w:sz="4" w:space="0" w:color="auto"/>
              <w:left w:val="single" w:sz="4" w:space="0" w:color="auto"/>
              <w:bottom w:val="single" w:sz="4" w:space="0" w:color="auto"/>
              <w:right w:val="single" w:sz="4" w:space="0" w:color="auto"/>
            </w:tcBorders>
            <w:hideMark/>
          </w:tcPr>
          <w:p w14:paraId="0A9728C0" w14:textId="06161102" w:rsidR="00733B9C" w:rsidRPr="001F151E" w:rsidRDefault="00733B9C" w:rsidP="002B7FF8">
            <w:pPr>
              <w:pStyle w:val="EcorysBody"/>
              <w:rPr>
                <w:rFonts w:ascii="Arial" w:hAnsi="Arial" w:cs="Arial"/>
                <w:b/>
                <w:bCs/>
                <w:sz w:val="16"/>
                <w:szCs w:val="16"/>
              </w:rPr>
            </w:pPr>
            <w:r w:rsidRPr="001F151E">
              <w:rPr>
                <w:rFonts w:ascii="Arial" w:hAnsi="Arial" w:cs="Arial"/>
                <w:b/>
                <w:bCs/>
                <w:sz w:val="16"/>
                <w:szCs w:val="16"/>
              </w:rPr>
              <w:lastRenderedPageBreak/>
              <w:t>Measure 2.3.2 Strengthen the Single Project Pipeline and enhance the gatekeeper role of MoF</w:t>
            </w:r>
          </w:p>
          <w:p w14:paraId="6402FFBA" w14:textId="77777777" w:rsidR="00733B9C" w:rsidRPr="001F151E" w:rsidRDefault="00733B9C" w:rsidP="002B7FF8">
            <w:pPr>
              <w:pStyle w:val="EcorysBody"/>
              <w:rPr>
                <w:rFonts w:ascii="Arial" w:hAnsi="Arial" w:cs="Arial"/>
                <w:b/>
                <w:bCs/>
                <w:sz w:val="16"/>
                <w:szCs w:val="16"/>
              </w:rPr>
            </w:pPr>
          </w:p>
          <w:p w14:paraId="62196254" w14:textId="77777777" w:rsidR="00733B9C" w:rsidRPr="001F151E" w:rsidRDefault="00733B9C" w:rsidP="002B7FF8">
            <w:pPr>
              <w:pStyle w:val="EcorysBody"/>
              <w:rPr>
                <w:rFonts w:ascii="Arial" w:hAnsi="Arial" w:cs="Arial"/>
                <w:sz w:val="16"/>
                <w:szCs w:val="16"/>
              </w:rPr>
            </w:pPr>
          </w:p>
        </w:tc>
        <w:tc>
          <w:tcPr>
            <w:tcW w:w="3703" w:type="dxa"/>
            <w:tcBorders>
              <w:top w:val="single" w:sz="4" w:space="0" w:color="auto"/>
              <w:left w:val="single" w:sz="4" w:space="0" w:color="auto"/>
              <w:bottom w:val="single" w:sz="4" w:space="0" w:color="auto"/>
              <w:right w:val="single" w:sz="4" w:space="0" w:color="auto"/>
            </w:tcBorders>
            <w:vAlign w:val="center"/>
            <w:hideMark/>
          </w:tcPr>
          <w:p w14:paraId="02DE0F9B" w14:textId="64097E9C" w:rsidR="00733B9C" w:rsidRPr="001F151E" w:rsidRDefault="00F4641F" w:rsidP="000E11C3">
            <w:pPr>
              <w:pStyle w:val="EcorysBody"/>
              <w:numPr>
                <w:ilvl w:val="0"/>
                <w:numId w:val="26"/>
              </w:numPr>
              <w:rPr>
                <w:rFonts w:ascii="Arial" w:hAnsi="Arial" w:cs="Arial"/>
                <w:sz w:val="16"/>
                <w:szCs w:val="16"/>
              </w:rPr>
            </w:pPr>
            <w:r w:rsidRPr="001F151E">
              <w:rPr>
                <w:rFonts w:ascii="Arial" w:hAnsi="Arial" w:cs="Arial"/>
                <w:sz w:val="16"/>
                <w:szCs w:val="16"/>
              </w:rPr>
              <w:t xml:space="preserve">Review procedures and systems for developing a comprehensive </w:t>
            </w:r>
            <w:r>
              <w:rPr>
                <w:rFonts w:ascii="Arial" w:hAnsi="Arial" w:cs="Arial"/>
                <w:sz w:val="16"/>
                <w:szCs w:val="16"/>
              </w:rPr>
              <w:t>National</w:t>
            </w:r>
            <w:r w:rsidRPr="001F151E">
              <w:rPr>
                <w:rFonts w:ascii="Arial" w:hAnsi="Arial" w:cs="Arial"/>
                <w:sz w:val="16"/>
                <w:szCs w:val="16"/>
              </w:rPr>
              <w:t xml:space="preserve"> Single Project Pipeline including PPP/Concessions</w:t>
            </w:r>
            <w:r>
              <w:rPr>
                <w:rFonts w:ascii="Arial" w:hAnsi="Arial" w:cs="Arial"/>
                <w:sz w:val="16"/>
                <w:szCs w:val="16"/>
              </w:rPr>
              <w:t>, including detailed guidelines for the preparation and evaluation of feasibility studies to cover also compliance with the rules of state aid</w:t>
            </w:r>
            <w:r w:rsidRPr="001F151E">
              <w:rPr>
                <w:rFonts w:ascii="Arial" w:hAnsi="Arial" w:cs="Arial"/>
                <w:sz w:val="16"/>
                <w:szCs w:val="16"/>
              </w:rPr>
              <w:t>.</w:t>
            </w:r>
          </w:p>
        </w:tc>
        <w:tc>
          <w:tcPr>
            <w:tcW w:w="777" w:type="dxa"/>
            <w:tcBorders>
              <w:top w:val="single" w:sz="4" w:space="0" w:color="auto"/>
              <w:left w:val="single" w:sz="4" w:space="0" w:color="auto"/>
              <w:bottom w:val="single" w:sz="4" w:space="0" w:color="auto"/>
              <w:right w:val="single" w:sz="4" w:space="0" w:color="auto"/>
            </w:tcBorders>
            <w:vAlign w:val="center"/>
          </w:tcPr>
          <w:p w14:paraId="1C094DAE" w14:textId="77777777" w:rsidR="00733B9C" w:rsidRPr="001F151E" w:rsidRDefault="00733B9C" w:rsidP="002B7FF8">
            <w:pPr>
              <w:jc w:val="center"/>
              <w:rPr>
                <w:sz w:val="16"/>
                <w:szCs w:val="16"/>
              </w:rPr>
            </w:pPr>
            <w:r w:rsidRPr="001F151E">
              <w:rPr>
                <w:sz w:val="16"/>
                <w:szCs w:val="16"/>
              </w:rPr>
              <w:t>Q1 2024</w:t>
            </w:r>
          </w:p>
        </w:tc>
        <w:tc>
          <w:tcPr>
            <w:tcW w:w="826" w:type="dxa"/>
            <w:tcBorders>
              <w:top w:val="single" w:sz="4" w:space="0" w:color="auto"/>
              <w:left w:val="single" w:sz="4" w:space="0" w:color="auto"/>
              <w:bottom w:val="single" w:sz="4" w:space="0" w:color="auto"/>
              <w:right w:val="single" w:sz="4" w:space="0" w:color="auto"/>
            </w:tcBorders>
            <w:vAlign w:val="center"/>
          </w:tcPr>
          <w:p w14:paraId="2BF5D1AC" w14:textId="77777777" w:rsidR="00733B9C" w:rsidRPr="001F151E" w:rsidRDefault="00733B9C" w:rsidP="002B7FF8">
            <w:pPr>
              <w:jc w:val="center"/>
              <w:rPr>
                <w:sz w:val="16"/>
                <w:szCs w:val="16"/>
              </w:rPr>
            </w:pPr>
            <w:r w:rsidRPr="001F151E">
              <w:rPr>
                <w:sz w:val="16"/>
                <w:szCs w:val="16"/>
              </w:rPr>
              <w:t>Q4 2024</w:t>
            </w:r>
          </w:p>
        </w:tc>
        <w:tc>
          <w:tcPr>
            <w:tcW w:w="1738" w:type="dxa"/>
            <w:vMerge w:val="restart"/>
            <w:tcBorders>
              <w:top w:val="single" w:sz="4" w:space="0" w:color="auto"/>
              <w:left w:val="single" w:sz="4" w:space="0" w:color="auto"/>
              <w:bottom w:val="single" w:sz="4" w:space="0" w:color="auto"/>
              <w:right w:val="single" w:sz="4" w:space="0" w:color="auto"/>
            </w:tcBorders>
          </w:tcPr>
          <w:p w14:paraId="10798C94" w14:textId="77777777" w:rsidR="00733B9C" w:rsidRPr="001F151E" w:rsidRDefault="00733B9C" w:rsidP="002B7FF8">
            <w:pPr>
              <w:rPr>
                <w:b/>
                <w:bCs/>
                <w:sz w:val="16"/>
                <w:szCs w:val="16"/>
              </w:rPr>
            </w:pPr>
            <w:r w:rsidRPr="001F151E">
              <w:rPr>
                <w:b/>
                <w:bCs/>
                <w:sz w:val="16"/>
                <w:szCs w:val="16"/>
              </w:rPr>
              <w:t xml:space="preserve">Responsible entity: </w:t>
            </w:r>
          </w:p>
          <w:p w14:paraId="2212BC1F" w14:textId="0C980316" w:rsidR="00733B9C" w:rsidRPr="001F151E" w:rsidRDefault="00733B9C" w:rsidP="002B7FF8">
            <w:pPr>
              <w:rPr>
                <w:sz w:val="16"/>
                <w:szCs w:val="16"/>
              </w:rPr>
            </w:pPr>
            <w:r w:rsidRPr="001F151E">
              <w:rPr>
                <w:sz w:val="16"/>
                <w:szCs w:val="16"/>
              </w:rPr>
              <w:t>SASPAC (lead for SPP), DP</w:t>
            </w:r>
            <w:r w:rsidR="00C80D16">
              <w:rPr>
                <w:sz w:val="16"/>
                <w:szCs w:val="16"/>
              </w:rPr>
              <w:t>IM (lead for gate keeper role)</w:t>
            </w:r>
          </w:p>
          <w:p w14:paraId="43C7A723" w14:textId="77777777" w:rsidR="00733B9C" w:rsidRPr="001F151E" w:rsidRDefault="00733B9C" w:rsidP="002B7FF8">
            <w:pPr>
              <w:pStyle w:val="EcorysBody"/>
              <w:rPr>
                <w:rFonts w:ascii="Arial" w:hAnsi="Arial" w:cs="Arial"/>
                <w:b/>
                <w:bCs/>
                <w:sz w:val="16"/>
                <w:szCs w:val="16"/>
              </w:rPr>
            </w:pPr>
          </w:p>
          <w:p w14:paraId="5D63B431" w14:textId="77777777" w:rsidR="00733B9C" w:rsidRPr="001F151E" w:rsidRDefault="00733B9C" w:rsidP="002B7FF8">
            <w:pPr>
              <w:pStyle w:val="EcorysBody"/>
              <w:rPr>
                <w:rFonts w:ascii="Arial" w:hAnsi="Arial" w:cs="Arial"/>
                <w:b/>
                <w:bCs/>
                <w:sz w:val="16"/>
                <w:szCs w:val="16"/>
              </w:rPr>
            </w:pPr>
            <w:r w:rsidRPr="001F151E">
              <w:rPr>
                <w:rFonts w:ascii="Arial" w:hAnsi="Arial" w:cs="Arial"/>
                <w:b/>
                <w:bCs/>
                <w:sz w:val="16"/>
                <w:szCs w:val="16"/>
              </w:rPr>
              <w:t>Partners:</w:t>
            </w:r>
          </w:p>
          <w:p w14:paraId="5504AAC5" w14:textId="77777777" w:rsidR="00733B9C" w:rsidRPr="001F151E" w:rsidRDefault="00733B9C" w:rsidP="002B7FF8">
            <w:pPr>
              <w:pStyle w:val="EcorysBody"/>
              <w:rPr>
                <w:rFonts w:ascii="Arial" w:hAnsi="Arial" w:cs="Arial"/>
                <w:sz w:val="16"/>
                <w:szCs w:val="16"/>
              </w:rPr>
            </w:pPr>
            <w:r w:rsidRPr="001F151E">
              <w:rPr>
                <w:rFonts w:ascii="Arial" w:hAnsi="Arial" w:cs="Arial"/>
                <w:sz w:val="16"/>
                <w:szCs w:val="16"/>
              </w:rPr>
              <w:t>IMF, EU</w:t>
            </w:r>
            <w:r w:rsidRPr="001F151E">
              <w:rPr>
                <w:rStyle w:val="FootnoteReference"/>
                <w:rFonts w:cs="Arial"/>
              </w:rPr>
              <w:footnoteReference w:id="25"/>
            </w:r>
          </w:p>
        </w:tc>
      </w:tr>
      <w:tr w:rsidR="00733B9C" w:rsidRPr="001F151E" w14:paraId="02C28C2E" w14:textId="77777777" w:rsidTr="002B7FF8">
        <w:trPr>
          <w:trHeight w:val="20"/>
        </w:trPr>
        <w:tc>
          <w:tcPr>
            <w:tcW w:w="1972" w:type="dxa"/>
            <w:vMerge/>
            <w:tcBorders>
              <w:top w:val="single" w:sz="4" w:space="0" w:color="auto"/>
              <w:left w:val="single" w:sz="4" w:space="0" w:color="auto"/>
              <w:bottom w:val="single" w:sz="4" w:space="0" w:color="auto"/>
              <w:right w:val="single" w:sz="4" w:space="0" w:color="auto"/>
            </w:tcBorders>
            <w:vAlign w:val="center"/>
            <w:hideMark/>
          </w:tcPr>
          <w:p w14:paraId="4BD4C3CE" w14:textId="77777777" w:rsidR="00733B9C" w:rsidRPr="001F151E" w:rsidRDefault="00733B9C" w:rsidP="002B7FF8">
            <w:pPr>
              <w:spacing w:line="240" w:lineRule="auto"/>
              <w:rPr>
                <w:sz w:val="16"/>
                <w:szCs w:val="16"/>
              </w:rPr>
            </w:pPr>
          </w:p>
        </w:tc>
        <w:tc>
          <w:tcPr>
            <w:tcW w:w="3703" w:type="dxa"/>
            <w:tcBorders>
              <w:top w:val="single" w:sz="4" w:space="0" w:color="auto"/>
              <w:left w:val="single" w:sz="4" w:space="0" w:color="auto"/>
              <w:right w:val="single" w:sz="4" w:space="0" w:color="auto"/>
            </w:tcBorders>
            <w:vAlign w:val="center"/>
          </w:tcPr>
          <w:p w14:paraId="3C68A0FC" w14:textId="17972B1B" w:rsidR="00733B9C" w:rsidRPr="001F151E" w:rsidRDefault="00733B9C" w:rsidP="00A26849">
            <w:pPr>
              <w:pStyle w:val="EcorysBody"/>
              <w:numPr>
                <w:ilvl w:val="0"/>
                <w:numId w:val="26"/>
              </w:numPr>
              <w:rPr>
                <w:rFonts w:ascii="Arial" w:hAnsi="Arial" w:cs="Arial"/>
                <w:sz w:val="16"/>
                <w:szCs w:val="16"/>
              </w:rPr>
            </w:pPr>
            <w:r w:rsidRPr="001F151E">
              <w:rPr>
                <w:rFonts w:ascii="Arial" w:hAnsi="Arial" w:cs="Arial"/>
                <w:sz w:val="16"/>
                <w:szCs w:val="16"/>
              </w:rPr>
              <w:t>Develop and implement a plan to further improve the concept of the SPP and the gatekeeper role of MoF</w:t>
            </w:r>
            <w:r w:rsidR="002C765F" w:rsidRPr="001F151E">
              <w:rPr>
                <w:rFonts w:ascii="Arial" w:hAnsi="Arial" w:cs="Arial"/>
                <w:sz w:val="16"/>
                <w:szCs w:val="16"/>
              </w:rPr>
              <w:t>.</w:t>
            </w:r>
          </w:p>
        </w:tc>
        <w:tc>
          <w:tcPr>
            <w:tcW w:w="777" w:type="dxa"/>
            <w:tcBorders>
              <w:top w:val="single" w:sz="4" w:space="0" w:color="auto"/>
              <w:left w:val="single" w:sz="4" w:space="0" w:color="auto"/>
              <w:right w:val="single" w:sz="4" w:space="0" w:color="auto"/>
            </w:tcBorders>
            <w:vAlign w:val="center"/>
          </w:tcPr>
          <w:p w14:paraId="14F4B3A6" w14:textId="77777777" w:rsidR="00733B9C" w:rsidRPr="001F151E" w:rsidRDefault="00733B9C" w:rsidP="002B7FF8">
            <w:pPr>
              <w:jc w:val="center"/>
              <w:rPr>
                <w:sz w:val="16"/>
                <w:szCs w:val="16"/>
              </w:rPr>
            </w:pPr>
            <w:r w:rsidRPr="001F151E">
              <w:rPr>
                <w:sz w:val="16"/>
                <w:szCs w:val="16"/>
              </w:rPr>
              <w:t>Q4 2024</w:t>
            </w:r>
          </w:p>
        </w:tc>
        <w:tc>
          <w:tcPr>
            <w:tcW w:w="826" w:type="dxa"/>
            <w:tcBorders>
              <w:top w:val="single" w:sz="4" w:space="0" w:color="auto"/>
              <w:left w:val="single" w:sz="4" w:space="0" w:color="auto"/>
              <w:right w:val="single" w:sz="4" w:space="0" w:color="auto"/>
            </w:tcBorders>
            <w:vAlign w:val="center"/>
          </w:tcPr>
          <w:p w14:paraId="0A9CA174" w14:textId="4BB3D68F" w:rsidR="00733B9C" w:rsidRPr="001F151E" w:rsidRDefault="00733B9C" w:rsidP="002B7FF8">
            <w:pPr>
              <w:jc w:val="center"/>
              <w:rPr>
                <w:sz w:val="16"/>
                <w:szCs w:val="16"/>
              </w:rPr>
            </w:pPr>
            <w:r w:rsidRPr="001F151E">
              <w:rPr>
                <w:sz w:val="16"/>
                <w:szCs w:val="16"/>
              </w:rPr>
              <w:t>Q</w:t>
            </w:r>
            <w:r w:rsidR="004B5FE4" w:rsidRPr="001F151E">
              <w:rPr>
                <w:sz w:val="16"/>
                <w:szCs w:val="16"/>
              </w:rPr>
              <w:t>1</w:t>
            </w:r>
            <w:r w:rsidRPr="001F151E">
              <w:rPr>
                <w:sz w:val="16"/>
                <w:szCs w:val="16"/>
              </w:rPr>
              <w:t xml:space="preserve"> 202</w:t>
            </w:r>
            <w:r w:rsidR="004B5FE4" w:rsidRPr="001F151E">
              <w:rPr>
                <w:sz w:val="16"/>
                <w:szCs w:val="16"/>
              </w:rPr>
              <w:t>5</w:t>
            </w: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35EA90D2" w14:textId="77777777" w:rsidR="00733B9C" w:rsidRPr="001F151E" w:rsidRDefault="00733B9C" w:rsidP="002B7FF8">
            <w:pPr>
              <w:spacing w:line="240" w:lineRule="auto"/>
              <w:rPr>
                <w:sz w:val="16"/>
                <w:szCs w:val="16"/>
              </w:rPr>
            </w:pPr>
          </w:p>
        </w:tc>
      </w:tr>
    </w:tbl>
    <w:p w14:paraId="2BD8403A" w14:textId="77777777" w:rsidR="00733B9C" w:rsidRPr="001F151E" w:rsidRDefault="00733B9C" w:rsidP="00733B9C">
      <w:pPr>
        <w:rPr>
          <w:lang w:val="en-GB"/>
        </w:rPr>
      </w:pPr>
    </w:p>
    <w:p w14:paraId="76232BCA" w14:textId="77777777" w:rsidR="00852403" w:rsidRDefault="00852403" w:rsidP="00733B9C">
      <w:pPr>
        <w:pStyle w:val="H5"/>
        <w:rPr>
          <w:lang w:val="en-GB"/>
        </w:rPr>
      </w:pPr>
    </w:p>
    <w:p w14:paraId="3E53C99D" w14:textId="77777777" w:rsidR="00852403" w:rsidRDefault="00852403" w:rsidP="00733B9C">
      <w:pPr>
        <w:pStyle w:val="H5"/>
        <w:rPr>
          <w:lang w:val="en-GB"/>
        </w:rPr>
      </w:pPr>
    </w:p>
    <w:p w14:paraId="2224C4EB" w14:textId="77777777" w:rsidR="00733B9C" w:rsidRPr="001F151E" w:rsidRDefault="00733B9C" w:rsidP="00733B9C">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11"/>
        <w:gridCol w:w="1250"/>
        <w:gridCol w:w="1180"/>
        <w:gridCol w:w="1181"/>
        <w:gridCol w:w="1181"/>
      </w:tblGrid>
      <w:tr w:rsidR="005B5670" w:rsidRPr="001F151E" w14:paraId="18DADA38" w14:textId="77777777" w:rsidTr="00F80FDB">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61D926" w14:textId="77777777" w:rsidR="005B5670" w:rsidRPr="001F151E" w:rsidRDefault="005B5670" w:rsidP="004F380A">
            <w:pPr>
              <w:pStyle w:val="T-bold"/>
              <w:spacing w:line="200" w:lineRule="exact"/>
            </w:pPr>
            <w:r w:rsidRPr="001F151E">
              <w:t>Indicator</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D457E0" w14:textId="77777777" w:rsidR="005B5670" w:rsidRPr="001F151E" w:rsidRDefault="005B5670" w:rsidP="004F380A">
            <w:pPr>
              <w:pStyle w:val="T-bold"/>
              <w:spacing w:line="200" w:lineRule="exact"/>
              <w:jc w:val="center"/>
            </w:pPr>
            <w:r w:rsidRPr="001F151E">
              <w:t>Baseline value (year)</w:t>
            </w:r>
          </w:p>
        </w:tc>
        <w:tc>
          <w:tcPr>
            <w:tcW w:w="47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C1ABF" w14:textId="77777777" w:rsidR="005B5670" w:rsidRPr="001F151E" w:rsidRDefault="005B5670" w:rsidP="004F380A">
            <w:pPr>
              <w:pStyle w:val="T-bold"/>
              <w:spacing w:line="200" w:lineRule="exact"/>
              <w:jc w:val="center"/>
            </w:pPr>
            <w:r w:rsidRPr="001F151E">
              <w:t>Target Value</w:t>
            </w:r>
          </w:p>
        </w:tc>
      </w:tr>
      <w:tr w:rsidR="005B5670" w:rsidRPr="001F151E" w14:paraId="4A96099E" w14:textId="77777777" w:rsidTr="00F80FDB">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EF25F1A" w14:textId="77777777" w:rsidR="005B5670" w:rsidRPr="001F151E" w:rsidRDefault="005B5670" w:rsidP="004F380A">
            <w:pPr>
              <w:pStyle w:val="T-bold"/>
              <w:spacing w:line="200" w:lineRule="exact"/>
            </w:pP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53372A3B" w14:textId="77777777" w:rsidR="005B5670" w:rsidRPr="001F151E" w:rsidRDefault="005B5670" w:rsidP="004F380A">
            <w:pPr>
              <w:pStyle w:val="T-bold"/>
              <w:spacing w:line="200" w:lineRule="exact"/>
              <w:jc w:val="center"/>
            </w:pP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C05B5" w14:textId="77777777" w:rsidR="005B5670" w:rsidRPr="001F151E" w:rsidRDefault="005B5670" w:rsidP="004F380A">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3B64A" w14:textId="77777777" w:rsidR="005B5670" w:rsidRPr="001F151E" w:rsidRDefault="005B5670" w:rsidP="004F380A">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4FDF1" w14:textId="77777777" w:rsidR="005B5670" w:rsidRPr="001F151E" w:rsidRDefault="005B5670" w:rsidP="004F380A">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EBDD9" w14:textId="77777777" w:rsidR="005B5670" w:rsidRPr="001F151E" w:rsidRDefault="005B5670" w:rsidP="004F380A">
            <w:pPr>
              <w:pStyle w:val="T-bold"/>
              <w:spacing w:line="200" w:lineRule="exact"/>
              <w:jc w:val="center"/>
            </w:pPr>
            <w:r w:rsidRPr="001F151E">
              <w:t>2026</w:t>
            </w:r>
          </w:p>
        </w:tc>
      </w:tr>
      <w:tr w:rsidR="005B5670" w:rsidRPr="001F151E" w14:paraId="10ADFC66" w14:textId="77777777" w:rsidTr="00F80FDB">
        <w:tc>
          <w:tcPr>
            <w:tcW w:w="3114" w:type="dxa"/>
            <w:tcBorders>
              <w:top w:val="single" w:sz="4" w:space="0" w:color="auto"/>
              <w:left w:val="single" w:sz="4" w:space="0" w:color="auto"/>
              <w:bottom w:val="single" w:sz="4" w:space="0" w:color="auto"/>
              <w:right w:val="single" w:sz="4" w:space="0" w:color="auto"/>
            </w:tcBorders>
          </w:tcPr>
          <w:p w14:paraId="78FBDFCA" w14:textId="0E28C9B1" w:rsidR="005B5670" w:rsidRPr="001F151E" w:rsidRDefault="005B5670" w:rsidP="00B45892">
            <w:pPr>
              <w:pStyle w:val="ListParagraph"/>
              <w:numPr>
                <w:ilvl w:val="0"/>
                <w:numId w:val="36"/>
              </w:numPr>
              <w:spacing w:line="200" w:lineRule="exact"/>
              <w:rPr>
                <w:sz w:val="16"/>
                <w:szCs w:val="16"/>
              </w:rPr>
            </w:pPr>
            <w:r w:rsidRPr="001F151E">
              <w:rPr>
                <w:sz w:val="16"/>
                <w:szCs w:val="16"/>
              </w:rPr>
              <w:t xml:space="preserve">PEFA PI-11. Public investment management </w:t>
            </w:r>
          </w:p>
        </w:tc>
        <w:tc>
          <w:tcPr>
            <w:tcW w:w="1111" w:type="dxa"/>
            <w:tcBorders>
              <w:top w:val="single" w:sz="4" w:space="0" w:color="auto"/>
              <w:left w:val="single" w:sz="4" w:space="0" w:color="auto"/>
              <w:bottom w:val="single" w:sz="4" w:space="0" w:color="auto"/>
              <w:right w:val="single" w:sz="4" w:space="0" w:color="auto"/>
            </w:tcBorders>
            <w:vAlign w:val="center"/>
          </w:tcPr>
          <w:p w14:paraId="43524DCA" w14:textId="77777777" w:rsidR="009B6A5D" w:rsidRPr="001F151E" w:rsidRDefault="005B5670" w:rsidP="004F380A">
            <w:pPr>
              <w:pStyle w:val="EcorysBody"/>
              <w:spacing w:line="200" w:lineRule="exact"/>
              <w:jc w:val="center"/>
              <w:rPr>
                <w:rFonts w:ascii="Arial" w:hAnsi="Arial" w:cs="Arial"/>
                <w:sz w:val="16"/>
                <w:szCs w:val="16"/>
              </w:rPr>
            </w:pPr>
            <w:r w:rsidRPr="001F151E">
              <w:rPr>
                <w:rFonts w:ascii="Arial" w:hAnsi="Arial" w:cs="Arial"/>
                <w:sz w:val="16"/>
                <w:szCs w:val="16"/>
              </w:rPr>
              <w:t xml:space="preserve">C+ </w:t>
            </w:r>
          </w:p>
          <w:p w14:paraId="399DE74F" w14:textId="5F6BBD84" w:rsidR="005B5670" w:rsidRPr="001F151E" w:rsidRDefault="005B5670" w:rsidP="004F380A">
            <w:pPr>
              <w:pStyle w:val="EcorysBody"/>
              <w:spacing w:line="200" w:lineRule="exact"/>
              <w:jc w:val="center"/>
              <w:rPr>
                <w:rFonts w:ascii="Arial" w:hAnsi="Arial" w:cs="Arial"/>
                <w:sz w:val="16"/>
                <w:szCs w:val="16"/>
              </w:rPr>
            </w:pPr>
            <w:r w:rsidRPr="001F151E">
              <w:rPr>
                <w:rFonts w:ascii="Arial" w:hAnsi="Arial" w:cs="Arial"/>
                <w:sz w:val="16"/>
                <w:szCs w:val="16"/>
              </w:rPr>
              <w:t>(2017)</w:t>
            </w:r>
          </w:p>
        </w:tc>
        <w:tc>
          <w:tcPr>
            <w:tcW w:w="1250" w:type="dxa"/>
            <w:tcBorders>
              <w:top w:val="single" w:sz="4" w:space="0" w:color="auto"/>
              <w:left w:val="single" w:sz="4" w:space="0" w:color="auto"/>
              <w:bottom w:val="single" w:sz="4" w:space="0" w:color="auto"/>
              <w:right w:val="single" w:sz="4" w:space="0" w:color="auto"/>
            </w:tcBorders>
            <w:vAlign w:val="center"/>
          </w:tcPr>
          <w:p w14:paraId="79BF85A8" w14:textId="6F8C7894" w:rsidR="005B5670" w:rsidRPr="001F151E" w:rsidRDefault="004F380A" w:rsidP="004F380A">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43777491" w14:textId="7AFAC2F8" w:rsidR="005B5670" w:rsidRPr="001F151E" w:rsidRDefault="004F380A" w:rsidP="004F380A">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58BFC64D" w14:textId="01169205" w:rsidR="005B5670" w:rsidRPr="001F151E" w:rsidRDefault="004F380A" w:rsidP="004F380A">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502759D4" w14:textId="51464095" w:rsidR="005B5670" w:rsidRPr="00DA579E" w:rsidRDefault="00DA579E" w:rsidP="004F380A">
            <w:pPr>
              <w:pStyle w:val="EcorysBody"/>
              <w:spacing w:line="200" w:lineRule="exact"/>
              <w:jc w:val="center"/>
              <w:rPr>
                <w:rFonts w:ascii="Arial" w:hAnsi="Arial" w:cs="Arial"/>
                <w:sz w:val="16"/>
                <w:szCs w:val="16"/>
              </w:rPr>
            </w:pPr>
            <w:r>
              <w:rPr>
                <w:rFonts w:ascii="Arial" w:hAnsi="Arial" w:cs="Arial"/>
                <w:sz w:val="16"/>
                <w:szCs w:val="16"/>
              </w:rPr>
              <w:t>B+</w:t>
            </w:r>
          </w:p>
        </w:tc>
      </w:tr>
      <w:tr w:rsidR="004F380A" w:rsidRPr="001F151E" w14:paraId="6740B04E" w14:textId="77777777" w:rsidTr="00F80FDB">
        <w:trPr>
          <w:trHeight w:val="21"/>
        </w:trPr>
        <w:tc>
          <w:tcPr>
            <w:tcW w:w="3114" w:type="dxa"/>
            <w:tcBorders>
              <w:top w:val="single" w:sz="4" w:space="0" w:color="auto"/>
              <w:left w:val="single" w:sz="4" w:space="0" w:color="auto"/>
              <w:bottom w:val="single" w:sz="4" w:space="0" w:color="auto"/>
              <w:right w:val="single" w:sz="4" w:space="0" w:color="auto"/>
            </w:tcBorders>
          </w:tcPr>
          <w:p w14:paraId="7E201C0E" w14:textId="3B12C52A" w:rsidR="004F380A" w:rsidRPr="001F151E" w:rsidRDefault="00F4641F" w:rsidP="00B45892">
            <w:pPr>
              <w:pStyle w:val="ListParagraph"/>
              <w:numPr>
                <w:ilvl w:val="0"/>
                <w:numId w:val="36"/>
              </w:numPr>
              <w:spacing w:line="200" w:lineRule="exact"/>
              <w:rPr>
                <w:sz w:val="16"/>
                <w:szCs w:val="16"/>
              </w:rPr>
            </w:pPr>
            <w:r w:rsidRPr="001F151E">
              <w:rPr>
                <w:sz w:val="16"/>
                <w:szCs w:val="16"/>
              </w:rPr>
              <w:t>Improved procedures for PIM introduced</w:t>
            </w:r>
            <w:r>
              <w:rPr>
                <w:sz w:val="16"/>
                <w:szCs w:val="16"/>
              </w:rPr>
              <w:t xml:space="preserve"> (including relevant decision-making mechanism)</w:t>
            </w:r>
          </w:p>
        </w:tc>
        <w:tc>
          <w:tcPr>
            <w:tcW w:w="1111" w:type="dxa"/>
            <w:tcBorders>
              <w:top w:val="single" w:sz="4" w:space="0" w:color="auto"/>
              <w:left w:val="single" w:sz="4" w:space="0" w:color="auto"/>
              <w:bottom w:val="single" w:sz="4" w:space="0" w:color="auto"/>
              <w:right w:val="single" w:sz="4" w:space="0" w:color="auto"/>
            </w:tcBorders>
            <w:vAlign w:val="center"/>
          </w:tcPr>
          <w:p w14:paraId="30E136D4" w14:textId="77777777" w:rsidR="004F380A" w:rsidRPr="001F151E" w:rsidRDefault="004F380A" w:rsidP="004F380A">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250" w:type="dxa"/>
            <w:tcBorders>
              <w:top w:val="single" w:sz="4" w:space="0" w:color="auto"/>
              <w:left w:val="single" w:sz="4" w:space="0" w:color="auto"/>
              <w:bottom w:val="single" w:sz="4" w:space="0" w:color="auto"/>
              <w:right w:val="single" w:sz="4" w:space="0" w:color="auto"/>
            </w:tcBorders>
            <w:vAlign w:val="center"/>
          </w:tcPr>
          <w:p w14:paraId="4B0132AA" w14:textId="77777777" w:rsidR="004F380A" w:rsidRPr="001F151E" w:rsidRDefault="004F380A" w:rsidP="004F380A">
            <w:pPr>
              <w:pStyle w:val="EcorysBody"/>
              <w:spacing w:line="200" w:lineRule="exact"/>
              <w:jc w:val="center"/>
              <w:rPr>
                <w:rFonts w:ascii="Arial" w:hAnsi="Arial" w:cs="Arial"/>
                <w:sz w:val="16"/>
                <w:szCs w:val="16"/>
              </w:rPr>
            </w:pPr>
            <w:r w:rsidRPr="001F151E">
              <w:rPr>
                <w:rFonts w:ascii="Arial" w:hAnsi="Arial" w:cs="Arial"/>
                <w:sz w:val="16"/>
                <w:szCs w:val="16"/>
              </w:rPr>
              <w:t xml:space="preserve">PIM procedures </w:t>
            </w:r>
            <w:r w:rsidRPr="00F80FDB">
              <w:rPr>
                <w:rFonts w:ascii="Arial" w:hAnsi="Arial" w:cs="Arial"/>
                <w:sz w:val="16"/>
                <w:szCs w:val="14"/>
              </w:rPr>
              <w:t>Operationalised</w:t>
            </w:r>
          </w:p>
        </w:tc>
        <w:tc>
          <w:tcPr>
            <w:tcW w:w="1180" w:type="dxa"/>
            <w:tcBorders>
              <w:top w:val="single" w:sz="4" w:space="0" w:color="auto"/>
              <w:left w:val="single" w:sz="4" w:space="0" w:color="auto"/>
              <w:bottom w:val="single" w:sz="4" w:space="0" w:color="auto"/>
              <w:right w:val="single" w:sz="4" w:space="0" w:color="auto"/>
            </w:tcBorders>
            <w:vAlign w:val="center"/>
          </w:tcPr>
          <w:p w14:paraId="080180D3" w14:textId="6B47A189" w:rsidR="004F380A" w:rsidRPr="001F151E" w:rsidRDefault="00F4641F" w:rsidP="004F380A">
            <w:pPr>
              <w:pStyle w:val="EcorysBody"/>
              <w:spacing w:line="200" w:lineRule="exact"/>
              <w:jc w:val="center"/>
              <w:rPr>
                <w:rFonts w:ascii="Arial" w:hAnsi="Arial" w:cs="Arial"/>
                <w:sz w:val="16"/>
                <w:szCs w:val="16"/>
              </w:rPr>
            </w:pPr>
            <w:r w:rsidRPr="001F151E">
              <w:rPr>
                <w:rFonts w:ascii="Arial" w:hAnsi="Arial" w:cs="Arial"/>
                <w:sz w:val="16"/>
                <w:szCs w:val="16"/>
              </w:rPr>
              <w:t>PIM procedures implemented</w:t>
            </w:r>
            <w:r>
              <w:rPr>
                <w:rFonts w:ascii="Arial" w:hAnsi="Arial" w:cs="Arial"/>
                <w:sz w:val="16"/>
                <w:szCs w:val="16"/>
              </w:rPr>
              <w:t xml:space="preserve"> and improved</w:t>
            </w:r>
          </w:p>
        </w:tc>
        <w:tc>
          <w:tcPr>
            <w:tcW w:w="1181" w:type="dxa"/>
            <w:tcBorders>
              <w:top w:val="single" w:sz="4" w:space="0" w:color="auto"/>
              <w:left w:val="single" w:sz="4" w:space="0" w:color="auto"/>
              <w:bottom w:val="single" w:sz="4" w:space="0" w:color="auto"/>
              <w:right w:val="single" w:sz="4" w:space="0" w:color="auto"/>
            </w:tcBorders>
            <w:vAlign w:val="center"/>
          </w:tcPr>
          <w:p w14:paraId="3CB7C2B2" w14:textId="5D89B255" w:rsidR="004F380A" w:rsidRPr="001F151E" w:rsidRDefault="004F380A" w:rsidP="004F380A">
            <w:pPr>
              <w:pStyle w:val="EcorysBody"/>
              <w:spacing w:line="200" w:lineRule="exact"/>
              <w:jc w:val="center"/>
              <w:rPr>
                <w:rFonts w:ascii="Arial" w:hAnsi="Arial" w:cs="Arial"/>
                <w:sz w:val="16"/>
                <w:szCs w:val="16"/>
              </w:rPr>
            </w:pPr>
            <w:r w:rsidRPr="001F151E">
              <w:rPr>
                <w:rFonts w:ascii="Arial" w:hAnsi="Arial" w:cs="Arial"/>
                <w:sz w:val="16"/>
                <w:szCs w:val="16"/>
              </w:rPr>
              <w:t>PIM procedures implemented</w:t>
            </w:r>
          </w:p>
        </w:tc>
        <w:tc>
          <w:tcPr>
            <w:tcW w:w="1181" w:type="dxa"/>
            <w:tcBorders>
              <w:top w:val="single" w:sz="4" w:space="0" w:color="auto"/>
              <w:left w:val="single" w:sz="4" w:space="0" w:color="auto"/>
              <w:bottom w:val="single" w:sz="4" w:space="0" w:color="auto"/>
              <w:right w:val="single" w:sz="4" w:space="0" w:color="auto"/>
            </w:tcBorders>
            <w:vAlign w:val="center"/>
          </w:tcPr>
          <w:p w14:paraId="70B4E84C" w14:textId="43B0C1C9" w:rsidR="004F380A" w:rsidRPr="001F151E" w:rsidRDefault="004F380A" w:rsidP="004F380A">
            <w:pPr>
              <w:pStyle w:val="EcorysBody"/>
              <w:spacing w:line="200" w:lineRule="exact"/>
              <w:jc w:val="center"/>
              <w:rPr>
                <w:rFonts w:ascii="Arial" w:hAnsi="Arial" w:cs="Arial"/>
                <w:sz w:val="16"/>
                <w:szCs w:val="16"/>
              </w:rPr>
            </w:pPr>
            <w:r w:rsidRPr="001F151E">
              <w:rPr>
                <w:rFonts w:ascii="Arial" w:hAnsi="Arial" w:cs="Arial"/>
                <w:sz w:val="16"/>
                <w:szCs w:val="16"/>
              </w:rPr>
              <w:t>PIM procedures updated</w:t>
            </w:r>
          </w:p>
        </w:tc>
      </w:tr>
      <w:tr w:rsidR="009B6A5D" w:rsidRPr="001F151E" w14:paraId="450EDDBA" w14:textId="77777777" w:rsidTr="00F80FDB">
        <w:tc>
          <w:tcPr>
            <w:tcW w:w="3114" w:type="dxa"/>
            <w:tcBorders>
              <w:top w:val="single" w:sz="4" w:space="0" w:color="auto"/>
              <w:left w:val="single" w:sz="4" w:space="0" w:color="auto"/>
              <w:bottom w:val="single" w:sz="4" w:space="0" w:color="auto"/>
              <w:right w:val="single" w:sz="4" w:space="0" w:color="auto"/>
            </w:tcBorders>
          </w:tcPr>
          <w:p w14:paraId="2951E1D7" w14:textId="6AF87471" w:rsidR="009B6A5D" w:rsidRPr="001F151E" w:rsidRDefault="009B6A5D" w:rsidP="00B45892">
            <w:pPr>
              <w:pStyle w:val="ListParagraph"/>
              <w:numPr>
                <w:ilvl w:val="0"/>
                <w:numId w:val="36"/>
              </w:numPr>
              <w:spacing w:line="200" w:lineRule="exact"/>
              <w:rPr>
                <w:iCs/>
                <w:sz w:val="16"/>
                <w:szCs w:val="16"/>
              </w:rPr>
            </w:pPr>
            <w:r w:rsidRPr="001F151E">
              <w:rPr>
                <w:iCs/>
                <w:sz w:val="16"/>
                <w:szCs w:val="16"/>
              </w:rPr>
              <w:t>Share of public investment projects that are proposed based on the strategic priorities of the government (value of projects in specific year)</w:t>
            </w:r>
          </w:p>
        </w:tc>
        <w:tc>
          <w:tcPr>
            <w:tcW w:w="1111" w:type="dxa"/>
            <w:tcBorders>
              <w:top w:val="single" w:sz="4" w:space="0" w:color="auto"/>
              <w:left w:val="single" w:sz="4" w:space="0" w:color="auto"/>
              <w:bottom w:val="single" w:sz="4" w:space="0" w:color="auto"/>
              <w:right w:val="single" w:sz="4" w:space="0" w:color="auto"/>
            </w:tcBorders>
            <w:vAlign w:val="center"/>
          </w:tcPr>
          <w:p w14:paraId="713D8031" w14:textId="77777777" w:rsidR="009B6A5D" w:rsidRPr="001F151E" w:rsidRDefault="009B6A5D" w:rsidP="004F380A">
            <w:pPr>
              <w:pStyle w:val="EcorysBody"/>
              <w:spacing w:line="200" w:lineRule="exact"/>
              <w:jc w:val="center"/>
              <w:rPr>
                <w:rFonts w:ascii="Arial" w:hAnsi="Arial" w:cs="Arial"/>
                <w:sz w:val="16"/>
                <w:szCs w:val="16"/>
              </w:rPr>
            </w:pPr>
            <w:r w:rsidRPr="001F151E">
              <w:rPr>
                <w:rFonts w:ascii="Arial" w:hAnsi="Arial" w:cs="Arial"/>
                <w:sz w:val="16"/>
                <w:szCs w:val="16"/>
              </w:rPr>
              <w:t xml:space="preserve">82% </w:t>
            </w:r>
          </w:p>
          <w:p w14:paraId="4551C0C8" w14:textId="1D9827D9" w:rsidR="009B6A5D" w:rsidRPr="001F151E" w:rsidRDefault="009B6A5D" w:rsidP="004F380A">
            <w:pPr>
              <w:pStyle w:val="EcorysBody"/>
              <w:spacing w:line="200" w:lineRule="exact"/>
              <w:jc w:val="center"/>
              <w:rPr>
                <w:rFonts w:ascii="Arial" w:hAnsi="Arial" w:cs="Arial"/>
                <w:sz w:val="16"/>
                <w:szCs w:val="16"/>
              </w:rPr>
            </w:pPr>
            <w:r w:rsidRPr="001F151E">
              <w:rPr>
                <w:rFonts w:ascii="Arial" w:hAnsi="Arial" w:cs="Arial"/>
                <w:sz w:val="16"/>
                <w:szCs w:val="16"/>
              </w:rPr>
              <w:t>(2020)</w:t>
            </w:r>
          </w:p>
        </w:tc>
        <w:tc>
          <w:tcPr>
            <w:tcW w:w="1250" w:type="dxa"/>
            <w:tcBorders>
              <w:top w:val="single" w:sz="4" w:space="0" w:color="auto"/>
              <w:left w:val="single" w:sz="4" w:space="0" w:color="auto"/>
              <w:bottom w:val="single" w:sz="4" w:space="0" w:color="auto"/>
              <w:right w:val="single" w:sz="4" w:space="0" w:color="auto"/>
            </w:tcBorders>
            <w:vAlign w:val="center"/>
          </w:tcPr>
          <w:p w14:paraId="6C5DA407" w14:textId="77777777" w:rsidR="009B6A5D" w:rsidRPr="001F151E" w:rsidRDefault="009B6A5D" w:rsidP="004F380A">
            <w:pPr>
              <w:pStyle w:val="EcorysBody"/>
              <w:spacing w:line="200" w:lineRule="exact"/>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tcPr>
          <w:p w14:paraId="5F6A858B" w14:textId="56DD70C4" w:rsidR="009B6A5D" w:rsidRPr="001F151E" w:rsidRDefault="00452F6A" w:rsidP="00452F6A">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82%</w:t>
            </w:r>
          </w:p>
        </w:tc>
        <w:tc>
          <w:tcPr>
            <w:tcW w:w="1181" w:type="dxa"/>
            <w:tcBorders>
              <w:top w:val="single" w:sz="4" w:space="0" w:color="auto"/>
              <w:left w:val="single" w:sz="4" w:space="0" w:color="auto"/>
              <w:bottom w:val="single" w:sz="4" w:space="0" w:color="auto"/>
              <w:right w:val="single" w:sz="4" w:space="0" w:color="auto"/>
            </w:tcBorders>
            <w:vAlign w:val="center"/>
          </w:tcPr>
          <w:p w14:paraId="14922002" w14:textId="4DCBB95A" w:rsidR="009B6A5D" w:rsidRPr="001F151E" w:rsidRDefault="00452F6A" w:rsidP="009B6A5D">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82%</w:t>
            </w:r>
          </w:p>
        </w:tc>
        <w:tc>
          <w:tcPr>
            <w:tcW w:w="1181" w:type="dxa"/>
            <w:tcBorders>
              <w:top w:val="single" w:sz="4" w:space="0" w:color="auto"/>
              <w:left w:val="single" w:sz="4" w:space="0" w:color="auto"/>
              <w:bottom w:val="single" w:sz="4" w:space="0" w:color="auto"/>
              <w:right w:val="single" w:sz="4" w:space="0" w:color="auto"/>
            </w:tcBorders>
            <w:vAlign w:val="center"/>
          </w:tcPr>
          <w:p w14:paraId="44E29F87" w14:textId="0DC3DB9C" w:rsidR="009B6A5D" w:rsidRPr="001F151E" w:rsidRDefault="00B13E9F" w:rsidP="004F380A">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82%</w:t>
            </w:r>
          </w:p>
        </w:tc>
      </w:tr>
      <w:tr w:rsidR="00452F6A" w:rsidRPr="001F151E" w14:paraId="542ABA66" w14:textId="77777777" w:rsidTr="00F80FDB">
        <w:tc>
          <w:tcPr>
            <w:tcW w:w="3114" w:type="dxa"/>
            <w:tcBorders>
              <w:top w:val="single" w:sz="4" w:space="0" w:color="auto"/>
              <w:left w:val="single" w:sz="4" w:space="0" w:color="auto"/>
              <w:bottom w:val="single" w:sz="4" w:space="0" w:color="auto"/>
              <w:right w:val="single" w:sz="4" w:space="0" w:color="auto"/>
            </w:tcBorders>
          </w:tcPr>
          <w:p w14:paraId="1A8D50F3" w14:textId="10F0813F" w:rsidR="00452F6A" w:rsidRPr="001F151E" w:rsidRDefault="00452F6A" w:rsidP="00B45892">
            <w:pPr>
              <w:pStyle w:val="ListParagraph"/>
              <w:numPr>
                <w:ilvl w:val="0"/>
                <w:numId w:val="36"/>
              </w:numPr>
              <w:spacing w:line="200" w:lineRule="exact"/>
              <w:rPr>
                <w:sz w:val="16"/>
                <w:szCs w:val="16"/>
              </w:rPr>
            </w:pPr>
            <w:r w:rsidRPr="001F151E">
              <w:rPr>
                <w:sz w:val="16"/>
                <w:szCs w:val="16"/>
              </w:rPr>
              <w:t>Actual disbursements for major investment projects compared to planned disbursements along with explanation of variations</w:t>
            </w:r>
          </w:p>
        </w:tc>
        <w:tc>
          <w:tcPr>
            <w:tcW w:w="1111" w:type="dxa"/>
            <w:tcBorders>
              <w:top w:val="single" w:sz="4" w:space="0" w:color="auto"/>
              <w:left w:val="single" w:sz="4" w:space="0" w:color="auto"/>
              <w:bottom w:val="single" w:sz="4" w:space="0" w:color="auto"/>
              <w:right w:val="single" w:sz="4" w:space="0" w:color="auto"/>
            </w:tcBorders>
            <w:vAlign w:val="center"/>
          </w:tcPr>
          <w:p w14:paraId="6FACABB7" w14:textId="3DBCE94D" w:rsidR="00452F6A" w:rsidRPr="001F151E" w:rsidRDefault="00452F6A" w:rsidP="00452F6A">
            <w:pPr>
              <w:pStyle w:val="EcorysBody"/>
              <w:spacing w:line="200" w:lineRule="exact"/>
              <w:jc w:val="center"/>
              <w:rPr>
                <w:rFonts w:ascii="Arial" w:hAnsi="Arial" w:cs="Arial"/>
                <w:sz w:val="16"/>
                <w:szCs w:val="16"/>
              </w:rPr>
            </w:pPr>
            <w:r w:rsidRPr="001F151E">
              <w:rPr>
                <w:rFonts w:ascii="Arial" w:hAnsi="Arial" w:cs="Arial"/>
                <w:sz w:val="16"/>
                <w:szCs w:val="16"/>
              </w:rPr>
              <w:t>98%</w:t>
            </w:r>
          </w:p>
          <w:p w14:paraId="3A673DCA" w14:textId="5848D9CC" w:rsidR="00452F6A" w:rsidRPr="001F151E" w:rsidRDefault="00452F6A" w:rsidP="00452F6A">
            <w:pPr>
              <w:pStyle w:val="EcorysBody"/>
              <w:spacing w:line="200" w:lineRule="exact"/>
              <w:jc w:val="center"/>
              <w:rPr>
                <w:rFonts w:ascii="Arial" w:hAnsi="Arial" w:cs="Arial"/>
                <w:sz w:val="16"/>
                <w:szCs w:val="16"/>
              </w:rPr>
            </w:pPr>
            <w:r w:rsidRPr="001F151E">
              <w:rPr>
                <w:rFonts w:ascii="Arial" w:hAnsi="Arial" w:cs="Arial"/>
                <w:sz w:val="16"/>
                <w:szCs w:val="16"/>
              </w:rPr>
              <w:t>(2022)</w:t>
            </w:r>
          </w:p>
        </w:tc>
        <w:tc>
          <w:tcPr>
            <w:tcW w:w="1250" w:type="dxa"/>
            <w:tcBorders>
              <w:top w:val="single" w:sz="4" w:space="0" w:color="auto"/>
              <w:left w:val="single" w:sz="4" w:space="0" w:color="auto"/>
              <w:bottom w:val="single" w:sz="4" w:space="0" w:color="auto"/>
              <w:right w:val="single" w:sz="4" w:space="0" w:color="auto"/>
            </w:tcBorders>
            <w:vAlign w:val="center"/>
          </w:tcPr>
          <w:p w14:paraId="25BA3B1C" w14:textId="77777777" w:rsidR="00452F6A" w:rsidRPr="001F151E" w:rsidRDefault="00452F6A" w:rsidP="00452F6A">
            <w:pPr>
              <w:pStyle w:val="EcorysBody"/>
              <w:spacing w:line="200" w:lineRule="exact"/>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tcPr>
          <w:p w14:paraId="747A7B02" w14:textId="12F4A8A7" w:rsidR="00452F6A" w:rsidRPr="001F151E" w:rsidRDefault="00452F6A" w:rsidP="00452F6A">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98%</w:t>
            </w:r>
          </w:p>
        </w:tc>
        <w:tc>
          <w:tcPr>
            <w:tcW w:w="1181" w:type="dxa"/>
            <w:tcBorders>
              <w:top w:val="single" w:sz="4" w:space="0" w:color="auto"/>
              <w:left w:val="single" w:sz="4" w:space="0" w:color="auto"/>
              <w:bottom w:val="single" w:sz="4" w:space="0" w:color="auto"/>
              <w:right w:val="single" w:sz="4" w:space="0" w:color="auto"/>
            </w:tcBorders>
            <w:vAlign w:val="center"/>
          </w:tcPr>
          <w:p w14:paraId="19CDF3C4" w14:textId="73CC2F86" w:rsidR="00452F6A" w:rsidRPr="001F151E" w:rsidRDefault="00452F6A" w:rsidP="00452F6A">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98%</w:t>
            </w:r>
          </w:p>
        </w:tc>
        <w:tc>
          <w:tcPr>
            <w:tcW w:w="1181" w:type="dxa"/>
            <w:tcBorders>
              <w:top w:val="single" w:sz="4" w:space="0" w:color="auto"/>
              <w:left w:val="single" w:sz="4" w:space="0" w:color="auto"/>
              <w:bottom w:val="single" w:sz="4" w:space="0" w:color="auto"/>
              <w:right w:val="single" w:sz="4" w:space="0" w:color="auto"/>
            </w:tcBorders>
            <w:vAlign w:val="center"/>
          </w:tcPr>
          <w:p w14:paraId="0D0D5962" w14:textId="261FC972" w:rsidR="00452F6A" w:rsidRPr="001F151E" w:rsidRDefault="00452F6A" w:rsidP="00452F6A">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98%</w:t>
            </w:r>
          </w:p>
        </w:tc>
      </w:tr>
      <w:tr w:rsidR="00452F6A" w:rsidRPr="001F151E" w14:paraId="0E6A06F6" w14:textId="77777777" w:rsidTr="00F80FDB">
        <w:tc>
          <w:tcPr>
            <w:tcW w:w="3114" w:type="dxa"/>
            <w:tcBorders>
              <w:top w:val="single" w:sz="4" w:space="0" w:color="auto"/>
              <w:left w:val="single" w:sz="4" w:space="0" w:color="auto"/>
              <w:bottom w:val="single" w:sz="4" w:space="0" w:color="auto"/>
              <w:right w:val="single" w:sz="4" w:space="0" w:color="auto"/>
            </w:tcBorders>
          </w:tcPr>
          <w:p w14:paraId="452563AA" w14:textId="13BFD78B" w:rsidR="00452F6A" w:rsidRPr="001F151E" w:rsidRDefault="00452F6A" w:rsidP="00B45892">
            <w:pPr>
              <w:pStyle w:val="ListParagraph"/>
              <w:numPr>
                <w:ilvl w:val="0"/>
                <w:numId w:val="36"/>
              </w:numPr>
              <w:spacing w:line="200" w:lineRule="exact"/>
              <w:rPr>
                <w:sz w:val="16"/>
                <w:szCs w:val="16"/>
              </w:rPr>
            </w:pPr>
            <w:r w:rsidRPr="001F151E">
              <w:rPr>
                <w:sz w:val="16"/>
                <w:szCs w:val="16"/>
              </w:rPr>
              <w:t>Ratio of new public investments submitted within the MTBP Cycle versus total new public investments approved in one year</w:t>
            </w:r>
          </w:p>
        </w:tc>
        <w:tc>
          <w:tcPr>
            <w:tcW w:w="1111" w:type="dxa"/>
            <w:tcBorders>
              <w:top w:val="single" w:sz="4" w:space="0" w:color="auto"/>
              <w:left w:val="single" w:sz="4" w:space="0" w:color="auto"/>
              <w:bottom w:val="single" w:sz="4" w:space="0" w:color="auto"/>
              <w:right w:val="single" w:sz="4" w:space="0" w:color="auto"/>
            </w:tcBorders>
            <w:vAlign w:val="center"/>
          </w:tcPr>
          <w:p w14:paraId="2027A14D" w14:textId="77777777" w:rsidR="00452F6A" w:rsidRPr="001F151E" w:rsidRDefault="00452F6A" w:rsidP="00452F6A">
            <w:pPr>
              <w:pStyle w:val="EcorysBody"/>
              <w:spacing w:line="200" w:lineRule="exact"/>
              <w:jc w:val="center"/>
              <w:rPr>
                <w:rFonts w:ascii="Arial" w:hAnsi="Arial" w:cs="Arial"/>
                <w:sz w:val="16"/>
                <w:szCs w:val="16"/>
              </w:rPr>
            </w:pPr>
            <w:r w:rsidRPr="001F151E">
              <w:rPr>
                <w:rFonts w:ascii="Arial" w:hAnsi="Arial" w:cs="Arial"/>
                <w:sz w:val="16"/>
                <w:szCs w:val="16"/>
              </w:rPr>
              <w:t>74.2%</w:t>
            </w:r>
          </w:p>
          <w:p w14:paraId="466D3CBC" w14:textId="7DD41064" w:rsidR="00452F6A" w:rsidRPr="001F151E" w:rsidRDefault="00452F6A" w:rsidP="00452F6A">
            <w:pPr>
              <w:pStyle w:val="EcorysBody"/>
              <w:spacing w:line="200" w:lineRule="exact"/>
              <w:jc w:val="center"/>
              <w:rPr>
                <w:rFonts w:ascii="Arial" w:hAnsi="Arial" w:cs="Arial"/>
                <w:sz w:val="16"/>
                <w:szCs w:val="16"/>
              </w:rPr>
            </w:pPr>
            <w:r w:rsidRPr="001F151E">
              <w:rPr>
                <w:rFonts w:ascii="Arial" w:hAnsi="Arial" w:cs="Arial"/>
                <w:sz w:val="16"/>
                <w:szCs w:val="16"/>
              </w:rPr>
              <w:t>(2022)</w:t>
            </w:r>
          </w:p>
        </w:tc>
        <w:tc>
          <w:tcPr>
            <w:tcW w:w="1250" w:type="dxa"/>
            <w:tcBorders>
              <w:top w:val="single" w:sz="4" w:space="0" w:color="auto"/>
              <w:left w:val="single" w:sz="4" w:space="0" w:color="auto"/>
              <w:bottom w:val="single" w:sz="4" w:space="0" w:color="auto"/>
              <w:right w:val="single" w:sz="4" w:space="0" w:color="auto"/>
            </w:tcBorders>
            <w:vAlign w:val="center"/>
          </w:tcPr>
          <w:p w14:paraId="67BFD92D" w14:textId="77777777" w:rsidR="00452F6A" w:rsidRPr="001F151E" w:rsidRDefault="00452F6A" w:rsidP="00452F6A">
            <w:pPr>
              <w:pStyle w:val="EcorysBody"/>
              <w:spacing w:line="200" w:lineRule="exact"/>
              <w:jc w:val="center"/>
              <w:rPr>
                <w:rFonts w:ascii="Arial" w:hAnsi="Arial" w:cs="Arial"/>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tcPr>
          <w:p w14:paraId="45FB8E3B" w14:textId="2C3E5AA5" w:rsidR="00452F6A" w:rsidRPr="001F151E" w:rsidRDefault="00452F6A" w:rsidP="00C75612">
            <w:pPr>
              <w:pStyle w:val="EcorysBody"/>
              <w:spacing w:line="200" w:lineRule="exact"/>
              <w:jc w:val="center"/>
              <w:rPr>
                <w:rFonts w:ascii="Arial" w:hAnsi="Arial" w:cs="Arial"/>
                <w:sz w:val="16"/>
                <w:szCs w:val="16"/>
              </w:rPr>
            </w:pPr>
            <w:r w:rsidRPr="001F151E">
              <w:rPr>
                <w:rFonts w:cs="Calibri"/>
              </w:rPr>
              <w:t xml:space="preserve">≥ </w:t>
            </w:r>
            <w:r w:rsidR="00C75612">
              <w:rPr>
                <w:rFonts w:ascii="Arial" w:hAnsi="Arial" w:cs="Arial"/>
                <w:sz w:val="16"/>
                <w:szCs w:val="16"/>
              </w:rPr>
              <w:t>80</w:t>
            </w: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5E8C4313" w14:textId="3E7668DF" w:rsidR="00452F6A" w:rsidRPr="001F151E" w:rsidRDefault="00452F6A" w:rsidP="00C75612">
            <w:pPr>
              <w:pStyle w:val="EcorysBody"/>
              <w:spacing w:line="200" w:lineRule="exact"/>
              <w:jc w:val="center"/>
              <w:rPr>
                <w:rFonts w:ascii="Arial" w:hAnsi="Arial" w:cs="Arial"/>
                <w:sz w:val="16"/>
                <w:szCs w:val="16"/>
              </w:rPr>
            </w:pPr>
            <w:r w:rsidRPr="001F151E">
              <w:rPr>
                <w:rFonts w:cs="Calibri"/>
              </w:rPr>
              <w:t xml:space="preserve">≥ </w:t>
            </w:r>
            <w:r w:rsidR="00C75612">
              <w:rPr>
                <w:rFonts w:ascii="Arial" w:hAnsi="Arial" w:cs="Arial"/>
                <w:sz w:val="16"/>
                <w:szCs w:val="16"/>
              </w:rPr>
              <w:t>85</w:t>
            </w: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45F62158" w14:textId="6632E01B" w:rsidR="00452F6A" w:rsidRPr="001F151E" w:rsidRDefault="00452F6A" w:rsidP="00C75612">
            <w:pPr>
              <w:pStyle w:val="EcorysBody"/>
              <w:spacing w:line="200" w:lineRule="exact"/>
              <w:jc w:val="center"/>
              <w:rPr>
                <w:rFonts w:ascii="Arial" w:hAnsi="Arial" w:cs="Arial"/>
                <w:sz w:val="16"/>
                <w:szCs w:val="16"/>
              </w:rPr>
            </w:pPr>
            <w:r w:rsidRPr="001F151E">
              <w:rPr>
                <w:rFonts w:cs="Calibri"/>
              </w:rPr>
              <w:t xml:space="preserve">≥ </w:t>
            </w:r>
            <w:r w:rsidRPr="001F151E">
              <w:rPr>
                <w:rFonts w:ascii="Arial" w:hAnsi="Arial" w:cs="Arial"/>
                <w:sz w:val="16"/>
                <w:szCs w:val="16"/>
              </w:rPr>
              <w:t>9</w:t>
            </w:r>
            <w:r w:rsidR="00C75612">
              <w:rPr>
                <w:rFonts w:ascii="Arial" w:hAnsi="Arial" w:cs="Arial"/>
                <w:sz w:val="16"/>
                <w:szCs w:val="16"/>
              </w:rPr>
              <w:t>0</w:t>
            </w:r>
            <w:r w:rsidRPr="001F151E">
              <w:rPr>
                <w:rFonts w:ascii="Arial" w:hAnsi="Arial" w:cs="Arial"/>
                <w:sz w:val="16"/>
                <w:szCs w:val="16"/>
              </w:rPr>
              <w:t>%</w:t>
            </w:r>
          </w:p>
        </w:tc>
      </w:tr>
    </w:tbl>
    <w:p w14:paraId="4E20F8D1" w14:textId="77777777" w:rsidR="009B6A5D" w:rsidRPr="001F151E" w:rsidRDefault="009B6A5D" w:rsidP="00733B9C">
      <w:pPr>
        <w:rPr>
          <w:lang w:val="en-GB"/>
        </w:rPr>
      </w:pPr>
    </w:p>
    <w:p w14:paraId="047F8C16" w14:textId="77777777" w:rsidR="009816F6" w:rsidRPr="001F151E" w:rsidRDefault="009816F6" w:rsidP="002C447B">
      <w:pPr>
        <w:pStyle w:val="H5"/>
        <w:rPr>
          <w:lang w:val="en-GB"/>
        </w:rPr>
      </w:pPr>
    </w:p>
    <w:p w14:paraId="16D6C6A7" w14:textId="77777777" w:rsidR="00D9120D" w:rsidRPr="001F151E" w:rsidRDefault="00D9120D" w:rsidP="00C96708">
      <w:pPr>
        <w:pStyle w:val="Heading2"/>
        <w:rPr>
          <w:rStyle w:val="IntenseReference"/>
          <w:rFonts w:eastAsiaTheme="majorEastAsia" w:cstheme="majorBidi"/>
          <w:i w:val="0"/>
          <w:sz w:val="22"/>
          <w:szCs w:val="22"/>
          <w:lang w:val="en-GB"/>
        </w:rPr>
      </w:pPr>
      <w:bookmarkStart w:id="28" w:name="_Toc151048290"/>
      <w:bookmarkStart w:id="29" w:name="_Toc163148018"/>
      <w:r w:rsidRPr="001F151E">
        <w:rPr>
          <w:rStyle w:val="IntenseReference"/>
          <w:rFonts w:eastAsiaTheme="majorEastAsia" w:cstheme="majorBidi"/>
          <w:i w:val="0"/>
          <w:sz w:val="22"/>
          <w:szCs w:val="22"/>
          <w:lang w:val="en-GB"/>
        </w:rPr>
        <w:t>Component 2.4 Local Finance</w:t>
      </w:r>
      <w:bookmarkEnd w:id="28"/>
      <w:bookmarkEnd w:id="29"/>
    </w:p>
    <w:p w14:paraId="488FBF26" w14:textId="77777777" w:rsidR="00D9120D" w:rsidRPr="001F151E" w:rsidRDefault="00D9120D" w:rsidP="00D9120D">
      <w:pPr>
        <w:rPr>
          <w:lang w:val="en-GB"/>
        </w:rPr>
      </w:pPr>
    </w:p>
    <w:p w14:paraId="4DA4DD69" w14:textId="77777777" w:rsidR="00D9120D" w:rsidRPr="001F151E" w:rsidRDefault="00D9120D" w:rsidP="00EA6F1D">
      <w:pPr>
        <w:pStyle w:val="H5"/>
        <w:spacing w:line="276" w:lineRule="auto"/>
        <w:jc w:val="both"/>
        <w:rPr>
          <w:lang w:val="en-GB"/>
        </w:rPr>
      </w:pPr>
      <w:r w:rsidRPr="001F151E">
        <w:rPr>
          <w:lang w:val="en-GB"/>
        </w:rPr>
        <w:t>Objective</w:t>
      </w:r>
    </w:p>
    <w:p w14:paraId="48CEDF5C" w14:textId="0017C688" w:rsidR="00D9120D" w:rsidRPr="001F151E" w:rsidRDefault="00D9120D" w:rsidP="00EA6F1D">
      <w:pPr>
        <w:spacing w:line="276" w:lineRule="auto"/>
        <w:jc w:val="both"/>
        <w:rPr>
          <w:lang w:val="en-GB"/>
        </w:rPr>
      </w:pPr>
      <w:r w:rsidRPr="001F151E">
        <w:rPr>
          <w:lang w:val="en-GB"/>
        </w:rPr>
        <w:t>The goal for 2030 is to have in place Municipalities with strong PFM systems and adequate financial resources</w:t>
      </w:r>
      <w:r w:rsidR="00AF49E1" w:rsidRPr="001F151E">
        <w:rPr>
          <w:lang w:val="en-GB"/>
        </w:rPr>
        <w:t xml:space="preserve"> through transparent revenue sharing and transfer mechanisms and revenue collection capacity</w:t>
      </w:r>
      <w:r w:rsidRPr="001F151E">
        <w:rPr>
          <w:lang w:val="en-GB"/>
        </w:rPr>
        <w:t xml:space="preserve"> that enable them to provide public services in accordance with the applicable standards. </w:t>
      </w:r>
    </w:p>
    <w:p w14:paraId="435B9A92" w14:textId="77777777" w:rsidR="00D9120D" w:rsidRPr="001F151E" w:rsidRDefault="00D9120D" w:rsidP="00EA6F1D">
      <w:pPr>
        <w:pStyle w:val="H5"/>
        <w:spacing w:line="276" w:lineRule="auto"/>
        <w:jc w:val="both"/>
        <w:rPr>
          <w:lang w:val="en-GB"/>
        </w:rPr>
      </w:pPr>
    </w:p>
    <w:p w14:paraId="2C45BE30" w14:textId="77777777" w:rsidR="00D9120D" w:rsidRPr="001F151E" w:rsidRDefault="00D9120D" w:rsidP="00EA6F1D">
      <w:pPr>
        <w:pStyle w:val="H5"/>
        <w:spacing w:line="276" w:lineRule="auto"/>
        <w:jc w:val="both"/>
        <w:rPr>
          <w:lang w:val="en-GB"/>
        </w:rPr>
      </w:pPr>
      <w:r w:rsidRPr="001F151E">
        <w:rPr>
          <w:lang w:val="en-GB"/>
        </w:rPr>
        <w:t>Context</w:t>
      </w:r>
    </w:p>
    <w:p w14:paraId="4BBEB3A6" w14:textId="2BB21000" w:rsidR="006A6329" w:rsidRPr="001F151E" w:rsidRDefault="00D9120D" w:rsidP="00EA6F1D">
      <w:pPr>
        <w:spacing w:line="276" w:lineRule="auto"/>
        <w:jc w:val="both"/>
        <w:rPr>
          <w:lang w:val="en-GB"/>
        </w:rPr>
      </w:pPr>
      <w:r w:rsidRPr="001F151E">
        <w:rPr>
          <w:lang w:val="en-GB"/>
        </w:rPr>
        <w:t xml:space="preserve">Reforms in subnational MTBP formulation and transfers to municipalities has been implemented in conjunction with the local government </w:t>
      </w:r>
      <w:r w:rsidR="006A6329" w:rsidRPr="001F151E">
        <w:rPr>
          <w:lang w:val="en-GB"/>
        </w:rPr>
        <w:t xml:space="preserve">decentralization </w:t>
      </w:r>
      <w:r w:rsidRPr="001F151E">
        <w:rPr>
          <w:lang w:val="en-GB"/>
        </w:rPr>
        <w:t>reform agenda</w:t>
      </w:r>
      <w:r w:rsidR="006A6329" w:rsidRPr="001F151E">
        <w:rPr>
          <w:lang w:val="en-GB"/>
        </w:rPr>
        <w:t>. Following the Territorial Administrative Reform, in 2015 the number of local self-government units (L</w:t>
      </w:r>
      <w:r w:rsidR="00044717">
        <w:rPr>
          <w:lang w:val="en-GB"/>
        </w:rPr>
        <w:t>SGU) has reduced from 373 to 61</w:t>
      </w:r>
      <w:r w:rsidRPr="001F151E">
        <w:rPr>
          <w:lang w:val="en-GB"/>
        </w:rPr>
        <w:t xml:space="preserve"> and </w:t>
      </w:r>
      <w:r w:rsidR="006A6329" w:rsidRPr="001F151E">
        <w:rPr>
          <w:lang w:val="en-GB"/>
        </w:rPr>
        <w:t xml:space="preserve">a </w:t>
      </w:r>
      <w:r w:rsidRPr="001F151E">
        <w:rPr>
          <w:lang w:val="en-GB"/>
        </w:rPr>
        <w:t>Consultative Council has been in place to debate and agree on the various issues between central and local government.</w:t>
      </w:r>
      <w:r w:rsidR="006A6329" w:rsidRPr="001F151E">
        <w:rPr>
          <w:lang w:val="en-GB"/>
        </w:rPr>
        <w:t xml:space="preserve"> The decentralization agenda was further advanced, initially through an organic law “On local Self-Government” which defines the competencies and functions of local self-government units. A robust regulatory framework was required to ensure sustainable funding sources, accountability and transparency for the new local government structure. Consequently, in 2017 a new law on Local Self-Government Finances was enacted. This law reinforces local fiscal autonomy, expanding financing options and setting out rules and procedures for public financial management (PFM) at the local level. It balances increased financial autonomy with fiscal discipline by setting out rules for </w:t>
      </w:r>
      <w:r w:rsidR="006A6329" w:rsidRPr="001F151E">
        <w:rPr>
          <w:lang w:val="en-GB"/>
        </w:rPr>
        <w:lastRenderedPageBreak/>
        <w:t>prudent spending, transparent policies, realistic revenue and expenditure forecasting and harmonization of budgeting processes with the central government.</w:t>
      </w:r>
    </w:p>
    <w:p w14:paraId="6DFECB42" w14:textId="77777777" w:rsidR="006A6329" w:rsidRPr="001F151E" w:rsidRDefault="006A6329" w:rsidP="00EA6F1D">
      <w:pPr>
        <w:spacing w:line="276" w:lineRule="auto"/>
        <w:jc w:val="both"/>
        <w:rPr>
          <w:lang w:val="en-GB"/>
        </w:rPr>
      </w:pPr>
    </w:p>
    <w:p w14:paraId="6D874FB3" w14:textId="6D199CA9" w:rsidR="00D9120D" w:rsidRPr="001F151E" w:rsidRDefault="006A6329" w:rsidP="00EA6F1D">
      <w:pPr>
        <w:spacing w:line="276" w:lineRule="auto"/>
        <w:jc w:val="both"/>
        <w:rPr>
          <w:lang w:val="en-GB"/>
        </w:rPr>
      </w:pPr>
      <w:r w:rsidRPr="001F151E">
        <w:rPr>
          <w:lang w:val="en-GB"/>
        </w:rPr>
        <w:t>Recent decentralization agenda progress has been accompanied by some substantial improvements in local government financial performance. The ratio of local government own-source revenues to GDP doubled over a seven year period</w:t>
      </w:r>
      <w:r w:rsidRPr="001F151E">
        <w:rPr>
          <w:rStyle w:val="FootnoteReference"/>
          <w:lang w:val="en-GB"/>
        </w:rPr>
        <w:footnoteReference w:id="26"/>
      </w:r>
      <w:r w:rsidRPr="001F151E">
        <w:rPr>
          <w:lang w:val="en-GB"/>
        </w:rPr>
        <w:t xml:space="preserve"> (1.66% in 2022 compared to 0.82% in 2015). Meanwhile, LSGUs revenue from own-sources (tax and non-tax) increased by 164% between 2015 and 2022. Over 80% of LSGUs recorded a significant increase in own-source revenues over the same period</w:t>
      </w:r>
      <w:r w:rsidRPr="001F151E">
        <w:rPr>
          <w:rStyle w:val="FootnoteReference"/>
          <w:lang w:val="en-GB"/>
        </w:rPr>
        <w:footnoteReference w:id="27"/>
      </w:r>
      <w:r w:rsidRPr="001F151E">
        <w:rPr>
          <w:lang w:val="en-GB"/>
        </w:rPr>
        <w:t>, representing an improvement in their fiscal capacity for financing local services. Local government expenditure represented around 9.02% of total public expenditure in 2022, compared to 7.7% in 2015.</w:t>
      </w:r>
      <w:r w:rsidR="00790001" w:rsidRPr="001F151E">
        <w:rPr>
          <w:lang w:val="en-GB"/>
        </w:rPr>
        <w:t xml:space="preserve"> </w:t>
      </w:r>
      <w:r w:rsidR="00D9120D" w:rsidRPr="001F151E">
        <w:rPr>
          <w:lang w:val="en-GB"/>
        </w:rPr>
        <w:t>Moreover the system of formula-based transfers of unconditional grants to municipalities has improved. The grants to LGUs are based on the indicators population size, population density and the number of pupils, and are further adjusted following a financial equalization based on the fiscal capacity of the municipality to raise revenue. With the transfer of certain government functions (preschool education, irrigation, forest administration, fire protection, rural roads) from central Government to municipalities in 2016, the formula for defining the transfers have been accordingly adjusted. Municipalities are free to allocate and carry-over the unconditional grants they receive. In addition to these unconditional grants, some conditional grants are provided to compensate for the cost of central government functions that are delegated to local government – e.g. civil registrations. The calculation of the grants are regulated in the Law on Local Self-Government Finance</w:t>
      </w:r>
      <w:r w:rsidR="00C96708" w:rsidRPr="001F151E">
        <w:rPr>
          <w:lang w:val="en-GB"/>
        </w:rPr>
        <w:t>.</w:t>
      </w:r>
      <w:r w:rsidR="00D9120D" w:rsidRPr="001F151E">
        <w:rPr>
          <w:rStyle w:val="FootnoteReference"/>
          <w:lang w:val="en-GB"/>
        </w:rPr>
        <w:footnoteReference w:id="28"/>
      </w:r>
      <w:r w:rsidR="00C96708" w:rsidRPr="001F151E">
        <w:rPr>
          <w:lang w:val="en-GB"/>
        </w:rPr>
        <w:t xml:space="preserve"> </w:t>
      </w:r>
      <w:r w:rsidR="00D9120D" w:rsidRPr="001F151E">
        <w:rPr>
          <w:lang w:val="en-GB"/>
        </w:rPr>
        <w:t>In order to ensure a well-integrated and efficient planning, important achievements were made to strengthen financial management in local government in the regulatory framework, such as the approval of the Law ‘On Local Self-Government’, Law ‘On Local Self–Government Finance’ and several by-Laws and instructions.</w:t>
      </w:r>
    </w:p>
    <w:p w14:paraId="7B097C90" w14:textId="77777777" w:rsidR="00D9120D" w:rsidRPr="001F151E" w:rsidRDefault="00D9120D" w:rsidP="00EA6F1D">
      <w:pPr>
        <w:spacing w:line="276" w:lineRule="auto"/>
        <w:jc w:val="both"/>
        <w:rPr>
          <w:highlight w:val="yellow"/>
          <w:lang w:val="en-GB"/>
        </w:rPr>
      </w:pPr>
    </w:p>
    <w:p w14:paraId="35FC87F0" w14:textId="4BE546E0" w:rsidR="00D9120D" w:rsidRPr="001F151E" w:rsidRDefault="00D9120D" w:rsidP="00EA6F1D">
      <w:pPr>
        <w:spacing w:line="276" w:lineRule="auto"/>
        <w:jc w:val="both"/>
        <w:rPr>
          <w:lang w:val="en-GB"/>
        </w:rPr>
      </w:pPr>
      <w:r w:rsidRPr="001F151E">
        <w:rPr>
          <w:lang w:val="en-GB"/>
        </w:rPr>
        <w:t>The system of financial oversight of Municipalities by Central Government has also been improved with the aim to support municipalities in fiscal distress. Municipalities with a very high level of debt and arrears are required to prepare and implement a financial rehabilitatio</w:t>
      </w:r>
      <w:r w:rsidR="00F10798">
        <w:rPr>
          <w:lang w:val="en-GB"/>
        </w:rPr>
        <w:t>n plan under supervision of MoF</w:t>
      </w:r>
      <w:r w:rsidRPr="001F151E">
        <w:rPr>
          <w:lang w:val="en-GB"/>
        </w:rPr>
        <w:t>.</w:t>
      </w:r>
      <w:r w:rsidRPr="001F151E">
        <w:rPr>
          <w:rStyle w:val="FootnoteReference"/>
          <w:lang w:val="en-GB"/>
        </w:rPr>
        <w:footnoteReference w:id="29"/>
      </w:r>
      <w:r w:rsidRPr="001F151E">
        <w:rPr>
          <w:rFonts w:ascii="Times New Roman" w:hAnsi="Times New Roman"/>
          <w:iCs/>
          <w:color w:val="FF0000"/>
          <w:sz w:val="24"/>
          <w:szCs w:val="24"/>
          <w:lang w:val="en-GB"/>
        </w:rPr>
        <w:t xml:space="preserve"> </w:t>
      </w:r>
      <w:r w:rsidRPr="001F151E">
        <w:rPr>
          <w:lang w:val="en-GB"/>
        </w:rPr>
        <w:t>M</w:t>
      </w:r>
      <w:r w:rsidR="00F10798">
        <w:rPr>
          <w:lang w:val="en-GB"/>
        </w:rPr>
        <w:t>oF</w:t>
      </w:r>
      <w:r w:rsidRPr="001F151E">
        <w:rPr>
          <w:lang w:val="en-GB"/>
        </w:rPr>
        <w:t xml:space="preserve"> prepares the annual report: "On the status of financial difficulties of local self-government units", to monitor the financial situation of local self-government units.</w:t>
      </w:r>
    </w:p>
    <w:p w14:paraId="33F7E41F" w14:textId="77777777" w:rsidR="00D9120D" w:rsidRPr="001F151E" w:rsidRDefault="00D9120D" w:rsidP="00EA6F1D">
      <w:pPr>
        <w:spacing w:line="276" w:lineRule="auto"/>
        <w:jc w:val="both"/>
        <w:rPr>
          <w:lang w:val="en-GB"/>
        </w:rPr>
      </w:pPr>
    </w:p>
    <w:p w14:paraId="47F73C3F" w14:textId="7C1B6B13" w:rsidR="00D9120D" w:rsidRPr="001F151E" w:rsidRDefault="00D9120D" w:rsidP="00EA6F1D">
      <w:pPr>
        <w:spacing w:line="276" w:lineRule="auto"/>
        <w:jc w:val="both"/>
        <w:rPr>
          <w:lang w:val="en-GB"/>
        </w:rPr>
      </w:pPr>
      <w:r w:rsidRPr="001F151E">
        <w:rPr>
          <w:lang w:val="en-GB"/>
        </w:rPr>
        <w:t>Also the formulation of the MTBP by LGUs has been further developed while respecting local autonomy. LGUs develop their MTBP with budget program</w:t>
      </w:r>
      <w:r w:rsidR="00B1480D">
        <w:rPr>
          <w:lang w:val="en-GB"/>
        </w:rPr>
        <w:t xml:space="preserve">mes, policy goals, objectives, </w:t>
      </w:r>
      <w:r w:rsidRPr="001F151E">
        <w:rPr>
          <w:lang w:val="en-GB"/>
        </w:rPr>
        <w:t xml:space="preserve">outputs and KPIs and monitor and report on the budget execution. </w:t>
      </w:r>
      <w:r w:rsidR="006A6329" w:rsidRPr="001F151E">
        <w:rPr>
          <w:lang w:val="en-GB"/>
        </w:rPr>
        <w:t>A reform is underway to align the LGUS programme structure of the budget to the service delivery arrangements in each municipality.</w:t>
      </w:r>
    </w:p>
    <w:p w14:paraId="72CF258F" w14:textId="77777777" w:rsidR="00D9120D" w:rsidRPr="001F151E" w:rsidRDefault="00D9120D" w:rsidP="00D9120D">
      <w:pPr>
        <w:rPr>
          <w:lang w:val="en-GB"/>
        </w:rPr>
      </w:pPr>
    </w:p>
    <w:p w14:paraId="0FE0D5A4" w14:textId="77777777" w:rsidR="00D9120D" w:rsidRPr="001F151E" w:rsidRDefault="00D9120D" w:rsidP="00EA6F1D">
      <w:pPr>
        <w:pStyle w:val="H5"/>
        <w:spacing w:line="276" w:lineRule="auto"/>
        <w:jc w:val="both"/>
        <w:rPr>
          <w:lang w:val="en-GB"/>
        </w:rPr>
      </w:pPr>
      <w:r w:rsidRPr="001F151E">
        <w:rPr>
          <w:lang w:val="en-GB"/>
        </w:rPr>
        <w:t>Priorities</w:t>
      </w:r>
    </w:p>
    <w:p w14:paraId="3F709D44" w14:textId="5470EC93" w:rsidR="00D9120D" w:rsidRPr="001F151E" w:rsidRDefault="00C96708" w:rsidP="00EA6F1D">
      <w:pPr>
        <w:spacing w:line="276" w:lineRule="auto"/>
        <w:jc w:val="both"/>
        <w:rPr>
          <w:lang w:val="en-GB"/>
        </w:rPr>
      </w:pPr>
      <w:r w:rsidRPr="001F151E">
        <w:rPr>
          <w:lang w:val="en-GB"/>
        </w:rPr>
        <w:t xml:space="preserve">The priorities for the period 2023-2026 are: </w:t>
      </w:r>
    </w:p>
    <w:p w14:paraId="5E4E0561" w14:textId="77777777" w:rsidR="00D9120D" w:rsidRPr="001F151E" w:rsidRDefault="00D9120D" w:rsidP="00EA6F1D">
      <w:pPr>
        <w:pStyle w:val="N-Bullet"/>
        <w:spacing w:line="276" w:lineRule="auto"/>
        <w:jc w:val="both"/>
        <w:rPr>
          <w:color w:val="FF0000"/>
          <w:lang w:val="en-GB"/>
        </w:rPr>
      </w:pPr>
      <w:r w:rsidRPr="001F151E">
        <w:rPr>
          <w:rStyle w:val="rynqvb"/>
          <w:lang w:val="en-GB"/>
        </w:rPr>
        <w:t>The adjustment of unconditional transfer formula,</w:t>
      </w:r>
      <w:r w:rsidRPr="001F151E">
        <w:rPr>
          <w:color w:val="FF0000"/>
          <w:lang w:val="en-GB"/>
        </w:rPr>
        <w:t xml:space="preserve"> </w:t>
      </w:r>
      <w:r w:rsidRPr="001F151E">
        <w:rPr>
          <w:rStyle w:val="rynqvb"/>
          <w:lang w:val="en-GB"/>
        </w:rPr>
        <w:t>due to the change of the new data of the Census for the number of the population as well as the revision of the criteria based on these results.</w:t>
      </w:r>
    </w:p>
    <w:p w14:paraId="00BF7083" w14:textId="77777777" w:rsidR="006A6329" w:rsidRPr="001F151E" w:rsidRDefault="00D9120D" w:rsidP="00EA6F1D">
      <w:pPr>
        <w:pStyle w:val="N-Bullet"/>
        <w:spacing w:line="276" w:lineRule="auto"/>
        <w:jc w:val="both"/>
        <w:rPr>
          <w:lang w:val="en-GB"/>
        </w:rPr>
      </w:pPr>
      <w:r w:rsidRPr="001F151E">
        <w:rPr>
          <w:lang w:val="en-GB"/>
        </w:rPr>
        <w:t xml:space="preserve">Improvement of the practices for Budget Execution, Budget monitoring; MTBP formulation and preparation. </w:t>
      </w:r>
    </w:p>
    <w:p w14:paraId="7231459C" w14:textId="4B4C1480" w:rsidR="00D9120D" w:rsidRPr="001F151E" w:rsidRDefault="00D9120D" w:rsidP="00EA6F1D">
      <w:pPr>
        <w:pStyle w:val="N-Bullet"/>
        <w:spacing w:line="276" w:lineRule="auto"/>
        <w:jc w:val="both"/>
        <w:rPr>
          <w:rStyle w:val="rynqvb"/>
          <w:lang w:val="en-GB"/>
        </w:rPr>
      </w:pPr>
      <w:r w:rsidRPr="001F151E">
        <w:rPr>
          <w:rStyle w:val="rynqvb"/>
          <w:lang w:val="en-GB"/>
        </w:rPr>
        <w:t>Strengthening the systems at the local level of public finance management and financial information through the use of AFMIS in local level.</w:t>
      </w:r>
    </w:p>
    <w:p w14:paraId="674856AC" w14:textId="77777777" w:rsidR="00D9120D" w:rsidRPr="001F151E" w:rsidRDefault="00D9120D" w:rsidP="00D9120D">
      <w:pPr>
        <w:pStyle w:val="N-Bullet"/>
        <w:numPr>
          <w:ilvl w:val="0"/>
          <w:numId w:val="0"/>
        </w:numPr>
        <w:ind w:left="360"/>
        <w:jc w:val="both"/>
        <w:rPr>
          <w:lang w:val="en-GB"/>
        </w:rPr>
      </w:pPr>
    </w:p>
    <w:p w14:paraId="5D31FEFE" w14:textId="77777777" w:rsidR="00D9120D" w:rsidRPr="001F151E" w:rsidRDefault="00D9120D" w:rsidP="00D9120D">
      <w:pPr>
        <w:pStyle w:val="H5"/>
        <w:rPr>
          <w:lang w:val="en-GB"/>
        </w:rPr>
      </w:pPr>
      <w:r w:rsidRPr="001F151E">
        <w:rPr>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254"/>
        <w:gridCol w:w="3286"/>
        <w:gridCol w:w="980"/>
        <w:gridCol w:w="904"/>
        <w:gridCol w:w="1592"/>
      </w:tblGrid>
      <w:tr w:rsidR="00F10798" w:rsidRPr="001F151E" w14:paraId="0ECB71B3" w14:textId="77777777" w:rsidTr="0083517C">
        <w:trPr>
          <w:trHeight w:val="182"/>
          <w:tblHeader/>
        </w:trPr>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102F70" w14:textId="77777777" w:rsidR="00D9120D" w:rsidRPr="001F151E" w:rsidRDefault="00D9120D" w:rsidP="002B7FF8">
            <w:pPr>
              <w:pStyle w:val="T-bold"/>
            </w:pPr>
            <w:r w:rsidRPr="001F151E">
              <w:t>Measure</w:t>
            </w:r>
          </w:p>
        </w:tc>
        <w:tc>
          <w:tcPr>
            <w:tcW w:w="32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F8BB60" w14:textId="77777777" w:rsidR="00D9120D" w:rsidRPr="001F151E" w:rsidRDefault="00D9120D" w:rsidP="002B7FF8">
            <w:pPr>
              <w:pStyle w:val="T-bold"/>
            </w:pPr>
            <w:r w:rsidRPr="001F151E">
              <w:t>Activity</w:t>
            </w: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3903A0" w14:textId="77777777" w:rsidR="00D9120D" w:rsidRPr="001F151E" w:rsidRDefault="00D9120D" w:rsidP="002B7FF8">
            <w:pPr>
              <w:pStyle w:val="T-bold"/>
              <w:jc w:val="center"/>
            </w:pPr>
            <w:r w:rsidRPr="001F151E">
              <w:t>Start</w:t>
            </w:r>
          </w:p>
        </w:tc>
        <w:tc>
          <w:tcPr>
            <w:tcW w:w="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4D0257" w14:textId="77777777" w:rsidR="00D9120D" w:rsidRPr="001F151E" w:rsidRDefault="00D9120D" w:rsidP="002B7FF8">
            <w:pPr>
              <w:pStyle w:val="T-bold"/>
              <w:jc w:val="center"/>
            </w:pPr>
            <w:r w:rsidRPr="001F151E">
              <w:t>End</w:t>
            </w:r>
          </w:p>
        </w:tc>
        <w:tc>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5FAF0E" w14:textId="77777777" w:rsidR="00D9120D" w:rsidRPr="001F151E" w:rsidRDefault="00D9120D" w:rsidP="002B7FF8">
            <w:pPr>
              <w:pStyle w:val="T-bold"/>
            </w:pPr>
            <w:r w:rsidRPr="001F151E">
              <w:t>Stakeholders</w:t>
            </w:r>
          </w:p>
        </w:tc>
      </w:tr>
      <w:tr w:rsidR="00D67823" w:rsidRPr="001F151E" w14:paraId="28ACB8B0" w14:textId="77777777" w:rsidTr="0083517C">
        <w:trPr>
          <w:trHeight w:val="20"/>
        </w:trPr>
        <w:tc>
          <w:tcPr>
            <w:tcW w:w="2254" w:type="dxa"/>
            <w:vMerge w:val="restart"/>
            <w:tcBorders>
              <w:top w:val="single" w:sz="4" w:space="0" w:color="auto"/>
              <w:left w:val="single" w:sz="4" w:space="0" w:color="auto"/>
              <w:bottom w:val="single" w:sz="4" w:space="0" w:color="auto"/>
              <w:right w:val="single" w:sz="4" w:space="0" w:color="auto"/>
            </w:tcBorders>
          </w:tcPr>
          <w:p w14:paraId="2DD589B0" w14:textId="364152AE" w:rsidR="00D9120D" w:rsidRPr="001F151E" w:rsidRDefault="00D9120D" w:rsidP="002B7FF8">
            <w:pPr>
              <w:pStyle w:val="EcorysBody"/>
              <w:rPr>
                <w:rFonts w:ascii="Arial" w:hAnsi="Arial" w:cs="Arial"/>
                <w:b/>
                <w:bCs/>
                <w:sz w:val="16"/>
                <w:szCs w:val="16"/>
              </w:rPr>
            </w:pPr>
            <w:r w:rsidRPr="001F151E">
              <w:rPr>
                <w:rFonts w:ascii="Arial" w:hAnsi="Arial" w:cs="Arial"/>
                <w:b/>
                <w:bCs/>
                <w:sz w:val="16"/>
                <w:szCs w:val="16"/>
              </w:rPr>
              <w:t>Measure 2.4.1 Improve the grant formula and calculation system for local government</w:t>
            </w:r>
            <w:r w:rsidR="00137B8D" w:rsidRPr="001F151E">
              <w:rPr>
                <w:rFonts w:ascii="Arial" w:hAnsi="Arial" w:cs="Arial"/>
                <w:b/>
                <w:bCs/>
                <w:sz w:val="16"/>
                <w:szCs w:val="16"/>
              </w:rPr>
              <w:t>.</w:t>
            </w:r>
          </w:p>
        </w:tc>
        <w:tc>
          <w:tcPr>
            <w:tcW w:w="3286" w:type="dxa"/>
            <w:tcBorders>
              <w:top w:val="single" w:sz="4" w:space="0" w:color="auto"/>
              <w:left w:val="single" w:sz="4" w:space="0" w:color="auto"/>
              <w:bottom w:val="single" w:sz="4" w:space="0" w:color="auto"/>
              <w:right w:val="single" w:sz="4" w:space="0" w:color="auto"/>
            </w:tcBorders>
            <w:vAlign w:val="center"/>
            <w:hideMark/>
          </w:tcPr>
          <w:p w14:paraId="740FFE79" w14:textId="77777777" w:rsidR="00D9120D" w:rsidRPr="001F151E" w:rsidRDefault="00D9120D" w:rsidP="00897DDC">
            <w:pPr>
              <w:pStyle w:val="EcorysBody"/>
              <w:numPr>
                <w:ilvl w:val="0"/>
                <w:numId w:val="27"/>
              </w:numPr>
              <w:rPr>
                <w:rFonts w:ascii="Arial" w:hAnsi="Arial" w:cs="Arial"/>
                <w:sz w:val="16"/>
                <w:szCs w:val="16"/>
              </w:rPr>
            </w:pPr>
            <w:r w:rsidRPr="001F151E">
              <w:rPr>
                <w:rFonts w:ascii="Arial" w:hAnsi="Arial" w:cs="Arial"/>
                <w:sz w:val="16"/>
                <w:szCs w:val="16"/>
              </w:rPr>
              <w:t>Review and update the unconditional transfer formula, using the new data based on the population census.</w:t>
            </w:r>
          </w:p>
        </w:tc>
        <w:tc>
          <w:tcPr>
            <w:tcW w:w="980" w:type="dxa"/>
            <w:tcBorders>
              <w:top w:val="single" w:sz="4" w:space="0" w:color="auto"/>
              <w:left w:val="single" w:sz="4" w:space="0" w:color="auto"/>
              <w:bottom w:val="single" w:sz="4" w:space="0" w:color="auto"/>
              <w:right w:val="single" w:sz="4" w:space="0" w:color="auto"/>
            </w:tcBorders>
            <w:vAlign w:val="center"/>
          </w:tcPr>
          <w:p w14:paraId="24A26A7C" w14:textId="1B4BBF4A" w:rsidR="00D9120D" w:rsidRPr="001F151E" w:rsidRDefault="00D9120D" w:rsidP="002B7FF8">
            <w:pPr>
              <w:jc w:val="center"/>
              <w:rPr>
                <w:sz w:val="16"/>
                <w:szCs w:val="16"/>
              </w:rPr>
            </w:pPr>
            <w:r w:rsidRPr="001F151E">
              <w:rPr>
                <w:sz w:val="16"/>
                <w:szCs w:val="16"/>
              </w:rPr>
              <w:t>Q</w:t>
            </w:r>
            <w:r w:rsidR="006A6329" w:rsidRPr="001F151E">
              <w:rPr>
                <w:sz w:val="16"/>
                <w:szCs w:val="16"/>
              </w:rPr>
              <w:t>4</w:t>
            </w:r>
            <w:r w:rsidRPr="001F151E">
              <w:rPr>
                <w:sz w:val="16"/>
                <w:szCs w:val="16"/>
              </w:rPr>
              <w:t xml:space="preserve"> 2024</w:t>
            </w:r>
          </w:p>
        </w:tc>
        <w:tc>
          <w:tcPr>
            <w:tcW w:w="904" w:type="dxa"/>
            <w:tcBorders>
              <w:top w:val="single" w:sz="4" w:space="0" w:color="auto"/>
              <w:left w:val="single" w:sz="4" w:space="0" w:color="auto"/>
              <w:bottom w:val="single" w:sz="4" w:space="0" w:color="auto"/>
              <w:right w:val="single" w:sz="4" w:space="0" w:color="auto"/>
            </w:tcBorders>
            <w:vAlign w:val="center"/>
          </w:tcPr>
          <w:p w14:paraId="05DBDAB6" w14:textId="77777777" w:rsidR="00D9120D" w:rsidRPr="001F151E" w:rsidRDefault="00D9120D" w:rsidP="002B7FF8">
            <w:pPr>
              <w:jc w:val="center"/>
              <w:rPr>
                <w:sz w:val="16"/>
                <w:szCs w:val="16"/>
              </w:rPr>
            </w:pPr>
            <w:r w:rsidRPr="001F151E">
              <w:rPr>
                <w:sz w:val="16"/>
                <w:szCs w:val="16"/>
              </w:rPr>
              <w:t>Q4 2025</w:t>
            </w:r>
          </w:p>
        </w:tc>
        <w:tc>
          <w:tcPr>
            <w:tcW w:w="1592" w:type="dxa"/>
            <w:vMerge w:val="restart"/>
            <w:tcBorders>
              <w:top w:val="single" w:sz="4" w:space="0" w:color="auto"/>
              <w:left w:val="single" w:sz="4" w:space="0" w:color="auto"/>
              <w:bottom w:val="single" w:sz="4" w:space="0" w:color="auto"/>
              <w:right w:val="single" w:sz="4" w:space="0" w:color="auto"/>
            </w:tcBorders>
          </w:tcPr>
          <w:p w14:paraId="5E622C6A" w14:textId="77777777" w:rsidR="00D9120D" w:rsidRPr="001F151E" w:rsidRDefault="00D9120D" w:rsidP="002B7FF8">
            <w:pPr>
              <w:rPr>
                <w:b/>
                <w:bCs/>
                <w:sz w:val="16"/>
                <w:szCs w:val="16"/>
              </w:rPr>
            </w:pPr>
            <w:r w:rsidRPr="001F151E">
              <w:rPr>
                <w:b/>
                <w:bCs/>
                <w:sz w:val="16"/>
                <w:szCs w:val="16"/>
              </w:rPr>
              <w:t>Responsible entity:</w:t>
            </w:r>
          </w:p>
          <w:p w14:paraId="774ED677" w14:textId="24BC340A" w:rsidR="00D9120D" w:rsidRPr="001F151E" w:rsidRDefault="00D9120D" w:rsidP="002B7FF8">
            <w:pPr>
              <w:pStyle w:val="EcorysBody"/>
              <w:rPr>
                <w:rFonts w:ascii="Arial" w:hAnsi="Arial" w:cs="Arial"/>
                <w:sz w:val="16"/>
                <w:szCs w:val="16"/>
              </w:rPr>
            </w:pPr>
            <w:r w:rsidRPr="001F151E">
              <w:rPr>
                <w:rFonts w:ascii="Arial" w:hAnsi="Arial" w:cs="Arial"/>
                <w:sz w:val="16"/>
                <w:szCs w:val="16"/>
              </w:rPr>
              <w:t>DLF</w:t>
            </w:r>
            <w:r w:rsidR="00FD7286" w:rsidRPr="001F151E">
              <w:rPr>
                <w:rFonts w:ascii="Arial" w:hAnsi="Arial" w:cs="Arial"/>
                <w:sz w:val="16"/>
                <w:szCs w:val="16"/>
              </w:rPr>
              <w:t xml:space="preserve"> (lead)</w:t>
            </w:r>
          </w:p>
          <w:p w14:paraId="26868C04" w14:textId="77777777" w:rsidR="00D9120D" w:rsidRPr="001F151E" w:rsidRDefault="00D9120D" w:rsidP="002B7FF8">
            <w:pPr>
              <w:pStyle w:val="EcorysBody"/>
              <w:rPr>
                <w:rFonts w:ascii="Arial" w:hAnsi="Arial" w:cs="Arial"/>
                <w:b/>
                <w:bCs/>
                <w:sz w:val="16"/>
                <w:szCs w:val="16"/>
              </w:rPr>
            </w:pPr>
          </w:p>
          <w:p w14:paraId="12B647CD" w14:textId="77777777" w:rsidR="00D9120D" w:rsidRPr="001F151E" w:rsidRDefault="00D9120D" w:rsidP="002B7FF8">
            <w:pPr>
              <w:pStyle w:val="EcorysBody"/>
              <w:rPr>
                <w:rFonts w:ascii="Arial" w:hAnsi="Arial" w:cs="Arial"/>
                <w:b/>
                <w:bCs/>
                <w:sz w:val="16"/>
                <w:szCs w:val="16"/>
              </w:rPr>
            </w:pPr>
            <w:r w:rsidRPr="001F151E">
              <w:rPr>
                <w:rFonts w:ascii="Arial" w:hAnsi="Arial" w:cs="Arial"/>
                <w:b/>
                <w:bCs/>
                <w:sz w:val="16"/>
                <w:szCs w:val="16"/>
              </w:rPr>
              <w:t xml:space="preserve">Partners: </w:t>
            </w:r>
          </w:p>
          <w:p w14:paraId="75ED4ED9" w14:textId="57808B53" w:rsidR="00D9120D" w:rsidRPr="001F151E" w:rsidRDefault="00D9120D" w:rsidP="002B7FF8">
            <w:pPr>
              <w:pStyle w:val="EcorysBody"/>
              <w:rPr>
                <w:rFonts w:ascii="Arial" w:hAnsi="Arial" w:cs="Arial"/>
                <w:sz w:val="16"/>
                <w:szCs w:val="16"/>
              </w:rPr>
            </w:pPr>
            <w:r w:rsidRPr="001F151E">
              <w:rPr>
                <w:rFonts w:ascii="Arial" w:hAnsi="Arial" w:cs="Arial"/>
                <w:sz w:val="16"/>
                <w:szCs w:val="16"/>
              </w:rPr>
              <w:t>SECO,</w:t>
            </w:r>
            <w:r w:rsidRPr="001F151E">
              <w:rPr>
                <w:rFonts w:ascii="Arial" w:hAnsi="Arial" w:cs="Arial"/>
                <w:b/>
                <w:bCs/>
                <w:sz w:val="16"/>
                <w:szCs w:val="16"/>
              </w:rPr>
              <w:t xml:space="preserve"> </w:t>
            </w:r>
            <w:r w:rsidRPr="001F151E">
              <w:rPr>
                <w:rFonts w:ascii="Arial" w:hAnsi="Arial" w:cs="Arial"/>
                <w:sz w:val="16"/>
                <w:szCs w:val="16"/>
              </w:rPr>
              <w:t>Helvetas</w:t>
            </w:r>
            <w:r w:rsidRPr="001F151E">
              <w:rPr>
                <w:rStyle w:val="FootnoteReference"/>
                <w:rFonts w:cs="Arial"/>
                <w:sz w:val="16"/>
                <w:szCs w:val="16"/>
              </w:rPr>
              <w:footnoteReference w:id="30"/>
            </w:r>
          </w:p>
          <w:p w14:paraId="2BF6D0B2" w14:textId="77777777" w:rsidR="00D9120D" w:rsidRPr="001F151E" w:rsidRDefault="00D9120D" w:rsidP="002B7FF8">
            <w:pPr>
              <w:pStyle w:val="EcorysBody"/>
              <w:rPr>
                <w:rFonts w:ascii="Arial" w:hAnsi="Arial" w:cs="Arial"/>
                <w:sz w:val="16"/>
                <w:szCs w:val="16"/>
              </w:rPr>
            </w:pPr>
          </w:p>
          <w:p w14:paraId="36B10BDD" w14:textId="77777777" w:rsidR="00D9120D" w:rsidRPr="001F151E" w:rsidRDefault="00D9120D" w:rsidP="002B7FF8">
            <w:pPr>
              <w:pStyle w:val="EcorysBody"/>
              <w:rPr>
                <w:rFonts w:ascii="Arial" w:hAnsi="Arial" w:cs="Arial"/>
                <w:sz w:val="16"/>
                <w:szCs w:val="16"/>
              </w:rPr>
            </w:pPr>
          </w:p>
          <w:p w14:paraId="4120F6E6" w14:textId="77777777" w:rsidR="00D9120D" w:rsidRPr="001F151E" w:rsidRDefault="00D9120D" w:rsidP="002B7FF8">
            <w:pPr>
              <w:rPr>
                <w:sz w:val="16"/>
                <w:szCs w:val="16"/>
              </w:rPr>
            </w:pPr>
          </w:p>
        </w:tc>
      </w:tr>
      <w:tr w:rsidR="00D67823" w:rsidRPr="001F151E" w14:paraId="302AC48F" w14:textId="77777777" w:rsidTr="0083517C">
        <w:trPr>
          <w:trHeight w:val="20"/>
        </w:trPr>
        <w:tc>
          <w:tcPr>
            <w:tcW w:w="2254" w:type="dxa"/>
            <w:vMerge/>
            <w:tcBorders>
              <w:top w:val="single" w:sz="4" w:space="0" w:color="auto"/>
              <w:left w:val="single" w:sz="4" w:space="0" w:color="auto"/>
              <w:bottom w:val="single" w:sz="4" w:space="0" w:color="auto"/>
              <w:right w:val="single" w:sz="4" w:space="0" w:color="auto"/>
            </w:tcBorders>
            <w:vAlign w:val="center"/>
            <w:hideMark/>
          </w:tcPr>
          <w:p w14:paraId="0535F755" w14:textId="77777777" w:rsidR="00D9120D" w:rsidRPr="001F151E" w:rsidRDefault="00D9120D" w:rsidP="002B7FF8">
            <w:pPr>
              <w:spacing w:line="240" w:lineRule="auto"/>
              <w:rPr>
                <w:b/>
                <w:bCs/>
                <w:sz w:val="16"/>
                <w:szCs w:val="16"/>
              </w:rPr>
            </w:pPr>
          </w:p>
        </w:tc>
        <w:tc>
          <w:tcPr>
            <w:tcW w:w="3286" w:type="dxa"/>
            <w:tcBorders>
              <w:top w:val="single" w:sz="4" w:space="0" w:color="auto"/>
              <w:left w:val="single" w:sz="4" w:space="0" w:color="auto"/>
              <w:right w:val="single" w:sz="4" w:space="0" w:color="auto"/>
            </w:tcBorders>
            <w:vAlign w:val="center"/>
            <w:hideMark/>
          </w:tcPr>
          <w:p w14:paraId="025E1E9F" w14:textId="5B8CC20E" w:rsidR="00D9120D" w:rsidRPr="001F151E" w:rsidRDefault="00D9120D" w:rsidP="00897DDC">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rPr>
            </w:pPr>
            <w:r w:rsidRPr="001F151E">
              <w:rPr>
                <w:sz w:val="16"/>
                <w:szCs w:val="16"/>
              </w:rPr>
              <w:t xml:space="preserve">Develop and gradually implement an additional performance-based grant </w:t>
            </w:r>
            <w:r w:rsidRPr="001F151E">
              <w:rPr>
                <w:sz w:val="16"/>
                <w:szCs w:val="16"/>
              </w:rPr>
              <w:lastRenderedPageBreak/>
              <w:t>system based on measurable and verifiable indicators</w:t>
            </w:r>
            <w:r w:rsidR="00137B8D" w:rsidRPr="001F151E">
              <w:rPr>
                <w:sz w:val="16"/>
                <w:szCs w:val="16"/>
              </w:rPr>
              <w:t>.</w:t>
            </w:r>
          </w:p>
        </w:tc>
        <w:tc>
          <w:tcPr>
            <w:tcW w:w="980" w:type="dxa"/>
            <w:tcBorders>
              <w:top w:val="single" w:sz="4" w:space="0" w:color="auto"/>
              <w:left w:val="single" w:sz="4" w:space="0" w:color="auto"/>
              <w:right w:val="single" w:sz="4" w:space="0" w:color="auto"/>
            </w:tcBorders>
            <w:vAlign w:val="center"/>
          </w:tcPr>
          <w:p w14:paraId="6FC969B7" w14:textId="43F63DFE" w:rsidR="00D9120D" w:rsidRPr="001F151E" w:rsidRDefault="00D9120D" w:rsidP="006A6329">
            <w:pPr>
              <w:jc w:val="center"/>
              <w:rPr>
                <w:sz w:val="16"/>
                <w:szCs w:val="16"/>
              </w:rPr>
            </w:pPr>
            <w:r w:rsidRPr="001F151E">
              <w:rPr>
                <w:sz w:val="16"/>
                <w:szCs w:val="16"/>
              </w:rPr>
              <w:lastRenderedPageBreak/>
              <w:t>Q</w:t>
            </w:r>
            <w:r w:rsidR="006A6329" w:rsidRPr="001F151E">
              <w:rPr>
                <w:sz w:val="16"/>
                <w:szCs w:val="16"/>
              </w:rPr>
              <w:t>3</w:t>
            </w:r>
            <w:r w:rsidRPr="001F151E">
              <w:rPr>
                <w:sz w:val="16"/>
                <w:szCs w:val="16"/>
              </w:rPr>
              <w:t xml:space="preserve"> 2024</w:t>
            </w:r>
          </w:p>
        </w:tc>
        <w:tc>
          <w:tcPr>
            <w:tcW w:w="904" w:type="dxa"/>
            <w:tcBorders>
              <w:top w:val="single" w:sz="4" w:space="0" w:color="auto"/>
              <w:left w:val="single" w:sz="4" w:space="0" w:color="auto"/>
              <w:right w:val="single" w:sz="4" w:space="0" w:color="auto"/>
            </w:tcBorders>
            <w:vAlign w:val="center"/>
          </w:tcPr>
          <w:p w14:paraId="1CE974EA" w14:textId="364EE9D6" w:rsidR="00D9120D" w:rsidRPr="001F151E" w:rsidRDefault="00D9120D" w:rsidP="006A6329">
            <w:pPr>
              <w:jc w:val="center"/>
              <w:rPr>
                <w:sz w:val="16"/>
                <w:szCs w:val="16"/>
              </w:rPr>
            </w:pPr>
            <w:r w:rsidRPr="001F151E">
              <w:rPr>
                <w:sz w:val="16"/>
                <w:szCs w:val="16"/>
              </w:rPr>
              <w:t>Q</w:t>
            </w:r>
            <w:r w:rsidR="006A6329" w:rsidRPr="001F151E">
              <w:rPr>
                <w:sz w:val="16"/>
                <w:szCs w:val="16"/>
              </w:rPr>
              <w:t>3</w:t>
            </w:r>
            <w:r w:rsidRPr="001F151E">
              <w:rPr>
                <w:sz w:val="16"/>
                <w:szCs w:val="16"/>
              </w:rPr>
              <w:t xml:space="preserve"> 202</w:t>
            </w:r>
            <w:r w:rsidR="006A6329" w:rsidRPr="001F151E">
              <w:rPr>
                <w:sz w:val="16"/>
                <w:szCs w:val="16"/>
              </w:rPr>
              <w:t>6</w:t>
            </w: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433700E9" w14:textId="77777777" w:rsidR="00D9120D" w:rsidRPr="001F151E" w:rsidRDefault="00D9120D" w:rsidP="002B7FF8">
            <w:pPr>
              <w:spacing w:line="240" w:lineRule="auto"/>
              <w:rPr>
                <w:sz w:val="16"/>
                <w:szCs w:val="16"/>
              </w:rPr>
            </w:pPr>
          </w:p>
        </w:tc>
      </w:tr>
      <w:tr w:rsidR="00D67823" w:rsidRPr="001F151E" w14:paraId="05C418A9" w14:textId="77777777" w:rsidTr="0083517C">
        <w:trPr>
          <w:trHeight w:val="20"/>
        </w:trPr>
        <w:tc>
          <w:tcPr>
            <w:tcW w:w="2254" w:type="dxa"/>
            <w:vMerge/>
            <w:tcBorders>
              <w:top w:val="single" w:sz="4" w:space="0" w:color="auto"/>
              <w:left w:val="single" w:sz="4" w:space="0" w:color="auto"/>
              <w:bottom w:val="single" w:sz="4" w:space="0" w:color="auto"/>
              <w:right w:val="single" w:sz="4" w:space="0" w:color="auto"/>
            </w:tcBorders>
            <w:vAlign w:val="center"/>
            <w:hideMark/>
          </w:tcPr>
          <w:p w14:paraId="73C37A96" w14:textId="77777777" w:rsidR="006A6329" w:rsidRPr="001F151E" w:rsidRDefault="006A6329" w:rsidP="006A6329">
            <w:pPr>
              <w:spacing w:line="240" w:lineRule="auto"/>
              <w:rPr>
                <w:b/>
                <w:bCs/>
                <w:sz w:val="16"/>
                <w:szCs w:val="16"/>
              </w:rPr>
            </w:pPr>
          </w:p>
        </w:tc>
        <w:tc>
          <w:tcPr>
            <w:tcW w:w="3286" w:type="dxa"/>
            <w:tcBorders>
              <w:top w:val="single" w:sz="4" w:space="0" w:color="auto"/>
              <w:left w:val="single" w:sz="4" w:space="0" w:color="auto"/>
              <w:right w:val="single" w:sz="4" w:space="0" w:color="auto"/>
            </w:tcBorders>
            <w:vAlign w:val="center"/>
            <w:hideMark/>
          </w:tcPr>
          <w:p w14:paraId="2D42C820" w14:textId="77777777" w:rsidR="006A6329" w:rsidRPr="001F151E" w:rsidRDefault="006A6329" w:rsidP="00897DDC">
            <w:pPr>
              <w:pStyle w:val="EcorysBody"/>
              <w:numPr>
                <w:ilvl w:val="0"/>
                <w:numId w:val="27"/>
              </w:numPr>
              <w:rPr>
                <w:rFonts w:ascii="Arial" w:hAnsi="Arial" w:cs="Arial"/>
                <w:sz w:val="16"/>
                <w:szCs w:val="16"/>
              </w:rPr>
            </w:pPr>
            <w:r w:rsidRPr="001F151E">
              <w:rPr>
                <w:rFonts w:ascii="Arial" w:hAnsi="Arial" w:cs="Arial"/>
                <w:sz w:val="16"/>
                <w:szCs w:val="16"/>
              </w:rPr>
              <w:t>Review and if necessary update the grant mechanism / formula in connection to the local government and decentralisation reforms.</w:t>
            </w:r>
          </w:p>
        </w:tc>
        <w:tc>
          <w:tcPr>
            <w:tcW w:w="980" w:type="dxa"/>
            <w:tcBorders>
              <w:top w:val="single" w:sz="4" w:space="0" w:color="auto"/>
              <w:left w:val="single" w:sz="4" w:space="0" w:color="auto"/>
              <w:right w:val="single" w:sz="4" w:space="0" w:color="auto"/>
            </w:tcBorders>
            <w:vAlign w:val="center"/>
          </w:tcPr>
          <w:p w14:paraId="7604425F" w14:textId="0C6D8B6A" w:rsidR="006A6329" w:rsidRPr="001F151E" w:rsidRDefault="006A6329" w:rsidP="006A6329">
            <w:pPr>
              <w:jc w:val="center"/>
              <w:rPr>
                <w:sz w:val="16"/>
                <w:szCs w:val="16"/>
              </w:rPr>
            </w:pPr>
            <w:r w:rsidRPr="001F151E">
              <w:rPr>
                <w:sz w:val="16"/>
                <w:szCs w:val="16"/>
              </w:rPr>
              <w:t>Q1 2025</w:t>
            </w:r>
          </w:p>
        </w:tc>
        <w:tc>
          <w:tcPr>
            <w:tcW w:w="904" w:type="dxa"/>
            <w:tcBorders>
              <w:top w:val="single" w:sz="4" w:space="0" w:color="auto"/>
              <w:left w:val="single" w:sz="4" w:space="0" w:color="auto"/>
              <w:right w:val="single" w:sz="4" w:space="0" w:color="auto"/>
            </w:tcBorders>
            <w:vAlign w:val="center"/>
          </w:tcPr>
          <w:p w14:paraId="1C73330C" w14:textId="618A1EB9" w:rsidR="006A6329" w:rsidRPr="001F151E" w:rsidRDefault="006A6329" w:rsidP="006A6329">
            <w:pPr>
              <w:jc w:val="center"/>
              <w:rPr>
                <w:sz w:val="16"/>
                <w:szCs w:val="16"/>
              </w:rPr>
            </w:pPr>
            <w:r w:rsidRPr="001F151E">
              <w:rPr>
                <w:sz w:val="16"/>
                <w:szCs w:val="16"/>
              </w:rPr>
              <w:t>Q4 2026</w:t>
            </w: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0A7A02A5" w14:textId="77777777" w:rsidR="006A6329" w:rsidRPr="001F151E" w:rsidRDefault="006A6329" w:rsidP="006A6329">
            <w:pPr>
              <w:spacing w:line="240" w:lineRule="auto"/>
              <w:rPr>
                <w:sz w:val="16"/>
                <w:szCs w:val="16"/>
              </w:rPr>
            </w:pPr>
          </w:p>
        </w:tc>
      </w:tr>
      <w:tr w:rsidR="00D67823" w:rsidRPr="001F151E" w14:paraId="258C4855" w14:textId="77777777" w:rsidTr="0083517C">
        <w:trPr>
          <w:trHeight w:val="32"/>
        </w:trPr>
        <w:tc>
          <w:tcPr>
            <w:tcW w:w="2254" w:type="dxa"/>
            <w:vMerge w:val="restart"/>
            <w:tcBorders>
              <w:top w:val="single" w:sz="4" w:space="0" w:color="auto"/>
              <w:left w:val="single" w:sz="4" w:space="0" w:color="auto"/>
              <w:bottom w:val="single" w:sz="4" w:space="0" w:color="auto"/>
              <w:right w:val="single" w:sz="4" w:space="0" w:color="auto"/>
            </w:tcBorders>
            <w:hideMark/>
          </w:tcPr>
          <w:p w14:paraId="4EF2BF05" w14:textId="79F7E3D2" w:rsidR="00D9120D" w:rsidRPr="001F151E" w:rsidRDefault="00D9120D" w:rsidP="002B7FF8">
            <w:pPr>
              <w:pStyle w:val="EcorysBody"/>
              <w:rPr>
                <w:rFonts w:ascii="Arial" w:hAnsi="Arial" w:cs="Arial"/>
                <w:b/>
                <w:bCs/>
                <w:sz w:val="16"/>
                <w:szCs w:val="16"/>
              </w:rPr>
            </w:pPr>
            <w:r w:rsidRPr="001F151E">
              <w:rPr>
                <w:rFonts w:ascii="Arial" w:hAnsi="Arial" w:cs="Arial"/>
                <w:b/>
                <w:bCs/>
                <w:sz w:val="16"/>
                <w:szCs w:val="16"/>
              </w:rPr>
              <w:t>Measure 2.4.2 Strengthen MTBP formulation and monitoring implementation in Municipalities</w:t>
            </w:r>
            <w:r w:rsidR="00137B8D" w:rsidRPr="001F151E">
              <w:rPr>
                <w:rFonts w:ascii="Arial" w:hAnsi="Arial" w:cs="Arial"/>
                <w:b/>
                <w:bCs/>
                <w:sz w:val="16"/>
                <w:szCs w:val="16"/>
              </w:rPr>
              <w:t>.</w:t>
            </w:r>
          </w:p>
        </w:tc>
        <w:tc>
          <w:tcPr>
            <w:tcW w:w="3286" w:type="dxa"/>
            <w:tcBorders>
              <w:top w:val="single" w:sz="4" w:space="0" w:color="auto"/>
              <w:left w:val="single" w:sz="4" w:space="0" w:color="auto"/>
              <w:bottom w:val="single" w:sz="4" w:space="0" w:color="auto"/>
              <w:right w:val="single" w:sz="4" w:space="0" w:color="auto"/>
            </w:tcBorders>
            <w:vAlign w:val="center"/>
            <w:hideMark/>
          </w:tcPr>
          <w:p w14:paraId="5197026D" w14:textId="12E7BCC2" w:rsidR="00D9120D" w:rsidRPr="001F151E" w:rsidRDefault="00D9120D" w:rsidP="00897DDC">
            <w:pPr>
              <w:pStyle w:val="EcorysBody"/>
              <w:numPr>
                <w:ilvl w:val="0"/>
                <w:numId w:val="28"/>
              </w:numPr>
              <w:rPr>
                <w:rFonts w:ascii="Arial" w:hAnsi="Arial" w:cs="Arial"/>
                <w:sz w:val="16"/>
                <w:szCs w:val="16"/>
              </w:rPr>
            </w:pPr>
            <w:r w:rsidRPr="001F151E">
              <w:rPr>
                <w:rFonts w:ascii="Arial" w:hAnsi="Arial" w:cs="Arial"/>
                <w:sz w:val="16"/>
                <w:szCs w:val="16"/>
              </w:rPr>
              <w:t xml:space="preserve">Review and improve the program </w:t>
            </w:r>
            <w:r w:rsidR="006A6329" w:rsidRPr="001F151E">
              <w:rPr>
                <w:rFonts w:ascii="Arial" w:hAnsi="Arial" w:cs="Arial"/>
                <w:sz w:val="16"/>
                <w:szCs w:val="16"/>
              </w:rPr>
              <w:t xml:space="preserve">description </w:t>
            </w:r>
            <w:r w:rsidRPr="001F151E">
              <w:rPr>
                <w:rFonts w:ascii="Arial" w:hAnsi="Arial" w:cs="Arial"/>
                <w:sz w:val="16"/>
                <w:szCs w:val="16"/>
              </w:rPr>
              <w:t>of the budget classificat</w:t>
            </w:r>
            <w:r w:rsidR="00476390">
              <w:rPr>
                <w:rFonts w:ascii="Arial" w:hAnsi="Arial" w:cs="Arial"/>
                <w:sz w:val="16"/>
                <w:szCs w:val="16"/>
              </w:rPr>
              <w:t>ions customised to the specific</w:t>
            </w:r>
            <w:r w:rsidR="006A6329" w:rsidRPr="001F151E">
              <w:rPr>
                <w:rFonts w:ascii="Arial" w:hAnsi="Arial" w:cs="Arial"/>
                <w:sz w:val="16"/>
                <w:szCs w:val="16"/>
              </w:rPr>
              <w:t xml:space="preserve"> service delivery arrangements</w:t>
            </w:r>
            <w:r w:rsidRPr="001F151E">
              <w:rPr>
                <w:rFonts w:ascii="Arial" w:hAnsi="Arial" w:cs="Arial"/>
                <w:sz w:val="16"/>
                <w:szCs w:val="16"/>
              </w:rPr>
              <w:t xml:space="preserve"> of different categories of municipalities.</w:t>
            </w:r>
          </w:p>
        </w:tc>
        <w:tc>
          <w:tcPr>
            <w:tcW w:w="980" w:type="dxa"/>
            <w:tcBorders>
              <w:top w:val="single" w:sz="4" w:space="0" w:color="auto"/>
              <w:left w:val="single" w:sz="4" w:space="0" w:color="auto"/>
              <w:bottom w:val="single" w:sz="4" w:space="0" w:color="auto"/>
              <w:right w:val="single" w:sz="4" w:space="0" w:color="auto"/>
            </w:tcBorders>
            <w:vAlign w:val="center"/>
          </w:tcPr>
          <w:p w14:paraId="2944E0BF" w14:textId="77777777" w:rsidR="00D9120D" w:rsidRPr="001F151E" w:rsidRDefault="00D9120D" w:rsidP="002B7FF8">
            <w:pPr>
              <w:jc w:val="center"/>
              <w:rPr>
                <w:sz w:val="16"/>
                <w:szCs w:val="16"/>
              </w:rPr>
            </w:pPr>
            <w:r w:rsidRPr="001F151E">
              <w:rPr>
                <w:sz w:val="16"/>
                <w:szCs w:val="16"/>
              </w:rPr>
              <w:t>Q1 2024</w:t>
            </w:r>
          </w:p>
        </w:tc>
        <w:tc>
          <w:tcPr>
            <w:tcW w:w="904" w:type="dxa"/>
            <w:tcBorders>
              <w:top w:val="single" w:sz="4" w:space="0" w:color="auto"/>
              <w:left w:val="single" w:sz="4" w:space="0" w:color="auto"/>
              <w:bottom w:val="single" w:sz="4" w:space="0" w:color="auto"/>
              <w:right w:val="single" w:sz="4" w:space="0" w:color="auto"/>
            </w:tcBorders>
            <w:vAlign w:val="center"/>
          </w:tcPr>
          <w:p w14:paraId="526ECE5C" w14:textId="77777777" w:rsidR="00D9120D" w:rsidRPr="001F151E" w:rsidRDefault="00D9120D" w:rsidP="002B7FF8">
            <w:pPr>
              <w:jc w:val="center"/>
              <w:rPr>
                <w:sz w:val="16"/>
                <w:szCs w:val="16"/>
              </w:rPr>
            </w:pPr>
            <w:r w:rsidRPr="001F151E">
              <w:rPr>
                <w:sz w:val="16"/>
                <w:szCs w:val="16"/>
              </w:rPr>
              <w:t>Q4 2026</w:t>
            </w:r>
          </w:p>
        </w:tc>
        <w:tc>
          <w:tcPr>
            <w:tcW w:w="1592" w:type="dxa"/>
            <w:vMerge w:val="restart"/>
            <w:tcBorders>
              <w:top w:val="single" w:sz="4" w:space="0" w:color="auto"/>
              <w:left w:val="single" w:sz="4" w:space="0" w:color="auto"/>
              <w:bottom w:val="single" w:sz="4" w:space="0" w:color="auto"/>
              <w:right w:val="single" w:sz="4" w:space="0" w:color="auto"/>
            </w:tcBorders>
          </w:tcPr>
          <w:p w14:paraId="7FEF8A7E" w14:textId="77777777" w:rsidR="00D9120D" w:rsidRPr="001F151E" w:rsidRDefault="00D9120D" w:rsidP="002B7FF8">
            <w:pPr>
              <w:rPr>
                <w:b/>
                <w:bCs/>
                <w:sz w:val="16"/>
                <w:szCs w:val="16"/>
              </w:rPr>
            </w:pPr>
            <w:r w:rsidRPr="001F151E">
              <w:rPr>
                <w:b/>
                <w:bCs/>
                <w:sz w:val="16"/>
                <w:szCs w:val="16"/>
              </w:rPr>
              <w:t xml:space="preserve">Responsible entity: </w:t>
            </w:r>
          </w:p>
          <w:p w14:paraId="23A0F345" w14:textId="73351C99" w:rsidR="00D9120D" w:rsidRPr="001F151E" w:rsidRDefault="00D9120D" w:rsidP="002B7FF8">
            <w:pPr>
              <w:pStyle w:val="EcorysBody"/>
              <w:rPr>
                <w:rFonts w:ascii="Arial" w:hAnsi="Arial" w:cs="Arial"/>
                <w:sz w:val="16"/>
                <w:szCs w:val="16"/>
              </w:rPr>
            </w:pPr>
            <w:r w:rsidRPr="001F151E">
              <w:rPr>
                <w:rFonts w:ascii="Arial" w:hAnsi="Arial" w:cs="Arial"/>
                <w:sz w:val="16"/>
                <w:szCs w:val="16"/>
              </w:rPr>
              <w:t>DLF</w:t>
            </w:r>
            <w:r w:rsidR="00FD7286" w:rsidRPr="001F151E">
              <w:rPr>
                <w:rFonts w:ascii="Arial" w:hAnsi="Arial" w:cs="Arial"/>
                <w:sz w:val="16"/>
                <w:szCs w:val="16"/>
              </w:rPr>
              <w:t xml:space="preserve"> (lead)</w:t>
            </w:r>
          </w:p>
          <w:p w14:paraId="70A15C54" w14:textId="77777777" w:rsidR="00D9120D" w:rsidRPr="001F151E" w:rsidRDefault="00D9120D" w:rsidP="002B7FF8">
            <w:pPr>
              <w:pStyle w:val="EcorysBody"/>
              <w:rPr>
                <w:rFonts w:ascii="Arial" w:hAnsi="Arial" w:cs="Arial"/>
                <w:b/>
                <w:bCs/>
                <w:sz w:val="16"/>
                <w:szCs w:val="16"/>
              </w:rPr>
            </w:pPr>
          </w:p>
          <w:p w14:paraId="7960008B" w14:textId="77777777" w:rsidR="00D9120D" w:rsidRPr="001F151E" w:rsidRDefault="00D9120D" w:rsidP="002B7FF8">
            <w:pPr>
              <w:pStyle w:val="EcorysBody"/>
              <w:rPr>
                <w:rFonts w:ascii="Arial" w:hAnsi="Arial" w:cs="Arial"/>
                <w:b/>
                <w:bCs/>
                <w:sz w:val="16"/>
                <w:szCs w:val="16"/>
              </w:rPr>
            </w:pPr>
            <w:r w:rsidRPr="001F151E">
              <w:rPr>
                <w:rFonts w:ascii="Arial" w:hAnsi="Arial" w:cs="Arial"/>
                <w:b/>
                <w:bCs/>
                <w:sz w:val="16"/>
                <w:szCs w:val="16"/>
              </w:rPr>
              <w:t>Partners:</w:t>
            </w:r>
          </w:p>
          <w:p w14:paraId="7301C26A" w14:textId="252EDD9C" w:rsidR="00D9120D" w:rsidRPr="001F151E" w:rsidRDefault="006A6329" w:rsidP="002B7FF8">
            <w:pPr>
              <w:pStyle w:val="EcorysBody"/>
              <w:rPr>
                <w:sz w:val="16"/>
                <w:szCs w:val="16"/>
              </w:rPr>
            </w:pPr>
            <w:r w:rsidRPr="001F151E">
              <w:rPr>
                <w:rFonts w:ascii="Arial" w:hAnsi="Arial" w:cs="Arial"/>
                <w:sz w:val="16"/>
                <w:szCs w:val="16"/>
              </w:rPr>
              <w:t>SECO</w:t>
            </w:r>
            <w:r w:rsidRPr="001F151E">
              <w:rPr>
                <w:rFonts w:ascii="Arial" w:hAnsi="Arial" w:cs="Arial"/>
                <w:szCs w:val="14"/>
                <w:vertAlign w:val="superscript"/>
              </w:rPr>
              <w:footnoteReference w:id="31"/>
            </w:r>
          </w:p>
        </w:tc>
      </w:tr>
      <w:tr w:rsidR="00D67823" w:rsidRPr="001F151E" w14:paraId="187D4B1A" w14:textId="77777777" w:rsidTr="0083517C">
        <w:trPr>
          <w:trHeight w:val="32"/>
        </w:trPr>
        <w:tc>
          <w:tcPr>
            <w:tcW w:w="2254" w:type="dxa"/>
            <w:vMerge/>
            <w:tcBorders>
              <w:top w:val="single" w:sz="4" w:space="0" w:color="auto"/>
              <w:left w:val="single" w:sz="4" w:space="0" w:color="auto"/>
              <w:bottom w:val="single" w:sz="4" w:space="0" w:color="auto"/>
              <w:right w:val="single" w:sz="4" w:space="0" w:color="auto"/>
            </w:tcBorders>
            <w:vAlign w:val="center"/>
            <w:hideMark/>
          </w:tcPr>
          <w:p w14:paraId="11BFA70B" w14:textId="77777777" w:rsidR="00D9120D" w:rsidRPr="001F151E" w:rsidRDefault="00D9120D" w:rsidP="002B7FF8">
            <w:pPr>
              <w:spacing w:line="240" w:lineRule="auto"/>
              <w:rPr>
                <w:b/>
                <w:bCs/>
                <w:sz w:val="16"/>
                <w:szCs w:val="16"/>
              </w:rPr>
            </w:pPr>
          </w:p>
        </w:tc>
        <w:tc>
          <w:tcPr>
            <w:tcW w:w="3286" w:type="dxa"/>
            <w:tcBorders>
              <w:top w:val="single" w:sz="4" w:space="0" w:color="auto"/>
              <w:left w:val="single" w:sz="4" w:space="0" w:color="auto"/>
              <w:bottom w:val="single" w:sz="4" w:space="0" w:color="auto"/>
              <w:right w:val="single" w:sz="4" w:space="0" w:color="auto"/>
            </w:tcBorders>
            <w:vAlign w:val="center"/>
            <w:hideMark/>
          </w:tcPr>
          <w:p w14:paraId="00781363" w14:textId="77777777" w:rsidR="00D9120D" w:rsidRPr="001F151E" w:rsidRDefault="00D9120D" w:rsidP="00897DDC">
            <w:pPr>
              <w:pStyle w:val="EcorysBody"/>
              <w:numPr>
                <w:ilvl w:val="0"/>
                <w:numId w:val="28"/>
              </w:numPr>
              <w:rPr>
                <w:rFonts w:ascii="Arial" w:hAnsi="Arial" w:cs="Arial"/>
                <w:sz w:val="16"/>
                <w:szCs w:val="16"/>
              </w:rPr>
            </w:pPr>
            <w:r w:rsidRPr="001F151E">
              <w:rPr>
                <w:rFonts w:ascii="Arial" w:hAnsi="Arial" w:cs="Arial"/>
                <w:sz w:val="16"/>
                <w:szCs w:val="16"/>
              </w:rPr>
              <w:t>Implementation of the new methodology for the design of the performance-based MTBP and monitoring of the MTBP implementation.</w:t>
            </w:r>
          </w:p>
        </w:tc>
        <w:tc>
          <w:tcPr>
            <w:tcW w:w="980" w:type="dxa"/>
            <w:tcBorders>
              <w:top w:val="single" w:sz="4" w:space="0" w:color="auto"/>
              <w:left w:val="single" w:sz="4" w:space="0" w:color="auto"/>
              <w:bottom w:val="single" w:sz="4" w:space="0" w:color="auto"/>
              <w:right w:val="single" w:sz="4" w:space="0" w:color="auto"/>
            </w:tcBorders>
            <w:vAlign w:val="center"/>
          </w:tcPr>
          <w:p w14:paraId="198C6DE5" w14:textId="77777777" w:rsidR="00D9120D" w:rsidRPr="001F151E" w:rsidRDefault="00D9120D" w:rsidP="002B7FF8">
            <w:pPr>
              <w:jc w:val="center"/>
              <w:rPr>
                <w:sz w:val="16"/>
                <w:szCs w:val="16"/>
              </w:rPr>
            </w:pPr>
            <w:r w:rsidRPr="001F151E">
              <w:rPr>
                <w:sz w:val="16"/>
                <w:szCs w:val="16"/>
              </w:rPr>
              <w:t>Q1 2024</w:t>
            </w:r>
          </w:p>
        </w:tc>
        <w:tc>
          <w:tcPr>
            <w:tcW w:w="904" w:type="dxa"/>
            <w:tcBorders>
              <w:top w:val="single" w:sz="4" w:space="0" w:color="auto"/>
              <w:left w:val="single" w:sz="4" w:space="0" w:color="auto"/>
              <w:bottom w:val="single" w:sz="4" w:space="0" w:color="auto"/>
              <w:right w:val="single" w:sz="4" w:space="0" w:color="auto"/>
            </w:tcBorders>
            <w:vAlign w:val="center"/>
          </w:tcPr>
          <w:p w14:paraId="3B60B51F" w14:textId="77777777" w:rsidR="00D9120D" w:rsidRPr="001F151E" w:rsidRDefault="00D9120D" w:rsidP="002B7FF8">
            <w:pPr>
              <w:jc w:val="center"/>
              <w:rPr>
                <w:sz w:val="16"/>
                <w:szCs w:val="16"/>
              </w:rPr>
            </w:pPr>
            <w:r w:rsidRPr="001F151E">
              <w:rPr>
                <w:sz w:val="16"/>
                <w:szCs w:val="16"/>
              </w:rPr>
              <w:t>Q4 2026</w:t>
            </w: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08113DD2" w14:textId="77777777" w:rsidR="00D9120D" w:rsidRPr="001F151E" w:rsidRDefault="00D9120D" w:rsidP="002B7FF8">
            <w:pPr>
              <w:spacing w:line="240" w:lineRule="auto"/>
              <w:rPr>
                <w:rFonts w:ascii="Open Sans Light" w:hAnsi="Open Sans Light" w:cs="Open Sans Light"/>
                <w:sz w:val="16"/>
                <w:szCs w:val="16"/>
              </w:rPr>
            </w:pPr>
          </w:p>
        </w:tc>
      </w:tr>
      <w:tr w:rsidR="00D67823" w:rsidRPr="001F151E" w14:paraId="194EBB77" w14:textId="77777777" w:rsidTr="0083517C">
        <w:trPr>
          <w:trHeight w:val="32"/>
        </w:trPr>
        <w:tc>
          <w:tcPr>
            <w:tcW w:w="2254" w:type="dxa"/>
            <w:vMerge/>
            <w:tcBorders>
              <w:top w:val="single" w:sz="4" w:space="0" w:color="auto"/>
              <w:left w:val="single" w:sz="4" w:space="0" w:color="auto"/>
              <w:bottom w:val="single" w:sz="4" w:space="0" w:color="auto"/>
              <w:right w:val="single" w:sz="4" w:space="0" w:color="auto"/>
            </w:tcBorders>
            <w:vAlign w:val="center"/>
            <w:hideMark/>
          </w:tcPr>
          <w:p w14:paraId="19B6E590" w14:textId="77777777" w:rsidR="00D9120D" w:rsidRPr="001F151E" w:rsidRDefault="00D9120D" w:rsidP="002B7FF8">
            <w:pPr>
              <w:spacing w:line="240" w:lineRule="auto"/>
              <w:rPr>
                <w:b/>
                <w:bCs/>
                <w:sz w:val="16"/>
                <w:szCs w:val="16"/>
              </w:rPr>
            </w:pPr>
          </w:p>
        </w:tc>
        <w:tc>
          <w:tcPr>
            <w:tcW w:w="3286" w:type="dxa"/>
            <w:tcBorders>
              <w:top w:val="single" w:sz="4" w:space="0" w:color="auto"/>
              <w:left w:val="single" w:sz="4" w:space="0" w:color="auto"/>
              <w:bottom w:val="single" w:sz="4" w:space="0" w:color="auto"/>
              <w:right w:val="single" w:sz="4" w:space="0" w:color="auto"/>
            </w:tcBorders>
            <w:vAlign w:val="center"/>
            <w:hideMark/>
          </w:tcPr>
          <w:p w14:paraId="189172DF" w14:textId="009310ED" w:rsidR="00D9120D" w:rsidRPr="001F151E" w:rsidRDefault="00D67823" w:rsidP="00897DDC">
            <w:pPr>
              <w:pStyle w:val="EcorysBody"/>
              <w:numPr>
                <w:ilvl w:val="0"/>
                <w:numId w:val="28"/>
              </w:numPr>
              <w:rPr>
                <w:rFonts w:ascii="Arial" w:hAnsi="Arial" w:cs="Arial"/>
                <w:sz w:val="16"/>
                <w:szCs w:val="16"/>
              </w:rPr>
            </w:pPr>
            <w:r w:rsidRPr="001F151E">
              <w:rPr>
                <w:rFonts w:ascii="Arial" w:hAnsi="Arial" w:cs="Arial"/>
                <w:sz w:val="16"/>
                <w:szCs w:val="16"/>
              </w:rPr>
              <w:t>The use of performance indicators in the Medium-Term Budget Program directly influencing the increase in the quality of monitoring the implementation of the local budget.</w:t>
            </w:r>
          </w:p>
        </w:tc>
        <w:tc>
          <w:tcPr>
            <w:tcW w:w="980" w:type="dxa"/>
            <w:tcBorders>
              <w:top w:val="single" w:sz="4" w:space="0" w:color="auto"/>
              <w:left w:val="single" w:sz="4" w:space="0" w:color="auto"/>
              <w:bottom w:val="single" w:sz="4" w:space="0" w:color="auto"/>
              <w:right w:val="single" w:sz="4" w:space="0" w:color="auto"/>
            </w:tcBorders>
            <w:vAlign w:val="center"/>
          </w:tcPr>
          <w:p w14:paraId="1EF09946" w14:textId="77777777" w:rsidR="00D9120D" w:rsidRPr="001F151E" w:rsidRDefault="00D9120D" w:rsidP="002B7FF8">
            <w:pPr>
              <w:jc w:val="center"/>
              <w:rPr>
                <w:sz w:val="16"/>
                <w:szCs w:val="16"/>
              </w:rPr>
            </w:pPr>
            <w:r w:rsidRPr="001F151E">
              <w:rPr>
                <w:sz w:val="16"/>
                <w:szCs w:val="16"/>
              </w:rPr>
              <w:t>Q1 2024</w:t>
            </w:r>
          </w:p>
        </w:tc>
        <w:tc>
          <w:tcPr>
            <w:tcW w:w="904" w:type="dxa"/>
            <w:tcBorders>
              <w:top w:val="single" w:sz="4" w:space="0" w:color="auto"/>
              <w:left w:val="single" w:sz="4" w:space="0" w:color="auto"/>
              <w:bottom w:val="single" w:sz="4" w:space="0" w:color="auto"/>
              <w:right w:val="single" w:sz="4" w:space="0" w:color="auto"/>
            </w:tcBorders>
            <w:vAlign w:val="center"/>
          </w:tcPr>
          <w:p w14:paraId="0F34D81E" w14:textId="048B57CE" w:rsidR="00D9120D" w:rsidRPr="001F151E" w:rsidRDefault="00D9120D" w:rsidP="002B7FF8">
            <w:pPr>
              <w:jc w:val="center"/>
              <w:rPr>
                <w:sz w:val="16"/>
                <w:szCs w:val="16"/>
              </w:rPr>
            </w:pPr>
            <w:r w:rsidRPr="001F151E">
              <w:rPr>
                <w:sz w:val="16"/>
                <w:szCs w:val="16"/>
              </w:rPr>
              <w:t>Q4 20</w:t>
            </w:r>
            <w:r w:rsidR="00D67823" w:rsidRPr="001F151E">
              <w:rPr>
                <w:sz w:val="16"/>
                <w:szCs w:val="16"/>
              </w:rPr>
              <w:t>26</w:t>
            </w: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7953A786" w14:textId="77777777" w:rsidR="00D9120D" w:rsidRPr="001F151E" w:rsidRDefault="00D9120D" w:rsidP="002B7FF8">
            <w:pPr>
              <w:spacing w:line="240" w:lineRule="auto"/>
              <w:rPr>
                <w:rFonts w:ascii="Open Sans Light" w:hAnsi="Open Sans Light" w:cs="Open Sans Light"/>
                <w:sz w:val="16"/>
                <w:szCs w:val="16"/>
              </w:rPr>
            </w:pPr>
          </w:p>
        </w:tc>
      </w:tr>
      <w:tr w:rsidR="00D67823" w:rsidRPr="001F151E" w14:paraId="151834E9" w14:textId="77777777" w:rsidTr="0083517C">
        <w:trPr>
          <w:trHeight w:val="32"/>
        </w:trPr>
        <w:tc>
          <w:tcPr>
            <w:tcW w:w="2254" w:type="dxa"/>
            <w:vMerge/>
            <w:tcBorders>
              <w:top w:val="single" w:sz="4" w:space="0" w:color="auto"/>
              <w:left w:val="single" w:sz="4" w:space="0" w:color="auto"/>
              <w:bottom w:val="single" w:sz="4" w:space="0" w:color="auto"/>
              <w:right w:val="single" w:sz="4" w:space="0" w:color="auto"/>
            </w:tcBorders>
            <w:vAlign w:val="center"/>
            <w:hideMark/>
          </w:tcPr>
          <w:p w14:paraId="7C7A7A66" w14:textId="77777777" w:rsidR="00D9120D" w:rsidRPr="001F151E" w:rsidRDefault="00D9120D" w:rsidP="002B7FF8">
            <w:pPr>
              <w:spacing w:line="240" w:lineRule="auto"/>
              <w:rPr>
                <w:b/>
                <w:bCs/>
                <w:sz w:val="16"/>
                <w:szCs w:val="16"/>
              </w:rPr>
            </w:pPr>
          </w:p>
        </w:tc>
        <w:tc>
          <w:tcPr>
            <w:tcW w:w="3286" w:type="dxa"/>
            <w:tcBorders>
              <w:top w:val="single" w:sz="4" w:space="0" w:color="auto"/>
              <w:left w:val="single" w:sz="4" w:space="0" w:color="auto"/>
              <w:bottom w:val="single" w:sz="4" w:space="0" w:color="auto"/>
              <w:right w:val="single" w:sz="4" w:space="0" w:color="auto"/>
            </w:tcBorders>
            <w:vAlign w:val="center"/>
            <w:hideMark/>
          </w:tcPr>
          <w:p w14:paraId="01B6A7C6" w14:textId="4B4C3AB1" w:rsidR="00D9120D" w:rsidRPr="001F151E" w:rsidRDefault="00D9120D" w:rsidP="00897DDC">
            <w:pPr>
              <w:pStyle w:val="EcorysBody"/>
              <w:numPr>
                <w:ilvl w:val="0"/>
                <w:numId w:val="28"/>
              </w:numPr>
              <w:rPr>
                <w:rFonts w:ascii="Arial" w:hAnsi="Arial" w:cs="Arial"/>
                <w:sz w:val="16"/>
                <w:szCs w:val="16"/>
              </w:rPr>
            </w:pPr>
            <w:r w:rsidRPr="001F151E">
              <w:rPr>
                <w:rFonts w:ascii="Arial" w:hAnsi="Arial" w:cs="Arial"/>
                <w:sz w:val="16"/>
                <w:szCs w:val="16"/>
              </w:rPr>
              <w:t>Develop and implement capacity building activities for MTBP formulation, in-year budget execution reporting and annual budget execution reporting</w:t>
            </w:r>
            <w:r w:rsidR="00137B8D" w:rsidRPr="001F151E">
              <w:rPr>
                <w:rFonts w:ascii="Arial" w:hAnsi="Arial" w:cs="Arial"/>
                <w:sz w:val="16"/>
                <w:szCs w:val="16"/>
              </w:rPr>
              <w:t>.</w:t>
            </w:r>
          </w:p>
        </w:tc>
        <w:tc>
          <w:tcPr>
            <w:tcW w:w="980" w:type="dxa"/>
            <w:tcBorders>
              <w:top w:val="single" w:sz="4" w:space="0" w:color="auto"/>
              <w:left w:val="single" w:sz="4" w:space="0" w:color="auto"/>
              <w:bottom w:val="single" w:sz="4" w:space="0" w:color="auto"/>
              <w:right w:val="single" w:sz="4" w:space="0" w:color="auto"/>
            </w:tcBorders>
            <w:vAlign w:val="center"/>
          </w:tcPr>
          <w:p w14:paraId="574F0F33" w14:textId="77777777" w:rsidR="00D9120D" w:rsidRPr="001F151E" w:rsidRDefault="00D9120D" w:rsidP="002B7FF8">
            <w:pPr>
              <w:jc w:val="center"/>
              <w:rPr>
                <w:sz w:val="16"/>
                <w:szCs w:val="16"/>
              </w:rPr>
            </w:pPr>
            <w:r w:rsidRPr="001F151E">
              <w:rPr>
                <w:sz w:val="16"/>
                <w:szCs w:val="16"/>
              </w:rPr>
              <w:t>Q1 2024</w:t>
            </w:r>
          </w:p>
        </w:tc>
        <w:tc>
          <w:tcPr>
            <w:tcW w:w="904" w:type="dxa"/>
            <w:tcBorders>
              <w:top w:val="single" w:sz="4" w:space="0" w:color="auto"/>
              <w:left w:val="single" w:sz="4" w:space="0" w:color="auto"/>
              <w:bottom w:val="single" w:sz="4" w:space="0" w:color="auto"/>
              <w:right w:val="single" w:sz="4" w:space="0" w:color="auto"/>
            </w:tcBorders>
            <w:vAlign w:val="center"/>
          </w:tcPr>
          <w:p w14:paraId="0F07012F" w14:textId="77777777" w:rsidR="00D9120D" w:rsidRPr="001F151E" w:rsidRDefault="00D9120D" w:rsidP="002B7FF8">
            <w:pPr>
              <w:jc w:val="center"/>
              <w:rPr>
                <w:sz w:val="16"/>
                <w:szCs w:val="16"/>
              </w:rPr>
            </w:pPr>
            <w:r w:rsidRPr="001F151E">
              <w:rPr>
                <w:sz w:val="16"/>
                <w:szCs w:val="16"/>
              </w:rPr>
              <w:t>Q4 2026</w:t>
            </w: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1AC5108A" w14:textId="77777777" w:rsidR="00D9120D" w:rsidRPr="001F151E" w:rsidRDefault="00D9120D" w:rsidP="002B7FF8">
            <w:pPr>
              <w:spacing w:line="240" w:lineRule="auto"/>
              <w:rPr>
                <w:rFonts w:ascii="Open Sans Light" w:hAnsi="Open Sans Light" w:cs="Open Sans Light"/>
                <w:sz w:val="16"/>
                <w:szCs w:val="16"/>
              </w:rPr>
            </w:pPr>
          </w:p>
        </w:tc>
      </w:tr>
      <w:tr w:rsidR="00556A69" w:rsidRPr="001F151E" w14:paraId="4715D010" w14:textId="77777777" w:rsidTr="0083517C">
        <w:trPr>
          <w:trHeight w:val="32"/>
        </w:trPr>
        <w:tc>
          <w:tcPr>
            <w:tcW w:w="2254" w:type="dxa"/>
            <w:vMerge w:val="restart"/>
            <w:tcBorders>
              <w:top w:val="single" w:sz="4" w:space="0" w:color="auto"/>
              <w:left w:val="single" w:sz="4" w:space="0" w:color="auto"/>
              <w:right w:val="single" w:sz="4" w:space="0" w:color="auto"/>
            </w:tcBorders>
          </w:tcPr>
          <w:p w14:paraId="0EE8C9F7" w14:textId="24676213" w:rsidR="00556A69" w:rsidRPr="001F151E" w:rsidRDefault="00556A69" w:rsidP="00805696">
            <w:pPr>
              <w:pStyle w:val="EcorysBody"/>
              <w:rPr>
                <w:rFonts w:ascii="Arial" w:hAnsi="Arial" w:cs="Arial"/>
                <w:b/>
                <w:bCs/>
                <w:sz w:val="16"/>
                <w:szCs w:val="16"/>
              </w:rPr>
            </w:pPr>
            <w:r w:rsidRPr="001F151E">
              <w:rPr>
                <w:rFonts w:ascii="Arial" w:hAnsi="Arial" w:cs="Arial"/>
                <w:b/>
                <w:bCs/>
                <w:sz w:val="16"/>
                <w:szCs w:val="16"/>
              </w:rPr>
              <w:t xml:space="preserve">Measure 2.4.3  </w:t>
            </w:r>
            <w:r w:rsidR="00475396" w:rsidRPr="001F151E">
              <w:rPr>
                <w:rFonts w:ascii="Arial" w:hAnsi="Arial" w:cs="Arial"/>
                <w:b/>
                <w:bCs/>
                <w:sz w:val="16"/>
                <w:szCs w:val="16"/>
              </w:rPr>
              <w:t xml:space="preserve">Develop and deploy </w:t>
            </w:r>
            <w:r w:rsidRPr="001F151E">
              <w:rPr>
                <w:rFonts w:ascii="Arial" w:hAnsi="Arial" w:cs="Arial"/>
                <w:b/>
                <w:bCs/>
                <w:sz w:val="16"/>
                <w:szCs w:val="16"/>
              </w:rPr>
              <w:t>the new Local Budget Management System (LBMS) for  subnational budget</w:t>
            </w:r>
            <w:r w:rsidR="0045261F" w:rsidRPr="001F151E">
              <w:rPr>
                <w:rFonts w:ascii="Arial" w:hAnsi="Arial" w:cs="Arial"/>
                <w:b/>
                <w:bCs/>
                <w:sz w:val="16"/>
                <w:szCs w:val="16"/>
              </w:rPr>
              <w:t xml:space="preserve"> preparation and monitoring</w:t>
            </w:r>
          </w:p>
        </w:tc>
        <w:tc>
          <w:tcPr>
            <w:tcW w:w="3286" w:type="dxa"/>
            <w:tcBorders>
              <w:top w:val="single" w:sz="4" w:space="0" w:color="auto"/>
              <w:left w:val="single" w:sz="4" w:space="0" w:color="auto"/>
              <w:bottom w:val="single" w:sz="4" w:space="0" w:color="auto"/>
              <w:right w:val="single" w:sz="4" w:space="0" w:color="auto"/>
            </w:tcBorders>
          </w:tcPr>
          <w:p w14:paraId="1398CF51" w14:textId="421B81EB" w:rsidR="00556A69" w:rsidRPr="001F151E" w:rsidRDefault="00556A69" w:rsidP="00B45892">
            <w:pPr>
              <w:pStyle w:val="EcorysBody"/>
              <w:numPr>
                <w:ilvl w:val="0"/>
                <w:numId w:val="78"/>
              </w:numPr>
              <w:rPr>
                <w:rFonts w:ascii="Arial" w:hAnsi="Arial" w:cs="Arial"/>
                <w:sz w:val="16"/>
                <w:szCs w:val="16"/>
              </w:rPr>
            </w:pPr>
            <w:r w:rsidRPr="001F151E">
              <w:rPr>
                <w:rFonts w:ascii="Arial" w:hAnsi="Arial" w:cs="Arial"/>
                <w:sz w:val="16"/>
                <w:szCs w:val="16"/>
              </w:rPr>
              <w:t xml:space="preserve">Prepare a detailed specification document for the Local </w:t>
            </w:r>
            <w:r w:rsidR="00F10798">
              <w:rPr>
                <w:rFonts w:ascii="Arial" w:hAnsi="Arial" w:cs="Arial"/>
                <w:sz w:val="16"/>
                <w:szCs w:val="16"/>
              </w:rPr>
              <w:t>Budget Management S</w:t>
            </w:r>
            <w:r w:rsidRPr="001F151E">
              <w:rPr>
                <w:rFonts w:ascii="Arial" w:hAnsi="Arial" w:cs="Arial"/>
                <w:sz w:val="16"/>
                <w:szCs w:val="16"/>
              </w:rPr>
              <w:t>ystem (LBMS)</w:t>
            </w:r>
            <w:r w:rsidR="00137B8D" w:rsidRPr="001F151E">
              <w:rPr>
                <w:rFonts w:ascii="Arial" w:hAnsi="Arial" w:cs="Arial"/>
                <w:sz w:val="16"/>
                <w:szCs w:val="16"/>
              </w:rPr>
              <w:t>.</w:t>
            </w:r>
          </w:p>
        </w:tc>
        <w:tc>
          <w:tcPr>
            <w:tcW w:w="980" w:type="dxa"/>
            <w:tcBorders>
              <w:top w:val="single" w:sz="4" w:space="0" w:color="auto"/>
              <w:left w:val="single" w:sz="4" w:space="0" w:color="auto"/>
              <w:bottom w:val="single" w:sz="4" w:space="0" w:color="auto"/>
              <w:right w:val="single" w:sz="4" w:space="0" w:color="auto"/>
            </w:tcBorders>
            <w:vAlign w:val="center"/>
          </w:tcPr>
          <w:p w14:paraId="68560DF2" w14:textId="5E4001C9" w:rsidR="00556A69" w:rsidRPr="001F151E" w:rsidRDefault="00556A69" w:rsidP="00A4250E">
            <w:pPr>
              <w:jc w:val="center"/>
              <w:rPr>
                <w:sz w:val="16"/>
                <w:szCs w:val="16"/>
              </w:rPr>
            </w:pPr>
            <w:r w:rsidRPr="001F151E">
              <w:rPr>
                <w:sz w:val="16"/>
                <w:szCs w:val="16"/>
              </w:rPr>
              <w:t>Q4 2023</w:t>
            </w:r>
          </w:p>
        </w:tc>
        <w:tc>
          <w:tcPr>
            <w:tcW w:w="904" w:type="dxa"/>
            <w:tcBorders>
              <w:top w:val="single" w:sz="4" w:space="0" w:color="auto"/>
              <w:left w:val="single" w:sz="4" w:space="0" w:color="auto"/>
              <w:bottom w:val="single" w:sz="4" w:space="0" w:color="auto"/>
              <w:right w:val="single" w:sz="4" w:space="0" w:color="auto"/>
            </w:tcBorders>
            <w:vAlign w:val="center"/>
          </w:tcPr>
          <w:p w14:paraId="4861ED9B" w14:textId="58916FDC" w:rsidR="00556A69" w:rsidRPr="001F151E" w:rsidRDefault="00556A69" w:rsidP="00A4250E">
            <w:pPr>
              <w:jc w:val="center"/>
              <w:rPr>
                <w:sz w:val="16"/>
                <w:szCs w:val="16"/>
              </w:rPr>
            </w:pPr>
            <w:r w:rsidRPr="001F151E">
              <w:rPr>
                <w:sz w:val="16"/>
                <w:szCs w:val="16"/>
              </w:rPr>
              <w:t>Q1 2024</w:t>
            </w:r>
          </w:p>
        </w:tc>
        <w:tc>
          <w:tcPr>
            <w:tcW w:w="1592" w:type="dxa"/>
            <w:vMerge w:val="restart"/>
            <w:tcBorders>
              <w:top w:val="single" w:sz="4" w:space="0" w:color="auto"/>
              <w:left w:val="single" w:sz="4" w:space="0" w:color="auto"/>
              <w:right w:val="single" w:sz="4" w:space="0" w:color="auto"/>
            </w:tcBorders>
          </w:tcPr>
          <w:p w14:paraId="5E7D1DB7" w14:textId="77777777" w:rsidR="00556A69" w:rsidRPr="001F151E" w:rsidRDefault="00556A69" w:rsidP="00D67823">
            <w:pPr>
              <w:rPr>
                <w:b/>
                <w:bCs/>
                <w:sz w:val="16"/>
                <w:szCs w:val="16"/>
              </w:rPr>
            </w:pPr>
            <w:r w:rsidRPr="001F151E">
              <w:rPr>
                <w:b/>
                <w:bCs/>
                <w:sz w:val="16"/>
                <w:szCs w:val="16"/>
              </w:rPr>
              <w:t xml:space="preserve">Responsible entity: </w:t>
            </w:r>
          </w:p>
          <w:p w14:paraId="00E9EAAC" w14:textId="45BF6B86" w:rsidR="00556A69" w:rsidRPr="001F151E" w:rsidRDefault="00556A69" w:rsidP="00D67823">
            <w:pPr>
              <w:pStyle w:val="EcorysBody"/>
              <w:rPr>
                <w:rFonts w:ascii="Arial" w:hAnsi="Arial" w:cs="Arial"/>
                <w:sz w:val="16"/>
                <w:szCs w:val="16"/>
              </w:rPr>
            </w:pPr>
            <w:r w:rsidRPr="001F151E">
              <w:rPr>
                <w:rFonts w:ascii="Arial" w:hAnsi="Arial" w:cs="Arial"/>
                <w:sz w:val="16"/>
                <w:szCs w:val="16"/>
              </w:rPr>
              <w:t>DLF</w:t>
            </w:r>
            <w:r w:rsidR="00FD7286" w:rsidRPr="001F151E">
              <w:rPr>
                <w:rFonts w:ascii="Arial" w:hAnsi="Arial" w:cs="Arial"/>
                <w:sz w:val="16"/>
                <w:szCs w:val="16"/>
              </w:rPr>
              <w:t xml:space="preserve"> (lead)</w:t>
            </w:r>
          </w:p>
          <w:p w14:paraId="28DC7F42" w14:textId="77777777" w:rsidR="00556A69" w:rsidRPr="001F151E" w:rsidRDefault="00556A69" w:rsidP="00D67823">
            <w:pPr>
              <w:pStyle w:val="EcorysBody"/>
              <w:rPr>
                <w:rFonts w:ascii="Arial" w:hAnsi="Arial" w:cs="Arial"/>
                <w:b/>
                <w:bCs/>
                <w:sz w:val="16"/>
                <w:szCs w:val="16"/>
              </w:rPr>
            </w:pPr>
          </w:p>
          <w:p w14:paraId="2E0AD85A" w14:textId="77777777" w:rsidR="00556A69" w:rsidRPr="001F151E" w:rsidRDefault="00556A69" w:rsidP="00D67823">
            <w:pPr>
              <w:pStyle w:val="EcorysBody"/>
              <w:rPr>
                <w:rFonts w:ascii="Arial" w:hAnsi="Arial" w:cs="Arial"/>
                <w:b/>
                <w:bCs/>
                <w:sz w:val="16"/>
                <w:szCs w:val="16"/>
              </w:rPr>
            </w:pPr>
            <w:r w:rsidRPr="001F151E">
              <w:rPr>
                <w:rFonts w:ascii="Arial" w:hAnsi="Arial" w:cs="Arial"/>
                <w:b/>
                <w:bCs/>
                <w:sz w:val="16"/>
                <w:szCs w:val="16"/>
              </w:rPr>
              <w:t>Partners:</w:t>
            </w:r>
          </w:p>
          <w:p w14:paraId="6FE53457" w14:textId="41431668" w:rsidR="00556A69" w:rsidRPr="001F151E" w:rsidRDefault="00556A69" w:rsidP="00D67823">
            <w:pPr>
              <w:spacing w:line="240" w:lineRule="auto"/>
              <w:rPr>
                <w:rFonts w:ascii="Open Sans Light" w:hAnsi="Open Sans Light" w:cs="Open Sans Light"/>
                <w:sz w:val="16"/>
                <w:szCs w:val="16"/>
              </w:rPr>
            </w:pPr>
            <w:r w:rsidRPr="001F151E">
              <w:rPr>
                <w:sz w:val="16"/>
                <w:szCs w:val="16"/>
              </w:rPr>
              <w:t>SECO</w:t>
            </w:r>
          </w:p>
        </w:tc>
      </w:tr>
      <w:tr w:rsidR="00556A69" w:rsidRPr="001F151E" w14:paraId="2058F9F5" w14:textId="77777777" w:rsidTr="0083517C">
        <w:trPr>
          <w:trHeight w:val="32"/>
        </w:trPr>
        <w:tc>
          <w:tcPr>
            <w:tcW w:w="2254" w:type="dxa"/>
            <w:vMerge/>
            <w:tcBorders>
              <w:left w:val="single" w:sz="4" w:space="0" w:color="auto"/>
              <w:right w:val="single" w:sz="4" w:space="0" w:color="auto"/>
            </w:tcBorders>
            <w:vAlign w:val="center"/>
          </w:tcPr>
          <w:p w14:paraId="2ADBC35D" w14:textId="77777777" w:rsidR="00556A69" w:rsidRPr="001F151E" w:rsidRDefault="00556A69" w:rsidP="00805696">
            <w:pPr>
              <w:pStyle w:val="EcorysBody"/>
              <w:rPr>
                <w:rFonts w:ascii="Arial" w:hAnsi="Arial" w:cs="Arial"/>
                <w:b/>
                <w:bCs/>
                <w:sz w:val="16"/>
                <w:szCs w:val="16"/>
              </w:rPr>
            </w:pPr>
          </w:p>
        </w:tc>
        <w:tc>
          <w:tcPr>
            <w:tcW w:w="3286" w:type="dxa"/>
            <w:tcBorders>
              <w:top w:val="single" w:sz="4" w:space="0" w:color="auto"/>
              <w:left w:val="single" w:sz="4" w:space="0" w:color="auto"/>
              <w:bottom w:val="single" w:sz="4" w:space="0" w:color="auto"/>
              <w:right w:val="single" w:sz="4" w:space="0" w:color="auto"/>
            </w:tcBorders>
          </w:tcPr>
          <w:p w14:paraId="4BE2A08D" w14:textId="31E7CEA4" w:rsidR="00556A69" w:rsidRPr="001F151E" w:rsidRDefault="00556A69" w:rsidP="00B45892">
            <w:pPr>
              <w:pStyle w:val="EcorysBody"/>
              <w:numPr>
                <w:ilvl w:val="0"/>
                <w:numId w:val="78"/>
              </w:numPr>
              <w:rPr>
                <w:rFonts w:ascii="Arial" w:hAnsi="Arial" w:cs="Arial"/>
                <w:sz w:val="16"/>
                <w:szCs w:val="16"/>
              </w:rPr>
            </w:pPr>
            <w:r w:rsidRPr="001F151E">
              <w:rPr>
                <w:rFonts w:ascii="Arial" w:hAnsi="Arial" w:cs="Arial"/>
                <w:sz w:val="16"/>
                <w:szCs w:val="16"/>
              </w:rPr>
              <w:t>Develop and test the new LBMS</w:t>
            </w:r>
            <w:r w:rsidR="00137B8D" w:rsidRPr="001F151E">
              <w:rPr>
                <w:rFonts w:ascii="Arial" w:hAnsi="Arial" w:cs="Arial"/>
                <w:sz w:val="16"/>
                <w:szCs w:val="16"/>
              </w:rPr>
              <w:t>.</w:t>
            </w:r>
            <w:r w:rsidRPr="001F151E">
              <w:rPr>
                <w:rFonts w:ascii="Arial" w:hAnsi="Arial" w:cs="Arial"/>
                <w:sz w:val="16"/>
                <w:szCs w:val="16"/>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14:paraId="50360BED" w14:textId="7ED2FF05" w:rsidR="00556A69" w:rsidRPr="001F151E" w:rsidRDefault="00556A69" w:rsidP="00A4250E">
            <w:pPr>
              <w:jc w:val="center"/>
              <w:rPr>
                <w:sz w:val="16"/>
                <w:szCs w:val="16"/>
              </w:rPr>
            </w:pPr>
            <w:r w:rsidRPr="001F151E">
              <w:rPr>
                <w:sz w:val="16"/>
                <w:szCs w:val="16"/>
              </w:rPr>
              <w:t>Q2 2024</w:t>
            </w:r>
          </w:p>
        </w:tc>
        <w:tc>
          <w:tcPr>
            <w:tcW w:w="904" w:type="dxa"/>
            <w:tcBorders>
              <w:top w:val="single" w:sz="4" w:space="0" w:color="auto"/>
              <w:left w:val="single" w:sz="4" w:space="0" w:color="auto"/>
              <w:bottom w:val="single" w:sz="4" w:space="0" w:color="auto"/>
              <w:right w:val="single" w:sz="4" w:space="0" w:color="auto"/>
            </w:tcBorders>
            <w:vAlign w:val="center"/>
          </w:tcPr>
          <w:p w14:paraId="4474609C" w14:textId="7F8E66B0" w:rsidR="00556A69" w:rsidRPr="001F151E" w:rsidRDefault="00556A69" w:rsidP="00A4250E">
            <w:pPr>
              <w:jc w:val="center"/>
              <w:rPr>
                <w:sz w:val="16"/>
                <w:szCs w:val="16"/>
              </w:rPr>
            </w:pPr>
            <w:r w:rsidRPr="001F151E">
              <w:rPr>
                <w:sz w:val="16"/>
                <w:szCs w:val="16"/>
              </w:rPr>
              <w:t>Q1 2025</w:t>
            </w:r>
          </w:p>
        </w:tc>
        <w:tc>
          <w:tcPr>
            <w:tcW w:w="1592" w:type="dxa"/>
            <w:vMerge/>
            <w:tcBorders>
              <w:left w:val="single" w:sz="4" w:space="0" w:color="auto"/>
              <w:right w:val="single" w:sz="4" w:space="0" w:color="auto"/>
            </w:tcBorders>
          </w:tcPr>
          <w:p w14:paraId="3FAB0E86" w14:textId="77777777" w:rsidR="00556A69" w:rsidRPr="001F151E" w:rsidRDefault="00556A69" w:rsidP="00D67823">
            <w:pPr>
              <w:spacing w:line="240" w:lineRule="auto"/>
              <w:rPr>
                <w:rFonts w:ascii="Open Sans Light" w:hAnsi="Open Sans Light" w:cs="Open Sans Light"/>
                <w:sz w:val="16"/>
                <w:szCs w:val="16"/>
              </w:rPr>
            </w:pPr>
          </w:p>
        </w:tc>
      </w:tr>
      <w:tr w:rsidR="00556A69" w:rsidRPr="001F151E" w14:paraId="32DBB388" w14:textId="77777777" w:rsidTr="0083517C">
        <w:trPr>
          <w:trHeight w:val="32"/>
        </w:trPr>
        <w:tc>
          <w:tcPr>
            <w:tcW w:w="2254" w:type="dxa"/>
            <w:vMerge/>
            <w:tcBorders>
              <w:left w:val="single" w:sz="4" w:space="0" w:color="auto"/>
              <w:right w:val="single" w:sz="4" w:space="0" w:color="auto"/>
            </w:tcBorders>
            <w:vAlign w:val="center"/>
          </w:tcPr>
          <w:p w14:paraId="1079E63A" w14:textId="77777777" w:rsidR="00556A69" w:rsidRPr="001F151E" w:rsidRDefault="00556A69" w:rsidP="00805696">
            <w:pPr>
              <w:pStyle w:val="EcorysBody"/>
              <w:rPr>
                <w:rFonts w:ascii="Arial" w:hAnsi="Arial" w:cs="Arial"/>
                <w:b/>
                <w:bCs/>
                <w:sz w:val="16"/>
                <w:szCs w:val="16"/>
              </w:rPr>
            </w:pPr>
          </w:p>
        </w:tc>
        <w:tc>
          <w:tcPr>
            <w:tcW w:w="3286" w:type="dxa"/>
            <w:tcBorders>
              <w:top w:val="single" w:sz="4" w:space="0" w:color="auto"/>
              <w:left w:val="single" w:sz="4" w:space="0" w:color="auto"/>
              <w:bottom w:val="single" w:sz="4" w:space="0" w:color="auto"/>
              <w:right w:val="single" w:sz="4" w:space="0" w:color="auto"/>
            </w:tcBorders>
          </w:tcPr>
          <w:p w14:paraId="2F81F7B8" w14:textId="6B40559A" w:rsidR="00556A69" w:rsidRPr="001F151E" w:rsidRDefault="00556A69" w:rsidP="00B45892">
            <w:pPr>
              <w:pStyle w:val="EcorysBody"/>
              <w:numPr>
                <w:ilvl w:val="0"/>
                <w:numId w:val="78"/>
              </w:numPr>
              <w:rPr>
                <w:rFonts w:ascii="Arial" w:hAnsi="Arial" w:cs="Arial"/>
                <w:sz w:val="16"/>
                <w:szCs w:val="16"/>
              </w:rPr>
            </w:pPr>
            <w:r w:rsidRPr="001F151E">
              <w:rPr>
                <w:rFonts w:ascii="Arial" w:hAnsi="Arial" w:cs="Arial"/>
                <w:sz w:val="16"/>
                <w:szCs w:val="16"/>
              </w:rPr>
              <w:t>Develop and implement capacity building activities for the use of the new LBMS</w:t>
            </w:r>
            <w:r w:rsidR="00137B8D" w:rsidRPr="001F151E">
              <w:rPr>
                <w:rFonts w:ascii="Arial" w:hAnsi="Arial" w:cs="Arial"/>
                <w:sz w:val="16"/>
                <w:szCs w:val="16"/>
              </w:rPr>
              <w:t>.</w:t>
            </w:r>
          </w:p>
        </w:tc>
        <w:tc>
          <w:tcPr>
            <w:tcW w:w="980" w:type="dxa"/>
            <w:tcBorders>
              <w:top w:val="single" w:sz="4" w:space="0" w:color="auto"/>
              <w:left w:val="single" w:sz="4" w:space="0" w:color="auto"/>
              <w:bottom w:val="single" w:sz="4" w:space="0" w:color="auto"/>
              <w:right w:val="single" w:sz="4" w:space="0" w:color="auto"/>
            </w:tcBorders>
            <w:vAlign w:val="center"/>
          </w:tcPr>
          <w:p w14:paraId="28090D9C" w14:textId="30F04185" w:rsidR="00556A69" w:rsidRPr="001F151E" w:rsidRDefault="00556A69" w:rsidP="00A4250E">
            <w:pPr>
              <w:jc w:val="center"/>
              <w:rPr>
                <w:sz w:val="16"/>
                <w:szCs w:val="16"/>
              </w:rPr>
            </w:pPr>
            <w:r w:rsidRPr="001F151E">
              <w:rPr>
                <w:sz w:val="16"/>
                <w:szCs w:val="16"/>
              </w:rPr>
              <w:t>Q1 2024</w:t>
            </w:r>
          </w:p>
        </w:tc>
        <w:tc>
          <w:tcPr>
            <w:tcW w:w="904" w:type="dxa"/>
            <w:tcBorders>
              <w:top w:val="single" w:sz="4" w:space="0" w:color="auto"/>
              <w:left w:val="single" w:sz="4" w:space="0" w:color="auto"/>
              <w:bottom w:val="single" w:sz="4" w:space="0" w:color="auto"/>
              <w:right w:val="single" w:sz="4" w:space="0" w:color="auto"/>
            </w:tcBorders>
            <w:vAlign w:val="center"/>
          </w:tcPr>
          <w:p w14:paraId="7E5BE33F" w14:textId="0C0E4C82" w:rsidR="00556A69" w:rsidRPr="001F151E" w:rsidRDefault="00556A69" w:rsidP="00A4250E">
            <w:pPr>
              <w:jc w:val="center"/>
              <w:rPr>
                <w:sz w:val="16"/>
                <w:szCs w:val="16"/>
              </w:rPr>
            </w:pPr>
            <w:r w:rsidRPr="001F151E">
              <w:rPr>
                <w:sz w:val="16"/>
                <w:szCs w:val="16"/>
              </w:rPr>
              <w:t>Q4 2024</w:t>
            </w:r>
          </w:p>
        </w:tc>
        <w:tc>
          <w:tcPr>
            <w:tcW w:w="1592" w:type="dxa"/>
            <w:vMerge/>
            <w:tcBorders>
              <w:left w:val="single" w:sz="4" w:space="0" w:color="auto"/>
              <w:right w:val="single" w:sz="4" w:space="0" w:color="auto"/>
            </w:tcBorders>
          </w:tcPr>
          <w:p w14:paraId="2629F654" w14:textId="77777777" w:rsidR="00556A69" w:rsidRPr="001F151E" w:rsidRDefault="00556A69" w:rsidP="00D67823">
            <w:pPr>
              <w:spacing w:line="240" w:lineRule="auto"/>
              <w:rPr>
                <w:rFonts w:ascii="Open Sans Light" w:hAnsi="Open Sans Light" w:cs="Open Sans Light"/>
                <w:sz w:val="16"/>
                <w:szCs w:val="16"/>
              </w:rPr>
            </w:pPr>
          </w:p>
        </w:tc>
      </w:tr>
      <w:tr w:rsidR="00556A69" w:rsidRPr="001F151E" w14:paraId="553667D6" w14:textId="77777777" w:rsidTr="0083517C">
        <w:trPr>
          <w:trHeight w:val="32"/>
        </w:trPr>
        <w:tc>
          <w:tcPr>
            <w:tcW w:w="2254" w:type="dxa"/>
            <w:vMerge/>
            <w:tcBorders>
              <w:left w:val="single" w:sz="4" w:space="0" w:color="auto"/>
              <w:right w:val="single" w:sz="4" w:space="0" w:color="auto"/>
            </w:tcBorders>
            <w:vAlign w:val="center"/>
          </w:tcPr>
          <w:p w14:paraId="31833908" w14:textId="77777777" w:rsidR="00556A69" w:rsidRPr="001F151E" w:rsidRDefault="00556A69" w:rsidP="00805696">
            <w:pPr>
              <w:pStyle w:val="EcorysBody"/>
              <w:rPr>
                <w:rFonts w:ascii="Arial" w:hAnsi="Arial" w:cs="Arial"/>
                <w:b/>
                <w:bCs/>
                <w:sz w:val="16"/>
                <w:szCs w:val="16"/>
              </w:rPr>
            </w:pPr>
          </w:p>
        </w:tc>
        <w:tc>
          <w:tcPr>
            <w:tcW w:w="3286" w:type="dxa"/>
            <w:tcBorders>
              <w:top w:val="single" w:sz="4" w:space="0" w:color="auto"/>
              <w:left w:val="single" w:sz="4" w:space="0" w:color="auto"/>
              <w:bottom w:val="single" w:sz="4" w:space="0" w:color="auto"/>
              <w:right w:val="single" w:sz="4" w:space="0" w:color="auto"/>
            </w:tcBorders>
          </w:tcPr>
          <w:p w14:paraId="122FAC78" w14:textId="1E20E1D2" w:rsidR="00556A69" w:rsidRPr="001F151E" w:rsidRDefault="00556A69" w:rsidP="00B45892">
            <w:pPr>
              <w:pStyle w:val="EcorysBody"/>
              <w:numPr>
                <w:ilvl w:val="0"/>
                <w:numId w:val="78"/>
              </w:numPr>
              <w:rPr>
                <w:rFonts w:ascii="Arial" w:hAnsi="Arial" w:cs="Arial"/>
                <w:sz w:val="16"/>
                <w:szCs w:val="16"/>
              </w:rPr>
            </w:pPr>
            <w:r w:rsidRPr="001F151E">
              <w:rPr>
                <w:rFonts w:ascii="Arial" w:hAnsi="Arial" w:cs="Arial"/>
                <w:sz w:val="16"/>
                <w:szCs w:val="16"/>
              </w:rPr>
              <w:t>Full operation of the new LBMS by all LSGU</w:t>
            </w:r>
            <w:r w:rsidR="00137B8D" w:rsidRPr="001F151E">
              <w:rPr>
                <w:rFonts w:ascii="Arial" w:hAnsi="Arial" w:cs="Arial"/>
                <w:sz w:val="16"/>
                <w:szCs w:val="16"/>
              </w:rPr>
              <w:t>.</w:t>
            </w:r>
          </w:p>
        </w:tc>
        <w:tc>
          <w:tcPr>
            <w:tcW w:w="980" w:type="dxa"/>
            <w:tcBorders>
              <w:top w:val="single" w:sz="4" w:space="0" w:color="auto"/>
              <w:left w:val="single" w:sz="4" w:space="0" w:color="auto"/>
              <w:bottom w:val="single" w:sz="4" w:space="0" w:color="auto"/>
              <w:right w:val="single" w:sz="4" w:space="0" w:color="auto"/>
            </w:tcBorders>
            <w:vAlign w:val="center"/>
          </w:tcPr>
          <w:p w14:paraId="49F832C9" w14:textId="762A6B40" w:rsidR="00556A69" w:rsidRPr="001F151E" w:rsidRDefault="00556A69" w:rsidP="00A4250E">
            <w:pPr>
              <w:jc w:val="center"/>
              <w:rPr>
                <w:sz w:val="16"/>
                <w:szCs w:val="16"/>
              </w:rPr>
            </w:pPr>
            <w:r w:rsidRPr="001F151E">
              <w:rPr>
                <w:sz w:val="16"/>
                <w:szCs w:val="16"/>
              </w:rPr>
              <w:t>Q2 2024</w:t>
            </w:r>
          </w:p>
        </w:tc>
        <w:tc>
          <w:tcPr>
            <w:tcW w:w="904" w:type="dxa"/>
            <w:tcBorders>
              <w:top w:val="single" w:sz="4" w:space="0" w:color="auto"/>
              <w:left w:val="single" w:sz="4" w:space="0" w:color="auto"/>
              <w:bottom w:val="single" w:sz="4" w:space="0" w:color="auto"/>
              <w:right w:val="single" w:sz="4" w:space="0" w:color="auto"/>
            </w:tcBorders>
            <w:vAlign w:val="center"/>
          </w:tcPr>
          <w:p w14:paraId="51C135E4" w14:textId="546162AC" w:rsidR="00556A69" w:rsidRPr="001F151E" w:rsidRDefault="00556A69" w:rsidP="00A4250E">
            <w:pPr>
              <w:jc w:val="center"/>
              <w:rPr>
                <w:sz w:val="16"/>
                <w:szCs w:val="16"/>
              </w:rPr>
            </w:pPr>
            <w:r w:rsidRPr="001F151E">
              <w:rPr>
                <w:sz w:val="16"/>
                <w:szCs w:val="16"/>
              </w:rPr>
              <w:t>Q4 2024</w:t>
            </w:r>
          </w:p>
        </w:tc>
        <w:tc>
          <w:tcPr>
            <w:tcW w:w="1592" w:type="dxa"/>
            <w:vMerge/>
            <w:tcBorders>
              <w:left w:val="single" w:sz="4" w:space="0" w:color="auto"/>
              <w:right w:val="single" w:sz="4" w:space="0" w:color="auto"/>
            </w:tcBorders>
          </w:tcPr>
          <w:p w14:paraId="7C3D42BE" w14:textId="77777777" w:rsidR="00556A69" w:rsidRPr="001F151E" w:rsidRDefault="00556A69" w:rsidP="00D67823">
            <w:pPr>
              <w:spacing w:line="240" w:lineRule="auto"/>
              <w:rPr>
                <w:rFonts w:ascii="Open Sans Light" w:hAnsi="Open Sans Light" w:cs="Open Sans Light"/>
                <w:sz w:val="16"/>
                <w:szCs w:val="16"/>
              </w:rPr>
            </w:pPr>
          </w:p>
        </w:tc>
      </w:tr>
      <w:tr w:rsidR="00556A69" w:rsidRPr="001F151E" w14:paraId="04F99458" w14:textId="77777777" w:rsidTr="0083517C">
        <w:trPr>
          <w:trHeight w:val="32"/>
        </w:trPr>
        <w:tc>
          <w:tcPr>
            <w:tcW w:w="2254" w:type="dxa"/>
            <w:vMerge/>
            <w:tcBorders>
              <w:left w:val="single" w:sz="4" w:space="0" w:color="auto"/>
              <w:right w:val="single" w:sz="4" w:space="0" w:color="auto"/>
            </w:tcBorders>
            <w:vAlign w:val="center"/>
          </w:tcPr>
          <w:p w14:paraId="233A5D7A" w14:textId="77777777" w:rsidR="00556A69" w:rsidRPr="001F151E" w:rsidRDefault="00556A69" w:rsidP="00805696">
            <w:pPr>
              <w:pStyle w:val="EcorysBody"/>
              <w:rPr>
                <w:rFonts w:ascii="Arial" w:hAnsi="Arial" w:cs="Arial"/>
                <w:b/>
                <w:bCs/>
                <w:sz w:val="16"/>
                <w:szCs w:val="16"/>
              </w:rPr>
            </w:pPr>
          </w:p>
        </w:tc>
        <w:tc>
          <w:tcPr>
            <w:tcW w:w="3286" w:type="dxa"/>
            <w:tcBorders>
              <w:top w:val="single" w:sz="4" w:space="0" w:color="auto"/>
              <w:left w:val="single" w:sz="4" w:space="0" w:color="auto"/>
              <w:bottom w:val="single" w:sz="4" w:space="0" w:color="auto"/>
              <w:right w:val="single" w:sz="4" w:space="0" w:color="auto"/>
            </w:tcBorders>
          </w:tcPr>
          <w:p w14:paraId="1120D7E8" w14:textId="7A9709F2" w:rsidR="00556A69" w:rsidRPr="001F151E" w:rsidRDefault="00556A69" w:rsidP="00B45892">
            <w:pPr>
              <w:pStyle w:val="EcorysBody"/>
              <w:numPr>
                <w:ilvl w:val="0"/>
                <w:numId w:val="78"/>
              </w:numPr>
              <w:rPr>
                <w:rFonts w:ascii="Arial" w:hAnsi="Arial" w:cs="Arial"/>
                <w:sz w:val="16"/>
                <w:szCs w:val="16"/>
              </w:rPr>
            </w:pPr>
            <w:r w:rsidRPr="001F151E">
              <w:rPr>
                <w:rFonts w:ascii="Arial" w:hAnsi="Arial" w:cs="Arial"/>
                <w:sz w:val="16"/>
                <w:szCs w:val="16"/>
              </w:rPr>
              <w:t>Further plan AFMIS specification and development based on experience with the web-based MTBP software</w:t>
            </w:r>
            <w:r w:rsidR="00137B8D" w:rsidRPr="001F151E">
              <w:rPr>
                <w:rFonts w:ascii="Arial" w:hAnsi="Arial" w:cs="Arial"/>
                <w:sz w:val="16"/>
                <w:szCs w:val="16"/>
              </w:rPr>
              <w:t>.</w:t>
            </w:r>
          </w:p>
        </w:tc>
        <w:tc>
          <w:tcPr>
            <w:tcW w:w="980" w:type="dxa"/>
            <w:tcBorders>
              <w:top w:val="single" w:sz="4" w:space="0" w:color="auto"/>
              <w:left w:val="single" w:sz="4" w:space="0" w:color="auto"/>
              <w:bottom w:val="single" w:sz="4" w:space="0" w:color="auto"/>
              <w:right w:val="single" w:sz="4" w:space="0" w:color="auto"/>
            </w:tcBorders>
            <w:vAlign w:val="center"/>
          </w:tcPr>
          <w:p w14:paraId="340796CE" w14:textId="2DB38967" w:rsidR="00556A69" w:rsidRPr="001F151E" w:rsidRDefault="0083517C" w:rsidP="00A4250E">
            <w:pPr>
              <w:jc w:val="center"/>
              <w:rPr>
                <w:sz w:val="16"/>
                <w:szCs w:val="16"/>
              </w:rPr>
            </w:pPr>
            <w:r>
              <w:rPr>
                <w:sz w:val="16"/>
                <w:szCs w:val="16"/>
              </w:rPr>
              <w:t>Q4</w:t>
            </w:r>
            <w:r w:rsidR="00556A69" w:rsidRPr="001F151E">
              <w:rPr>
                <w:sz w:val="16"/>
                <w:szCs w:val="16"/>
              </w:rPr>
              <w:t xml:space="preserve"> 2024</w:t>
            </w:r>
          </w:p>
        </w:tc>
        <w:tc>
          <w:tcPr>
            <w:tcW w:w="904" w:type="dxa"/>
            <w:tcBorders>
              <w:top w:val="single" w:sz="4" w:space="0" w:color="auto"/>
              <w:left w:val="single" w:sz="4" w:space="0" w:color="auto"/>
              <w:bottom w:val="single" w:sz="4" w:space="0" w:color="auto"/>
              <w:right w:val="single" w:sz="4" w:space="0" w:color="auto"/>
            </w:tcBorders>
            <w:vAlign w:val="center"/>
          </w:tcPr>
          <w:p w14:paraId="2231272B" w14:textId="1188028A" w:rsidR="00556A69" w:rsidRPr="004D182B" w:rsidRDefault="004D182B" w:rsidP="004D182B">
            <w:pPr>
              <w:jc w:val="center"/>
            </w:pPr>
            <w:r w:rsidRPr="004D182B">
              <w:t>&gt;2026</w:t>
            </w:r>
          </w:p>
        </w:tc>
        <w:tc>
          <w:tcPr>
            <w:tcW w:w="1592" w:type="dxa"/>
            <w:vMerge/>
            <w:tcBorders>
              <w:left w:val="single" w:sz="4" w:space="0" w:color="auto"/>
              <w:bottom w:val="single" w:sz="4" w:space="0" w:color="auto"/>
              <w:right w:val="single" w:sz="4" w:space="0" w:color="auto"/>
            </w:tcBorders>
          </w:tcPr>
          <w:p w14:paraId="52B8574A" w14:textId="77777777" w:rsidR="00556A69" w:rsidRPr="001F151E" w:rsidRDefault="00556A69" w:rsidP="00D67823">
            <w:pPr>
              <w:spacing w:line="240" w:lineRule="auto"/>
              <w:rPr>
                <w:rFonts w:ascii="Open Sans Light" w:hAnsi="Open Sans Light" w:cs="Open Sans Light"/>
                <w:sz w:val="16"/>
                <w:szCs w:val="16"/>
              </w:rPr>
            </w:pPr>
          </w:p>
        </w:tc>
      </w:tr>
      <w:tr w:rsidR="00D67823" w:rsidRPr="001F151E" w14:paraId="2FD55EB8" w14:textId="77777777" w:rsidTr="0083517C">
        <w:trPr>
          <w:trHeight w:val="32"/>
        </w:trPr>
        <w:tc>
          <w:tcPr>
            <w:tcW w:w="2254" w:type="dxa"/>
            <w:tcBorders>
              <w:left w:val="single" w:sz="4" w:space="0" w:color="auto"/>
              <w:right w:val="single" w:sz="4" w:space="0" w:color="auto"/>
            </w:tcBorders>
          </w:tcPr>
          <w:p w14:paraId="3DE9AC74" w14:textId="330910E0" w:rsidR="00D67823" w:rsidRPr="001F151E" w:rsidRDefault="00D67823" w:rsidP="00805696">
            <w:pPr>
              <w:pStyle w:val="EcorysBody"/>
              <w:rPr>
                <w:rFonts w:ascii="Arial" w:hAnsi="Arial" w:cs="Arial"/>
                <w:b/>
                <w:bCs/>
                <w:sz w:val="16"/>
                <w:szCs w:val="16"/>
              </w:rPr>
            </w:pPr>
            <w:r w:rsidRPr="001F151E">
              <w:rPr>
                <w:rFonts w:ascii="Arial" w:hAnsi="Arial" w:cs="Arial"/>
                <w:b/>
                <w:bCs/>
                <w:sz w:val="16"/>
                <w:szCs w:val="16"/>
              </w:rPr>
              <w:t>Measure 2.4.4 Improve the level of financial resources from shared taxes</w:t>
            </w:r>
          </w:p>
        </w:tc>
        <w:tc>
          <w:tcPr>
            <w:tcW w:w="3286" w:type="dxa"/>
            <w:tcBorders>
              <w:top w:val="single" w:sz="4" w:space="0" w:color="auto"/>
              <w:left w:val="single" w:sz="4" w:space="0" w:color="auto"/>
              <w:bottom w:val="single" w:sz="4" w:space="0" w:color="auto"/>
              <w:right w:val="single" w:sz="4" w:space="0" w:color="auto"/>
            </w:tcBorders>
          </w:tcPr>
          <w:p w14:paraId="4889B07D" w14:textId="1E074AEC" w:rsidR="00D67823" w:rsidRPr="001F151E" w:rsidRDefault="00D67823" w:rsidP="00B45892">
            <w:pPr>
              <w:pStyle w:val="EcorysBody"/>
              <w:numPr>
                <w:ilvl w:val="0"/>
                <w:numId w:val="80"/>
              </w:numPr>
              <w:rPr>
                <w:rFonts w:ascii="Arial" w:hAnsi="Arial" w:cs="Arial"/>
                <w:sz w:val="16"/>
                <w:szCs w:val="16"/>
              </w:rPr>
            </w:pPr>
            <w:r w:rsidRPr="001F151E">
              <w:rPr>
                <w:rFonts w:ascii="Arial" w:hAnsi="Arial" w:cs="Arial"/>
                <w:sz w:val="16"/>
                <w:szCs w:val="16"/>
              </w:rPr>
              <w:t>Review, adopt and consolidate the methodology for Personal tax sharing with LGUs</w:t>
            </w:r>
            <w:r w:rsidR="00137B8D" w:rsidRPr="001F151E">
              <w:rPr>
                <w:rFonts w:ascii="Arial" w:hAnsi="Arial" w:cs="Arial"/>
                <w:bCs/>
                <w:sz w:val="16"/>
                <w:szCs w:val="16"/>
              </w:rPr>
              <w:t>.</w:t>
            </w:r>
          </w:p>
        </w:tc>
        <w:tc>
          <w:tcPr>
            <w:tcW w:w="980" w:type="dxa"/>
            <w:tcBorders>
              <w:top w:val="single" w:sz="4" w:space="0" w:color="auto"/>
              <w:left w:val="single" w:sz="4" w:space="0" w:color="auto"/>
              <w:bottom w:val="single" w:sz="4" w:space="0" w:color="auto"/>
              <w:right w:val="single" w:sz="4" w:space="0" w:color="auto"/>
            </w:tcBorders>
            <w:vAlign w:val="center"/>
          </w:tcPr>
          <w:p w14:paraId="654476C9" w14:textId="4C55A431" w:rsidR="00D67823" w:rsidRPr="001F151E" w:rsidRDefault="00D67823" w:rsidP="00A4250E">
            <w:pPr>
              <w:jc w:val="center"/>
              <w:rPr>
                <w:sz w:val="16"/>
                <w:szCs w:val="16"/>
              </w:rPr>
            </w:pPr>
            <w:r w:rsidRPr="001F151E">
              <w:rPr>
                <w:sz w:val="16"/>
                <w:szCs w:val="16"/>
              </w:rPr>
              <w:t>Q3 2024</w:t>
            </w:r>
          </w:p>
        </w:tc>
        <w:tc>
          <w:tcPr>
            <w:tcW w:w="904" w:type="dxa"/>
            <w:tcBorders>
              <w:top w:val="single" w:sz="4" w:space="0" w:color="auto"/>
              <w:left w:val="single" w:sz="4" w:space="0" w:color="auto"/>
              <w:bottom w:val="single" w:sz="4" w:space="0" w:color="auto"/>
              <w:right w:val="single" w:sz="4" w:space="0" w:color="auto"/>
            </w:tcBorders>
            <w:vAlign w:val="center"/>
          </w:tcPr>
          <w:p w14:paraId="0E8DF2E3" w14:textId="0C88BEC0" w:rsidR="00D67823" w:rsidRPr="001F151E" w:rsidRDefault="00D67823" w:rsidP="00A4250E">
            <w:pPr>
              <w:jc w:val="center"/>
              <w:rPr>
                <w:sz w:val="16"/>
                <w:szCs w:val="16"/>
              </w:rPr>
            </w:pPr>
            <w:r w:rsidRPr="001F151E">
              <w:rPr>
                <w:sz w:val="16"/>
                <w:szCs w:val="16"/>
              </w:rPr>
              <w:t>Q4 2026</w:t>
            </w:r>
          </w:p>
        </w:tc>
        <w:tc>
          <w:tcPr>
            <w:tcW w:w="1592" w:type="dxa"/>
            <w:tcBorders>
              <w:top w:val="single" w:sz="4" w:space="0" w:color="auto"/>
              <w:left w:val="single" w:sz="4" w:space="0" w:color="auto"/>
              <w:bottom w:val="single" w:sz="4" w:space="0" w:color="auto"/>
              <w:right w:val="single" w:sz="4" w:space="0" w:color="auto"/>
            </w:tcBorders>
          </w:tcPr>
          <w:p w14:paraId="2F2FC0B3" w14:textId="11592E9D" w:rsidR="00D67823" w:rsidRPr="001F151E" w:rsidRDefault="00D67823" w:rsidP="00E85633">
            <w:pPr>
              <w:rPr>
                <w:b/>
                <w:bCs/>
                <w:sz w:val="16"/>
                <w:szCs w:val="16"/>
              </w:rPr>
            </w:pPr>
            <w:r w:rsidRPr="001F151E">
              <w:rPr>
                <w:b/>
                <w:bCs/>
                <w:sz w:val="16"/>
                <w:szCs w:val="16"/>
              </w:rPr>
              <w:t xml:space="preserve">Responsible entity: </w:t>
            </w:r>
            <w:r w:rsidRPr="001F151E">
              <w:rPr>
                <w:sz w:val="16"/>
                <w:szCs w:val="16"/>
              </w:rPr>
              <w:t>DLF</w:t>
            </w:r>
            <w:r w:rsidR="003F0EC0" w:rsidRPr="001F151E">
              <w:rPr>
                <w:sz w:val="16"/>
                <w:szCs w:val="16"/>
              </w:rPr>
              <w:t xml:space="preserve"> (lead)</w:t>
            </w:r>
          </w:p>
          <w:p w14:paraId="56006539" w14:textId="77777777" w:rsidR="00D67823" w:rsidRPr="001F151E" w:rsidRDefault="00D67823" w:rsidP="00D67823">
            <w:pPr>
              <w:pStyle w:val="EcorysBody"/>
              <w:rPr>
                <w:rFonts w:ascii="Arial" w:hAnsi="Arial" w:cs="Arial"/>
                <w:b/>
                <w:bCs/>
                <w:sz w:val="16"/>
                <w:szCs w:val="16"/>
              </w:rPr>
            </w:pPr>
          </w:p>
          <w:p w14:paraId="123A5613" w14:textId="77777777" w:rsidR="003F0EC0" w:rsidRPr="001F151E" w:rsidRDefault="00D67823" w:rsidP="003F0EC0">
            <w:pPr>
              <w:pStyle w:val="EcorysBody"/>
              <w:rPr>
                <w:sz w:val="16"/>
                <w:szCs w:val="16"/>
              </w:rPr>
            </w:pPr>
            <w:r w:rsidRPr="001F151E">
              <w:rPr>
                <w:rFonts w:ascii="Arial" w:hAnsi="Arial" w:cs="Arial"/>
                <w:b/>
                <w:bCs/>
                <w:sz w:val="16"/>
                <w:szCs w:val="16"/>
              </w:rPr>
              <w:t>Partners:</w:t>
            </w:r>
            <w:r w:rsidRPr="001F151E">
              <w:rPr>
                <w:sz w:val="16"/>
                <w:szCs w:val="16"/>
              </w:rPr>
              <w:t xml:space="preserve"> </w:t>
            </w:r>
          </w:p>
          <w:p w14:paraId="76AB9739" w14:textId="6DD7FE0E" w:rsidR="00D67823" w:rsidRPr="001F151E" w:rsidRDefault="00D67823" w:rsidP="003F0EC0">
            <w:pPr>
              <w:spacing w:line="240" w:lineRule="auto"/>
              <w:rPr>
                <w:b/>
                <w:bCs/>
                <w:sz w:val="16"/>
                <w:szCs w:val="16"/>
              </w:rPr>
            </w:pPr>
            <w:r w:rsidRPr="001F151E">
              <w:rPr>
                <w:sz w:val="16"/>
                <w:szCs w:val="16"/>
              </w:rPr>
              <w:t>SECO</w:t>
            </w:r>
          </w:p>
        </w:tc>
      </w:tr>
    </w:tbl>
    <w:p w14:paraId="2B3385DD" w14:textId="77777777" w:rsidR="00D9120D" w:rsidRDefault="00D9120D" w:rsidP="00D9120D">
      <w:pPr>
        <w:rPr>
          <w:lang w:val="en-GB"/>
        </w:rPr>
      </w:pPr>
    </w:p>
    <w:p w14:paraId="07812CD4" w14:textId="77777777" w:rsidR="004D182B" w:rsidRDefault="004D182B" w:rsidP="00D9120D">
      <w:pPr>
        <w:rPr>
          <w:lang w:val="en-GB"/>
        </w:rPr>
      </w:pPr>
    </w:p>
    <w:p w14:paraId="7E0348E1" w14:textId="77777777" w:rsidR="004D182B" w:rsidRDefault="004D182B" w:rsidP="00D9120D">
      <w:pPr>
        <w:rPr>
          <w:lang w:val="en-GB"/>
        </w:rPr>
      </w:pPr>
    </w:p>
    <w:p w14:paraId="72A32694" w14:textId="00B1809F" w:rsidR="00D9120D" w:rsidRPr="001F151E" w:rsidRDefault="00D9120D" w:rsidP="00D9120D">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B24B6D" w:rsidRPr="001F151E" w14:paraId="6C7B1419" w14:textId="77777777" w:rsidTr="002B7FF8">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B6CA52" w14:textId="77777777" w:rsidR="00B24B6D" w:rsidRPr="001F151E" w:rsidRDefault="00B24B6D" w:rsidP="00B24B6D">
            <w:pPr>
              <w:pStyle w:val="T-bold"/>
              <w:spacing w:line="200" w:lineRule="exact"/>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7C8BEC" w14:textId="77777777" w:rsidR="00B24B6D" w:rsidRPr="001F151E" w:rsidRDefault="00B24B6D" w:rsidP="00B24B6D">
            <w:pPr>
              <w:pStyle w:val="T-bold"/>
              <w:spacing w:line="200" w:lineRule="exact"/>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0B84D" w14:textId="12FE03CF" w:rsidR="00B24B6D" w:rsidRPr="001F151E" w:rsidRDefault="00B24B6D" w:rsidP="00B24B6D">
            <w:pPr>
              <w:pStyle w:val="T-bold"/>
              <w:spacing w:line="200" w:lineRule="exact"/>
              <w:jc w:val="center"/>
            </w:pPr>
            <w:r w:rsidRPr="001F151E">
              <w:t xml:space="preserve">Target </w:t>
            </w:r>
            <w:r w:rsidR="00527D59" w:rsidRPr="001F151E">
              <w:t>v</w:t>
            </w:r>
            <w:r w:rsidRPr="001F151E">
              <w:t>alue</w:t>
            </w:r>
          </w:p>
        </w:tc>
      </w:tr>
      <w:tr w:rsidR="00B24B6D" w:rsidRPr="001F151E" w14:paraId="07568DFD" w14:textId="77777777" w:rsidTr="002B7FF8">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8BEF0C7" w14:textId="77777777" w:rsidR="00B24B6D" w:rsidRPr="001F151E" w:rsidRDefault="00B24B6D" w:rsidP="00B24B6D">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027D922" w14:textId="77777777" w:rsidR="00B24B6D" w:rsidRPr="001F151E" w:rsidRDefault="00B24B6D" w:rsidP="00B24B6D">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1DB32" w14:textId="77777777" w:rsidR="00B24B6D" w:rsidRPr="001F151E" w:rsidRDefault="00B24B6D" w:rsidP="00B24B6D">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02F1F1" w14:textId="77777777" w:rsidR="00B24B6D" w:rsidRPr="001F151E" w:rsidRDefault="00B24B6D" w:rsidP="00B24B6D">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08903A" w14:textId="77777777" w:rsidR="00B24B6D" w:rsidRPr="001F151E" w:rsidRDefault="00B24B6D" w:rsidP="00B24B6D">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1EDA4" w14:textId="77777777" w:rsidR="00B24B6D" w:rsidRPr="001F151E" w:rsidRDefault="00B24B6D" w:rsidP="00B24B6D">
            <w:pPr>
              <w:pStyle w:val="T-bold"/>
              <w:spacing w:line="200" w:lineRule="exact"/>
              <w:jc w:val="center"/>
            </w:pPr>
            <w:r w:rsidRPr="001F151E">
              <w:t>2026</w:t>
            </w:r>
          </w:p>
        </w:tc>
      </w:tr>
      <w:tr w:rsidR="00556A69" w:rsidRPr="001F151E" w14:paraId="1D33726B" w14:textId="77777777" w:rsidTr="002B7FF8">
        <w:tc>
          <w:tcPr>
            <w:tcW w:w="3114" w:type="dxa"/>
            <w:tcBorders>
              <w:top w:val="single" w:sz="4" w:space="0" w:color="auto"/>
              <w:left w:val="single" w:sz="4" w:space="0" w:color="auto"/>
              <w:bottom w:val="single" w:sz="4" w:space="0" w:color="auto"/>
              <w:right w:val="single" w:sz="4" w:space="0" w:color="auto"/>
            </w:tcBorders>
            <w:vAlign w:val="center"/>
          </w:tcPr>
          <w:p w14:paraId="1E91DB7C" w14:textId="08D7E653" w:rsidR="00556A69" w:rsidRPr="001F151E" w:rsidRDefault="00556A69" w:rsidP="00B45892">
            <w:pPr>
              <w:pStyle w:val="ListParagraph"/>
              <w:numPr>
                <w:ilvl w:val="0"/>
                <w:numId w:val="42"/>
              </w:numPr>
              <w:spacing w:line="200" w:lineRule="exact"/>
              <w:rPr>
                <w:sz w:val="16"/>
                <w:szCs w:val="16"/>
              </w:rPr>
            </w:pPr>
            <w:r w:rsidRPr="001F151E">
              <w:rPr>
                <w:sz w:val="16"/>
                <w:szCs w:val="16"/>
              </w:rPr>
              <w:t>Grant formula adjusted based on Population Census Data</w:t>
            </w:r>
          </w:p>
        </w:tc>
        <w:tc>
          <w:tcPr>
            <w:tcW w:w="1180" w:type="dxa"/>
            <w:tcBorders>
              <w:top w:val="single" w:sz="4" w:space="0" w:color="auto"/>
              <w:left w:val="single" w:sz="4" w:space="0" w:color="auto"/>
              <w:bottom w:val="single" w:sz="4" w:space="0" w:color="auto"/>
              <w:right w:val="single" w:sz="4" w:space="0" w:color="auto"/>
            </w:tcBorders>
            <w:vAlign w:val="center"/>
          </w:tcPr>
          <w:p w14:paraId="5C9DDCD7" w14:textId="5DABC303" w:rsidR="00556A69" w:rsidRPr="001F151E" w:rsidRDefault="00556A69" w:rsidP="00556A69">
            <w:pPr>
              <w:pStyle w:val="EcorysBody"/>
              <w:spacing w:line="200" w:lineRule="exact"/>
              <w:jc w:val="center"/>
              <w:rPr>
                <w:rFonts w:ascii="Arial" w:hAnsi="Arial" w:cs="Arial"/>
                <w:sz w:val="16"/>
                <w:szCs w:val="16"/>
              </w:rPr>
            </w:pPr>
            <w:r w:rsidRPr="001F151E">
              <w:rPr>
                <w:rFonts w:ascii="Arial" w:hAnsi="Arial" w:cs="Arial"/>
                <w:sz w:val="16"/>
                <w:szCs w:val="16"/>
              </w:rPr>
              <w:t>n/a</w:t>
            </w:r>
          </w:p>
        </w:tc>
        <w:tc>
          <w:tcPr>
            <w:tcW w:w="1181" w:type="dxa"/>
            <w:tcBorders>
              <w:top w:val="single" w:sz="4" w:space="0" w:color="auto"/>
              <w:left w:val="single" w:sz="4" w:space="0" w:color="auto"/>
              <w:bottom w:val="single" w:sz="4" w:space="0" w:color="auto"/>
              <w:right w:val="single" w:sz="4" w:space="0" w:color="auto"/>
            </w:tcBorders>
            <w:vAlign w:val="center"/>
          </w:tcPr>
          <w:p w14:paraId="2F2E182C" w14:textId="21652129" w:rsidR="00556A69" w:rsidRPr="001F151E" w:rsidRDefault="00556A69" w:rsidP="00556A69">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16621153" w14:textId="3FB5D7EB" w:rsidR="00556A69" w:rsidRPr="001F151E" w:rsidRDefault="00556A69" w:rsidP="00556A69">
            <w:pPr>
              <w:pStyle w:val="EcorysBody"/>
              <w:spacing w:line="200" w:lineRule="exact"/>
              <w:jc w:val="center"/>
              <w:rPr>
                <w:rFonts w:ascii="Arial" w:hAnsi="Arial" w:cs="Arial"/>
                <w:sz w:val="16"/>
                <w:szCs w:val="16"/>
              </w:rPr>
            </w:pPr>
            <w:r w:rsidRPr="001F151E">
              <w:rPr>
                <w:rFonts w:ascii="Arial" w:hAnsi="Arial" w:cs="Arial"/>
                <w:sz w:val="16"/>
                <w:szCs w:val="16"/>
              </w:rPr>
              <w:t>Grant formula Adjusted</w:t>
            </w:r>
          </w:p>
        </w:tc>
        <w:tc>
          <w:tcPr>
            <w:tcW w:w="1181" w:type="dxa"/>
            <w:tcBorders>
              <w:top w:val="single" w:sz="4" w:space="0" w:color="auto"/>
              <w:left w:val="single" w:sz="4" w:space="0" w:color="auto"/>
              <w:bottom w:val="single" w:sz="4" w:space="0" w:color="auto"/>
              <w:right w:val="single" w:sz="4" w:space="0" w:color="auto"/>
            </w:tcBorders>
            <w:vAlign w:val="center"/>
          </w:tcPr>
          <w:p w14:paraId="4B3F5F9D" w14:textId="3FFBB337" w:rsidR="00556A69" w:rsidRPr="001F151E" w:rsidRDefault="00556A69" w:rsidP="00556A69">
            <w:pPr>
              <w:pStyle w:val="EcorysBody"/>
              <w:spacing w:line="200" w:lineRule="exact"/>
              <w:jc w:val="center"/>
              <w:rPr>
                <w:rFonts w:ascii="Arial" w:hAnsi="Arial" w:cs="Arial"/>
                <w:sz w:val="16"/>
                <w:szCs w:val="16"/>
              </w:rPr>
            </w:pPr>
            <w:r w:rsidRPr="001F151E">
              <w:rPr>
                <w:rFonts w:ascii="Arial" w:hAnsi="Arial" w:cs="Arial"/>
                <w:sz w:val="16"/>
                <w:szCs w:val="16"/>
              </w:rPr>
              <w:t>Grant formula applied to all LGU-s</w:t>
            </w:r>
          </w:p>
        </w:tc>
        <w:tc>
          <w:tcPr>
            <w:tcW w:w="1181" w:type="dxa"/>
            <w:tcBorders>
              <w:top w:val="single" w:sz="4" w:space="0" w:color="auto"/>
              <w:left w:val="single" w:sz="4" w:space="0" w:color="auto"/>
              <w:bottom w:val="single" w:sz="4" w:space="0" w:color="auto"/>
              <w:right w:val="single" w:sz="4" w:space="0" w:color="auto"/>
            </w:tcBorders>
            <w:vAlign w:val="center"/>
          </w:tcPr>
          <w:p w14:paraId="5943E84B" w14:textId="3617221E" w:rsidR="00556A69" w:rsidRPr="001F151E" w:rsidRDefault="00556A69" w:rsidP="00556A69">
            <w:pPr>
              <w:pStyle w:val="EcorysBody"/>
              <w:spacing w:line="200" w:lineRule="exact"/>
              <w:jc w:val="center"/>
              <w:rPr>
                <w:rFonts w:ascii="Arial" w:hAnsi="Arial" w:cs="Arial"/>
                <w:sz w:val="16"/>
                <w:szCs w:val="16"/>
              </w:rPr>
            </w:pPr>
            <w:r w:rsidRPr="001F151E">
              <w:rPr>
                <w:rFonts w:ascii="Arial" w:hAnsi="Arial" w:cs="Arial"/>
                <w:sz w:val="16"/>
                <w:szCs w:val="16"/>
              </w:rPr>
              <w:t>Grant formula applied to all LGU-s</w:t>
            </w:r>
          </w:p>
        </w:tc>
      </w:tr>
      <w:tr w:rsidR="00B24B6D" w:rsidRPr="001F151E" w14:paraId="504B0A5F" w14:textId="77777777" w:rsidTr="002B7FF8">
        <w:trPr>
          <w:trHeight w:val="21"/>
        </w:trPr>
        <w:tc>
          <w:tcPr>
            <w:tcW w:w="3114" w:type="dxa"/>
            <w:tcBorders>
              <w:top w:val="single" w:sz="4" w:space="0" w:color="auto"/>
              <w:left w:val="single" w:sz="4" w:space="0" w:color="auto"/>
              <w:bottom w:val="single" w:sz="4" w:space="0" w:color="auto"/>
              <w:right w:val="single" w:sz="4" w:space="0" w:color="auto"/>
            </w:tcBorders>
            <w:vAlign w:val="center"/>
          </w:tcPr>
          <w:p w14:paraId="59B93F4C" w14:textId="64DC4559" w:rsidR="00B24B6D" w:rsidRPr="001F151E" w:rsidRDefault="00B24B6D" w:rsidP="00B45892">
            <w:pPr>
              <w:pStyle w:val="ListParagraph"/>
              <w:numPr>
                <w:ilvl w:val="0"/>
                <w:numId w:val="42"/>
              </w:numPr>
              <w:spacing w:line="200" w:lineRule="exact"/>
              <w:rPr>
                <w:sz w:val="16"/>
                <w:szCs w:val="16"/>
              </w:rPr>
            </w:pPr>
            <w:r w:rsidRPr="001F151E">
              <w:rPr>
                <w:sz w:val="16"/>
                <w:szCs w:val="16"/>
              </w:rPr>
              <w:t>Additional performance-based grant scheme (PBGS) introduced</w:t>
            </w:r>
          </w:p>
        </w:tc>
        <w:tc>
          <w:tcPr>
            <w:tcW w:w="1180" w:type="dxa"/>
            <w:tcBorders>
              <w:top w:val="single" w:sz="4" w:space="0" w:color="auto"/>
              <w:left w:val="single" w:sz="4" w:space="0" w:color="auto"/>
              <w:bottom w:val="single" w:sz="4" w:space="0" w:color="auto"/>
              <w:right w:val="single" w:sz="4" w:space="0" w:color="auto"/>
            </w:tcBorders>
            <w:vAlign w:val="center"/>
          </w:tcPr>
          <w:p w14:paraId="32BE2AF1" w14:textId="715D54CD"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n/a</w:t>
            </w:r>
          </w:p>
        </w:tc>
        <w:tc>
          <w:tcPr>
            <w:tcW w:w="1181" w:type="dxa"/>
            <w:tcBorders>
              <w:top w:val="single" w:sz="4" w:space="0" w:color="auto"/>
              <w:left w:val="single" w:sz="4" w:space="0" w:color="auto"/>
              <w:bottom w:val="single" w:sz="4" w:space="0" w:color="auto"/>
              <w:right w:val="single" w:sz="4" w:space="0" w:color="auto"/>
            </w:tcBorders>
            <w:vAlign w:val="center"/>
          </w:tcPr>
          <w:p w14:paraId="44821B58" w14:textId="248B24C6"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4E5FD6DC" w14:textId="090E93C7"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PBGS designed</w:t>
            </w:r>
          </w:p>
        </w:tc>
        <w:tc>
          <w:tcPr>
            <w:tcW w:w="1181" w:type="dxa"/>
            <w:tcBorders>
              <w:top w:val="single" w:sz="4" w:space="0" w:color="auto"/>
              <w:left w:val="single" w:sz="4" w:space="0" w:color="auto"/>
              <w:bottom w:val="single" w:sz="4" w:space="0" w:color="auto"/>
              <w:right w:val="single" w:sz="4" w:space="0" w:color="auto"/>
            </w:tcBorders>
            <w:vAlign w:val="center"/>
          </w:tcPr>
          <w:p w14:paraId="0F47F696" w14:textId="77777777" w:rsidR="00B24B6D" w:rsidRPr="001F151E" w:rsidRDefault="00B24B6D" w:rsidP="00B24B6D">
            <w:pPr>
              <w:pStyle w:val="EcorysBody"/>
              <w:jc w:val="center"/>
              <w:rPr>
                <w:rFonts w:ascii="Arial" w:hAnsi="Arial" w:cs="Arial"/>
                <w:sz w:val="16"/>
                <w:szCs w:val="16"/>
              </w:rPr>
            </w:pPr>
            <w:r w:rsidRPr="001F151E">
              <w:rPr>
                <w:rFonts w:ascii="Arial" w:hAnsi="Arial" w:cs="Arial"/>
                <w:sz w:val="16"/>
                <w:szCs w:val="16"/>
              </w:rPr>
              <w:t xml:space="preserve">PBGS </w:t>
            </w:r>
          </w:p>
          <w:p w14:paraId="4DC2923C" w14:textId="56CBA24C"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piloted</w:t>
            </w:r>
          </w:p>
        </w:tc>
        <w:tc>
          <w:tcPr>
            <w:tcW w:w="1181" w:type="dxa"/>
            <w:tcBorders>
              <w:top w:val="single" w:sz="4" w:space="0" w:color="auto"/>
              <w:left w:val="single" w:sz="4" w:space="0" w:color="auto"/>
              <w:bottom w:val="single" w:sz="4" w:space="0" w:color="auto"/>
              <w:right w:val="single" w:sz="4" w:space="0" w:color="auto"/>
            </w:tcBorders>
            <w:vAlign w:val="center"/>
          </w:tcPr>
          <w:p w14:paraId="5D1E143A" w14:textId="77777777" w:rsidR="00B24B6D" w:rsidRPr="001F151E" w:rsidRDefault="00B24B6D" w:rsidP="00B24B6D">
            <w:pPr>
              <w:pStyle w:val="EcorysBody"/>
              <w:jc w:val="center"/>
              <w:rPr>
                <w:rFonts w:ascii="Arial" w:hAnsi="Arial" w:cs="Arial"/>
                <w:sz w:val="16"/>
                <w:szCs w:val="16"/>
              </w:rPr>
            </w:pPr>
            <w:r w:rsidRPr="001F151E">
              <w:rPr>
                <w:rFonts w:ascii="Arial" w:hAnsi="Arial" w:cs="Arial"/>
                <w:sz w:val="16"/>
                <w:szCs w:val="16"/>
              </w:rPr>
              <w:t xml:space="preserve">PBGS </w:t>
            </w:r>
          </w:p>
          <w:p w14:paraId="3C70D93F" w14:textId="65FACE02"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piloted</w:t>
            </w:r>
          </w:p>
        </w:tc>
      </w:tr>
      <w:tr w:rsidR="00B24B6D" w:rsidRPr="001F151E" w14:paraId="3570AA95" w14:textId="77777777" w:rsidTr="002B7FF8">
        <w:tc>
          <w:tcPr>
            <w:tcW w:w="3114" w:type="dxa"/>
            <w:tcBorders>
              <w:top w:val="single" w:sz="4" w:space="0" w:color="auto"/>
              <w:left w:val="single" w:sz="4" w:space="0" w:color="auto"/>
              <w:bottom w:val="single" w:sz="4" w:space="0" w:color="auto"/>
              <w:right w:val="single" w:sz="4" w:space="0" w:color="auto"/>
            </w:tcBorders>
            <w:vAlign w:val="center"/>
          </w:tcPr>
          <w:p w14:paraId="69D9B919" w14:textId="75FC6429" w:rsidR="00B24B6D" w:rsidRPr="001F151E" w:rsidRDefault="00B24B6D" w:rsidP="00B45892">
            <w:pPr>
              <w:pStyle w:val="ListParagraph"/>
              <w:numPr>
                <w:ilvl w:val="0"/>
                <w:numId w:val="42"/>
              </w:numPr>
              <w:spacing w:line="200" w:lineRule="exact"/>
              <w:rPr>
                <w:sz w:val="16"/>
                <w:szCs w:val="16"/>
              </w:rPr>
            </w:pPr>
            <w:r w:rsidRPr="001F151E">
              <w:rPr>
                <w:sz w:val="16"/>
                <w:szCs w:val="16"/>
              </w:rPr>
              <w:lastRenderedPageBreak/>
              <w:t>PEFA Performance Indicator 7</w:t>
            </w:r>
            <w:r w:rsidR="0043003F" w:rsidRPr="001F151E">
              <w:rPr>
                <w:sz w:val="16"/>
                <w:szCs w:val="16"/>
              </w:rPr>
              <w:t>:</w:t>
            </w:r>
            <w:r w:rsidRPr="001F151E">
              <w:rPr>
                <w:sz w:val="16"/>
                <w:szCs w:val="16"/>
              </w:rPr>
              <w:t xml:space="preserve"> Transfers to subnational governments</w:t>
            </w:r>
          </w:p>
        </w:tc>
        <w:tc>
          <w:tcPr>
            <w:tcW w:w="1180" w:type="dxa"/>
            <w:tcBorders>
              <w:top w:val="single" w:sz="4" w:space="0" w:color="auto"/>
              <w:left w:val="single" w:sz="4" w:space="0" w:color="auto"/>
              <w:bottom w:val="single" w:sz="4" w:space="0" w:color="auto"/>
              <w:right w:val="single" w:sz="4" w:space="0" w:color="auto"/>
            </w:tcBorders>
            <w:vAlign w:val="center"/>
          </w:tcPr>
          <w:p w14:paraId="609EE512" w14:textId="540D1020"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C+ (2017)</w:t>
            </w:r>
          </w:p>
        </w:tc>
        <w:tc>
          <w:tcPr>
            <w:tcW w:w="1181" w:type="dxa"/>
            <w:tcBorders>
              <w:top w:val="single" w:sz="4" w:space="0" w:color="auto"/>
              <w:left w:val="single" w:sz="4" w:space="0" w:color="auto"/>
              <w:bottom w:val="single" w:sz="4" w:space="0" w:color="auto"/>
              <w:right w:val="single" w:sz="4" w:space="0" w:color="auto"/>
            </w:tcBorders>
            <w:vAlign w:val="center"/>
          </w:tcPr>
          <w:p w14:paraId="4AC6E072" w14:textId="14308BB9"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4A9D4763" w14:textId="256CE17F"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0EC86FDE" w14:textId="689FEFA9" w:rsidR="00B24B6D" w:rsidRPr="001F151E" w:rsidRDefault="003C0D87" w:rsidP="00B24B6D">
            <w:pPr>
              <w:pStyle w:val="EcorysBody"/>
              <w:spacing w:line="200" w:lineRule="exact"/>
              <w:jc w:val="center"/>
              <w:rPr>
                <w:rFonts w:ascii="Arial" w:hAnsi="Arial" w:cs="Arial"/>
                <w:sz w:val="16"/>
                <w:szCs w:val="16"/>
              </w:rPr>
            </w:pPr>
            <w:r>
              <w:rPr>
                <w:rFonts w:ascii="Arial" w:hAnsi="Arial" w:cs="Arial"/>
                <w:sz w:val="16"/>
                <w:szCs w:val="16"/>
              </w:rPr>
              <w:t>B</w:t>
            </w:r>
          </w:p>
        </w:tc>
        <w:tc>
          <w:tcPr>
            <w:tcW w:w="1181" w:type="dxa"/>
            <w:tcBorders>
              <w:top w:val="single" w:sz="4" w:space="0" w:color="auto"/>
              <w:left w:val="single" w:sz="4" w:space="0" w:color="auto"/>
              <w:bottom w:val="single" w:sz="4" w:space="0" w:color="auto"/>
              <w:right w:val="single" w:sz="4" w:space="0" w:color="auto"/>
            </w:tcBorders>
            <w:vAlign w:val="center"/>
          </w:tcPr>
          <w:p w14:paraId="3A785564" w14:textId="2EC9F6E6" w:rsidR="00B24B6D" w:rsidRPr="001F151E" w:rsidRDefault="003C0D87" w:rsidP="00B24B6D">
            <w:pPr>
              <w:pStyle w:val="EcorysBody"/>
              <w:spacing w:line="200" w:lineRule="exact"/>
              <w:jc w:val="center"/>
              <w:rPr>
                <w:rFonts w:ascii="Arial" w:hAnsi="Arial" w:cs="Arial"/>
                <w:sz w:val="16"/>
                <w:szCs w:val="16"/>
              </w:rPr>
            </w:pPr>
            <w:r>
              <w:rPr>
                <w:rFonts w:ascii="Arial" w:hAnsi="Arial" w:cs="Arial"/>
                <w:sz w:val="16"/>
                <w:szCs w:val="16"/>
              </w:rPr>
              <w:t>B</w:t>
            </w:r>
          </w:p>
        </w:tc>
      </w:tr>
      <w:tr w:rsidR="00B24B6D" w:rsidRPr="001F151E" w14:paraId="6C1EA0E0" w14:textId="77777777" w:rsidTr="002B7FF8">
        <w:tc>
          <w:tcPr>
            <w:tcW w:w="3114" w:type="dxa"/>
            <w:tcBorders>
              <w:top w:val="single" w:sz="4" w:space="0" w:color="auto"/>
              <w:left w:val="single" w:sz="4" w:space="0" w:color="auto"/>
              <w:bottom w:val="single" w:sz="4" w:space="0" w:color="auto"/>
              <w:right w:val="single" w:sz="4" w:space="0" w:color="auto"/>
            </w:tcBorders>
            <w:vAlign w:val="center"/>
          </w:tcPr>
          <w:p w14:paraId="0E609532" w14:textId="3084AA46" w:rsidR="00B24B6D" w:rsidRPr="001F151E" w:rsidRDefault="0043003F" w:rsidP="00B45892">
            <w:pPr>
              <w:pStyle w:val="ListParagraph"/>
              <w:numPr>
                <w:ilvl w:val="0"/>
                <w:numId w:val="42"/>
              </w:numPr>
              <w:spacing w:line="200" w:lineRule="exact"/>
              <w:rPr>
                <w:sz w:val="16"/>
                <w:szCs w:val="16"/>
              </w:rPr>
            </w:pPr>
            <w:r w:rsidRPr="001F151E">
              <w:rPr>
                <w:sz w:val="16"/>
                <w:szCs w:val="16"/>
              </w:rPr>
              <w:t xml:space="preserve">Percentage of municipalities using new </w:t>
            </w:r>
            <w:r w:rsidR="0045261F" w:rsidRPr="001F151E">
              <w:rPr>
                <w:sz w:val="16"/>
                <w:szCs w:val="16"/>
              </w:rPr>
              <w:t>LBMS</w:t>
            </w:r>
            <w:r w:rsidRPr="001F151E">
              <w:rPr>
                <w:sz w:val="16"/>
                <w:szCs w:val="16"/>
              </w:rPr>
              <w:t xml:space="preserve"> software</w:t>
            </w:r>
            <w:r w:rsidRPr="001F151E">
              <w:rPr>
                <w:rStyle w:val="FootnoteReference"/>
                <w:sz w:val="16"/>
                <w:szCs w:val="16"/>
              </w:rPr>
              <w:footnoteReference w:id="32"/>
            </w:r>
          </w:p>
        </w:tc>
        <w:tc>
          <w:tcPr>
            <w:tcW w:w="1180" w:type="dxa"/>
            <w:tcBorders>
              <w:top w:val="single" w:sz="4" w:space="0" w:color="auto"/>
              <w:left w:val="single" w:sz="4" w:space="0" w:color="auto"/>
              <w:bottom w:val="single" w:sz="4" w:space="0" w:color="auto"/>
              <w:right w:val="single" w:sz="4" w:space="0" w:color="auto"/>
            </w:tcBorders>
            <w:vAlign w:val="center"/>
          </w:tcPr>
          <w:p w14:paraId="2A484F32" w14:textId="1C00BDE2" w:rsidR="00B24B6D" w:rsidRPr="001F151E" w:rsidRDefault="0043003F"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3312F533" w14:textId="61C6A04E" w:rsidR="00B24B6D" w:rsidRPr="001F151E" w:rsidRDefault="0043003F"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79557CAA" w14:textId="6C84FCF2" w:rsidR="00B24B6D" w:rsidRPr="001F151E" w:rsidRDefault="00556A69" w:rsidP="00B24B6D">
            <w:pPr>
              <w:pStyle w:val="EcorysBody"/>
              <w:spacing w:line="200" w:lineRule="exact"/>
              <w:jc w:val="center"/>
              <w:rPr>
                <w:rFonts w:ascii="Arial" w:hAnsi="Arial" w:cs="Arial"/>
                <w:sz w:val="16"/>
                <w:szCs w:val="16"/>
              </w:rPr>
            </w:pPr>
            <w:r w:rsidRPr="001F151E">
              <w:rPr>
                <w:rFonts w:ascii="Arial" w:hAnsi="Arial" w:cs="Arial"/>
                <w:sz w:val="16"/>
                <w:szCs w:val="16"/>
              </w:rPr>
              <w:t>30%</w:t>
            </w:r>
          </w:p>
        </w:tc>
        <w:tc>
          <w:tcPr>
            <w:tcW w:w="1181" w:type="dxa"/>
            <w:tcBorders>
              <w:top w:val="single" w:sz="4" w:space="0" w:color="auto"/>
              <w:left w:val="single" w:sz="4" w:space="0" w:color="auto"/>
              <w:bottom w:val="single" w:sz="4" w:space="0" w:color="auto"/>
              <w:right w:val="single" w:sz="4" w:space="0" w:color="auto"/>
            </w:tcBorders>
            <w:vAlign w:val="center"/>
          </w:tcPr>
          <w:p w14:paraId="5F9C8F79" w14:textId="75D343E2" w:rsidR="00B24B6D" w:rsidRPr="001F151E" w:rsidRDefault="0014405E" w:rsidP="00B24B6D">
            <w:pPr>
              <w:pStyle w:val="EcorysBody"/>
              <w:spacing w:line="200" w:lineRule="exact"/>
              <w:jc w:val="center"/>
              <w:rPr>
                <w:rFonts w:ascii="Arial" w:hAnsi="Arial" w:cs="Arial"/>
                <w:sz w:val="16"/>
                <w:szCs w:val="16"/>
              </w:rPr>
            </w:pPr>
            <w:r>
              <w:rPr>
                <w:rFonts w:ascii="Arial" w:hAnsi="Arial" w:cs="Arial"/>
                <w:sz w:val="16"/>
                <w:szCs w:val="16"/>
              </w:rPr>
              <w:t>10</w:t>
            </w:r>
            <w:r w:rsidR="0043003F" w:rsidRPr="001F151E">
              <w:rPr>
                <w:rFonts w:ascii="Arial" w:hAnsi="Arial" w:cs="Arial"/>
                <w:sz w:val="16"/>
                <w:szCs w:val="16"/>
              </w:rPr>
              <w:t>0%</w:t>
            </w:r>
          </w:p>
        </w:tc>
        <w:tc>
          <w:tcPr>
            <w:tcW w:w="1181" w:type="dxa"/>
            <w:tcBorders>
              <w:top w:val="single" w:sz="4" w:space="0" w:color="auto"/>
              <w:left w:val="single" w:sz="4" w:space="0" w:color="auto"/>
              <w:bottom w:val="single" w:sz="4" w:space="0" w:color="auto"/>
              <w:right w:val="single" w:sz="4" w:space="0" w:color="auto"/>
            </w:tcBorders>
            <w:vAlign w:val="center"/>
          </w:tcPr>
          <w:p w14:paraId="14390FC4" w14:textId="1D0D920D" w:rsidR="00B24B6D" w:rsidRPr="001F151E" w:rsidRDefault="0043003F" w:rsidP="00B24B6D">
            <w:pPr>
              <w:pStyle w:val="EcorysBody"/>
              <w:spacing w:line="200" w:lineRule="exact"/>
              <w:jc w:val="center"/>
              <w:rPr>
                <w:rFonts w:ascii="Arial" w:hAnsi="Arial" w:cs="Arial"/>
                <w:sz w:val="16"/>
                <w:szCs w:val="16"/>
              </w:rPr>
            </w:pPr>
            <w:r w:rsidRPr="001F151E">
              <w:rPr>
                <w:rFonts w:ascii="Arial" w:hAnsi="Arial" w:cs="Arial"/>
                <w:sz w:val="16"/>
                <w:szCs w:val="16"/>
              </w:rPr>
              <w:t>100%</w:t>
            </w:r>
          </w:p>
        </w:tc>
      </w:tr>
      <w:tr w:rsidR="00B24B6D" w:rsidRPr="001F151E" w14:paraId="50626E84" w14:textId="77777777" w:rsidTr="002B7FF8">
        <w:tc>
          <w:tcPr>
            <w:tcW w:w="3114" w:type="dxa"/>
            <w:tcBorders>
              <w:top w:val="single" w:sz="4" w:space="0" w:color="auto"/>
              <w:left w:val="single" w:sz="4" w:space="0" w:color="auto"/>
              <w:bottom w:val="single" w:sz="4" w:space="0" w:color="auto"/>
              <w:right w:val="single" w:sz="4" w:space="0" w:color="auto"/>
            </w:tcBorders>
            <w:vAlign w:val="center"/>
          </w:tcPr>
          <w:p w14:paraId="16F3240B" w14:textId="7B2E3EE4" w:rsidR="00B24B6D" w:rsidRPr="001F151E" w:rsidRDefault="0043003F" w:rsidP="00B45892">
            <w:pPr>
              <w:pStyle w:val="ListParagraph"/>
              <w:numPr>
                <w:ilvl w:val="0"/>
                <w:numId w:val="42"/>
              </w:numPr>
              <w:spacing w:line="200" w:lineRule="exact"/>
              <w:rPr>
                <w:sz w:val="16"/>
                <w:szCs w:val="16"/>
              </w:rPr>
            </w:pPr>
            <w:r w:rsidRPr="001F151E">
              <w:rPr>
                <w:sz w:val="16"/>
                <w:szCs w:val="16"/>
              </w:rPr>
              <w:t>Percentage of municipalities that publish performance plans for service delivery</w:t>
            </w:r>
            <w:r w:rsidR="009545F8" w:rsidRPr="001F151E">
              <w:rPr>
                <w:rStyle w:val="FootnoteReference"/>
                <w:sz w:val="16"/>
                <w:szCs w:val="16"/>
              </w:rPr>
              <w:footnoteReference w:id="33"/>
            </w:r>
          </w:p>
        </w:tc>
        <w:tc>
          <w:tcPr>
            <w:tcW w:w="1180" w:type="dxa"/>
            <w:tcBorders>
              <w:top w:val="single" w:sz="4" w:space="0" w:color="auto"/>
              <w:left w:val="single" w:sz="4" w:space="0" w:color="auto"/>
              <w:bottom w:val="single" w:sz="4" w:space="0" w:color="auto"/>
              <w:right w:val="single" w:sz="4" w:space="0" w:color="auto"/>
            </w:tcBorders>
            <w:vAlign w:val="center"/>
          </w:tcPr>
          <w:p w14:paraId="08BA8288" w14:textId="6346E32B" w:rsidR="00B24B6D" w:rsidRPr="001F151E" w:rsidRDefault="009545F8"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762E4849" w14:textId="209B0226" w:rsidR="00B24B6D" w:rsidRPr="001F151E" w:rsidRDefault="009545F8"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68981127" w14:textId="75AE3C0D" w:rsidR="00B24B6D" w:rsidRPr="001F151E" w:rsidRDefault="009545F8"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2CD6F018" w14:textId="7A2A5DA3" w:rsidR="00B24B6D" w:rsidRPr="001F151E" w:rsidRDefault="0043003F" w:rsidP="00B24B6D">
            <w:pPr>
              <w:pStyle w:val="EcorysBody"/>
              <w:spacing w:line="200" w:lineRule="exact"/>
              <w:jc w:val="center"/>
              <w:rPr>
                <w:rFonts w:ascii="Arial" w:hAnsi="Arial" w:cs="Arial"/>
                <w:sz w:val="16"/>
                <w:szCs w:val="16"/>
              </w:rPr>
            </w:pPr>
            <w:r w:rsidRPr="001F151E">
              <w:rPr>
                <w:rFonts w:ascii="Arial" w:hAnsi="Arial" w:cs="Arial"/>
                <w:sz w:val="16"/>
                <w:szCs w:val="16"/>
              </w:rPr>
              <w:t>50%</w:t>
            </w:r>
          </w:p>
        </w:tc>
        <w:tc>
          <w:tcPr>
            <w:tcW w:w="1181" w:type="dxa"/>
            <w:tcBorders>
              <w:top w:val="single" w:sz="4" w:space="0" w:color="auto"/>
              <w:left w:val="single" w:sz="4" w:space="0" w:color="auto"/>
              <w:bottom w:val="single" w:sz="4" w:space="0" w:color="auto"/>
              <w:right w:val="single" w:sz="4" w:space="0" w:color="auto"/>
            </w:tcBorders>
            <w:vAlign w:val="center"/>
          </w:tcPr>
          <w:p w14:paraId="4CC583E9" w14:textId="44E8AEA0" w:rsidR="00B24B6D" w:rsidRPr="001F151E" w:rsidRDefault="00556A69" w:rsidP="00B24B6D">
            <w:pPr>
              <w:pStyle w:val="EcorysBody"/>
              <w:spacing w:line="200" w:lineRule="exact"/>
              <w:jc w:val="center"/>
              <w:rPr>
                <w:rFonts w:ascii="Arial" w:hAnsi="Arial" w:cs="Arial"/>
                <w:sz w:val="16"/>
                <w:szCs w:val="16"/>
              </w:rPr>
            </w:pPr>
            <w:r w:rsidRPr="001F151E">
              <w:rPr>
                <w:rFonts w:ascii="Arial" w:hAnsi="Arial" w:cs="Arial"/>
                <w:sz w:val="16"/>
                <w:szCs w:val="16"/>
              </w:rPr>
              <w:t>70%</w:t>
            </w:r>
          </w:p>
        </w:tc>
      </w:tr>
      <w:tr w:rsidR="0043003F" w:rsidRPr="001F151E" w14:paraId="4E549D75" w14:textId="77777777" w:rsidTr="002B7FF8">
        <w:tc>
          <w:tcPr>
            <w:tcW w:w="3114" w:type="dxa"/>
            <w:tcBorders>
              <w:top w:val="single" w:sz="4" w:space="0" w:color="auto"/>
              <w:left w:val="single" w:sz="4" w:space="0" w:color="auto"/>
              <w:bottom w:val="single" w:sz="4" w:space="0" w:color="auto"/>
              <w:right w:val="single" w:sz="4" w:space="0" w:color="auto"/>
            </w:tcBorders>
            <w:vAlign w:val="center"/>
          </w:tcPr>
          <w:p w14:paraId="5DC1BAED" w14:textId="3C28C4C5" w:rsidR="0043003F" w:rsidRPr="001F151E" w:rsidRDefault="009545F8" w:rsidP="00B45892">
            <w:pPr>
              <w:pStyle w:val="ListParagraph"/>
              <w:numPr>
                <w:ilvl w:val="0"/>
                <w:numId w:val="42"/>
              </w:numPr>
              <w:spacing w:line="200" w:lineRule="exact"/>
              <w:rPr>
                <w:sz w:val="16"/>
                <w:szCs w:val="16"/>
              </w:rPr>
            </w:pPr>
            <w:r w:rsidRPr="001F151E">
              <w:rPr>
                <w:sz w:val="16"/>
                <w:szCs w:val="16"/>
              </w:rPr>
              <w:t>Percentage of municipalities that publish information on performance achieved for service delivery.</w:t>
            </w:r>
            <w:r w:rsidRPr="001F151E">
              <w:rPr>
                <w:rStyle w:val="FootnoteReference"/>
                <w:sz w:val="16"/>
                <w:szCs w:val="16"/>
              </w:rPr>
              <w:footnoteReference w:id="34"/>
            </w:r>
          </w:p>
        </w:tc>
        <w:tc>
          <w:tcPr>
            <w:tcW w:w="1180" w:type="dxa"/>
            <w:tcBorders>
              <w:top w:val="single" w:sz="4" w:space="0" w:color="auto"/>
              <w:left w:val="single" w:sz="4" w:space="0" w:color="auto"/>
              <w:bottom w:val="single" w:sz="4" w:space="0" w:color="auto"/>
              <w:right w:val="single" w:sz="4" w:space="0" w:color="auto"/>
            </w:tcBorders>
            <w:vAlign w:val="center"/>
          </w:tcPr>
          <w:p w14:paraId="6C2CF7F4" w14:textId="3185E18E" w:rsidR="0043003F" w:rsidRPr="001F151E" w:rsidRDefault="009545F8"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14312E06" w14:textId="3842AD2B" w:rsidR="0043003F" w:rsidRPr="001F151E" w:rsidRDefault="009545F8"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3DBF62B0" w14:textId="70FA1A91" w:rsidR="0043003F" w:rsidRPr="001F151E" w:rsidRDefault="009545F8"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7239D0DA" w14:textId="0080BA74" w:rsidR="0043003F" w:rsidRPr="001F151E" w:rsidRDefault="009545F8" w:rsidP="00B24B6D">
            <w:pPr>
              <w:pStyle w:val="EcorysBody"/>
              <w:spacing w:line="200" w:lineRule="exact"/>
              <w:jc w:val="center"/>
              <w:rPr>
                <w:rFonts w:ascii="Arial" w:hAnsi="Arial" w:cs="Arial"/>
                <w:sz w:val="16"/>
                <w:szCs w:val="16"/>
              </w:rPr>
            </w:pPr>
            <w:r w:rsidRPr="001F151E">
              <w:rPr>
                <w:rFonts w:ascii="Arial" w:hAnsi="Arial" w:cs="Arial"/>
                <w:sz w:val="16"/>
                <w:szCs w:val="16"/>
              </w:rPr>
              <w:t>50%</w:t>
            </w:r>
          </w:p>
        </w:tc>
        <w:tc>
          <w:tcPr>
            <w:tcW w:w="1181" w:type="dxa"/>
            <w:tcBorders>
              <w:top w:val="single" w:sz="4" w:space="0" w:color="auto"/>
              <w:left w:val="single" w:sz="4" w:space="0" w:color="auto"/>
              <w:bottom w:val="single" w:sz="4" w:space="0" w:color="auto"/>
              <w:right w:val="single" w:sz="4" w:space="0" w:color="auto"/>
            </w:tcBorders>
            <w:vAlign w:val="center"/>
          </w:tcPr>
          <w:p w14:paraId="2F0E3003" w14:textId="2D7FFA61" w:rsidR="0043003F" w:rsidRPr="001F151E" w:rsidRDefault="00556A69" w:rsidP="00B24B6D">
            <w:pPr>
              <w:pStyle w:val="EcorysBody"/>
              <w:spacing w:line="200" w:lineRule="exact"/>
              <w:jc w:val="center"/>
              <w:rPr>
                <w:rFonts w:ascii="Arial" w:hAnsi="Arial" w:cs="Arial"/>
                <w:sz w:val="16"/>
                <w:szCs w:val="16"/>
              </w:rPr>
            </w:pPr>
            <w:r w:rsidRPr="001F151E">
              <w:rPr>
                <w:rFonts w:ascii="Arial" w:hAnsi="Arial" w:cs="Arial"/>
                <w:sz w:val="16"/>
                <w:szCs w:val="16"/>
              </w:rPr>
              <w:t>70%</w:t>
            </w:r>
          </w:p>
        </w:tc>
      </w:tr>
      <w:tr w:rsidR="00B24B6D" w:rsidRPr="001F151E" w14:paraId="3BF1B9A4" w14:textId="77777777" w:rsidTr="004B755A">
        <w:tc>
          <w:tcPr>
            <w:tcW w:w="3114" w:type="dxa"/>
            <w:tcBorders>
              <w:top w:val="single" w:sz="4" w:space="0" w:color="auto"/>
              <w:left w:val="single" w:sz="4" w:space="0" w:color="auto"/>
              <w:bottom w:val="single" w:sz="4" w:space="0" w:color="auto"/>
              <w:right w:val="single" w:sz="4" w:space="0" w:color="auto"/>
            </w:tcBorders>
            <w:vAlign w:val="center"/>
          </w:tcPr>
          <w:p w14:paraId="666B5C6A" w14:textId="0AC9DE52" w:rsidR="00B24B6D" w:rsidRPr="001F151E" w:rsidRDefault="00556A69" w:rsidP="00B45892">
            <w:pPr>
              <w:pStyle w:val="ListParagraph"/>
              <w:numPr>
                <w:ilvl w:val="0"/>
                <w:numId w:val="42"/>
              </w:numPr>
              <w:spacing w:line="200" w:lineRule="exact"/>
              <w:rPr>
                <w:sz w:val="16"/>
                <w:szCs w:val="16"/>
              </w:rPr>
            </w:pPr>
            <w:r w:rsidRPr="001F151E">
              <w:rPr>
                <w:sz w:val="16"/>
                <w:szCs w:val="16"/>
              </w:rPr>
              <w:t xml:space="preserve">Local Budget Management Software and E-Platform introduced by </w:t>
            </w:r>
            <w:r w:rsidR="00A660B5">
              <w:rPr>
                <w:sz w:val="16"/>
                <w:szCs w:val="16"/>
              </w:rPr>
              <w:t>MoF</w:t>
            </w:r>
            <w:r w:rsidR="004D7973" w:rsidRPr="001F151E">
              <w:rPr>
                <w:sz w:val="16"/>
                <w:szCs w:val="16"/>
              </w:rPr>
              <w:t>.</w:t>
            </w:r>
            <w:r w:rsidRPr="001F151E">
              <w:rPr>
                <w:rStyle w:val="FootnoteReference"/>
                <w:sz w:val="16"/>
                <w:szCs w:val="16"/>
              </w:rPr>
              <w:footnoteReference w:id="35"/>
            </w:r>
          </w:p>
        </w:tc>
        <w:tc>
          <w:tcPr>
            <w:tcW w:w="1180" w:type="dxa"/>
            <w:tcBorders>
              <w:top w:val="single" w:sz="4" w:space="0" w:color="auto"/>
              <w:left w:val="single" w:sz="4" w:space="0" w:color="auto"/>
              <w:bottom w:val="single" w:sz="4" w:space="0" w:color="auto"/>
              <w:right w:val="single" w:sz="4" w:space="0" w:color="auto"/>
            </w:tcBorders>
            <w:vAlign w:val="center"/>
          </w:tcPr>
          <w:p w14:paraId="3FC530F7" w14:textId="782AE4DE" w:rsidR="00B24B6D" w:rsidRPr="001F151E" w:rsidRDefault="009545F8" w:rsidP="00B24B6D">
            <w:pPr>
              <w:pStyle w:val="EcorysBody"/>
              <w:spacing w:line="200" w:lineRule="exact"/>
              <w:jc w:val="center"/>
              <w:rPr>
                <w:rFonts w:ascii="Arial" w:hAnsi="Arial" w:cs="Arial"/>
                <w:sz w:val="16"/>
                <w:szCs w:val="16"/>
              </w:rPr>
            </w:pPr>
            <w:r w:rsidRPr="001F151E">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44123" w14:textId="4458BD3C"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E-platform developed and adopted</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3812E" w14:textId="028C390A"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E-platform fully operational and rolled out</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F94A9" w14:textId="0B11F777"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E-platform maintained</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6CDCC" w14:textId="3DE1E607" w:rsidR="00B24B6D" w:rsidRPr="001F151E" w:rsidRDefault="00B24B6D" w:rsidP="00B24B6D">
            <w:pPr>
              <w:pStyle w:val="EcorysBody"/>
              <w:spacing w:line="200" w:lineRule="exact"/>
              <w:jc w:val="center"/>
              <w:rPr>
                <w:rFonts w:ascii="Arial" w:hAnsi="Arial" w:cs="Arial"/>
                <w:sz w:val="16"/>
                <w:szCs w:val="16"/>
              </w:rPr>
            </w:pPr>
            <w:r w:rsidRPr="001F151E">
              <w:rPr>
                <w:rFonts w:ascii="Arial" w:hAnsi="Arial" w:cs="Arial"/>
                <w:sz w:val="16"/>
                <w:szCs w:val="16"/>
              </w:rPr>
              <w:t>E-platform maintained</w:t>
            </w:r>
          </w:p>
        </w:tc>
      </w:tr>
    </w:tbl>
    <w:p w14:paraId="0374E74F" w14:textId="77777777" w:rsidR="00D9120D" w:rsidRPr="001F151E" w:rsidRDefault="00D9120D" w:rsidP="00D9120D">
      <w:pPr>
        <w:rPr>
          <w:lang w:val="en-GB"/>
        </w:rPr>
      </w:pPr>
    </w:p>
    <w:p w14:paraId="7CA81FC7" w14:textId="77777777" w:rsidR="00811658" w:rsidRPr="001F151E" w:rsidRDefault="00811658" w:rsidP="00D9120D">
      <w:pPr>
        <w:rPr>
          <w:lang w:val="en-GB"/>
        </w:rPr>
      </w:pPr>
    </w:p>
    <w:p w14:paraId="6FC36074" w14:textId="38B43CB7" w:rsidR="002C447B" w:rsidRPr="001F151E" w:rsidRDefault="002C447B" w:rsidP="00C96708">
      <w:pPr>
        <w:pStyle w:val="Heading2"/>
        <w:rPr>
          <w:rStyle w:val="IntenseReference"/>
          <w:rFonts w:eastAsiaTheme="majorEastAsia" w:cstheme="majorBidi"/>
          <w:i w:val="0"/>
          <w:sz w:val="22"/>
          <w:szCs w:val="22"/>
          <w:lang w:val="en-GB"/>
        </w:rPr>
      </w:pPr>
      <w:bookmarkStart w:id="30" w:name="_Toc163148019"/>
      <w:r w:rsidRPr="001F151E">
        <w:rPr>
          <w:rStyle w:val="IntenseReference"/>
          <w:rFonts w:eastAsiaTheme="majorEastAsia" w:cstheme="majorBidi"/>
          <w:i w:val="0"/>
          <w:sz w:val="22"/>
          <w:szCs w:val="22"/>
          <w:lang w:val="en-GB"/>
        </w:rPr>
        <w:t>Component 2.5 Budget Execution Monitoring and Reporting</w:t>
      </w:r>
      <w:bookmarkEnd w:id="30"/>
    </w:p>
    <w:p w14:paraId="3558360E" w14:textId="77777777" w:rsidR="002C447B" w:rsidRPr="001F151E" w:rsidRDefault="002C447B" w:rsidP="00EA6F1D">
      <w:pPr>
        <w:spacing w:line="276" w:lineRule="auto"/>
        <w:jc w:val="both"/>
        <w:rPr>
          <w:rStyle w:val="IntenseReference"/>
          <w:rFonts w:cs="Times New Roman"/>
          <w:iCs/>
          <w:szCs w:val="21"/>
          <w:lang w:val="en-GB"/>
        </w:rPr>
      </w:pPr>
    </w:p>
    <w:p w14:paraId="35EADD42" w14:textId="77777777" w:rsidR="0007140E" w:rsidRPr="001F151E" w:rsidRDefault="0007140E" w:rsidP="00EA6F1D">
      <w:pPr>
        <w:pStyle w:val="H5"/>
        <w:spacing w:line="276" w:lineRule="auto"/>
        <w:jc w:val="both"/>
        <w:rPr>
          <w:rStyle w:val="IntenseReference"/>
          <w:i w:val="0"/>
          <w:lang w:val="en-GB"/>
        </w:rPr>
      </w:pPr>
      <w:r w:rsidRPr="001F151E">
        <w:rPr>
          <w:rStyle w:val="IntenseReference"/>
          <w:i w:val="0"/>
          <w:lang w:val="en-GB"/>
        </w:rPr>
        <w:t>Objective</w:t>
      </w:r>
    </w:p>
    <w:p w14:paraId="0E370732" w14:textId="4C5BFBD6" w:rsidR="0007140E" w:rsidRPr="001F151E" w:rsidRDefault="0007140E" w:rsidP="00EA6F1D">
      <w:pPr>
        <w:spacing w:line="276" w:lineRule="auto"/>
        <w:jc w:val="both"/>
        <w:rPr>
          <w:lang w:val="en-GB"/>
        </w:rPr>
      </w:pPr>
      <w:r w:rsidRPr="001F151E">
        <w:rPr>
          <w:lang w:val="en-GB"/>
        </w:rPr>
        <w:t xml:space="preserve">The objective for 2030 is to have a comprehensive </w:t>
      </w:r>
      <w:r w:rsidR="00AF49E1" w:rsidRPr="001F151E">
        <w:rPr>
          <w:lang w:val="en-GB"/>
        </w:rPr>
        <w:t xml:space="preserve">and transparent </w:t>
      </w:r>
      <w:r w:rsidRPr="001F151E">
        <w:rPr>
          <w:lang w:val="en-GB"/>
        </w:rPr>
        <w:t xml:space="preserve">budget monitoring and reporting system in place at the level of budget institutions and at </w:t>
      </w:r>
      <w:r w:rsidR="00AF49E1" w:rsidRPr="001F151E">
        <w:rPr>
          <w:lang w:val="en-GB"/>
        </w:rPr>
        <w:t>central</w:t>
      </w:r>
      <w:r w:rsidRPr="001F151E">
        <w:rPr>
          <w:lang w:val="en-GB"/>
        </w:rPr>
        <w:t xml:space="preserve"> level covering all aspects of the budget</w:t>
      </w:r>
      <w:r w:rsidR="00AF49E1" w:rsidRPr="001F151E">
        <w:rPr>
          <w:lang w:val="en-GB"/>
        </w:rPr>
        <w:t xml:space="preserve"> reporting.</w:t>
      </w:r>
    </w:p>
    <w:p w14:paraId="701BB0F3" w14:textId="77777777" w:rsidR="0007140E" w:rsidRPr="001F151E" w:rsidRDefault="0007140E" w:rsidP="00EA6F1D">
      <w:pPr>
        <w:pStyle w:val="H5"/>
        <w:spacing w:line="276" w:lineRule="auto"/>
        <w:jc w:val="both"/>
        <w:rPr>
          <w:rStyle w:val="IntenseReference"/>
          <w:i w:val="0"/>
          <w:lang w:val="en-GB"/>
        </w:rPr>
      </w:pPr>
    </w:p>
    <w:p w14:paraId="7160456C" w14:textId="77777777" w:rsidR="0007140E" w:rsidRPr="001F151E" w:rsidRDefault="0007140E" w:rsidP="00EA6F1D">
      <w:pPr>
        <w:pStyle w:val="H5"/>
        <w:spacing w:line="276" w:lineRule="auto"/>
        <w:jc w:val="both"/>
        <w:rPr>
          <w:rStyle w:val="IntenseReference"/>
          <w:i w:val="0"/>
          <w:lang w:val="en-GB"/>
        </w:rPr>
      </w:pPr>
      <w:r w:rsidRPr="001F151E">
        <w:rPr>
          <w:rStyle w:val="IntenseReference"/>
          <w:i w:val="0"/>
          <w:lang w:val="en-GB"/>
        </w:rPr>
        <w:t>Context</w:t>
      </w:r>
    </w:p>
    <w:p w14:paraId="233B294F" w14:textId="77777777" w:rsidR="00F4641F" w:rsidRPr="00A94164" w:rsidRDefault="00F4641F" w:rsidP="00F4641F">
      <w:pPr>
        <w:spacing w:line="276" w:lineRule="auto"/>
        <w:jc w:val="both"/>
        <w:rPr>
          <w:lang w:val="en-GB"/>
        </w:rPr>
      </w:pPr>
      <w:r w:rsidRPr="001F151E">
        <w:rPr>
          <w:lang w:val="en-GB"/>
        </w:rPr>
        <w:t>The Budget management legal framework</w:t>
      </w:r>
      <w:r w:rsidRPr="001F151E">
        <w:rPr>
          <w:rStyle w:val="FootnoteReference"/>
          <w:lang w:val="en-GB"/>
        </w:rPr>
        <w:footnoteReference w:id="36"/>
      </w:r>
      <w:r w:rsidRPr="001F151E">
        <w:rPr>
          <w:lang w:val="en-GB"/>
        </w:rPr>
        <w:t xml:space="preserve"> has been consolidated, with some improvements in the Monitoring of financial performance of the Central government section aiming to change the reporting frequency, its content and defining the roles and responsibilities of the relevant parties. The Albanian Financial Management Information System (AFMIS) designed as an expansion of the existing AGFIS has also the Budget and Programme Portfolio Monitoring (BPPM) module which is now in use. Therefore, in-year budget implementation reports, the mid-year Report of Macroeconomic, Fiscal and Budgetary Performance as well as the year-end report have improved. A new Budget monitoring guideline was issued 2023.</w:t>
      </w:r>
      <w:r w:rsidRPr="001F151E">
        <w:rPr>
          <w:rStyle w:val="FootnoteReference"/>
          <w:lang w:val="en-GB"/>
        </w:rPr>
        <w:footnoteReference w:id="37"/>
      </w:r>
      <w:r w:rsidRPr="001F151E">
        <w:rPr>
          <w:lang w:val="en-GB"/>
        </w:rPr>
        <w:t xml:space="preserve"> </w:t>
      </w:r>
      <w:r w:rsidRPr="00A94164">
        <w:t>In accordance with the Organic Budget Law, the minister of Finance issues a standard guideline, which contains instructions on the procedures, formats and deadlines that all Central Government Units must follow when conducting their periodic budget execution monitoring reports. Under these circumstances, we ought to clarify that, the new guideline issued in May 2023 aims to further improve the monitoring process conducted by the LM/BI, but it is not within its scope the provision of a ‘aggregate budget monitoring report’. This new guideline, defines all the procedures and deadlines to be followed by all units of the central government during the monitoring of the implementation of the budget for financial and non-financial performance, products and policy objectives realized for each program. The new approved annexes within this guideline, which can be generated through the AFMIS System, contain data on the performance of budget expenditures according to their economic classification, performance of products related to their KPI’s for each budget program.</w:t>
      </w:r>
      <w:r>
        <w:t xml:space="preserve"> </w:t>
      </w:r>
      <w:r w:rsidRPr="00A94164">
        <w:t>The monitoring of objectives for each budgetary program policy is based on the relevant performance indicator, while the monitoring of the products is done in terms of quantity and value. To summarise, monitoring is the process that connects the realization of objectives and products with corresponding funds planned for their achievement. So the monitoring process can be done and presented only at the program level for each LM/BI.</w:t>
      </w:r>
      <w:r>
        <w:t xml:space="preserve"> </w:t>
      </w:r>
      <w:r w:rsidRPr="00A94164">
        <w:t xml:space="preserve">Meanwhile, the summarized information of the monitoring reports for LM/BI is part of the Annual Budget Execution Report, which presents the financial and non-financial budget performance of the LM/BI programs. </w:t>
      </w:r>
    </w:p>
    <w:p w14:paraId="5AC8EAFD" w14:textId="39271E27" w:rsidR="0007140E" w:rsidRPr="00F4641F" w:rsidRDefault="00F4641F" w:rsidP="00F4641F">
      <w:pPr>
        <w:pStyle w:val="CommentText"/>
        <w:rPr>
          <w:rFonts w:ascii="Arial" w:hAnsi="Arial" w:cs="Arial"/>
          <w:sz w:val="18"/>
          <w:szCs w:val="18"/>
        </w:rPr>
      </w:pPr>
      <w:r w:rsidRPr="00A94164">
        <w:rPr>
          <w:rFonts w:ascii="Arial" w:hAnsi="Arial" w:cs="Arial"/>
          <w:sz w:val="18"/>
          <w:szCs w:val="18"/>
        </w:rPr>
        <w:t>Furthermore, the report on the Annual Budget Execution Report contains a synthesized information and analysis on the performance of general expenditures, including those according to their economic and functional classification.</w:t>
      </w:r>
    </w:p>
    <w:p w14:paraId="68EBC2AD" w14:textId="77777777" w:rsidR="0007140E" w:rsidRPr="001F151E" w:rsidRDefault="0007140E" w:rsidP="00EA6F1D">
      <w:pPr>
        <w:pStyle w:val="H5"/>
        <w:spacing w:line="276" w:lineRule="auto"/>
        <w:jc w:val="both"/>
        <w:rPr>
          <w:rStyle w:val="IntenseReference"/>
          <w:i w:val="0"/>
          <w:lang w:val="en-GB"/>
        </w:rPr>
      </w:pPr>
      <w:r w:rsidRPr="001F151E">
        <w:rPr>
          <w:rStyle w:val="IntenseReference"/>
          <w:i w:val="0"/>
          <w:lang w:val="en-GB"/>
        </w:rPr>
        <w:lastRenderedPageBreak/>
        <w:t>Priorities</w:t>
      </w:r>
    </w:p>
    <w:p w14:paraId="37984DBA" w14:textId="55FC21A3" w:rsidR="0007140E" w:rsidRPr="001F151E" w:rsidRDefault="0007140E" w:rsidP="00EA6F1D">
      <w:pPr>
        <w:spacing w:line="276" w:lineRule="auto"/>
        <w:jc w:val="both"/>
        <w:rPr>
          <w:lang w:val="en-GB"/>
        </w:rPr>
      </w:pPr>
      <w:r w:rsidRPr="001F151E">
        <w:rPr>
          <w:lang w:val="en-GB"/>
        </w:rPr>
        <w:t>The priorities until 2026 are:</w:t>
      </w:r>
    </w:p>
    <w:p w14:paraId="68EA9B1B" w14:textId="2182C1DD" w:rsidR="0007140E" w:rsidRPr="001F151E" w:rsidRDefault="0007140E" w:rsidP="00EA6F1D">
      <w:pPr>
        <w:pStyle w:val="N-Bullet"/>
        <w:spacing w:line="276" w:lineRule="auto"/>
        <w:jc w:val="both"/>
        <w:rPr>
          <w:lang w:val="en-GB"/>
        </w:rPr>
      </w:pPr>
      <w:r w:rsidRPr="001F151E">
        <w:rPr>
          <w:lang w:val="en-GB"/>
        </w:rPr>
        <w:t>Improving budget execution monitoring and reporting by budget institutions and at aggregated level including the preparation of the c</w:t>
      </w:r>
      <w:r w:rsidR="00F4641F">
        <w:rPr>
          <w:lang w:val="en-GB"/>
        </w:rPr>
        <w:t>itizens budget execution report;</w:t>
      </w:r>
    </w:p>
    <w:p w14:paraId="0B4D400A" w14:textId="77777777" w:rsidR="0007140E" w:rsidRPr="001F151E" w:rsidRDefault="0007140E" w:rsidP="00EA6F1D">
      <w:pPr>
        <w:pStyle w:val="N-Bullet"/>
        <w:spacing w:line="276" w:lineRule="auto"/>
        <w:jc w:val="both"/>
        <w:rPr>
          <w:lang w:val="en-GB"/>
        </w:rPr>
      </w:pPr>
      <w:r w:rsidRPr="001F151E">
        <w:rPr>
          <w:lang w:val="en-GB"/>
        </w:rPr>
        <w:t>Enhancing the scope of reporting on the implementation of all public investment projects.</w:t>
      </w:r>
    </w:p>
    <w:p w14:paraId="2D9E8252" w14:textId="77777777" w:rsidR="0007140E" w:rsidRPr="001F151E" w:rsidRDefault="0007140E" w:rsidP="00EA6F1D">
      <w:pPr>
        <w:pStyle w:val="N-Bullet"/>
        <w:spacing w:line="276" w:lineRule="auto"/>
        <w:jc w:val="both"/>
        <w:rPr>
          <w:lang w:val="en-GB"/>
        </w:rPr>
      </w:pPr>
      <w:r w:rsidRPr="001F151E">
        <w:rPr>
          <w:lang w:val="en-GB"/>
        </w:rPr>
        <w:t>Improving reporting on all PPP and concession contracts.</w:t>
      </w:r>
    </w:p>
    <w:p w14:paraId="296FCA6E" w14:textId="77777777" w:rsidR="00EE7E0C" w:rsidRDefault="00EE7E0C" w:rsidP="00EA6F1D">
      <w:pPr>
        <w:spacing w:after="160" w:line="276" w:lineRule="auto"/>
        <w:jc w:val="both"/>
        <w:rPr>
          <w:rStyle w:val="IntenseReference"/>
          <w:b/>
          <w:bCs/>
          <w:i w:val="0"/>
          <w:lang w:val="en-GB"/>
        </w:rPr>
      </w:pPr>
    </w:p>
    <w:p w14:paraId="01F291AB" w14:textId="14095E38" w:rsidR="0007140E" w:rsidRPr="001F151E" w:rsidRDefault="0007140E" w:rsidP="0007140E">
      <w:pPr>
        <w:pStyle w:val="H5"/>
        <w:rPr>
          <w:rStyle w:val="IntenseReference"/>
          <w:i w:val="0"/>
          <w:lang w:val="en-GB"/>
        </w:rPr>
      </w:pPr>
      <w:r w:rsidRPr="001F151E">
        <w:rPr>
          <w:rStyle w:val="IntenseReference"/>
          <w:i w:val="0"/>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22"/>
        <w:gridCol w:w="3717"/>
        <w:gridCol w:w="751"/>
        <w:gridCol w:w="742"/>
        <w:gridCol w:w="1684"/>
      </w:tblGrid>
      <w:tr w:rsidR="0007140E" w:rsidRPr="001F151E" w14:paraId="7EBB303D" w14:textId="77777777" w:rsidTr="002B7FF8">
        <w:trPr>
          <w:trHeight w:val="182"/>
          <w:tblHeader/>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CAF44F" w14:textId="77777777" w:rsidR="0007140E" w:rsidRPr="001F151E" w:rsidRDefault="0007140E" w:rsidP="002B7FF8">
            <w:pPr>
              <w:pStyle w:val="T-bold"/>
            </w:pPr>
            <w:r w:rsidRPr="001F151E">
              <w:t>Measure</w:t>
            </w:r>
          </w:p>
        </w:tc>
        <w:tc>
          <w:tcPr>
            <w:tcW w:w="3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0B5477" w14:textId="77777777" w:rsidR="0007140E" w:rsidRPr="001F151E" w:rsidRDefault="0007140E" w:rsidP="002B7FF8">
            <w:pPr>
              <w:pStyle w:val="T-bold"/>
            </w:pPr>
            <w:r w:rsidRPr="001F151E">
              <w:t>Activity</w:t>
            </w:r>
          </w:p>
        </w:tc>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43AF0" w14:textId="77777777" w:rsidR="0007140E" w:rsidRPr="001F151E" w:rsidRDefault="0007140E" w:rsidP="002B7FF8">
            <w:pPr>
              <w:pStyle w:val="T-bold"/>
              <w:jc w:val="center"/>
            </w:pPr>
            <w:r w:rsidRPr="001F151E">
              <w:t>Start</w:t>
            </w:r>
          </w:p>
        </w:tc>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45DDA2" w14:textId="77777777" w:rsidR="0007140E" w:rsidRPr="001F151E" w:rsidRDefault="0007140E" w:rsidP="002B7FF8">
            <w:pPr>
              <w:pStyle w:val="T-bold"/>
              <w:jc w:val="center"/>
            </w:pPr>
            <w:r w:rsidRPr="001F151E">
              <w:t>End</w:t>
            </w:r>
          </w:p>
        </w:tc>
        <w:tc>
          <w:tcPr>
            <w:tcW w:w="1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45E87" w14:textId="77777777" w:rsidR="0007140E" w:rsidRPr="001F151E" w:rsidRDefault="0007140E" w:rsidP="002B7FF8">
            <w:pPr>
              <w:pStyle w:val="T-bold"/>
            </w:pPr>
            <w:r w:rsidRPr="001F151E">
              <w:t>Stakeholders</w:t>
            </w:r>
          </w:p>
        </w:tc>
      </w:tr>
      <w:tr w:rsidR="0007140E" w:rsidRPr="001F151E" w14:paraId="14D546C3" w14:textId="77777777" w:rsidTr="002B7FF8">
        <w:trPr>
          <w:trHeight w:val="20"/>
        </w:trPr>
        <w:tc>
          <w:tcPr>
            <w:tcW w:w="2122" w:type="dxa"/>
            <w:vMerge w:val="restart"/>
            <w:tcBorders>
              <w:top w:val="single" w:sz="4" w:space="0" w:color="auto"/>
              <w:left w:val="single" w:sz="4" w:space="0" w:color="auto"/>
              <w:bottom w:val="single" w:sz="4" w:space="0" w:color="auto"/>
              <w:right w:val="single" w:sz="4" w:space="0" w:color="auto"/>
            </w:tcBorders>
            <w:hideMark/>
          </w:tcPr>
          <w:p w14:paraId="6E369423" w14:textId="77777777" w:rsidR="0007140E" w:rsidRPr="001F151E" w:rsidRDefault="0007140E" w:rsidP="002B7FF8">
            <w:pPr>
              <w:pStyle w:val="EcorysBody"/>
              <w:rPr>
                <w:rFonts w:ascii="Arial" w:hAnsi="Arial" w:cs="Arial"/>
                <w:b/>
                <w:bCs/>
                <w:sz w:val="16"/>
                <w:szCs w:val="16"/>
              </w:rPr>
            </w:pPr>
            <w:r w:rsidRPr="001F151E">
              <w:rPr>
                <w:rFonts w:ascii="Arial" w:hAnsi="Arial" w:cs="Arial"/>
                <w:b/>
                <w:bCs/>
                <w:sz w:val="16"/>
                <w:szCs w:val="16"/>
              </w:rPr>
              <w:t>Measure 2.5.1 Improve budget execution monitoring and reporting and introduce Citizens Budget Execution report</w:t>
            </w:r>
          </w:p>
        </w:tc>
        <w:tc>
          <w:tcPr>
            <w:tcW w:w="3717" w:type="dxa"/>
            <w:tcBorders>
              <w:top w:val="single" w:sz="4" w:space="0" w:color="auto"/>
              <w:left w:val="single" w:sz="4" w:space="0" w:color="auto"/>
              <w:bottom w:val="single" w:sz="4" w:space="0" w:color="auto"/>
              <w:right w:val="single" w:sz="4" w:space="0" w:color="auto"/>
            </w:tcBorders>
            <w:vAlign w:val="center"/>
            <w:hideMark/>
          </w:tcPr>
          <w:p w14:paraId="3EDDE5D8" w14:textId="4F74840A" w:rsidR="0007140E" w:rsidRPr="001F151E" w:rsidRDefault="0007140E" w:rsidP="00B45892">
            <w:pPr>
              <w:pStyle w:val="T-number"/>
              <w:numPr>
                <w:ilvl w:val="0"/>
                <w:numId w:val="81"/>
              </w:numPr>
            </w:pPr>
            <w:r w:rsidRPr="001F151E">
              <w:t xml:space="preserve">Review and update instruction for procedure and content/template of annual budget execution reports including </w:t>
            </w:r>
            <w:r w:rsidR="00FB5BD5" w:rsidRPr="001F151E">
              <w:t>the publishing of Citizens Budget Execution Report as part of Annual Budget Execution Report</w:t>
            </w:r>
          </w:p>
        </w:tc>
        <w:tc>
          <w:tcPr>
            <w:tcW w:w="751" w:type="dxa"/>
            <w:tcBorders>
              <w:top w:val="single" w:sz="4" w:space="0" w:color="auto"/>
              <w:left w:val="single" w:sz="4" w:space="0" w:color="auto"/>
              <w:bottom w:val="single" w:sz="4" w:space="0" w:color="auto"/>
              <w:right w:val="single" w:sz="4" w:space="0" w:color="auto"/>
            </w:tcBorders>
            <w:vAlign w:val="center"/>
          </w:tcPr>
          <w:p w14:paraId="61C7754B" w14:textId="3F33EA52" w:rsidR="0007140E" w:rsidRPr="001F151E" w:rsidRDefault="00C71B37" w:rsidP="002B7FF8">
            <w:pPr>
              <w:jc w:val="center"/>
              <w:rPr>
                <w:sz w:val="16"/>
                <w:szCs w:val="16"/>
              </w:rPr>
            </w:pPr>
            <w:r w:rsidRPr="001F151E">
              <w:rPr>
                <w:sz w:val="16"/>
                <w:szCs w:val="16"/>
              </w:rPr>
              <w:t>Q1 2024</w:t>
            </w:r>
          </w:p>
        </w:tc>
        <w:tc>
          <w:tcPr>
            <w:tcW w:w="742" w:type="dxa"/>
            <w:tcBorders>
              <w:top w:val="single" w:sz="4" w:space="0" w:color="auto"/>
              <w:left w:val="single" w:sz="4" w:space="0" w:color="auto"/>
              <w:bottom w:val="single" w:sz="4" w:space="0" w:color="auto"/>
              <w:right w:val="single" w:sz="4" w:space="0" w:color="auto"/>
            </w:tcBorders>
            <w:vAlign w:val="center"/>
          </w:tcPr>
          <w:p w14:paraId="3BEBB8AE" w14:textId="6CD5BFA9" w:rsidR="0007140E" w:rsidRPr="001F151E" w:rsidRDefault="00C71B37" w:rsidP="002B7FF8">
            <w:pPr>
              <w:jc w:val="center"/>
              <w:rPr>
                <w:sz w:val="16"/>
                <w:szCs w:val="16"/>
              </w:rPr>
            </w:pPr>
            <w:r w:rsidRPr="001F151E">
              <w:rPr>
                <w:sz w:val="16"/>
                <w:szCs w:val="16"/>
              </w:rPr>
              <w:t>Q4 2024</w:t>
            </w:r>
          </w:p>
        </w:tc>
        <w:tc>
          <w:tcPr>
            <w:tcW w:w="1684" w:type="dxa"/>
            <w:vMerge w:val="restart"/>
            <w:tcBorders>
              <w:top w:val="single" w:sz="4" w:space="0" w:color="auto"/>
              <w:left w:val="single" w:sz="4" w:space="0" w:color="auto"/>
              <w:bottom w:val="single" w:sz="4" w:space="0" w:color="auto"/>
              <w:right w:val="single" w:sz="4" w:space="0" w:color="auto"/>
            </w:tcBorders>
          </w:tcPr>
          <w:p w14:paraId="5D18BD68" w14:textId="77777777" w:rsidR="0007140E" w:rsidRPr="001F151E" w:rsidRDefault="0007140E" w:rsidP="002B7FF8">
            <w:pPr>
              <w:rPr>
                <w:b/>
                <w:bCs/>
                <w:sz w:val="16"/>
                <w:szCs w:val="16"/>
              </w:rPr>
            </w:pPr>
            <w:r w:rsidRPr="001F151E">
              <w:rPr>
                <w:b/>
                <w:bCs/>
                <w:sz w:val="16"/>
                <w:szCs w:val="16"/>
              </w:rPr>
              <w:t xml:space="preserve">Responsible entity: </w:t>
            </w:r>
          </w:p>
          <w:p w14:paraId="4366A346" w14:textId="04961D06" w:rsidR="004D182B" w:rsidRPr="004D182B" w:rsidRDefault="004D182B" w:rsidP="004D182B">
            <w:pPr>
              <w:pStyle w:val="EcorysBody"/>
              <w:rPr>
                <w:rFonts w:ascii="Arial" w:hAnsi="Arial" w:cs="Arial"/>
                <w:sz w:val="16"/>
                <w:szCs w:val="16"/>
              </w:rPr>
            </w:pPr>
            <w:r w:rsidRPr="004D182B">
              <w:rPr>
                <w:rFonts w:ascii="Arial" w:hAnsi="Arial" w:cs="Arial"/>
                <w:sz w:val="16"/>
                <w:szCs w:val="16"/>
              </w:rPr>
              <w:t>DBM (Lead), GDB, GDT</w:t>
            </w:r>
            <w:r w:rsidR="00762797">
              <w:rPr>
                <w:rFonts w:ascii="Arial" w:hAnsi="Arial" w:cs="Arial"/>
                <w:sz w:val="16"/>
                <w:szCs w:val="16"/>
              </w:rPr>
              <w:t>reasury</w:t>
            </w:r>
          </w:p>
          <w:p w14:paraId="0D66AC3D" w14:textId="77777777" w:rsidR="0007140E" w:rsidRPr="001F151E" w:rsidRDefault="0007140E" w:rsidP="002B7FF8">
            <w:pPr>
              <w:pStyle w:val="EcorysBody"/>
              <w:rPr>
                <w:rFonts w:ascii="Arial" w:hAnsi="Arial" w:cs="Arial"/>
                <w:b/>
                <w:bCs/>
                <w:sz w:val="16"/>
                <w:szCs w:val="16"/>
              </w:rPr>
            </w:pPr>
          </w:p>
          <w:p w14:paraId="36EA482C" w14:textId="77777777" w:rsidR="0007140E" w:rsidRPr="001F151E" w:rsidRDefault="0007140E" w:rsidP="002B7FF8">
            <w:pPr>
              <w:pStyle w:val="EcorysBody"/>
              <w:rPr>
                <w:rFonts w:ascii="Arial" w:hAnsi="Arial" w:cs="Arial"/>
                <w:b/>
                <w:bCs/>
                <w:sz w:val="16"/>
                <w:szCs w:val="16"/>
              </w:rPr>
            </w:pPr>
            <w:r w:rsidRPr="001F151E">
              <w:rPr>
                <w:rFonts w:ascii="Arial" w:hAnsi="Arial" w:cs="Arial"/>
                <w:b/>
                <w:bCs/>
                <w:sz w:val="16"/>
                <w:szCs w:val="16"/>
              </w:rPr>
              <w:t>Partners:</w:t>
            </w:r>
          </w:p>
          <w:p w14:paraId="21174596" w14:textId="52FD836C" w:rsidR="0007140E" w:rsidRPr="001F151E" w:rsidRDefault="00852403" w:rsidP="004D182B">
            <w:pPr>
              <w:pStyle w:val="EcorysBody"/>
              <w:rPr>
                <w:sz w:val="16"/>
                <w:szCs w:val="16"/>
              </w:rPr>
            </w:pPr>
            <w:r>
              <w:rPr>
                <w:sz w:val="16"/>
                <w:szCs w:val="16"/>
              </w:rPr>
              <w:t>EU</w:t>
            </w:r>
            <w:r>
              <w:rPr>
                <w:rStyle w:val="FootnoteReference"/>
              </w:rPr>
              <w:footnoteReference w:id="38"/>
            </w:r>
          </w:p>
        </w:tc>
      </w:tr>
      <w:tr w:rsidR="00FB5BD5" w:rsidRPr="001F151E" w14:paraId="4F15BE87" w14:textId="77777777" w:rsidTr="008D411E">
        <w:trPr>
          <w:trHeight w:val="20"/>
        </w:trPr>
        <w:tc>
          <w:tcPr>
            <w:tcW w:w="2122" w:type="dxa"/>
            <w:vMerge/>
            <w:tcBorders>
              <w:left w:val="single" w:sz="4" w:space="0" w:color="auto"/>
              <w:bottom w:val="single" w:sz="4" w:space="0" w:color="auto"/>
              <w:right w:val="single" w:sz="4" w:space="0" w:color="auto"/>
            </w:tcBorders>
            <w:vAlign w:val="center"/>
            <w:hideMark/>
          </w:tcPr>
          <w:p w14:paraId="55087451" w14:textId="77777777" w:rsidR="00FB5BD5" w:rsidRPr="001F151E" w:rsidRDefault="00FB5BD5" w:rsidP="00FB5BD5">
            <w:pPr>
              <w:spacing w:line="240" w:lineRule="auto"/>
              <w:rPr>
                <w:b/>
                <w:bCs/>
                <w:sz w:val="16"/>
                <w:szCs w:val="16"/>
              </w:rPr>
            </w:pPr>
          </w:p>
        </w:tc>
        <w:tc>
          <w:tcPr>
            <w:tcW w:w="3717" w:type="dxa"/>
            <w:tcBorders>
              <w:top w:val="single" w:sz="4" w:space="0" w:color="auto"/>
              <w:left w:val="single" w:sz="4" w:space="0" w:color="auto"/>
              <w:right w:val="single" w:sz="4" w:space="0" w:color="auto"/>
            </w:tcBorders>
            <w:shd w:val="clear" w:color="auto" w:fill="FFFFFF" w:themeFill="background1"/>
            <w:vAlign w:val="center"/>
            <w:hideMark/>
          </w:tcPr>
          <w:p w14:paraId="40631A39" w14:textId="3A4D224E" w:rsidR="00FB5BD5" w:rsidRPr="001F151E" w:rsidRDefault="00FB5BD5" w:rsidP="002B481F">
            <w:pPr>
              <w:pStyle w:val="T-number"/>
            </w:pPr>
            <w:r w:rsidRPr="001F151E">
              <w:t>Publish the periodic Citizens Budget Execution Report</w:t>
            </w:r>
          </w:p>
        </w:tc>
        <w:tc>
          <w:tcPr>
            <w:tcW w:w="751" w:type="dxa"/>
            <w:tcBorders>
              <w:top w:val="single" w:sz="4" w:space="0" w:color="auto"/>
              <w:left w:val="single" w:sz="4" w:space="0" w:color="auto"/>
              <w:right w:val="single" w:sz="4" w:space="0" w:color="auto"/>
            </w:tcBorders>
            <w:shd w:val="clear" w:color="auto" w:fill="FFFFFF" w:themeFill="background1"/>
            <w:vAlign w:val="center"/>
          </w:tcPr>
          <w:p w14:paraId="34F1CB88" w14:textId="5B4162E5" w:rsidR="00FB5BD5" w:rsidRPr="001F151E" w:rsidRDefault="00FB5BD5" w:rsidP="008D411E">
            <w:pPr>
              <w:jc w:val="center"/>
              <w:rPr>
                <w:sz w:val="16"/>
                <w:szCs w:val="16"/>
              </w:rPr>
            </w:pPr>
            <w:r w:rsidRPr="001F151E">
              <w:rPr>
                <w:sz w:val="16"/>
                <w:szCs w:val="16"/>
              </w:rPr>
              <w:t>Q2 2025</w:t>
            </w:r>
          </w:p>
        </w:tc>
        <w:tc>
          <w:tcPr>
            <w:tcW w:w="742" w:type="dxa"/>
            <w:tcBorders>
              <w:top w:val="single" w:sz="4" w:space="0" w:color="auto"/>
              <w:left w:val="single" w:sz="4" w:space="0" w:color="auto"/>
              <w:right w:val="single" w:sz="4" w:space="0" w:color="auto"/>
            </w:tcBorders>
            <w:shd w:val="clear" w:color="auto" w:fill="FFFFFF" w:themeFill="background1"/>
            <w:vAlign w:val="center"/>
          </w:tcPr>
          <w:p w14:paraId="3B19FD8B" w14:textId="231A5DA2" w:rsidR="00FB5BD5" w:rsidRPr="001F151E" w:rsidRDefault="00FB5BD5" w:rsidP="008D411E">
            <w:pPr>
              <w:jc w:val="center"/>
              <w:rPr>
                <w:sz w:val="16"/>
                <w:szCs w:val="16"/>
              </w:rPr>
            </w:pPr>
            <w:r w:rsidRPr="001F151E">
              <w:rPr>
                <w:sz w:val="16"/>
                <w:szCs w:val="16"/>
              </w:rPr>
              <w:t>Annually</w:t>
            </w:r>
          </w:p>
        </w:tc>
        <w:tc>
          <w:tcPr>
            <w:tcW w:w="1684" w:type="dxa"/>
            <w:vMerge/>
            <w:tcBorders>
              <w:left w:val="single" w:sz="4" w:space="0" w:color="auto"/>
              <w:bottom w:val="single" w:sz="4" w:space="0" w:color="auto"/>
              <w:right w:val="single" w:sz="4" w:space="0" w:color="auto"/>
            </w:tcBorders>
            <w:vAlign w:val="center"/>
            <w:hideMark/>
          </w:tcPr>
          <w:p w14:paraId="6F208EDE" w14:textId="77777777" w:rsidR="00FB5BD5" w:rsidRPr="001F151E" w:rsidRDefault="00FB5BD5" w:rsidP="00FB5BD5">
            <w:pPr>
              <w:spacing w:line="240" w:lineRule="auto"/>
              <w:rPr>
                <w:sz w:val="16"/>
                <w:szCs w:val="16"/>
              </w:rPr>
            </w:pPr>
          </w:p>
        </w:tc>
      </w:tr>
      <w:tr w:rsidR="0007140E" w:rsidRPr="001F151E" w14:paraId="07390CD9" w14:textId="77777777" w:rsidTr="00611D69">
        <w:trPr>
          <w:trHeight w:val="32"/>
        </w:trPr>
        <w:tc>
          <w:tcPr>
            <w:tcW w:w="2122" w:type="dxa"/>
            <w:vMerge w:val="restart"/>
            <w:tcBorders>
              <w:top w:val="single" w:sz="4" w:space="0" w:color="auto"/>
              <w:left w:val="single" w:sz="4" w:space="0" w:color="auto"/>
              <w:bottom w:val="single" w:sz="4" w:space="0" w:color="auto"/>
              <w:right w:val="single" w:sz="4" w:space="0" w:color="auto"/>
            </w:tcBorders>
            <w:hideMark/>
          </w:tcPr>
          <w:p w14:paraId="103B1FD5" w14:textId="77777777" w:rsidR="0007140E" w:rsidRPr="001F151E" w:rsidRDefault="0007140E" w:rsidP="002B7FF8">
            <w:pPr>
              <w:pStyle w:val="EcorysBody"/>
              <w:rPr>
                <w:rFonts w:ascii="Arial" w:hAnsi="Arial" w:cs="Arial"/>
                <w:b/>
                <w:bCs/>
                <w:sz w:val="16"/>
                <w:szCs w:val="16"/>
              </w:rPr>
            </w:pPr>
            <w:r w:rsidRPr="001F151E">
              <w:rPr>
                <w:rFonts w:ascii="Arial" w:hAnsi="Arial" w:cs="Arial"/>
                <w:b/>
                <w:bCs/>
                <w:sz w:val="16"/>
                <w:szCs w:val="16"/>
              </w:rPr>
              <w:t>Measure 2.5.2 Improve monitoring and reporting on Public Investment Projects</w:t>
            </w:r>
          </w:p>
        </w:tc>
        <w:tc>
          <w:tcPr>
            <w:tcW w:w="3717" w:type="dxa"/>
            <w:tcBorders>
              <w:top w:val="single" w:sz="4" w:space="0" w:color="auto"/>
              <w:left w:val="single" w:sz="4" w:space="0" w:color="auto"/>
              <w:bottom w:val="single" w:sz="4" w:space="0" w:color="auto"/>
              <w:right w:val="single" w:sz="4" w:space="0" w:color="auto"/>
            </w:tcBorders>
            <w:vAlign w:val="center"/>
            <w:hideMark/>
          </w:tcPr>
          <w:p w14:paraId="4740D93D" w14:textId="2D064512" w:rsidR="0007140E" w:rsidRPr="001F151E" w:rsidRDefault="00284E31" w:rsidP="00B45892">
            <w:pPr>
              <w:pStyle w:val="EcorysBody"/>
              <w:numPr>
                <w:ilvl w:val="0"/>
                <w:numId w:val="34"/>
              </w:numPr>
              <w:rPr>
                <w:rFonts w:ascii="Arial" w:hAnsi="Arial" w:cs="Arial"/>
                <w:sz w:val="16"/>
                <w:szCs w:val="16"/>
              </w:rPr>
            </w:pPr>
            <w:r w:rsidRPr="001F151E">
              <w:rPr>
                <w:rFonts w:ascii="Arial" w:hAnsi="Arial" w:cs="Arial"/>
                <w:sz w:val="16"/>
                <w:szCs w:val="16"/>
              </w:rPr>
              <w:t>Implement the newly approved PIM monitoring procedure and enhance</w:t>
            </w:r>
            <w:r w:rsidR="00AD3655" w:rsidRPr="001F151E">
              <w:rPr>
                <w:rFonts w:ascii="Arial" w:hAnsi="Arial" w:cs="Arial"/>
                <w:sz w:val="16"/>
                <w:szCs w:val="16"/>
              </w:rPr>
              <w:t xml:space="preserve"> procedures</w:t>
            </w:r>
            <w:r w:rsidRPr="001F151E">
              <w:rPr>
                <w:rFonts w:ascii="Arial" w:hAnsi="Arial" w:cs="Arial"/>
                <w:sz w:val="16"/>
                <w:szCs w:val="16"/>
              </w:rPr>
              <w:t xml:space="preserve"> if necessary</w:t>
            </w:r>
            <w:r w:rsidR="00B4700A" w:rsidRPr="001F151E">
              <w:rPr>
                <w:rFonts w:ascii="Arial" w:hAnsi="Arial" w:cs="Arial"/>
                <w:sz w:val="16"/>
                <w:szCs w:val="16"/>
              </w:rPr>
              <w:t>.</w:t>
            </w:r>
          </w:p>
        </w:tc>
        <w:tc>
          <w:tcPr>
            <w:tcW w:w="751" w:type="dxa"/>
            <w:tcBorders>
              <w:top w:val="single" w:sz="4" w:space="0" w:color="auto"/>
              <w:left w:val="single" w:sz="4" w:space="0" w:color="auto"/>
              <w:bottom w:val="single" w:sz="4" w:space="0" w:color="auto"/>
              <w:right w:val="single" w:sz="4" w:space="0" w:color="auto"/>
            </w:tcBorders>
            <w:vAlign w:val="center"/>
          </w:tcPr>
          <w:p w14:paraId="1DDACF1B" w14:textId="5E59D6BF" w:rsidR="0007140E" w:rsidRPr="001F151E" w:rsidRDefault="00284E31" w:rsidP="00611D69">
            <w:pPr>
              <w:jc w:val="center"/>
              <w:rPr>
                <w:sz w:val="16"/>
                <w:szCs w:val="16"/>
              </w:rPr>
            </w:pPr>
            <w:r w:rsidRPr="001F151E">
              <w:rPr>
                <w:sz w:val="16"/>
                <w:szCs w:val="16"/>
              </w:rPr>
              <w:t>Q1 2023</w:t>
            </w:r>
          </w:p>
        </w:tc>
        <w:tc>
          <w:tcPr>
            <w:tcW w:w="742" w:type="dxa"/>
            <w:tcBorders>
              <w:top w:val="single" w:sz="4" w:space="0" w:color="auto"/>
              <w:left w:val="single" w:sz="4" w:space="0" w:color="auto"/>
              <w:bottom w:val="single" w:sz="4" w:space="0" w:color="auto"/>
              <w:right w:val="single" w:sz="4" w:space="0" w:color="auto"/>
            </w:tcBorders>
            <w:vAlign w:val="center"/>
          </w:tcPr>
          <w:p w14:paraId="6E47FF65" w14:textId="54F16AD5" w:rsidR="0007140E" w:rsidRPr="001F151E" w:rsidRDefault="00284E31" w:rsidP="00611D69">
            <w:pPr>
              <w:jc w:val="center"/>
              <w:rPr>
                <w:sz w:val="16"/>
                <w:szCs w:val="16"/>
              </w:rPr>
            </w:pPr>
            <w:r w:rsidRPr="001F151E">
              <w:rPr>
                <w:sz w:val="16"/>
                <w:szCs w:val="16"/>
              </w:rPr>
              <w:t>Q4 2024</w:t>
            </w:r>
          </w:p>
        </w:tc>
        <w:tc>
          <w:tcPr>
            <w:tcW w:w="1684" w:type="dxa"/>
            <w:vMerge w:val="restart"/>
            <w:tcBorders>
              <w:top w:val="single" w:sz="4" w:space="0" w:color="auto"/>
              <w:left w:val="single" w:sz="4" w:space="0" w:color="auto"/>
              <w:bottom w:val="single" w:sz="4" w:space="0" w:color="auto"/>
              <w:right w:val="single" w:sz="4" w:space="0" w:color="auto"/>
            </w:tcBorders>
          </w:tcPr>
          <w:p w14:paraId="5B1DB58F" w14:textId="77777777" w:rsidR="0007140E" w:rsidRPr="001F151E" w:rsidRDefault="0007140E" w:rsidP="002B7FF8">
            <w:pPr>
              <w:rPr>
                <w:b/>
                <w:bCs/>
                <w:sz w:val="16"/>
                <w:szCs w:val="16"/>
              </w:rPr>
            </w:pPr>
            <w:r w:rsidRPr="001F151E">
              <w:rPr>
                <w:b/>
                <w:bCs/>
                <w:sz w:val="16"/>
                <w:szCs w:val="16"/>
              </w:rPr>
              <w:t xml:space="preserve">Responsible entity: </w:t>
            </w:r>
          </w:p>
          <w:p w14:paraId="1DCB1022" w14:textId="4509CC8E" w:rsidR="0007140E" w:rsidRPr="001F151E" w:rsidRDefault="0007140E" w:rsidP="002B7FF8">
            <w:pPr>
              <w:rPr>
                <w:sz w:val="16"/>
                <w:szCs w:val="16"/>
              </w:rPr>
            </w:pPr>
            <w:r w:rsidRPr="001F151E">
              <w:rPr>
                <w:sz w:val="16"/>
                <w:szCs w:val="16"/>
              </w:rPr>
              <w:t>DPIM</w:t>
            </w:r>
            <w:r w:rsidR="00611D69" w:rsidRPr="001F151E">
              <w:rPr>
                <w:sz w:val="16"/>
                <w:szCs w:val="16"/>
              </w:rPr>
              <w:t xml:space="preserve"> (lead)</w:t>
            </w:r>
            <w:r w:rsidRPr="001F151E">
              <w:rPr>
                <w:sz w:val="16"/>
                <w:szCs w:val="16"/>
              </w:rPr>
              <w:t>, B</w:t>
            </w:r>
            <w:r w:rsidR="00611D69" w:rsidRPr="001F151E">
              <w:rPr>
                <w:sz w:val="16"/>
                <w:szCs w:val="16"/>
              </w:rPr>
              <w:t>udget Institutions</w:t>
            </w:r>
            <w:r w:rsidRPr="001F151E">
              <w:rPr>
                <w:sz w:val="16"/>
                <w:szCs w:val="16"/>
              </w:rPr>
              <w:t xml:space="preserve">, </w:t>
            </w:r>
          </w:p>
          <w:p w14:paraId="1236B262" w14:textId="77777777" w:rsidR="0007140E" w:rsidRPr="001F151E" w:rsidRDefault="0007140E" w:rsidP="002B7FF8">
            <w:pPr>
              <w:pStyle w:val="EcorysBody"/>
              <w:rPr>
                <w:rFonts w:ascii="Arial" w:hAnsi="Arial" w:cs="Arial"/>
                <w:b/>
                <w:bCs/>
                <w:sz w:val="16"/>
                <w:szCs w:val="16"/>
              </w:rPr>
            </w:pPr>
          </w:p>
          <w:p w14:paraId="57661EC2" w14:textId="77777777" w:rsidR="0007140E" w:rsidRPr="001F151E" w:rsidRDefault="0007140E" w:rsidP="002B7FF8">
            <w:pPr>
              <w:pStyle w:val="EcorysBody"/>
              <w:rPr>
                <w:rFonts w:ascii="Arial" w:hAnsi="Arial" w:cs="Arial"/>
                <w:b/>
                <w:bCs/>
                <w:sz w:val="16"/>
                <w:szCs w:val="16"/>
              </w:rPr>
            </w:pPr>
            <w:r w:rsidRPr="001F151E">
              <w:rPr>
                <w:rFonts w:ascii="Arial" w:hAnsi="Arial" w:cs="Arial"/>
                <w:b/>
                <w:bCs/>
                <w:sz w:val="16"/>
                <w:szCs w:val="16"/>
              </w:rPr>
              <w:t>Partners:</w:t>
            </w:r>
          </w:p>
          <w:p w14:paraId="03B6EB6C" w14:textId="31C71E83" w:rsidR="0007140E" w:rsidRPr="001F151E" w:rsidRDefault="00DD1B39" w:rsidP="002B7FF8">
            <w:pPr>
              <w:pStyle w:val="EcorysBody"/>
              <w:rPr>
                <w:rFonts w:ascii="Arial" w:hAnsi="Arial" w:cs="Arial"/>
                <w:sz w:val="16"/>
                <w:szCs w:val="16"/>
              </w:rPr>
            </w:pPr>
            <w:r w:rsidRPr="001F151E">
              <w:rPr>
                <w:rFonts w:ascii="Arial" w:hAnsi="Arial" w:cs="Arial"/>
                <w:sz w:val="16"/>
                <w:szCs w:val="16"/>
              </w:rPr>
              <w:t>World Bank</w:t>
            </w:r>
          </w:p>
          <w:p w14:paraId="1B7233C7" w14:textId="77777777" w:rsidR="0007140E" w:rsidRPr="001F151E" w:rsidRDefault="0007140E" w:rsidP="002B7FF8">
            <w:pPr>
              <w:rPr>
                <w:sz w:val="16"/>
                <w:szCs w:val="16"/>
              </w:rPr>
            </w:pPr>
          </w:p>
        </w:tc>
      </w:tr>
      <w:tr w:rsidR="0007140E" w:rsidRPr="001F151E" w14:paraId="42798187" w14:textId="77777777" w:rsidTr="00611D69">
        <w:trPr>
          <w:trHeight w:val="32"/>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32AE931C" w14:textId="77777777" w:rsidR="0007140E" w:rsidRPr="001F151E" w:rsidRDefault="0007140E" w:rsidP="002B7FF8">
            <w:pPr>
              <w:spacing w:line="240" w:lineRule="auto"/>
              <w:rPr>
                <w:b/>
                <w:bCs/>
                <w:sz w:val="16"/>
                <w:szCs w:val="16"/>
              </w:rPr>
            </w:pPr>
          </w:p>
        </w:tc>
        <w:tc>
          <w:tcPr>
            <w:tcW w:w="3717" w:type="dxa"/>
            <w:tcBorders>
              <w:top w:val="single" w:sz="4" w:space="0" w:color="auto"/>
              <w:left w:val="single" w:sz="4" w:space="0" w:color="auto"/>
              <w:bottom w:val="single" w:sz="4" w:space="0" w:color="auto"/>
              <w:right w:val="single" w:sz="4" w:space="0" w:color="auto"/>
            </w:tcBorders>
            <w:vAlign w:val="center"/>
            <w:hideMark/>
          </w:tcPr>
          <w:p w14:paraId="6E4E6E70" w14:textId="5421DA78" w:rsidR="0007140E" w:rsidRPr="001F151E" w:rsidRDefault="0007140E" w:rsidP="00B45892">
            <w:pPr>
              <w:pStyle w:val="EcorysBody"/>
              <w:numPr>
                <w:ilvl w:val="0"/>
                <w:numId w:val="34"/>
              </w:numPr>
              <w:rPr>
                <w:rFonts w:ascii="Arial" w:hAnsi="Arial" w:cs="Arial"/>
                <w:sz w:val="16"/>
                <w:szCs w:val="16"/>
              </w:rPr>
            </w:pPr>
            <w:r w:rsidRPr="001F151E">
              <w:rPr>
                <w:rFonts w:ascii="Arial" w:hAnsi="Arial" w:cs="Arial"/>
                <w:sz w:val="16"/>
                <w:szCs w:val="16"/>
              </w:rPr>
              <w:t>Adapt AFMIS to reflect changes</w:t>
            </w:r>
            <w:r w:rsidR="00D902D3" w:rsidRPr="001F151E">
              <w:rPr>
                <w:rFonts w:ascii="Arial" w:hAnsi="Arial" w:cs="Arial"/>
                <w:sz w:val="16"/>
                <w:szCs w:val="16"/>
              </w:rPr>
              <w:t xml:space="preserve"> related to the newly approved PIM procedures</w:t>
            </w:r>
            <w:r w:rsidRPr="001F151E">
              <w:rPr>
                <w:rFonts w:ascii="Arial" w:hAnsi="Arial" w:cs="Arial"/>
                <w:sz w:val="16"/>
                <w:szCs w:val="16"/>
              </w:rPr>
              <w:t>.</w:t>
            </w:r>
          </w:p>
        </w:tc>
        <w:tc>
          <w:tcPr>
            <w:tcW w:w="751" w:type="dxa"/>
            <w:tcBorders>
              <w:top w:val="single" w:sz="4" w:space="0" w:color="auto"/>
              <w:left w:val="single" w:sz="4" w:space="0" w:color="auto"/>
              <w:bottom w:val="single" w:sz="4" w:space="0" w:color="auto"/>
              <w:right w:val="single" w:sz="4" w:space="0" w:color="auto"/>
            </w:tcBorders>
            <w:vAlign w:val="center"/>
          </w:tcPr>
          <w:p w14:paraId="51EFB3A6" w14:textId="5B4B1134" w:rsidR="0007140E" w:rsidRPr="001F151E" w:rsidRDefault="0072161F" w:rsidP="00611D69">
            <w:pPr>
              <w:jc w:val="center"/>
              <w:rPr>
                <w:sz w:val="16"/>
                <w:szCs w:val="16"/>
              </w:rPr>
            </w:pPr>
            <w:r w:rsidRPr="001F151E">
              <w:rPr>
                <w:sz w:val="16"/>
                <w:szCs w:val="16"/>
              </w:rPr>
              <w:t>Q1 2024</w:t>
            </w:r>
          </w:p>
        </w:tc>
        <w:tc>
          <w:tcPr>
            <w:tcW w:w="742" w:type="dxa"/>
            <w:tcBorders>
              <w:top w:val="single" w:sz="4" w:space="0" w:color="auto"/>
              <w:left w:val="single" w:sz="4" w:space="0" w:color="auto"/>
              <w:bottom w:val="single" w:sz="4" w:space="0" w:color="auto"/>
              <w:right w:val="single" w:sz="4" w:space="0" w:color="auto"/>
            </w:tcBorders>
            <w:vAlign w:val="center"/>
          </w:tcPr>
          <w:p w14:paraId="73CBD5F9" w14:textId="6465B8EA" w:rsidR="0007140E" w:rsidRPr="001F151E" w:rsidRDefault="0072161F" w:rsidP="00611D69">
            <w:pPr>
              <w:jc w:val="center"/>
              <w:rPr>
                <w:sz w:val="16"/>
                <w:szCs w:val="16"/>
              </w:rPr>
            </w:pPr>
            <w:r w:rsidRPr="001F151E">
              <w:rPr>
                <w:sz w:val="16"/>
                <w:szCs w:val="16"/>
              </w:rPr>
              <w:t>Q4 2024</w:t>
            </w: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6DDC9628" w14:textId="77777777" w:rsidR="0007140E" w:rsidRPr="001F151E" w:rsidRDefault="0007140E" w:rsidP="002B7FF8">
            <w:pPr>
              <w:spacing w:line="240" w:lineRule="auto"/>
              <w:rPr>
                <w:sz w:val="16"/>
                <w:szCs w:val="16"/>
              </w:rPr>
            </w:pPr>
          </w:p>
        </w:tc>
      </w:tr>
      <w:tr w:rsidR="0072161F" w:rsidRPr="001F151E" w14:paraId="0A4B4366" w14:textId="77777777" w:rsidTr="00611D69">
        <w:trPr>
          <w:trHeight w:val="2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A6B01C4" w14:textId="77777777" w:rsidR="0072161F" w:rsidRPr="001F151E" w:rsidRDefault="0072161F" w:rsidP="0072161F">
            <w:pPr>
              <w:spacing w:line="240" w:lineRule="auto"/>
              <w:rPr>
                <w:b/>
                <w:bCs/>
                <w:sz w:val="16"/>
                <w:szCs w:val="16"/>
              </w:rPr>
            </w:pPr>
          </w:p>
        </w:tc>
        <w:tc>
          <w:tcPr>
            <w:tcW w:w="3717" w:type="dxa"/>
            <w:tcBorders>
              <w:top w:val="single" w:sz="4" w:space="0" w:color="auto"/>
              <w:left w:val="single" w:sz="4" w:space="0" w:color="auto"/>
              <w:bottom w:val="single" w:sz="4" w:space="0" w:color="auto"/>
              <w:right w:val="single" w:sz="4" w:space="0" w:color="auto"/>
            </w:tcBorders>
            <w:vAlign w:val="center"/>
            <w:hideMark/>
          </w:tcPr>
          <w:p w14:paraId="062FA15C" w14:textId="5182D307" w:rsidR="0072161F" w:rsidRPr="001F151E" w:rsidRDefault="0072161F" w:rsidP="00B45892">
            <w:pPr>
              <w:pStyle w:val="EcorysBody"/>
              <w:numPr>
                <w:ilvl w:val="0"/>
                <w:numId w:val="34"/>
              </w:numPr>
              <w:rPr>
                <w:rFonts w:ascii="Arial" w:hAnsi="Arial" w:cs="Arial"/>
                <w:sz w:val="16"/>
                <w:szCs w:val="16"/>
              </w:rPr>
            </w:pPr>
            <w:r w:rsidRPr="001F151E">
              <w:rPr>
                <w:rFonts w:ascii="Arial" w:hAnsi="Arial" w:cs="Arial"/>
                <w:sz w:val="16"/>
                <w:szCs w:val="16"/>
              </w:rPr>
              <w:t>Plan and deliver training activities for monitoring and reporting on Public Investment Projects.</w:t>
            </w:r>
          </w:p>
        </w:tc>
        <w:tc>
          <w:tcPr>
            <w:tcW w:w="751" w:type="dxa"/>
            <w:tcBorders>
              <w:top w:val="single" w:sz="4" w:space="0" w:color="auto"/>
              <w:left w:val="single" w:sz="4" w:space="0" w:color="auto"/>
              <w:bottom w:val="single" w:sz="4" w:space="0" w:color="auto"/>
              <w:right w:val="single" w:sz="4" w:space="0" w:color="auto"/>
            </w:tcBorders>
            <w:vAlign w:val="center"/>
          </w:tcPr>
          <w:p w14:paraId="6C4E0223" w14:textId="042C709A" w:rsidR="0072161F" w:rsidRPr="001F151E" w:rsidRDefault="0072161F" w:rsidP="00611D69">
            <w:pPr>
              <w:jc w:val="center"/>
              <w:rPr>
                <w:sz w:val="16"/>
                <w:szCs w:val="16"/>
              </w:rPr>
            </w:pPr>
            <w:r w:rsidRPr="001F151E">
              <w:rPr>
                <w:sz w:val="16"/>
                <w:szCs w:val="16"/>
              </w:rPr>
              <w:t>Q2 2024</w:t>
            </w:r>
          </w:p>
        </w:tc>
        <w:tc>
          <w:tcPr>
            <w:tcW w:w="742" w:type="dxa"/>
            <w:tcBorders>
              <w:top w:val="single" w:sz="4" w:space="0" w:color="auto"/>
              <w:left w:val="single" w:sz="4" w:space="0" w:color="auto"/>
              <w:bottom w:val="single" w:sz="4" w:space="0" w:color="auto"/>
              <w:right w:val="single" w:sz="4" w:space="0" w:color="auto"/>
            </w:tcBorders>
            <w:vAlign w:val="center"/>
          </w:tcPr>
          <w:p w14:paraId="07B4F001" w14:textId="605B1CBE" w:rsidR="0072161F" w:rsidRPr="001F151E" w:rsidRDefault="0072161F" w:rsidP="00611D69">
            <w:pPr>
              <w:jc w:val="center"/>
              <w:rPr>
                <w:sz w:val="16"/>
                <w:szCs w:val="16"/>
              </w:rPr>
            </w:pPr>
            <w:r w:rsidRPr="001F151E">
              <w:rPr>
                <w:sz w:val="16"/>
                <w:szCs w:val="16"/>
              </w:rPr>
              <w:t>Q4 2026</w:t>
            </w: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4368106F" w14:textId="77777777" w:rsidR="0072161F" w:rsidRPr="001F151E" w:rsidRDefault="0072161F" w:rsidP="0072161F">
            <w:pPr>
              <w:spacing w:line="240" w:lineRule="auto"/>
              <w:rPr>
                <w:sz w:val="16"/>
                <w:szCs w:val="16"/>
              </w:rPr>
            </w:pPr>
          </w:p>
        </w:tc>
      </w:tr>
      <w:tr w:rsidR="0072161F" w:rsidRPr="001F151E" w14:paraId="634F7816" w14:textId="77777777" w:rsidTr="00611D69">
        <w:trPr>
          <w:trHeight w:val="20"/>
        </w:trPr>
        <w:tc>
          <w:tcPr>
            <w:tcW w:w="2122" w:type="dxa"/>
            <w:vMerge w:val="restart"/>
            <w:tcBorders>
              <w:top w:val="single" w:sz="4" w:space="0" w:color="auto"/>
              <w:left w:val="single" w:sz="4" w:space="0" w:color="auto"/>
              <w:right w:val="single" w:sz="4" w:space="0" w:color="auto"/>
            </w:tcBorders>
          </w:tcPr>
          <w:p w14:paraId="04656811" w14:textId="77777777" w:rsidR="0072161F" w:rsidRPr="001F151E" w:rsidRDefault="0072161F" w:rsidP="0072161F">
            <w:pPr>
              <w:spacing w:line="240" w:lineRule="auto"/>
              <w:rPr>
                <w:b/>
                <w:bCs/>
                <w:sz w:val="16"/>
                <w:szCs w:val="16"/>
              </w:rPr>
            </w:pPr>
            <w:r w:rsidRPr="001F151E">
              <w:rPr>
                <w:b/>
                <w:bCs/>
                <w:sz w:val="16"/>
                <w:szCs w:val="16"/>
              </w:rPr>
              <w:t>Measure 2.5.3 Improve monitoring and reporting on PPP and concession contracts</w:t>
            </w:r>
          </w:p>
        </w:tc>
        <w:tc>
          <w:tcPr>
            <w:tcW w:w="3717" w:type="dxa"/>
            <w:tcBorders>
              <w:top w:val="single" w:sz="4" w:space="0" w:color="auto"/>
              <w:left w:val="single" w:sz="4" w:space="0" w:color="auto"/>
              <w:bottom w:val="single" w:sz="4" w:space="0" w:color="auto"/>
              <w:right w:val="single" w:sz="4" w:space="0" w:color="auto"/>
            </w:tcBorders>
          </w:tcPr>
          <w:p w14:paraId="4155F6A5" w14:textId="19F8C85A" w:rsidR="0072161F" w:rsidRPr="001F151E" w:rsidRDefault="0072161F" w:rsidP="00B45892">
            <w:pPr>
              <w:pStyle w:val="EcorysBody"/>
              <w:numPr>
                <w:ilvl w:val="0"/>
                <w:numId w:val="37"/>
              </w:numPr>
              <w:rPr>
                <w:rFonts w:ascii="Arial" w:hAnsi="Arial" w:cs="Arial"/>
                <w:sz w:val="16"/>
                <w:szCs w:val="16"/>
              </w:rPr>
            </w:pPr>
            <w:r w:rsidRPr="001F151E">
              <w:rPr>
                <w:rFonts w:ascii="Arial" w:hAnsi="Arial" w:cs="Arial"/>
                <w:sz w:val="16"/>
                <w:szCs w:val="16"/>
              </w:rPr>
              <w:t>Update PPP legislation</w:t>
            </w:r>
            <w:r w:rsidR="0078387E">
              <w:rPr>
                <w:rStyle w:val="FootnoteReference"/>
                <w:rFonts w:cs="Arial"/>
              </w:rPr>
              <w:footnoteReference w:id="39"/>
            </w:r>
            <w:r w:rsidRPr="001F151E">
              <w:rPr>
                <w:rFonts w:ascii="Arial" w:hAnsi="Arial" w:cs="Arial"/>
                <w:sz w:val="16"/>
                <w:szCs w:val="16"/>
              </w:rPr>
              <w:t xml:space="preserve"> and relevant sub-legal acts</w:t>
            </w:r>
            <w:r w:rsidRPr="001F151E">
              <w:rPr>
                <w:rStyle w:val="FootnoteReference"/>
                <w:rFonts w:cs="Arial"/>
              </w:rPr>
              <w:footnoteReference w:id="40"/>
            </w:r>
            <w:r w:rsidRPr="001F151E">
              <w:rPr>
                <w:rFonts w:ascii="Arial" w:hAnsi="Arial" w:cs="Arial"/>
                <w:sz w:val="16"/>
                <w:szCs w:val="16"/>
              </w:rPr>
              <w:t xml:space="preserve"> to ensure adequate monitoring and reporting at contract and portfolio/program level.</w:t>
            </w:r>
          </w:p>
        </w:tc>
        <w:tc>
          <w:tcPr>
            <w:tcW w:w="751" w:type="dxa"/>
            <w:tcBorders>
              <w:top w:val="single" w:sz="4" w:space="0" w:color="auto"/>
              <w:left w:val="single" w:sz="4" w:space="0" w:color="auto"/>
              <w:bottom w:val="single" w:sz="4" w:space="0" w:color="auto"/>
              <w:right w:val="single" w:sz="4" w:space="0" w:color="auto"/>
            </w:tcBorders>
            <w:vAlign w:val="center"/>
          </w:tcPr>
          <w:p w14:paraId="19E3E0B3" w14:textId="6D9BA900" w:rsidR="0072161F" w:rsidRPr="001F151E" w:rsidRDefault="00C157D5" w:rsidP="00611D69">
            <w:pPr>
              <w:jc w:val="center"/>
              <w:rPr>
                <w:sz w:val="16"/>
                <w:szCs w:val="16"/>
              </w:rPr>
            </w:pPr>
            <w:r w:rsidRPr="001F151E">
              <w:rPr>
                <w:sz w:val="16"/>
                <w:szCs w:val="16"/>
              </w:rPr>
              <w:t>Q4 2024</w:t>
            </w:r>
          </w:p>
        </w:tc>
        <w:tc>
          <w:tcPr>
            <w:tcW w:w="742" w:type="dxa"/>
            <w:tcBorders>
              <w:top w:val="single" w:sz="4" w:space="0" w:color="auto"/>
              <w:left w:val="single" w:sz="4" w:space="0" w:color="auto"/>
              <w:bottom w:val="single" w:sz="4" w:space="0" w:color="auto"/>
              <w:right w:val="single" w:sz="4" w:space="0" w:color="auto"/>
            </w:tcBorders>
            <w:vAlign w:val="center"/>
          </w:tcPr>
          <w:p w14:paraId="562FF4D0" w14:textId="5EB6502F" w:rsidR="0072161F" w:rsidRPr="001F151E" w:rsidRDefault="00C157D5" w:rsidP="00611D69">
            <w:pPr>
              <w:jc w:val="center"/>
              <w:rPr>
                <w:sz w:val="16"/>
                <w:szCs w:val="16"/>
              </w:rPr>
            </w:pPr>
            <w:r w:rsidRPr="001F151E">
              <w:rPr>
                <w:sz w:val="16"/>
                <w:szCs w:val="16"/>
              </w:rPr>
              <w:t>Q4 2025</w:t>
            </w:r>
          </w:p>
        </w:tc>
        <w:tc>
          <w:tcPr>
            <w:tcW w:w="1684" w:type="dxa"/>
            <w:vMerge w:val="restart"/>
            <w:tcBorders>
              <w:top w:val="single" w:sz="4" w:space="0" w:color="auto"/>
              <w:left w:val="single" w:sz="4" w:space="0" w:color="auto"/>
              <w:right w:val="single" w:sz="4" w:space="0" w:color="auto"/>
            </w:tcBorders>
          </w:tcPr>
          <w:p w14:paraId="08CFBBD6" w14:textId="77777777" w:rsidR="0072161F" w:rsidRPr="001F151E" w:rsidRDefault="0072161F" w:rsidP="0072161F">
            <w:pPr>
              <w:spacing w:line="240" w:lineRule="auto"/>
              <w:rPr>
                <w:b/>
                <w:bCs/>
                <w:sz w:val="16"/>
                <w:szCs w:val="16"/>
              </w:rPr>
            </w:pPr>
            <w:r w:rsidRPr="001F151E">
              <w:rPr>
                <w:b/>
                <w:bCs/>
                <w:sz w:val="16"/>
                <w:szCs w:val="16"/>
              </w:rPr>
              <w:t>Responsible entity:</w:t>
            </w:r>
          </w:p>
          <w:p w14:paraId="2465C647" w14:textId="23F93DE1" w:rsidR="0072161F" w:rsidRPr="001F151E" w:rsidRDefault="0072161F" w:rsidP="0072161F">
            <w:pPr>
              <w:spacing w:line="240" w:lineRule="auto"/>
              <w:rPr>
                <w:sz w:val="16"/>
                <w:szCs w:val="16"/>
              </w:rPr>
            </w:pPr>
            <w:r w:rsidRPr="001F151E">
              <w:rPr>
                <w:sz w:val="16"/>
                <w:szCs w:val="16"/>
              </w:rPr>
              <w:t xml:space="preserve">DC (lead), ATRAKO, DPIM, </w:t>
            </w:r>
          </w:p>
          <w:p w14:paraId="6F745AD8" w14:textId="77777777" w:rsidR="0072161F" w:rsidRPr="001F151E" w:rsidRDefault="0072161F" w:rsidP="0072161F">
            <w:pPr>
              <w:spacing w:line="240" w:lineRule="auto"/>
              <w:rPr>
                <w:sz w:val="16"/>
                <w:szCs w:val="16"/>
              </w:rPr>
            </w:pPr>
          </w:p>
          <w:p w14:paraId="5DCE147E" w14:textId="77777777" w:rsidR="0072161F" w:rsidRPr="001F151E" w:rsidRDefault="0072161F" w:rsidP="0072161F">
            <w:pPr>
              <w:spacing w:line="240" w:lineRule="auto"/>
              <w:rPr>
                <w:sz w:val="16"/>
                <w:szCs w:val="16"/>
              </w:rPr>
            </w:pPr>
            <w:r w:rsidRPr="001F151E">
              <w:rPr>
                <w:sz w:val="16"/>
                <w:szCs w:val="16"/>
              </w:rPr>
              <w:t>Partners:</w:t>
            </w:r>
          </w:p>
          <w:p w14:paraId="45F501B6" w14:textId="77777777" w:rsidR="0072161F" w:rsidRPr="001F151E" w:rsidRDefault="0072161F" w:rsidP="0072161F">
            <w:pPr>
              <w:spacing w:line="240" w:lineRule="auto"/>
              <w:rPr>
                <w:sz w:val="16"/>
                <w:szCs w:val="16"/>
              </w:rPr>
            </w:pPr>
            <w:r w:rsidRPr="001F151E">
              <w:rPr>
                <w:sz w:val="16"/>
                <w:szCs w:val="16"/>
              </w:rPr>
              <w:t>IMF, EU</w:t>
            </w:r>
            <w:r w:rsidRPr="001F151E">
              <w:rPr>
                <w:rStyle w:val="FootnoteReference"/>
              </w:rPr>
              <w:footnoteReference w:id="41"/>
            </w:r>
          </w:p>
        </w:tc>
      </w:tr>
      <w:tr w:rsidR="0072161F" w:rsidRPr="001F151E" w14:paraId="5E939E74" w14:textId="77777777" w:rsidTr="00611D69">
        <w:trPr>
          <w:trHeight w:val="20"/>
        </w:trPr>
        <w:tc>
          <w:tcPr>
            <w:tcW w:w="2122" w:type="dxa"/>
            <w:vMerge/>
            <w:tcBorders>
              <w:left w:val="single" w:sz="4" w:space="0" w:color="auto"/>
              <w:right w:val="single" w:sz="4" w:space="0" w:color="auto"/>
            </w:tcBorders>
            <w:vAlign w:val="center"/>
          </w:tcPr>
          <w:p w14:paraId="7ABEBD14" w14:textId="77777777" w:rsidR="0072161F" w:rsidRPr="001F151E" w:rsidRDefault="0072161F" w:rsidP="0072161F">
            <w:pPr>
              <w:spacing w:line="240" w:lineRule="auto"/>
              <w:rPr>
                <w:b/>
                <w:bCs/>
                <w:sz w:val="16"/>
                <w:szCs w:val="16"/>
              </w:rPr>
            </w:pPr>
          </w:p>
        </w:tc>
        <w:tc>
          <w:tcPr>
            <w:tcW w:w="3717" w:type="dxa"/>
            <w:tcBorders>
              <w:top w:val="single" w:sz="4" w:space="0" w:color="auto"/>
              <w:left w:val="single" w:sz="4" w:space="0" w:color="auto"/>
              <w:bottom w:val="single" w:sz="4" w:space="0" w:color="auto"/>
              <w:right w:val="single" w:sz="4" w:space="0" w:color="auto"/>
            </w:tcBorders>
            <w:vAlign w:val="center"/>
          </w:tcPr>
          <w:p w14:paraId="0268A759" w14:textId="000010F0" w:rsidR="0072161F" w:rsidRPr="001F151E" w:rsidRDefault="0072161F" w:rsidP="00B45892">
            <w:pPr>
              <w:pStyle w:val="EcorysBody"/>
              <w:numPr>
                <w:ilvl w:val="0"/>
                <w:numId w:val="37"/>
              </w:numPr>
              <w:rPr>
                <w:rFonts w:ascii="Arial" w:hAnsi="Arial" w:cs="Arial"/>
                <w:sz w:val="16"/>
                <w:szCs w:val="16"/>
              </w:rPr>
            </w:pPr>
            <w:r w:rsidRPr="001F151E">
              <w:rPr>
                <w:rFonts w:ascii="Arial" w:hAnsi="Arial" w:cs="Arial"/>
                <w:sz w:val="16"/>
                <w:szCs w:val="16"/>
              </w:rPr>
              <w:t>Develop a dedicated information system for monitoring and reporting on PPPs and concession contracts and prepare for necessary interfaces with other systems.</w:t>
            </w:r>
          </w:p>
        </w:tc>
        <w:tc>
          <w:tcPr>
            <w:tcW w:w="751" w:type="dxa"/>
            <w:tcBorders>
              <w:top w:val="single" w:sz="4" w:space="0" w:color="auto"/>
              <w:left w:val="single" w:sz="4" w:space="0" w:color="auto"/>
              <w:bottom w:val="single" w:sz="4" w:space="0" w:color="auto"/>
              <w:right w:val="single" w:sz="4" w:space="0" w:color="auto"/>
            </w:tcBorders>
            <w:vAlign w:val="center"/>
          </w:tcPr>
          <w:p w14:paraId="03E8B736" w14:textId="3FC02B1F" w:rsidR="0072161F" w:rsidRPr="001F151E" w:rsidRDefault="008F6F42" w:rsidP="00611D69">
            <w:pPr>
              <w:jc w:val="center"/>
              <w:rPr>
                <w:sz w:val="16"/>
                <w:szCs w:val="16"/>
              </w:rPr>
            </w:pPr>
            <w:r w:rsidRPr="001F151E">
              <w:rPr>
                <w:sz w:val="16"/>
                <w:szCs w:val="16"/>
              </w:rPr>
              <w:t>Q4 2025</w:t>
            </w:r>
          </w:p>
        </w:tc>
        <w:tc>
          <w:tcPr>
            <w:tcW w:w="742" w:type="dxa"/>
            <w:tcBorders>
              <w:top w:val="single" w:sz="4" w:space="0" w:color="auto"/>
              <w:left w:val="single" w:sz="4" w:space="0" w:color="auto"/>
              <w:bottom w:val="single" w:sz="4" w:space="0" w:color="auto"/>
              <w:right w:val="single" w:sz="4" w:space="0" w:color="auto"/>
            </w:tcBorders>
            <w:vAlign w:val="center"/>
          </w:tcPr>
          <w:p w14:paraId="11C936BD" w14:textId="5F96FED9" w:rsidR="0072161F" w:rsidRPr="001F151E" w:rsidRDefault="008F6F42" w:rsidP="00611D69">
            <w:pPr>
              <w:jc w:val="center"/>
              <w:rPr>
                <w:sz w:val="16"/>
                <w:szCs w:val="16"/>
              </w:rPr>
            </w:pPr>
            <w:r w:rsidRPr="001F151E">
              <w:rPr>
                <w:sz w:val="16"/>
                <w:szCs w:val="16"/>
              </w:rPr>
              <w:t>Q4 2026</w:t>
            </w:r>
          </w:p>
        </w:tc>
        <w:tc>
          <w:tcPr>
            <w:tcW w:w="1684" w:type="dxa"/>
            <w:vMerge/>
            <w:tcBorders>
              <w:left w:val="single" w:sz="4" w:space="0" w:color="auto"/>
              <w:right w:val="single" w:sz="4" w:space="0" w:color="auto"/>
            </w:tcBorders>
            <w:vAlign w:val="center"/>
          </w:tcPr>
          <w:p w14:paraId="6F45A9E5" w14:textId="77777777" w:rsidR="0072161F" w:rsidRPr="001F151E" w:rsidRDefault="0072161F" w:rsidP="0072161F">
            <w:pPr>
              <w:spacing w:line="240" w:lineRule="auto"/>
              <w:rPr>
                <w:sz w:val="16"/>
                <w:szCs w:val="16"/>
              </w:rPr>
            </w:pPr>
          </w:p>
        </w:tc>
      </w:tr>
      <w:tr w:rsidR="0072161F" w:rsidRPr="001F151E" w14:paraId="32B8469A" w14:textId="77777777" w:rsidTr="00611D69">
        <w:trPr>
          <w:trHeight w:val="20"/>
        </w:trPr>
        <w:tc>
          <w:tcPr>
            <w:tcW w:w="2122" w:type="dxa"/>
            <w:vMerge/>
            <w:tcBorders>
              <w:left w:val="single" w:sz="4" w:space="0" w:color="auto"/>
              <w:bottom w:val="single" w:sz="4" w:space="0" w:color="auto"/>
              <w:right w:val="single" w:sz="4" w:space="0" w:color="auto"/>
            </w:tcBorders>
            <w:vAlign w:val="center"/>
          </w:tcPr>
          <w:p w14:paraId="6032ABB8" w14:textId="77777777" w:rsidR="0072161F" w:rsidRPr="001F151E" w:rsidRDefault="0072161F" w:rsidP="0072161F">
            <w:pPr>
              <w:spacing w:line="240" w:lineRule="auto"/>
              <w:rPr>
                <w:b/>
                <w:bCs/>
                <w:sz w:val="16"/>
                <w:szCs w:val="16"/>
              </w:rPr>
            </w:pPr>
          </w:p>
        </w:tc>
        <w:tc>
          <w:tcPr>
            <w:tcW w:w="3717" w:type="dxa"/>
            <w:tcBorders>
              <w:top w:val="single" w:sz="4" w:space="0" w:color="auto"/>
              <w:left w:val="single" w:sz="4" w:space="0" w:color="auto"/>
              <w:bottom w:val="single" w:sz="4" w:space="0" w:color="auto"/>
              <w:right w:val="single" w:sz="4" w:space="0" w:color="auto"/>
            </w:tcBorders>
            <w:vAlign w:val="center"/>
          </w:tcPr>
          <w:p w14:paraId="12F29B0C" w14:textId="6911BD21" w:rsidR="0072161F" w:rsidRPr="001F151E" w:rsidRDefault="0072161F" w:rsidP="00B45892">
            <w:pPr>
              <w:pStyle w:val="EcorysBody"/>
              <w:numPr>
                <w:ilvl w:val="0"/>
                <w:numId w:val="37"/>
              </w:numPr>
              <w:rPr>
                <w:rFonts w:ascii="Arial" w:hAnsi="Arial" w:cs="Arial"/>
                <w:sz w:val="16"/>
                <w:szCs w:val="16"/>
              </w:rPr>
            </w:pPr>
            <w:r w:rsidRPr="001F151E">
              <w:rPr>
                <w:rFonts w:ascii="Arial" w:hAnsi="Arial" w:cs="Arial"/>
                <w:sz w:val="16"/>
                <w:szCs w:val="16"/>
              </w:rPr>
              <w:t>Plan and deliver training activities for civil servants responsible for monitoring and reporting of PPP and concession contracts.</w:t>
            </w:r>
          </w:p>
        </w:tc>
        <w:tc>
          <w:tcPr>
            <w:tcW w:w="751" w:type="dxa"/>
            <w:tcBorders>
              <w:top w:val="single" w:sz="4" w:space="0" w:color="auto"/>
              <w:left w:val="single" w:sz="4" w:space="0" w:color="auto"/>
              <w:bottom w:val="single" w:sz="4" w:space="0" w:color="auto"/>
              <w:right w:val="single" w:sz="4" w:space="0" w:color="auto"/>
            </w:tcBorders>
            <w:vAlign w:val="center"/>
          </w:tcPr>
          <w:p w14:paraId="0032CFBD" w14:textId="0CA45496" w:rsidR="0072161F" w:rsidRPr="001F151E" w:rsidRDefault="008F6F42" w:rsidP="00611D69">
            <w:pPr>
              <w:jc w:val="center"/>
              <w:rPr>
                <w:sz w:val="16"/>
                <w:szCs w:val="16"/>
              </w:rPr>
            </w:pPr>
            <w:r w:rsidRPr="001F151E">
              <w:rPr>
                <w:sz w:val="16"/>
                <w:szCs w:val="16"/>
              </w:rPr>
              <w:t xml:space="preserve">Q1 </w:t>
            </w:r>
            <w:r w:rsidR="009D3AD8" w:rsidRPr="001F151E">
              <w:rPr>
                <w:sz w:val="16"/>
                <w:szCs w:val="16"/>
              </w:rPr>
              <w:t>2025</w:t>
            </w:r>
          </w:p>
        </w:tc>
        <w:tc>
          <w:tcPr>
            <w:tcW w:w="742" w:type="dxa"/>
            <w:tcBorders>
              <w:top w:val="single" w:sz="4" w:space="0" w:color="auto"/>
              <w:left w:val="single" w:sz="4" w:space="0" w:color="auto"/>
              <w:bottom w:val="single" w:sz="4" w:space="0" w:color="auto"/>
              <w:right w:val="single" w:sz="4" w:space="0" w:color="auto"/>
            </w:tcBorders>
            <w:vAlign w:val="center"/>
          </w:tcPr>
          <w:p w14:paraId="385837DD" w14:textId="1A1BCF7E" w:rsidR="0072161F" w:rsidRPr="001F151E" w:rsidRDefault="008F6F42" w:rsidP="00611D69">
            <w:pPr>
              <w:jc w:val="center"/>
              <w:rPr>
                <w:sz w:val="16"/>
                <w:szCs w:val="16"/>
              </w:rPr>
            </w:pPr>
            <w:r w:rsidRPr="001F151E">
              <w:rPr>
                <w:sz w:val="16"/>
                <w:szCs w:val="16"/>
              </w:rPr>
              <w:t xml:space="preserve">Q4 </w:t>
            </w:r>
            <w:r w:rsidR="009D3AD8" w:rsidRPr="001F151E">
              <w:rPr>
                <w:sz w:val="16"/>
                <w:szCs w:val="16"/>
              </w:rPr>
              <w:t>2026</w:t>
            </w:r>
          </w:p>
        </w:tc>
        <w:tc>
          <w:tcPr>
            <w:tcW w:w="1684" w:type="dxa"/>
            <w:vMerge/>
            <w:tcBorders>
              <w:left w:val="single" w:sz="4" w:space="0" w:color="auto"/>
              <w:bottom w:val="single" w:sz="4" w:space="0" w:color="auto"/>
              <w:right w:val="single" w:sz="4" w:space="0" w:color="auto"/>
            </w:tcBorders>
            <w:vAlign w:val="center"/>
          </w:tcPr>
          <w:p w14:paraId="2B63E797" w14:textId="77777777" w:rsidR="0072161F" w:rsidRPr="001F151E" w:rsidRDefault="0072161F" w:rsidP="0072161F">
            <w:pPr>
              <w:spacing w:line="240" w:lineRule="auto"/>
              <w:rPr>
                <w:sz w:val="16"/>
                <w:szCs w:val="16"/>
              </w:rPr>
            </w:pPr>
          </w:p>
        </w:tc>
      </w:tr>
    </w:tbl>
    <w:p w14:paraId="62794501" w14:textId="77777777" w:rsidR="0007140E" w:rsidRPr="001F151E" w:rsidRDefault="0007140E" w:rsidP="0007140E">
      <w:pPr>
        <w:pStyle w:val="H5"/>
        <w:rPr>
          <w:rStyle w:val="IntenseReference"/>
          <w:i w:val="0"/>
          <w:lang w:val="en-GB"/>
        </w:rPr>
      </w:pPr>
    </w:p>
    <w:p w14:paraId="61592701" w14:textId="77777777" w:rsidR="0007140E" w:rsidRPr="001F151E" w:rsidRDefault="0007140E" w:rsidP="0007140E">
      <w:pPr>
        <w:pStyle w:val="H5"/>
        <w:rPr>
          <w:rStyle w:val="IntenseReference"/>
          <w:i w:val="0"/>
          <w:lang w:val="en-GB"/>
        </w:rPr>
      </w:pPr>
      <w:r w:rsidRPr="001F151E">
        <w:rPr>
          <w:rStyle w:val="IntenseReference"/>
          <w:i w:val="0"/>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07140E" w:rsidRPr="001F151E" w14:paraId="1BC25F67" w14:textId="77777777" w:rsidTr="002B7FF8">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99A93" w14:textId="77777777" w:rsidR="0007140E" w:rsidRPr="001F151E" w:rsidRDefault="0007140E" w:rsidP="002B7FF8">
            <w:pPr>
              <w:pStyle w:val="T-bold"/>
            </w:pPr>
            <w:bookmarkStart w:id="31" w:name="_Hlk150325807"/>
            <w:bookmarkEnd w:id="22"/>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6BDAE2" w14:textId="77777777" w:rsidR="0007140E" w:rsidRPr="001F151E" w:rsidRDefault="0007140E" w:rsidP="002B7FF8">
            <w:pPr>
              <w:pStyle w:val="T-bold"/>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B8F601" w14:textId="77777777" w:rsidR="0007140E" w:rsidRPr="001F151E" w:rsidRDefault="0007140E" w:rsidP="002B7FF8">
            <w:pPr>
              <w:pStyle w:val="T-bold"/>
              <w:jc w:val="center"/>
            </w:pPr>
            <w:r w:rsidRPr="001F151E">
              <w:t>Target Value</w:t>
            </w:r>
          </w:p>
        </w:tc>
      </w:tr>
      <w:tr w:rsidR="0007140E" w:rsidRPr="001F151E" w14:paraId="3AEEC271" w14:textId="77777777" w:rsidTr="002B7FF8">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AD2C07F" w14:textId="77777777" w:rsidR="0007140E" w:rsidRPr="001F151E" w:rsidRDefault="0007140E" w:rsidP="002B7FF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22F85F4" w14:textId="77777777" w:rsidR="0007140E" w:rsidRPr="001F151E" w:rsidRDefault="0007140E" w:rsidP="002B7FF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2B5DD" w14:textId="77777777" w:rsidR="0007140E" w:rsidRPr="001F151E" w:rsidRDefault="0007140E" w:rsidP="002B7FF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7990E" w14:textId="77777777" w:rsidR="0007140E" w:rsidRPr="001F151E" w:rsidRDefault="0007140E" w:rsidP="002B7FF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789A7" w14:textId="77777777" w:rsidR="0007140E" w:rsidRPr="001F151E" w:rsidRDefault="0007140E" w:rsidP="002B7FF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87DCB" w14:textId="77777777" w:rsidR="0007140E" w:rsidRPr="001F151E" w:rsidRDefault="0007140E" w:rsidP="002B7FF8">
            <w:pPr>
              <w:pStyle w:val="T-bold"/>
              <w:jc w:val="center"/>
            </w:pPr>
            <w:r w:rsidRPr="001F151E">
              <w:t>2026</w:t>
            </w:r>
          </w:p>
        </w:tc>
      </w:tr>
      <w:tr w:rsidR="0007140E" w:rsidRPr="001F151E" w14:paraId="1B4CB921" w14:textId="77777777" w:rsidTr="002B7FF8">
        <w:tc>
          <w:tcPr>
            <w:tcW w:w="3114" w:type="dxa"/>
            <w:tcBorders>
              <w:top w:val="single" w:sz="4" w:space="0" w:color="auto"/>
              <w:left w:val="single" w:sz="4" w:space="0" w:color="auto"/>
              <w:bottom w:val="single" w:sz="4" w:space="0" w:color="auto"/>
              <w:right w:val="single" w:sz="4" w:space="0" w:color="auto"/>
            </w:tcBorders>
          </w:tcPr>
          <w:p w14:paraId="331B4F20" w14:textId="263966AB" w:rsidR="0007140E" w:rsidRPr="001F151E" w:rsidRDefault="0007140E" w:rsidP="00B45892">
            <w:pPr>
              <w:pStyle w:val="ListParagraph"/>
              <w:numPr>
                <w:ilvl w:val="0"/>
                <w:numId w:val="38"/>
              </w:numPr>
              <w:rPr>
                <w:sz w:val="16"/>
                <w:szCs w:val="16"/>
              </w:rPr>
            </w:pPr>
            <w:r w:rsidRPr="001F151E">
              <w:rPr>
                <w:sz w:val="16"/>
                <w:szCs w:val="16"/>
              </w:rPr>
              <w:t>PEFA Performance Indicator 28 “In-year budget reports”</w:t>
            </w:r>
          </w:p>
        </w:tc>
        <w:tc>
          <w:tcPr>
            <w:tcW w:w="1180" w:type="dxa"/>
            <w:tcBorders>
              <w:top w:val="single" w:sz="4" w:space="0" w:color="auto"/>
              <w:left w:val="single" w:sz="4" w:space="0" w:color="auto"/>
              <w:bottom w:val="single" w:sz="4" w:space="0" w:color="auto"/>
              <w:right w:val="single" w:sz="4" w:space="0" w:color="auto"/>
            </w:tcBorders>
            <w:vAlign w:val="center"/>
          </w:tcPr>
          <w:p w14:paraId="709C76AE" w14:textId="77777777" w:rsidR="0007140E" w:rsidRPr="001F151E" w:rsidRDefault="0007140E" w:rsidP="0007140E">
            <w:pPr>
              <w:pStyle w:val="T-normal"/>
              <w:jc w:val="center"/>
            </w:pPr>
            <w:r w:rsidRPr="001F151E">
              <w:t xml:space="preserve">D+ </w:t>
            </w:r>
          </w:p>
          <w:p w14:paraId="39B75EE9" w14:textId="5109660A" w:rsidR="0007140E" w:rsidRPr="001F151E" w:rsidRDefault="0007140E" w:rsidP="0007140E">
            <w:pPr>
              <w:pStyle w:val="T-normal"/>
              <w:jc w:val="center"/>
            </w:pPr>
            <w:r w:rsidRPr="001F151E">
              <w:t>(2017)</w:t>
            </w:r>
          </w:p>
        </w:tc>
        <w:tc>
          <w:tcPr>
            <w:tcW w:w="1181" w:type="dxa"/>
            <w:tcBorders>
              <w:top w:val="single" w:sz="4" w:space="0" w:color="auto"/>
              <w:left w:val="single" w:sz="4" w:space="0" w:color="auto"/>
              <w:bottom w:val="single" w:sz="4" w:space="0" w:color="auto"/>
              <w:right w:val="single" w:sz="4" w:space="0" w:color="auto"/>
            </w:tcBorders>
            <w:vAlign w:val="center"/>
          </w:tcPr>
          <w:p w14:paraId="4AC0D3C8" w14:textId="05EBA0AE" w:rsidR="0007140E" w:rsidRPr="001F151E" w:rsidRDefault="0007140E" w:rsidP="0007140E">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62896FE7" w14:textId="29E3B2DC" w:rsidR="0007140E" w:rsidRPr="001F151E" w:rsidRDefault="003174BA" w:rsidP="0007140E">
            <w:pPr>
              <w:pStyle w:val="T-normal"/>
              <w:jc w:val="center"/>
            </w:pPr>
            <w:r>
              <w:t>B</w:t>
            </w:r>
          </w:p>
        </w:tc>
        <w:tc>
          <w:tcPr>
            <w:tcW w:w="1181" w:type="dxa"/>
            <w:tcBorders>
              <w:top w:val="single" w:sz="4" w:space="0" w:color="auto"/>
              <w:left w:val="single" w:sz="4" w:space="0" w:color="auto"/>
              <w:bottom w:val="single" w:sz="4" w:space="0" w:color="auto"/>
              <w:right w:val="single" w:sz="4" w:space="0" w:color="auto"/>
            </w:tcBorders>
            <w:vAlign w:val="center"/>
          </w:tcPr>
          <w:p w14:paraId="4D96DF5D" w14:textId="7A9109B1" w:rsidR="0007140E" w:rsidRPr="001F151E" w:rsidRDefault="003174BA" w:rsidP="0007140E">
            <w:pPr>
              <w:pStyle w:val="T-normal"/>
              <w:jc w:val="center"/>
            </w:pPr>
            <w:r>
              <w:t>B+</w:t>
            </w:r>
          </w:p>
        </w:tc>
        <w:tc>
          <w:tcPr>
            <w:tcW w:w="1181" w:type="dxa"/>
            <w:tcBorders>
              <w:top w:val="single" w:sz="4" w:space="0" w:color="auto"/>
              <w:left w:val="single" w:sz="4" w:space="0" w:color="auto"/>
              <w:bottom w:val="single" w:sz="4" w:space="0" w:color="auto"/>
              <w:right w:val="single" w:sz="4" w:space="0" w:color="auto"/>
            </w:tcBorders>
            <w:vAlign w:val="center"/>
          </w:tcPr>
          <w:p w14:paraId="3003C296" w14:textId="03247AB4" w:rsidR="0007140E" w:rsidRPr="001F151E" w:rsidRDefault="0007140E" w:rsidP="0007140E">
            <w:pPr>
              <w:pStyle w:val="T-normal"/>
              <w:jc w:val="center"/>
            </w:pPr>
            <w:r w:rsidRPr="001F151E">
              <w:t>A</w:t>
            </w:r>
          </w:p>
        </w:tc>
      </w:tr>
      <w:tr w:rsidR="00BF7807" w:rsidRPr="001F151E" w14:paraId="0FA364F2" w14:textId="77777777" w:rsidTr="002B7FF8">
        <w:tc>
          <w:tcPr>
            <w:tcW w:w="3114" w:type="dxa"/>
            <w:tcBorders>
              <w:top w:val="single" w:sz="4" w:space="0" w:color="auto"/>
              <w:left w:val="single" w:sz="4" w:space="0" w:color="auto"/>
              <w:bottom w:val="single" w:sz="4" w:space="0" w:color="auto"/>
              <w:right w:val="single" w:sz="4" w:space="0" w:color="auto"/>
            </w:tcBorders>
          </w:tcPr>
          <w:p w14:paraId="36AC48F2" w14:textId="0EC29284" w:rsidR="00BF7807" w:rsidRPr="001F151E" w:rsidRDefault="00BF7807" w:rsidP="00B45892">
            <w:pPr>
              <w:pStyle w:val="ListParagraph"/>
              <w:numPr>
                <w:ilvl w:val="0"/>
                <w:numId w:val="38"/>
              </w:numPr>
              <w:rPr>
                <w:sz w:val="16"/>
                <w:szCs w:val="16"/>
              </w:rPr>
            </w:pPr>
            <w:r w:rsidRPr="001F151E">
              <w:rPr>
                <w:sz w:val="16"/>
                <w:szCs w:val="16"/>
              </w:rPr>
              <w:t>Citizens Budget Execution Reports published</w:t>
            </w:r>
          </w:p>
        </w:tc>
        <w:tc>
          <w:tcPr>
            <w:tcW w:w="1180" w:type="dxa"/>
            <w:tcBorders>
              <w:top w:val="single" w:sz="4" w:space="0" w:color="auto"/>
              <w:left w:val="single" w:sz="4" w:space="0" w:color="auto"/>
              <w:bottom w:val="single" w:sz="4" w:space="0" w:color="auto"/>
              <w:right w:val="single" w:sz="4" w:space="0" w:color="auto"/>
            </w:tcBorders>
            <w:vAlign w:val="center"/>
          </w:tcPr>
          <w:p w14:paraId="0A773E57" w14:textId="02E8507E" w:rsidR="00BF7807" w:rsidRPr="001F151E" w:rsidRDefault="00CE27F3" w:rsidP="0007140E">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1B9F3B97" w14:textId="2564B4B0" w:rsidR="00BF7807" w:rsidRPr="001F151E" w:rsidRDefault="00CE27F3" w:rsidP="0007140E">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46BDDB3C" w14:textId="28DDAF1B" w:rsidR="00BF7807" w:rsidRPr="001F151E" w:rsidDel="00927AAF" w:rsidRDefault="00BF7807" w:rsidP="0007140E">
            <w:pPr>
              <w:pStyle w:val="T-normal"/>
              <w:jc w:val="center"/>
            </w:pPr>
            <w:r w:rsidRPr="001F151E">
              <w:t>Template approved</w:t>
            </w:r>
          </w:p>
        </w:tc>
        <w:tc>
          <w:tcPr>
            <w:tcW w:w="1181" w:type="dxa"/>
            <w:tcBorders>
              <w:top w:val="single" w:sz="4" w:space="0" w:color="auto"/>
              <w:left w:val="single" w:sz="4" w:space="0" w:color="auto"/>
              <w:bottom w:val="single" w:sz="4" w:space="0" w:color="auto"/>
              <w:right w:val="single" w:sz="4" w:space="0" w:color="auto"/>
            </w:tcBorders>
            <w:vAlign w:val="center"/>
          </w:tcPr>
          <w:p w14:paraId="7C905C4B" w14:textId="7863B36F" w:rsidR="00BF7807" w:rsidRPr="001F151E" w:rsidDel="0016565B" w:rsidRDefault="00BF7807" w:rsidP="0007140E">
            <w:pPr>
              <w:pStyle w:val="T-normal"/>
              <w:jc w:val="center"/>
            </w:pPr>
            <w:r w:rsidRPr="001F151E">
              <w:t>Report published</w:t>
            </w:r>
          </w:p>
        </w:tc>
        <w:tc>
          <w:tcPr>
            <w:tcW w:w="1181" w:type="dxa"/>
            <w:tcBorders>
              <w:top w:val="single" w:sz="4" w:space="0" w:color="auto"/>
              <w:left w:val="single" w:sz="4" w:space="0" w:color="auto"/>
              <w:bottom w:val="single" w:sz="4" w:space="0" w:color="auto"/>
              <w:right w:val="single" w:sz="4" w:space="0" w:color="auto"/>
            </w:tcBorders>
            <w:vAlign w:val="center"/>
          </w:tcPr>
          <w:p w14:paraId="49319EBC" w14:textId="292DCE80" w:rsidR="00BF7807" w:rsidRPr="001F151E" w:rsidRDefault="00BF7807" w:rsidP="0007140E">
            <w:pPr>
              <w:pStyle w:val="T-normal"/>
              <w:jc w:val="center"/>
            </w:pPr>
          </w:p>
        </w:tc>
      </w:tr>
      <w:tr w:rsidR="00025C2F" w:rsidRPr="001F151E" w14:paraId="2CC0D3B4" w14:textId="77777777" w:rsidTr="002B7FF8">
        <w:trPr>
          <w:trHeight w:val="736"/>
        </w:trPr>
        <w:tc>
          <w:tcPr>
            <w:tcW w:w="3114" w:type="dxa"/>
            <w:tcBorders>
              <w:top w:val="single" w:sz="4" w:space="0" w:color="auto"/>
              <w:left w:val="single" w:sz="4" w:space="0" w:color="auto"/>
              <w:bottom w:val="single" w:sz="4" w:space="0" w:color="auto"/>
              <w:right w:val="single" w:sz="4" w:space="0" w:color="auto"/>
            </w:tcBorders>
          </w:tcPr>
          <w:p w14:paraId="1FEDB729" w14:textId="07598810" w:rsidR="00025C2F" w:rsidRPr="001F151E" w:rsidRDefault="00025C2F" w:rsidP="00B45892">
            <w:pPr>
              <w:pStyle w:val="ListParagraph"/>
              <w:numPr>
                <w:ilvl w:val="0"/>
                <w:numId w:val="38"/>
              </w:numPr>
              <w:rPr>
                <w:sz w:val="16"/>
                <w:szCs w:val="16"/>
              </w:rPr>
            </w:pPr>
            <w:r w:rsidRPr="001F151E">
              <w:rPr>
                <w:sz w:val="16"/>
                <w:szCs w:val="16"/>
              </w:rPr>
              <w:t>Development of a dedicated information system for monitoring and reporting on PPPs and concession contracts</w:t>
            </w:r>
          </w:p>
        </w:tc>
        <w:tc>
          <w:tcPr>
            <w:tcW w:w="1180" w:type="dxa"/>
            <w:tcBorders>
              <w:top w:val="single" w:sz="4" w:space="0" w:color="auto"/>
              <w:left w:val="single" w:sz="4" w:space="0" w:color="auto"/>
              <w:bottom w:val="single" w:sz="4" w:space="0" w:color="auto"/>
              <w:right w:val="single" w:sz="4" w:space="0" w:color="auto"/>
            </w:tcBorders>
            <w:vAlign w:val="center"/>
          </w:tcPr>
          <w:p w14:paraId="57647074" w14:textId="5400ACF0" w:rsidR="00025C2F" w:rsidRPr="001F151E" w:rsidRDefault="00CE27F3" w:rsidP="00025C2F">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33AF75E" w14:textId="029C3577" w:rsidR="00025C2F" w:rsidRPr="001F151E" w:rsidRDefault="00025C2F" w:rsidP="00025C2F">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4830BA33" w14:textId="38F750EC" w:rsidR="00025C2F" w:rsidRPr="001F151E" w:rsidRDefault="00CE27F3" w:rsidP="00025C2F">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10640355" w14:textId="3AD13C3B" w:rsidR="00025C2F" w:rsidRPr="001F151E" w:rsidRDefault="00025C2F" w:rsidP="00025C2F">
            <w:pPr>
              <w:pStyle w:val="T-normal"/>
              <w:jc w:val="center"/>
            </w:pPr>
            <w:r w:rsidRPr="001F151E">
              <w:t>Information system is Contracted</w:t>
            </w:r>
          </w:p>
        </w:tc>
        <w:tc>
          <w:tcPr>
            <w:tcW w:w="1181" w:type="dxa"/>
            <w:tcBorders>
              <w:top w:val="single" w:sz="4" w:space="0" w:color="auto"/>
              <w:left w:val="single" w:sz="4" w:space="0" w:color="auto"/>
              <w:bottom w:val="single" w:sz="4" w:space="0" w:color="auto"/>
              <w:right w:val="single" w:sz="4" w:space="0" w:color="auto"/>
            </w:tcBorders>
            <w:vAlign w:val="center"/>
          </w:tcPr>
          <w:p w14:paraId="67E08E52" w14:textId="08007C4D" w:rsidR="00025C2F" w:rsidRPr="001F151E" w:rsidRDefault="00025C2F" w:rsidP="00025C2F">
            <w:pPr>
              <w:pStyle w:val="T-normal"/>
              <w:jc w:val="center"/>
            </w:pPr>
            <w:r w:rsidRPr="001F151E">
              <w:t>Information system is developed and deployed</w:t>
            </w:r>
          </w:p>
        </w:tc>
      </w:tr>
      <w:tr w:rsidR="0007140E" w:rsidRPr="001F151E" w14:paraId="12B8FFFD" w14:textId="77777777" w:rsidTr="002B7FF8">
        <w:trPr>
          <w:trHeight w:val="736"/>
        </w:trPr>
        <w:tc>
          <w:tcPr>
            <w:tcW w:w="3114" w:type="dxa"/>
            <w:tcBorders>
              <w:top w:val="single" w:sz="4" w:space="0" w:color="auto"/>
              <w:left w:val="single" w:sz="4" w:space="0" w:color="auto"/>
              <w:bottom w:val="single" w:sz="4" w:space="0" w:color="auto"/>
              <w:right w:val="single" w:sz="4" w:space="0" w:color="auto"/>
            </w:tcBorders>
          </w:tcPr>
          <w:p w14:paraId="0B57EBF0" w14:textId="53C35151" w:rsidR="0007140E" w:rsidRPr="001F151E" w:rsidRDefault="0007140E" w:rsidP="00B45892">
            <w:pPr>
              <w:pStyle w:val="ListParagraph"/>
              <w:numPr>
                <w:ilvl w:val="0"/>
                <w:numId w:val="38"/>
              </w:numPr>
              <w:rPr>
                <w:sz w:val="16"/>
                <w:szCs w:val="16"/>
              </w:rPr>
            </w:pPr>
            <w:r w:rsidRPr="001F151E">
              <w:rPr>
                <w:sz w:val="16"/>
                <w:szCs w:val="16"/>
              </w:rPr>
              <w:lastRenderedPageBreak/>
              <w:t>Number of PPP contracts covered in the aggregated annual report on PPPs and concession contracts</w:t>
            </w:r>
          </w:p>
        </w:tc>
        <w:tc>
          <w:tcPr>
            <w:tcW w:w="1180" w:type="dxa"/>
            <w:tcBorders>
              <w:top w:val="single" w:sz="4" w:space="0" w:color="auto"/>
              <w:left w:val="single" w:sz="4" w:space="0" w:color="auto"/>
              <w:bottom w:val="single" w:sz="4" w:space="0" w:color="auto"/>
              <w:right w:val="single" w:sz="4" w:space="0" w:color="auto"/>
            </w:tcBorders>
            <w:vAlign w:val="center"/>
          </w:tcPr>
          <w:p w14:paraId="4702FAD4" w14:textId="75965F10" w:rsidR="0007140E" w:rsidRPr="001F151E" w:rsidRDefault="00CF0EB0" w:rsidP="0007140E">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585D6A09" w14:textId="701FBA3B" w:rsidR="0007140E" w:rsidRPr="001F151E" w:rsidRDefault="00CF0EB0" w:rsidP="0007140E">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12B9BF01" w14:textId="7164C3A8" w:rsidR="0007140E" w:rsidRPr="001F151E" w:rsidRDefault="00025C2F" w:rsidP="00C16349">
            <w:pPr>
              <w:pStyle w:val="T-normal"/>
              <w:jc w:val="center"/>
            </w:pPr>
            <w:r w:rsidRPr="001F151E">
              <w:t>1</w:t>
            </w:r>
            <w:r w:rsidR="00C16349">
              <w:t>00</w:t>
            </w:r>
          </w:p>
        </w:tc>
        <w:tc>
          <w:tcPr>
            <w:tcW w:w="1181" w:type="dxa"/>
            <w:tcBorders>
              <w:top w:val="single" w:sz="4" w:space="0" w:color="auto"/>
              <w:left w:val="single" w:sz="4" w:space="0" w:color="auto"/>
              <w:bottom w:val="single" w:sz="4" w:space="0" w:color="auto"/>
              <w:right w:val="single" w:sz="4" w:space="0" w:color="auto"/>
            </w:tcBorders>
            <w:vAlign w:val="center"/>
          </w:tcPr>
          <w:p w14:paraId="7AE133C5" w14:textId="31CED5B3" w:rsidR="0007140E" w:rsidRPr="001F151E" w:rsidRDefault="00C16349" w:rsidP="0007140E">
            <w:pPr>
              <w:pStyle w:val="T-normal"/>
              <w:jc w:val="center"/>
            </w:pPr>
            <w:r>
              <w:t>150</w:t>
            </w:r>
          </w:p>
        </w:tc>
        <w:tc>
          <w:tcPr>
            <w:tcW w:w="1181" w:type="dxa"/>
            <w:tcBorders>
              <w:top w:val="single" w:sz="4" w:space="0" w:color="auto"/>
              <w:left w:val="single" w:sz="4" w:space="0" w:color="auto"/>
              <w:bottom w:val="single" w:sz="4" w:space="0" w:color="auto"/>
              <w:right w:val="single" w:sz="4" w:space="0" w:color="auto"/>
            </w:tcBorders>
            <w:vAlign w:val="center"/>
          </w:tcPr>
          <w:p w14:paraId="2C8C056D" w14:textId="45D0A312" w:rsidR="0007140E" w:rsidRPr="001F151E" w:rsidRDefault="00C16349" w:rsidP="0007140E">
            <w:pPr>
              <w:pStyle w:val="T-normal"/>
              <w:jc w:val="center"/>
            </w:pPr>
            <w:r>
              <w:t>200</w:t>
            </w:r>
          </w:p>
        </w:tc>
      </w:tr>
    </w:tbl>
    <w:p w14:paraId="3B454EB4" w14:textId="77777777" w:rsidR="008233C5" w:rsidRDefault="008233C5" w:rsidP="008233C5">
      <w:pPr>
        <w:pStyle w:val="Heading1"/>
        <w:numPr>
          <w:ilvl w:val="0"/>
          <w:numId w:val="0"/>
        </w:numPr>
        <w:ind w:left="432"/>
        <w:rPr>
          <w:lang w:val="en-GB"/>
        </w:rPr>
      </w:pPr>
      <w:bookmarkStart w:id="32" w:name="_Toc163148020"/>
    </w:p>
    <w:p w14:paraId="6CE91991" w14:textId="77777777" w:rsidR="008233C5" w:rsidRPr="008233C5" w:rsidRDefault="008233C5" w:rsidP="008233C5">
      <w:pPr>
        <w:rPr>
          <w:lang w:val="en-GB"/>
        </w:rPr>
      </w:pPr>
    </w:p>
    <w:p w14:paraId="79CA2C49" w14:textId="7FCCB9DF" w:rsidR="003779B6" w:rsidRPr="001F151E" w:rsidRDefault="003779B6" w:rsidP="00830244">
      <w:pPr>
        <w:pStyle w:val="Heading1"/>
        <w:rPr>
          <w:lang w:val="en-GB"/>
        </w:rPr>
      </w:pPr>
      <w:r w:rsidRPr="001F151E">
        <w:rPr>
          <w:lang w:val="en-GB"/>
        </w:rPr>
        <w:t xml:space="preserve">Pillar 3 Revenue </w:t>
      </w:r>
      <w:r w:rsidR="001E6E04" w:rsidRPr="001F151E">
        <w:rPr>
          <w:lang w:val="en-GB"/>
        </w:rPr>
        <w:t xml:space="preserve">mobilization and </w:t>
      </w:r>
      <w:r w:rsidRPr="001F151E">
        <w:rPr>
          <w:lang w:val="en-GB"/>
        </w:rPr>
        <w:t>management</w:t>
      </w:r>
      <w:bookmarkEnd w:id="32"/>
    </w:p>
    <w:p w14:paraId="3265F9E0" w14:textId="77777777" w:rsidR="00D75C41" w:rsidRPr="001F151E" w:rsidRDefault="00D75C41" w:rsidP="00D75C41">
      <w:pPr>
        <w:rPr>
          <w:lang w:val="en-GB"/>
        </w:rPr>
      </w:pPr>
    </w:p>
    <w:p w14:paraId="4599DB25" w14:textId="31050E16" w:rsidR="00D75C41" w:rsidRPr="001F151E" w:rsidRDefault="00D75C41" w:rsidP="00C96708">
      <w:pPr>
        <w:pStyle w:val="Heading2"/>
        <w:rPr>
          <w:lang w:val="en-GB"/>
        </w:rPr>
      </w:pPr>
      <w:bookmarkStart w:id="33" w:name="_Toc163148021"/>
      <w:r w:rsidRPr="001F151E">
        <w:rPr>
          <w:lang w:val="en-GB"/>
        </w:rPr>
        <w:t>Introduc</w:t>
      </w:r>
      <w:r w:rsidR="006F09FB" w:rsidRPr="001F151E">
        <w:rPr>
          <w:lang w:val="en-GB"/>
        </w:rPr>
        <w:t>tion</w:t>
      </w:r>
      <w:bookmarkEnd w:id="33"/>
    </w:p>
    <w:p w14:paraId="4AB4D540" w14:textId="77777777" w:rsidR="006F09FB" w:rsidRPr="001F151E" w:rsidRDefault="006F09FB" w:rsidP="006F09FB">
      <w:pPr>
        <w:rPr>
          <w:lang w:val="en-GB"/>
        </w:rPr>
      </w:pPr>
    </w:p>
    <w:p w14:paraId="173B7124" w14:textId="44BFA643" w:rsidR="0050122A" w:rsidRPr="001F151E" w:rsidRDefault="0050122A" w:rsidP="0050122A">
      <w:pPr>
        <w:rPr>
          <w:lang w:val="en-GB"/>
        </w:rPr>
      </w:pPr>
      <w:r w:rsidRPr="001F151E">
        <w:rPr>
          <w:lang w:val="en-GB"/>
        </w:rPr>
        <w:t>Specific Objective 3 “Revenue and Customs management systems improved aiming for increased revenue and improved service delivery” covers the components Tax Management, Property Tax Management (Fiscal Cadastre) and Customs Management.</w:t>
      </w:r>
    </w:p>
    <w:p w14:paraId="449613D2" w14:textId="77777777" w:rsidR="00481BA4" w:rsidRPr="001F151E" w:rsidRDefault="00481BA4" w:rsidP="00481BA4">
      <w:pPr>
        <w:pStyle w:val="H5"/>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9016"/>
      </w:tblGrid>
      <w:tr w:rsidR="00272B75" w:rsidRPr="001F151E" w14:paraId="5E595982" w14:textId="77777777" w:rsidTr="00272B75">
        <w:trPr>
          <w:trHeight w:val="4375"/>
        </w:trPr>
        <w:tc>
          <w:tcPr>
            <w:tcW w:w="9016" w:type="dxa"/>
            <w:shd w:val="clear" w:color="auto" w:fill="F2F2F2" w:themeFill="background1" w:themeFillShade="F2"/>
          </w:tcPr>
          <w:p w14:paraId="3323DB0D" w14:textId="77777777" w:rsidR="00272B75" w:rsidRPr="001F151E" w:rsidRDefault="00272B75" w:rsidP="00AF4755">
            <w:pPr>
              <w:pStyle w:val="T-normal"/>
              <w:spacing w:after="60" w:line="220" w:lineRule="exact"/>
              <w:rPr>
                <w:b/>
                <w:bCs/>
              </w:rPr>
            </w:pPr>
            <w:r w:rsidRPr="001F151E">
              <w:rPr>
                <w:b/>
                <w:bCs/>
              </w:rPr>
              <w:t>Component 3.1 Tax Management</w:t>
            </w:r>
          </w:p>
          <w:p w14:paraId="23141DDA" w14:textId="3ACA86AC" w:rsidR="00272B75" w:rsidRPr="001F151E" w:rsidRDefault="00272B75" w:rsidP="00AF4755">
            <w:pPr>
              <w:pStyle w:val="T-normal"/>
              <w:spacing w:after="60" w:line="220" w:lineRule="exact"/>
            </w:pPr>
            <w:r w:rsidRPr="001F151E">
              <w:t>Goal 2030: Enhanced reven</w:t>
            </w:r>
            <w:r w:rsidR="002A33B4">
              <w:t>ue mobilization aimed to create</w:t>
            </w:r>
            <w:r w:rsidR="006C1B8F">
              <w:t xml:space="preserve"> fiscal space for investment</w:t>
            </w:r>
            <w:r w:rsidRPr="001F151E">
              <w:t xml:space="preserve"> and sustainable development through a combination of  tax policy reforms and modernization of the administrative systems; to ensure compliance with EU regulations and to improve the service delivery to tax payers.</w:t>
            </w:r>
          </w:p>
          <w:p w14:paraId="432790D7" w14:textId="77777777" w:rsidR="00272B75" w:rsidRPr="001F151E" w:rsidRDefault="00272B75" w:rsidP="00AF4755">
            <w:pPr>
              <w:spacing w:line="220" w:lineRule="exact"/>
              <w:jc w:val="both"/>
              <w:rPr>
                <w:rStyle w:val="IntenseReference"/>
                <w:i w:val="0"/>
                <w:color w:val="auto"/>
                <w:sz w:val="16"/>
                <w:szCs w:val="16"/>
              </w:rPr>
            </w:pPr>
            <w:r w:rsidRPr="001F151E">
              <w:rPr>
                <w:sz w:val="16"/>
                <w:szCs w:val="16"/>
              </w:rPr>
              <w:t>Measures 2023-2026:</w:t>
            </w:r>
          </w:p>
          <w:p w14:paraId="5FEC62C4" w14:textId="69837AC7" w:rsidR="00272B75" w:rsidRPr="001F151E" w:rsidRDefault="003A003B" w:rsidP="00AF4755">
            <w:pPr>
              <w:pStyle w:val="T-bullet0"/>
              <w:spacing w:line="220" w:lineRule="exact"/>
              <w:ind w:left="284" w:hanging="284"/>
              <w:rPr>
                <w:rStyle w:val="IntenseReference"/>
                <w:rFonts w:eastAsiaTheme="majorEastAsia"/>
                <w:i w:val="0"/>
                <w:iCs/>
                <w:color w:val="auto"/>
                <w:sz w:val="16"/>
                <w:szCs w:val="16"/>
              </w:rPr>
            </w:pPr>
            <w:r>
              <w:t>Measure</w:t>
            </w:r>
            <w:r w:rsidRPr="001F151E">
              <w:rPr>
                <w:rStyle w:val="IntenseReference"/>
                <w:rFonts w:eastAsiaTheme="majorEastAsia"/>
                <w:i w:val="0"/>
                <w:iCs/>
                <w:color w:val="auto"/>
                <w:sz w:val="16"/>
                <w:szCs w:val="16"/>
              </w:rPr>
              <w:t xml:space="preserve"> </w:t>
            </w:r>
            <w:r w:rsidR="00272B75" w:rsidRPr="001F151E">
              <w:rPr>
                <w:rStyle w:val="IntenseReference"/>
                <w:rFonts w:eastAsiaTheme="majorEastAsia"/>
                <w:i w:val="0"/>
                <w:iCs/>
                <w:color w:val="auto"/>
                <w:sz w:val="16"/>
                <w:szCs w:val="16"/>
              </w:rPr>
              <w:t>3.1.1 Enhanc</w:t>
            </w:r>
            <w:r w:rsidR="00D56114" w:rsidRPr="001F151E">
              <w:rPr>
                <w:rStyle w:val="IntenseReference"/>
                <w:rFonts w:eastAsiaTheme="majorEastAsia"/>
                <w:i w:val="0"/>
                <w:iCs/>
                <w:color w:val="auto"/>
                <w:sz w:val="16"/>
                <w:szCs w:val="16"/>
              </w:rPr>
              <w:t>e</w:t>
            </w:r>
            <w:r w:rsidR="00272B75" w:rsidRPr="001F151E">
              <w:rPr>
                <w:rStyle w:val="IntenseReference"/>
                <w:rFonts w:eastAsiaTheme="majorEastAsia"/>
                <w:i w:val="0"/>
                <w:iCs/>
                <w:color w:val="auto"/>
                <w:sz w:val="16"/>
                <w:szCs w:val="16"/>
              </w:rPr>
              <w:t xml:space="preserve"> the institutional capacity to analyse and develop tax policies and to manage tax reforms </w:t>
            </w:r>
          </w:p>
          <w:p w14:paraId="0A95F12B" w14:textId="4482E9AC" w:rsidR="00272B75" w:rsidRPr="001F151E" w:rsidRDefault="003A003B" w:rsidP="00AF4755">
            <w:pPr>
              <w:pStyle w:val="T-bullet0"/>
              <w:spacing w:line="220" w:lineRule="exact"/>
              <w:ind w:left="284" w:hanging="284"/>
              <w:rPr>
                <w:rStyle w:val="IntenseReference"/>
                <w:rFonts w:eastAsiaTheme="majorEastAsia"/>
                <w:i w:val="0"/>
                <w:iCs/>
                <w:color w:val="auto"/>
                <w:sz w:val="16"/>
                <w:szCs w:val="16"/>
              </w:rPr>
            </w:pPr>
            <w:r>
              <w:t>Measure</w:t>
            </w:r>
            <w:r w:rsidRPr="001F151E">
              <w:rPr>
                <w:rStyle w:val="IntenseReference"/>
                <w:rFonts w:eastAsiaTheme="majorEastAsia"/>
                <w:i w:val="0"/>
                <w:iCs/>
                <w:color w:val="auto"/>
                <w:sz w:val="16"/>
                <w:szCs w:val="16"/>
              </w:rPr>
              <w:t xml:space="preserve"> </w:t>
            </w:r>
            <w:r w:rsidR="00272B75" w:rsidRPr="001F151E">
              <w:rPr>
                <w:rStyle w:val="IntenseReference"/>
                <w:rFonts w:eastAsiaTheme="majorEastAsia"/>
                <w:i w:val="0"/>
                <w:iCs/>
                <w:color w:val="auto"/>
                <w:sz w:val="16"/>
                <w:szCs w:val="16"/>
              </w:rPr>
              <w:t>3.1.2 Develop and implement initiatives to reduce the VAT compliance gap</w:t>
            </w:r>
          </w:p>
          <w:p w14:paraId="3551AAAE" w14:textId="791FF04F" w:rsidR="00272B75" w:rsidRPr="001F151E" w:rsidRDefault="003A003B" w:rsidP="00AF4755">
            <w:pPr>
              <w:pStyle w:val="T-bullet0"/>
              <w:spacing w:line="220" w:lineRule="exact"/>
              <w:ind w:left="284" w:hanging="284"/>
              <w:rPr>
                <w:rStyle w:val="IntenseReference"/>
                <w:rFonts w:eastAsiaTheme="majorEastAsia"/>
                <w:i w:val="0"/>
                <w:iCs/>
                <w:color w:val="auto"/>
                <w:sz w:val="16"/>
                <w:szCs w:val="16"/>
              </w:rPr>
            </w:pPr>
            <w:r>
              <w:t>Measure</w:t>
            </w:r>
            <w:r w:rsidRPr="001F151E">
              <w:rPr>
                <w:rStyle w:val="IntenseReference"/>
                <w:rFonts w:eastAsiaTheme="majorEastAsia"/>
                <w:i w:val="0"/>
                <w:iCs/>
                <w:color w:val="auto"/>
                <w:sz w:val="16"/>
                <w:szCs w:val="16"/>
              </w:rPr>
              <w:t xml:space="preserve"> </w:t>
            </w:r>
            <w:r w:rsidR="00272B75" w:rsidRPr="001F151E">
              <w:rPr>
                <w:rStyle w:val="IntenseReference"/>
                <w:rFonts w:eastAsiaTheme="majorEastAsia"/>
                <w:i w:val="0"/>
                <w:iCs/>
                <w:color w:val="auto"/>
                <w:sz w:val="16"/>
                <w:szCs w:val="16"/>
              </w:rPr>
              <w:t>3.1.3 Develop and implement an integrated approach to reduce under and undeclared work</w:t>
            </w:r>
          </w:p>
          <w:p w14:paraId="190DA78F" w14:textId="5E45BFCE" w:rsidR="00272B75" w:rsidRPr="001F151E" w:rsidRDefault="003A003B" w:rsidP="00AF4755">
            <w:pPr>
              <w:pStyle w:val="T-bullet0"/>
              <w:spacing w:line="220" w:lineRule="exact"/>
              <w:ind w:left="284" w:hanging="284"/>
              <w:rPr>
                <w:rStyle w:val="IntenseReference"/>
                <w:rFonts w:eastAsiaTheme="majorEastAsia"/>
                <w:i w:val="0"/>
                <w:iCs/>
                <w:color w:val="auto"/>
                <w:sz w:val="16"/>
                <w:szCs w:val="16"/>
              </w:rPr>
            </w:pPr>
            <w:r>
              <w:t>Measure</w:t>
            </w:r>
            <w:r w:rsidRPr="001F151E">
              <w:rPr>
                <w:rStyle w:val="IntenseReference"/>
                <w:rFonts w:eastAsiaTheme="majorEastAsia"/>
                <w:i w:val="0"/>
                <w:iCs/>
                <w:color w:val="auto"/>
                <w:sz w:val="16"/>
                <w:szCs w:val="16"/>
              </w:rPr>
              <w:t xml:space="preserve"> </w:t>
            </w:r>
            <w:r w:rsidR="00272B75" w:rsidRPr="001F151E">
              <w:rPr>
                <w:rStyle w:val="IntenseReference"/>
                <w:rFonts w:eastAsiaTheme="majorEastAsia"/>
                <w:i w:val="0"/>
                <w:iCs/>
                <w:color w:val="auto"/>
                <w:sz w:val="16"/>
                <w:szCs w:val="16"/>
              </w:rPr>
              <w:t>3.1.4 Ensur</w:t>
            </w:r>
            <w:r w:rsidR="00D56114" w:rsidRPr="001F151E">
              <w:rPr>
                <w:rStyle w:val="IntenseReference"/>
                <w:rFonts w:eastAsiaTheme="majorEastAsia"/>
                <w:i w:val="0"/>
                <w:iCs/>
                <w:color w:val="auto"/>
                <w:sz w:val="16"/>
                <w:szCs w:val="16"/>
              </w:rPr>
              <w:t>e</w:t>
            </w:r>
            <w:r w:rsidR="00272B75" w:rsidRPr="001F151E">
              <w:rPr>
                <w:rStyle w:val="IntenseReference"/>
                <w:rFonts w:eastAsiaTheme="majorEastAsia"/>
                <w:i w:val="0"/>
                <w:iCs/>
                <w:color w:val="auto"/>
                <w:sz w:val="16"/>
                <w:szCs w:val="16"/>
              </w:rPr>
              <w:t xml:space="preserve"> taxation of any unjustified wealth inside and outside the country</w:t>
            </w:r>
          </w:p>
          <w:p w14:paraId="64013A03" w14:textId="7E298A78" w:rsidR="00272B75" w:rsidRPr="001F151E" w:rsidRDefault="003A003B" w:rsidP="00AF4755">
            <w:pPr>
              <w:pStyle w:val="T-bullet0"/>
              <w:spacing w:line="220" w:lineRule="exact"/>
              <w:ind w:left="284" w:hanging="284"/>
            </w:pPr>
            <w:r>
              <w:t>Measure</w:t>
            </w:r>
            <w:r w:rsidRPr="001F151E">
              <w:rPr>
                <w:rStyle w:val="IntenseReference"/>
                <w:rFonts w:eastAsiaTheme="majorEastAsia"/>
                <w:i w:val="0"/>
                <w:iCs/>
                <w:color w:val="auto"/>
                <w:sz w:val="16"/>
                <w:szCs w:val="16"/>
              </w:rPr>
              <w:t xml:space="preserve"> </w:t>
            </w:r>
            <w:r w:rsidR="00272B75" w:rsidRPr="001F151E">
              <w:rPr>
                <w:rStyle w:val="IntenseReference"/>
                <w:rFonts w:eastAsiaTheme="majorEastAsia"/>
                <w:i w:val="0"/>
                <w:iCs/>
                <w:color w:val="auto"/>
                <w:sz w:val="16"/>
                <w:szCs w:val="16"/>
              </w:rPr>
              <w:t>3.1.</w:t>
            </w:r>
            <w:r w:rsidR="004D4B0A" w:rsidRPr="001F151E">
              <w:rPr>
                <w:rStyle w:val="IntenseReference"/>
                <w:rFonts w:eastAsiaTheme="majorEastAsia"/>
                <w:i w:val="0"/>
                <w:iCs/>
                <w:color w:val="auto"/>
                <w:sz w:val="16"/>
                <w:szCs w:val="16"/>
              </w:rPr>
              <w:t>5</w:t>
            </w:r>
            <w:r w:rsidR="00272B75" w:rsidRPr="001F151E">
              <w:rPr>
                <w:rStyle w:val="IntenseReference"/>
                <w:rFonts w:eastAsiaTheme="majorEastAsia"/>
                <w:i w:val="0"/>
                <w:iCs/>
                <w:color w:val="auto"/>
                <w:sz w:val="16"/>
                <w:szCs w:val="16"/>
              </w:rPr>
              <w:t xml:space="preserve"> Improv</w:t>
            </w:r>
            <w:r w:rsidR="00D56114" w:rsidRPr="001F151E">
              <w:rPr>
                <w:rStyle w:val="IntenseReference"/>
                <w:rFonts w:eastAsiaTheme="majorEastAsia"/>
                <w:i w:val="0"/>
                <w:iCs/>
                <w:color w:val="auto"/>
                <w:sz w:val="16"/>
                <w:szCs w:val="16"/>
              </w:rPr>
              <w:t>e</w:t>
            </w:r>
            <w:r w:rsidR="00272B75" w:rsidRPr="001F151E">
              <w:rPr>
                <w:rStyle w:val="IntenseReference"/>
                <w:rFonts w:eastAsiaTheme="majorEastAsia"/>
                <w:i w:val="0"/>
                <w:iCs/>
                <w:color w:val="auto"/>
                <w:sz w:val="16"/>
                <w:szCs w:val="16"/>
              </w:rPr>
              <w:t xml:space="preserve"> service delivery to tax payers</w:t>
            </w:r>
          </w:p>
          <w:p w14:paraId="65FF8380" w14:textId="77777777" w:rsidR="00272B75" w:rsidRPr="001F151E" w:rsidRDefault="00272B75" w:rsidP="00AF4755">
            <w:pPr>
              <w:pStyle w:val="T-normal"/>
              <w:spacing w:line="220" w:lineRule="exact"/>
              <w:rPr>
                <w:b/>
                <w:bCs/>
              </w:rPr>
            </w:pPr>
          </w:p>
          <w:p w14:paraId="1E1B7A94" w14:textId="0B12A98F" w:rsidR="00272B75" w:rsidRPr="001F151E" w:rsidRDefault="00272B75" w:rsidP="00AF4755">
            <w:pPr>
              <w:pStyle w:val="T-normal"/>
              <w:spacing w:after="60" w:line="220" w:lineRule="exact"/>
              <w:rPr>
                <w:b/>
                <w:bCs/>
              </w:rPr>
            </w:pPr>
            <w:r w:rsidRPr="001F151E">
              <w:rPr>
                <w:b/>
                <w:bCs/>
              </w:rPr>
              <w:t>Component 3.2 Property Tax Management</w:t>
            </w:r>
          </w:p>
          <w:p w14:paraId="2C729088" w14:textId="4CEBFB8D" w:rsidR="00272B75" w:rsidRPr="001F151E" w:rsidRDefault="00272B75" w:rsidP="00AF4755">
            <w:pPr>
              <w:pStyle w:val="T-normal"/>
              <w:spacing w:after="60" w:line="220" w:lineRule="exact"/>
            </w:pPr>
            <w:r w:rsidRPr="001F151E">
              <w:t xml:space="preserve">Goal 2030: to have in place a fully operational fiscal cadastre and effective property tax collection system targeting all properties across all municipalities in the country with the aim to bring additional revenue for local governments. </w:t>
            </w:r>
          </w:p>
          <w:p w14:paraId="56928A71" w14:textId="11E92964" w:rsidR="00272B75" w:rsidRPr="001F151E" w:rsidRDefault="00272B75" w:rsidP="00AF4755">
            <w:pPr>
              <w:spacing w:line="220" w:lineRule="exact"/>
              <w:jc w:val="both"/>
              <w:rPr>
                <w:sz w:val="16"/>
                <w:szCs w:val="16"/>
              </w:rPr>
            </w:pPr>
            <w:r w:rsidRPr="001F151E">
              <w:rPr>
                <w:sz w:val="16"/>
                <w:szCs w:val="16"/>
              </w:rPr>
              <w:t>Measures 2023-20</w:t>
            </w:r>
            <w:r w:rsidR="00F579BB">
              <w:rPr>
                <w:sz w:val="16"/>
                <w:szCs w:val="16"/>
              </w:rPr>
              <w:t>30</w:t>
            </w:r>
            <w:r w:rsidRPr="001F151E">
              <w:rPr>
                <w:sz w:val="16"/>
                <w:szCs w:val="16"/>
              </w:rPr>
              <w:t>:</w:t>
            </w:r>
          </w:p>
          <w:p w14:paraId="37EACD8C" w14:textId="3D78D4EE" w:rsidR="00272B75" w:rsidRPr="001F151E" w:rsidRDefault="003A003B" w:rsidP="00AF4755">
            <w:pPr>
              <w:pStyle w:val="T-bullet0"/>
              <w:spacing w:line="220" w:lineRule="exact"/>
              <w:ind w:left="284" w:hanging="284"/>
              <w:rPr>
                <w:rStyle w:val="IntenseReference"/>
                <w:rFonts w:eastAsiaTheme="majorEastAsia"/>
                <w:i w:val="0"/>
                <w:color w:val="auto"/>
                <w:sz w:val="16"/>
                <w:szCs w:val="16"/>
              </w:rPr>
            </w:pPr>
            <w:r>
              <w:t>Measure</w:t>
            </w:r>
            <w:r w:rsidRPr="001F151E">
              <w:rPr>
                <w:rStyle w:val="IntenseReference"/>
                <w:rFonts w:eastAsiaTheme="majorEastAsia"/>
                <w:i w:val="0"/>
                <w:color w:val="auto"/>
                <w:sz w:val="16"/>
                <w:szCs w:val="16"/>
              </w:rPr>
              <w:t xml:space="preserve"> </w:t>
            </w:r>
            <w:r w:rsidR="00272B75" w:rsidRPr="001F151E">
              <w:rPr>
                <w:rStyle w:val="IntenseReference"/>
                <w:rFonts w:eastAsiaTheme="majorEastAsia"/>
                <w:i w:val="0"/>
                <w:color w:val="auto"/>
                <w:sz w:val="16"/>
                <w:szCs w:val="16"/>
              </w:rPr>
              <w:t xml:space="preserve">3.2.1  Improve the fiscal cadastre and the property tax collection system </w:t>
            </w:r>
          </w:p>
          <w:p w14:paraId="235C3D91" w14:textId="77777777" w:rsidR="00272B75" w:rsidRPr="001F151E" w:rsidRDefault="00272B75" w:rsidP="00AF4755">
            <w:pPr>
              <w:spacing w:line="220" w:lineRule="exact"/>
              <w:jc w:val="both"/>
              <w:rPr>
                <w:sz w:val="16"/>
                <w:szCs w:val="16"/>
              </w:rPr>
            </w:pPr>
          </w:p>
          <w:p w14:paraId="1B786D66" w14:textId="1664BA51" w:rsidR="00272B75" w:rsidRPr="001F151E" w:rsidRDefault="00272B75" w:rsidP="00AF4755">
            <w:pPr>
              <w:pStyle w:val="T-normal"/>
              <w:spacing w:after="60" w:line="220" w:lineRule="exact"/>
              <w:rPr>
                <w:b/>
                <w:bCs/>
              </w:rPr>
            </w:pPr>
            <w:r w:rsidRPr="001F151E">
              <w:rPr>
                <w:b/>
                <w:bCs/>
              </w:rPr>
              <w:t>Component 3.3 Customs Management</w:t>
            </w:r>
          </w:p>
          <w:p w14:paraId="16784B3F" w14:textId="1E797CE6" w:rsidR="00F75A43" w:rsidRPr="001F151E" w:rsidRDefault="00272B75" w:rsidP="00AF4755">
            <w:pPr>
              <w:pStyle w:val="T-normal"/>
              <w:spacing w:after="60" w:line="220" w:lineRule="exact"/>
            </w:pPr>
            <w:r w:rsidRPr="001F151E">
              <w:t>Goal 2030:</w:t>
            </w:r>
            <w:r w:rsidR="00F75A43" w:rsidRPr="001F151E">
              <w:t xml:space="preserve"> An effective Customs Administration which delivers improved services to citizens and businesses and operates in compliance with EU standards and legislation. </w:t>
            </w:r>
          </w:p>
          <w:p w14:paraId="30D41761" w14:textId="77777777" w:rsidR="00272B75" w:rsidRPr="001F151E" w:rsidRDefault="00272B75" w:rsidP="00AF4755">
            <w:pPr>
              <w:spacing w:line="220" w:lineRule="exact"/>
              <w:jc w:val="both"/>
            </w:pPr>
            <w:r w:rsidRPr="001F151E">
              <w:rPr>
                <w:sz w:val="16"/>
                <w:szCs w:val="16"/>
              </w:rPr>
              <w:t>Measures 2023-2026:</w:t>
            </w:r>
            <w:r w:rsidRPr="001F151E">
              <w:t xml:space="preserve"> </w:t>
            </w:r>
          </w:p>
          <w:p w14:paraId="5391B130" w14:textId="524B73CF" w:rsidR="00272B75" w:rsidRPr="001F151E" w:rsidRDefault="003A003B" w:rsidP="00AF4755">
            <w:pPr>
              <w:pStyle w:val="T-bullet0"/>
              <w:spacing w:line="220" w:lineRule="exact"/>
              <w:ind w:left="284" w:hanging="284"/>
              <w:rPr>
                <w:rStyle w:val="IntenseReference"/>
                <w:rFonts w:eastAsiaTheme="majorEastAsia"/>
                <w:i w:val="0"/>
                <w:iCs/>
                <w:color w:val="auto"/>
                <w:sz w:val="16"/>
                <w:szCs w:val="16"/>
              </w:rPr>
            </w:pPr>
            <w:r>
              <w:t>Measure</w:t>
            </w:r>
            <w:r w:rsidRPr="001F151E">
              <w:rPr>
                <w:rStyle w:val="IntenseReference"/>
                <w:rFonts w:eastAsiaTheme="majorEastAsia"/>
                <w:i w:val="0"/>
                <w:iCs/>
                <w:color w:val="auto"/>
                <w:sz w:val="16"/>
                <w:szCs w:val="16"/>
              </w:rPr>
              <w:t xml:space="preserve"> </w:t>
            </w:r>
            <w:r w:rsidR="00272B75" w:rsidRPr="001F151E">
              <w:rPr>
                <w:rStyle w:val="IntenseReference"/>
                <w:rFonts w:eastAsiaTheme="majorEastAsia"/>
                <w:i w:val="0"/>
                <w:iCs/>
                <w:color w:val="auto"/>
                <w:sz w:val="16"/>
                <w:szCs w:val="16"/>
              </w:rPr>
              <w:t xml:space="preserve">3.3.1 </w:t>
            </w:r>
            <w:r w:rsidR="00F75A43" w:rsidRPr="001F151E">
              <w:rPr>
                <w:rStyle w:val="IntenseReference"/>
                <w:rFonts w:eastAsiaTheme="majorEastAsia"/>
                <w:i w:val="0"/>
                <w:iCs/>
                <w:color w:val="auto"/>
                <w:sz w:val="16"/>
                <w:szCs w:val="16"/>
              </w:rPr>
              <w:t>Modernise</w:t>
            </w:r>
            <w:r w:rsidR="00272B75" w:rsidRPr="001F151E">
              <w:rPr>
                <w:rStyle w:val="IntenseReference"/>
                <w:rFonts w:eastAsiaTheme="majorEastAsia"/>
                <w:i w:val="0"/>
                <w:iCs/>
                <w:color w:val="auto"/>
                <w:sz w:val="16"/>
                <w:szCs w:val="16"/>
              </w:rPr>
              <w:t xml:space="preserve"> business and risk management processes of the Customs Administration</w:t>
            </w:r>
          </w:p>
          <w:p w14:paraId="17476D2F" w14:textId="1DA0E3C3" w:rsidR="00272B75" w:rsidRPr="001F151E" w:rsidRDefault="003A003B" w:rsidP="00AF4755">
            <w:pPr>
              <w:pStyle w:val="T-bullet0"/>
              <w:spacing w:line="220" w:lineRule="exact"/>
              <w:ind w:left="284" w:hanging="284"/>
              <w:rPr>
                <w:rStyle w:val="IntenseReference"/>
                <w:rFonts w:eastAsiaTheme="majorEastAsia"/>
                <w:i w:val="0"/>
                <w:iCs/>
                <w:color w:val="auto"/>
                <w:sz w:val="16"/>
                <w:szCs w:val="16"/>
              </w:rPr>
            </w:pPr>
            <w:r>
              <w:t>Measure</w:t>
            </w:r>
            <w:r w:rsidRPr="001F151E">
              <w:rPr>
                <w:rStyle w:val="IntenseReference"/>
                <w:rFonts w:eastAsiaTheme="majorEastAsia"/>
                <w:i w:val="0"/>
                <w:iCs/>
                <w:color w:val="auto"/>
                <w:sz w:val="16"/>
                <w:szCs w:val="16"/>
              </w:rPr>
              <w:t xml:space="preserve"> </w:t>
            </w:r>
            <w:r w:rsidR="00272B75" w:rsidRPr="001F151E">
              <w:rPr>
                <w:rStyle w:val="IntenseReference"/>
                <w:rFonts w:eastAsiaTheme="majorEastAsia"/>
                <w:i w:val="0"/>
                <w:iCs/>
                <w:color w:val="auto"/>
                <w:sz w:val="16"/>
                <w:szCs w:val="16"/>
              </w:rPr>
              <w:t>3.3.2 Develop integrity framework and fight against informality and corruption</w:t>
            </w:r>
          </w:p>
          <w:p w14:paraId="2A346962" w14:textId="1AE304FD" w:rsidR="00272B75" w:rsidRPr="001F151E" w:rsidRDefault="003A003B" w:rsidP="00AF4755">
            <w:pPr>
              <w:pStyle w:val="T-bullet0"/>
              <w:spacing w:line="220" w:lineRule="exact"/>
              <w:ind w:left="284" w:hanging="284"/>
              <w:rPr>
                <w:rStyle w:val="IntenseReference"/>
                <w:rFonts w:eastAsiaTheme="majorEastAsia"/>
                <w:i w:val="0"/>
                <w:iCs/>
                <w:color w:val="auto"/>
                <w:sz w:val="16"/>
                <w:szCs w:val="16"/>
              </w:rPr>
            </w:pPr>
            <w:r>
              <w:t>Measure</w:t>
            </w:r>
            <w:r w:rsidRPr="001F151E">
              <w:rPr>
                <w:rStyle w:val="IntenseReference"/>
                <w:rFonts w:eastAsiaTheme="majorEastAsia"/>
                <w:i w:val="0"/>
                <w:iCs/>
                <w:color w:val="auto"/>
                <w:sz w:val="16"/>
                <w:szCs w:val="16"/>
              </w:rPr>
              <w:t xml:space="preserve"> </w:t>
            </w:r>
            <w:r w:rsidR="00272B75" w:rsidRPr="001F151E">
              <w:rPr>
                <w:rStyle w:val="IntenseReference"/>
                <w:rFonts w:eastAsiaTheme="majorEastAsia"/>
                <w:i w:val="0"/>
                <w:iCs/>
                <w:color w:val="auto"/>
                <w:sz w:val="16"/>
                <w:szCs w:val="16"/>
              </w:rPr>
              <w:t xml:space="preserve">3.3.3 Increase the number of Authorized Economic Operators </w:t>
            </w:r>
          </w:p>
          <w:p w14:paraId="37BBAF1E" w14:textId="3274AF56" w:rsidR="00272B75" w:rsidRPr="001F151E" w:rsidRDefault="003A003B" w:rsidP="00AF4755">
            <w:pPr>
              <w:pStyle w:val="T-bullet0"/>
              <w:spacing w:line="220" w:lineRule="exact"/>
              <w:ind w:left="284" w:hanging="284"/>
              <w:rPr>
                <w:rStyle w:val="IntenseReference"/>
                <w:rFonts w:eastAsiaTheme="majorEastAsia"/>
                <w:i w:val="0"/>
                <w:iCs/>
                <w:color w:val="auto"/>
                <w:sz w:val="16"/>
                <w:szCs w:val="16"/>
              </w:rPr>
            </w:pPr>
            <w:r>
              <w:t>Measure</w:t>
            </w:r>
            <w:r w:rsidRPr="001F151E">
              <w:rPr>
                <w:rStyle w:val="IntenseReference"/>
                <w:rFonts w:eastAsiaTheme="majorEastAsia"/>
                <w:i w:val="0"/>
                <w:iCs/>
                <w:color w:val="auto"/>
                <w:sz w:val="16"/>
                <w:szCs w:val="16"/>
              </w:rPr>
              <w:t xml:space="preserve"> </w:t>
            </w:r>
            <w:r w:rsidR="00272B75" w:rsidRPr="001F151E">
              <w:rPr>
                <w:rStyle w:val="IntenseReference"/>
                <w:rFonts w:eastAsiaTheme="majorEastAsia"/>
                <w:i w:val="0"/>
                <w:iCs/>
                <w:color w:val="auto"/>
                <w:sz w:val="16"/>
                <w:szCs w:val="16"/>
              </w:rPr>
              <w:t xml:space="preserve">3.3.4 Implement the National Single Window </w:t>
            </w:r>
          </w:p>
          <w:p w14:paraId="4C832619" w14:textId="16E3C2DA" w:rsidR="00272B75" w:rsidRPr="001F151E" w:rsidRDefault="003A003B" w:rsidP="00AF4755">
            <w:pPr>
              <w:pStyle w:val="T-bullet0"/>
              <w:spacing w:line="220" w:lineRule="exact"/>
              <w:ind w:left="284" w:hanging="284"/>
              <w:rPr>
                <w:rFonts w:eastAsiaTheme="majorEastAsia"/>
                <w:iCs/>
              </w:rPr>
            </w:pPr>
            <w:r>
              <w:t>Measure</w:t>
            </w:r>
            <w:r w:rsidRPr="001F151E">
              <w:rPr>
                <w:rStyle w:val="IntenseReference"/>
                <w:rFonts w:eastAsiaTheme="majorEastAsia"/>
                <w:i w:val="0"/>
                <w:iCs/>
                <w:color w:val="auto"/>
                <w:sz w:val="16"/>
                <w:szCs w:val="16"/>
              </w:rPr>
              <w:t xml:space="preserve"> </w:t>
            </w:r>
            <w:r w:rsidR="00272B75" w:rsidRPr="001F151E">
              <w:rPr>
                <w:rStyle w:val="IntenseReference"/>
                <w:rFonts w:eastAsiaTheme="majorEastAsia"/>
                <w:i w:val="0"/>
                <w:iCs/>
                <w:color w:val="auto"/>
                <w:sz w:val="16"/>
                <w:szCs w:val="16"/>
              </w:rPr>
              <w:t xml:space="preserve">3.3.5 Improve the utilization of the New Computerised Transit System </w:t>
            </w:r>
          </w:p>
        </w:tc>
      </w:tr>
    </w:tbl>
    <w:p w14:paraId="3C373438" w14:textId="77777777" w:rsidR="00AF4755" w:rsidRPr="001F151E" w:rsidRDefault="00AF4755" w:rsidP="00F75A43">
      <w:pPr>
        <w:rPr>
          <w:lang w:val="en-GB"/>
        </w:rPr>
      </w:pPr>
    </w:p>
    <w:p w14:paraId="7D788112" w14:textId="77777777" w:rsidR="00AF4755" w:rsidRPr="001F151E" w:rsidRDefault="00AF4755" w:rsidP="00F75A43">
      <w:pPr>
        <w:rPr>
          <w:lang w:val="en-GB"/>
        </w:rPr>
      </w:pPr>
    </w:p>
    <w:p w14:paraId="3019E718" w14:textId="3BBB9C84" w:rsidR="00481BA4" w:rsidRPr="001F151E" w:rsidRDefault="00481BA4" w:rsidP="00481BA4">
      <w:pPr>
        <w:pStyle w:val="Heading2"/>
        <w:rPr>
          <w:lang w:val="en-GB"/>
        </w:rPr>
      </w:pPr>
      <w:bookmarkStart w:id="34" w:name="_Toc12883787"/>
      <w:bookmarkStart w:id="35" w:name="_Toc22732953"/>
      <w:bookmarkStart w:id="36" w:name="_Toc151048294"/>
      <w:bookmarkStart w:id="37" w:name="_Toc163148022"/>
      <w:bookmarkEnd w:id="31"/>
      <w:r w:rsidRPr="001F151E">
        <w:rPr>
          <w:lang w:val="en-GB"/>
        </w:rPr>
        <w:t xml:space="preserve">Component 3.1 </w:t>
      </w:r>
      <w:bookmarkEnd w:id="34"/>
      <w:bookmarkEnd w:id="35"/>
      <w:r w:rsidRPr="001F151E">
        <w:rPr>
          <w:lang w:val="en-GB"/>
        </w:rPr>
        <w:t>Tax management</w:t>
      </w:r>
      <w:bookmarkEnd w:id="36"/>
      <w:bookmarkEnd w:id="37"/>
    </w:p>
    <w:p w14:paraId="6CC35AEF" w14:textId="77777777" w:rsidR="00481BA4" w:rsidRPr="001F151E" w:rsidRDefault="00481BA4" w:rsidP="00481BA4">
      <w:pPr>
        <w:pStyle w:val="H5"/>
        <w:rPr>
          <w:lang w:val="en-GB"/>
        </w:rPr>
      </w:pPr>
    </w:p>
    <w:p w14:paraId="1D846D26" w14:textId="77777777" w:rsidR="00481BA4" w:rsidRPr="001F151E" w:rsidRDefault="00481BA4" w:rsidP="00EA6F1D">
      <w:pPr>
        <w:pStyle w:val="H5"/>
        <w:spacing w:line="276" w:lineRule="auto"/>
        <w:jc w:val="both"/>
        <w:rPr>
          <w:lang w:val="en-GB"/>
        </w:rPr>
      </w:pPr>
      <w:r w:rsidRPr="001F151E">
        <w:rPr>
          <w:lang w:val="en-GB"/>
        </w:rPr>
        <w:t xml:space="preserve">Objective </w:t>
      </w:r>
    </w:p>
    <w:p w14:paraId="7C5C1B0D" w14:textId="164E85F2" w:rsidR="00481BA4" w:rsidRPr="001F151E" w:rsidRDefault="00481BA4" w:rsidP="00EA6F1D">
      <w:pPr>
        <w:spacing w:line="276" w:lineRule="auto"/>
        <w:jc w:val="both"/>
        <w:rPr>
          <w:lang w:val="en-GB"/>
        </w:rPr>
      </w:pPr>
      <w:r w:rsidRPr="001F151E">
        <w:rPr>
          <w:lang w:val="en-GB"/>
        </w:rPr>
        <w:t xml:space="preserve">The goal for 2030 is to enhance revenue mobilization with the </w:t>
      </w:r>
      <w:r w:rsidR="006C1B8F">
        <w:rPr>
          <w:lang w:val="en-GB"/>
        </w:rPr>
        <w:t>aim to create fiscal space for investment</w:t>
      </w:r>
      <w:r w:rsidRPr="001F151E">
        <w:rPr>
          <w:lang w:val="en-GB"/>
        </w:rPr>
        <w:t xml:space="preserve"> and sustainable devel</w:t>
      </w:r>
      <w:r w:rsidR="006C1B8F">
        <w:rPr>
          <w:lang w:val="en-GB"/>
        </w:rPr>
        <w:t>opment through a combination of</w:t>
      </w:r>
      <w:r w:rsidRPr="001F151E">
        <w:rPr>
          <w:lang w:val="en-GB"/>
        </w:rPr>
        <w:t xml:space="preserve"> tax policy reforms and modernization of the administrative systems; to ensure compliance with EU regulations and to improve the service delivery to tax payers.</w:t>
      </w:r>
    </w:p>
    <w:p w14:paraId="7486B02A" w14:textId="77777777" w:rsidR="00481BA4" w:rsidRPr="001F151E" w:rsidRDefault="00481BA4" w:rsidP="00EA6F1D">
      <w:pPr>
        <w:pStyle w:val="H5"/>
        <w:spacing w:line="276" w:lineRule="auto"/>
        <w:jc w:val="both"/>
        <w:rPr>
          <w:lang w:val="en-GB"/>
        </w:rPr>
      </w:pPr>
    </w:p>
    <w:p w14:paraId="6E213191" w14:textId="77777777" w:rsidR="00481BA4" w:rsidRPr="001F151E" w:rsidRDefault="00481BA4" w:rsidP="00EA6F1D">
      <w:pPr>
        <w:pStyle w:val="H5"/>
        <w:spacing w:line="276" w:lineRule="auto"/>
        <w:jc w:val="both"/>
        <w:rPr>
          <w:rFonts w:ascii="Calibri" w:hAnsi="Calibri" w:cs="Times New Roman"/>
          <w:sz w:val="21"/>
          <w:szCs w:val="21"/>
          <w:lang w:val="en-GB"/>
        </w:rPr>
      </w:pPr>
      <w:r w:rsidRPr="001F151E">
        <w:rPr>
          <w:lang w:val="en-GB"/>
        </w:rPr>
        <w:t>Context</w:t>
      </w:r>
    </w:p>
    <w:p w14:paraId="387983E7" w14:textId="4174ED9D" w:rsidR="00481BA4" w:rsidRPr="001F151E" w:rsidRDefault="00481BA4" w:rsidP="00EA6F1D">
      <w:pPr>
        <w:spacing w:line="276" w:lineRule="auto"/>
        <w:jc w:val="both"/>
        <w:rPr>
          <w:lang w:val="en-GB"/>
        </w:rPr>
      </w:pPr>
      <w:r w:rsidRPr="001F151E">
        <w:rPr>
          <w:lang w:val="en-GB"/>
        </w:rPr>
        <w:t xml:space="preserve">During the last years, the General Directorate of Tax (GDT) has implemented several reforms in the domain of revenue management. These include improvements in compliance-risk management, investments in information </w:t>
      </w:r>
      <w:r w:rsidRPr="001F151E">
        <w:rPr>
          <w:lang w:val="en-GB"/>
        </w:rPr>
        <w:lastRenderedPageBreak/>
        <w:t xml:space="preserve">technology systems, organisational structures and transparency for tax payers through awareness campaigns, friendly user website and call centres. Formalization </w:t>
      </w:r>
      <w:r w:rsidR="008522A0" w:rsidRPr="001F151E">
        <w:rPr>
          <w:lang w:val="en-GB"/>
        </w:rPr>
        <w:t xml:space="preserve">of the economy </w:t>
      </w:r>
      <w:r w:rsidRPr="001F151E">
        <w:rPr>
          <w:lang w:val="en-GB"/>
        </w:rPr>
        <w:t xml:space="preserve">has been a key focus, and recent initiatives underscore a commitment to enhance the tax authority's capabilities. To fortify compliance among high-wealth individuals, a specialized GDT department has been newly instituted. Also a fiscalization initiative </w:t>
      </w:r>
      <w:r w:rsidR="00E8145A" w:rsidRPr="001F151E">
        <w:rPr>
          <w:lang w:val="en-GB"/>
        </w:rPr>
        <w:t>was finalized in 2022</w:t>
      </w:r>
      <w:r w:rsidRPr="001F151E">
        <w:rPr>
          <w:lang w:val="en-GB"/>
        </w:rPr>
        <w:t xml:space="preserve">, aimed at endowing the GDT with mandatory real-time data. This involves the integration of an IT system capturing cash register and e-invoice information. With the aim to increase revenue mobilization and to improve </w:t>
      </w:r>
      <w:r w:rsidR="00AB4082">
        <w:rPr>
          <w:lang w:val="en-GB"/>
        </w:rPr>
        <w:t>service delivery, MoF</w:t>
      </w:r>
      <w:r w:rsidRPr="001F151E">
        <w:rPr>
          <w:lang w:val="en-GB"/>
        </w:rPr>
        <w:t xml:space="preserve"> has developed </w:t>
      </w:r>
      <w:r w:rsidR="00E8145A" w:rsidRPr="001F151E">
        <w:rPr>
          <w:lang w:val="en-GB"/>
        </w:rPr>
        <w:t xml:space="preserve">and implemented more than 70% of the measures and activities in </w:t>
      </w:r>
      <w:r w:rsidR="00EB132F" w:rsidRPr="001F151E">
        <w:rPr>
          <w:lang w:val="en-GB"/>
        </w:rPr>
        <w:t xml:space="preserve">tax </w:t>
      </w:r>
      <w:r w:rsidR="00E8145A" w:rsidRPr="001F151E">
        <w:rPr>
          <w:lang w:val="en-GB"/>
        </w:rPr>
        <w:t>policy</w:t>
      </w:r>
      <w:r w:rsidR="00EB132F" w:rsidRPr="001F151E">
        <w:rPr>
          <w:lang w:val="en-GB"/>
        </w:rPr>
        <w:t xml:space="preserve"> </w:t>
      </w:r>
      <w:r w:rsidR="00E8145A" w:rsidRPr="001F151E">
        <w:rPr>
          <w:lang w:val="en-GB"/>
        </w:rPr>
        <w:t xml:space="preserve">and </w:t>
      </w:r>
      <w:r w:rsidR="00EB132F" w:rsidRPr="001F151E">
        <w:rPr>
          <w:lang w:val="en-GB"/>
        </w:rPr>
        <w:t xml:space="preserve">revenue </w:t>
      </w:r>
      <w:r w:rsidR="00E8145A" w:rsidRPr="001F151E">
        <w:rPr>
          <w:lang w:val="en-GB"/>
        </w:rPr>
        <w:t xml:space="preserve">administration </w:t>
      </w:r>
      <w:r w:rsidR="00EB132F" w:rsidRPr="001F151E">
        <w:rPr>
          <w:lang w:val="en-GB"/>
        </w:rPr>
        <w:t xml:space="preserve">reforms parts </w:t>
      </w:r>
      <w:r w:rsidR="00F04E9E">
        <w:rPr>
          <w:lang w:val="en-GB"/>
        </w:rPr>
        <w:t>of the</w:t>
      </w:r>
      <w:r w:rsidRPr="001F151E">
        <w:rPr>
          <w:lang w:val="en-GB"/>
        </w:rPr>
        <w:t xml:space="preserve"> Medium Term Revenue Strategy 2022-2026.</w:t>
      </w:r>
      <w:r w:rsidRPr="001F151E">
        <w:rPr>
          <w:vertAlign w:val="superscript"/>
          <w:lang w:val="en-GB"/>
        </w:rPr>
        <w:footnoteReference w:id="42"/>
      </w:r>
      <w:r w:rsidRPr="001F151E">
        <w:rPr>
          <w:lang w:val="en-GB"/>
        </w:rPr>
        <w:t xml:space="preserve"> </w:t>
      </w:r>
    </w:p>
    <w:p w14:paraId="28C6016C" w14:textId="77777777" w:rsidR="00481BA4" w:rsidRPr="001F151E" w:rsidRDefault="00481BA4" w:rsidP="00EA6F1D">
      <w:pPr>
        <w:spacing w:line="276" w:lineRule="auto"/>
        <w:jc w:val="both"/>
        <w:rPr>
          <w:lang w:val="en-GB"/>
        </w:rPr>
      </w:pPr>
    </w:p>
    <w:p w14:paraId="4F31512B" w14:textId="77777777" w:rsidR="00481BA4" w:rsidRPr="001F151E" w:rsidRDefault="00481BA4" w:rsidP="00EA6F1D">
      <w:pPr>
        <w:pStyle w:val="H5"/>
        <w:spacing w:line="276" w:lineRule="auto"/>
        <w:jc w:val="both"/>
        <w:rPr>
          <w:lang w:val="en-GB"/>
        </w:rPr>
      </w:pPr>
      <w:r w:rsidRPr="001F151E">
        <w:rPr>
          <w:lang w:val="en-GB"/>
        </w:rPr>
        <w:t>Priorities</w:t>
      </w:r>
    </w:p>
    <w:p w14:paraId="3203BCA8" w14:textId="77777777" w:rsidR="00481BA4" w:rsidRPr="001F151E" w:rsidRDefault="00481BA4" w:rsidP="00EA6F1D">
      <w:pPr>
        <w:spacing w:line="276" w:lineRule="auto"/>
        <w:jc w:val="both"/>
        <w:rPr>
          <w:lang w:val="en-GB"/>
        </w:rPr>
      </w:pPr>
      <w:r w:rsidRPr="001F151E">
        <w:rPr>
          <w:lang w:val="en-GB"/>
        </w:rPr>
        <w:t>In alignment with the MTRS, the priority for the period 2023-2026 are:</w:t>
      </w:r>
    </w:p>
    <w:p w14:paraId="5469514C" w14:textId="77777777" w:rsidR="00481BA4" w:rsidRPr="001F151E" w:rsidRDefault="00481BA4" w:rsidP="00EA6F1D">
      <w:pPr>
        <w:pStyle w:val="N-Bullet"/>
        <w:spacing w:line="276" w:lineRule="auto"/>
        <w:jc w:val="both"/>
        <w:rPr>
          <w:lang w:val="en-GB"/>
        </w:rPr>
      </w:pPr>
      <w:r w:rsidRPr="001F151E">
        <w:rPr>
          <w:lang w:val="en-GB"/>
        </w:rPr>
        <w:t>Improving the institutional capacity to analyse and develop tax policies and to manage tax reforms.</w:t>
      </w:r>
    </w:p>
    <w:p w14:paraId="6760A966" w14:textId="77777777" w:rsidR="00481BA4" w:rsidRPr="001F151E" w:rsidRDefault="00481BA4" w:rsidP="00EA6F1D">
      <w:pPr>
        <w:pStyle w:val="N-Bullet"/>
        <w:spacing w:line="276" w:lineRule="auto"/>
        <w:jc w:val="both"/>
        <w:rPr>
          <w:lang w:val="en-GB"/>
        </w:rPr>
      </w:pPr>
      <w:r w:rsidRPr="001F151E">
        <w:rPr>
          <w:lang w:val="en-GB"/>
        </w:rPr>
        <w:t>Undertaking actions aimed at reducing the VAT compliance gap;</w:t>
      </w:r>
    </w:p>
    <w:p w14:paraId="024F9144" w14:textId="77777777" w:rsidR="00481BA4" w:rsidRPr="001F151E" w:rsidRDefault="00481BA4" w:rsidP="00EA6F1D">
      <w:pPr>
        <w:pStyle w:val="N-Bullet"/>
        <w:spacing w:line="276" w:lineRule="auto"/>
        <w:jc w:val="both"/>
        <w:rPr>
          <w:lang w:val="en-GB"/>
        </w:rPr>
      </w:pPr>
      <w:r w:rsidRPr="001F151E">
        <w:rPr>
          <w:lang w:val="en-GB"/>
        </w:rPr>
        <w:t>Reduction of un/under declared work and reduction of the cash economy;</w:t>
      </w:r>
    </w:p>
    <w:p w14:paraId="41847DB3" w14:textId="77777777" w:rsidR="00481BA4" w:rsidRPr="001F151E" w:rsidRDefault="00481BA4" w:rsidP="00EA6F1D">
      <w:pPr>
        <w:pStyle w:val="N-Bullet"/>
        <w:spacing w:line="276" w:lineRule="auto"/>
        <w:jc w:val="both"/>
        <w:rPr>
          <w:lang w:val="en-GB"/>
        </w:rPr>
      </w:pPr>
      <w:r w:rsidRPr="001F151E">
        <w:rPr>
          <w:lang w:val="en-GB"/>
        </w:rPr>
        <w:t>Enhance taxation of unjustified wealth inside and outside the country;</w:t>
      </w:r>
    </w:p>
    <w:p w14:paraId="12D70503" w14:textId="77777777" w:rsidR="00481BA4" w:rsidRPr="001F151E" w:rsidRDefault="00481BA4" w:rsidP="00EA6F1D">
      <w:pPr>
        <w:pStyle w:val="N-Bullet"/>
        <w:spacing w:line="276" w:lineRule="auto"/>
        <w:jc w:val="both"/>
        <w:rPr>
          <w:lang w:val="en-GB"/>
        </w:rPr>
      </w:pPr>
      <w:r w:rsidRPr="001F151E">
        <w:rPr>
          <w:lang w:val="en-GB"/>
        </w:rPr>
        <w:t>Reducing tax evasion;</w:t>
      </w:r>
    </w:p>
    <w:p w14:paraId="5DE80B6C" w14:textId="77777777" w:rsidR="00481BA4" w:rsidRPr="001F151E" w:rsidRDefault="00481BA4" w:rsidP="00EA6F1D">
      <w:pPr>
        <w:pStyle w:val="N-Bullet"/>
        <w:spacing w:line="276" w:lineRule="auto"/>
        <w:jc w:val="both"/>
        <w:rPr>
          <w:lang w:val="en-GB"/>
        </w:rPr>
      </w:pPr>
      <w:r w:rsidRPr="001F151E">
        <w:rPr>
          <w:lang w:val="en-GB"/>
        </w:rPr>
        <w:t>Reducing compliance cost and improving the service delivery through institutional capacity development of the tax administration.</w:t>
      </w:r>
    </w:p>
    <w:p w14:paraId="2A0B0514" w14:textId="77777777" w:rsidR="00481BA4" w:rsidRPr="001F151E" w:rsidRDefault="00481BA4" w:rsidP="00481BA4">
      <w:pPr>
        <w:autoSpaceDE w:val="0"/>
        <w:autoSpaceDN w:val="0"/>
        <w:adjustRightInd w:val="0"/>
        <w:spacing w:line="240" w:lineRule="auto"/>
        <w:rPr>
          <w:rFonts w:ascii="Segoe UI" w:hAnsi="Segoe UI" w:cs="Segoe UI"/>
          <w:color w:val="000000"/>
          <w:sz w:val="20"/>
          <w:szCs w:val="20"/>
          <w:lang w:val="en-GB"/>
        </w:rPr>
      </w:pPr>
    </w:p>
    <w:p w14:paraId="03CE97C0" w14:textId="77777777" w:rsidR="00481BA4" w:rsidRPr="001F151E" w:rsidRDefault="00481BA4" w:rsidP="00481BA4">
      <w:pPr>
        <w:pStyle w:val="H5"/>
        <w:rPr>
          <w:lang w:val="en-GB"/>
        </w:rPr>
      </w:pPr>
      <w:r w:rsidRPr="001F151E">
        <w:rPr>
          <w:lang w:val="en-GB"/>
        </w:rPr>
        <w:t>Measures and activities</w:t>
      </w:r>
    </w:p>
    <w:p w14:paraId="46766003" w14:textId="00695144" w:rsidR="006B50E5" w:rsidRPr="001F151E" w:rsidRDefault="006B50E5" w:rsidP="00AD50A8">
      <w:pPr>
        <w:rPr>
          <w:lang w:val="en-GB"/>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65"/>
        <w:gridCol w:w="3606"/>
        <w:gridCol w:w="811"/>
        <w:gridCol w:w="811"/>
        <w:gridCol w:w="1623"/>
      </w:tblGrid>
      <w:tr w:rsidR="001414AB" w:rsidRPr="001F151E" w14:paraId="0E62AF0B" w14:textId="77777777" w:rsidTr="0084664A">
        <w:trPr>
          <w:trHeight w:val="182"/>
          <w:tblHeader/>
        </w:trPr>
        <w:tc>
          <w:tcPr>
            <w:tcW w:w="1200" w:type="pct"/>
            <w:shd w:val="clear" w:color="auto" w:fill="D9D9D9" w:themeFill="background1" w:themeFillShade="D9"/>
          </w:tcPr>
          <w:p w14:paraId="27A05F2B" w14:textId="77777777" w:rsidR="00481BA4" w:rsidRPr="001F151E" w:rsidRDefault="00481BA4" w:rsidP="002B7FF8">
            <w:pPr>
              <w:pStyle w:val="T-bold"/>
            </w:pPr>
            <w:r w:rsidRPr="001F151E">
              <w:t>Measure</w:t>
            </w:r>
          </w:p>
        </w:tc>
        <w:tc>
          <w:tcPr>
            <w:tcW w:w="2000" w:type="pct"/>
            <w:shd w:val="clear" w:color="auto" w:fill="D9D9D9" w:themeFill="background1" w:themeFillShade="D9"/>
          </w:tcPr>
          <w:p w14:paraId="4E6FB3DC" w14:textId="77777777" w:rsidR="00481BA4" w:rsidRPr="001F151E" w:rsidRDefault="00481BA4" w:rsidP="002B7FF8">
            <w:pPr>
              <w:pStyle w:val="T-bold"/>
              <w:spacing w:line="288" w:lineRule="auto"/>
            </w:pPr>
            <w:r w:rsidRPr="001F151E">
              <w:t>Activity</w:t>
            </w:r>
          </w:p>
        </w:tc>
        <w:tc>
          <w:tcPr>
            <w:tcW w:w="450" w:type="pct"/>
            <w:shd w:val="clear" w:color="auto" w:fill="D9D9D9" w:themeFill="background1" w:themeFillShade="D9"/>
          </w:tcPr>
          <w:p w14:paraId="2E53E473" w14:textId="77777777" w:rsidR="00481BA4" w:rsidRPr="001F151E" w:rsidRDefault="00481BA4" w:rsidP="002B7FF8">
            <w:pPr>
              <w:pStyle w:val="T-bold"/>
              <w:spacing w:line="288" w:lineRule="auto"/>
              <w:jc w:val="center"/>
            </w:pPr>
            <w:r w:rsidRPr="001F151E">
              <w:t>Start</w:t>
            </w:r>
          </w:p>
        </w:tc>
        <w:tc>
          <w:tcPr>
            <w:tcW w:w="450" w:type="pct"/>
            <w:shd w:val="clear" w:color="auto" w:fill="D9D9D9" w:themeFill="background1" w:themeFillShade="D9"/>
          </w:tcPr>
          <w:p w14:paraId="636FEE56" w14:textId="77777777" w:rsidR="00481BA4" w:rsidRPr="001F151E" w:rsidRDefault="00481BA4" w:rsidP="002B7FF8">
            <w:pPr>
              <w:pStyle w:val="T-bold"/>
              <w:spacing w:line="288" w:lineRule="auto"/>
              <w:jc w:val="center"/>
            </w:pPr>
            <w:r w:rsidRPr="001F151E">
              <w:t>End</w:t>
            </w:r>
          </w:p>
        </w:tc>
        <w:tc>
          <w:tcPr>
            <w:tcW w:w="900" w:type="pct"/>
            <w:shd w:val="clear" w:color="auto" w:fill="D9D9D9" w:themeFill="background1" w:themeFillShade="D9"/>
          </w:tcPr>
          <w:p w14:paraId="58173BEC" w14:textId="77777777" w:rsidR="00481BA4" w:rsidRPr="001F151E" w:rsidRDefault="00481BA4" w:rsidP="002B7FF8">
            <w:pPr>
              <w:pStyle w:val="T-bold"/>
              <w:spacing w:line="288" w:lineRule="auto"/>
            </w:pPr>
            <w:r w:rsidRPr="001F151E">
              <w:t>Stakeholders</w:t>
            </w:r>
          </w:p>
        </w:tc>
      </w:tr>
      <w:tr w:rsidR="004D4B0A" w:rsidRPr="001F151E" w14:paraId="474E8969" w14:textId="77777777" w:rsidTr="0084664A">
        <w:trPr>
          <w:trHeight w:val="20"/>
        </w:trPr>
        <w:tc>
          <w:tcPr>
            <w:tcW w:w="1200" w:type="pct"/>
            <w:shd w:val="clear" w:color="auto" w:fill="auto"/>
          </w:tcPr>
          <w:p w14:paraId="5789A784" w14:textId="57128B15" w:rsidR="004D4B0A" w:rsidRPr="001F151E" w:rsidRDefault="004D4B0A" w:rsidP="004D4B0A">
            <w:pPr>
              <w:pStyle w:val="T-bold"/>
            </w:pPr>
            <w:r w:rsidRPr="001F151E">
              <w:t xml:space="preserve">Measure 3.1.1 </w:t>
            </w:r>
          </w:p>
          <w:p w14:paraId="7AE1F875" w14:textId="1E950FBE" w:rsidR="004D4B0A" w:rsidRPr="001F151E" w:rsidRDefault="004D4B0A" w:rsidP="004D4B0A">
            <w:pPr>
              <w:pStyle w:val="T-bold"/>
            </w:pPr>
            <w:r w:rsidRPr="001F151E">
              <w:t xml:space="preserve">Enhance the institutional capacity to analyse and develop tax policies and to manage tax reforms </w:t>
            </w:r>
          </w:p>
        </w:tc>
        <w:tc>
          <w:tcPr>
            <w:tcW w:w="2000" w:type="pct"/>
            <w:vAlign w:val="center"/>
          </w:tcPr>
          <w:p w14:paraId="4A059AF0" w14:textId="36A6B26B" w:rsidR="004D4B0A" w:rsidRPr="001F151E" w:rsidRDefault="004D4B0A" w:rsidP="00B45892">
            <w:pPr>
              <w:pStyle w:val="T-number"/>
              <w:numPr>
                <w:ilvl w:val="0"/>
                <w:numId w:val="83"/>
              </w:numPr>
            </w:pPr>
            <w:r w:rsidRPr="001F151E">
              <w:t>Develop</w:t>
            </w:r>
            <w:r w:rsidR="006810FE" w:rsidRPr="001F151E">
              <w:t xml:space="preserve"> and implement</w:t>
            </w:r>
            <w:r w:rsidRPr="001F151E">
              <w:t xml:space="preserve"> capacity building for tax policy analysis and assessment.</w:t>
            </w:r>
          </w:p>
        </w:tc>
        <w:tc>
          <w:tcPr>
            <w:tcW w:w="450" w:type="pct"/>
            <w:shd w:val="clear" w:color="auto" w:fill="auto"/>
            <w:vAlign w:val="center"/>
          </w:tcPr>
          <w:p w14:paraId="5415BB88" w14:textId="312C87C8" w:rsidR="004D4B0A" w:rsidRPr="001F151E" w:rsidRDefault="0084664A" w:rsidP="004D4B0A">
            <w:pPr>
              <w:jc w:val="center"/>
              <w:rPr>
                <w:sz w:val="16"/>
                <w:szCs w:val="16"/>
              </w:rPr>
            </w:pPr>
            <w:r w:rsidRPr="001F151E">
              <w:rPr>
                <w:sz w:val="16"/>
                <w:szCs w:val="16"/>
              </w:rPr>
              <w:t xml:space="preserve">Q1 </w:t>
            </w:r>
            <w:r w:rsidR="004D4B0A" w:rsidRPr="001F151E">
              <w:rPr>
                <w:sz w:val="16"/>
                <w:szCs w:val="16"/>
              </w:rPr>
              <w:t>2023</w:t>
            </w:r>
          </w:p>
        </w:tc>
        <w:tc>
          <w:tcPr>
            <w:tcW w:w="450" w:type="pct"/>
            <w:shd w:val="clear" w:color="auto" w:fill="auto"/>
            <w:vAlign w:val="center"/>
          </w:tcPr>
          <w:p w14:paraId="60C84225" w14:textId="0F8F55C1" w:rsidR="004D4B0A" w:rsidRPr="001F151E" w:rsidRDefault="0084664A" w:rsidP="004D4B0A">
            <w:pPr>
              <w:jc w:val="center"/>
              <w:rPr>
                <w:sz w:val="16"/>
                <w:szCs w:val="16"/>
              </w:rPr>
            </w:pPr>
            <w:r w:rsidRPr="001F151E">
              <w:rPr>
                <w:sz w:val="16"/>
                <w:szCs w:val="16"/>
              </w:rPr>
              <w:t xml:space="preserve">Q4 </w:t>
            </w:r>
            <w:r w:rsidR="004D4B0A" w:rsidRPr="001F151E">
              <w:rPr>
                <w:sz w:val="16"/>
                <w:szCs w:val="16"/>
              </w:rPr>
              <w:t>2026</w:t>
            </w:r>
          </w:p>
        </w:tc>
        <w:tc>
          <w:tcPr>
            <w:tcW w:w="900" w:type="pct"/>
          </w:tcPr>
          <w:p w14:paraId="7D9E7B4D" w14:textId="77777777" w:rsidR="004D4B0A" w:rsidRPr="001F151E" w:rsidRDefault="004D4B0A" w:rsidP="004D4B0A">
            <w:pPr>
              <w:rPr>
                <w:b/>
                <w:bCs/>
                <w:sz w:val="16"/>
                <w:szCs w:val="16"/>
              </w:rPr>
            </w:pPr>
            <w:r w:rsidRPr="001F151E">
              <w:rPr>
                <w:b/>
                <w:bCs/>
                <w:sz w:val="16"/>
                <w:szCs w:val="16"/>
              </w:rPr>
              <w:t>Responsible entity:</w:t>
            </w:r>
          </w:p>
          <w:p w14:paraId="43ED2E76" w14:textId="77777777" w:rsidR="004D4B0A" w:rsidRPr="001F151E" w:rsidRDefault="004D4B0A" w:rsidP="004D4B0A">
            <w:pPr>
              <w:rPr>
                <w:sz w:val="16"/>
                <w:szCs w:val="16"/>
              </w:rPr>
            </w:pPr>
            <w:r w:rsidRPr="001F151E">
              <w:rPr>
                <w:sz w:val="16"/>
                <w:szCs w:val="16"/>
              </w:rPr>
              <w:t>GDFP (lead)</w:t>
            </w:r>
          </w:p>
          <w:p w14:paraId="7D1C3782" w14:textId="77777777" w:rsidR="004D4B0A" w:rsidRPr="001F151E" w:rsidRDefault="004D4B0A" w:rsidP="004D4B0A">
            <w:pPr>
              <w:rPr>
                <w:b/>
                <w:bCs/>
                <w:sz w:val="16"/>
                <w:szCs w:val="16"/>
              </w:rPr>
            </w:pPr>
          </w:p>
          <w:p w14:paraId="3E8A83D7" w14:textId="77777777" w:rsidR="004D4B0A" w:rsidRPr="001F151E" w:rsidRDefault="004D4B0A" w:rsidP="004D4B0A">
            <w:pPr>
              <w:rPr>
                <w:b/>
                <w:bCs/>
                <w:sz w:val="16"/>
                <w:szCs w:val="16"/>
              </w:rPr>
            </w:pPr>
            <w:r w:rsidRPr="001F151E">
              <w:rPr>
                <w:b/>
                <w:bCs/>
                <w:sz w:val="16"/>
                <w:szCs w:val="16"/>
              </w:rPr>
              <w:t>Partners:</w:t>
            </w:r>
          </w:p>
          <w:p w14:paraId="62F0B4A2" w14:textId="77777777" w:rsidR="004D4B0A" w:rsidRPr="001F151E" w:rsidRDefault="004D4B0A" w:rsidP="004D4B0A">
            <w:pPr>
              <w:rPr>
                <w:sz w:val="16"/>
                <w:szCs w:val="16"/>
              </w:rPr>
            </w:pPr>
            <w:r w:rsidRPr="001F151E">
              <w:rPr>
                <w:sz w:val="16"/>
                <w:szCs w:val="16"/>
              </w:rPr>
              <w:t>IMF</w:t>
            </w:r>
          </w:p>
        </w:tc>
      </w:tr>
      <w:tr w:rsidR="004D4B0A" w:rsidRPr="001F151E" w14:paraId="712F2287" w14:textId="77777777" w:rsidTr="0084664A">
        <w:trPr>
          <w:trHeight w:val="20"/>
        </w:trPr>
        <w:tc>
          <w:tcPr>
            <w:tcW w:w="1200" w:type="pct"/>
            <w:vMerge w:val="restart"/>
          </w:tcPr>
          <w:p w14:paraId="18AF3D15" w14:textId="17632050" w:rsidR="004D4B0A" w:rsidRPr="001F151E" w:rsidRDefault="009F7BFD" w:rsidP="004D4B0A">
            <w:pPr>
              <w:pStyle w:val="T-bold"/>
            </w:pPr>
            <w:r>
              <w:t>Measure</w:t>
            </w:r>
            <w:r w:rsidR="004D4B0A" w:rsidRPr="001F151E">
              <w:t xml:space="preserve"> 3.1.2 Develop and implement initiatives to reduce the VAT compliance gap</w:t>
            </w:r>
          </w:p>
          <w:p w14:paraId="15C71D02" w14:textId="77777777" w:rsidR="004D4B0A" w:rsidRPr="001F151E" w:rsidRDefault="004D4B0A" w:rsidP="004D4B0A">
            <w:pPr>
              <w:pStyle w:val="T-bold"/>
            </w:pPr>
          </w:p>
        </w:tc>
        <w:tc>
          <w:tcPr>
            <w:tcW w:w="2000" w:type="pct"/>
            <w:tcBorders>
              <w:bottom w:val="single" w:sz="4" w:space="0" w:color="auto"/>
            </w:tcBorders>
            <w:vAlign w:val="center"/>
          </w:tcPr>
          <w:p w14:paraId="12B0890E" w14:textId="77777777" w:rsidR="004D4B0A" w:rsidRPr="001F151E" w:rsidRDefault="004D4B0A" w:rsidP="00897DDC">
            <w:pPr>
              <w:pStyle w:val="T-number"/>
            </w:pPr>
            <w:r w:rsidRPr="001F151E">
              <w:t>Improve risk management approaches for sectors identified as high risk</w:t>
            </w:r>
          </w:p>
        </w:tc>
        <w:tc>
          <w:tcPr>
            <w:tcW w:w="450" w:type="pct"/>
            <w:tcBorders>
              <w:bottom w:val="single" w:sz="4" w:space="0" w:color="auto"/>
            </w:tcBorders>
            <w:shd w:val="clear" w:color="auto" w:fill="auto"/>
            <w:vAlign w:val="center"/>
          </w:tcPr>
          <w:p w14:paraId="1986A1D3" w14:textId="56F96ADF" w:rsidR="004D4B0A" w:rsidRPr="001F151E" w:rsidRDefault="004D4B0A" w:rsidP="004D4B0A">
            <w:pPr>
              <w:jc w:val="center"/>
              <w:rPr>
                <w:sz w:val="16"/>
                <w:szCs w:val="16"/>
              </w:rPr>
            </w:pPr>
            <w:r w:rsidRPr="001F151E">
              <w:rPr>
                <w:sz w:val="16"/>
                <w:szCs w:val="16"/>
              </w:rPr>
              <w:t>Q1 2023</w:t>
            </w:r>
          </w:p>
        </w:tc>
        <w:tc>
          <w:tcPr>
            <w:tcW w:w="450" w:type="pct"/>
            <w:tcBorders>
              <w:bottom w:val="single" w:sz="4" w:space="0" w:color="auto"/>
            </w:tcBorders>
            <w:shd w:val="clear" w:color="auto" w:fill="auto"/>
            <w:vAlign w:val="center"/>
          </w:tcPr>
          <w:p w14:paraId="5CFAD6EB" w14:textId="46D85B65" w:rsidR="004D4B0A" w:rsidRPr="001F151E" w:rsidRDefault="004D4B0A" w:rsidP="004D4B0A">
            <w:pPr>
              <w:jc w:val="center"/>
              <w:rPr>
                <w:sz w:val="16"/>
                <w:szCs w:val="16"/>
              </w:rPr>
            </w:pPr>
            <w:r w:rsidRPr="001F151E">
              <w:rPr>
                <w:sz w:val="16"/>
                <w:szCs w:val="16"/>
              </w:rPr>
              <w:t>Q4 2026</w:t>
            </w:r>
          </w:p>
        </w:tc>
        <w:tc>
          <w:tcPr>
            <w:tcW w:w="900" w:type="pct"/>
            <w:vMerge w:val="restart"/>
          </w:tcPr>
          <w:p w14:paraId="1E13E936" w14:textId="77777777" w:rsidR="004D4B0A" w:rsidRPr="001F151E" w:rsidRDefault="004D4B0A" w:rsidP="004D4B0A">
            <w:pPr>
              <w:rPr>
                <w:b/>
                <w:bCs/>
                <w:sz w:val="16"/>
                <w:szCs w:val="16"/>
              </w:rPr>
            </w:pPr>
            <w:r w:rsidRPr="001F151E">
              <w:rPr>
                <w:b/>
                <w:bCs/>
                <w:sz w:val="16"/>
                <w:szCs w:val="16"/>
              </w:rPr>
              <w:t>Responsible entity:</w:t>
            </w:r>
          </w:p>
          <w:p w14:paraId="7CE68F69" w14:textId="77777777" w:rsidR="004D4B0A" w:rsidRPr="001F151E" w:rsidRDefault="004D4B0A" w:rsidP="004D4B0A">
            <w:pPr>
              <w:rPr>
                <w:sz w:val="16"/>
                <w:szCs w:val="16"/>
              </w:rPr>
            </w:pPr>
            <w:r w:rsidRPr="001F151E">
              <w:rPr>
                <w:sz w:val="16"/>
                <w:szCs w:val="16"/>
              </w:rPr>
              <w:t>GDTax (lead)</w:t>
            </w:r>
          </w:p>
          <w:p w14:paraId="3418A455" w14:textId="77777777" w:rsidR="004D4B0A" w:rsidRPr="001F151E" w:rsidRDefault="004D4B0A" w:rsidP="004D4B0A">
            <w:pPr>
              <w:rPr>
                <w:b/>
                <w:bCs/>
                <w:sz w:val="16"/>
                <w:szCs w:val="16"/>
              </w:rPr>
            </w:pPr>
          </w:p>
          <w:p w14:paraId="30652E04" w14:textId="77777777" w:rsidR="004D4B0A" w:rsidRPr="001F151E" w:rsidRDefault="004D4B0A" w:rsidP="004D4B0A">
            <w:pPr>
              <w:rPr>
                <w:b/>
                <w:bCs/>
                <w:sz w:val="16"/>
                <w:szCs w:val="16"/>
              </w:rPr>
            </w:pPr>
            <w:r w:rsidRPr="001F151E">
              <w:rPr>
                <w:b/>
                <w:bCs/>
                <w:sz w:val="16"/>
                <w:szCs w:val="16"/>
              </w:rPr>
              <w:t>Partners:</w:t>
            </w:r>
          </w:p>
          <w:p w14:paraId="34A320D4" w14:textId="77777777" w:rsidR="004D4B0A" w:rsidRPr="001F151E" w:rsidRDefault="004D4B0A" w:rsidP="004D4B0A">
            <w:pPr>
              <w:rPr>
                <w:sz w:val="16"/>
                <w:szCs w:val="16"/>
              </w:rPr>
            </w:pPr>
            <w:r w:rsidRPr="001F151E">
              <w:rPr>
                <w:sz w:val="16"/>
                <w:szCs w:val="16"/>
              </w:rPr>
              <w:t>IMF</w:t>
            </w:r>
          </w:p>
        </w:tc>
      </w:tr>
      <w:tr w:rsidR="004D4B0A" w:rsidRPr="001F151E" w14:paraId="68323507" w14:textId="77777777" w:rsidTr="0084664A">
        <w:trPr>
          <w:trHeight w:val="20"/>
        </w:trPr>
        <w:tc>
          <w:tcPr>
            <w:tcW w:w="1200" w:type="pct"/>
            <w:vMerge/>
          </w:tcPr>
          <w:p w14:paraId="384C9A1E" w14:textId="77777777" w:rsidR="004D4B0A" w:rsidRPr="001F151E" w:rsidRDefault="004D4B0A" w:rsidP="004D4B0A">
            <w:pPr>
              <w:pStyle w:val="T-bold"/>
            </w:pPr>
          </w:p>
        </w:tc>
        <w:tc>
          <w:tcPr>
            <w:tcW w:w="2000" w:type="pct"/>
            <w:tcBorders>
              <w:bottom w:val="single" w:sz="4" w:space="0" w:color="auto"/>
            </w:tcBorders>
            <w:vAlign w:val="center"/>
          </w:tcPr>
          <w:p w14:paraId="6DC13B26" w14:textId="716B4EC6" w:rsidR="004D4B0A" w:rsidRPr="001F151E" w:rsidRDefault="004D4B0A" w:rsidP="00897DDC">
            <w:pPr>
              <w:pStyle w:val="T-number"/>
            </w:pPr>
            <w:r w:rsidRPr="001F151E">
              <w:t>Use of Fiscalization system for maximizing VAT revenues.</w:t>
            </w:r>
          </w:p>
        </w:tc>
        <w:tc>
          <w:tcPr>
            <w:tcW w:w="450" w:type="pct"/>
            <w:tcBorders>
              <w:bottom w:val="single" w:sz="4" w:space="0" w:color="auto"/>
            </w:tcBorders>
            <w:shd w:val="clear" w:color="auto" w:fill="auto"/>
            <w:vAlign w:val="center"/>
          </w:tcPr>
          <w:p w14:paraId="2907213C" w14:textId="0496767D" w:rsidR="004D4B0A" w:rsidRPr="001F151E" w:rsidRDefault="004D4B0A" w:rsidP="004D4B0A">
            <w:pPr>
              <w:jc w:val="center"/>
              <w:rPr>
                <w:sz w:val="16"/>
                <w:szCs w:val="16"/>
              </w:rPr>
            </w:pPr>
            <w:r w:rsidRPr="001F151E">
              <w:rPr>
                <w:sz w:val="16"/>
                <w:szCs w:val="16"/>
              </w:rPr>
              <w:t>Q12023</w:t>
            </w:r>
          </w:p>
        </w:tc>
        <w:tc>
          <w:tcPr>
            <w:tcW w:w="450" w:type="pct"/>
            <w:tcBorders>
              <w:bottom w:val="single" w:sz="4" w:space="0" w:color="auto"/>
            </w:tcBorders>
            <w:shd w:val="clear" w:color="auto" w:fill="auto"/>
            <w:vAlign w:val="center"/>
          </w:tcPr>
          <w:p w14:paraId="1192BB2A" w14:textId="02D65690" w:rsidR="004D4B0A" w:rsidRPr="001F151E" w:rsidRDefault="004D4B0A" w:rsidP="004D4B0A">
            <w:pPr>
              <w:jc w:val="center"/>
              <w:rPr>
                <w:sz w:val="16"/>
                <w:szCs w:val="16"/>
              </w:rPr>
            </w:pPr>
            <w:r w:rsidRPr="001F151E">
              <w:rPr>
                <w:sz w:val="16"/>
                <w:szCs w:val="16"/>
              </w:rPr>
              <w:t>Q4 2026</w:t>
            </w:r>
          </w:p>
        </w:tc>
        <w:tc>
          <w:tcPr>
            <w:tcW w:w="900" w:type="pct"/>
            <w:vMerge/>
          </w:tcPr>
          <w:p w14:paraId="4522EEDC" w14:textId="77777777" w:rsidR="004D4B0A" w:rsidRPr="001F151E" w:rsidRDefault="004D4B0A" w:rsidP="004D4B0A">
            <w:pPr>
              <w:rPr>
                <w:sz w:val="16"/>
                <w:szCs w:val="16"/>
              </w:rPr>
            </w:pPr>
          </w:p>
        </w:tc>
      </w:tr>
      <w:tr w:rsidR="004D4B0A" w:rsidRPr="001F151E" w14:paraId="3DBD2A0A" w14:textId="77777777" w:rsidTr="0084664A">
        <w:trPr>
          <w:trHeight w:val="405"/>
        </w:trPr>
        <w:tc>
          <w:tcPr>
            <w:tcW w:w="1200" w:type="pct"/>
          </w:tcPr>
          <w:p w14:paraId="3FFEFF08" w14:textId="0393415E" w:rsidR="004D4B0A" w:rsidRPr="001F151E" w:rsidRDefault="004D4B0A" w:rsidP="004D4B0A">
            <w:pPr>
              <w:pStyle w:val="T-bold"/>
            </w:pPr>
            <w:r w:rsidRPr="001F151E">
              <w:t>Measure 3.1.3 Develop and implement an integrated approach to reduce under and undeclared work</w:t>
            </w:r>
          </w:p>
          <w:p w14:paraId="348AB358" w14:textId="77777777" w:rsidR="004D4B0A" w:rsidRPr="001F151E" w:rsidRDefault="004D4B0A" w:rsidP="004D4B0A">
            <w:pPr>
              <w:pStyle w:val="T-bold"/>
            </w:pPr>
          </w:p>
        </w:tc>
        <w:tc>
          <w:tcPr>
            <w:tcW w:w="2000" w:type="pct"/>
            <w:tcBorders>
              <w:bottom w:val="single" w:sz="4" w:space="0" w:color="auto"/>
            </w:tcBorders>
            <w:vAlign w:val="center"/>
          </w:tcPr>
          <w:p w14:paraId="480EFDDA" w14:textId="4023C0F5" w:rsidR="004D4B0A" w:rsidRPr="001F151E" w:rsidRDefault="004D4B0A" w:rsidP="00B45892">
            <w:pPr>
              <w:pStyle w:val="T-number"/>
              <w:numPr>
                <w:ilvl w:val="0"/>
                <w:numId w:val="75"/>
              </w:numPr>
            </w:pPr>
            <w:r w:rsidRPr="001F151E">
              <w:t>Strengthening the legal provisions for sanctions for offenses related to undeclared workers and under-declaration</w:t>
            </w:r>
          </w:p>
        </w:tc>
        <w:tc>
          <w:tcPr>
            <w:tcW w:w="450" w:type="pct"/>
            <w:tcBorders>
              <w:bottom w:val="single" w:sz="4" w:space="0" w:color="auto"/>
            </w:tcBorders>
            <w:shd w:val="clear" w:color="auto" w:fill="auto"/>
            <w:vAlign w:val="center"/>
          </w:tcPr>
          <w:p w14:paraId="022D6798" w14:textId="1AC588E6" w:rsidR="004D4B0A" w:rsidRPr="001F151E" w:rsidRDefault="004D4B0A" w:rsidP="004D4B0A">
            <w:pPr>
              <w:jc w:val="center"/>
              <w:rPr>
                <w:sz w:val="16"/>
                <w:szCs w:val="16"/>
              </w:rPr>
            </w:pPr>
            <w:r w:rsidRPr="001F151E">
              <w:rPr>
                <w:sz w:val="16"/>
                <w:szCs w:val="16"/>
              </w:rPr>
              <w:t>Q12023</w:t>
            </w:r>
          </w:p>
        </w:tc>
        <w:tc>
          <w:tcPr>
            <w:tcW w:w="450" w:type="pct"/>
            <w:tcBorders>
              <w:bottom w:val="single" w:sz="4" w:space="0" w:color="auto"/>
            </w:tcBorders>
            <w:shd w:val="clear" w:color="auto" w:fill="auto"/>
            <w:vAlign w:val="center"/>
          </w:tcPr>
          <w:p w14:paraId="22EBEC11" w14:textId="2721A41E" w:rsidR="004D4B0A" w:rsidRPr="001F151E" w:rsidRDefault="004D4B0A" w:rsidP="004D4B0A">
            <w:pPr>
              <w:jc w:val="center"/>
              <w:rPr>
                <w:sz w:val="16"/>
                <w:szCs w:val="16"/>
              </w:rPr>
            </w:pPr>
            <w:r w:rsidRPr="001F151E">
              <w:rPr>
                <w:sz w:val="16"/>
                <w:szCs w:val="16"/>
              </w:rPr>
              <w:t>Q4 2024</w:t>
            </w:r>
          </w:p>
        </w:tc>
        <w:tc>
          <w:tcPr>
            <w:tcW w:w="900" w:type="pct"/>
          </w:tcPr>
          <w:p w14:paraId="4FCC0458" w14:textId="3A38590A" w:rsidR="004D4B0A" w:rsidRPr="001F151E" w:rsidRDefault="004D4B0A" w:rsidP="004D4B0A">
            <w:pPr>
              <w:rPr>
                <w:b/>
                <w:bCs/>
                <w:sz w:val="16"/>
                <w:szCs w:val="16"/>
              </w:rPr>
            </w:pPr>
            <w:r w:rsidRPr="001F151E">
              <w:rPr>
                <w:b/>
                <w:bCs/>
                <w:sz w:val="16"/>
                <w:szCs w:val="16"/>
              </w:rPr>
              <w:t>Responsible entity:</w:t>
            </w:r>
          </w:p>
          <w:p w14:paraId="60CF8F57" w14:textId="77777777" w:rsidR="004D4B0A" w:rsidRPr="001F151E" w:rsidRDefault="004D4B0A" w:rsidP="004D4B0A">
            <w:pPr>
              <w:rPr>
                <w:sz w:val="16"/>
                <w:szCs w:val="16"/>
              </w:rPr>
            </w:pPr>
            <w:r w:rsidRPr="001F151E">
              <w:rPr>
                <w:sz w:val="16"/>
                <w:szCs w:val="16"/>
              </w:rPr>
              <w:t>GDTax (lead)</w:t>
            </w:r>
          </w:p>
          <w:p w14:paraId="15BAE19D" w14:textId="77777777" w:rsidR="004D4B0A" w:rsidRPr="001F151E" w:rsidRDefault="004D4B0A" w:rsidP="004D4B0A">
            <w:pPr>
              <w:rPr>
                <w:b/>
                <w:bCs/>
                <w:sz w:val="16"/>
                <w:szCs w:val="16"/>
              </w:rPr>
            </w:pPr>
          </w:p>
          <w:p w14:paraId="3D6DF1D1" w14:textId="77777777" w:rsidR="004D4B0A" w:rsidRPr="001F151E" w:rsidRDefault="004D4B0A" w:rsidP="004D4B0A">
            <w:pPr>
              <w:rPr>
                <w:b/>
                <w:bCs/>
                <w:sz w:val="16"/>
                <w:szCs w:val="16"/>
              </w:rPr>
            </w:pPr>
            <w:r w:rsidRPr="001F151E">
              <w:rPr>
                <w:b/>
                <w:bCs/>
                <w:sz w:val="16"/>
                <w:szCs w:val="16"/>
              </w:rPr>
              <w:t>Partners:</w:t>
            </w:r>
          </w:p>
          <w:p w14:paraId="3DE2B817" w14:textId="77777777" w:rsidR="004D4B0A" w:rsidRPr="001F151E" w:rsidRDefault="004D4B0A" w:rsidP="004D4B0A">
            <w:pPr>
              <w:rPr>
                <w:sz w:val="16"/>
                <w:szCs w:val="16"/>
              </w:rPr>
            </w:pPr>
            <w:r w:rsidRPr="001F151E">
              <w:rPr>
                <w:sz w:val="16"/>
                <w:szCs w:val="16"/>
              </w:rPr>
              <w:t>IMF</w:t>
            </w:r>
          </w:p>
        </w:tc>
      </w:tr>
      <w:tr w:rsidR="004D4B0A" w:rsidRPr="001F151E" w14:paraId="350216CF" w14:textId="77777777" w:rsidTr="0084664A">
        <w:trPr>
          <w:trHeight w:val="20"/>
        </w:trPr>
        <w:tc>
          <w:tcPr>
            <w:tcW w:w="1200" w:type="pct"/>
          </w:tcPr>
          <w:p w14:paraId="675D90B6" w14:textId="77777777" w:rsidR="004D4B0A" w:rsidRPr="001F151E" w:rsidRDefault="004D4B0A" w:rsidP="004D4B0A">
            <w:pPr>
              <w:pStyle w:val="T-bold"/>
            </w:pPr>
            <w:r w:rsidRPr="001F151E">
              <w:t xml:space="preserve">Measure 3.1.4 </w:t>
            </w:r>
          </w:p>
          <w:p w14:paraId="13ECA756" w14:textId="3FEA7CDB" w:rsidR="004D4B0A" w:rsidRPr="001F151E" w:rsidRDefault="004D4B0A" w:rsidP="004D4B0A">
            <w:pPr>
              <w:pStyle w:val="T-bold"/>
            </w:pPr>
            <w:r w:rsidRPr="001F151E">
              <w:t>Ensure taxation of any unjustified wealth inside and outside the country</w:t>
            </w:r>
          </w:p>
          <w:p w14:paraId="78DC4982" w14:textId="77777777" w:rsidR="004D4B0A" w:rsidRPr="001F151E" w:rsidRDefault="004D4B0A" w:rsidP="004D4B0A">
            <w:pPr>
              <w:pStyle w:val="T-bold"/>
            </w:pPr>
          </w:p>
        </w:tc>
        <w:tc>
          <w:tcPr>
            <w:tcW w:w="2000" w:type="pct"/>
            <w:vAlign w:val="center"/>
          </w:tcPr>
          <w:p w14:paraId="35FCF411" w14:textId="095F2CC1" w:rsidR="004D4B0A" w:rsidRPr="001F151E" w:rsidRDefault="004D4B0A" w:rsidP="00B45892">
            <w:pPr>
              <w:pStyle w:val="T-number"/>
              <w:numPr>
                <w:ilvl w:val="0"/>
                <w:numId w:val="46"/>
              </w:numPr>
            </w:pPr>
            <w:r w:rsidRPr="001F151E">
              <w:t>Assess cases of large unexplained wealth of individuals by providing legal competence to inspectors to issue tax assessments through indirect methods especially for individuals that do not participate in the Voluntary Declaration Program.</w:t>
            </w:r>
          </w:p>
        </w:tc>
        <w:tc>
          <w:tcPr>
            <w:tcW w:w="450" w:type="pct"/>
            <w:shd w:val="clear" w:color="auto" w:fill="auto"/>
            <w:vAlign w:val="center"/>
          </w:tcPr>
          <w:p w14:paraId="442C031F" w14:textId="7E3910BE" w:rsidR="004D4B0A" w:rsidRPr="001F151E" w:rsidRDefault="004D4B0A" w:rsidP="004D4B0A">
            <w:pPr>
              <w:jc w:val="center"/>
              <w:rPr>
                <w:sz w:val="16"/>
                <w:szCs w:val="16"/>
              </w:rPr>
            </w:pPr>
            <w:r w:rsidRPr="001F151E">
              <w:rPr>
                <w:sz w:val="16"/>
                <w:szCs w:val="16"/>
              </w:rPr>
              <w:t>Q12023</w:t>
            </w:r>
          </w:p>
        </w:tc>
        <w:tc>
          <w:tcPr>
            <w:tcW w:w="450" w:type="pct"/>
            <w:shd w:val="clear" w:color="auto" w:fill="auto"/>
            <w:vAlign w:val="center"/>
          </w:tcPr>
          <w:p w14:paraId="67809905" w14:textId="40D5BC49" w:rsidR="004D4B0A" w:rsidRPr="001F151E" w:rsidRDefault="004D4B0A" w:rsidP="004D4B0A">
            <w:pPr>
              <w:jc w:val="center"/>
              <w:rPr>
                <w:sz w:val="16"/>
                <w:szCs w:val="16"/>
              </w:rPr>
            </w:pPr>
            <w:r w:rsidRPr="001F151E">
              <w:rPr>
                <w:sz w:val="16"/>
                <w:szCs w:val="16"/>
              </w:rPr>
              <w:t>Q4 2026</w:t>
            </w:r>
          </w:p>
        </w:tc>
        <w:tc>
          <w:tcPr>
            <w:tcW w:w="900" w:type="pct"/>
          </w:tcPr>
          <w:p w14:paraId="4B7B5013" w14:textId="77777777" w:rsidR="004D4B0A" w:rsidRPr="001F151E" w:rsidRDefault="004D4B0A" w:rsidP="004D4B0A">
            <w:pPr>
              <w:rPr>
                <w:b/>
                <w:bCs/>
                <w:sz w:val="16"/>
                <w:szCs w:val="16"/>
              </w:rPr>
            </w:pPr>
            <w:r w:rsidRPr="001F151E">
              <w:rPr>
                <w:b/>
                <w:bCs/>
                <w:sz w:val="16"/>
                <w:szCs w:val="16"/>
              </w:rPr>
              <w:t>Responsible entity:</w:t>
            </w:r>
          </w:p>
          <w:p w14:paraId="54BBBB06" w14:textId="77777777" w:rsidR="004D4B0A" w:rsidRPr="001F151E" w:rsidRDefault="004D4B0A" w:rsidP="004D4B0A">
            <w:pPr>
              <w:rPr>
                <w:sz w:val="16"/>
                <w:szCs w:val="16"/>
              </w:rPr>
            </w:pPr>
            <w:r w:rsidRPr="001F151E">
              <w:rPr>
                <w:sz w:val="16"/>
                <w:szCs w:val="16"/>
              </w:rPr>
              <w:t>GDTax (lead)</w:t>
            </w:r>
          </w:p>
          <w:p w14:paraId="4102B204" w14:textId="77777777" w:rsidR="004D4B0A" w:rsidRPr="001F151E" w:rsidRDefault="004D4B0A" w:rsidP="004D4B0A">
            <w:pPr>
              <w:rPr>
                <w:b/>
                <w:bCs/>
                <w:sz w:val="16"/>
                <w:szCs w:val="16"/>
              </w:rPr>
            </w:pPr>
          </w:p>
          <w:p w14:paraId="1F741F51" w14:textId="77777777" w:rsidR="004D4B0A" w:rsidRPr="001F151E" w:rsidRDefault="004D4B0A" w:rsidP="004D4B0A">
            <w:pPr>
              <w:rPr>
                <w:b/>
                <w:bCs/>
                <w:sz w:val="16"/>
                <w:szCs w:val="16"/>
              </w:rPr>
            </w:pPr>
            <w:r w:rsidRPr="001F151E">
              <w:rPr>
                <w:b/>
                <w:bCs/>
                <w:sz w:val="16"/>
                <w:szCs w:val="16"/>
              </w:rPr>
              <w:t>Partners:</w:t>
            </w:r>
          </w:p>
          <w:p w14:paraId="44E2346D" w14:textId="77777777" w:rsidR="004D4B0A" w:rsidRPr="001F151E" w:rsidRDefault="004D4B0A" w:rsidP="004D4B0A">
            <w:pPr>
              <w:rPr>
                <w:sz w:val="16"/>
                <w:szCs w:val="16"/>
              </w:rPr>
            </w:pPr>
            <w:r w:rsidRPr="001F151E">
              <w:rPr>
                <w:sz w:val="16"/>
                <w:szCs w:val="16"/>
              </w:rPr>
              <w:t>IMF</w:t>
            </w:r>
          </w:p>
        </w:tc>
      </w:tr>
      <w:tr w:rsidR="004D4B0A" w:rsidRPr="001F151E" w14:paraId="26D4FE71" w14:textId="77777777" w:rsidTr="0084664A">
        <w:trPr>
          <w:trHeight w:val="20"/>
        </w:trPr>
        <w:tc>
          <w:tcPr>
            <w:tcW w:w="1200" w:type="pct"/>
            <w:vMerge w:val="restart"/>
          </w:tcPr>
          <w:p w14:paraId="00BA9924" w14:textId="315E6CAF" w:rsidR="004D4B0A" w:rsidRPr="001F151E" w:rsidRDefault="004D4B0A" w:rsidP="004D4B0A">
            <w:pPr>
              <w:pStyle w:val="T-bold"/>
            </w:pPr>
            <w:r w:rsidRPr="001F151E">
              <w:t>Measure 3.1.5</w:t>
            </w:r>
          </w:p>
          <w:p w14:paraId="4E51CD5F" w14:textId="0F37D78E" w:rsidR="004D4B0A" w:rsidRPr="001F151E" w:rsidRDefault="004D4B0A" w:rsidP="004D4B0A">
            <w:pPr>
              <w:pStyle w:val="T-bold"/>
            </w:pPr>
            <w:r w:rsidRPr="001F151E">
              <w:t>Improve service delivery to tax payers</w:t>
            </w:r>
          </w:p>
          <w:p w14:paraId="3340A53B" w14:textId="77777777" w:rsidR="004D4B0A" w:rsidRPr="001F151E" w:rsidRDefault="004D4B0A" w:rsidP="004D4B0A">
            <w:pPr>
              <w:pStyle w:val="T-bold"/>
            </w:pPr>
          </w:p>
        </w:tc>
        <w:tc>
          <w:tcPr>
            <w:tcW w:w="2000" w:type="pct"/>
            <w:vAlign w:val="center"/>
          </w:tcPr>
          <w:p w14:paraId="520F9B9A" w14:textId="77777777" w:rsidR="004D4B0A" w:rsidRPr="001F151E" w:rsidRDefault="004D4B0A" w:rsidP="00B45892">
            <w:pPr>
              <w:pStyle w:val="T-number"/>
              <w:numPr>
                <w:ilvl w:val="0"/>
                <w:numId w:val="47"/>
              </w:numPr>
            </w:pPr>
            <w:r w:rsidRPr="001F151E">
              <w:t>Design and implement a taxpayer service delivery strategy aiming to improve tax products</w:t>
            </w:r>
          </w:p>
        </w:tc>
        <w:tc>
          <w:tcPr>
            <w:tcW w:w="450" w:type="pct"/>
            <w:shd w:val="clear" w:color="auto" w:fill="auto"/>
            <w:vAlign w:val="center"/>
          </w:tcPr>
          <w:p w14:paraId="3BD1549D" w14:textId="320E88A8" w:rsidR="004D4B0A" w:rsidRPr="001F151E" w:rsidRDefault="004D4B0A" w:rsidP="004D4B0A">
            <w:pPr>
              <w:jc w:val="center"/>
              <w:rPr>
                <w:sz w:val="16"/>
                <w:szCs w:val="16"/>
              </w:rPr>
            </w:pPr>
            <w:r w:rsidRPr="001F151E">
              <w:rPr>
                <w:sz w:val="16"/>
                <w:szCs w:val="16"/>
              </w:rPr>
              <w:t>Q12023</w:t>
            </w:r>
          </w:p>
        </w:tc>
        <w:tc>
          <w:tcPr>
            <w:tcW w:w="450" w:type="pct"/>
            <w:shd w:val="clear" w:color="auto" w:fill="auto"/>
            <w:vAlign w:val="center"/>
          </w:tcPr>
          <w:p w14:paraId="68A7D390" w14:textId="393DDEB0" w:rsidR="004D4B0A" w:rsidRPr="001F151E" w:rsidRDefault="004D4B0A" w:rsidP="004D4B0A">
            <w:pPr>
              <w:jc w:val="center"/>
              <w:rPr>
                <w:sz w:val="16"/>
                <w:szCs w:val="16"/>
              </w:rPr>
            </w:pPr>
            <w:r w:rsidRPr="001F151E">
              <w:rPr>
                <w:sz w:val="16"/>
                <w:szCs w:val="16"/>
              </w:rPr>
              <w:t>Q4 2026</w:t>
            </w:r>
          </w:p>
        </w:tc>
        <w:tc>
          <w:tcPr>
            <w:tcW w:w="900" w:type="pct"/>
            <w:vMerge w:val="restart"/>
          </w:tcPr>
          <w:p w14:paraId="096C34ED" w14:textId="77777777" w:rsidR="004D4B0A" w:rsidRPr="001F151E" w:rsidRDefault="004D4B0A" w:rsidP="004D4B0A">
            <w:pPr>
              <w:rPr>
                <w:b/>
                <w:bCs/>
                <w:sz w:val="16"/>
                <w:szCs w:val="16"/>
              </w:rPr>
            </w:pPr>
            <w:r w:rsidRPr="001F151E">
              <w:rPr>
                <w:b/>
                <w:bCs/>
                <w:sz w:val="16"/>
                <w:szCs w:val="16"/>
              </w:rPr>
              <w:t>Responsible entity:</w:t>
            </w:r>
          </w:p>
          <w:p w14:paraId="17371402" w14:textId="77777777" w:rsidR="004D4B0A" w:rsidRPr="001F151E" w:rsidRDefault="004D4B0A" w:rsidP="004D4B0A">
            <w:pPr>
              <w:rPr>
                <w:sz w:val="16"/>
                <w:szCs w:val="16"/>
              </w:rPr>
            </w:pPr>
            <w:r w:rsidRPr="001F151E">
              <w:rPr>
                <w:sz w:val="16"/>
                <w:szCs w:val="16"/>
              </w:rPr>
              <w:t>GDTax (lead)</w:t>
            </w:r>
          </w:p>
          <w:p w14:paraId="37075523" w14:textId="77777777" w:rsidR="004D4B0A" w:rsidRPr="001F151E" w:rsidRDefault="004D4B0A" w:rsidP="004D4B0A">
            <w:pPr>
              <w:rPr>
                <w:b/>
                <w:bCs/>
                <w:sz w:val="16"/>
                <w:szCs w:val="16"/>
              </w:rPr>
            </w:pPr>
          </w:p>
          <w:p w14:paraId="2F59F356" w14:textId="77777777" w:rsidR="004D4B0A" w:rsidRPr="001F151E" w:rsidRDefault="004D4B0A" w:rsidP="004D4B0A">
            <w:pPr>
              <w:rPr>
                <w:b/>
                <w:bCs/>
                <w:sz w:val="16"/>
                <w:szCs w:val="16"/>
              </w:rPr>
            </w:pPr>
            <w:r w:rsidRPr="001F151E">
              <w:rPr>
                <w:b/>
                <w:bCs/>
                <w:sz w:val="16"/>
                <w:szCs w:val="16"/>
              </w:rPr>
              <w:t>Partners:</w:t>
            </w:r>
          </w:p>
          <w:p w14:paraId="28D8F8FE" w14:textId="77777777" w:rsidR="004D4B0A" w:rsidRPr="001F151E" w:rsidRDefault="004D4B0A" w:rsidP="004D4B0A">
            <w:pPr>
              <w:pStyle w:val="T-Bullet"/>
              <w:numPr>
                <w:ilvl w:val="0"/>
                <w:numId w:val="0"/>
              </w:numPr>
              <w:ind w:left="360" w:hanging="360"/>
            </w:pPr>
            <w:r w:rsidRPr="001F151E">
              <w:t>IMF</w:t>
            </w:r>
          </w:p>
        </w:tc>
      </w:tr>
      <w:tr w:rsidR="004D4B0A" w:rsidRPr="001F151E" w14:paraId="2E75C540" w14:textId="77777777" w:rsidTr="0084664A">
        <w:trPr>
          <w:trHeight w:val="20"/>
        </w:trPr>
        <w:tc>
          <w:tcPr>
            <w:tcW w:w="1200" w:type="pct"/>
            <w:vMerge/>
          </w:tcPr>
          <w:p w14:paraId="54320A8B" w14:textId="77777777" w:rsidR="004D4B0A" w:rsidRPr="001F151E" w:rsidRDefault="004D4B0A" w:rsidP="004D4B0A">
            <w:pPr>
              <w:pStyle w:val="T-bold"/>
            </w:pPr>
          </w:p>
        </w:tc>
        <w:tc>
          <w:tcPr>
            <w:tcW w:w="2000" w:type="pct"/>
            <w:vAlign w:val="center"/>
          </w:tcPr>
          <w:p w14:paraId="1ECB5A01" w14:textId="77777777" w:rsidR="004D4B0A" w:rsidRPr="001F151E" w:rsidRDefault="004D4B0A" w:rsidP="004D4B0A">
            <w:pPr>
              <w:pStyle w:val="T-number"/>
            </w:pPr>
            <w:r w:rsidRPr="001F151E">
              <w:t>Improve the efficiency of the national call center with a structured escalation process to deal with enquiries of different complexities</w:t>
            </w:r>
          </w:p>
        </w:tc>
        <w:tc>
          <w:tcPr>
            <w:tcW w:w="450" w:type="pct"/>
            <w:shd w:val="clear" w:color="auto" w:fill="auto"/>
            <w:vAlign w:val="center"/>
          </w:tcPr>
          <w:p w14:paraId="7A48943A" w14:textId="206732A4" w:rsidR="004D4B0A" w:rsidRPr="001F151E" w:rsidRDefault="004D4B0A" w:rsidP="004D4B0A">
            <w:pPr>
              <w:jc w:val="center"/>
              <w:rPr>
                <w:sz w:val="16"/>
                <w:szCs w:val="16"/>
              </w:rPr>
            </w:pPr>
            <w:r w:rsidRPr="001F151E">
              <w:rPr>
                <w:sz w:val="16"/>
                <w:szCs w:val="16"/>
              </w:rPr>
              <w:t>Q12023</w:t>
            </w:r>
          </w:p>
        </w:tc>
        <w:tc>
          <w:tcPr>
            <w:tcW w:w="450" w:type="pct"/>
            <w:shd w:val="clear" w:color="auto" w:fill="auto"/>
            <w:vAlign w:val="center"/>
          </w:tcPr>
          <w:p w14:paraId="4D6B7A4B" w14:textId="27068E0B" w:rsidR="004D4B0A" w:rsidRPr="001F151E" w:rsidRDefault="004D4B0A" w:rsidP="004D4B0A">
            <w:pPr>
              <w:jc w:val="center"/>
              <w:rPr>
                <w:sz w:val="16"/>
                <w:szCs w:val="16"/>
              </w:rPr>
            </w:pPr>
            <w:r w:rsidRPr="001F151E">
              <w:rPr>
                <w:sz w:val="16"/>
                <w:szCs w:val="16"/>
              </w:rPr>
              <w:t>Q4 2026</w:t>
            </w:r>
          </w:p>
        </w:tc>
        <w:tc>
          <w:tcPr>
            <w:tcW w:w="900" w:type="pct"/>
            <w:vMerge/>
          </w:tcPr>
          <w:p w14:paraId="2F3F6797" w14:textId="77777777" w:rsidR="004D4B0A" w:rsidRPr="001F151E" w:rsidRDefault="004D4B0A" w:rsidP="004D4B0A">
            <w:pPr>
              <w:rPr>
                <w:sz w:val="16"/>
                <w:szCs w:val="16"/>
              </w:rPr>
            </w:pPr>
          </w:p>
        </w:tc>
      </w:tr>
      <w:tr w:rsidR="004D4B0A" w:rsidRPr="001F151E" w14:paraId="2D06531A" w14:textId="77777777" w:rsidTr="0084664A">
        <w:trPr>
          <w:trHeight w:val="20"/>
        </w:trPr>
        <w:tc>
          <w:tcPr>
            <w:tcW w:w="1200" w:type="pct"/>
            <w:vMerge/>
            <w:tcBorders>
              <w:bottom w:val="single" w:sz="4" w:space="0" w:color="auto"/>
            </w:tcBorders>
          </w:tcPr>
          <w:p w14:paraId="4D874B16" w14:textId="77777777" w:rsidR="004D4B0A" w:rsidRPr="001F151E" w:rsidRDefault="004D4B0A" w:rsidP="004D4B0A">
            <w:pPr>
              <w:pStyle w:val="T-bold"/>
            </w:pPr>
          </w:p>
        </w:tc>
        <w:tc>
          <w:tcPr>
            <w:tcW w:w="2000" w:type="pct"/>
            <w:tcBorders>
              <w:bottom w:val="single" w:sz="4" w:space="0" w:color="auto"/>
            </w:tcBorders>
            <w:vAlign w:val="center"/>
          </w:tcPr>
          <w:p w14:paraId="5A585B64" w14:textId="77777777" w:rsidR="004D4B0A" w:rsidRPr="001F151E" w:rsidRDefault="004D4B0A" w:rsidP="004D4B0A">
            <w:pPr>
              <w:pStyle w:val="T-number"/>
            </w:pPr>
            <w:r w:rsidRPr="001F151E">
              <w:t>Develop and implement capacity development programs for GDTax staffers (by tax academy, universities and other partners)</w:t>
            </w:r>
          </w:p>
        </w:tc>
        <w:tc>
          <w:tcPr>
            <w:tcW w:w="450" w:type="pct"/>
            <w:tcBorders>
              <w:bottom w:val="single" w:sz="4" w:space="0" w:color="auto"/>
            </w:tcBorders>
            <w:shd w:val="clear" w:color="auto" w:fill="auto"/>
            <w:vAlign w:val="center"/>
          </w:tcPr>
          <w:p w14:paraId="0AB6E159" w14:textId="5A9E5124" w:rsidR="004D4B0A" w:rsidRPr="001F151E" w:rsidRDefault="004D4B0A" w:rsidP="004D4B0A">
            <w:pPr>
              <w:jc w:val="center"/>
              <w:rPr>
                <w:sz w:val="16"/>
                <w:szCs w:val="16"/>
              </w:rPr>
            </w:pPr>
            <w:r w:rsidRPr="001F151E">
              <w:rPr>
                <w:sz w:val="16"/>
                <w:szCs w:val="16"/>
              </w:rPr>
              <w:t>Q1 2023</w:t>
            </w:r>
          </w:p>
        </w:tc>
        <w:tc>
          <w:tcPr>
            <w:tcW w:w="450" w:type="pct"/>
            <w:tcBorders>
              <w:bottom w:val="single" w:sz="4" w:space="0" w:color="auto"/>
            </w:tcBorders>
            <w:shd w:val="clear" w:color="auto" w:fill="auto"/>
            <w:vAlign w:val="center"/>
          </w:tcPr>
          <w:p w14:paraId="24EFDAE4" w14:textId="289C6D91" w:rsidR="004D4B0A" w:rsidRPr="001F151E" w:rsidRDefault="004D4B0A" w:rsidP="004D4B0A">
            <w:pPr>
              <w:jc w:val="center"/>
              <w:rPr>
                <w:sz w:val="16"/>
                <w:szCs w:val="16"/>
              </w:rPr>
            </w:pPr>
            <w:r w:rsidRPr="001F151E">
              <w:rPr>
                <w:sz w:val="16"/>
                <w:szCs w:val="16"/>
              </w:rPr>
              <w:t>Q4 2026</w:t>
            </w:r>
          </w:p>
        </w:tc>
        <w:tc>
          <w:tcPr>
            <w:tcW w:w="900" w:type="pct"/>
            <w:vMerge/>
            <w:tcBorders>
              <w:bottom w:val="single" w:sz="4" w:space="0" w:color="auto"/>
            </w:tcBorders>
          </w:tcPr>
          <w:p w14:paraId="20AD2237" w14:textId="77777777" w:rsidR="004D4B0A" w:rsidRPr="001F151E" w:rsidRDefault="004D4B0A" w:rsidP="004D4B0A">
            <w:pPr>
              <w:rPr>
                <w:sz w:val="16"/>
                <w:szCs w:val="16"/>
              </w:rPr>
            </w:pPr>
          </w:p>
        </w:tc>
      </w:tr>
    </w:tbl>
    <w:p w14:paraId="5A7A66B1" w14:textId="1D4ECF79" w:rsidR="0064345E" w:rsidRPr="001F151E" w:rsidRDefault="0064345E" w:rsidP="0064345E">
      <w:pPr>
        <w:pStyle w:val="H5"/>
        <w:rPr>
          <w:rStyle w:val="IntenseReference"/>
          <w:i w:val="0"/>
          <w:lang w:val="en-GB"/>
        </w:rPr>
      </w:pPr>
      <w:r w:rsidRPr="001F151E">
        <w:rPr>
          <w:rStyle w:val="IntenseReference"/>
          <w:i w:val="0"/>
          <w:lang w:val="en-GB"/>
        </w:rPr>
        <w:lastRenderedPageBreak/>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64345E" w:rsidRPr="001F151E" w14:paraId="2D515509" w14:textId="77777777" w:rsidTr="002B7FF8">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C28CB6" w14:textId="77777777" w:rsidR="0064345E" w:rsidRPr="001F151E" w:rsidRDefault="0064345E" w:rsidP="002B7FF8">
            <w:pPr>
              <w:pStyle w:val="T-bold"/>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9CF7FC" w14:textId="77777777" w:rsidR="0064345E" w:rsidRPr="001F151E" w:rsidRDefault="0064345E" w:rsidP="002B7FF8">
            <w:pPr>
              <w:pStyle w:val="T-bold"/>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25E87" w14:textId="77777777" w:rsidR="0064345E" w:rsidRPr="001F151E" w:rsidRDefault="0064345E" w:rsidP="002B7FF8">
            <w:pPr>
              <w:pStyle w:val="T-bold"/>
              <w:jc w:val="center"/>
            </w:pPr>
            <w:r w:rsidRPr="001F151E">
              <w:t>Target Value</w:t>
            </w:r>
          </w:p>
        </w:tc>
      </w:tr>
      <w:tr w:rsidR="0064345E" w:rsidRPr="001F151E" w14:paraId="1A247E1C" w14:textId="77777777" w:rsidTr="002B7FF8">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437F4A4" w14:textId="77777777" w:rsidR="0064345E" w:rsidRPr="001F151E" w:rsidRDefault="0064345E" w:rsidP="002B7FF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1B0FE2A" w14:textId="77777777" w:rsidR="0064345E" w:rsidRPr="001F151E" w:rsidRDefault="0064345E" w:rsidP="002B7FF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348C7" w14:textId="77777777" w:rsidR="0064345E" w:rsidRPr="001F151E" w:rsidRDefault="0064345E" w:rsidP="002B7FF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BEAFC" w14:textId="77777777" w:rsidR="0064345E" w:rsidRPr="001F151E" w:rsidRDefault="0064345E" w:rsidP="002B7FF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D2A695" w14:textId="77777777" w:rsidR="0064345E" w:rsidRPr="001F151E" w:rsidRDefault="0064345E" w:rsidP="002B7FF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4D5E39" w14:textId="77777777" w:rsidR="0064345E" w:rsidRPr="001F151E" w:rsidRDefault="0064345E" w:rsidP="002B7FF8">
            <w:pPr>
              <w:pStyle w:val="T-bold"/>
              <w:jc w:val="center"/>
            </w:pPr>
            <w:r w:rsidRPr="001F151E">
              <w:t>2026</w:t>
            </w:r>
          </w:p>
        </w:tc>
      </w:tr>
      <w:tr w:rsidR="0064345E" w:rsidRPr="001F151E" w14:paraId="0747EF3D" w14:textId="77777777" w:rsidTr="002B7FF8">
        <w:tc>
          <w:tcPr>
            <w:tcW w:w="3114" w:type="dxa"/>
            <w:tcBorders>
              <w:top w:val="single" w:sz="4" w:space="0" w:color="auto"/>
              <w:left w:val="single" w:sz="4" w:space="0" w:color="auto"/>
              <w:bottom w:val="single" w:sz="4" w:space="0" w:color="auto"/>
              <w:right w:val="single" w:sz="4" w:space="0" w:color="auto"/>
            </w:tcBorders>
          </w:tcPr>
          <w:p w14:paraId="0893A01C" w14:textId="12D99A5F" w:rsidR="0064345E" w:rsidRPr="001F151E" w:rsidRDefault="0064345E" w:rsidP="00B45892">
            <w:pPr>
              <w:pStyle w:val="ListParagraph"/>
              <w:numPr>
                <w:ilvl w:val="0"/>
                <w:numId w:val="76"/>
              </w:numPr>
              <w:rPr>
                <w:sz w:val="16"/>
                <w:szCs w:val="16"/>
              </w:rPr>
            </w:pPr>
            <w:r w:rsidRPr="001F151E">
              <w:rPr>
                <w:sz w:val="16"/>
                <w:szCs w:val="16"/>
              </w:rPr>
              <w:t>Increase of revenues from VAT</w:t>
            </w:r>
            <w:r w:rsidR="00B2055E" w:rsidRPr="001F151E">
              <w:rPr>
                <w:sz w:val="16"/>
                <w:szCs w:val="16"/>
              </w:rPr>
              <w:t xml:space="preserve"> (measured on cumulative basis)</w:t>
            </w:r>
          </w:p>
        </w:tc>
        <w:tc>
          <w:tcPr>
            <w:tcW w:w="1180" w:type="dxa"/>
            <w:tcBorders>
              <w:top w:val="single" w:sz="4" w:space="0" w:color="auto"/>
              <w:left w:val="single" w:sz="4" w:space="0" w:color="auto"/>
              <w:bottom w:val="single" w:sz="4" w:space="0" w:color="auto"/>
              <w:right w:val="single" w:sz="4" w:space="0" w:color="auto"/>
            </w:tcBorders>
            <w:vAlign w:val="center"/>
          </w:tcPr>
          <w:p w14:paraId="22721815" w14:textId="71114DFD" w:rsidR="0064345E" w:rsidRPr="001F151E" w:rsidRDefault="00AD50A8" w:rsidP="0064345E">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0E12A32A" w14:textId="7AA31F26" w:rsidR="0064345E" w:rsidRPr="001F151E" w:rsidRDefault="00087FF9" w:rsidP="0064345E">
            <w:pPr>
              <w:pStyle w:val="T-normal"/>
              <w:jc w:val="center"/>
            </w:pPr>
            <w:r>
              <w:t>-</w:t>
            </w:r>
          </w:p>
        </w:tc>
        <w:tc>
          <w:tcPr>
            <w:tcW w:w="1180" w:type="dxa"/>
            <w:tcBorders>
              <w:top w:val="single" w:sz="4" w:space="0" w:color="auto"/>
              <w:left w:val="single" w:sz="4" w:space="0" w:color="auto"/>
              <w:bottom w:val="single" w:sz="4" w:space="0" w:color="auto"/>
              <w:right w:val="single" w:sz="4" w:space="0" w:color="auto"/>
            </w:tcBorders>
            <w:vAlign w:val="center"/>
          </w:tcPr>
          <w:p w14:paraId="26D6185A" w14:textId="1F49D8B4" w:rsidR="0064345E" w:rsidRPr="001F151E" w:rsidRDefault="00087FF9" w:rsidP="0064345E">
            <w:pPr>
              <w:pStyle w:val="T-normal"/>
              <w:jc w:val="center"/>
            </w:pPr>
            <w:r>
              <w:t>+</w:t>
            </w:r>
            <w:r w:rsidR="0064345E" w:rsidRPr="001F151E">
              <w:t>0.3</w:t>
            </w:r>
            <w:r>
              <w:t>6</w:t>
            </w:r>
            <w:r w:rsidR="0064345E" w:rsidRPr="001F151E">
              <w:t xml:space="preserve">% </w:t>
            </w:r>
          </w:p>
          <w:p w14:paraId="7C0A4B4F" w14:textId="065FDE0C" w:rsidR="0064345E" w:rsidRPr="001F151E" w:rsidRDefault="0064345E" w:rsidP="0064345E">
            <w:pPr>
              <w:pStyle w:val="T-normal"/>
              <w:jc w:val="center"/>
            </w:pPr>
            <w:r w:rsidRPr="001F151E">
              <w:t>of GDP</w:t>
            </w:r>
          </w:p>
        </w:tc>
        <w:tc>
          <w:tcPr>
            <w:tcW w:w="1181" w:type="dxa"/>
            <w:tcBorders>
              <w:top w:val="single" w:sz="4" w:space="0" w:color="auto"/>
              <w:left w:val="single" w:sz="4" w:space="0" w:color="auto"/>
              <w:bottom w:val="single" w:sz="4" w:space="0" w:color="auto"/>
              <w:right w:val="single" w:sz="4" w:space="0" w:color="auto"/>
            </w:tcBorders>
            <w:vAlign w:val="center"/>
          </w:tcPr>
          <w:p w14:paraId="1E5DCE8C" w14:textId="2DAFBE63" w:rsidR="0064345E" w:rsidRPr="001F151E" w:rsidRDefault="00FF30F0" w:rsidP="0064345E">
            <w:pPr>
              <w:pStyle w:val="T-normal"/>
              <w:jc w:val="center"/>
            </w:pPr>
            <w:r>
              <w:t>+0.</w:t>
            </w:r>
            <w:r w:rsidR="00087FF9">
              <w:t>45</w:t>
            </w:r>
            <w:r w:rsidR="0064345E" w:rsidRPr="001F151E">
              <w:t xml:space="preserve">% </w:t>
            </w:r>
          </w:p>
          <w:p w14:paraId="15FFAA26" w14:textId="431FCF4F" w:rsidR="0064345E" w:rsidRPr="001F151E" w:rsidRDefault="0064345E" w:rsidP="0064345E">
            <w:pPr>
              <w:pStyle w:val="T-normal"/>
              <w:jc w:val="center"/>
            </w:pPr>
            <w:r w:rsidRPr="001F151E">
              <w:t>of GDP</w:t>
            </w:r>
          </w:p>
        </w:tc>
        <w:tc>
          <w:tcPr>
            <w:tcW w:w="1181" w:type="dxa"/>
            <w:tcBorders>
              <w:top w:val="single" w:sz="4" w:space="0" w:color="auto"/>
              <w:left w:val="single" w:sz="4" w:space="0" w:color="auto"/>
              <w:bottom w:val="single" w:sz="4" w:space="0" w:color="auto"/>
              <w:right w:val="single" w:sz="4" w:space="0" w:color="auto"/>
            </w:tcBorders>
            <w:vAlign w:val="center"/>
          </w:tcPr>
          <w:p w14:paraId="3C68096E" w14:textId="6667EADF" w:rsidR="0064345E" w:rsidRPr="001F151E" w:rsidRDefault="00FF30F0" w:rsidP="0064345E">
            <w:pPr>
              <w:pStyle w:val="T-normal"/>
              <w:jc w:val="center"/>
            </w:pPr>
            <w:r>
              <w:t>+</w:t>
            </w:r>
            <w:r w:rsidR="0064345E" w:rsidRPr="001F151E">
              <w:t>0.</w:t>
            </w:r>
            <w:r>
              <w:t>47</w:t>
            </w:r>
            <w:r w:rsidR="0064345E" w:rsidRPr="001F151E">
              <w:t xml:space="preserve">% </w:t>
            </w:r>
          </w:p>
          <w:p w14:paraId="0C2F226A" w14:textId="3660D8C0" w:rsidR="0064345E" w:rsidRPr="001F151E" w:rsidRDefault="0064345E" w:rsidP="0064345E">
            <w:pPr>
              <w:pStyle w:val="T-normal"/>
              <w:jc w:val="center"/>
              <w:rPr>
                <w:sz w:val="14"/>
                <w:szCs w:val="14"/>
              </w:rPr>
            </w:pPr>
            <w:r w:rsidRPr="001F151E">
              <w:t>of GDP</w:t>
            </w:r>
          </w:p>
        </w:tc>
      </w:tr>
      <w:tr w:rsidR="0064345E" w:rsidRPr="001F151E" w14:paraId="17E9B738" w14:textId="77777777" w:rsidTr="00B2055E">
        <w:trPr>
          <w:trHeight w:val="22"/>
        </w:trPr>
        <w:tc>
          <w:tcPr>
            <w:tcW w:w="3114" w:type="dxa"/>
            <w:tcBorders>
              <w:top w:val="single" w:sz="4" w:space="0" w:color="auto"/>
              <w:left w:val="single" w:sz="4" w:space="0" w:color="auto"/>
              <w:bottom w:val="single" w:sz="4" w:space="0" w:color="auto"/>
              <w:right w:val="single" w:sz="4" w:space="0" w:color="auto"/>
            </w:tcBorders>
          </w:tcPr>
          <w:p w14:paraId="6DB1A982" w14:textId="6C54B874" w:rsidR="0064345E" w:rsidRPr="001F151E" w:rsidRDefault="0064345E" w:rsidP="00B45892">
            <w:pPr>
              <w:pStyle w:val="ListParagraph"/>
              <w:numPr>
                <w:ilvl w:val="0"/>
                <w:numId w:val="76"/>
              </w:numPr>
              <w:rPr>
                <w:sz w:val="16"/>
                <w:szCs w:val="16"/>
              </w:rPr>
            </w:pPr>
            <w:r w:rsidRPr="001F151E">
              <w:rPr>
                <w:sz w:val="16"/>
                <w:szCs w:val="16"/>
              </w:rPr>
              <w:t>Increase of revenues from reduction of under and un declared work</w:t>
            </w:r>
            <w:r w:rsidR="00B2055E" w:rsidRPr="001F151E">
              <w:rPr>
                <w:sz w:val="16"/>
                <w:szCs w:val="16"/>
              </w:rPr>
              <w:t xml:space="preserve"> (measured on cumulative basis)</w:t>
            </w:r>
          </w:p>
        </w:tc>
        <w:tc>
          <w:tcPr>
            <w:tcW w:w="1180" w:type="dxa"/>
            <w:tcBorders>
              <w:top w:val="single" w:sz="4" w:space="0" w:color="auto"/>
              <w:left w:val="single" w:sz="4" w:space="0" w:color="auto"/>
              <w:bottom w:val="single" w:sz="4" w:space="0" w:color="auto"/>
              <w:right w:val="single" w:sz="4" w:space="0" w:color="auto"/>
            </w:tcBorders>
            <w:vAlign w:val="center"/>
          </w:tcPr>
          <w:p w14:paraId="53C0E2D3" w14:textId="3FE9DEFE" w:rsidR="0064345E" w:rsidRPr="001F151E" w:rsidRDefault="00AD50A8" w:rsidP="0064345E">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270C9F90" w14:textId="77777777" w:rsidR="0064345E" w:rsidRPr="001F151E" w:rsidRDefault="0064345E" w:rsidP="0064345E">
            <w:pPr>
              <w:pStyle w:val="T-normal"/>
              <w:jc w:val="center"/>
            </w:pPr>
            <w:r w:rsidRPr="001F151E">
              <w:t xml:space="preserve">0.08% </w:t>
            </w:r>
          </w:p>
          <w:p w14:paraId="29CAA992" w14:textId="551BD023" w:rsidR="0064345E" w:rsidRPr="001F151E" w:rsidRDefault="0064345E" w:rsidP="0064345E">
            <w:pPr>
              <w:pStyle w:val="T-normal"/>
              <w:jc w:val="center"/>
            </w:pPr>
            <w:r w:rsidRPr="001F151E">
              <w:t>of GDP</w:t>
            </w:r>
          </w:p>
        </w:tc>
        <w:tc>
          <w:tcPr>
            <w:tcW w:w="1180" w:type="dxa"/>
            <w:tcBorders>
              <w:top w:val="single" w:sz="4" w:space="0" w:color="auto"/>
              <w:left w:val="single" w:sz="4" w:space="0" w:color="auto"/>
              <w:bottom w:val="single" w:sz="4" w:space="0" w:color="auto"/>
              <w:right w:val="single" w:sz="4" w:space="0" w:color="auto"/>
            </w:tcBorders>
            <w:vAlign w:val="center"/>
          </w:tcPr>
          <w:p w14:paraId="3FA66019" w14:textId="77777777" w:rsidR="0064345E" w:rsidRPr="001F151E" w:rsidRDefault="0064345E" w:rsidP="0064345E">
            <w:pPr>
              <w:pStyle w:val="T-normal"/>
              <w:jc w:val="center"/>
            </w:pPr>
            <w:r w:rsidRPr="001F151E">
              <w:t xml:space="preserve">0.18% </w:t>
            </w:r>
          </w:p>
          <w:p w14:paraId="5ED8159D" w14:textId="7E3E85F7" w:rsidR="0064345E" w:rsidRPr="001F151E" w:rsidRDefault="0064345E" w:rsidP="0064345E">
            <w:pPr>
              <w:pStyle w:val="T-normal"/>
              <w:jc w:val="center"/>
            </w:pPr>
            <w:r w:rsidRPr="001F151E">
              <w:t>of GDP</w:t>
            </w:r>
          </w:p>
        </w:tc>
        <w:tc>
          <w:tcPr>
            <w:tcW w:w="1181" w:type="dxa"/>
            <w:tcBorders>
              <w:top w:val="single" w:sz="4" w:space="0" w:color="auto"/>
              <w:left w:val="single" w:sz="4" w:space="0" w:color="auto"/>
              <w:bottom w:val="single" w:sz="4" w:space="0" w:color="auto"/>
              <w:right w:val="single" w:sz="4" w:space="0" w:color="auto"/>
            </w:tcBorders>
            <w:vAlign w:val="center"/>
          </w:tcPr>
          <w:p w14:paraId="546E513C" w14:textId="77777777" w:rsidR="0064345E" w:rsidRPr="001F151E" w:rsidRDefault="0064345E" w:rsidP="0064345E">
            <w:pPr>
              <w:pStyle w:val="T-normal"/>
              <w:jc w:val="center"/>
            </w:pPr>
            <w:r w:rsidRPr="001F151E">
              <w:t xml:space="preserve">0.22% </w:t>
            </w:r>
          </w:p>
          <w:p w14:paraId="22C1FE21" w14:textId="6CC17339" w:rsidR="0064345E" w:rsidRPr="001F151E" w:rsidRDefault="0064345E" w:rsidP="0064345E">
            <w:pPr>
              <w:pStyle w:val="T-normal"/>
              <w:jc w:val="center"/>
            </w:pPr>
            <w:r w:rsidRPr="001F151E">
              <w:t>of GDP</w:t>
            </w:r>
          </w:p>
        </w:tc>
        <w:tc>
          <w:tcPr>
            <w:tcW w:w="1181" w:type="dxa"/>
            <w:tcBorders>
              <w:top w:val="single" w:sz="4" w:space="0" w:color="auto"/>
              <w:left w:val="single" w:sz="4" w:space="0" w:color="auto"/>
              <w:bottom w:val="single" w:sz="4" w:space="0" w:color="auto"/>
              <w:right w:val="single" w:sz="4" w:space="0" w:color="auto"/>
            </w:tcBorders>
            <w:vAlign w:val="center"/>
          </w:tcPr>
          <w:p w14:paraId="5C4EE88A" w14:textId="77777777" w:rsidR="0064345E" w:rsidRPr="001F151E" w:rsidRDefault="0064345E" w:rsidP="0064345E">
            <w:pPr>
              <w:pStyle w:val="T-normal"/>
              <w:jc w:val="center"/>
            </w:pPr>
            <w:r w:rsidRPr="001F151E">
              <w:t xml:space="preserve">0.28% </w:t>
            </w:r>
          </w:p>
          <w:p w14:paraId="073F0684" w14:textId="272F4AA2" w:rsidR="0064345E" w:rsidRPr="001F151E" w:rsidRDefault="0064345E" w:rsidP="0064345E">
            <w:pPr>
              <w:pStyle w:val="T-normal"/>
              <w:jc w:val="center"/>
            </w:pPr>
            <w:r w:rsidRPr="001F151E">
              <w:t>of GDP</w:t>
            </w:r>
          </w:p>
        </w:tc>
      </w:tr>
    </w:tbl>
    <w:p w14:paraId="29FD67D5" w14:textId="77777777" w:rsidR="0064345E" w:rsidRPr="001F151E" w:rsidRDefault="0064345E" w:rsidP="00BA761C">
      <w:pPr>
        <w:rPr>
          <w:lang w:val="en-GB"/>
        </w:rPr>
      </w:pPr>
    </w:p>
    <w:p w14:paraId="57852921" w14:textId="1D8C67FF" w:rsidR="006F485F" w:rsidRPr="001F151E" w:rsidRDefault="006F485F" w:rsidP="00BA761C">
      <w:pPr>
        <w:rPr>
          <w:rFonts w:eastAsiaTheme="majorEastAsia" w:cstheme="majorBidi"/>
          <w:b/>
          <w:bCs/>
          <w:iCs/>
          <w:color w:val="0070C0"/>
          <w:sz w:val="26"/>
          <w:szCs w:val="26"/>
          <w:lang w:val="en-GB"/>
        </w:rPr>
      </w:pPr>
    </w:p>
    <w:p w14:paraId="2AD24F4B" w14:textId="77777777" w:rsidR="008522A0" w:rsidRPr="001F151E" w:rsidRDefault="008522A0" w:rsidP="008522A0">
      <w:pPr>
        <w:pStyle w:val="Heading2"/>
        <w:rPr>
          <w:lang w:val="en-GB"/>
        </w:rPr>
      </w:pPr>
      <w:bookmarkStart w:id="38" w:name="_Toc151048295"/>
      <w:bookmarkStart w:id="39" w:name="_Toc163148023"/>
      <w:r w:rsidRPr="001F151E">
        <w:rPr>
          <w:lang w:val="en-GB"/>
        </w:rPr>
        <w:t>Component 3.2 Property Tax Management</w:t>
      </w:r>
      <w:bookmarkEnd w:id="38"/>
      <w:bookmarkEnd w:id="39"/>
    </w:p>
    <w:p w14:paraId="6138BCF9" w14:textId="77777777" w:rsidR="008522A0" w:rsidRPr="001F151E" w:rsidRDefault="008522A0" w:rsidP="008522A0">
      <w:pPr>
        <w:rPr>
          <w:lang w:val="en-GB"/>
        </w:rPr>
      </w:pPr>
    </w:p>
    <w:p w14:paraId="58B6764B" w14:textId="77777777" w:rsidR="008522A0" w:rsidRPr="001F151E" w:rsidRDefault="008522A0" w:rsidP="00EA6F1D">
      <w:pPr>
        <w:pStyle w:val="H5"/>
        <w:spacing w:line="276" w:lineRule="auto"/>
        <w:jc w:val="both"/>
        <w:rPr>
          <w:lang w:val="en-GB"/>
        </w:rPr>
      </w:pPr>
      <w:r w:rsidRPr="001F151E">
        <w:rPr>
          <w:lang w:val="en-GB"/>
        </w:rPr>
        <w:t>Objective</w:t>
      </w:r>
    </w:p>
    <w:p w14:paraId="6AE51347" w14:textId="77777777" w:rsidR="008522A0" w:rsidRPr="001F151E" w:rsidRDefault="008522A0" w:rsidP="00EA6F1D">
      <w:pPr>
        <w:spacing w:line="276" w:lineRule="auto"/>
        <w:jc w:val="both"/>
        <w:rPr>
          <w:lang w:val="en-GB"/>
        </w:rPr>
      </w:pPr>
      <w:r w:rsidRPr="001F151E">
        <w:rPr>
          <w:lang w:val="en-GB"/>
        </w:rPr>
        <w:t xml:space="preserve">The goal for 2030 is to have in place a fully operational fiscal cadastre and effective property tax collection system targeting all properties across all municipalities in the country with the aim to bring additional revenue for local governments. </w:t>
      </w:r>
    </w:p>
    <w:p w14:paraId="71218A8B" w14:textId="77777777" w:rsidR="008522A0" w:rsidRPr="001F151E" w:rsidRDefault="008522A0" w:rsidP="00EA6F1D">
      <w:pPr>
        <w:pStyle w:val="H5"/>
        <w:spacing w:line="276" w:lineRule="auto"/>
        <w:jc w:val="both"/>
        <w:rPr>
          <w:lang w:val="en-GB"/>
        </w:rPr>
      </w:pPr>
    </w:p>
    <w:p w14:paraId="2ECCEB29" w14:textId="77777777" w:rsidR="008522A0" w:rsidRPr="001F151E" w:rsidRDefault="008522A0" w:rsidP="00EA6F1D">
      <w:pPr>
        <w:pStyle w:val="H5"/>
        <w:spacing w:line="276" w:lineRule="auto"/>
        <w:jc w:val="both"/>
        <w:rPr>
          <w:lang w:val="en-GB"/>
        </w:rPr>
      </w:pPr>
      <w:r w:rsidRPr="001F151E">
        <w:rPr>
          <w:lang w:val="en-GB"/>
        </w:rPr>
        <w:t>Context</w:t>
      </w:r>
    </w:p>
    <w:p w14:paraId="066656B2" w14:textId="1577B927" w:rsidR="008522A0" w:rsidRPr="001F151E" w:rsidRDefault="008522A0" w:rsidP="00EA6F1D">
      <w:pPr>
        <w:spacing w:line="276" w:lineRule="auto"/>
        <w:jc w:val="both"/>
        <w:rPr>
          <w:lang w:val="en-GB"/>
        </w:rPr>
      </w:pPr>
      <w:r w:rsidRPr="001F151E">
        <w:rPr>
          <w:lang w:val="en-GB"/>
        </w:rPr>
        <w:t>The latest reform in the field of property tax aim to increase the revenues for Municipalities, by transitioning from a value-based taxation system for buildings and a simple area-based taxation system for land, to a modern taxation system that taxes both buildings and land, based on the market value of these assets. A key challenge has been to create a comprehensive integrated database of properties. All registered properties will be valued based on market value</w:t>
      </w:r>
      <w:r w:rsidRPr="001F151E">
        <w:rPr>
          <w:rStyle w:val="FootnoteReference"/>
          <w:lang w:val="en-GB"/>
        </w:rPr>
        <w:footnoteReference w:id="43"/>
      </w:r>
      <w:r w:rsidRPr="001F151E">
        <w:rPr>
          <w:lang w:val="en-GB"/>
        </w:rPr>
        <w:t xml:space="preserve">. </w:t>
      </w:r>
    </w:p>
    <w:p w14:paraId="1F189321" w14:textId="77777777" w:rsidR="008522A0" w:rsidRPr="001F151E" w:rsidRDefault="008522A0" w:rsidP="00EA6F1D">
      <w:pPr>
        <w:spacing w:line="276" w:lineRule="auto"/>
        <w:jc w:val="both"/>
        <w:rPr>
          <w:lang w:val="en-GB"/>
        </w:rPr>
      </w:pPr>
    </w:p>
    <w:p w14:paraId="0CD10FC4" w14:textId="488A8B29" w:rsidR="008522A0" w:rsidRPr="001F151E" w:rsidRDefault="008522A0" w:rsidP="00EA6F1D">
      <w:pPr>
        <w:spacing w:line="276" w:lineRule="auto"/>
        <w:jc w:val="both"/>
        <w:rPr>
          <w:lang w:val="en-GB"/>
        </w:rPr>
      </w:pPr>
      <w:r w:rsidRPr="001F151E">
        <w:rPr>
          <w:lang w:val="en-GB"/>
        </w:rPr>
        <w:t>During the first phase of property tax reform the General Directorate of Property Tax (GDPT) and the Fiscal Cadaster were established. The GDPT plays a crucial role, including overseeing the management of the Fiscal Cadaster and taking the lead, methodologically, in the administration of property taxes. A pilot program involving nine municipalities was launched to assess the efficacy of the FCIS, accompanied by extensive training sessions for municipal staff members. To enhance taxpayer awareness of their property tax responsibilities, the GDPT has collaborated with municipalities, sharing informative materials for dissemination through their channels. In this regard, the GDPT has developed flyers and other printable informational resources designed to enlighten taxpayers about their obligations</w:t>
      </w:r>
    </w:p>
    <w:p w14:paraId="4B567D36" w14:textId="77777777" w:rsidR="008522A0" w:rsidRPr="001F151E" w:rsidRDefault="008522A0" w:rsidP="00EA6F1D">
      <w:pPr>
        <w:spacing w:line="276" w:lineRule="auto"/>
        <w:jc w:val="both"/>
        <w:rPr>
          <w:lang w:val="en-GB"/>
        </w:rPr>
      </w:pPr>
    </w:p>
    <w:p w14:paraId="500E647F" w14:textId="37374EA0" w:rsidR="008522A0" w:rsidRPr="001F151E" w:rsidRDefault="008522A0" w:rsidP="00EA6F1D">
      <w:pPr>
        <w:spacing w:line="276" w:lineRule="auto"/>
        <w:jc w:val="both"/>
        <w:rPr>
          <w:lang w:val="en-GB"/>
        </w:rPr>
      </w:pPr>
      <w:r w:rsidRPr="001F151E">
        <w:rPr>
          <w:lang w:val="en-GB"/>
        </w:rPr>
        <w:t xml:space="preserve">During the ongoing second phase of the reform, </w:t>
      </w:r>
      <w:r w:rsidR="00D0425D" w:rsidRPr="001F151E">
        <w:rPr>
          <w:lang w:val="en-GB"/>
        </w:rPr>
        <w:t xml:space="preserve">it has been drafted the draft-law “On the immovable property tax”. The </w:t>
      </w:r>
      <w:r w:rsidR="00E246BE">
        <w:rPr>
          <w:lang w:val="en-GB"/>
        </w:rPr>
        <w:t>provisions of the new draft-law</w:t>
      </w:r>
      <w:r w:rsidRPr="001F151E">
        <w:rPr>
          <w:lang w:val="en-GB"/>
        </w:rPr>
        <w:t xml:space="preserve"> </w:t>
      </w:r>
      <w:r w:rsidR="00E246BE">
        <w:rPr>
          <w:lang w:val="en-GB"/>
        </w:rPr>
        <w:t>includes regulating</w:t>
      </w:r>
      <w:r w:rsidR="00676534" w:rsidRPr="001F151E">
        <w:rPr>
          <w:lang w:val="en-GB"/>
        </w:rPr>
        <w:t xml:space="preserve"> </w:t>
      </w:r>
      <w:r w:rsidRPr="001F151E">
        <w:rPr>
          <w:lang w:val="en-GB"/>
        </w:rPr>
        <w:t>the mandate of the GDPT to be in charge for building evaluation/appraisal, the State Cadastre Agency to be in charge for land evaluation/appraisal</w:t>
      </w:r>
      <w:r w:rsidR="00D0425D" w:rsidRPr="001F151E">
        <w:rPr>
          <w:lang w:val="en-GB"/>
        </w:rPr>
        <w:t xml:space="preserve">. </w:t>
      </w:r>
      <w:r w:rsidRPr="001F151E">
        <w:rPr>
          <w:lang w:val="en-GB"/>
        </w:rPr>
        <w:t xml:space="preserve"> </w:t>
      </w:r>
      <w:r w:rsidR="00D0425D" w:rsidRPr="001F151E">
        <w:rPr>
          <w:lang w:val="en-GB"/>
        </w:rPr>
        <w:t xml:space="preserve">Furthermore it regulates the responsibilities of the GDPT and </w:t>
      </w:r>
      <w:r w:rsidRPr="001F151E">
        <w:rPr>
          <w:lang w:val="en-GB"/>
        </w:rPr>
        <w:t xml:space="preserve">of the Municipalities. Also, it defines the way the cooperation between institutions shall be in terms of exchange of information and integration/interfacing of information systems. </w:t>
      </w:r>
      <w:r w:rsidR="00D0425D" w:rsidRPr="001F151E">
        <w:rPr>
          <w:lang w:val="en-GB"/>
        </w:rPr>
        <w:t xml:space="preserve">Moreover, the new draft law regulates the methods of tax invoicing and collections, as well as the mechanisms of complaints and appeals. </w:t>
      </w:r>
    </w:p>
    <w:p w14:paraId="53323AD8" w14:textId="77777777" w:rsidR="008522A0" w:rsidRPr="001F151E" w:rsidRDefault="008522A0" w:rsidP="00EA6F1D">
      <w:pPr>
        <w:spacing w:line="276" w:lineRule="auto"/>
        <w:jc w:val="both"/>
        <w:rPr>
          <w:lang w:val="en-GB"/>
        </w:rPr>
      </w:pPr>
    </w:p>
    <w:p w14:paraId="49086116" w14:textId="77777777" w:rsidR="008522A0" w:rsidRPr="001F151E" w:rsidRDefault="008522A0" w:rsidP="00EA6F1D">
      <w:pPr>
        <w:pStyle w:val="H5"/>
        <w:spacing w:line="276" w:lineRule="auto"/>
        <w:jc w:val="both"/>
        <w:rPr>
          <w:lang w:val="en-GB"/>
        </w:rPr>
      </w:pPr>
      <w:r w:rsidRPr="001F151E">
        <w:rPr>
          <w:lang w:val="en-GB"/>
        </w:rPr>
        <w:t>Priorities</w:t>
      </w:r>
    </w:p>
    <w:p w14:paraId="6181630E" w14:textId="67649D57" w:rsidR="008522A0" w:rsidRPr="001F151E" w:rsidRDefault="008522A0" w:rsidP="00EA6F1D">
      <w:pPr>
        <w:spacing w:line="276" w:lineRule="auto"/>
        <w:jc w:val="both"/>
        <w:rPr>
          <w:lang w:val="en-GB"/>
        </w:rPr>
      </w:pPr>
      <w:r w:rsidRPr="001F151E">
        <w:rPr>
          <w:lang w:val="en-GB"/>
        </w:rPr>
        <w:t>The key priority for the period 2023-20</w:t>
      </w:r>
      <w:r w:rsidR="000726F7">
        <w:rPr>
          <w:lang w:val="en-GB"/>
        </w:rPr>
        <w:t>30</w:t>
      </w:r>
      <w:r w:rsidRPr="001F151E">
        <w:rPr>
          <w:lang w:val="en-GB"/>
        </w:rPr>
        <w:t xml:space="preserve"> is to:</w:t>
      </w:r>
    </w:p>
    <w:p w14:paraId="3BC1F6AA" w14:textId="23EDA90F" w:rsidR="008522A0" w:rsidRPr="001F151E" w:rsidRDefault="008522A0" w:rsidP="00EA6F1D">
      <w:pPr>
        <w:pStyle w:val="N-Bullet"/>
        <w:spacing w:line="276" w:lineRule="auto"/>
        <w:jc w:val="both"/>
        <w:rPr>
          <w:lang w:val="en-GB"/>
        </w:rPr>
      </w:pPr>
      <w:r w:rsidRPr="001F151E">
        <w:rPr>
          <w:lang w:val="en-GB"/>
        </w:rPr>
        <w:t>Prepare the fiscal cadastre and property tax collection system for full implementation in the period after 20</w:t>
      </w:r>
      <w:r w:rsidR="000726F7">
        <w:rPr>
          <w:lang w:val="en-GB"/>
        </w:rPr>
        <w:t>30</w:t>
      </w:r>
      <w:r w:rsidRPr="001F151E">
        <w:rPr>
          <w:lang w:val="en-GB"/>
        </w:rPr>
        <w:t xml:space="preserve"> – including completing the legal and regulatory framework, finalizing the FCIS with the interoperability and integration with other systems, addressing staffing requirements and human resource capacity building.</w:t>
      </w:r>
    </w:p>
    <w:p w14:paraId="1E2F57E2" w14:textId="77777777" w:rsidR="00EA6F1D" w:rsidRDefault="00EA6F1D">
      <w:pPr>
        <w:spacing w:after="160" w:line="259" w:lineRule="auto"/>
        <w:rPr>
          <w:b/>
          <w:bCs/>
          <w:color w:val="0070C0"/>
          <w:lang w:val="en-GB"/>
        </w:rPr>
      </w:pPr>
    </w:p>
    <w:p w14:paraId="4E5E825E" w14:textId="11391FBB" w:rsidR="008522A0" w:rsidRPr="001F151E" w:rsidRDefault="008522A0" w:rsidP="008522A0">
      <w:pPr>
        <w:pStyle w:val="H5"/>
        <w:rPr>
          <w:lang w:val="en-GB"/>
        </w:rPr>
      </w:pPr>
      <w:r w:rsidRPr="001F151E">
        <w:rPr>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05"/>
        <w:gridCol w:w="3625"/>
        <w:gridCol w:w="798"/>
        <w:gridCol w:w="798"/>
        <w:gridCol w:w="1790"/>
      </w:tblGrid>
      <w:tr w:rsidR="008522A0" w:rsidRPr="001F151E" w14:paraId="5474741B" w14:textId="77777777" w:rsidTr="008522A0">
        <w:trPr>
          <w:trHeight w:val="182"/>
          <w:tblHeader/>
        </w:trPr>
        <w:tc>
          <w:tcPr>
            <w:tcW w:w="2005" w:type="dxa"/>
            <w:shd w:val="clear" w:color="auto" w:fill="D9D9D9" w:themeFill="background1" w:themeFillShade="D9"/>
          </w:tcPr>
          <w:p w14:paraId="1ABC37B4" w14:textId="77777777" w:rsidR="008522A0" w:rsidRPr="001F151E" w:rsidRDefault="008522A0" w:rsidP="002B7FF8">
            <w:pPr>
              <w:pStyle w:val="T-bold"/>
              <w:spacing w:line="288" w:lineRule="auto"/>
            </w:pPr>
            <w:r w:rsidRPr="001F151E">
              <w:t>Measure</w:t>
            </w:r>
          </w:p>
        </w:tc>
        <w:tc>
          <w:tcPr>
            <w:tcW w:w="3625" w:type="dxa"/>
            <w:shd w:val="clear" w:color="auto" w:fill="D9D9D9" w:themeFill="background1" w:themeFillShade="D9"/>
          </w:tcPr>
          <w:p w14:paraId="41B1A8EA" w14:textId="77777777" w:rsidR="008522A0" w:rsidRPr="001F151E" w:rsidRDefault="008522A0" w:rsidP="002B7FF8">
            <w:pPr>
              <w:pStyle w:val="T-bold"/>
              <w:spacing w:line="288" w:lineRule="auto"/>
            </w:pPr>
            <w:r w:rsidRPr="001F151E">
              <w:t>Activity</w:t>
            </w:r>
          </w:p>
        </w:tc>
        <w:tc>
          <w:tcPr>
            <w:tcW w:w="798" w:type="dxa"/>
            <w:shd w:val="clear" w:color="auto" w:fill="D9D9D9" w:themeFill="background1" w:themeFillShade="D9"/>
          </w:tcPr>
          <w:p w14:paraId="57A9FF82" w14:textId="77777777" w:rsidR="008522A0" w:rsidRPr="001F151E" w:rsidRDefault="008522A0" w:rsidP="002B7FF8">
            <w:pPr>
              <w:pStyle w:val="T-bold"/>
              <w:spacing w:line="288" w:lineRule="auto"/>
              <w:jc w:val="center"/>
            </w:pPr>
            <w:r w:rsidRPr="001F151E">
              <w:t>Start</w:t>
            </w:r>
          </w:p>
        </w:tc>
        <w:tc>
          <w:tcPr>
            <w:tcW w:w="798" w:type="dxa"/>
            <w:shd w:val="clear" w:color="auto" w:fill="D9D9D9" w:themeFill="background1" w:themeFillShade="D9"/>
          </w:tcPr>
          <w:p w14:paraId="2FBC0AA6" w14:textId="77777777" w:rsidR="008522A0" w:rsidRPr="001F151E" w:rsidRDefault="008522A0" w:rsidP="002B7FF8">
            <w:pPr>
              <w:pStyle w:val="T-bold"/>
              <w:spacing w:line="288" w:lineRule="auto"/>
              <w:jc w:val="center"/>
            </w:pPr>
            <w:r w:rsidRPr="001F151E">
              <w:t>End</w:t>
            </w:r>
          </w:p>
        </w:tc>
        <w:tc>
          <w:tcPr>
            <w:tcW w:w="1790" w:type="dxa"/>
            <w:shd w:val="clear" w:color="auto" w:fill="D9D9D9" w:themeFill="background1" w:themeFillShade="D9"/>
          </w:tcPr>
          <w:p w14:paraId="5BF155C6" w14:textId="77777777" w:rsidR="008522A0" w:rsidRPr="001F151E" w:rsidRDefault="008522A0" w:rsidP="002B7FF8">
            <w:pPr>
              <w:pStyle w:val="T-bold"/>
              <w:spacing w:line="288" w:lineRule="auto"/>
            </w:pPr>
            <w:r w:rsidRPr="001F151E">
              <w:t>Stakeholders</w:t>
            </w:r>
          </w:p>
        </w:tc>
      </w:tr>
      <w:tr w:rsidR="008522A0" w:rsidRPr="001F151E" w14:paraId="1D23A7B5" w14:textId="77777777" w:rsidTr="00827A2C">
        <w:trPr>
          <w:trHeight w:val="335"/>
        </w:trPr>
        <w:tc>
          <w:tcPr>
            <w:tcW w:w="2005" w:type="dxa"/>
            <w:vMerge w:val="restart"/>
            <w:shd w:val="clear" w:color="auto" w:fill="auto"/>
          </w:tcPr>
          <w:p w14:paraId="12970E39" w14:textId="7F7A60B9" w:rsidR="008522A0" w:rsidRPr="001F151E" w:rsidRDefault="008522A0" w:rsidP="002B7FF8">
            <w:pPr>
              <w:pStyle w:val="EcorysBody"/>
              <w:rPr>
                <w:rFonts w:ascii="Arial" w:hAnsi="Arial" w:cs="Arial"/>
                <w:b/>
                <w:bCs/>
                <w:sz w:val="16"/>
                <w:szCs w:val="16"/>
              </w:rPr>
            </w:pPr>
            <w:r w:rsidRPr="001F151E">
              <w:rPr>
                <w:rFonts w:ascii="Arial" w:hAnsi="Arial" w:cs="Arial"/>
                <w:b/>
                <w:bCs/>
                <w:sz w:val="16"/>
                <w:szCs w:val="16"/>
              </w:rPr>
              <w:t>Measure 3.</w:t>
            </w:r>
            <w:r w:rsidR="00272B75" w:rsidRPr="001F151E">
              <w:rPr>
                <w:rFonts w:ascii="Arial" w:hAnsi="Arial" w:cs="Arial"/>
                <w:b/>
                <w:bCs/>
                <w:sz w:val="16"/>
                <w:szCs w:val="16"/>
              </w:rPr>
              <w:t>2</w:t>
            </w:r>
            <w:r w:rsidRPr="001F151E">
              <w:rPr>
                <w:rFonts w:ascii="Arial" w:hAnsi="Arial" w:cs="Arial"/>
                <w:b/>
                <w:bCs/>
                <w:sz w:val="16"/>
                <w:szCs w:val="16"/>
              </w:rPr>
              <w:t xml:space="preserve">.1  Improve the fiscal cadastre and </w:t>
            </w:r>
            <w:r w:rsidRPr="001F151E">
              <w:rPr>
                <w:rFonts w:ascii="Arial" w:hAnsi="Arial" w:cs="Arial"/>
                <w:b/>
                <w:bCs/>
                <w:sz w:val="16"/>
                <w:szCs w:val="16"/>
              </w:rPr>
              <w:lastRenderedPageBreak/>
              <w:t xml:space="preserve">the property tax collection system </w:t>
            </w:r>
          </w:p>
          <w:p w14:paraId="48094F16" w14:textId="77777777" w:rsidR="008522A0" w:rsidRPr="001F151E" w:rsidRDefault="008522A0" w:rsidP="002B7FF8">
            <w:pPr>
              <w:pStyle w:val="EcorysBody"/>
              <w:spacing w:line="288" w:lineRule="auto"/>
              <w:rPr>
                <w:rFonts w:ascii="Arial" w:hAnsi="Arial" w:cs="Arial"/>
                <w:b/>
                <w:bCs/>
                <w:sz w:val="16"/>
                <w:szCs w:val="16"/>
              </w:rPr>
            </w:pPr>
          </w:p>
        </w:tc>
        <w:tc>
          <w:tcPr>
            <w:tcW w:w="3625" w:type="dxa"/>
            <w:vAlign w:val="center"/>
          </w:tcPr>
          <w:p w14:paraId="282BE98B" w14:textId="77777777" w:rsidR="008522A0" w:rsidRPr="001F151E" w:rsidRDefault="008522A0" w:rsidP="00897DDC">
            <w:pPr>
              <w:pStyle w:val="EcorysBody"/>
              <w:numPr>
                <w:ilvl w:val="0"/>
                <w:numId w:val="13"/>
              </w:numPr>
              <w:spacing w:line="288" w:lineRule="auto"/>
              <w:rPr>
                <w:rFonts w:ascii="Arial" w:hAnsi="Arial" w:cs="Arial"/>
                <w:sz w:val="16"/>
                <w:szCs w:val="16"/>
              </w:rPr>
            </w:pPr>
            <w:r w:rsidRPr="001F151E">
              <w:rPr>
                <w:rFonts w:ascii="Arial" w:hAnsi="Arial" w:cs="Arial"/>
                <w:sz w:val="16"/>
                <w:szCs w:val="16"/>
              </w:rPr>
              <w:lastRenderedPageBreak/>
              <w:t xml:space="preserve">Develop and adopt the legal framework (laws and by laws) for the fiscal cadastre </w:t>
            </w:r>
            <w:r w:rsidRPr="001F151E">
              <w:rPr>
                <w:rFonts w:ascii="Arial" w:hAnsi="Arial" w:cs="Arial"/>
                <w:sz w:val="16"/>
                <w:szCs w:val="16"/>
              </w:rPr>
              <w:lastRenderedPageBreak/>
              <w:t>and land and property tax and the sub-legal act for valuation of land and property.</w:t>
            </w:r>
          </w:p>
        </w:tc>
        <w:tc>
          <w:tcPr>
            <w:tcW w:w="798" w:type="dxa"/>
            <w:shd w:val="clear" w:color="auto" w:fill="auto"/>
            <w:vAlign w:val="center"/>
          </w:tcPr>
          <w:p w14:paraId="37AB3836" w14:textId="77777777" w:rsidR="008522A0" w:rsidRPr="001F151E" w:rsidRDefault="008522A0" w:rsidP="00E424A5">
            <w:pPr>
              <w:pStyle w:val="T-normal"/>
            </w:pPr>
            <w:r w:rsidRPr="001F151E">
              <w:lastRenderedPageBreak/>
              <w:t>Q1 2023</w:t>
            </w:r>
          </w:p>
        </w:tc>
        <w:tc>
          <w:tcPr>
            <w:tcW w:w="798" w:type="dxa"/>
            <w:shd w:val="clear" w:color="auto" w:fill="auto"/>
            <w:vAlign w:val="center"/>
          </w:tcPr>
          <w:p w14:paraId="3E984ABB" w14:textId="4238A798" w:rsidR="008522A0" w:rsidRPr="001F151E" w:rsidRDefault="008522A0" w:rsidP="00E424A5">
            <w:pPr>
              <w:pStyle w:val="T-normal"/>
            </w:pPr>
            <w:r w:rsidRPr="001F151E">
              <w:t>Q4 202</w:t>
            </w:r>
            <w:r w:rsidR="00D0425D" w:rsidRPr="001F151E">
              <w:t>5</w:t>
            </w:r>
          </w:p>
        </w:tc>
        <w:tc>
          <w:tcPr>
            <w:tcW w:w="1790" w:type="dxa"/>
            <w:vMerge w:val="restart"/>
          </w:tcPr>
          <w:p w14:paraId="7377BCF9" w14:textId="77777777" w:rsidR="008522A0" w:rsidRPr="001F151E" w:rsidRDefault="008522A0" w:rsidP="002B7FF8">
            <w:pPr>
              <w:rPr>
                <w:b/>
                <w:bCs/>
                <w:sz w:val="16"/>
                <w:szCs w:val="16"/>
              </w:rPr>
            </w:pPr>
            <w:r w:rsidRPr="001F151E">
              <w:rPr>
                <w:b/>
                <w:bCs/>
                <w:sz w:val="16"/>
                <w:szCs w:val="16"/>
              </w:rPr>
              <w:t>Responsible entity</w:t>
            </w:r>
          </w:p>
          <w:p w14:paraId="5399A2E1" w14:textId="411DF984" w:rsidR="008522A0" w:rsidRPr="001F151E" w:rsidRDefault="00E246BE" w:rsidP="002B7FF8">
            <w:pPr>
              <w:rPr>
                <w:sz w:val="16"/>
                <w:szCs w:val="16"/>
              </w:rPr>
            </w:pPr>
            <w:r>
              <w:rPr>
                <w:sz w:val="16"/>
                <w:szCs w:val="16"/>
              </w:rPr>
              <w:lastRenderedPageBreak/>
              <w:t>M</w:t>
            </w:r>
            <w:r w:rsidR="004A3CD4">
              <w:rPr>
                <w:sz w:val="16"/>
                <w:szCs w:val="16"/>
              </w:rPr>
              <w:t>o</w:t>
            </w:r>
            <w:r>
              <w:rPr>
                <w:sz w:val="16"/>
                <w:szCs w:val="16"/>
              </w:rPr>
              <w:t xml:space="preserve">F (lead) </w:t>
            </w:r>
            <w:r w:rsidR="008522A0" w:rsidRPr="001F151E">
              <w:rPr>
                <w:sz w:val="16"/>
                <w:szCs w:val="16"/>
              </w:rPr>
              <w:t>GDPT (lead)</w:t>
            </w:r>
          </w:p>
          <w:p w14:paraId="480A667B" w14:textId="77777777" w:rsidR="008522A0" w:rsidRPr="001F151E" w:rsidRDefault="008522A0" w:rsidP="002B7FF8">
            <w:pPr>
              <w:rPr>
                <w:sz w:val="16"/>
                <w:szCs w:val="16"/>
              </w:rPr>
            </w:pPr>
          </w:p>
          <w:p w14:paraId="520A673B" w14:textId="77777777" w:rsidR="008522A0" w:rsidRPr="001F151E" w:rsidRDefault="008522A0" w:rsidP="002B7FF8">
            <w:pPr>
              <w:rPr>
                <w:b/>
                <w:bCs/>
                <w:sz w:val="16"/>
                <w:szCs w:val="16"/>
              </w:rPr>
            </w:pPr>
            <w:r w:rsidRPr="001F151E">
              <w:rPr>
                <w:b/>
                <w:bCs/>
                <w:sz w:val="16"/>
                <w:szCs w:val="16"/>
              </w:rPr>
              <w:t>Partners</w:t>
            </w:r>
          </w:p>
          <w:p w14:paraId="74272782" w14:textId="25A2CDD5" w:rsidR="008522A0" w:rsidRPr="001F151E" w:rsidRDefault="00E246BE" w:rsidP="00896C29">
            <w:r>
              <w:rPr>
                <w:sz w:val="16"/>
                <w:szCs w:val="16"/>
              </w:rPr>
              <w:t>Swedish Interna</w:t>
            </w:r>
            <w:r w:rsidR="004A3CD4">
              <w:rPr>
                <w:sz w:val="16"/>
                <w:szCs w:val="16"/>
              </w:rPr>
              <w:t>tional Development Cooperation A</w:t>
            </w:r>
            <w:r>
              <w:rPr>
                <w:sz w:val="16"/>
                <w:szCs w:val="16"/>
              </w:rPr>
              <w:t>gency (</w:t>
            </w:r>
            <w:r w:rsidR="008522A0" w:rsidRPr="001F151E">
              <w:rPr>
                <w:sz w:val="16"/>
                <w:szCs w:val="16"/>
              </w:rPr>
              <w:t>SIDA</w:t>
            </w:r>
            <w:r>
              <w:rPr>
                <w:sz w:val="16"/>
                <w:szCs w:val="16"/>
              </w:rPr>
              <w:t>)</w:t>
            </w:r>
            <w:r w:rsidR="00896C29">
              <w:rPr>
                <w:sz w:val="16"/>
                <w:szCs w:val="16"/>
              </w:rPr>
              <w:t xml:space="preserve"> </w:t>
            </w:r>
            <w:r w:rsidR="00896C29" w:rsidRPr="001F151E">
              <w:rPr>
                <w:sz w:val="16"/>
                <w:szCs w:val="16"/>
              </w:rPr>
              <w:t>, ProTax Albania Project</w:t>
            </w:r>
            <w:r w:rsidR="004F1194" w:rsidRPr="001F151E">
              <w:rPr>
                <w:sz w:val="16"/>
                <w:szCs w:val="16"/>
              </w:rPr>
              <w:t>,</w:t>
            </w:r>
            <w:r w:rsidR="00D0425D" w:rsidRPr="001F151E">
              <w:rPr>
                <w:rStyle w:val="FootnoteReference"/>
              </w:rPr>
              <w:footnoteReference w:id="44"/>
            </w:r>
            <w:r w:rsidR="004F1194" w:rsidRPr="001F151E">
              <w:rPr>
                <w:sz w:val="16"/>
                <w:szCs w:val="16"/>
              </w:rPr>
              <w:t xml:space="preserve"> </w:t>
            </w:r>
            <w:r w:rsidR="00896C29">
              <w:rPr>
                <w:sz w:val="16"/>
                <w:szCs w:val="16"/>
              </w:rPr>
              <w:t xml:space="preserve">and </w:t>
            </w:r>
            <w:r w:rsidR="00D0425D" w:rsidRPr="001F151E">
              <w:rPr>
                <w:sz w:val="16"/>
                <w:szCs w:val="16"/>
              </w:rPr>
              <w:t>S</w:t>
            </w:r>
            <w:r w:rsidR="00776D09">
              <w:rPr>
                <w:sz w:val="16"/>
                <w:szCs w:val="16"/>
              </w:rPr>
              <w:t xml:space="preserve">wedish </w:t>
            </w:r>
            <w:r w:rsidR="00D0425D" w:rsidRPr="001F151E">
              <w:rPr>
                <w:sz w:val="16"/>
                <w:szCs w:val="16"/>
              </w:rPr>
              <w:t>T</w:t>
            </w:r>
            <w:r w:rsidR="00776D09">
              <w:rPr>
                <w:sz w:val="16"/>
                <w:szCs w:val="16"/>
              </w:rPr>
              <w:t xml:space="preserve">ax </w:t>
            </w:r>
            <w:r w:rsidR="00D0425D" w:rsidRPr="001F151E">
              <w:rPr>
                <w:sz w:val="16"/>
                <w:szCs w:val="16"/>
              </w:rPr>
              <w:t>A</w:t>
            </w:r>
            <w:r w:rsidR="00776D09">
              <w:rPr>
                <w:sz w:val="16"/>
                <w:szCs w:val="16"/>
              </w:rPr>
              <w:t>gency</w:t>
            </w:r>
            <w:r>
              <w:rPr>
                <w:sz w:val="16"/>
                <w:szCs w:val="16"/>
              </w:rPr>
              <w:t xml:space="preserve"> (STA)</w:t>
            </w:r>
          </w:p>
        </w:tc>
      </w:tr>
      <w:tr w:rsidR="008522A0" w:rsidRPr="001F151E" w14:paraId="4DA70C05" w14:textId="77777777" w:rsidTr="00827A2C">
        <w:trPr>
          <w:trHeight w:val="20"/>
        </w:trPr>
        <w:tc>
          <w:tcPr>
            <w:tcW w:w="2005" w:type="dxa"/>
            <w:vMerge/>
            <w:shd w:val="clear" w:color="auto" w:fill="auto"/>
          </w:tcPr>
          <w:p w14:paraId="7BE5796E" w14:textId="77777777" w:rsidR="008522A0" w:rsidRPr="001F151E" w:rsidRDefault="008522A0" w:rsidP="002B7FF8">
            <w:pPr>
              <w:pStyle w:val="EcorysBody"/>
              <w:rPr>
                <w:rFonts w:ascii="Arial" w:hAnsi="Arial" w:cs="Arial"/>
                <w:b/>
                <w:bCs/>
                <w:sz w:val="16"/>
                <w:szCs w:val="16"/>
              </w:rPr>
            </w:pPr>
          </w:p>
        </w:tc>
        <w:tc>
          <w:tcPr>
            <w:tcW w:w="3625" w:type="dxa"/>
            <w:vAlign w:val="center"/>
          </w:tcPr>
          <w:p w14:paraId="2D707762" w14:textId="77777777" w:rsidR="008522A0" w:rsidRPr="001F151E" w:rsidRDefault="008522A0" w:rsidP="00897DDC">
            <w:pPr>
              <w:pStyle w:val="EcorysBody"/>
              <w:numPr>
                <w:ilvl w:val="0"/>
                <w:numId w:val="13"/>
              </w:numPr>
              <w:spacing w:line="288" w:lineRule="auto"/>
              <w:rPr>
                <w:rFonts w:ascii="Arial" w:hAnsi="Arial" w:cs="Arial"/>
                <w:sz w:val="16"/>
                <w:szCs w:val="16"/>
              </w:rPr>
            </w:pPr>
            <w:r w:rsidRPr="001F151E">
              <w:rPr>
                <w:rFonts w:ascii="Arial" w:hAnsi="Arial" w:cs="Arial"/>
                <w:sz w:val="16"/>
                <w:szCs w:val="16"/>
              </w:rPr>
              <w:t>Design the institutional framework for managing and administering building tax.</w:t>
            </w:r>
          </w:p>
        </w:tc>
        <w:tc>
          <w:tcPr>
            <w:tcW w:w="798" w:type="dxa"/>
            <w:shd w:val="clear" w:color="auto" w:fill="auto"/>
            <w:vAlign w:val="center"/>
          </w:tcPr>
          <w:p w14:paraId="4EA0BF58" w14:textId="77777777" w:rsidR="008522A0" w:rsidRPr="001F151E" w:rsidRDefault="008522A0" w:rsidP="00E424A5">
            <w:pPr>
              <w:pStyle w:val="T-normal"/>
              <w:jc w:val="center"/>
            </w:pPr>
            <w:r w:rsidRPr="001F151E">
              <w:t>Q4 2024</w:t>
            </w:r>
          </w:p>
        </w:tc>
        <w:tc>
          <w:tcPr>
            <w:tcW w:w="798" w:type="dxa"/>
            <w:shd w:val="clear" w:color="auto" w:fill="auto"/>
            <w:vAlign w:val="center"/>
          </w:tcPr>
          <w:p w14:paraId="07D97D85" w14:textId="363D7B7E" w:rsidR="008522A0" w:rsidRPr="001F151E" w:rsidRDefault="008522A0" w:rsidP="00E424A5">
            <w:pPr>
              <w:pStyle w:val="T-normal"/>
              <w:jc w:val="center"/>
            </w:pPr>
            <w:r w:rsidRPr="001F151E">
              <w:t>Q1 202</w:t>
            </w:r>
            <w:r w:rsidR="00D0425D" w:rsidRPr="001F151E">
              <w:t>6</w:t>
            </w:r>
          </w:p>
        </w:tc>
        <w:tc>
          <w:tcPr>
            <w:tcW w:w="1790" w:type="dxa"/>
            <w:vMerge/>
          </w:tcPr>
          <w:p w14:paraId="3DB11608" w14:textId="77777777" w:rsidR="008522A0" w:rsidRPr="001F151E" w:rsidRDefault="008522A0" w:rsidP="002B7FF8">
            <w:pPr>
              <w:rPr>
                <w:b/>
                <w:bCs/>
                <w:sz w:val="16"/>
                <w:szCs w:val="16"/>
              </w:rPr>
            </w:pPr>
          </w:p>
        </w:tc>
      </w:tr>
      <w:tr w:rsidR="008522A0" w:rsidRPr="001F151E" w14:paraId="3B9FCFB2" w14:textId="77777777" w:rsidTr="00827A2C">
        <w:trPr>
          <w:trHeight w:val="20"/>
        </w:trPr>
        <w:tc>
          <w:tcPr>
            <w:tcW w:w="2005" w:type="dxa"/>
            <w:vMerge/>
            <w:shd w:val="clear" w:color="auto" w:fill="auto"/>
          </w:tcPr>
          <w:p w14:paraId="377F7BC4" w14:textId="77777777" w:rsidR="008522A0" w:rsidRPr="001F151E" w:rsidRDefault="008522A0" w:rsidP="002B7FF8">
            <w:pPr>
              <w:pStyle w:val="EcorysBody"/>
              <w:spacing w:line="288" w:lineRule="auto"/>
              <w:rPr>
                <w:rFonts w:ascii="Arial" w:hAnsi="Arial" w:cs="Arial"/>
                <w:b/>
                <w:bCs/>
                <w:sz w:val="16"/>
                <w:szCs w:val="16"/>
              </w:rPr>
            </w:pPr>
          </w:p>
        </w:tc>
        <w:tc>
          <w:tcPr>
            <w:tcW w:w="3625" w:type="dxa"/>
            <w:vAlign w:val="center"/>
          </w:tcPr>
          <w:p w14:paraId="30BBF12F" w14:textId="77777777" w:rsidR="008522A0" w:rsidRPr="001F151E" w:rsidRDefault="008522A0" w:rsidP="00897DDC">
            <w:pPr>
              <w:pStyle w:val="EcorysBody"/>
              <w:numPr>
                <w:ilvl w:val="0"/>
                <w:numId w:val="13"/>
              </w:numPr>
              <w:spacing w:line="288" w:lineRule="auto"/>
              <w:rPr>
                <w:rFonts w:ascii="Arial" w:hAnsi="Arial" w:cs="Arial"/>
                <w:sz w:val="16"/>
                <w:szCs w:val="16"/>
              </w:rPr>
            </w:pPr>
            <w:r w:rsidRPr="001F151E">
              <w:rPr>
                <w:rFonts w:ascii="Arial" w:hAnsi="Arial" w:cs="Arial"/>
                <w:sz w:val="16"/>
                <w:szCs w:val="16"/>
              </w:rPr>
              <w:t>Finalise the fiscal cadastre information system and its interoperability with other systems and rollout to Municipalities.</w:t>
            </w:r>
          </w:p>
        </w:tc>
        <w:tc>
          <w:tcPr>
            <w:tcW w:w="798" w:type="dxa"/>
            <w:shd w:val="clear" w:color="auto" w:fill="auto"/>
            <w:vAlign w:val="center"/>
          </w:tcPr>
          <w:p w14:paraId="35206FE4" w14:textId="6FB7678A" w:rsidR="008522A0" w:rsidRPr="001F151E" w:rsidRDefault="008522A0" w:rsidP="00E424A5">
            <w:pPr>
              <w:pStyle w:val="T-normal"/>
              <w:jc w:val="center"/>
            </w:pPr>
            <w:r w:rsidRPr="001F151E">
              <w:t>Q1 202</w:t>
            </w:r>
            <w:r w:rsidR="00D0425D" w:rsidRPr="001F151E">
              <w:t>5</w:t>
            </w:r>
          </w:p>
        </w:tc>
        <w:tc>
          <w:tcPr>
            <w:tcW w:w="798" w:type="dxa"/>
            <w:shd w:val="clear" w:color="auto" w:fill="auto"/>
            <w:vAlign w:val="center"/>
          </w:tcPr>
          <w:p w14:paraId="3871532C" w14:textId="6A0C0002" w:rsidR="008522A0" w:rsidRPr="001F151E" w:rsidRDefault="008522A0" w:rsidP="00E424A5">
            <w:pPr>
              <w:pStyle w:val="T-normal"/>
              <w:jc w:val="center"/>
            </w:pPr>
            <w:r w:rsidRPr="001F151E">
              <w:t>Q4 202</w:t>
            </w:r>
            <w:r w:rsidR="00D0425D" w:rsidRPr="001F151E">
              <w:t>6</w:t>
            </w:r>
          </w:p>
        </w:tc>
        <w:tc>
          <w:tcPr>
            <w:tcW w:w="1790" w:type="dxa"/>
            <w:vMerge/>
          </w:tcPr>
          <w:p w14:paraId="6E90948D" w14:textId="77777777" w:rsidR="008522A0" w:rsidRPr="001F151E" w:rsidRDefault="008522A0" w:rsidP="002B7FF8">
            <w:pPr>
              <w:rPr>
                <w:sz w:val="16"/>
                <w:szCs w:val="16"/>
              </w:rPr>
            </w:pPr>
          </w:p>
        </w:tc>
      </w:tr>
      <w:tr w:rsidR="00D0425D" w:rsidRPr="001F151E" w14:paraId="515E9601" w14:textId="77777777" w:rsidTr="008522A0">
        <w:trPr>
          <w:trHeight w:val="32"/>
        </w:trPr>
        <w:tc>
          <w:tcPr>
            <w:tcW w:w="2005" w:type="dxa"/>
            <w:vMerge/>
          </w:tcPr>
          <w:p w14:paraId="7CEFBDD8" w14:textId="77777777" w:rsidR="00D0425D" w:rsidRPr="001F151E" w:rsidRDefault="00D0425D" w:rsidP="00D0425D">
            <w:pPr>
              <w:pStyle w:val="EcorysBody"/>
              <w:spacing w:line="288" w:lineRule="auto"/>
              <w:rPr>
                <w:rFonts w:ascii="Arial" w:hAnsi="Arial" w:cs="Arial"/>
                <w:b/>
                <w:bCs/>
                <w:sz w:val="16"/>
                <w:szCs w:val="16"/>
              </w:rPr>
            </w:pPr>
          </w:p>
        </w:tc>
        <w:tc>
          <w:tcPr>
            <w:tcW w:w="3625" w:type="dxa"/>
            <w:vAlign w:val="center"/>
          </w:tcPr>
          <w:p w14:paraId="1453140A" w14:textId="77777777" w:rsidR="00D0425D" w:rsidRPr="001F151E" w:rsidRDefault="00D0425D" w:rsidP="00897DDC">
            <w:pPr>
              <w:pStyle w:val="EcorysBody"/>
              <w:numPr>
                <w:ilvl w:val="0"/>
                <w:numId w:val="13"/>
              </w:numPr>
              <w:spacing w:line="288" w:lineRule="auto"/>
              <w:rPr>
                <w:rFonts w:ascii="Arial" w:hAnsi="Arial" w:cs="Arial"/>
                <w:sz w:val="16"/>
                <w:szCs w:val="16"/>
              </w:rPr>
            </w:pPr>
            <w:r w:rsidRPr="001F151E">
              <w:rPr>
                <w:rFonts w:ascii="Arial" w:hAnsi="Arial" w:cs="Arial"/>
                <w:sz w:val="16"/>
                <w:szCs w:val="16"/>
              </w:rPr>
              <w:t>Pilot, build capacity and institutionalise procedures for evaluating property and populating and maintaining property data in the FCIS.</w:t>
            </w:r>
          </w:p>
        </w:tc>
        <w:tc>
          <w:tcPr>
            <w:tcW w:w="798" w:type="dxa"/>
            <w:vAlign w:val="center"/>
          </w:tcPr>
          <w:p w14:paraId="52346DD1" w14:textId="23AE676C" w:rsidR="00D0425D" w:rsidRPr="001F151E" w:rsidRDefault="00D0425D" w:rsidP="00E424A5">
            <w:pPr>
              <w:pStyle w:val="T-normal"/>
              <w:jc w:val="center"/>
              <w:rPr>
                <w:highlight w:val="yellow"/>
              </w:rPr>
            </w:pPr>
            <w:r w:rsidRPr="001F151E">
              <w:t>Q1 2025</w:t>
            </w:r>
          </w:p>
        </w:tc>
        <w:tc>
          <w:tcPr>
            <w:tcW w:w="798" w:type="dxa"/>
            <w:vAlign w:val="center"/>
          </w:tcPr>
          <w:p w14:paraId="4065CEE1" w14:textId="7E852748" w:rsidR="00D0425D" w:rsidRPr="001F151E" w:rsidRDefault="00591F5E" w:rsidP="00E424A5">
            <w:pPr>
              <w:pStyle w:val="T-normal"/>
              <w:jc w:val="center"/>
            </w:pPr>
            <w:r w:rsidRPr="001F151E">
              <w:t>&gt; 2026</w:t>
            </w:r>
          </w:p>
        </w:tc>
        <w:tc>
          <w:tcPr>
            <w:tcW w:w="1790" w:type="dxa"/>
            <w:vMerge/>
          </w:tcPr>
          <w:p w14:paraId="1CBE736B" w14:textId="77777777" w:rsidR="00D0425D" w:rsidRPr="001F151E" w:rsidRDefault="00D0425D" w:rsidP="00D0425D">
            <w:pPr>
              <w:rPr>
                <w:sz w:val="16"/>
                <w:szCs w:val="16"/>
              </w:rPr>
            </w:pPr>
          </w:p>
        </w:tc>
      </w:tr>
      <w:tr w:rsidR="00D0425D" w:rsidRPr="001F151E" w14:paraId="37787C4A" w14:textId="77777777" w:rsidTr="008522A0">
        <w:trPr>
          <w:trHeight w:val="20"/>
        </w:trPr>
        <w:tc>
          <w:tcPr>
            <w:tcW w:w="2005" w:type="dxa"/>
            <w:vMerge/>
          </w:tcPr>
          <w:p w14:paraId="34AD7ECE" w14:textId="77777777" w:rsidR="00D0425D" w:rsidRPr="001F151E" w:rsidRDefault="00D0425D" w:rsidP="00897DDC">
            <w:pPr>
              <w:pStyle w:val="EcorysBody"/>
              <w:numPr>
                <w:ilvl w:val="0"/>
                <w:numId w:val="15"/>
              </w:numPr>
              <w:spacing w:line="288" w:lineRule="auto"/>
              <w:rPr>
                <w:rFonts w:ascii="Arial" w:hAnsi="Arial" w:cs="Arial"/>
                <w:sz w:val="16"/>
                <w:szCs w:val="16"/>
              </w:rPr>
            </w:pPr>
          </w:p>
        </w:tc>
        <w:tc>
          <w:tcPr>
            <w:tcW w:w="3625" w:type="dxa"/>
            <w:vAlign w:val="center"/>
          </w:tcPr>
          <w:p w14:paraId="7EE66186" w14:textId="77777777" w:rsidR="00D0425D" w:rsidRPr="001F151E" w:rsidRDefault="00D0425D" w:rsidP="00897DDC">
            <w:pPr>
              <w:pStyle w:val="EcorysBody"/>
              <w:numPr>
                <w:ilvl w:val="0"/>
                <w:numId w:val="13"/>
              </w:numPr>
              <w:spacing w:line="288" w:lineRule="auto"/>
              <w:rPr>
                <w:rFonts w:ascii="Arial" w:hAnsi="Arial" w:cs="Arial"/>
                <w:sz w:val="16"/>
                <w:szCs w:val="16"/>
              </w:rPr>
            </w:pPr>
            <w:r w:rsidRPr="001F151E">
              <w:rPr>
                <w:rFonts w:ascii="Arial" w:hAnsi="Arial" w:cs="Arial"/>
                <w:sz w:val="16"/>
                <w:szCs w:val="16"/>
              </w:rPr>
              <w:t>Improve processes for property tax collection and increase awareness of tax payers.</w:t>
            </w:r>
          </w:p>
        </w:tc>
        <w:tc>
          <w:tcPr>
            <w:tcW w:w="798" w:type="dxa"/>
            <w:vAlign w:val="center"/>
          </w:tcPr>
          <w:p w14:paraId="673856D3" w14:textId="61BDFC27" w:rsidR="00D0425D" w:rsidRPr="001F151E" w:rsidRDefault="00D0425D" w:rsidP="00E424A5">
            <w:pPr>
              <w:pStyle w:val="T-normal"/>
              <w:jc w:val="center"/>
              <w:rPr>
                <w:highlight w:val="yellow"/>
              </w:rPr>
            </w:pPr>
            <w:r w:rsidRPr="001F151E">
              <w:t>Q1 2025</w:t>
            </w:r>
          </w:p>
        </w:tc>
        <w:tc>
          <w:tcPr>
            <w:tcW w:w="798" w:type="dxa"/>
            <w:vAlign w:val="center"/>
          </w:tcPr>
          <w:p w14:paraId="7767D44F" w14:textId="1C45BC24" w:rsidR="00D0425D" w:rsidRPr="001F151E" w:rsidRDefault="00903BCA" w:rsidP="00E424A5">
            <w:pPr>
              <w:pStyle w:val="T-normal"/>
              <w:jc w:val="center"/>
              <w:rPr>
                <w:highlight w:val="yellow"/>
              </w:rPr>
            </w:pPr>
            <w:r w:rsidRPr="001F151E">
              <w:t>&gt; 2026</w:t>
            </w:r>
          </w:p>
        </w:tc>
        <w:tc>
          <w:tcPr>
            <w:tcW w:w="1790" w:type="dxa"/>
            <w:vMerge/>
          </w:tcPr>
          <w:p w14:paraId="6548DDF9" w14:textId="77777777" w:rsidR="00D0425D" w:rsidRPr="001F151E" w:rsidRDefault="00D0425D" w:rsidP="00D0425D">
            <w:pPr>
              <w:rPr>
                <w:sz w:val="16"/>
                <w:szCs w:val="16"/>
              </w:rPr>
            </w:pPr>
          </w:p>
        </w:tc>
      </w:tr>
    </w:tbl>
    <w:p w14:paraId="7076EA4E" w14:textId="77777777" w:rsidR="00AD50A8" w:rsidRPr="001F151E" w:rsidRDefault="00AD50A8" w:rsidP="008522A0">
      <w:pPr>
        <w:pStyle w:val="N-Bullet"/>
        <w:numPr>
          <w:ilvl w:val="0"/>
          <w:numId w:val="0"/>
        </w:numPr>
        <w:rPr>
          <w:lang w:val="en-GB"/>
        </w:rPr>
      </w:pPr>
    </w:p>
    <w:p w14:paraId="4E889C60" w14:textId="77777777" w:rsidR="008522A0" w:rsidRPr="001F151E" w:rsidRDefault="008522A0" w:rsidP="008522A0">
      <w:pPr>
        <w:pStyle w:val="H5"/>
        <w:rPr>
          <w:rStyle w:val="IntenseReference"/>
          <w:i w:val="0"/>
          <w:lang w:val="en-GB"/>
        </w:rPr>
      </w:pPr>
      <w:r w:rsidRPr="001F151E">
        <w:rPr>
          <w:rStyle w:val="IntenseReference"/>
          <w:i w:val="0"/>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8522A0" w:rsidRPr="001F151E" w14:paraId="03C509B9" w14:textId="77777777" w:rsidTr="002B7FF8">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E3EC9C" w14:textId="77777777" w:rsidR="008522A0" w:rsidRPr="001F151E" w:rsidRDefault="008522A0" w:rsidP="002B7FF8">
            <w:pPr>
              <w:pStyle w:val="T-bold"/>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F8FF6D" w14:textId="77777777" w:rsidR="008522A0" w:rsidRPr="001F151E" w:rsidRDefault="008522A0" w:rsidP="002B7FF8">
            <w:pPr>
              <w:pStyle w:val="T-bold"/>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BE1DF" w14:textId="77777777" w:rsidR="008522A0" w:rsidRPr="001F151E" w:rsidRDefault="008522A0" w:rsidP="002B7FF8">
            <w:pPr>
              <w:pStyle w:val="T-bold"/>
              <w:jc w:val="center"/>
            </w:pPr>
            <w:r w:rsidRPr="001F151E">
              <w:t>Target Value</w:t>
            </w:r>
          </w:p>
        </w:tc>
      </w:tr>
      <w:tr w:rsidR="008522A0" w:rsidRPr="001F151E" w14:paraId="15198738" w14:textId="77777777" w:rsidTr="002B7FF8">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912AC4A" w14:textId="77777777" w:rsidR="008522A0" w:rsidRPr="001F151E" w:rsidRDefault="008522A0" w:rsidP="002B7FF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C68618F" w14:textId="77777777" w:rsidR="008522A0" w:rsidRPr="001F151E" w:rsidRDefault="008522A0" w:rsidP="002B7FF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37A25" w14:textId="77777777" w:rsidR="008522A0" w:rsidRPr="001F151E" w:rsidRDefault="008522A0" w:rsidP="002B7FF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1DD6B" w14:textId="77777777" w:rsidR="008522A0" w:rsidRPr="001F151E" w:rsidRDefault="008522A0" w:rsidP="002B7FF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83500" w14:textId="77777777" w:rsidR="008522A0" w:rsidRPr="001F151E" w:rsidRDefault="008522A0" w:rsidP="002B7FF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626C1" w14:textId="77777777" w:rsidR="008522A0" w:rsidRPr="001F151E" w:rsidRDefault="008522A0" w:rsidP="002B7FF8">
            <w:pPr>
              <w:pStyle w:val="T-bold"/>
              <w:jc w:val="center"/>
            </w:pPr>
            <w:r w:rsidRPr="001F151E">
              <w:t>2026</w:t>
            </w:r>
          </w:p>
        </w:tc>
      </w:tr>
      <w:tr w:rsidR="008522A0" w:rsidRPr="001F151E" w14:paraId="1D8F3163" w14:textId="77777777" w:rsidTr="002B7FF8">
        <w:tc>
          <w:tcPr>
            <w:tcW w:w="3114" w:type="dxa"/>
            <w:tcBorders>
              <w:top w:val="single" w:sz="4" w:space="0" w:color="auto"/>
              <w:left w:val="single" w:sz="4" w:space="0" w:color="auto"/>
              <w:bottom w:val="single" w:sz="4" w:space="0" w:color="auto"/>
              <w:right w:val="single" w:sz="4" w:space="0" w:color="auto"/>
            </w:tcBorders>
          </w:tcPr>
          <w:p w14:paraId="0F651F4D" w14:textId="6EF277A2" w:rsidR="008522A0" w:rsidRPr="001F151E" w:rsidRDefault="008522A0" w:rsidP="00B45892">
            <w:pPr>
              <w:pStyle w:val="ListParagraph"/>
              <w:numPr>
                <w:ilvl w:val="0"/>
                <w:numId w:val="48"/>
              </w:numPr>
              <w:rPr>
                <w:sz w:val="16"/>
                <w:szCs w:val="16"/>
              </w:rPr>
            </w:pPr>
            <w:r w:rsidRPr="001F151E">
              <w:rPr>
                <w:sz w:val="16"/>
                <w:szCs w:val="16"/>
              </w:rPr>
              <w:t>Law on “property tax” prepared and adopted</w:t>
            </w:r>
          </w:p>
        </w:tc>
        <w:tc>
          <w:tcPr>
            <w:tcW w:w="1180" w:type="dxa"/>
            <w:tcBorders>
              <w:top w:val="single" w:sz="4" w:space="0" w:color="auto"/>
              <w:left w:val="single" w:sz="4" w:space="0" w:color="auto"/>
              <w:bottom w:val="single" w:sz="4" w:space="0" w:color="auto"/>
              <w:right w:val="single" w:sz="4" w:space="0" w:color="auto"/>
            </w:tcBorders>
            <w:vAlign w:val="center"/>
          </w:tcPr>
          <w:p w14:paraId="356E8A0A" w14:textId="66E468A7" w:rsidR="008522A0" w:rsidRPr="001F151E" w:rsidRDefault="008522A0" w:rsidP="008522A0">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6CB27CE5" w14:textId="22F9A901" w:rsidR="008522A0" w:rsidRPr="001F151E" w:rsidRDefault="00676188" w:rsidP="008522A0">
            <w:pPr>
              <w:pStyle w:val="T-normal"/>
              <w:jc w:val="center"/>
            </w:pPr>
            <w:r w:rsidRPr="001F151E">
              <w:t>Property tax law prepared</w:t>
            </w:r>
          </w:p>
        </w:tc>
        <w:tc>
          <w:tcPr>
            <w:tcW w:w="1180" w:type="dxa"/>
            <w:tcBorders>
              <w:top w:val="single" w:sz="4" w:space="0" w:color="auto"/>
              <w:left w:val="single" w:sz="4" w:space="0" w:color="auto"/>
              <w:bottom w:val="single" w:sz="4" w:space="0" w:color="auto"/>
              <w:right w:val="single" w:sz="4" w:space="0" w:color="auto"/>
            </w:tcBorders>
            <w:vAlign w:val="center"/>
          </w:tcPr>
          <w:p w14:paraId="166E402D" w14:textId="058073C7" w:rsidR="008522A0" w:rsidRPr="001F151E" w:rsidRDefault="00903BCA" w:rsidP="008522A0">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1EA0AFE1" w14:textId="3FD393F1" w:rsidR="008522A0" w:rsidRPr="001F151E" w:rsidRDefault="003C19FE" w:rsidP="008522A0">
            <w:pPr>
              <w:pStyle w:val="T-normal"/>
              <w:jc w:val="center"/>
            </w:pPr>
            <w:r w:rsidRPr="001F151E">
              <w:t>Property tax law adopted</w:t>
            </w:r>
          </w:p>
        </w:tc>
        <w:tc>
          <w:tcPr>
            <w:tcW w:w="1181" w:type="dxa"/>
            <w:tcBorders>
              <w:top w:val="single" w:sz="4" w:space="0" w:color="auto"/>
              <w:left w:val="single" w:sz="4" w:space="0" w:color="auto"/>
              <w:bottom w:val="single" w:sz="4" w:space="0" w:color="auto"/>
              <w:right w:val="single" w:sz="4" w:space="0" w:color="auto"/>
            </w:tcBorders>
            <w:vAlign w:val="center"/>
          </w:tcPr>
          <w:p w14:paraId="158800B1" w14:textId="62F8EC09" w:rsidR="008522A0" w:rsidRPr="001F151E" w:rsidRDefault="008522A0" w:rsidP="008522A0">
            <w:pPr>
              <w:pStyle w:val="T-normal"/>
              <w:jc w:val="center"/>
            </w:pPr>
            <w:r w:rsidRPr="001F151E">
              <w:t>-</w:t>
            </w:r>
          </w:p>
        </w:tc>
      </w:tr>
      <w:tr w:rsidR="008522A0" w:rsidRPr="001F151E" w14:paraId="64687938" w14:textId="77777777" w:rsidTr="002B7FF8">
        <w:tc>
          <w:tcPr>
            <w:tcW w:w="3114" w:type="dxa"/>
            <w:tcBorders>
              <w:top w:val="single" w:sz="4" w:space="0" w:color="auto"/>
              <w:left w:val="single" w:sz="4" w:space="0" w:color="auto"/>
              <w:bottom w:val="single" w:sz="4" w:space="0" w:color="auto"/>
              <w:right w:val="single" w:sz="4" w:space="0" w:color="auto"/>
            </w:tcBorders>
          </w:tcPr>
          <w:p w14:paraId="19666774" w14:textId="59401970" w:rsidR="008522A0" w:rsidRPr="001F151E" w:rsidRDefault="008522A0" w:rsidP="00B45892">
            <w:pPr>
              <w:pStyle w:val="ListParagraph"/>
              <w:numPr>
                <w:ilvl w:val="0"/>
                <w:numId w:val="48"/>
              </w:numPr>
              <w:rPr>
                <w:sz w:val="16"/>
                <w:szCs w:val="16"/>
              </w:rPr>
            </w:pPr>
            <w:r w:rsidRPr="001F151E">
              <w:rPr>
                <w:sz w:val="16"/>
                <w:szCs w:val="16"/>
              </w:rPr>
              <w:t>Sub-legal acts for the</w:t>
            </w:r>
            <w:r w:rsidR="003C19FE" w:rsidRPr="001F151E">
              <w:rPr>
                <w:sz w:val="16"/>
                <w:szCs w:val="16"/>
              </w:rPr>
              <w:t xml:space="preserve"> implementation of the law</w:t>
            </w:r>
            <w:r w:rsidR="00903BCA" w:rsidRPr="001F151E">
              <w:rPr>
                <w:sz w:val="16"/>
                <w:szCs w:val="16"/>
              </w:rPr>
              <w:t xml:space="preserve"> on property tax adopted</w:t>
            </w:r>
          </w:p>
        </w:tc>
        <w:tc>
          <w:tcPr>
            <w:tcW w:w="1180" w:type="dxa"/>
            <w:tcBorders>
              <w:top w:val="single" w:sz="4" w:space="0" w:color="auto"/>
              <w:left w:val="single" w:sz="4" w:space="0" w:color="auto"/>
              <w:bottom w:val="single" w:sz="4" w:space="0" w:color="auto"/>
              <w:right w:val="single" w:sz="4" w:space="0" w:color="auto"/>
            </w:tcBorders>
            <w:vAlign w:val="center"/>
          </w:tcPr>
          <w:p w14:paraId="50BEBDC7" w14:textId="07BA2F17" w:rsidR="008522A0" w:rsidRPr="001F151E" w:rsidRDefault="008522A0" w:rsidP="008522A0">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08351D6" w14:textId="0CAD36BD" w:rsidR="008522A0" w:rsidRPr="001F151E" w:rsidRDefault="008522A0" w:rsidP="008522A0">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08E750B8" w14:textId="2B15FC65" w:rsidR="008522A0" w:rsidRPr="001F151E" w:rsidRDefault="00903BCA" w:rsidP="008522A0">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2D104B62" w14:textId="1F7E444E" w:rsidR="008522A0" w:rsidRPr="001F151E" w:rsidRDefault="003C19FE" w:rsidP="008522A0">
            <w:pPr>
              <w:pStyle w:val="T-normal"/>
              <w:jc w:val="center"/>
            </w:pPr>
            <w:r w:rsidRPr="001F151E">
              <w:t>Sub-legal acts prepared and adopted</w:t>
            </w:r>
          </w:p>
        </w:tc>
        <w:tc>
          <w:tcPr>
            <w:tcW w:w="1181" w:type="dxa"/>
            <w:tcBorders>
              <w:top w:val="single" w:sz="4" w:space="0" w:color="auto"/>
              <w:left w:val="single" w:sz="4" w:space="0" w:color="auto"/>
              <w:bottom w:val="single" w:sz="4" w:space="0" w:color="auto"/>
              <w:right w:val="single" w:sz="4" w:space="0" w:color="auto"/>
            </w:tcBorders>
            <w:vAlign w:val="center"/>
          </w:tcPr>
          <w:p w14:paraId="6528AC57" w14:textId="32DF5E17" w:rsidR="008522A0" w:rsidRPr="001F151E" w:rsidRDefault="00903BCA" w:rsidP="008522A0">
            <w:pPr>
              <w:pStyle w:val="T-normal"/>
              <w:jc w:val="center"/>
            </w:pPr>
            <w:r w:rsidRPr="001F151E">
              <w:t>-</w:t>
            </w:r>
          </w:p>
        </w:tc>
      </w:tr>
    </w:tbl>
    <w:p w14:paraId="02173709" w14:textId="77777777" w:rsidR="008522A0" w:rsidRPr="001F151E" w:rsidRDefault="008522A0" w:rsidP="008522A0">
      <w:pPr>
        <w:rPr>
          <w:lang w:val="en-GB"/>
        </w:rPr>
      </w:pPr>
    </w:p>
    <w:p w14:paraId="6F42D169" w14:textId="77777777" w:rsidR="008522A0" w:rsidRPr="001F151E" w:rsidRDefault="008522A0" w:rsidP="008522A0">
      <w:pPr>
        <w:rPr>
          <w:lang w:val="en-GB"/>
        </w:rPr>
      </w:pPr>
    </w:p>
    <w:p w14:paraId="5C57F7B1" w14:textId="77777777" w:rsidR="00827A2C" w:rsidRPr="001F151E" w:rsidRDefault="00827A2C" w:rsidP="00827A2C">
      <w:pPr>
        <w:pStyle w:val="Heading2"/>
        <w:rPr>
          <w:lang w:val="en-GB"/>
        </w:rPr>
      </w:pPr>
      <w:bookmarkStart w:id="40" w:name="_Toc151048296"/>
      <w:bookmarkStart w:id="41" w:name="_Toc163148024"/>
      <w:r w:rsidRPr="001F151E">
        <w:rPr>
          <w:lang w:val="en-GB"/>
        </w:rPr>
        <w:t>Component 3.3 Customs Management</w:t>
      </w:r>
      <w:bookmarkEnd w:id="40"/>
      <w:bookmarkEnd w:id="41"/>
    </w:p>
    <w:p w14:paraId="35C62209" w14:textId="77777777" w:rsidR="00827A2C" w:rsidRPr="001F151E" w:rsidRDefault="00827A2C" w:rsidP="00827A2C">
      <w:pPr>
        <w:rPr>
          <w:lang w:val="en-GB"/>
        </w:rPr>
      </w:pPr>
    </w:p>
    <w:p w14:paraId="0D1479DB" w14:textId="77777777" w:rsidR="00827A2C" w:rsidRPr="001F151E" w:rsidRDefault="00827A2C" w:rsidP="00EA6F1D">
      <w:pPr>
        <w:pStyle w:val="H5"/>
        <w:spacing w:line="276" w:lineRule="auto"/>
        <w:jc w:val="both"/>
        <w:rPr>
          <w:rFonts w:ascii="Calibri" w:hAnsi="Calibri" w:cs="Times New Roman"/>
          <w:sz w:val="21"/>
          <w:szCs w:val="21"/>
          <w:lang w:val="en-GB"/>
        </w:rPr>
      </w:pPr>
      <w:r w:rsidRPr="001F151E">
        <w:rPr>
          <w:lang w:val="en-GB"/>
        </w:rPr>
        <w:t xml:space="preserve">Objective </w:t>
      </w:r>
    </w:p>
    <w:p w14:paraId="65937E14" w14:textId="77777777" w:rsidR="00827A2C" w:rsidRPr="001F151E" w:rsidRDefault="00827A2C" w:rsidP="00EA6F1D">
      <w:pPr>
        <w:spacing w:line="276" w:lineRule="auto"/>
        <w:jc w:val="both"/>
        <w:rPr>
          <w:lang w:val="en-GB"/>
        </w:rPr>
      </w:pPr>
      <w:r w:rsidRPr="001F151E">
        <w:rPr>
          <w:lang w:val="en-GB"/>
        </w:rPr>
        <w:t xml:space="preserve">The goal for 2030 is to have an effective Customs Administration which delivers improved services to citizens and businesses and operates in compliance with EU standards and legislation. </w:t>
      </w:r>
    </w:p>
    <w:p w14:paraId="6658B5F5" w14:textId="77777777" w:rsidR="00827A2C" w:rsidRPr="001F151E" w:rsidRDefault="00827A2C" w:rsidP="00EA6F1D">
      <w:pPr>
        <w:spacing w:line="276" w:lineRule="auto"/>
        <w:jc w:val="both"/>
        <w:rPr>
          <w:sz w:val="20"/>
          <w:szCs w:val="20"/>
          <w:highlight w:val="yellow"/>
          <w:lang w:val="en-GB"/>
        </w:rPr>
      </w:pPr>
    </w:p>
    <w:p w14:paraId="74495908" w14:textId="77777777" w:rsidR="00827A2C" w:rsidRPr="001F151E" w:rsidRDefault="00827A2C" w:rsidP="00EA6F1D">
      <w:pPr>
        <w:pStyle w:val="H5"/>
        <w:spacing w:line="276" w:lineRule="auto"/>
        <w:jc w:val="both"/>
        <w:rPr>
          <w:sz w:val="21"/>
          <w:szCs w:val="21"/>
          <w:lang w:val="en-GB"/>
        </w:rPr>
      </w:pPr>
      <w:r w:rsidRPr="001F151E">
        <w:rPr>
          <w:lang w:val="en-GB"/>
        </w:rPr>
        <w:t xml:space="preserve">Context </w:t>
      </w:r>
    </w:p>
    <w:p w14:paraId="3CE990BA" w14:textId="2DF9BF0F" w:rsidR="00827A2C" w:rsidRPr="001F151E" w:rsidRDefault="00827A2C" w:rsidP="00EA6F1D">
      <w:pPr>
        <w:spacing w:line="276" w:lineRule="auto"/>
        <w:jc w:val="both"/>
        <w:rPr>
          <w:lang w:val="en-GB"/>
        </w:rPr>
      </w:pPr>
      <w:r w:rsidRPr="001F151E">
        <w:rPr>
          <w:lang w:val="en-GB"/>
        </w:rPr>
        <w:t xml:space="preserve">Important achievements in customs reforms are reported to date, especially in aligning the Albanian custom code with the EU Custom code. The automation of Customs remained a priority over the last years and efforts were made to introduce and improve systems such as the New Computerised Transit System (NCTS), the Integrated Tariff Management System (ITMS) and upgrade of existing modules in Asycuda (core Customs Administration system). Also, customer service delivery has improved due to the re-engineering of many processes, such as: simplification of procedures; and introduction of paperless customs management to simplify compliance. These changes resulted in improving online customs procedures, reducing customs processing times, and increasing the use of risk assessment. </w:t>
      </w:r>
      <w:r w:rsidR="00A660B5">
        <w:rPr>
          <w:lang w:val="en-GB"/>
        </w:rPr>
        <w:t>MoF</w:t>
      </w:r>
      <w:r w:rsidRPr="001F151E">
        <w:rPr>
          <w:lang w:val="en-GB"/>
        </w:rPr>
        <w:t xml:space="preserve"> has developed the Medium Term Revenue Strategy 2022-2026 with the aim to mobilize additional revenue in order to create fiscal space for investment and sustainable development. </w:t>
      </w:r>
    </w:p>
    <w:p w14:paraId="6761FD1E" w14:textId="77777777" w:rsidR="00827A2C" w:rsidRPr="001F151E" w:rsidRDefault="00827A2C" w:rsidP="00EA6F1D">
      <w:pPr>
        <w:spacing w:line="276" w:lineRule="auto"/>
        <w:jc w:val="both"/>
        <w:rPr>
          <w:lang w:val="en-GB"/>
        </w:rPr>
      </w:pPr>
    </w:p>
    <w:p w14:paraId="35386807" w14:textId="77777777" w:rsidR="00827A2C" w:rsidRPr="001F151E" w:rsidRDefault="00827A2C" w:rsidP="00EA6F1D">
      <w:pPr>
        <w:pStyle w:val="H5"/>
        <w:spacing w:line="276" w:lineRule="auto"/>
        <w:jc w:val="both"/>
        <w:rPr>
          <w:lang w:val="en-GB"/>
        </w:rPr>
      </w:pPr>
      <w:r w:rsidRPr="001F151E">
        <w:rPr>
          <w:lang w:val="en-GB"/>
        </w:rPr>
        <w:t>Priorities</w:t>
      </w:r>
    </w:p>
    <w:p w14:paraId="4FFB9F3F" w14:textId="7D6A5E67" w:rsidR="00827A2C" w:rsidRPr="001F151E" w:rsidRDefault="00827A2C" w:rsidP="00EA6F1D">
      <w:pPr>
        <w:spacing w:line="276" w:lineRule="auto"/>
        <w:jc w:val="both"/>
        <w:rPr>
          <w:lang w:val="en-GB"/>
        </w:rPr>
      </w:pPr>
      <w:r w:rsidRPr="001F151E">
        <w:rPr>
          <w:lang w:val="en-GB"/>
        </w:rPr>
        <w:t xml:space="preserve">The </w:t>
      </w:r>
      <w:r w:rsidR="0090120C" w:rsidRPr="001F151E">
        <w:rPr>
          <w:lang w:val="en-GB"/>
        </w:rPr>
        <w:t xml:space="preserve">main </w:t>
      </w:r>
      <w:r w:rsidRPr="001F151E">
        <w:rPr>
          <w:lang w:val="en-GB"/>
        </w:rPr>
        <w:t>priorities for 2023-2026 are:</w:t>
      </w:r>
    </w:p>
    <w:p w14:paraId="03191167" w14:textId="1021A28C" w:rsidR="00827A2C" w:rsidRPr="001F151E" w:rsidRDefault="00C1528F" w:rsidP="00EA6F1D">
      <w:pPr>
        <w:pStyle w:val="N-Bullet"/>
        <w:spacing w:line="276" w:lineRule="auto"/>
        <w:jc w:val="both"/>
        <w:rPr>
          <w:lang w:val="en-GB"/>
        </w:rPr>
      </w:pPr>
      <w:r w:rsidRPr="001F151E">
        <w:rPr>
          <w:lang w:val="en-GB"/>
        </w:rPr>
        <w:t>Professionalizing</w:t>
      </w:r>
      <w:r w:rsidR="00827A2C" w:rsidRPr="001F151E">
        <w:rPr>
          <w:lang w:val="en-GB"/>
        </w:rPr>
        <w:t xml:space="preserve"> the </w:t>
      </w:r>
      <w:r w:rsidR="0090120C" w:rsidRPr="001F151E">
        <w:rPr>
          <w:lang w:val="en-GB"/>
        </w:rPr>
        <w:t xml:space="preserve">risk management and </w:t>
      </w:r>
      <w:r w:rsidR="00827A2C" w:rsidRPr="001F151E">
        <w:rPr>
          <w:lang w:val="en-GB"/>
        </w:rPr>
        <w:t>business processes of the Customs Administration</w:t>
      </w:r>
    </w:p>
    <w:p w14:paraId="34A96BE5" w14:textId="4C9EF13D" w:rsidR="0090120C" w:rsidRPr="001F151E" w:rsidRDefault="0090120C" w:rsidP="00EA6F1D">
      <w:pPr>
        <w:pStyle w:val="N-Bullet"/>
        <w:spacing w:line="276" w:lineRule="auto"/>
        <w:jc w:val="both"/>
        <w:rPr>
          <w:lang w:val="en-GB"/>
        </w:rPr>
      </w:pPr>
      <w:r w:rsidRPr="001F151E">
        <w:rPr>
          <w:lang w:val="en-GB"/>
        </w:rPr>
        <w:t>Develop and implement plans to fight informality and corruption</w:t>
      </w:r>
    </w:p>
    <w:p w14:paraId="19D99DB7" w14:textId="67D7DF47" w:rsidR="00827A2C" w:rsidRPr="001F151E" w:rsidRDefault="0090120C" w:rsidP="00EA6F1D">
      <w:pPr>
        <w:pStyle w:val="N-Bullet"/>
        <w:spacing w:line="276" w:lineRule="auto"/>
        <w:jc w:val="both"/>
        <w:rPr>
          <w:lang w:val="en-GB"/>
        </w:rPr>
      </w:pPr>
      <w:r w:rsidRPr="001F151E">
        <w:rPr>
          <w:lang w:val="en-GB"/>
        </w:rPr>
        <w:t>Introduce the national single window and increase the number of authorised economic operators</w:t>
      </w:r>
    </w:p>
    <w:p w14:paraId="3D110256" w14:textId="74A86C80" w:rsidR="0090120C" w:rsidRPr="001F151E" w:rsidRDefault="0090120C" w:rsidP="00EA6F1D">
      <w:pPr>
        <w:pStyle w:val="N-Bullet"/>
        <w:spacing w:line="276" w:lineRule="auto"/>
        <w:jc w:val="both"/>
        <w:rPr>
          <w:lang w:val="en-GB"/>
        </w:rPr>
      </w:pPr>
      <w:r w:rsidRPr="001F151E">
        <w:rPr>
          <w:lang w:val="en-GB"/>
        </w:rPr>
        <w:t>Enhance the utilisation of the Computerised Transit System</w:t>
      </w:r>
    </w:p>
    <w:p w14:paraId="14AC3EF6" w14:textId="77777777" w:rsidR="00272B75" w:rsidRPr="001F151E" w:rsidRDefault="00272B75" w:rsidP="00827A2C">
      <w:pPr>
        <w:pStyle w:val="H5"/>
        <w:rPr>
          <w:lang w:val="en-GB"/>
        </w:rPr>
      </w:pPr>
    </w:p>
    <w:p w14:paraId="224D4140" w14:textId="14DD9BBC" w:rsidR="00827A2C" w:rsidRPr="001F151E" w:rsidRDefault="00827A2C" w:rsidP="00827A2C">
      <w:pPr>
        <w:pStyle w:val="H5"/>
        <w:rPr>
          <w:rFonts w:ascii="Calibri" w:hAnsi="Calibri" w:cs="Times New Roman"/>
          <w:sz w:val="21"/>
          <w:szCs w:val="21"/>
          <w:lang w:val="en-GB"/>
        </w:rPr>
      </w:pPr>
      <w:r w:rsidRPr="001F151E">
        <w:rPr>
          <w:lang w:val="en-GB"/>
        </w:rPr>
        <w:lastRenderedPageBreak/>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75"/>
        <w:gridCol w:w="3624"/>
        <w:gridCol w:w="815"/>
        <w:gridCol w:w="797"/>
        <w:gridCol w:w="1605"/>
      </w:tblGrid>
      <w:tr w:rsidR="00653E6F" w:rsidRPr="001F151E" w14:paraId="56118FBE" w14:textId="77777777" w:rsidTr="007E120C">
        <w:trPr>
          <w:trHeight w:val="182"/>
          <w:tblHeader/>
        </w:trPr>
        <w:tc>
          <w:tcPr>
            <w:tcW w:w="12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876F1" w14:textId="77777777" w:rsidR="00827A2C" w:rsidRPr="001F151E" w:rsidRDefault="00827A2C">
            <w:pPr>
              <w:pStyle w:val="T-bold"/>
              <w:spacing w:line="288" w:lineRule="auto"/>
            </w:pPr>
            <w:r w:rsidRPr="001F151E">
              <w:t>Measure</w:t>
            </w:r>
          </w:p>
        </w:tc>
        <w:tc>
          <w:tcPr>
            <w:tcW w:w="2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D7C56E" w14:textId="77777777" w:rsidR="00827A2C" w:rsidRPr="001F151E" w:rsidRDefault="00827A2C">
            <w:pPr>
              <w:pStyle w:val="T-bold"/>
              <w:spacing w:line="288" w:lineRule="auto"/>
            </w:pPr>
            <w:r w:rsidRPr="001F151E">
              <w:t>Activity</w:t>
            </w:r>
          </w:p>
        </w:tc>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BDEA8C" w14:textId="77777777" w:rsidR="00827A2C" w:rsidRPr="001F151E" w:rsidRDefault="00827A2C">
            <w:pPr>
              <w:pStyle w:val="T-bold"/>
              <w:spacing w:line="288" w:lineRule="auto"/>
              <w:jc w:val="center"/>
            </w:pPr>
            <w:r w:rsidRPr="001F151E">
              <w:t>Start</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BD1AE" w14:textId="77777777" w:rsidR="00827A2C" w:rsidRPr="001F151E" w:rsidRDefault="00827A2C">
            <w:pPr>
              <w:pStyle w:val="T-bold"/>
              <w:spacing w:line="288" w:lineRule="auto"/>
              <w:jc w:val="center"/>
            </w:pPr>
            <w:r w:rsidRPr="001F151E">
              <w:t>End</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7CB5D" w14:textId="77777777" w:rsidR="00827A2C" w:rsidRPr="001F151E" w:rsidRDefault="00827A2C">
            <w:pPr>
              <w:pStyle w:val="T-bold"/>
              <w:spacing w:line="288" w:lineRule="auto"/>
            </w:pPr>
            <w:r w:rsidRPr="001F151E">
              <w:t>Stakeholders</w:t>
            </w:r>
          </w:p>
        </w:tc>
      </w:tr>
      <w:tr w:rsidR="00653E6F" w:rsidRPr="001F151E" w14:paraId="33940344" w14:textId="77777777" w:rsidTr="007E120C">
        <w:trPr>
          <w:trHeight w:val="20"/>
        </w:trPr>
        <w:tc>
          <w:tcPr>
            <w:tcW w:w="1206" w:type="pct"/>
            <w:vMerge w:val="restart"/>
            <w:tcBorders>
              <w:top w:val="single" w:sz="4" w:space="0" w:color="auto"/>
              <w:left w:val="single" w:sz="4" w:space="0" w:color="auto"/>
              <w:bottom w:val="single" w:sz="4" w:space="0" w:color="auto"/>
              <w:right w:val="single" w:sz="4" w:space="0" w:color="auto"/>
            </w:tcBorders>
            <w:vAlign w:val="center"/>
            <w:hideMark/>
          </w:tcPr>
          <w:p w14:paraId="6E6FCF25" w14:textId="77777777" w:rsidR="002409B1" w:rsidRPr="001F151E" w:rsidRDefault="00625E13" w:rsidP="007B134B">
            <w:pPr>
              <w:pStyle w:val="T-bold"/>
            </w:pPr>
            <w:r w:rsidRPr="001F151E">
              <w:t xml:space="preserve">Measure 3.3.1 </w:t>
            </w:r>
          </w:p>
          <w:p w14:paraId="150E4566" w14:textId="465F377C" w:rsidR="007B134B" w:rsidRPr="001F151E" w:rsidRDefault="00625E13" w:rsidP="00C1528F">
            <w:pPr>
              <w:pStyle w:val="T-bold"/>
              <w:rPr>
                <w:b w:val="0"/>
                <w:bCs w:val="0"/>
              </w:rPr>
            </w:pPr>
            <w:r w:rsidRPr="001F151E">
              <w:t>Modernise business and risk management processes of the Customs Administration</w:t>
            </w:r>
          </w:p>
        </w:tc>
        <w:tc>
          <w:tcPr>
            <w:tcW w:w="2010" w:type="pct"/>
            <w:tcBorders>
              <w:top w:val="single" w:sz="4" w:space="0" w:color="auto"/>
              <w:left w:val="single" w:sz="4" w:space="0" w:color="auto"/>
              <w:bottom w:val="single" w:sz="4" w:space="0" w:color="auto"/>
              <w:right w:val="single" w:sz="4" w:space="0" w:color="auto"/>
            </w:tcBorders>
          </w:tcPr>
          <w:p w14:paraId="5F891CAA" w14:textId="516B3465" w:rsidR="007B134B" w:rsidRPr="001F151E" w:rsidRDefault="007B134B" w:rsidP="00B45892">
            <w:pPr>
              <w:pStyle w:val="T-number"/>
              <w:numPr>
                <w:ilvl w:val="0"/>
                <w:numId w:val="77"/>
              </w:numPr>
            </w:pPr>
            <w:r w:rsidRPr="001F151E">
              <w:t>Continue to develop a more professional and agile workforce through improving HR practices and delivering capacity development.</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2A1D91F5" w14:textId="18C5DD50" w:rsidR="007B134B" w:rsidRPr="001F151E" w:rsidRDefault="007B134B" w:rsidP="005D5098">
            <w:pPr>
              <w:jc w:val="center"/>
              <w:rPr>
                <w:sz w:val="16"/>
                <w:szCs w:val="16"/>
              </w:rPr>
            </w:pPr>
            <w:r w:rsidRPr="001F151E">
              <w:rPr>
                <w:sz w:val="16"/>
                <w:szCs w:val="16"/>
              </w:rPr>
              <w:t>Q1 2023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B752292" w14:textId="79C7F8A3" w:rsidR="007B134B" w:rsidRPr="001F151E" w:rsidRDefault="007B134B" w:rsidP="005D5098">
            <w:pPr>
              <w:jc w:val="center"/>
              <w:rPr>
                <w:sz w:val="16"/>
                <w:szCs w:val="16"/>
              </w:rPr>
            </w:pPr>
            <w:r w:rsidRPr="001F151E">
              <w:rPr>
                <w:sz w:val="16"/>
                <w:szCs w:val="16"/>
              </w:rPr>
              <w:t>Q4 2026</w:t>
            </w:r>
          </w:p>
        </w:tc>
        <w:tc>
          <w:tcPr>
            <w:tcW w:w="890" w:type="pct"/>
            <w:vMerge w:val="restart"/>
            <w:tcBorders>
              <w:top w:val="single" w:sz="4" w:space="0" w:color="auto"/>
              <w:left w:val="single" w:sz="4" w:space="0" w:color="auto"/>
              <w:bottom w:val="single" w:sz="4" w:space="0" w:color="auto"/>
              <w:right w:val="single" w:sz="4" w:space="0" w:color="auto"/>
            </w:tcBorders>
            <w:hideMark/>
          </w:tcPr>
          <w:p w14:paraId="79BD05EE" w14:textId="77777777" w:rsidR="00F86439" w:rsidRPr="001F151E" w:rsidRDefault="00F86439" w:rsidP="00F86439">
            <w:pPr>
              <w:rPr>
                <w:b/>
                <w:bCs/>
                <w:sz w:val="16"/>
                <w:szCs w:val="16"/>
              </w:rPr>
            </w:pPr>
            <w:r w:rsidRPr="001F151E">
              <w:rPr>
                <w:b/>
                <w:bCs/>
                <w:sz w:val="16"/>
                <w:szCs w:val="16"/>
              </w:rPr>
              <w:t>Responsible entity</w:t>
            </w:r>
          </w:p>
          <w:p w14:paraId="4173ECD4" w14:textId="21C54961" w:rsidR="007B134B" w:rsidRPr="001F151E" w:rsidRDefault="00F86439" w:rsidP="00F86439">
            <w:pPr>
              <w:spacing w:line="240" w:lineRule="auto"/>
              <w:rPr>
                <w:sz w:val="16"/>
                <w:szCs w:val="16"/>
              </w:rPr>
            </w:pPr>
            <w:r w:rsidRPr="001F151E">
              <w:rPr>
                <w:sz w:val="16"/>
                <w:szCs w:val="16"/>
              </w:rPr>
              <w:t xml:space="preserve">GDC </w:t>
            </w:r>
            <w:r w:rsidR="00A37995">
              <w:rPr>
                <w:sz w:val="16"/>
                <w:szCs w:val="16"/>
              </w:rPr>
              <w:t>HR Directorate (lead), GDC</w:t>
            </w:r>
            <w:r w:rsidRPr="001F151E">
              <w:rPr>
                <w:sz w:val="16"/>
                <w:szCs w:val="16"/>
              </w:rPr>
              <w:t>,  GDC Coordinator</w:t>
            </w:r>
          </w:p>
          <w:p w14:paraId="175153E4" w14:textId="77777777" w:rsidR="00F86439" w:rsidRPr="001F151E" w:rsidRDefault="00F86439" w:rsidP="00F86439">
            <w:pPr>
              <w:spacing w:line="240" w:lineRule="auto"/>
              <w:rPr>
                <w:sz w:val="16"/>
                <w:szCs w:val="16"/>
              </w:rPr>
            </w:pPr>
          </w:p>
          <w:p w14:paraId="260C0142" w14:textId="77777777" w:rsidR="00F86439" w:rsidRPr="001F151E" w:rsidRDefault="00F86439" w:rsidP="00F86439">
            <w:pPr>
              <w:rPr>
                <w:b/>
                <w:bCs/>
                <w:sz w:val="16"/>
                <w:szCs w:val="16"/>
              </w:rPr>
            </w:pPr>
            <w:r w:rsidRPr="001F151E">
              <w:rPr>
                <w:b/>
                <w:bCs/>
                <w:sz w:val="16"/>
                <w:szCs w:val="16"/>
              </w:rPr>
              <w:t>Partners</w:t>
            </w:r>
          </w:p>
          <w:p w14:paraId="67BC0837" w14:textId="7B52EC06" w:rsidR="00F86439" w:rsidRPr="001F151E" w:rsidRDefault="00A54599" w:rsidP="00F86439">
            <w:pPr>
              <w:spacing w:line="240" w:lineRule="auto"/>
              <w:rPr>
                <w:sz w:val="16"/>
                <w:szCs w:val="16"/>
              </w:rPr>
            </w:pPr>
            <w:r>
              <w:rPr>
                <w:sz w:val="16"/>
                <w:szCs w:val="16"/>
              </w:rPr>
              <w:t>EU Delegation</w:t>
            </w:r>
          </w:p>
        </w:tc>
      </w:tr>
      <w:tr w:rsidR="00653E6F" w:rsidRPr="001F151E" w14:paraId="52F62ADC" w14:textId="77777777" w:rsidTr="007E120C">
        <w:trPr>
          <w:trHeight w:val="32"/>
        </w:trPr>
        <w:tc>
          <w:tcPr>
            <w:tcW w:w="1206" w:type="pct"/>
            <w:vMerge/>
            <w:tcBorders>
              <w:top w:val="single" w:sz="4" w:space="0" w:color="auto"/>
              <w:left w:val="single" w:sz="4" w:space="0" w:color="auto"/>
              <w:bottom w:val="single" w:sz="4" w:space="0" w:color="auto"/>
              <w:right w:val="single" w:sz="4" w:space="0" w:color="auto"/>
            </w:tcBorders>
            <w:vAlign w:val="center"/>
            <w:hideMark/>
          </w:tcPr>
          <w:p w14:paraId="504E2703" w14:textId="77777777" w:rsidR="007B134B" w:rsidRPr="001F151E" w:rsidRDefault="007B134B" w:rsidP="007B134B">
            <w:pPr>
              <w:spacing w:line="240" w:lineRule="auto"/>
              <w:rPr>
                <w:b/>
                <w:bCs/>
                <w:sz w:val="16"/>
                <w:szCs w:val="16"/>
              </w:rPr>
            </w:pPr>
          </w:p>
        </w:tc>
        <w:tc>
          <w:tcPr>
            <w:tcW w:w="2010" w:type="pct"/>
            <w:tcBorders>
              <w:top w:val="single" w:sz="4" w:space="0" w:color="auto"/>
              <w:left w:val="single" w:sz="4" w:space="0" w:color="auto"/>
              <w:bottom w:val="single" w:sz="4" w:space="0" w:color="auto"/>
              <w:right w:val="single" w:sz="4" w:space="0" w:color="auto"/>
            </w:tcBorders>
            <w:vAlign w:val="center"/>
            <w:hideMark/>
          </w:tcPr>
          <w:p w14:paraId="613B79BA" w14:textId="6AD6F06C" w:rsidR="007B134B" w:rsidRPr="001F151E" w:rsidRDefault="007B134B" w:rsidP="00980117">
            <w:pPr>
              <w:pStyle w:val="T-number"/>
            </w:pPr>
            <w:r w:rsidRPr="001F151E">
              <w:t xml:space="preserve">Continue to invest in IT systems </w:t>
            </w:r>
            <w:r w:rsidR="00980117">
              <w:t xml:space="preserve">for </w:t>
            </w:r>
            <w:r w:rsidRPr="001F151E">
              <w:t>Integrated Tariff Management System (ITMS).</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9B407" w14:textId="62890C6C" w:rsidR="007B134B" w:rsidRPr="001F151E" w:rsidRDefault="007B134B" w:rsidP="005D5098">
            <w:pPr>
              <w:jc w:val="center"/>
              <w:rPr>
                <w:sz w:val="16"/>
                <w:szCs w:val="16"/>
              </w:rPr>
            </w:pPr>
            <w:r w:rsidRPr="001F151E">
              <w:rPr>
                <w:sz w:val="16"/>
                <w:szCs w:val="16"/>
              </w:rPr>
              <w:t>Q1 2023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3C5A1F" w14:textId="0A975664" w:rsidR="007B134B" w:rsidRPr="001F151E" w:rsidRDefault="007B134B" w:rsidP="005D5098">
            <w:pPr>
              <w:jc w:val="center"/>
              <w:rPr>
                <w:sz w:val="16"/>
                <w:szCs w:val="16"/>
              </w:rPr>
            </w:pPr>
            <w:r w:rsidRPr="001F151E">
              <w:rPr>
                <w:sz w:val="16"/>
                <w:szCs w:val="16"/>
              </w:rPr>
              <w:t>Q4 2024</w:t>
            </w: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025A081E" w14:textId="77777777" w:rsidR="007B134B" w:rsidRPr="001F151E" w:rsidRDefault="007B134B" w:rsidP="007B134B">
            <w:pPr>
              <w:spacing w:line="240" w:lineRule="auto"/>
              <w:rPr>
                <w:sz w:val="16"/>
                <w:szCs w:val="16"/>
              </w:rPr>
            </w:pPr>
          </w:p>
        </w:tc>
      </w:tr>
      <w:tr w:rsidR="00653E6F" w:rsidRPr="001F151E" w14:paraId="1661D195" w14:textId="77777777" w:rsidTr="007E120C">
        <w:trPr>
          <w:trHeight w:val="480"/>
        </w:trPr>
        <w:tc>
          <w:tcPr>
            <w:tcW w:w="1206" w:type="pct"/>
            <w:tcBorders>
              <w:top w:val="single" w:sz="4" w:space="0" w:color="auto"/>
              <w:left w:val="single" w:sz="4" w:space="0" w:color="auto"/>
              <w:bottom w:val="single" w:sz="4" w:space="0" w:color="auto"/>
              <w:right w:val="single" w:sz="4" w:space="0" w:color="auto"/>
            </w:tcBorders>
            <w:vAlign w:val="center"/>
            <w:hideMark/>
          </w:tcPr>
          <w:p w14:paraId="32558644" w14:textId="77777777" w:rsidR="007B134B" w:rsidRPr="001F151E" w:rsidRDefault="007B134B" w:rsidP="007B134B">
            <w:pPr>
              <w:pStyle w:val="T-bold"/>
            </w:pPr>
            <w:r w:rsidRPr="001F151E">
              <w:t xml:space="preserve">Measure 3.3.2 </w:t>
            </w:r>
          </w:p>
          <w:p w14:paraId="4D2892D8" w14:textId="05297FEB" w:rsidR="007B134B" w:rsidRPr="001F151E" w:rsidRDefault="007B134B" w:rsidP="007B134B">
            <w:pPr>
              <w:pStyle w:val="T-bold"/>
            </w:pPr>
            <w:r w:rsidRPr="001F151E">
              <w:t>Develop integrity framework and fight against informality and corruption</w:t>
            </w:r>
          </w:p>
        </w:tc>
        <w:tc>
          <w:tcPr>
            <w:tcW w:w="2010" w:type="pct"/>
            <w:tcBorders>
              <w:top w:val="single" w:sz="4" w:space="0" w:color="auto"/>
              <w:left w:val="single" w:sz="4" w:space="0" w:color="auto"/>
              <w:bottom w:val="single" w:sz="4" w:space="0" w:color="auto"/>
              <w:right w:val="single" w:sz="4" w:space="0" w:color="auto"/>
            </w:tcBorders>
            <w:vAlign w:val="center"/>
            <w:hideMark/>
          </w:tcPr>
          <w:p w14:paraId="289659B0" w14:textId="77777777" w:rsidR="007B134B" w:rsidRPr="001F151E" w:rsidRDefault="007B134B" w:rsidP="00B45892">
            <w:pPr>
              <w:pStyle w:val="T-number"/>
              <w:numPr>
                <w:ilvl w:val="0"/>
                <w:numId w:val="49"/>
              </w:numPr>
            </w:pPr>
            <w:r w:rsidRPr="001F151E">
              <w:t>Develop and implement an integrity framework.</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B7A06" w14:textId="3F955E58" w:rsidR="007B134B" w:rsidRPr="001F151E" w:rsidRDefault="007B134B" w:rsidP="005D5098">
            <w:pPr>
              <w:jc w:val="center"/>
              <w:rPr>
                <w:sz w:val="16"/>
                <w:szCs w:val="16"/>
              </w:rPr>
            </w:pPr>
            <w:r w:rsidRPr="001F151E">
              <w:rPr>
                <w:sz w:val="16"/>
                <w:szCs w:val="16"/>
              </w:rPr>
              <w:t>Q4 2023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4FDCB" w14:textId="60511DD3" w:rsidR="007B134B" w:rsidRPr="001F151E" w:rsidRDefault="007B134B" w:rsidP="005D5098">
            <w:pPr>
              <w:jc w:val="center"/>
              <w:rPr>
                <w:sz w:val="16"/>
                <w:szCs w:val="16"/>
              </w:rPr>
            </w:pPr>
            <w:r w:rsidRPr="001F151E">
              <w:rPr>
                <w:sz w:val="16"/>
                <w:szCs w:val="16"/>
              </w:rPr>
              <w:t>Q4 2026</w:t>
            </w:r>
          </w:p>
        </w:tc>
        <w:tc>
          <w:tcPr>
            <w:tcW w:w="890" w:type="pct"/>
            <w:tcBorders>
              <w:top w:val="single" w:sz="4" w:space="0" w:color="auto"/>
              <w:left w:val="single" w:sz="4" w:space="0" w:color="auto"/>
              <w:bottom w:val="single" w:sz="4" w:space="0" w:color="auto"/>
              <w:right w:val="single" w:sz="4" w:space="0" w:color="auto"/>
            </w:tcBorders>
          </w:tcPr>
          <w:p w14:paraId="6508FE67" w14:textId="77777777" w:rsidR="007B134B" w:rsidRPr="001F151E" w:rsidRDefault="007B134B" w:rsidP="007B134B">
            <w:pPr>
              <w:rPr>
                <w:b/>
                <w:bCs/>
                <w:sz w:val="16"/>
                <w:szCs w:val="16"/>
              </w:rPr>
            </w:pPr>
            <w:r w:rsidRPr="001F151E">
              <w:rPr>
                <w:b/>
                <w:bCs/>
                <w:sz w:val="16"/>
                <w:szCs w:val="16"/>
              </w:rPr>
              <w:t>Responsible entity</w:t>
            </w:r>
          </w:p>
          <w:p w14:paraId="267CE6F4" w14:textId="526DE5F9" w:rsidR="007B134B" w:rsidRPr="001F151E" w:rsidRDefault="007B134B" w:rsidP="007B134B">
            <w:pPr>
              <w:pStyle w:val="T-normal"/>
            </w:pPr>
            <w:r w:rsidRPr="001F151E">
              <w:t>GDC Anticorruption Directorate</w:t>
            </w:r>
            <w:r w:rsidR="002A75EC">
              <w:t xml:space="preserve"> (lead)</w:t>
            </w:r>
            <w:r w:rsidRPr="001F151E">
              <w:rPr>
                <w:rStyle w:val="FootnoteReference"/>
              </w:rPr>
              <w:footnoteReference w:id="45"/>
            </w:r>
          </w:p>
          <w:p w14:paraId="074554BD" w14:textId="77777777" w:rsidR="007B134B" w:rsidRPr="001F151E" w:rsidRDefault="007B134B" w:rsidP="007B134B">
            <w:pPr>
              <w:rPr>
                <w:b/>
                <w:bCs/>
                <w:sz w:val="16"/>
                <w:szCs w:val="16"/>
              </w:rPr>
            </w:pPr>
          </w:p>
          <w:p w14:paraId="20B4E227" w14:textId="1D314C35" w:rsidR="007B134B" w:rsidRPr="001F151E" w:rsidRDefault="007B134B" w:rsidP="007B134B">
            <w:pPr>
              <w:rPr>
                <w:b/>
                <w:bCs/>
                <w:sz w:val="16"/>
                <w:szCs w:val="16"/>
              </w:rPr>
            </w:pPr>
            <w:r w:rsidRPr="001F151E">
              <w:rPr>
                <w:b/>
                <w:bCs/>
                <w:sz w:val="16"/>
                <w:szCs w:val="16"/>
              </w:rPr>
              <w:t>Partners</w:t>
            </w:r>
          </w:p>
          <w:p w14:paraId="0C2C3109" w14:textId="5C4097BB" w:rsidR="007B134B" w:rsidRPr="001F151E" w:rsidRDefault="007B134B" w:rsidP="007B134B">
            <w:pPr>
              <w:rPr>
                <w:sz w:val="16"/>
                <w:szCs w:val="16"/>
              </w:rPr>
            </w:pPr>
          </w:p>
        </w:tc>
      </w:tr>
      <w:tr w:rsidR="00653E6F" w:rsidRPr="001F151E" w14:paraId="5E40D2E9" w14:textId="77777777" w:rsidTr="007E120C">
        <w:trPr>
          <w:trHeight w:val="20"/>
        </w:trPr>
        <w:tc>
          <w:tcPr>
            <w:tcW w:w="1206" w:type="pct"/>
            <w:tcBorders>
              <w:top w:val="single" w:sz="4" w:space="0" w:color="auto"/>
              <w:left w:val="single" w:sz="4" w:space="0" w:color="auto"/>
              <w:bottom w:val="single" w:sz="4" w:space="0" w:color="auto"/>
              <w:right w:val="single" w:sz="4" w:space="0" w:color="auto"/>
            </w:tcBorders>
            <w:vAlign w:val="center"/>
            <w:hideMark/>
          </w:tcPr>
          <w:p w14:paraId="05776CEE" w14:textId="77777777" w:rsidR="007B134B" w:rsidRPr="001F151E" w:rsidRDefault="007B134B" w:rsidP="007B134B">
            <w:pPr>
              <w:pStyle w:val="T-bold"/>
            </w:pPr>
            <w:r w:rsidRPr="001F151E">
              <w:t xml:space="preserve">Measures 3.3.3 </w:t>
            </w:r>
          </w:p>
          <w:p w14:paraId="62FF3A53" w14:textId="1901C184" w:rsidR="007B134B" w:rsidRPr="001F151E" w:rsidRDefault="007B134B" w:rsidP="007B134B">
            <w:pPr>
              <w:pStyle w:val="T-bold"/>
            </w:pPr>
            <w:r w:rsidRPr="001F151E">
              <w:t xml:space="preserve">Increase the number of Authorized Economic Operators </w:t>
            </w:r>
          </w:p>
        </w:tc>
        <w:tc>
          <w:tcPr>
            <w:tcW w:w="2010" w:type="pct"/>
            <w:tcBorders>
              <w:top w:val="single" w:sz="4" w:space="0" w:color="auto"/>
              <w:left w:val="single" w:sz="4" w:space="0" w:color="auto"/>
              <w:bottom w:val="single" w:sz="4" w:space="0" w:color="auto"/>
              <w:right w:val="single" w:sz="4" w:space="0" w:color="auto"/>
            </w:tcBorders>
            <w:vAlign w:val="center"/>
            <w:hideMark/>
          </w:tcPr>
          <w:p w14:paraId="746D6F78" w14:textId="77777777" w:rsidR="007B134B" w:rsidRPr="001F151E" w:rsidRDefault="007B134B" w:rsidP="00B45892">
            <w:pPr>
              <w:pStyle w:val="T-number"/>
              <w:numPr>
                <w:ilvl w:val="0"/>
                <w:numId w:val="50"/>
              </w:numPr>
            </w:pPr>
            <w:r w:rsidRPr="001F151E">
              <w:t>Continue the information campaigns and audits of potential Authorized Economic Operators</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A4F53" w14:textId="02159B72" w:rsidR="007B134B" w:rsidRPr="001F151E" w:rsidRDefault="007B134B" w:rsidP="005D5098">
            <w:pPr>
              <w:jc w:val="center"/>
              <w:rPr>
                <w:sz w:val="16"/>
                <w:szCs w:val="16"/>
              </w:rPr>
            </w:pPr>
            <w:r w:rsidRPr="001F151E">
              <w:rPr>
                <w:sz w:val="16"/>
                <w:szCs w:val="16"/>
              </w:rPr>
              <w:t>Q1 2023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1D907" w14:textId="11F91AAA" w:rsidR="007B134B" w:rsidRPr="001F151E" w:rsidRDefault="007B134B" w:rsidP="005D5098">
            <w:pPr>
              <w:jc w:val="center"/>
              <w:rPr>
                <w:sz w:val="16"/>
                <w:szCs w:val="16"/>
              </w:rPr>
            </w:pPr>
            <w:r w:rsidRPr="001F151E">
              <w:rPr>
                <w:sz w:val="16"/>
                <w:szCs w:val="16"/>
              </w:rPr>
              <w:t>Q4 2026</w:t>
            </w:r>
          </w:p>
        </w:tc>
        <w:tc>
          <w:tcPr>
            <w:tcW w:w="890" w:type="pct"/>
            <w:tcBorders>
              <w:top w:val="single" w:sz="4" w:space="0" w:color="auto"/>
              <w:left w:val="single" w:sz="4" w:space="0" w:color="auto"/>
              <w:bottom w:val="single" w:sz="4" w:space="0" w:color="auto"/>
              <w:right w:val="single" w:sz="4" w:space="0" w:color="auto"/>
            </w:tcBorders>
            <w:hideMark/>
          </w:tcPr>
          <w:p w14:paraId="200FAC06" w14:textId="77777777" w:rsidR="007B134B" w:rsidRPr="001F151E" w:rsidRDefault="007B134B" w:rsidP="007B134B">
            <w:pPr>
              <w:rPr>
                <w:b/>
                <w:bCs/>
                <w:sz w:val="16"/>
                <w:szCs w:val="16"/>
              </w:rPr>
            </w:pPr>
            <w:r w:rsidRPr="001F151E">
              <w:rPr>
                <w:b/>
                <w:bCs/>
                <w:sz w:val="16"/>
                <w:szCs w:val="16"/>
              </w:rPr>
              <w:t>Responsible entity</w:t>
            </w:r>
          </w:p>
          <w:p w14:paraId="09413B3D" w14:textId="6FA41387" w:rsidR="007B134B" w:rsidRPr="001F151E" w:rsidRDefault="007B134B" w:rsidP="007B134B">
            <w:pPr>
              <w:rPr>
                <w:sz w:val="16"/>
                <w:szCs w:val="16"/>
              </w:rPr>
            </w:pPr>
            <w:r w:rsidRPr="001F151E">
              <w:rPr>
                <w:sz w:val="16"/>
                <w:szCs w:val="16"/>
              </w:rPr>
              <w:t>GDC Directorate of Procedures (lead)</w:t>
            </w:r>
          </w:p>
          <w:p w14:paraId="0B8C31FE" w14:textId="77777777" w:rsidR="007B134B" w:rsidRPr="001F151E" w:rsidRDefault="007B134B" w:rsidP="007B134B">
            <w:pPr>
              <w:rPr>
                <w:sz w:val="16"/>
                <w:szCs w:val="16"/>
              </w:rPr>
            </w:pPr>
          </w:p>
          <w:p w14:paraId="268A3AF3" w14:textId="77777777" w:rsidR="007B134B" w:rsidRPr="001F151E" w:rsidRDefault="007B134B" w:rsidP="007B134B">
            <w:pPr>
              <w:rPr>
                <w:b/>
                <w:bCs/>
                <w:sz w:val="16"/>
                <w:szCs w:val="16"/>
              </w:rPr>
            </w:pPr>
            <w:r w:rsidRPr="001F151E">
              <w:rPr>
                <w:b/>
                <w:bCs/>
                <w:sz w:val="16"/>
                <w:szCs w:val="16"/>
              </w:rPr>
              <w:t>Partners</w:t>
            </w:r>
          </w:p>
          <w:p w14:paraId="20044110" w14:textId="4A7FB7FA" w:rsidR="007B134B" w:rsidRPr="001F151E" w:rsidRDefault="00086262" w:rsidP="007B134B">
            <w:pPr>
              <w:rPr>
                <w:sz w:val="16"/>
                <w:szCs w:val="16"/>
              </w:rPr>
            </w:pPr>
            <w:r>
              <w:rPr>
                <w:sz w:val="16"/>
                <w:szCs w:val="16"/>
              </w:rPr>
              <w:t>EU / Non EU Customs</w:t>
            </w:r>
          </w:p>
        </w:tc>
      </w:tr>
      <w:tr w:rsidR="00653E6F" w:rsidRPr="001F151E" w14:paraId="474B02A4" w14:textId="77777777" w:rsidTr="007E120C">
        <w:trPr>
          <w:trHeight w:val="20"/>
        </w:trPr>
        <w:tc>
          <w:tcPr>
            <w:tcW w:w="1206" w:type="pct"/>
            <w:vMerge w:val="restart"/>
            <w:tcBorders>
              <w:top w:val="single" w:sz="4" w:space="0" w:color="auto"/>
              <w:left w:val="single" w:sz="4" w:space="0" w:color="auto"/>
              <w:bottom w:val="single" w:sz="4" w:space="0" w:color="auto"/>
              <w:right w:val="single" w:sz="4" w:space="0" w:color="auto"/>
            </w:tcBorders>
            <w:hideMark/>
          </w:tcPr>
          <w:p w14:paraId="77E81526" w14:textId="22CB839E" w:rsidR="007B134B" w:rsidRPr="001F151E" w:rsidRDefault="007B134B" w:rsidP="007B134B">
            <w:pPr>
              <w:pStyle w:val="EcorysBody"/>
              <w:spacing w:line="288" w:lineRule="auto"/>
              <w:rPr>
                <w:rFonts w:ascii="Arial" w:hAnsi="Arial" w:cs="Arial"/>
                <w:b/>
                <w:bCs/>
                <w:sz w:val="16"/>
                <w:szCs w:val="16"/>
              </w:rPr>
            </w:pPr>
            <w:r w:rsidRPr="001F151E">
              <w:rPr>
                <w:rFonts w:ascii="Arial" w:hAnsi="Arial" w:cs="Arial"/>
                <w:b/>
                <w:bCs/>
                <w:sz w:val="16"/>
                <w:szCs w:val="16"/>
              </w:rPr>
              <w:t xml:space="preserve">Measure 3.3.4 Implement </w:t>
            </w:r>
            <w:r w:rsidR="00A37995">
              <w:rPr>
                <w:rFonts w:ascii="Arial" w:hAnsi="Arial" w:cs="Arial"/>
                <w:b/>
                <w:bCs/>
                <w:sz w:val="16"/>
                <w:szCs w:val="16"/>
              </w:rPr>
              <w:t>the National Single Window</w:t>
            </w:r>
          </w:p>
        </w:tc>
        <w:tc>
          <w:tcPr>
            <w:tcW w:w="2010" w:type="pct"/>
            <w:tcBorders>
              <w:top w:val="single" w:sz="4" w:space="0" w:color="auto"/>
              <w:left w:val="single" w:sz="4" w:space="0" w:color="auto"/>
              <w:bottom w:val="single" w:sz="4" w:space="0" w:color="auto"/>
              <w:right w:val="single" w:sz="4" w:space="0" w:color="auto"/>
            </w:tcBorders>
            <w:vAlign w:val="center"/>
            <w:hideMark/>
          </w:tcPr>
          <w:p w14:paraId="1D805136" w14:textId="1CFF0E76" w:rsidR="007B134B" w:rsidRPr="001F151E" w:rsidRDefault="007B134B" w:rsidP="00B45892">
            <w:pPr>
              <w:pStyle w:val="T-number"/>
              <w:numPr>
                <w:ilvl w:val="0"/>
                <w:numId w:val="51"/>
              </w:numPr>
            </w:pPr>
            <w:r w:rsidRPr="001F151E">
              <w:t>Develop the concept and institutional set-up of the N</w:t>
            </w:r>
            <w:r w:rsidR="00A37995">
              <w:t>ational Single Window</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B84893" w14:textId="291AE2DB" w:rsidR="007B134B" w:rsidRPr="001F151E" w:rsidRDefault="007B134B" w:rsidP="005D5098">
            <w:pPr>
              <w:jc w:val="center"/>
              <w:rPr>
                <w:sz w:val="16"/>
                <w:szCs w:val="16"/>
              </w:rPr>
            </w:pPr>
            <w:r w:rsidRPr="001F151E">
              <w:rPr>
                <w:sz w:val="16"/>
                <w:szCs w:val="16"/>
              </w:rPr>
              <w:t>Q1 2023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C525F0" w14:textId="22F208E9" w:rsidR="007B134B" w:rsidRPr="001F151E" w:rsidRDefault="007B134B" w:rsidP="005D5098">
            <w:pPr>
              <w:jc w:val="center"/>
              <w:rPr>
                <w:sz w:val="16"/>
                <w:szCs w:val="16"/>
              </w:rPr>
            </w:pPr>
            <w:r w:rsidRPr="001F151E">
              <w:rPr>
                <w:sz w:val="16"/>
                <w:szCs w:val="16"/>
              </w:rPr>
              <w:t>Q4 2026</w:t>
            </w:r>
          </w:p>
        </w:tc>
        <w:tc>
          <w:tcPr>
            <w:tcW w:w="890" w:type="pct"/>
            <w:vMerge w:val="restart"/>
            <w:tcBorders>
              <w:top w:val="single" w:sz="4" w:space="0" w:color="auto"/>
              <w:left w:val="single" w:sz="4" w:space="0" w:color="auto"/>
              <w:bottom w:val="single" w:sz="4" w:space="0" w:color="auto"/>
              <w:right w:val="single" w:sz="4" w:space="0" w:color="auto"/>
            </w:tcBorders>
            <w:hideMark/>
          </w:tcPr>
          <w:p w14:paraId="4C4D4FAA" w14:textId="77777777" w:rsidR="007B134B" w:rsidRPr="001F151E" w:rsidRDefault="007B134B" w:rsidP="007B134B">
            <w:pPr>
              <w:rPr>
                <w:b/>
                <w:bCs/>
                <w:sz w:val="16"/>
                <w:szCs w:val="16"/>
              </w:rPr>
            </w:pPr>
            <w:r w:rsidRPr="001F151E">
              <w:rPr>
                <w:b/>
                <w:bCs/>
                <w:sz w:val="16"/>
                <w:szCs w:val="16"/>
              </w:rPr>
              <w:t>Responsible entity</w:t>
            </w:r>
          </w:p>
          <w:p w14:paraId="1484D779" w14:textId="4C325E19" w:rsidR="007B134B" w:rsidRPr="001F151E" w:rsidRDefault="007B134B" w:rsidP="00A37995">
            <w:pPr>
              <w:rPr>
                <w:sz w:val="16"/>
                <w:szCs w:val="16"/>
              </w:rPr>
            </w:pPr>
            <w:r w:rsidRPr="001F151E">
              <w:rPr>
                <w:sz w:val="16"/>
                <w:szCs w:val="16"/>
              </w:rPr>
              <w:t>GDC, GDC Coordinator</w:t>
            </w:r>
          </w:p>
        </w:tc>
      </w:tr>
      <w:tr w:rsidR="00653E6F" w:rsidRPr="001F151E" w14:paraId="37DC18B2" w14:textId="77777777" w:rsidTr="007E120C">
        <w:trPr>
          <w:trHeight w:val="20"/>
        </w:trPr>
        <w:tc>
          <w:tcPr>
            <w:tcW w:w="1206" w:type="pct"/>
            <w:vMerge/>
            <w:tcBorders>
              <w:top w:val="single" w:sz="4" w:space="0" w:color="auto"/>
              <w:left w:val="single" w:sz="4" w:space="0" w:color="auto"/>
              <w:bottom w:val="single" w:sz="4" w:space="0" w:color="auto"/>
              <w:right w:val="single" w:sz="4" w:space="0" w:color="auto"/>
            </w:tcBorders>
            <w:vAlign w:val="center"/>
            <w:hideMark/>
          </w:tcPr>
          <w:p w14:paraId="23B12492" w14:textId="77777777" w:rsidR="007B134B" w:rsidRPr="001F151E" w:rsidRDefault="007B134B" w:rsidP="007B134B">
            <w:pPr>
              <w:spacing w:line="240" w:lineRule="auto"/>
              <w:rPr>
                <w:b/>
                <w:bCs/>
                <w:sz w:val="16"/>
                <w:szCs w:val="16"/>
              </w:rPr>
            </w:pPr>
          </w:p>
        </w:tc>
        <w:tc>
          <w:tcPr>
            <w:tcW w:w="2010" w:type="pct"/>
            <w:tcBorders>
              <w:top w:val="single" w:sz="4" w:space="0" w:color="auto"/>
              <w:left w:val="single" w:sz="4" w:space="0" w:color="auto"/>
              <w:bottom w:val="single" w:sz="4" w:space="0" w:color="auto"/>
              <w:right w:val="single" w:sz="4" w:space="0" w:color="auto"/>
            </w:tcBorders>
            <w:vAlign w:val="center"/>
            <w:hideMark/>
          </w:tcPr>
          <w:p w14:paraId="5DD4CA75" w14:textId="478CB4AD" w:rsidR="007B134B" w:rsidRPr="001F151E" w:rsidRDefault="007B134B" w:rsidP="00B45892">
            <w:pPr>
              <w:pStyle w:val="T-number"/>
              <w:numPr>
                <w:ilvl w:val="0"/>
                <w:numId w:val="51"/>
              </w:numPr>
            </w:pPr>
            <w:r w:rsidRPr="001F151E">
              <w:t>Review and amend legislation and regulations for the N</w:t>
            </w:r>
            <w:r w:rsidR="00A37995">
              <w:t xml:space="preserve">ational </w:t>
            </w:r>
            <w:r w:rsidRPr="001F151E">
              <w:t>S</w:t>
            </w:r>
            <w:r w:rsidR="00A37995">
              <w:t>ingle Window</w:t>
            </w:r>
            <w:r w:rsidRPr="001F151E">
              <w:t>.</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7C70A" w14:textId="71AFBE8A" w:rsidR="007B134B" w:rsidRPr="001F151E" w:rsidRDefault="00D177CA" w:rsidP="005D5098">
            <w:pPr>
              <w:jc w:val="center"/>
              <w:rPr>
                <w:sz w:val="16"/>
                <w:szCs w:val="16"/>
              </w:rPr>
            </w:pPr>
            <w:r w:rsidRPr="001F151E">
              <w:rPr>
                <w:sz w:val="16"/>
                <w:szCs w:val="16"/>
              </w:rPr>
              <w:t xml:space="preserve">Q1 </w:t>
            </w:r>
            <w:r w:rsidR="007B134B" w:rsidRPr="001F151E">
              <w:rPr>
                <w:sz w:val="16"/>
                <w:szCs w:val="16"/>
              </w:rPr>
              <w:t>2024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34BB0FB" w14:textId="52D942DF" w:rsidR="007B134B" w:rsidRPr="001F151E" w:rsidRDefault="00D177CA" w:rsidP="005D5098">
            <w:pPr>
              <w:jc w:val="center"/>
              <w:rPr>
                <w:sz w:val="16"/>
                <w:szCs w:val="16"/>
              </w:rPr>
            </w:pPr>
            <w:r w:rsidRPr="001F151E">
              <w:rPr>
                <w:sz w:val="16"/>
                <w:szCs w:val="16"/>
              </w:rPr>
              <w:t xml:space="preserve">Q4 </w:t>
            </w:r>
            <w:r w:rsidR="007B134B" w:rsidRPr="001F151E">
              <w:rPr>
                <w:sz w:val="16"/>
                <w:szCs w:val="16"/>
              </w:rPr>
              <w:t>2026</w:t>
            </w: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39D19208" w14:textId="77777777" w:rsidR="007B134B" w:rsidRPr="001F151E" w:rsidRDefault="007B134B" w:rsidP="007B134B">
            <w:pPr>
              <w:spacing w:line="240" w:lineRule="auto"/>
              <w:rPr>
                <w:sz w:val="16"/>
                <w:szCs w:val="16"/>
              </w:rPr>
            </w:pPr>
          </w:p>
        </w:tc>
      </w:tr>
      <w:tr w:rsidR="00653E6F" w:rsidRPr="001F151E" w14:paraId="7822F4E9" w14:textId="77777777" w:rsidTr="007E120C">
        <w:trPr>
          <w:trHeight w:val="20"/>
        </w:trPr>
        <w:tc>
          <w:tcPr>
            <w:tcW w:w="1206" w:type="pct"/>
            <w:vMerge/>
            <w:tcBorders>
              <w:top w:val="single" w:sz="4" w:space="0" w:color="auto"/>
              <w:left w:val="single" w:sz="4" w:space="0" w:color="auto"/>
              <w:bottom w:val="single" w:sz="4" w:space="0" w:color="auto"/>
              <w:right w:val="single" w:sz="4" w:space="0" w:color="auto"/>
            </w:tcBorders>
            <w:vAlign w:val="center"/>
            <w:hideMark/>
          </w:tcPr>
          <w:p w14:paraId="11AC2BB3" w14:textId="77777777" w:rsidR="007B134B" w:rsidRPr="001F151E" w:rsidRDefault="007B134B" w:rsidP="007B134B">
            <w:pPr>
              <w:spacing w:line="240" w:lineRule="auto"/>
              <w:rPr>
                <w:b/>
                <w:bCs/>
                <w:sz w:val="16"/>
                <w:szCs w:val="16"/>
              </w:rPr>
            </w:pPr>
          </w:p>
        </w:tc>
        <w:tc>
          <w:tcPr>
            <w:tcW w:w="2010" w:type="pct"/>
            <w:tcBorders>
              <w:top w:val="single" w:sz="4" w:space="0" w:color="auto"/>
              <w:left w:val="single" w:sz="4" w:space="0" w:color="auto"/>
              <w:bottom w:val="single" w:sz="4" w:space="0" w:color="auto"/>
              <w:right w:val="single" w:sz="4" w:space="0" w:color="auto"/>
            </w:tcBorders>
            <w:vAlign w:val="center"/>
            <w:hideMark/>
          </w:tcPr>
          <w:p w14:paraId="15152D00" w14:textId="77777777" w:rsidR="007B134B" w:rsidRPr="001F151E" w:rsidRDefault="007B134B" w:rsidP="007B134B">
            <w:pPr>
              <w:pStyle w:val="T-number"/>
            </w:pPr>
            <w:r w:rsidRPr="001F151E">
              <w:t>Develop and deploy the IT solution for the NSW.</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C0A9A" w14:textId="3191B5E1" w:rsidR="007B134B" w:rsidRPr="001F151E" w:rsidRDefault="007B134B" w:rsidP="005D5098">
            <w:pPr>
              <w:jc w:val="center"/>
              <w:rPr>
                <w:sz w:val="16"/>
                <w:szCs w:val="16"/>
              </w:rPr>
            </w:pPr>
            <w:r w:rsidRPr="001F151E">
              <w:rPr>
                <w:sz w:val="16"/>
                <w:szCs w:val="16"/>
              </w:rPr>
              <w:t>Q1 2024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F993A" w14:textId="49EF8B32" w:rsidR="007B134B" w:rsidRPr="001F151E" w:rsidRDefault="007B134B" w:rsidP="005D5098">
            <w:pPr>
              <w:jc w:val="center"/>
              <w:rPr>
                <w:sz w:val="16"/>
                <w:szCs w:val="16"/>
              </w:rPr>
            </w:pPr>
            <w:r w:rsidRPr="001F151E">
              <w:rPr>
                <w:sz w:val="16"/>
                <w:szCs w:val="16"/>
              </w:rPr>
              <w:t>Q4 2026</w:t>
            </w: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04061366" w14:textId="77777777" w:rsidR="007B134B" w:rsidRPr="001F151E" w:rsidRDefault="007B134B" w:rsidP="007B134B">
            <w:pPr>
              <w:spacing w:line="240" w:lineRule="auto"/>
              <w:rPr>
                <w:sz w:val="16"/>
                <w:szCs w:val="16"/>
              </w:rPr>
            </w:pPr>
          </w:p>
        </w:tc>
      </w:tr>
      <w:tr w:rsidR="00653E6F" w:rsidRPr="001F151E" w14:paraId="50FEA157" w14:textId="77777777" w:rsidTr="007E120C">
        <w:trPr>
          <w:trHeight w:val="20"/>
        </w:trPr>
        <w:tc>
          <w:tcPr>
            <w:tcW w:w="1206" w:type="pct"/>
            <w:vMerge w:val="restart"/>
            <w:tcBorders>
              <w:top w:val="single" w:sz="4" w:space="0" w:color="auto"/>
              <w:left w:val="single" w:sz="4" w:space="0" w:color="auto"/>
              <w:bottom w:val="single" w:sz="4" w:space="0" w:color="auto"/>
              <w:right w:val="single" w:sz="4" w:space="0" w:color="auto"/>
            </w:tcBorders>
            <w:hideMark/>
          </w:tcPr>
          <w:p w14:paraId="701A8C12" w14:textId="77777777" w:rsidR="007B134B" w:rsidRPr="001F151E" w:rsidRDefault="007B134B" w:rsidP="007B134B">
            <w:pPr>
              <w:pStyle w:val="EcorysBody"/>
              <w:spacing w:line="288" w:lineRule="auto"/>
              <w:rPr>
                <w:rFonts w:ascii="Arial" w:hAnsi="Arial" w:cs="Arial"/>
                <w:sz w:val="16"/>
                <w:szCs w:val="16"/>
              </w:rPr>
            </w:pPr>
            <w:r w:rsidRPr="001F151E">
              <w:rPr>
                <w:rFonts w:ascii="Arial" w:hAnsi="Arial" w:cs="Arial"/>
                <w:b/>
                <w:bCs/>
                <w:sz w:val="16"/>
                <w:szCs w:val="16"/>
              </w:rPr>
              <w:t>Measure 3.3.5 Improve the utilization of the New Computerised Transit System (NCTS)</w:t>
            </w:r>
          </w:p>
        </w:tc>
        <w:tc>
          <w:tcPr>
            <w:tcW w:w="2010" w:type="pct"/>
            <w:tcBorders>
              <w:top w:val="single" w:sz="4" w:space="0" w:color="auto"/>
              <w:left w:val="single" w:sz="4" w:space="0" w:color="auto"/>
              <w:bottom w:val="single" w:sz="4" w:space="0" w:color="auto"/>
              <w:right w:val="single" w:sz="4" w:space="0" w:color="auto"/>
            </w:tcBorders>
            <w:vAlign w:val="center"/>
            <w:hideMark/>
          </w:tcPr>
          <w:p w14:paraId="457C9170" w14:textId="77777777" w:rsidR="007B134B" w:rsidRPr="001F151E" w:rsidRDefault="007B134B" w:rsidP="00B45892">
            <w:pPr>
              <w:pStyle w:val="T-number"/>
              <w:numPr>
                <w:ilvl w:val="0"/>
                <w:numId w:val="52"/>
              </w:numPr>
            </w:pPr>
            <w:r w:rsidRPr="001F151E">
              <w:t>Review and update the legal provisions for the NCTS.</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45C1D" w14:textId="2EF29000" w:rsidR="007B134B" w:rsidRPr="001F151E" w:rsidRDefault="00D177CA" w:rsidP="005D5098">
            <w:pPr>
              <w:jc w:val="center"/>
              <w:rPr>
                <w:sz w:val="16"/>
                <w:szCs w:val="16"/>
              </w:rPr>
            </w:pPr>
            <w:r w:rsidRPr="001F151E">
              <w:rPr>
                <w:sz w:val="16"/>
                <w:szCs w:val="16"/>
              </w:rPr>
              <w:t xml:space="preserve">Q1 </w:t>
            </w:r>
            <w:r w:rsidR="007B134B" w:rsidRPr="001F151E">
              <w:rPr>
                <w:sz w:val="16"/>
                <w:szCs w:val="16"/>
              </w:rPr>
              <w:t>2024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1AEA9FE" w14:textId="2A8B2E90" w:rsidR="007B134B" w:rsidRPr="001F151E" w:rsidRDefault="00D177CA" w:rsidP="005D5098">
            <w:pPr>
              <w:jc w:val="center"/>
              <w:rPr>
                <w:sz w:val="16"/>
                <w:szCs w:val="16"/>
              </w:rPr>
            </w:pPr>
            <w:r w:rsidRPr="001F151E">
              <w:rPr>
                <w:sz w:val="16"/>
                <w:szCs w:val="16"/>
              </w:rPr>
              <w:t xml:space="preserve">Q4 </w:t>
            </w:r>
            <w:r w:rsidR="007B134B" w:rsidRPr="001F151E">
              <w:rPr>
                <w:sz w:val="16"/>
                <w:szCs w:val="16"/>
              </w:rPr>
              <w:t>2026</w:t>
            </w:r>
          </w:p>
        </w:tc>
        <w:tc>
          <w:tcPr>
            <w:tcW w:w="890" w:type="pct"/>
            <w:vMerge w:val="restart"/>
            <w:tcBorders>
              <w:top w:val="single" w:sz="4" w:space="0" w:color="auto"/>
              <w:left w:val="single" w:sz="4" w:space="0" w:color="auto"/>
              <w:bottom w:val="single" w:sz="4" w:space="0" w:color="auto"/>
              <w:right w:val="single" w:sz="4" w:space="0" w:color="auto"/>
            </w:tcBorders>
            <w:hideMark/>
          </w:tcPr>
          <w:p w14:paraId="74BC2680" w14:textId="77777777" w:rsidR="007B134B" w:rsidRPr="001F151E" w:rsidRDefault="007B134B" w:rsidP="007B134B">
            <w:pPr>
              <w:rPr>
                <w:b/>
                <w:bCs/>
                <w:sz w:val="16"/>
                <w:szCs w:val="16"/>
              </w:rPr>
            </w:pPr>
            <w:r w:rsidRPr="001F151E">
              <w:rPr>
                <w:b/>
                <w:bCs/>
                <w:sz w:val="16"/>
                <w:szCs w:val="16"/>
              </w:rPr>
              <w:t>Responsible entity</w:t>
            </w:r>
          </w:p>
          <w:p w14:paraId="22A5E2E8" w14:textId="0D99A4FB" w:rsidR="007B134B" w:rsidRPr="001F151E" w:rsidRDefault="007B134B" w:rsidP="00272B11">
            <w:pPr>
              <w:rPr>
                <w:sz w:val="16"/>
                <w:szCs w:val="16"/>
              </w:rPr>
            </w:pPr>
            <w:r w:rsidRPr="001F151E">
              <w:rPr>
                <w:sz w:val="16"/>
                <w:szCs w:val="16"/>
              </w:rPr>
              <w:t>GDC, GDC Coordinator</w:t>
            </w:r>
          </w:p>
        </w:tc>
      </w:tr>
      <w:tr w:rsidR="00653E6F" w:rsidRPr="001F151E" w14:paraId="41357C9D" w14:textId="77777777" w:rsidTr="007E120C">
        <w:trPr>
          <w:trHeight w:val="20"/>
        </w:trPr>
        <w:tc>
          <w:tcPr>
            <w:tcW w:w="1206" w:type="pct"/>
            <w:vMerge/>
            <w:tcBorders>
              <w:top w:val="single" w:sz="4" w:space="0" w:color="auto"/>
              <w:left w:val="single" w:sz="4" w:space="0" w:color="auto"/>
              <w:bottom w:val="single" w:sz="4" w:space="0" w:color="auto"/>
              <w:right w:val="single" w:sz="4" w:space="0" w:color="auto"/>
            </w:tcBorders>
            <w:vAlign w:val="center"/>
            <w:hideMark/>
          </w:tcPr>
          <w:p w14:paraId="5380763F" w14:textId="77777777" w:rsidR="007B134B" w:rsidRPr="001F151E" w:rsidRDefault="007B134B" w:rsidP="007B134B">
            <w:pPr>
              <w:spacing w:line="240" w:lineRule="auto"/>
              <w:rPr>
                <w:sz w:val="16"/>
                <w:szCs w:val="16"/>
              </w:rPr>
            </w:pPr>
          </w:p>
        </w:tc>
        <w:tc>
          <w:tcPr>
            <w:tcW w:w="2010" w:type="pct"/>
            <w:tcBorders>
              <w:top w:val="single" w:sz="4" w:space="0" w:color="auto"/>
              <w:left w:val="single" w:sz="4" w:space="0" w:color="auto"/>
              <w:bottom w:val="single" w:sz="4" w:space="0" w:color="auto"/>
              <w:right w:val="single" w:sz="4" w:space="0" w:color="auto"/>
            </w:tcBorders>
            <w:vAlign w:val="center"/>
            <w:hideMark/>
          </w:tcPr>
          <w:p w14:paraId="02454175" w14:textId="77777777" w:rsidR="007B134B" w:rsidRPr="001F151E" w:rsidRDefault="007B134B" w:rsidP="007B134B">
            <w:pPr>
              <w:pStyle w:val="T-number"/>
            </w:pPr>
            <w:r w:rsidRPr="001F151E">
              <w:t>Further develop the NCTS IT environment.</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CCE91" w14:textId="690A6B20" w:rsidR="007B134B" w:rsidRPr="001F151E" w:rsidRDefault="007B134B" w:rsidP="005D5098">
            <w:pPr>
              <w:jc w:val="center"/>
              <w:rPr>
                <w:sz w:val="16"/>
                <w:szCs w:val="16"/>
              </w:rPr>
            </w:pPr>
            <w:r w:rsidRPr="001F151E">
              <w:rPr>
                <w:sz w:val="16"/>
                <w:szCs w:val="16"/>
              </w:rPr>
              <w:t>Q1 2024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D58D5" w14:textId="5DDBAB9B" w:rsidR="007B134B" w:rsidRPr="001F151E" w:rsidRDefault="007B134B" w:rsidP="005D5098">
            <w:pPr>
              <w:jc w:val="center"/>
              <w:rPr>
                <w:sz w:val="16"/>
                <w:szCs w:val="16"/>
              </w:rPr>
            </w:pPr>
            <w:r w:rsidRPr="001F151E">
              <w:rPr>
                <w:sz w:val="16"/>
                <w:szCs w:val="16"/>
              </w:rPr>
              <w:t>Q4 2026</w:t>
            </w:r>
          </w:p>
        </w:tc>
        <w:tc>
          <w:tcPr>
            <w:tcW w:w="890" w:type="pct"/>
            <w:vMerge/>
            <w:tcBorders>
              <w:top w:val="single" w:sz="4" w:space="0" w:color="auto"/>
              <w:left w:val="single" w:sz="4" w:space="0" w:color="auto"/>
              <w:bottom w:val="single" w:sz="4" w:space="0" w:color="auto"/>
              <w:right w:val="single" w:sz="4" w:space="0" w:color="auto"/>
            </w:tcBorders>
            <w:vAlign w:val="center"/>
            <w:hideMark/>
          </w:tcPr>
          <w:p w14:paraId="7305D125" w14:textId="77777777" w:rsidR="007B134B" w:rsidRPr="001F151E" w:rsidRDefault="007B134B" w:rsidP="007B134B">
            <w:pPr>
              <w:spacing w:line="240" w:lineRule="auto"/>
              <w:rPr>
                <w:sz w:val="16"/>
                <w:szCs w:val="16"/>
              </w:rPr>
            </w:pPr>
          </w:p>
        </w:tc>
      </w:tr>
    </w:tbl>
    <w:p w14:paraId="3BFA7CC2" w14:textId="77777777" w:rsidR="00827A2C" w:rsidRPr="001F151E" w:rsidRDefault="00827A2C" w:rsidP="00827A2C">
      <w:pPr>
        <w:rPr>
          <w:lang w:val="en-GB"/>
        </w:rPr>
      </w:pPr>
    </w:p>
    <w:p w14:paraId="139103A2" w14:textId="77777777" w:rsidR="00827A2C" w:rsidRPr="001F151E" w:rsidRDefault="00827A2C" w:rsidP="00827A2C">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76257F" w:rsidRPr="001F151E" w14:paraId="6C1E0719" w14:textId="77777777" w:rsidTr="002B7FF8">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F6F0EA" w14:textId="77777777" w:rsidR="0076257F" w:rsidRPr="001F151E" w:rsidRDefault="0076257F" w:rsidP="002B7FF8">
            <w:pPr>
              <w:pStyle w:val="T-bold"/>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5227E" w14:textId="77777777" w:rsidR="0076257F" w:rsidRPr="001F151E" w:rsidRDefault="0076257F" w:rsidP="002B7FF8">
            <w:pPr>
              <w:pStyle w:val="T-bold"/>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8FB50" w14:textId="77777777" w:rsidR="0076257F" w:rsidRPr="001F151E" w:rsidRDefault="0076257F" w:rsidP="002B7FF8">
            <w:pPr>
              <w:pStyle w:val="T-bold"/>
              <w:jc w:val="center"/>
            </w:pPr>
            <w:r w:rsidRPr="001F151E">
              <w:t>Target Value</w:t>
            </w:r>
          </w:p>
        </w:tc>
      </w:tr>
      <w:tr w:rsidR="0076257F" w:rsidRPr="001F151E" w14:paraId="308046F0" w14:textId="77777777" w:rsidTr="002B7FF8">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7033E85" w14:textId="77777777" w:rsidR="0076257F" w:rsidRPr="001F151E" w:rsidRDefault="0076257F" w:rsidP="002B7FF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28258A6" w14:textId="77777777" w:rsidR="0076257F" w:rsidRPr="001F151E" w:rsidRDefault="0076257F" w:rsidP="002B7FF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F9419" w14:textId="77777777" w:rsidR="0076257F" w:rsidRPr="001F151E" w:rsidRDefault="0076257F" w:rsidP="002B7FF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15AFA" w14:textId="77777777" w:rsidR="0076257F" w:rsidRPr="001F151E" w:rsidRDefault="0076257F" w:rsidP="002B7FF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BDEC5" w14:textId="77777777" w:rsidR="0076257F" w:rsidRPr="001F151E" w:rsidRDefault="0076257F" w:rsidP="002B7FF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DFD04" w14:textId="77777777" w:rsidR="0076257F" w:rsidRPr="001F151E" w:rsidRDefault="0076257F" w:rsidP="002B7FF8">
            <w:pPr>
              <w:pStyle w:val="T-bold"/>
              <w:jc w:val="center"/>
            </w:pPr>
            <w:r w:rsidRPr="001F151E">
              <w:t>2026</w:t>
            </w:r>
          </w:p>
        </w:tc>
      </w:tr>
      <w:tr w:rsidR="0076257F" w:rsidRPr="001F151E" w14:paraId="49EAE783" w14:textId="77777777" w:rsidTr="002B7FF8">
        <w:tc>
          <w:tcPr>
            <w:tcW w:w="3114" w:type="dxa"/>
            <w:tcBorders>
              <w:top w:val="single" w:sz="4" w:space="0" w:color="auto"/>
              <w:left w:val="single" w:sz="4" w:space="0" w:color="auto"/>
              <w:bottom w:val="single" w:sz="4" w:space="0" w:color="auto"/>
              <w:right w:val="single" w:sz="4" w:space="0" w:color="auto"/>
            </w:tcBorders>
          </w:tcPr>
          <w:p w14:paraId="442E3FC7" w14:textId="26F13F0A" w:rsidR="0076257F" w:rsidRPr="001F151E" w:rsidRDefault="0076257F" w:rsidP="00B45892">
            <w:pPr>
              <w:pStyle w:val="ListParagraph"/>
              <w:numPr>
                <w:ilvl w:val="0"/>
                <w:numId w:val="53"/>
              </w:numPr>
              <w:rPr>
                <w:sz w:val="16"/>
                <w:szCs w:val="16"/>
              </w:rPr>
            </w:pPr>
            <w:r w:rsidRPr="001F151E">
              <w:rPr>
                <w:sz w:val="16"/>
                <w:szCs w:val="16"/>
              </w:rPr>
              <w:t>Percentage utilisation of Green Channel</w:t>
            </w:r>
          </w:p>
        </w:tc>
        <w:tc>
          <w:tcPr>
            <w:tcW w:w="1180" w:type="dxa"/>
            <w:tcBorders>
              <w:top w:val="single" w:sz="4" w:space="0" w:color="auto"/>
              <w:left w:val="single" w:sz="4" w:space="0" w:color="auto"/>
              <w:bottom w:val="single" w:sz="4" w:space="0" w:color="auto"/>
              <w:right w:val="single" w:sz="4" w:space="0" w:color="auto"/>
            </w:tcBorders>
            <w:vAlign w:val="center"/>
          </w:tcPr>
          <w:p w14:paraId="3D5196ED" w14:textId="6BEC8E4C" w:rsidR="0076257F" w:rsidRPr="001F151E" w:rsidRDefault="0076257F" w:rsidP="0076257F">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7E17CF92" w14:textId="100C18E2" w:rsidR="0076257F" w:rsidRPr="001F151E" w:rsidRDefault="0076257F" w:rsidP="0076257F">
            <w:pPr>
              <w:pStyle w:val="T-normal"/>
              <w:jc w:val="center"/>
            </w:pPr>
            <w:r w:rsidRPr="001F151E">
              <w:t>28%</w:t>
            </w:r>
          </w:p>
        </w:tc>
        <w:tc>
          <w:tcPr>
            <w:tcW w:w="1180" w:type="dxa"/>
            <w:tcBorders>
              <w:top w:val="single" w:sz="4" w:space="0" w:color="auto"/>
              <w:left w:val="single" w:sz="4" w:space="0" w:color="auto"/>
              <w:bottom w:val="single" w:sz="4" w:space="0" w:color="auto"/>
              <w:right w:val="single" w:sz="4" w:space="0" w:color="auto"/>
            </w:tcBorders>
            <w:vAlign w:val="center"/>
          </w:tcPr>
          <w:p w14:paraId="72830D32" w14:textId="3B235D0F" w:rsidR="0076257F" w:rsidRPr="001F151E" w:rsidRDefault="0076257F" w:rsidP="0076257F">
            <w:pPr>
              <w:pStyle w:val="T-normal"/>
              <w:jc w:val="center"/>
            </w:pPr>
            <w:r w:rsidRPr="001F151E">
              <w:t>30%</w:t>
            </w:r>
          </w:p>
        </w:tc>
        <w:tc>
          <w:tcPr>
            <w:tcW w:w="1181" w:type="dxa"/>
            <w:tcBorders>
              <w:top w:val="single" w:sz="4" w:space="0" w:color="auto"/>
              <w:left w:val="single" w:sz="4" w:space="0" w:color="auto"/>
              <w:bottom w:val="single" w:sz="4" w:space="0" w:color="auto"/>
              <w:right w:val="single" w:sz="4" w:space="0" w:color="auto"/>
            </w:tcBorders>
            <w:vAlign w:val="center"/>
          </w:tcPr>
          <w:p w14:paraId="289E2C6E" w14:textId="56B5E2D0" w:rsidR="0076257F" w:rsidRPr="001F151E" w:rsidRDefault="0076257F" w:rsidP="0076257F">
            <w:pPr>
              <w:pStyle w:val="T-normal"/>
              <w:jc w:val="center"/>
            </w:pPr>
            <w:r w:rsidRPr="001F151E">
              <w:t>33%</w:t>
            </w:r>
          </w:p>
        </w:tc>
        <w:tc>
          <w:tcPr>
            <w:tcW w:w="1181" w:type="dxa"/>
            <w:tcBorders>
              <w:top w:val="single" w:sz="4" w:space="0" w:color="auto"/>
              <w:left w:val="single" w:sz="4" w:space="0" w:color="auto"/>
              <w:bottom w:val="single" w:sz="4" w:space="0" w:color="auto"/>
              <w:right w:val="single" w:sz="4" w:space="0" w:color="auto"/>
            </w:tcBorders>
            <w:vAlign w:val="center"/>
          </w:tcPr>
          <w:p w14:paraId="571B35C7" w14:textId="1ACB21A7" w:rsidR="0076257F" w:rsidRPr="001F151E" w:rsidRDefault="0076257F" w:rsidP="0076257F">
            <w:pPr>
              <w:pStyle w:val="T-normal"/>
              <w:jc w:val="center"/>
            </w:pPr>
            <w:r w:rsidRPr="001F151E">
              <w:t>&gt; 33%</w:t>
            </w:r>
          </w:p>
        </w:tc>
      </w:tr>
      <w:tr w:rsidR="0076257F" w:rsidRPr="001F151E" w14:paraId="6ECE55E8" w14:textId="77777777" w:rsidTr="002B7FF8">
        <w:tc>
          <w:tcPr>
            <w:tcW w:w="3114" w:type="dxa"/>
            <w:tcBorders>
              <w:top w:val="single" w:sz="4" w:space="0" w:color="auto"/>
              <w:left w:val="single" w:sz="4" w:space="0" w:color="auto"/>
              <w:bottom w:val="single" w:sz="4" w:space="0" w:color="auto"/>
              <w:right w:val="single" w:sz="4" w:space="0" w:color="auto"/>
            </w:tcBorders>
          </w:tcPr>
          <w:p w14:paraId="53C06CB9" w14:textId="7DD6C035" w:rsidR="0076257F" w:rsidRPr="001F151E" w:rsidRDefault="0076257F" w:rsidP="00B45892">
            <w:pPr>
              <w:pStyle w:val="ListParagraph"/>
              <w:numPr>
                <w:ilvl w:val="0"/>
                <w:numId w:val="53"/>
              </w:numPr>
              <w:rPr>
                <w:sz w:val="16"/>
                <w:szCs w:val="16"/>
              </w:rPr>
            </w:pPr>
            <w:r w:rsidRPr="001F151E">
              <w:rPr>
                <w:sz w:val="16"/>
                <w:szCs w:val="16"/>
              </w:rPr>
              <w:t>Custom declaration processing time</w:t>
            </w:r>
          </w:p>
        </w:tc>
        <w:tc>
          <w:tcPr>
            <w:tcW w:w="1180" w:type="dxa"/>
            <w:tcBorders>
              <w:top w:val="single" w:sz="4" w:space="0" w:color="auto"/>
              <w:left w:val="single" w:sz="4" w:space="0" w:color="auto"/>
              <w:bottom w:val="single" w:sz="4" w:space="0" w:color="auto"/>
              <w:right w:val="single" w:sz="4" w:space="0" w:color="auto"/>
            </w:tcBorders>
            <w:vAlign w:val="center"/>
          </w:tcPr>
          <w:p w14:paraId="1817D0C6" w14:textId="3C76006E" w:rsidR="0076257F" w:rsidRPr="001F151E" w:rsidRDefault="0076257F" w:rsidP="0076257F">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64B0EE0E" w14:textId="747AA5A6" w:rsidR="0076257F" w:rsidRPr="001F151E" w:rsidRDefault="0076257F" w:rsidP="0076257F">
            <w:pPr>
              <w:pStyle w:val="T-normal"/>
              <w:jc w:val="center"/>
            </w:pPr>
            <w:r w:rsidRPr="001F151E">
              <w:t>99.1 minutes</w:t>
            </w:r>
          </w:p>
        </w:tc>
        <w:tc>
          <w:tcPr>
            <w:tcW w:w="1180" w:type="dxa"/>
            <w:tcBorders>
              <w:top w:val="single" w:sz="4" w:space="0" w:color="auto"/>
              <w:left w:val="single" w:sz="4" w:space="0" w:color="auto"/>
              <w:bottom w:val="single" w:sz="4" w:space="0" w:color="auto"/>
              <w:right w:val="single" w:sz="4" w:space="0" w:color="auto"/>
            </w:tcBorders>
            <w:vAlign w:val="center"/>
          </w:tcPr>
          <w:p w14:paraId="72A97CC7" w14:textId="2583B6C6" w:rsidR="0076257F" w:rsidRPr="001F151E" w:rsidRDefault="0076257F" w:rsidP="0076257F">
            <w:pPr>
              <w:pStyle w:val="T-normal"/>
              <w:jc w:val="center"/>
            </w:pPr>
            <w:r w:rsidRPr="001F151E">
              <w:t>Decreasing trend</w:t>
            </w:r>
          </w:p>
        </w:tc>
        <w:tc>
          <w:tcPr>
            <w:tcW w:w="1181" w:type="dxa"/>
            <w:tcBorders>
              <w:top w:val="single" w:sz="4" w:space="0" w:color="auto"/>
              <w:left w:val="single" w:sz="4" w:space="0" w:color="auto"/>
              <w:bottom w:val="single" w:sz="4" w:space="0" w:color="auto"/>
              <w:right w:val="single" w:sz="4" w:space="0" w:color="auto"/>
            </w:tcBorders>
            <w:vAlign w:val="center"/>
          </w:tcPr>
          <w:p w14:paraId="6B24DB7F" w14:textId="49077FBA" w:rsidR="0076257F" w:rsidRPr="001F151E" w:rsidRDefault="0076257F" w:rsidP="0076257F">
            <w:pPr>
              <w:pStyle w:val="T-normal"/>
              <w:jc w:val="center"/>
            </w:pPr>
            <w:r w:rsidRPr="001F151E">
              <w:t>Decreasing trend</w:t>
            </w:r>
          </w:p>
        </w:tc>
        <w:tc>
          <w:tcPr>
            <w:tcW w:w="1181" w:type="dxa"/>
            <w:tcBorders>
              <w:top w:val="single" w:sz="4" w:space="0" w:color="auto"/>
              <w:left w:val="single" w:sz="4" w:space="0" w:color="auto"/>
              <w:bottom w:val="single" w:sz="4" w:space="0" w:color="auto"/>
              <w:right w:val="single" w:sz="4" w:space="0" w:color="auto"/>
            </w:tcBorders>
            <w:vAlign w:val="center"/>
          </w:tcPr>
          <w:p w14:paraId="00058510" w14:textId="3FBBEC72" w:rsidR="0076257F" w:rsidRPr="001F151E" w:rsidRDefault="0076257F" w:rsidP="0076257F">
            <w:pPr>
              <w:pStyle w:val="T-normal"/>
              <w:jc w:val="center"/>
            </w:pPr>
            <w:r w:rsidRPr="001F151E">
              <w:t xml:space="preserve">Decreasing trend </w:t>
            </w:r>
          </w:p>
        </w:tc>
      </w:tr>
      <w:tr w:rsidR="0076257F" w:rsidRPr="001F151E" w14:paraId="02F1745D" w14:textId="77777777" w:rsidTr="002B7FF8">
        <w:tc>
          <w:tcPr>
            <w:tcW w:w="3114" w:type="dxa"/>
            <w:tcBorders>
              <w:top w:val="single" w:sz="4" w:space="0" w:color="auto"/>
              <w:left w:val="single" w:sz="4" w:space="0" w:color="auto"/>
              <w:bottom w:val="single" w:sz="4" w:space="0" w:color="auto"/>
              <w:right w:val="single" w:sz="4" w:space="0" w:color="auto"/>
            </w:tcBorders>
          </w:tcPr>
          <w:p w14:paraId="7CC28DBB" w14:textId="4DCEEE28" w:rsidR="0076257F" w:rsidRPr="001F151E" w:rsidRDefault="0076257F" w:rsidP="00B45892">
            <w:pPr>
              <w:pStyle w:val="ListParagraph"/>
              <w:numPr>
                <w:ilvl w:val="0"/>
                <w:numId w:val="53"/>
              </w:numPr>
              <w:rPr>
                <w:sz w:val="16"/>
                <w:szCs w:val="16"/>
              </w:rPr>
            </w:pPr>
            <w:r w:rsidRPr="001F151E">
              <w:rPr>
                <w:sz w:val="16"/>
                <w:szCs w:val="16"/>
              </w:rPr>
              <w:t xml:space="preserve">Number of Authorised Economic Operators </w:t>
            </w:r>
          </w:p>
        </w:tc>
        <w:tc>
          <w:tcPr>
            <w:tcW w:w="1180" w:type="dxa"/>
            <w:tcBorders>
              <w:top w:val="single" w:sz="4" w:space="0" w:color="auto"/>
              <w:left w:val="single" w:sz="4" w:space="0" w:color="auto"/>
              <w:bottom w:val="single" w:sz="4" w:space="0" w:color="auto"/>
              <w:right w:val="single" w:sz="4" w:space="0" w:color="auto"/>
            </w:tcBorders>
            <w:vAlign w:val="center"/>
          </w:tcPr>
          <w:p w14:paraId="4EC42EA7" w14:textId="7EEDF07C" w:rsidR="0076257F" w:rsidRPr="001F151E" w:rsidRDefault="0076257F" w:rsidP="0076257F">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573E8FEA" w14:textId="4041A4EB" w:rsidR="0076257F" w:rsidRPr="001F151E" w:rsidRDefault="0076257F" w:rsidP="0076257F">
            <w:pPr>
              <w:pStyle w:val="T-normal"/>
              <w:jc w:val="center"/>
            </w:pPr>
            <w:r w:rsidRPr="001F151E">
              <w:t>13</w:t>
            </w:r>
          </w:p>
        </w:tc>
        <w:tc>
          <w:tcPr>
            <w:tcW w:w="1180" w:type="dxa"/>
            <w:tcBorders>
              <w:top w:val="single" w:sz="4" w:space="0" w:color="auto"/>
              <w:left w:val="single" w:sz="4" w:space="0" w:color="auto"/>
              <w:bottom w:val="single" w:sz="4" w:space="0" w:color="auto"/>
              <w:right w:val="single" w:sz="4" w:space="0" w:color="auto"/>
            </w:tcBorders>
            <w:vAlign w:val="center"/>
          </w:tcPr>
          <w:p w14:paraId="1623D648" w14:textId="31609D0B" w:rsidR="0076257F" w:rsidRPr="001F151E" w:rsidRDefault="0076257F" w:rsidP="0076257F">
            <w:pPr>
              <w:pStyle w:val="T-normal"/>
              <w:jc w:val="center"/>
            </w:pPr>
            <w:r w:rsidRPr="001F151E">
              <w:t>Increasing trend</w:t>
            </w:r>
          </w:p>
        </w:tc>
        <w:tc>
          <w:tcPr>
            <w:tcW w:w="1181" w:type="dxa"/>
            <w:tcBorders>
              <w:top w:val="single" w:sz="4" w:space="0" w:color="auto"/>
              <w:left w:val="single" w:sz="4" w:space="0" w:color="auto"/>
              <w:bottom w:val="single" w:sz="4" w:space="0" w:color="auto"/>
              <w:right w:val="single" w:sz="4" w:space="0" w:color="auto"/>
            </w:tcBorders>
            <w:vAlign w:val="center"/>
          </w:tcPr>
          <w:p w14:paraId="77E04C90" w14:textId="62758862" w:rsidR="0076257F" w:rsidRPr="001F151E" w:rsidRDefault="0076257F" w:rsidP="0076257F">
            <w:pPr>
              <w:pStyle w:val="T-normal"/>
              <w:jc w:val="center"/>
            </w:pPr>
            <w:r w:rsidRPr="001F151E">
              <w:t>Increasing trend</w:t>
            </w:r>
          </w:p>
        </w:tc>
        <w:tc>
          <w:tcPr>
            <w:tcW w:w="1181" w:type="dxa"/>
            <w:tcBorders>
              <w:top w:val="single" w:sz="4" w:space="0" w:color="auto"/>
              <w:left w:val="single" w:sz="4" w:space="0" w:color="auto"/>
              <w:bottom w:val="single" w:sz="4" w:space="0" w:color="auto"/>
              <w:right w:val="single" w:sz="4" w:space="0" w:color="auto"/>
            </w:tcBorders>
            <w:vAlign w:val="center"/>
          </w:tcPr>
          <w:p w14:paraId="72E62A4B" w14:textId="51FE0C30" w:rsidR="0076257F" w:rsidRPr="001F151E" w:rsidRDefault="0076257F" w:rsidP="0076257F">
            <w:pPr>
              <w:pStyle w:val="T-normal"/>
              <w:jc w:val="center"/>
              <w:rPr>
                <w:sz w:val="14"/>
                <w:szCs w:val="14"/>
              </w:rPr>
            </w:pPr>
            <w:r w:rsidRPr="001F151E">
              <w:t>Increasing trend</w:t>
            </w:r>
          </w:p>
        </w:tc>
      </w:tr>
      <w:tr w:rsidR="00417E0B" w:rsidRPr="001F151E" w14:paraId="007FFBDB" w14:textId="77777777" w:rsidTr="002B7FF8">
        <w:tc>
          <w:tcPr>
            <w:tcW w:w="3114" w:type="dxa"/>
            <w:tcBorders>
              <w:top w:val="single" w:sz="4" w:space="0" w:color="auto"/>
              <w:left w:val="single" w:sz="4" w:space="0" w:color="auto"/>
              <w:bottom w:val="single" w:sz="4" w:space="0" w:color="auto"/>
              <w:right w:val="single" w:sz="4" w:space="0" w:color="auto"/>
            </w:tcBorders>
          </w:tcPr>
          <w:p w14:paraId="464DCC22" w14:textId="6B6616F8" w:rsidR="00417E0B" w:rsidRPr="001F151E" w:rsidRDefault="00417E0B" w:rsidP="00B45892">
            <w:pPr>
              <w:pStyle w:val="ListParagraph"/>
              <w:numPr>
                <w:ilvl w:val="0"/>
                <w:numId w:val="53"/>
              </w:numPr>
              <w:rPr>
                <w:sz w:val="16"/>
                <w:szCs w:val="16"/>
              </w:rPr>
            </w:pPr>
            <w:r w:rsidRPr="001F151E">
              <w:rPr>
                <w:bCs/>
                <w:sz w:val="16"/>
                <w:szCs w:val="16"/>
              </w:rPr>
              <w:t>National Single Window (NSW)</w:t>
            </w:r>
          </w:p>
        </w:tc>
        <w:tc>
          <w:tcPr>
            <w:tcW w:w="1180" w:type="dxa"/>
            <w:tcBorders>
              <w:top w:val="single" w:sz="4" w:space="0" w:color="auto"/>
              <w:left w:val="single" w:sz="4" w:space="0" w:color="auto"/>
              <w:bottom w:val="single" w:sz="4" w:space="0" w:color="auto"/>
              <w:right w:val="single" w:sz="4" w:space="0" w:color="auto"/>
            </w:tcBorders>
            <w:vAlign w:val="center"/>
          </w:tcPr>
          <w:p w14:paraId="319D20D9" w14:textId="562AAB69" w:rsidR="00417E0B" w:rsidRPr="001F151E" w:rsidRDefault="00C31BA7" w:rsidP="00417E0B">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7401FF45" w14:textId="3423E928" w:rsidR="00417E0B" w:rsidRPr="001F151E" w:rsidRDefault="00C31BA7" w:rsidP="00417E0B">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0BAADD20" w14:textId="2FB5380B" w:rsidR="00417E0B" w:rsidRPr="001F151E" w:rsidRDefault="00C31BA7" w:rsidP="00417E0B">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34F1CD32" w14:textId="14433044" w:rsidR="00417E0B" w:rsidRPr="001F151E" w:rsidRDefault="00C31BA7" w:rsidP="00417E0B">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3B59D653" w14:textId="1352BAF7" w:rsidR="00417E0B" w:rsidRPr="001F151E" w:rsidRDefault="00C31BA7" w:rsidP="00417E0B">
            <w:pPr>
              <w:pStyle w:val="T-normal"/>
              <w:jc w:val="center"/>
            </w:pPr>
            <w:r w:rsidRPr="001F151E">
              <w:t>2026</w:t>
            </w:r>
          </w:p>
        </w:tc>
      </w:tr>
      <w:tr w:rsidR="00417E0B" w:rsidRPr="001F151E" w14:paraId="2232BBA0" w14:textId="77777777" w:rsidTr="002B7FF8">
        <w:tc>
          <w:tcPr>
            <w:tcW w:w="3114" w:type="dxa"/>
            <w:tcBorders>
              <w:top w:val="single" w:sz="4" w:space="0" w:color="auto"/>
              <w:left w:val="single" w:sz="4" w:space="0" w:color="auto"/>
              <w:bottom w:val="single" w:sz="4" w:space="0" w:color="auto"/>
              <w:right w:val="single" w:sz="4" w:space="0" w:color="auto"/>
            </w:tcBorders>
          </w:tcPr>
          <w:p w14:paraId="019AA107" w14:textId="0F54A06D" w:rsidR="00417E0B" w:rsidRPr="001F151E" w:rsidRDefault="00417E0B" w:rsidP="00B45892">
            <w:pPr>
              <w:pStyle w:val="ListParagraph"/>
              <w:numPr>
                <w:ilvl w:val="0"/>
                <w:numId w:val="53"/>
              </w:numPr>
              <w:rPr>
                <w:bCs/>
                <w:sz w:val="16"/>
                <w:szCs w:val="16"/>
              </w:rPr>
            </w:pPr>
            <w:r w:rsidRPr="001F151E">
              <w:rPr>
                <w:bCs/>
                <w:sz w:val="16"/>
                <w:szCs w:val="16"/>
              </w:rPr>
              <w:t>New Computerised Transit System (NCTS)</w:t>
            </w:r>
          </w:p>
        </w:tc>
        <w:tc>
          <w:tcPr>
            <w:tcW w:w="1180" w:type="dxa"/>
            <w:tcBorders>
              <w:top w:val="single" w:sz="4" w:space="0" w:color="auto"/>
              <w:left w:val="single" w:sz="4" w:space="0" w:color="auto"/>
              <w:bottom w:val="single" w:sz="4" w:space="0" w:color="auto"/>
              <w:right w:val="single" w:sz="4" w:space="0" w:color="auto"/>
            </w:tcBorders>
            <w:vAlign w:val="center"/>
          </w:tcPr>
          <w:p w14:paraId="24203168" w14:textId="3BAFA76A" w:rsidR="00417E0B" w:rsidRPr="001F151E" w:rsidRDefault="00C31BA7" w:rsidP="00417E0B">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02142E8A" w14:textId="13C81399" w:rsidR="00417E0B" w:rsidRPr="001F151E" w:rsidRDefault="00C31BA7" w:rsidP="00417E0B">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5B4A153F" w14:textId="335FA8D1" w:rsidR="00417E0B" w:rsidRPr="001F151E" w:rsidRDefault="00C31BA7" w:rsidP="00417E0B">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41E016B" w14:textId="26A5A13F" w:rsidR="00417E0B" w:rsidRPr="001F151E" w:rsidRDefault="00C31BA7" w:rsidP="00417E0B">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E2951C4" w14:textId="1F2D8B8A" w:rsidR="00417E0B" w:rsidRPr="001F151E" w:rsidRDefault="00F04E9E" w:rsidP="00417E0B">
            <w:pPr>
              <w:pStyle w:val="T-normal"/>
              <w:jc w:val="center"/>
            </w:pPr>
            <w:r>
              <w:t>2026</w:t>
            </w:r>
          </w:p>
        </w:tc>
      </w:tr>
    </w:tbl>
    <w:p w14:paraId="5BBD5247" w14:textId="77777777" w:rsidR="00F75A43" w:rsidRPr="001F151E" w:rsidRDefault="00F75A43" w:rsidP="00A70F71">
      <w:pPr>
        <w:rPr>
          <w:lang w:val="en-GB"/>
        </w:rPr>
      </w:pPr>
    </w:p>
    <w:p w14:paraId="77BED98E" w14:textId="77777777" w:rsidR="002A75EC" w:rsidRDefault="002A75EC">
      <w:pPr>
        <w:spacing w:after="160" w:line="259" w:lineRule="auto"/>
        <w:rPr>
          <w:rFonts w:eastAsiaTheme="majorEastAsia" w:cstheme="majorBidi"/>
          <w:b/>
          <w:bCs/>
          <w:iCs/>
          <w:color w:val="0070C0"/>
          <w:sz w:val="26"/>
          <w:szCs w:val="26"/>
          <w:lang w:val="en-GB"/>
        </w:rPr>
      </w:pPr>
      <w:r>
        <w:rPr>
          <w:lang w:val="en-GB"/>
        </w:rPr>
        <w:br w:type="page"/>
      </w:r>
    </w:p>
    <w:p w14:paraId="339BCDA5" w14:textId="1BA08299" w:rsidR="002C447B" w:rsidRPr="001F151E" w:rsidRDefault="002C447B" w:rsidP="002C447B">
      <w:pPr>
        <w:pStyle w:val="Heading1"/>
        <w:rPr>
          <w:lang w:val="en-GB"/>
        </w:rPr>
      </w:pPr>
      <w:bookmarkStart w:id="42" w:name="_Toc163148025"/>
      <w:r w:rsidRPr="001F151E">
        <w:rPr>
          <w:lang w:val="en-GB"/>
        </w:rPr>
        <w:lastRenderedPageBreak/>
        <w:t xml:space="preserve">Pillar 4 </w:t>
      </w:r>
      <w:r w:rsidR="005C6F54" w:rsidRPr="001F151E">
        <w:rPr>
          <w:lang w:val="en-GB"/>
        </w:rPr>
        <w:t xml:space="preserve">Accounting and </w:t>
      </w:r>
      <w:r w:rsidRPr="001F151E">
        <w:rPr>
          <w:lang w:val="en-GB"/>
        </w:rPr>
        <w:t>Budget Execution Management</w:t>
      </w:r>
      <w:bookmarkEnd w:id="42"/>
      <w:r w:rsidR="00BA761C" w:rsidRPr="001F151E">
        <w:rPr>
          <w:lang w:val="en-GB"/>
        </w:rPr>
        <w:t xml:space="preserve"> </w:t>
      </w:r>
    </w:p>
    <w:p w14:paraId="7B2CF04E" w14:textId="77777777" w:rsidR="002C447B" w:rsidRPr="001F151E" w:rsidRDefault="002C447B" w:rsidP="002C447B">
      <w:pPr>
        <w:rPr>
          <w:lang w:val="en-GB"/>
        </w:rPr>
      </w:pPr>
    </w:p>
    <w:p w14:paraId="30E94C34" w14:textId="77777777" w:rsidR="005322F1" w:rsidRPr="001F151E" w:rsidRDefault="005322F1" w:rsidP="002C447B">
      <w:pPr>
        <w:rPr>
          <w:lang w:val="en-GB"/>
        </w:rPr>
      </w:pPr>
    </w:p>
    <w:p w14:paraId="5618E7D8" w14:textId="799082E8" w:rsidR="005322F1" w:rsidRPr="001F151E" w:rsidRDefault="005322F1" w:rsidP="00C96708">
      <w:pPr>
        <w:pStyle w:val="Heading2"/>
        <w:rPr>
          <w:lang w:val="en-GB"/>
        </w:rPr>
      </w:pPr>
      <w:bookmarkStart w:id="43" w:name="_Toc163148026"/>
      <w:r w:rsidRPr="001F151E">
        <w:rPr>
          <w:lang w:val="en-GB"/>
        </w:rPr>
        <w:t>Introduction</w:t>
      </w:r>
      <w:bookmarkEnd w:id="43"/>
    </w:p>
    <w:p w14:paraId="3174FEA4" w14:textId="77777777" w:rsidR="005322F1" w:rsidRPr="001F151E" w:rsidRDefault="005322F1" w:rsidP="00F75A43">
      <w:pPr>
        <w:rPr>
          <w:lang w:val="en-GB"/>
        </w:rPr>
      </w:pPr>
    </w:p>
    <w:p w14:paraId="2D1419B8" w14:textId="3CA3F0F2" w:rsidR="000E40BA" w:rsidRPr="001F151E" w:rsidRDefault="00F75A43" w:rsidP="00EA6F1D">
      <w:pPr>
        <w:spacing w:line="276" w:lineRule="auto"/>
        <w:jc w:val="both"/>
        <w:rPr>
          <w:lang w:val="en-GB"/>
        </w:rPr>
      </w:pPr>
      <w:r w:rsidRPr="001F151E">
        <w:rPr>
          <w:lang w:val="en-GB"/>
        </w:rPr>
        <w:t xml:space="preserve">Specific Objective 4 “Budget Execution Management and Accounting practices enhanced and aligned to International Standards and EU requirements” covers </w:t>
      </w:r>
      <w:r w:rsidR="00297283" w:rsidRPr="00297283">
        <w:rPr>
          <w:lang w:val="en-GB"/>
        </w:rPr>
        <w:t>National Government Accounts</w:t>
      </w:r>
      <w:r w:rsidR="00297283">
        <w:rPr>
          <w:lang w:val="en-GB"/>
        </w:rPr>
        <w:t xml:space="preserve">, </w:t>
      </w:r>
      <w:r w:rsidRPr="001F151E">
        <w:rPr>
          <w:lang w:val="en-GB"/>
        </w:rPr>
        <w:t>Accounting</w:t>
      </w:r>
      <w:r w:rsidR="00DE36B9">
        <w:rPr>
          <w:lang w:val="en-GB"/>
        </w:rPr>
        <w:t>,</w:t>
      </w:r>
      <w:r w:rsidRPr="001F151E">
        <w:rPr>
          <w:lang w:val="en-GB"/>
        </w:rPr>
        <w:t xml:space="preserve"> Public Procurement, Debt </w:t>
      </w:r>
      <w:r w:rsidR="00DE36B9">
        <w:rPr>
          <w:lang w:val="en-GB"/>
        </w:rPr>
        <w:t>M</w:t>
      </w:r>
      <w:r w:rsidR="00DE36B9" w:rsidRPr="001F151E">
        <w:rPr>
          <w:lang w:val="en-GB"/>
        </w:rPr>
        <w:t>anagement</w:t>
      </w:r>
      <w:r w:rsidR="00DE36B9">
        <w:rPr>
          <w:lang w:val="en-GB"/>
        </w:rPr>
        <w:t>, Cash M</w:t>
      </w:r>
      <w:r w:rsidRPr="001F151E">
        <w:rPr>
          <w:lang w:val="en-GB"/>
        </w:rPr>
        <w:t xml:space="preserve">anagement and Asset Management. </w:t>
      </w:r>
    </w:p>
    <w:p w14:paraId="12C8C4D5" w14:textId="77777777" w:rsidR="00F75A43" w:rsidRPr="001F151E" w:rsidRDefault="00F75A43" w:rsidP="00E24D63">
      <w:pPr>
        <w:pStyle w:val="H5"/>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9026"/>
      </w:tblGrid>
      <w:tr w:rsidR="00F75A43" w:rsidRPr="001F151E" w14:paraId="1B05D67E" w14:textId="77777777" w:rsidTr="008C25FA">
        <w:trPr>
          <w:trHeight w:val="8681"/>
        </w:trPr>
        <w:tc>
          <w:tcPr>
            <w:tcW w:w="9016" w:type="dxa"/>
            <w:shd w:val="clear" w:color="auto" w:fill="F2F2F2" w:themeFill="background1" w:themeFillShade="F2"/>
          </w:tcPr>
          <w:p w14:paraId="282FD97E" w14:textId="77777777" w:rsidR="003C2F64" w:rsidRPr="003C2F64" w:rsidRDefault="003C2F64" w:rsidP="003C2F64">
            <w:pPr>
              <w:pStyle w:val="T-normal"/>
              <w:spacing w:after="60" w:line="220" w:lineRule="exact"/>
              <w:rPr>
                <w:b/>
                <w:bCs/>
              </w:rPr>
            </w:pPr>
            <w:r w:rsidRPr="003C2F64">
              <w:rPr>
                <w:b/>
                <w:bCs/>
              </w:rPr>
              <w:t>Component 4.1 National Government Accounts</w:t>
            </w:r>
          </w:p>
          <w:p w14:paraId="4EB7727E" w14:textId="77777777" w:rsidR="003C2F64" w:rsidRPr="003C2F64" w:rsidRDefault="003C2F64" w:rsidP="003C2F64">
            <w:pPr>
              <w:pStyle w:val="T-normal"/>
              <w:spacing w:after="60" w:line="220" w:lineRule="exact"/>
            </w:pPr>
            <w:r w:rsidRPr="003C2F64">
              <w:t xml:space="preserve">Goal 2030: Fiscal statistics are compliant with EU standards. </w:t>
            </w:r>
          </w:p>
          <w:p w14:paraId="6EB01CB2" w14:textId="77777777" w:rsidR="003C2F64" w:rsidRPr="003C2F64" w:rsidRDefault="003C2F64" w:rsidP="003C2F64">
            <w:pPr>
              <w:pStyle w:val="T-normal"/>
              <w:spacing w:line="220" w:lineRule="exact"/>
            </w:pPr>
            <w:r w:rsidRPr="003C2F64">
              <w:t>Measure 2023-2026:</w:t>
            </w:r>
          </w:p>
          <w:p w14:paraId="79914F1A" w14:textId="4B21C057" w:rsidR="00297283" w:rsidRPr="003C2F64" w:rsidRDefault="00E12BBE" w:rsidP="003C2F64">
            <w:pPr>
              <w:pStyle w:val="T-bullet0"/>
              <w:spacing w:line="220" w:lineRule="exact"/>
            </w:pPr>
            <w:r>
              <w:t>Measure</w:t>
            </w:r>
            <w:r w:rsidRPr="003C2F64">
              <w:t xml:space="preserve"> </w:t>
            </w:r>
            <w:r w:rsidR="003C2F64" w:rsidRPr="003C2F64">
              <w:t>4.1.1 Further improve the GFS and EDP statistics with EU standards (ESA 2010).</w:t>
            </w:r>
          </w:p>
          <w:p w14:paraId="21549FFE" w14:textId="7D7C430A" w:rsidR="00F75A43" w:rsidRPr="001F151E" w:rsidRDefault="00F75A43" w:rsidP="008D573A">
            <w:pPr>
              <w:pStyle w:val="T-bold"/>
              <w:spacing w:after="60" w:line="220" w:lineRule="exact"/>
            </w:pPr>
            <w:r w:rsidRPr="001F151E">
              <w:t>Component 4.</w:t>
            </w:r>
            <w:r w:rsidR="00297283">
              <w:t>2</w:t>
            </w:r>
            <w:r w:rsidR="00297283" w:rsidRPr="001F151E">
              <w:t xml:space="preserve"> </w:t>
            </w:r>
            <w:r w:rsidRPr="001F151E">
              <w:t>Accounting</w:t>
            </w:r>
          </w:p>
          <w:p w14:paraId="04414AE8" w14:textId="36AE716A" w:rsidR="00BA6F74" w:rsidRPr="001F151E" w:rsidRDefault="00F75A43" w:rsidP="008D573A">
            <w:pPr>
              <w:spacing w:line="220" w:lineRule="exact"/>
              <w:rPr>
                <w:sz w:val="16"/>
                <w:szCs w:val="16"/>
              </w:rPr>
            </w:pPr>
            <w:r w:rsidRPr="00EB1BF0">
              <w:rPr>
                <w:sz w:val="16"/>
                <w:szCs w:val="16"/>
              </w:rPr>
              <w:t xml:space="preserve">Goal 2030: </w:t>
            </w:r>
            <w:r w:rsidR="00EB1BF0" w:rsidRPr="00EB1BF0">
              <w:rPr>
                <w:sz w:val="16"/>
                <w:szCs w:val="16"/>
              </w:rPr>
              <w:t>to prepare and publish (consolidated) financial statements in compliance with IPSAS, following the rollout of IPSAS to all central government Institutions</w:t>
            </w:r>
            <w:r w:rsidR="00BA6F74" w:rsidRPr="001F151E">
              <w:rPr>
                <w:sz w:val="16"/>
                <w:szCs w:val="16"/>
              </w:rPr>
              <w:t>:</w:t>
            </w:r>
          </w:p>
          <w:p w14:paraId="3E9656BB" w14:textId="05F8926F" w:rsidR="00F75A43" w:rsidRPr="001F151E" w:rsidRDefault="00EB1BF0" w:rsidP="008D573A">
            <w:pPr>
              <w:pStyle w:val="T-Bullet"/>
              <w:spacing w:line="220" w:lineRule="exact"/>
            </w:pPr>
            <w:r w:rsidRPr="001F151E">
              <w:t xml:space="preserve">Measure </w:t>
            </w:r>
            <w:r w:rsidR="00F75A43" w:rsidRPr="001F151E">
              <w:t>4.</w:t>
            </w:r>
            <w:r w:rsidR="00297283">
              <w:t>2</w:t>
            </w:r>
            <w:r w:rsidR="00F75A43" w:rsidRPr="001F151E">
              <w:t>.1 Increase access to and utilisation of AGFIS</w:t>
            </w:r>
            <w:r w:rsidR="007D1940" w:rsidRPr="001F151E">
              <w:t>;</w:t>
            </w:r>
          </w:p>
          <w:p w14:paraId="4F0C3B22" w14:textId="022F0485" w:rsidR="00F75A43" w:rsidRPr="001F151E" w:rsidRDefault="00EB1BF0" w:rsidP="008D573A">
            <w:pPr>
              <w:pStyle w:val="T-Bullet"/>
              <w:spacing w:line="220" w:lineRule="exact"/>
            </w:pPr>
            <w:r w:rsidRPr="001F151E">
              <w:t xml:space="preserve">Measure </w:t>
            </w:r>
            <w:r w:rsidR="00F75A43" w:rsidRPr="001F151E">
              <w:t>4.</w:t>
            </w:r>
            <w:r w:rsidR="00297283">
              <w:t>2</w:t>
            </w:r>
            <w:r w:rsidR="008A43FB">
              <w:t>.2</w:t>
            </w:r>
            <w:r w:rsidR="00F75A43" w:rsidRPr="001F151E">
              <w:t xml:space="preserve"> Develop the legal and regulatory framework for accounting reforms</w:t>
            </w:r>
            <w:r w:rsidR="007D1940" w:rsidRPr="001F151E">
              <w:t>;</w:t>
            </w:r>
          </w:p>
          <w:p w14:paraId="23455BDF" w14:textId="36C9DE6C" w:rsidR="00F75A43" w:rsidRPr="001F151E" w:rsidRDefault="00EB1BF0" w:rsidP="008D573A">
            <w:pPr>
              <w:pStyle w:val="T-Bullet"/>
              <w:spacing w:line="220" w:lineRule="exact"/>
            </w:pPr>
            <w:r w:rsidRPr="001F151E">
              <w:t xml:space="preserve">Measure </w:t>
            </w:r>
            <w:r w:rsidR="00F75A43" w:rsidRPr="001F151E">
              <w:t>4.</w:t>
            </w:r>
            <w:r w:rsidR="00297283">
              <w:t>2</w:t>
            </w:r>
            <w:r w:rsidR="008A43FB">
              <w:t>.3</w:t>
            </w:r>
            <w:r w:rsidR="00F75A43" w:rsidRPr="001F151E">
              <w:t xml:space="preserve"> Improve functionalities of AGFIS to absorb accounting reforms</w:t>
            </w:r>
            <w:r w:rsidR="007D1940" w:rsidRPr="001F151E">
              <w:t>;</w:t>
            </w:r>
          </w:p>
          <w:p w14:paraId="36E24FA8" w14:textId="70F8B8DC" w:rsidR="00F75A43" w:rsidRPr="001F151E" w:rsidRDefault="00EB1BF0" w:rsidP="008D573A">
            <w:pPr>
              <w:pStyle w:val="T-Bullet"/>
              <w:spacing w:line="220" w:lineRule="exact"/>
            </w:pPr>
            <w:r w:rsidRPr="001F151E">
              <w:t xml:space="preserve">Measure </w:t>
            </w:r>
            <w:r w:rsidR="00F75A43" w:rsidRPr="001F151E">
              <w:t>4.</w:t>
            </w:r>
            <w:r w:rsidR="00297283">
              <w:t>2</w:t>
            </w:r>
            <w:r w:rsidR="008A43FB">
              <w:t>.4</w:t>
            </w:r>
            <w:r w:rsidR="00F75A43" w:rsidRPr="001F151E">
              <w:t xml:space="preserve"> Prepare, deliver and institutionalise capacity development of accountants to absorb accounting reforms</w:t>
            </w:r>
            <w:r w:rsidR="007D1940" w:rsidRPr="001F151E">
              <w:t>.</w:t>
            </w:r>
          </w:p>
          <w:p w14:paraId="4B1FE6D3" w14:textId="77777777" w:rsidR="00F75A43" w:rsidRPr="001F151E" w:rsidRDefault="00F75A43" w:rsidP="008D573A">
            <w:pPr>
              <w:spacing w:line="220" w:lineRule="exact"/>
              <w:rPr>
                <w:sz w:val="16"/>
                <w:szCs w:val="16"/>
              </w:rPr>
            </w:pPr>
          </w:p>
          <w:p w14:paraId="2316AB1D" w14:textId="2B0E3803" w:rsidR="00F75A43" w:rsidRPr="001F151E" w:rsidRDefault="00F75A43" w:rsidP="008D573A">
            <w:pPr>
              <w:pStyle w:val="T-bold"/>
              <w:spacing w:after="60" w:line="220" w:lineRule="exact"/>
            </w:pPr>
            <w:r w:rsidRPr="001F151E">
              <w:t>Component 4.</w:t>
            </w:r>
            <w:r w:rsidR="00297283">
              <w:t>3</w:t>
            </w:r>
            <w:r w:rsidR="00297283" w:rsidRPr="001F151E">
              <w:t xml:space="preserve"> </w:t>
            </w:r>
            <w:r w:rsidRPr="001F151E">
              <w:t>Public Procurement</w:t>
            </w:r>
          </w:p>
          <w:p w14:paraId="4B225093" w14:textId="0823190C" w:rsidR="00A70F71" w:rsidRPr="001F151E" w:rsidRDefault="00A70F71" w:rsidP="008D573A">
            <w:pPr>
              <w:pStyle w:val="T-normal"/>
              <w:spacing w:after="60" w:line="220" w:lineRule="exact"/>
            </w:pPr>
            <w:r w:rsidRPr="001F151E">
              <w:t xml:space="preserve">Goal 2030: </w:t>
            </w:r>
            <w:r w:rsidR="00D25C34" w:rsidRPr="001F151E">
              <w:t>to guarantee an efficient and effective procurement system in accordance with the principles of transparency, free and fair competition, non-discrimination and equal treatment, by promoting and encouraging a sustainable system that guarantees value for money.</w:t>
            </w:r>
          </w:p>
          <w:p w14:paraId="0345860B" w14:textId="43FD9EE7" w:rsidR="00D25C34" w:rsidRPr="001F151E" w:rsidRDefault="00D25C34" w:rsidP="008D573A">
            <w:pPr>
              <w:pStyle w:val="T-Bullet"/>
              <w:numPr>
                <w:ilvl w:val="0"/>
                <w:numId w:val="0"/>
              </w:numPr>
              <w:spacing w:line="220" w:lineRule="exact"/>
              <w:ind w:left="360" w:hanging="360"/>
            </w:pPr>
            <w:r w:rsidRPr="001F151E">
              <w:t>Measures 2023-2026:</w:t>
            </w:r>
          </w:p>
          <w:p w14:paraId="5617A381" w14:textId="1038BC17" w:rsidR="00F75A43" w:rsidRPr="001F151E" w:rsidRDefault="00EB1BF0" w:rsidP="008D573A">
            <w:pPr>
              <w:pStyle w:val="T-Bullet"/>
              <w:spacing w:line="220" w:lineRule="exact"/>
            </w:pPr>
            <w:r w:rsidRPr="001F151E">
              <w:t xml:space="preserve">Measure </w:t>
            </w:r>
            <w:r w:rsidR="00F75A43" w:rsidRPr="001F151E">
              <w:t>4.</w:t>
            </w:r>
            <w:r w:rsidR="00297283">
              <w:t>3</w:t>
            </w:r>
            <w:r w:rsidR="00F75A43" w:rsidRPr="001F151E">
              <w:t>.</w:t>
            </w:r>
            <w:r w:rsidR="00D62E09" w:rsidRPr="001F151E">
              <w:t>1</w:t>
            </w:r>
            <w:r w:rsidR="00F75A43" w:rsidRPr="001F151E">
              <w:t xml:space="preserve"> </w:t>
            </w:r>
            <w:r w:rsidR="00830DA2" w:rsidRPr="00830DA2">
              <w:t>Improve quality and efficiency in procurement procedures</w:t>
            </w:r>
            <w:r w:rsidR="007D1940" w:rsidRPr="001F151E">
              <w:t>;</w:t>
            </w:r>
          </w:p>
          <w:p w14:paraId="63E85D02" w14:textId="1099C154" w:rsidR="00F75A43" w:rsidRPr="001F151E" w:rsidRDefault="00EB1BF0" w:rsidP="008D573A">
            <w:pPr>
              <w:pStyle w:val="T-Bullet"/>
              <w:spacing w:line="220" w:lineRule="exact"/>
            </w:pPr>
            <w:r w:rsidRPr="001F151E">
              <w:t xml:space="preserve">Measure </w:t>
            </w:r>
            <w:r w:rsidR="00D62E09" w:rsidRPr="001F151E">
              <w:t>4.</w:t>
            </w:r>
            <w:r w:rsidR="00297283">
              <w:t>3</w:t>
            </w:r>
            <w:r w:rsidR="00D62E09" w:rsidRPr="001F151E">
              <w:t>.2</w:t>
            </w:r>
            <w:r w:rsidR="00F75A43" w:rsidRPr="001F151E">
              <w:t xml:space="preserve"> Design and Implement green public procurement</w:t>
            </w:r>
            <w:r w:rsidR="007D1940" w:rsidRPr="001F151E">
              <w:t>;</w:t>
            </w:r>
          </w:p>
          <w:p w14:paraId="64450B10" w14:textId="42566E73" w:rsidR="00F75A43" w:rsidRPr="001F151E" w:rsidRDefault="00EB1BF0" w:rsidP="008D573A">
            <w:pPr>
              <w:pStyle w:val="T-Bullet"/>
              <w:spacing w:line="220" w:lineRule="exact"/>
            </w:pPr>
            <w:r w:rsidRPr="001F151E">
              <w:t xml:space="preserve">Measure </w:t>
            </w:r>
            <w:r w:rsidR="00D62E09" w:rsidRPr="001F151E">
              <w:t>4.</w:t>
            </w:r>
            <w:r w:rsidR="00297283">
              <w:t>3</w:t>
            </w:r>
            <w:r w:rsidR="00D62E09" w:rsidRPr="001F151E">
              <w:t>.3</w:t>
            </w:r>
            <w:r w:rsidR="00F75A43" w:rsidRPr="001F151E">
              <w:t xml:space="preserve"> Enhance the efficiency of the complaint review system by increasing the speed of decision-making</w:t>
            </w:r>
            <w:r w:rsidR="007D1940" w:rsidRPr="001F151E">
              <w:t>;</w:t>
            </w:r>
          </w:p>
          <w:p w14:paraId="31AA40B8" w14:textId="6439B2F2" w:rsidR="00BA6F74" w:rsidRPr="001F151E" w:rsidRDefault="00EB1BF0" w:rsidP="008D573A">
            <w:pPr>
              <w:pStyle w:val="T-Bullet"/>
              <w:spacing w:line="220" w:lineRule="exact"/>
            </w:pPr>
            <w:r w:rsidRPr="001F151E">
              <w:t xml:space="preserve">Measure </w:t>
            </w:r>
            <w:r w:rsidR="00D62E09" w:rsidRPr="001F151E">
              <w:t>4.</w:t>
            </w:r>
            <w:r w:rsidR="00297283">
              <w:t>3</w:t>
            </w:r>
            <w:r w:rsidR="00D62E09" w:rsidRPr="001F151E">
              <w:t>.4</w:t>
            </w:r>
            <w:r w:rsidR="00F75A43" w:rsidRPr="001F151E">
              <w:t xml:space="preserve"> Improve the legal and institutional framework for concessions and public-private partnership</w:t>
            </w:r>
            <w:r w:rsidR="007D1940" w:rsidRPr="001F151E">
              <w:t>.</w:t>
            </w:r>
          </w:p>
          <w:p w14:paraId="696B8000" w14:textId="77777777" w:rsidR="00BA6F74" w:rsidRPr="001F151E" w:rsidRDefault="00BA6F74" w:rsidP="008D573A">
            <w:pPr>
              <w:spacing w:line="220" w:lineRule="exact"/>
              <w:rPr>
                <w:sz w:val="16"/>
                <w:szCs w:val="16"/>
              </w:rPr>
            </w:pPr>
          </w:p>
          <w:p w14:paraId="1DF38099" w14:textId="1D29DBEC" w:rsidR="00F75A43" w:rsidRPr="001F151E" w:rsidRDefault="00F75A43" w:rsidP="008D573A">
            <w:pPr>
              <w:pStyle w:val="T-bold"/>
              <w:spacing w:after="60" w:line="220" w:lineRule="exact"/>
            </w:pPr>
            <w:r w:rsidRPr="001F151E">
              <w:t>Component 4.</w:t>
            </w:r>
            <w:r w:rsidR="00297283">
              <w:t>4</w:t>
            </w:r>
            <w:r w:rsidR="00297283" w:rsidRPr="001F151E">
              <w:t xml:space="preserve"> </w:t>
            </w:r>
            <w:r w:rsidRPr="001F151E">
              <w:t>Debt Management</w:t>
            </w:r>
          </w:p>
          <w:p w14:paraId="3636AD26" w14:textId="55F7E59B" w:rsidR="00D25C34" w:rsidRPr="001F151E" w:rsidRDefault="00D25C34" w:rsidP="008D573A">
            <w:pPr>
              <w:pStyle w:val="T-normal"/>
              <w:spacing w:after="60" w:line="220" w:lineRule="exact"/>
            </w:pPr>
            <w:r w:rsidRPr="001F151E">
              <w:t xml:space="preserve">Goal 2030: </w:t>
            </w:r>
            <w:r w:rsidR="00D56114" w:rsidRPr="001F151E">
              <w:t>to operate a comprehensive Debt Management System that ensures that the government’s financing needs and its debt payment obligations are met at the lowest possible cost over the medium to long term consistent with a prudent degree of risk.</w:t>
            </w:r>
          </w:p>
          <w:p w14:paraId="0C33FB80" w14:textId="08B05158" w:rsidR="00F75A43" w:rsidRPr="001F151E" w:rsidRDefault="00D25C34" w:rsidP="008D573A">
            <w:pPr>
              <w:pStyle w:val="T-Bullet"/>
              <w:numPr>
                <w:ilvl w:val="0"/>
                <w:numId w:val="0"/>
              </w:numPr>
              <w:spacing w:line="220" w:lineRule="exact"/>
              <w:ind w:left="360" w:hanging="360"/>
            </w:pPr>
            <w:r w:rsidRPr="001F151E">
              <w:t>Measures 2023-2026</w:t>
            </w:r>
            <w:r w:rsidR="008D573A" w:rsidRPr="001F151E">
              <w:t>:</w:t>
            </w:r>
          </w:p>
          <w:p w14:paraId="172FA5E6" w14:textId="69E6BFFA" w:rsidR="006F031A" w:rsidRPr="001F151E" w:rsidRDefault="006F031A" w:rsidP="006F031A">
            <w:pPr>
              <w:pStyle w:val="T-bullet0"/>
            </w:pPr>
            <w:r w:rsidRPr="001F151E">
              <w:t>Measure 4.</w:t>
            </w:r>
            <w:r w:rsidR="00297283">
              <w:t>4</w:t>
            </w:r>
            <w:r w:rsidRPr="001F151E">
              <w:t>.1 Strengthening of debt management reporting and Investor Relations</w:t>
            </w:r>
            <w:r w:rsidR="007D1940" w:rsidRPr="001F151E">
              <w:t>;</w:t>
            </w:r>
          </w:p>
          <w:p w14:paraId="19FC37AE" w14:textId="545FD274" w:rsidR="006F031A" w:rsidRPr="001F151E" w:rsidRDefault="006F031A" w:rsidP="006F031A">
            <w:pPr>
              <w:pStyle w:val="T-bullet0"/>
            </w:pPr>
            <w:r w:rsidRPr="001F151E">
              <w:t>Measure 4.</w:t>
            </w:r>
            <w:r w:rsidR="00297283">
              <w:t>4</w:t>
            </w:r>
            <w:r w:rsidRPr="001F151E">
              <w:t>.2 Developing a comprehensive framework for provision of guarantees and on-lending</w:t>
            </w:r>
            <w:r w:rsidR="007D1940" w:rsidRPr="001F151E">
              <w:t>;</w:t>
            </w:r>
          </w:p>
          <w:p w14:paraId="3536355D" w14:textId="7B1996E9" w:rsidR="00F75A43" w:rsidRPr="001F151E" w:rsidRDefault="006F031A" w:rsidP="003472DA">
            <w:pPr>
              <w:pStyle w:val="T-bullet0"/>
            </w:pPr>
            <w:r w:rsidRPr="001F151E">
              <w:t>Measure 4.</w:t>
            </w:r>
            <w:r w:rsidR="00297283">
              <w:t>4</w:t>
            </w:r>
            <w:r w:rsidRPr="001F151E">
              <w:t xml:space="preserve">.3 </w:t>
            </w:r>
            <w:r w:rsidR="00AE60FC">
              <w:t>G</w:t>
            </w:r>
            <w:r w:rsidR="00AE60FC" w:rsidRPr="001F151E">
              <w:t>radually</w:t>
            </w:r>
            <w:r w:rsidRPr="001F151E">
              <w:t xml:space="preserve"> start to develop the necessary assessment for the new alternative financing instruments ((Green, Social or Sustainability or other Instruments)</w:t>
            </w:r>
            <w:r w:rsidR="007D1940" w:rsidRPr="001F151E">
              <w:t>.</w:t>
            </w:r>
          </w:p>
          <w:p w14:paraId="105D6142" w14:textId="77777777" w:rsidR="006F031A" w:rsidRPr="001F151E" w:rsidRDefault="006F031A" w:rsidP="006F031A">
            <w:pPr>
              <w:pStyle w:val="T-bullet0"/>
              <w:numPr>
                <w:ilvl w:val="0"/>
                <w:numId w:val="0"/>
              </w:numPr>
            </w:pPr>
          </w:p>
          <w:p w14:paraId="6D1E367E" w14:textId="1FBF62A1" w:rsidR="00F75A43" w:rsidRPr="001F151E" w:rsidRDefault="00F75A43" w:rsidP="008D573A">
            <w:pPr>
              <w:pStyle w:val="T-bold"/>
              <w:spacing w:after="60" w:line="220" w:lineRule="exact"/>
            </w:pPr>
            <w:r w:rsidRPr="001F151E">
              <w:t>Component 4.</w:t>
            </w:r>
            <w:r w:rsidR="00297283">
              <w:t>5</w:t>
            </w:r>
            <w:r w:rsidR="00297283" w:rsidRPr="001F151E">
              <w:t xml:space="preserve"> </w:t>
            </w:r>
            <w:r w:rsidRPr="001F151E">
              <w:t>Cash Management</w:t>
            </w:r>
          </w:p>
          <w:p w14:paraId="4823F6CC" w14:textId="00D00F4C" w:rsidR="00EE481A" w:rsidRPr="001F151E" w:rsidRDefault="00D25C34" w:rsidP="008D573A">
            <w:pPr>
              <w:pStyle w:val="T-normal"/>
              <w:spacing w:after="60" w:line="220" w:lineRule="exact"/>
            </w:pPr>
            <w:r w:rsidRPr="001F151E">
              <w:t>Goal 2030:</w:t>
            </w:r>
            <w:r w:rsidR="00EE481A" w:rsidRPr="001F151E">
              <w:t xml:space="preserve"> The goal for 2030 is to have in place advanced cash planning and cash management systems to ensure efficient and effective treasury operations.</w:t>
            </w:r>
          </w:p>
          <w:p w14:paraId="35089AB8" w14:textId="35FF08BF" w:rsidR="00D25C34" w:rsidRPr="001F151E" w:rsidRDefault="00D25C34" w:rsidP="008D573A">
            <w:pPr>
              <w:pStyle w:val="T-Bullet"/>
              <w:numPr>
                <w:ilvl w:val="0"/>
                <w:numId w:val="0"/>
              </w:numPr>
              <w:spacing w:line="220" w:lineRule="exact"/>
              <w:ind w:left="360" w:hanging="360"/>
            </w:pPr>
            <w:r w:rsidRPr="001F151E">
              <w:t>Measures 2023-2026</w:t>
            </w:r>
            <w:r w:rsidR="00CB6B75" w:rsidRPr="001F151E">
              <w:t>:</w:t>
            </w:r>
          </w:p>
          <w:p w14:paraId="2D4D2DF7" w14:textId="0C37893E" w:rsidR="007D1940" w:rsidRPr="001F151E" w:rsidRDefault="007D1940" w:rsidP="007D1940">
            <w:pPr>
              <w:pStyle w:val="T-Bullet"/>
            </w:pPr>
            <w:r w:rsidRPr="001F151E">
              <w:t>Measure 4.</w:t>
            </w:r>
            <w:r w:rsidR="00297283">
              <w:t>5</w:t>
            </w:r>
            <w:r w:rsidRPr="001F151E">
              <w:t>.1 Improve cash forecasting process;</w:t>
            </w:r>
          </w:p>
          <w:p w14:paraId="04E91F6C" w14:textId="4998BF54" w:rsidR="007D1940" w:rsidRPr="001F151E" w:rsidRDefault="007D1940" w:rsidP="007D1940">
            <w:pPr>
              <w:pStyle w:val="T-Bullet"/>
            </w:pPr>
            <w:r w:rsidRPr="001F151E">
              <w:t>Measure 4.</w:t>
            </w:r>
            <w:r w:rsidR="00297283">
              <w:t>5</w:t>
            </w:r>
            <w:r w:rsidRPr="001F151E">
              <w:t>.2 Introduce a comprehensive performance monitoring system for cash forecasting;</w:t>
            </w:r>
          </w:p>
          <w:p w14:paraId="7E6718AB" w14:textId="03F0CF03" w:rsidR="007D1940" w:rsidRPr="001F151E" w:rsidRDefault="007D1940" w:rsidP="007D1940">
            <w:pPr>
              <w:pStyle w:val="T-Bullet"/>
            </w:pPr>
            <w:r w:rsidRPr="001F151E">
              <w:t>Measure 4.</w:t>
            </w:r>
            <w:r w:rsidR="00297283">
              <w:t>5</w:t>
            </w:r>
            <w:r w:rsidRPr="001F151E">
              <w:t>.3 Enhance cash management instruments.</w:t>
            </w:r>
          </w:p>
          <w:p w14:paraId="42B48CD6" w14:textId="77777777" w:rsidR="00F75A43" w:rsidRPr="001F151E" w:rsidRDefault="00F75A43" w:rsidP="008D573A">
            <w:pPr>
              <w:spacing w:line="220" w:lineRule="exact"/>
              <w:rPr>
                <w:sz w:val="16"/>
                <w:szCs w:val="16"/>
              </w:rPr>
            </w:pPr>
          </w:p>
          <w:p w14:paraId="384B13B6" w14:textId="4842633B" w:rsidR="00F75A43" w:rsidRPr="001F151E" w:rsidRDefault="00F75A43" w:rsidP="008D573A">
            <w:pPr>
              <w:pStyle w:val="T-bold"/>
              <w:spacing w:after="60" w:line="220" w:lineRule="exact"/>
            </w:pPr>
            <w:r w:rsidRPr="001F151E">
              <w:t>Component 4.</w:t>
            </w:r>
            <w:r w:rsidR="00297283">
              <w:t xml:space="preserve">6 </w:t>
            </w:r>
            <w:r w:rsidRPr="001F151E">
              <w:t>Asset Management</w:t>
            </w:r>
          </w:p>
          <w:p w14:paraId="3CC5B26F" w14:textId="7CF14A50" w:rsidR="00D25C34" w:rsidRPr="001F151E" w:rsidRDefault="00862499" w:rsidP="008D573A">
            <w:pPr>
              <w:pStyle w:val="T-normal"/>
              <w:spacing w:after="60" w:line="220" w:lineRule="exact"/>
            </w:pPr>
            <w:r w:rsidRPr="001F151E">
              <w:t>Goal 2030:</w:t>
            </w:r>
            <w:r w:rsidR="00BC1653" w:rsidRPr="001F151E">
              <w:t xml:space="preserve"> completed the procedures and systems for the registration and valuation of all public assets in accordance with the adopted accounting standards.</w:t>
            </w:r>
          </w:p>
          <w:p w14:paraId="5D27DAC4" w14:textId="13FF5889" w:rsidR="00D25C34" w:rsidRPr="001F151E" w:rsidRDefault="00D25C34" w:rsidP="008D573A">
            <w:pPr>
              <w:pStyle w:val="T-Bullet"/>
              <w:numPr>
                <w:ilvl w:val="0"/>
                <w:numId w:val="0"/>
              </w:numPr>
              <w:spacing w:line="220" w:lineRule="exact"/>
              <w:ind w:left="360" w:hanging="360"/>
            </w:pPr>
            <w:r w:rsidRPr="001F151E">
              <w:t>Measures 2023-2026</w:t>
            </w:r>
            <w:r w:rsidR="00CB6B75" w:rsidRPr="001F151E">
              <w:t>:</w:t>
            </w:r>
          </w:p>
          <w:p w14:paraId="73F86349" w14:textId="18674C3C" w:rsidR="00F75A43" w:rsidRPr="001F151E" w:rsidRDefault="00E12BBE" w:rsidP="008D573A">
            <w:pPr>
              <w:pStyle w:val="T-Bullet"/>
              <w:spacing w:line="220" w:lineRule="exact"/>
            </w:pPr>
            <w:r>
              <w:t>Measure</w:t>
            </w:r>
            <w:r w:rsidRPr="001F151E">
              <w:t xml:space="preserve"> </w:t>
            </w:r>
            <w:r w:rsidR="00F75A43" w:rsidRPr="001F151E">
              <w:t>4.</w:t>
            </w:r>
            <w:r w:rsidR="00297283">
              <w:t>6</w:t>
            </w:r>
            <w:r w:rsidR="00F75A43" w:rsidRPr="001F151E">
              <w:t>.1 Finalise reform on asset register module in AGFIS for accounting purposes</w:t>
            </w:r>
            <w:r w:rsidR="007D1940" w:rsidRPr="001F151E">
              <w:t>.</w:t>
            </w:r>
          </w:p>
        </w:tc>
      </w:tr>
    </w:tbl>
    <w:p w14:paraId="6772124C" w14:textId="77777777" w:rsidR="00A97DF3" w:rsidRPr="001F151E" w:rsidRDefault="00A97DF3" w:rsidP="00CA65A6">
      <w:pPr>
        <w:rPr>
          <w:lang w:val="en-GB"/>
        </w:rPr>
      </w:pPr>
    </w:p>
    <w:p w14:paraId="7AA62A69" w14:textId="47B7489E" w:rsidR="00297283" w:rsidRPr="001F151E" w:rsidRDefault="00297283" w:rsidP="00297283">
      <w:pPr>
        <w:pStyle w:val="Heading2"/>
        <w:rPr>
          <w:lang w:val="en-GB"/>
        </w:rPr>
      </w:pPr>
      <w:bookmarkStart w:id="44" w:name="_Toc163148027"/>
      <w:r>
        <w:rPr>
          <w:lang w:val="en-GB"/>
        </w:rPr>
        <w:lastRenderedPageBreak/>
        <w:t>Component 4.1</w:t>
      </w:r>
      <w:r w:rsidRPr="001F151E">
        <w:rPr>
          <w:lang w:val="en-GB"/>
        </w:rPr>
        <w:t xml:space="preserve"> National Government Accounts</w:t>
      </w:r>
      <w:bookmarkEnd w:id="44"/>
    </w:p>
    <w:p w14:paraId="53B5F0A2" w14:textId="77777777" w:rsidR="00297283" w:rsidRPr="001F151E" w:rsidRDefault="00297283" w:rsidP="00297283">
      <w:pPr>
        <w:rPr>
          <w:lang w:val="en-GB"/>
        </w:rPr>
      </w:pPr>
    </w:p>
    <w:p w14:paraId="0DB934E8" w14:textId="77777777" w:rsidR="00345678" w:rsidRPr="001F151E" w:rsidRDefault="00345678" w:rsidP="00345678">
      <w:pPr>
        <w:pStyle w:val="H5"/>
        <w:rPr>
          <w:lang w:val="en-GB"/>
        </w:rPr>
      </w:pPr>
      <w:bookmarkStart w:id="45" w:name="_Toc152719053"/>
      <w:r w:rsidRPr="001F151E">
        <w:rPr>
          <w:lang w:val="en-GB"/>
        </w:rPr>
        <w:t>Objective</w:t>
      </w:r>
    </w:p>
    <w:p w14:paraId="152F4D86" w14:textId="77777777" w:rsidR="00345678" w:rsidRPr="00345678" w:rsidRDefault="00345678" w:rsidP="00345678">
      <w:pPr>
        <w:spacing w:line="276" w:lineRule="auto"/>
        <w:jc w:val="both"/>
        <w:rPr>
          <w:lang w:val="en-GB"/>
        </w:rPr>
      </w:pPr>
      <w:r w:rsidRPr="001F151E">
        <w:rPr>
          <w:lang w:val="en-GB"/>
        </w:rPr>
        <w:t xml:space="preserve">The goal for 2030 is to ensure that the Government Finance Statistics (GFS) and Excessive Deficit Procedure (EDP) statistics </w:t>
      </w:r>
      <w:r w:rsidRPr="00345678">
        <w:rPr>
          <w:lang w:val="en-GB"/>
        </w:rPr>
        <w:t>are in line with EU standards (ESA 2010).</w:t>
      </w:r>
    </w:p>
    <w:p w14:paraId="52BDCBB8" w14:textId="77777777" w:rsidR="00345678" w:rsidRPr="00345678" w:rsidRDefault="00345678" w:rsidP="00345678">
      <w:pPr>
        <w:spacing w:line="276" w:lineRule="auto"/>
        <w:jc w:val="both"/>
        <w:rPr>
          <w:lang w:val="en-GB"/>
        </w:rPr>
      </w:pPr>
    </w:p>
    <w:p w14:paraId="563D3AF8" w14:textId="77777777" w:rsidR="00345678" w:rsidRPr="00345678" w:rsidRDefault="00345678" w:rsidP="00345678">
      <w:pPr>
        <w:pStyle w:val="H5"/>
        <w:spacing w:line="276" w:lineRule="auto"/>
        <w:jc w:val="both"/>
        <w:rPr>
          <w:lang w:val="en-GB"/>
        </w:rPr>
      </w:pPr>
      <w:r w:rsidRPr="00345678">
        <w:rPr>
          <w:lang w:val="en-GB"/>
        </w:rPr>
        <w:t xml:space="preserve">Context </w:t>
      </w:r>
    </w:p>
    <w:p w14:paraId="716904BA" w14:textId="6F45E4AD" w:rsidR="009F3791" w:rsidRDefault="00345678" w:rsidP="00345678">
      <w:pPr>
        <w:spacing w:line="276" w:lineRule="auto"/>
        <w:jc w:val="both"/>
        <w:rPr>
          <w:lang w:val="en-GB"/>
        </w:rPr>
      </w:pPr>
      <w:r w:rsidRPr="00345678">
        <w:rPr>
          <w:lang w:val="en-GB"/>
        </w:rPr>
        <w:t>The main data source used for the compilation of Government Finance Statistics are: (i) Albania Government Financial Information System (AGFIS) for data related to budgetary units and to some extent other units were government is involved</w:t>
      </w:r>
      <w:bookmarkStart w:id="46" w:name="_Hlk157426074"/>
      <w:r w:rsidRPr="00345678">
        <w:rPr>
          <w:rStyle w:val="FootnoteReference"/>
          <w:lang w:val="en-GB"/>
        </w:rPr>
        <w:footnoteReference w:id="46"/>
      </w:r>
      <w:bookmarkEnd w:id="46"/>
      <w:r w:rsidRPr="00345678">
        <w:rPr>
          <w:lang w:val="en-GB"/>
        </w:rPr>
        <w:t xml:space="preserve"> and (ii) financial statements and other data sources for extra-budgetary units. INSTAT is supported by Eurostat for aligning Government Finance Statistics (GFS) with EU requirements and regularly transmits GFS tables and Excessive Deficit Procedure tables</w:t>
      </w:r>
      <w:bookmarkStart w:id="47" w:name="_Hlk157426165"/>
      <w:r w:rsidRPr="00345678">
        <w:rPr>
          <w:rStyle w:val="FootnoteReference"/>
          <w:lang w:val="en-GB"/>
        </w:rPr>
        <w:footnoteReference w:id="47"/>
      </w:r>
      <w:bookmarkEnd w:id="47"/>
      <w:r w:rsidRPr="00345678">
        <w:rPr>
          <w:lang w:val="en-GB"/>
        </w:rPr>
        <w:t xml:space="preserve"> to Eurostat and with the status “not for publication”. Currently, there is a need to further improve the GFS and EDP statistics to be in line with international standards and the ESA 2010 methodology. The </w:t>
      </w:r>
      <w:r w:rsidR="00870DCB">
        <w:rPr>
          <w:lang w:val="en-GB"/>
        </w:rPr>
        <w:t>Five-Year</w:t>
      </w:r>
      <w:r w:rsidRPr="00345678">
        <w:rPr>
          <w:lang w:val="en-GB"/>
        </w:rPr>
        <w:t xml:space="preserve"> Official Statistics Programme (OSP) 2022–2026</w:t>
      </w:r>
      <w:bookmarkStart w:id="48" w:name="_Hlk157426241"/>
      <w:r w:rsidRPr="00345678">
        <w:rPr>
          <w:rStyle w:val="FootnoteReference"/>
          <w:lang w:val="en-GB"/>
        </w:rPr>
        <w:footnoteReference w:id="48"/>
      </w:r>
      <w:bookmarkEnd w:id="48"/>
      <w:r w:rsidRPr="00345678">
        <w:rPr>
          <w:lang w:val="en-GB"/>
        </w:rPr>
        <w:t xml:space="preserve"> </w:t>
      </w:r>
      <w:r w:rsidR="00870DCB">
        <w:rPr>
          <w:lang w:val="en-GB"/>
        </w:rPr>
        <w:t xml:space="preserve">approved by the Assembly of the Republic of Albania, </w:t>
      </w:r>
      <w:r w:rsidRPr="00345678">
        <w:rPr>
          <w:lang w:val="en-GB"/>
        </w:rPr>
        <w:t xml:space="preserve">presents the strategy for the development of official statistics and the national statistical system, including the improvement of the GFS. </w:t>
      </w:r>
      <w:r w:rsidR="00A23AFD">
        <w:rPr>
          <w:lang w:val="en-GB"/>
        </w:rPr>
        <w:t xml:space="preserve">The Memorandum of Cooperation between INSTAT, the Ministry of Finance and the Bank of Albania for the </w:t>
      </w:r>
      <w:r w:rsidR="00A23AFD" w:rsidRPr="00345678">
        <w:rPr>
          <w:lang w:val="en-GB"/>
        </w:rPr>
        <w:t xml:space="preserve">Government Finance Statistics </w:t>
      </w:r>
      <w:r w:rsidR="00A23AFD">
        <w:rPr>
          <w:lang w:val="en-GB"/>
        </w:rPr>
        <w:t xml:space="preserve">and the Tables of the Excessive Deficit Procedure includes the obligations and responsibilities of each institution which are regulated by legal acts </w:t>
      </w:r>
      <w:r w:rsidR="004F4FAC">
        <w:rPr>
          <w:lang w:val="en-GB"/>
        </w:rPr>
        <w:t>of the European Union in the field of the production of Government Finance Statistic and reporting of the Excessive Deficit Procedure.</w:t>
      </w:r>
      <w:r w:rsidR="00A23AFD">
        <w:rPr>
          <w:lang w:val="en-GB"/>
        </w:rPr>
        <w:t xml:space="preserve">  </w:t>
      </w:r>
    </w:p>
    <w:p w14:paraId="17C96DF9" w14:textId="77777777" w:rsidR="00345678" w:rsidRPr="00345678" w:rsidRDefault="00345678" w:rsidP="00345678">
      <w:pPr>
        <w:spacing w:line="276" w:lineRule="auto"/>
        <w:jc w:val="both"/>
        <w:rPr>
          <w:lang w:val="en-GB"/>
        </w:rPr>
      </w:pPr>
    </w:p>
    <w:p w14:paraId="258CB762" w14:textId="77777777" w:rsidR="00345678" w:rsidRPr="00345678" w:rsidRDefault="00345678" w:rsidP="00345678">
      <w:pPr>
        <w:pStyle w:val="H5"/>
        <w:spacing w:line="276" w:lineRule="auto"/>
        <w:jc w:val="both"/>
        <w:rPr>
          <w:lang w:val="en-GB"/>
        </w:rPr>
      </w:pPr>
      <w:r w:rsidRPr="00345678">
        <w:rPr>
          <w:lang w:val="en-GB"/>
        </w:rPr>
        <w:t>Priorities</w:t>
      </w:r>
    </w:p>
    <w:p w14:paraId="226400D9" w14:textId="77777777" w:rsidR="00345678" w:rsidRPr="00345678" w:rsidRDefault="00345678" w:rsidP="00345678">
      <w:pPr>
        <w:spacing w:line="276" w:lineRule="auto"/>
        <w:jc w:val="both"/>
        <w:rPr>
          <w:lang w:val="en-GB"/>
        </w:rPr>
      </w:pPr>
      <w:r w:rsidRPr="00345678">
        <w:rPr>
          <w:lang w:val="en-GB"/>
        </w:rPr>
        <w:t>The priorities for the period 2023-2026 are:</w:t>
      </w:r>
    </w:p>
    <w:p w14:paraId="71813AED" w14:textId="77777777" w:rsidR="00345678" w:rsidRPr="00345678" w:rsidRDefault="00345678" w:rsidP="00345678">
      <w:pPr>
        <w:pStyle w:val="N-Bullet"/>
        <w:spacing w:line="276" w:lineRule="auto"/>
        <w:jc w:val="both"/>
        <w:rPr>
          <w:lang w:val="en-GB"/>
        </w:rPr>
      </w:pPr>
      <w:r w:rsidRPr="00345678">
        <w:rPr>
          <w:lang w:val="en-GB"/>
        </w:rPr>
        <w:t>Increasing the level of alignment of GFS and EDP Statistics following ESA 2010 methodology</w:t>
      </w:r>
      <w:r w:rsidRPr="00345678">
        <w:rPr>
          <w:rFonts w:eastAsia="Times New Roman"/>
          <w:bCs/>
          <w:lang w:val="en-GB"/>
        </w:rPr>
        <w:t>;</w:t>
      </w:r>
    </w:p>
    <w:p w14:paraId="05BE9BD9" w14:textId="77777777" w:rsidR="00345678" w:rsidRPr="00345678" w:rsidRDefault="00345678" w:rsidP="00345678">
      <w:pPr>
        <w:pStyle w:val="N-Bullet"/>
        <w:tabs>
          <w:tab w:val="left" w:pos="8640"/>
        </w:tabs>
        <w:spacing w:line="276" w:lineRule="auto"/>
        <w:jc w:val="both"/>
        <w:rPr>
          <w:b/>
          <w:bCs/>
          <w:color w:val="0070C0"/>
          <w:lang w:val="en-GB"/>
        </w:rPr>
      </w:pPr>
      <w:r w:rsidRPr="00345678">
        <w:rPr>
          <w:lang w:val="en-GB"/>
        </w:rPr>
        <w:t>To transmit the GFS and EDP tables to Eurostat following ESA 2010 Transmission Programme.</w:t>
      </w:r>
    </w:p>
    <w:p w14:paraId="7C6D9025" w14:textId="77777777" w:rsidR="00345678" w:rsidRPr="00345678" w:rsidRDefault="00345678" w:rsidP="00345678">
      <w:pPr>
        <w:pStyle w:val="H5"/>
        <w:rPr>
          <w:lang w:val="en-GB"/>
        </w:rPr>
      </w:pPr>
    </w:p>
    <w:p w14:paraId="123FE41D" w14:textId="77777777" w:rsidR="00345678" w:rsidRPr="00345678" w:rsidRDefault="00345678" w:rsidP="00345678">
      <w:pPr>
        <w:pStyle w:val="H5"/>
        <w:rPr>
          <w:lang w:val="en-GB"/>
        </w:rPr>
      </w:pPr>
      <w:r w:rsidRPr="00345678">
        <w:rPr>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18"/>
        <w:gridCol w:w="3637"/>
        <w:gridCol w:w="794"/>
        <w:gridCol w:w="794"/>
        <w:gridCol w:w="1773"/>
      </w:tblGrid>
      <w:tr w:rsidR="00345678" w:rsidRPr="00345678" w14:paraId="43675CD0" w14:textId="77777777" w:rsidTr="00086262">
        <w:trPr>
          <w:trHeight w:val="182"/>
          <w:tblHeader/>
        </w:trPr>
        <w:tc>
          <w:tcPr>
            <w:tcW w:w="2018" w:type="dxa"/>
            <w:shd w:val="clear" w:color="auto" w:fill="D9D9D9" w:themeFill="background1" w:themeFillShade="D9"/>
          </w:tcPr>
          <w:p w14:paraId="381EEC00" w14:textId="77777777" w:rsidR="00345678" w:rsidRPr="00345678" w:rsidRDefault="00345678" w:rsidP="00086262">
            <w:pPr>
              <w:pStyle w:val="T-bold"/>
              <w:spacing w:line="288" w:lineRule="auto"/>
            </w:pPr>
            <w:r w:rsidRPr="00345678">
              <w:t>Measure</w:t>
            </w:r>
          </w:p>
        </w:tc>
        <w:tc>
          <w:tcPr>
            <w:tcW w:w="3637" w:type="dxa"/>
            <w:shd w:val="clear" w:color="auto" w:fill="D9D9D9" w:themeFill="background1" w:themeFillShade="D9"/>
          </w:tcPr>
          <w:p w14:paraId="15509013" w14:textId="77777777" w:rsidR="00345678" w:rsidRPr="00345678" w:rsidRDefault="00345678" w:rsidP="00086262">
            <w:pPr>
              <w:pStyle w:val="T-bold"/>
              <w:spacing w:line="288" w:lineRule="auto"/>
            </w:pPr>
            <w:r w:rsidRPr="00345678">
              <w:t>Activity</w:t>
            </w:r>
          </w:p>
        </w:tc>
        <w:tc>
          <w:tcPr>
            <w:tcW w:w="794" w:type="dxa"/>
            <w:shd w:val="clear" w:color="auto" w:fill="D9D9D9" w:themeFill="background1" w:themeFillShade="D9"/>
          </w:tcPr>
          <w:p w14:paraId="4EB3D4BC" w14:textId="77777777" w:rsidR="00345678" w:rsidRPr="00345678" w:rsidRDefault="00345678" w:rsidP="00086262">
            <w:pPr>
              <w:pStyle w:val="T-bold"/>
              <w:spacing w:line="288" w:lineRule="auto"/>
              <w:jc w:val="center"/>
            </w:pPr>
            <w:r w:rsidRPr="00345678">
              <w:t>Start</w:t>
            </w:r>
          </w:p>
        </w:tc>
        <w:tc>
          <w:tcPr>
            <w:tcW w:w="794" w:type="dxa"/>
            <w:shd w:val="clear" w:color="auto" w:fill="D9D9D9" w:themeFill="background1" w:themeFillShade="D9"/>
          </w:tcPr>
          <w:p w14:paraId="63F51419" w14:textId="77777777" w:rsidR="00345678" w:rsidRPr="00345678" w:rsidRDefault="00345678" w:rsidP="00086262">
            <w:pPr>
              <w:pStyle w:val="T-bold"/>
              <w:spacing w:line="288" w:lineRule="auto"/>
              <w:jc w:val="center"/>
            </w:pPr>
            <w:r w:rsidRPr="00345678">
              <w:t>End</w:t>
            </w:r>
          </w:p>
        </w:tc>
        <w:tc>
          <w:tcPr>
            <w:tcW w:w="1773" w:type="dxa"/>
            <w:shd w:val="clear" w:color="auto" w:fill="D9D9D9" w:themeFill="background1" w:themeFillShade="D9"/>
          </w:tcPr>
          <w:p w14:paraId="4C110130" w14:textId="77777777" w:rsidR="00345678" w:rsidRPr="00345678" w:rsidRDefault="00345678" w:rsidP="00086262">
            <w:pPr>
              <w:pStyle w:val="T-bold"/>
              <w:spacing w:line="288" w:lineRule="auto"/>
            </w:pPr>
            <w:r w:rsidRPr="00345678">
              <w:t>Stakeholders</w:t>
            </w:r>
          </w:p>
        </w:tc>
      </w:tr>
      <w:tr w:rsidR="00345678" w:rsidRPr="00345678" w14:paraId="55C98CC7" w14:textId="77777777" w:rsidTr="00086262">
        <w:trPr>
          <w:trHeight w:val="662"/>
        </w:trPr>
        <w:tc>
          <w:tcPr>
            <w:tcW w:w="2018" w:type="dxa"/>
            <w:vMerge w:val="restart"/>
            <w:shd w:val="clear" w:color="auto" w:fill="auto"/>
          </w:tcPr>
          <w:p w14:paraId="6F607140" w14:textId="77777777" w:rsidR="00345678" w:rsidRPr="00345678" w:rsidRDefault="00345678" w:rsidP="00086262">
            <w:pPr>
              <w:pStyle w:val="EcorysBody"/>
              <w:rPr>
                <w:rFonts w:ascii="Arial" w:eastAsia="Times New Roman" w:hAnsi="Arial" w:cs="Arial"/>
                <w:b/>
                <w:bCs/>
                <w:sz w:val="16"/>
                <w:szCs w:val="16"/>
              </w:rPr>
            </w:pPr>
            <w:r w:rsidRPr="00345678">
              <w:rPr>
                <w:rFonts w:ascii="Arial" w:hAnsi="Arial" w:cs="Arial"/>
                <w:b/>
                <w:bCs/>
                <w:sz w:val="16"/>
                <w:szCs w:val="16"/>
              </w:rPr>
              <w:t xml:space="preserve">Measure 4.1.1 </w:t>
            </w:r>
            <w:r w:rsidRPr="00345678">
              <w:rPr>
                <w:rFonts w:ascii="Arial" w:eastAsia="Times New Roman" w:hAnsi="Arial" w:cs="Arial"/>
                <w:b/>
                <w:bCs/>
                <w:sz w:val="16"/>
                <w:szCs w:val="16"/>
              </w:rPr>
              <w:t>Further improve the GFS and EDP statistics with EU standards (ESA 2010)</w:t>
            </w:r>
          </w:p>
        </w:tc>
        <w:tc>
          <w:tcPr>
            <w:tcW w:w="3637" w:type="dxa"/>
            <w:vAlign w:val="center"/>
          </w:tcPr>
          <w:p w14:paraId="61E58E59" w14:textId="7A640035" w:rsidR="00345678" w:rsidRPr="00345678" w:rsidRDefault="00A45CB4" w:rsidP="00086262">
            <w:pPr>
              <w:pStyle w:val="ListParagraph"/>
              <w:numPr>
                <w:ilvl w:val="0"/>
                <w:numId w:val="17"/>
              </w:numPr>
              <w:autoSpaceDE w:val="0"/>
              <w:autoSpaceDN w:val="0"/>
              <w:adjustRightInd w:val="0"/>
              <w:rPr>
                <w:rFonts w:eastAsia="Times New Roman"/>
                <w:bCs/>
                <w:sz w:val="16"/>
                <w:szCs w:val="16"/>
              </w:rPr>
            </w:pPr>
            <w:r>
              <w:rPr>
                <w:rFonts w:eastAsia="Times New Roman"/>
                <w:bCs/>
                <w:sz w:val="16"/>
                <w:szCs w:val="16"/>
              </w:rPr>
              <w:t>Invest</w:t>
            </w:r>
            <w:r w:rsidR="00870DCB">
              <w:rPr>
                <w:rFonts w:eastAsia="Times New Roman"/>
                <w:bCs/>
                <w:sz w:val="16"/>
                <w:szCs w:val="16"/>
              </w:rPr>
              <w:t>ment</w:t>
            </w:r>
            <w:r>
              <w:rPr>
                <w:rFonts w:eastAsia="Times New Roman"/>
                <w:bCs/>
                <w:sz w:val="16"/>
                <w:szCs w:val="16"/>
              </w:rPr>
              <w:t xml:space="preserve"> in the </w:t>
            </w:r>
            <w:r w:rsidR="00870DCB">
              <w:rPr>
                <w:rFonts w:eastAsia="Times New Roman"/>
                <w:bCs/>
                <w:sz w:val="16"/>
                <w:szCs w:val="16"/>
              </w:rPr>
              <w:t>construction of the information exchange system</w:t>
            </w:r>
            <w:r w:rsidR="00345678" w:rsidRPr="00345678">
              <w:rPr>
                <w:rFonts w:eastAsia="Times New Roman"/>
                <w:bCs/>
                <w:sz w:val="16"/>
                <w:szCs w:val="16"/>
              </w:rPr>
              <w:t xml:space="preserve"> </w:t>
            </w:r>
            <w:r w:rsidR="00870DCB">
              <w:rPr>
                <w:rFonts w:eastAsia="Times New Roman"/>
                <w:bCs/>
                <w:sz w:val="16"/>
                <w:szCs w:val="16"/>
              </w:rPr>
              <w:t>(</w:t>
            </w:r>
            <w:r w:rsidR="00345678" w:rsidRPr="00345678">
              <w:rPr>
                <w:rFonts w:eastAsia="Times New Roman"/>
                <w:bCs/>
                <w:sz w:val="16"/>
                <w:szCs w:val="16"/>
              </w:rPr>
              <w:t>web service</w:t>
            </w:r>
            <w:r w:rsidR="00870DCB">
              <w:rPr>
                <w:rFonts w:eastAsia="Times New Roman"/>
                <w:bCs/>
                <w:sz w:val="16"/>
                <w:szCs w:val="16"/>
              </w:rPr>
              <w:t>)</w:t>
            </w:r>
            <w:r w:rsidR="00345678" w:rsidRPr="00345678">
              <w:rPr>
                <w:rFonts w:eastAsia="Times New Roman"/>
                <w:bCs/>
                <w:sz w:val="16"/>
                <w:szCs w:val="16"/>
              </w:rPr>
              <w:t xml:space="preserve"> which will facilitate the exchange of data between MoF, INSTAT and the Bank of Albania. </w:t>
            </w:r>
          </w:p>
        </w:tc>
        <w:tc>
          <w:tcPr>
            <w:tcW w:w="794" w:type="dxa"/>
            <w:shd w:val="clear" w:color="auto" w:fill="auto"/>
            <w:vAlign w:val="center"/>
          </w:tcPr>
          <w:p w14:paraId="3E92CDF7" w14:textId="7A29457E" w:rsidR="00345678" w:rsidRPr="00345678" w:rsidRDefault="00345678" w:rsidP="00870DCB">
            <w:pPr>
              <w:jc w:val="center"/>
              <w:rPr>
                <w:sz w:val="16"/>
                <w:szCs w:val="16"/>
              </w:rPr>
            </w:pPr>
            <w:r w:rsidRPr="00345678">
              <w:rPr>
                <w:sz w:val="16"/>
                <w:szCs w:val="16"/>
              </w:rPr>
              <w:t>Q1 202</w:t>
            </w:r>
            <w:r w:rsidR="00870DCB">
              <w:rPr>
                <w:sz w:val="16"/>
                <w:szCs w:val="16"/>
              </w:rPr>
              <w:t>5</w:t>
            </w:r>
          </w:p>
        </w:tc>
        <w:tc>
          <w:tcPr>
            <w:tcW w:w="794" w:type="dxa"/>
            <w:vAlign w:val="center"/>
          </w:tcPr>
          <w:p w14:paraId="20F44A35" w14:textId="0C2C6DAD" w:rsidR="00345678" w:rsidRPr="00345678" w:rsidRDefault="00345678" w:rsidP="00870DCB">
            <w:pPr>
              <w:jc w:val="center"/>
              <w:rPr>
                <w:sz w:val="16"/>
                <w:szCs w:val="16"/>
              </w:rPr>
            </w:pPr>
            <w:r w:rsidRPr="00345678">
              <w:rPr>
                <w:sz w:val="16"/>
                <w:szCs w:val="16"/>
              </w:rPr>
              <w:t>Q4 202</w:t>
            </w:r>
            <w:r w:rsidR="00870DCB">
              <w:rPr>
                <w:sz w:val="16"/>
                <w:szCs w:val="16"/>
              </w:rPr>
              <w:t>6</w:t>
            </w:r>
          </w:p>
        </w:tc>
        <w:tc>
          <w:tcPr>
            <w:tcW w:w="1773" w:type="dxa"/>
            <w:vMerge w:val="restart"/>
          </w:tcPr>
          <w:p w14:paraId="56CFA60C" w14:textId="77777777" w:rsidR="00345678" w:rsidRPr="00345678" w:rsidRDefault="00345678" w:rsidP="00086262">
            <w:pPr>
              <w:rPr>
                <w:b/>
                <w:bCs/>
                <w:sz w:val="16"/>
                <w:szCs w:val="16"/>
              </w:rPr>
            </w:pPr>
            <w:r w:rsidRPr="00345678">
              <w:rPr>
                <w:b/>
                <w:bCs/>
                <w:sz w:val="16"/>
                <w:szCs w:val="16"/>
              </w:rPr>
              <w:t>Responsible entity:</w:t>
            </w:r>
          </w:p>
          <w:p w14:paraId="77220F8B" w14:textId="77777777" w:rsidR="00345678" w:rsidRPr="00345678" w:rsidRDefault="00345678" w:rsidP="00086262">
            <w:pPr>
              <w:rPr>
                <w:sz w:val="16"/>
                <w:szCs w:val="16"/>
              </w:rPr>
            </w:pPr>
            <w:r w:rsidRPr="00345678">
              <w:rPr>
                <w:sz w:val="16"/>
                <w:szCs w:val="16"/>
              </w:rPr>
              <w:t xml:space="preserve">INSTAT (lead), </w:t>
            </w:r>
            <w:r w:rsidRPr="00345678">
              <w:rPr>
                <w:rFonts w:eastAsia="Times New Roman"/>
                <w:bCs/>
                <w:sz w:val="16"/>
                <w:szCs w:val="16"/>
              </w:rPr>
              <w:t>MoF</w:t>
            </w:r>
            <w:r w:rsidRPr="00345678">
              <w:rPr>
                <w:sz w:val="16"/>
                <w:szCs w:val="16"/>
              </w:rPr>
              <w:t xml:space="preserve"> -GDMP</w:t>
            </w:r>
          </w:p>
          <w:p w14:paraId="70BB4AFE" w14:textId="77777777" w:rsidR="00345678" w:rsidRPr="00345678" w:rsidRDefault="00345678" w:rsidP="00086262">
            <w:pPr>
              <w:rPr>
                <w:sz w:val="16"/>
                <w:szCs w:val="16"/>
              </w:rPr>
            </w:pPr>
          </w:p>
          <w:p w14:paraId="5C38EA15" w14:textId="77777777" w:rsidR="00345678" w:rsidRPr="00345678" w:rsidRDefault="00345678" w:rsidP="00086262">
            <w:pPr>
              <w:rPr>
                <w:b/>
                <w:bCs/>
                <w:sz w:val="16"/>
                <w:szCs w:val="16"/>
              </w:rPr>
            </w:pPr>
            <w:r w:rsidRPr="00345678">
              <w:rPr>
                <w:b/>
                <w:bCs/>
                <w:sz w:val="16"/>
                <w:szCs w:val="16"/>
              </w:rPr>
              <w:t>Partner:</w:t>
            </w:r>
          </w:p>
          <w:p w14:paraId="0E79128E" w14:textId="77777777" w:rsidR="00345678" w:rsidRPr="00345678" w:rsidRDefault="00345678" w:rsidP="00086262">
            <w:pPr>
              <w:rPr>
                <w:sz w:val="16"/>
                <w:szCs w:val="16"/>
              </w:rPr>
            </w:pPr>
            <w:r w:rsidRPr="00345678">
              <w:rPr>
                <w:sz w:val="16"/>
                <w:szCs w:val="16"/>
              </w:rPr>
              <w:t>Eurostat</w:t>
            </w:r>
          </w:p>
        </w:tc>
      </w:tr>
      <w:tr w:rsidR="00345678" w:rsidRPr="00345678" w14:paraId="1D8DC09C" w14:textId="77777777" w:rsidTr="00086262">
        <w:trPr>
          <w:trHeight w:val="20"/>
        </w:trPr>
        <w:tc>
          <w:tcPr>
            <w:tcW w:w="2018" w:type="dxa"/>
            <w:vMerge/>
            <w:shd w:val="clear" w:color="auto" w:fill="auto"/>
          </w:tcPr>
          <w:p w14:paraId="302A9B2A" w14:textId="77777777" w:rsidR="00345678" w:rsidRPr="00345678" w:rsidRDefault="00345678" w:rsidP="00086262">
            <w:pPr>
              <w:pStyle w:val="EcorysBody"/>
              <w:rPr>
                <w:rFonts w:ascii="Arial" w:hAnsi="Arial" w:cs="Arial"/>
                <w:b/>
                <w:bCs/>
                <w:sz w:val="16"/>
                <w:szCs w:val="16"/>
              </w:rPr>
            </w:pPr>
          </w:p>
        </w:tc>
        <w:tc>
          <w:tcPr>
            <w:tcW w:w="3637" w:type="dxa"/>
            <w:vAlign w:val="center"/>
          </w:tcPr>
          <w:p w14:paraId="6D8F712C" w14:textId="77777777" w:rsidR="00345678" w:rsidRPr="00345678" w:rsidRDefault="00345678" w:rsidP="00086262">
            <w:pPr>
              <w:pStyle w:val="ListParagraph"/>
              <w:numPr>
                <w:ilvl w:val="0"/>
                <w:numId w:val="17"/>
              </w:numPr>
              <w:autoSpaceDE w:val="0"/>
              <w:autoSpaceDN w:val="0"/>
              <w:adjustRightInd w:val="0"/>
              <w:rPr>
                <w:rFonts w:eastAsia="Times New Roman"/>
                <w:bCs/>
                <w:sz w:val="16"/>
                <w:szCs w:val="16"/>
              </w:rPr>
            </w:pPr>
            <w:r w:rsidRPr="00345678">
              <w:rPr>
                <w:rFonts w:eastAsia="Times New Roman"/>
                <w:bCs/>
                <w:sz w:val="16"/>
                <w:szCs w:val="16"/>
              </w:rPr>
              <w:t>Report the data on cash and accrual basis from MoF in accordance with International Public Sector Accounting Standards (IPSAS).</w:t>
            </w:r>
          </w:p>
        </w:tc>
        <w:tc>
          <w:tcPr>
            <w:tcW w:w="794" w:type="dxa"/>
            <w:shd w:val="clear" w:color="auto" w:fill="auto"/>
            <w:vAlign w:val="center"/>
          </w:tcPr>
          <w:p w14:paraId="32F599CC" w14:textId="77777777" w:rsidR="00345678" w:rsidRPr="00345678" w:rsidRDefault="00345678" w:rsidP="00086262">
            <w:pPr>
              <w:jc w:val="center"/>
              <w:rPr>
                <w:sz w:val="16"/>
                <w:szCs w:val="16"/>
              </w:rPr>
            </w:pPr>
            <w:r w:rsidRPr="00345678">
              <w:rPr>
                <w:sz w:val="16"/>
                <w:szCs w:val="16"/>
              </w:rPr>
              <w:t>Q1 2025</w:t>
            </w:r>
          </w:p>
        </w:tc>
        <w:tc>
          <w:tcPr>
            <w:tcW w:w="794" w:type="dxa"/>
            <w:vAlign w:val="center"/>
          </w:tcPr>
          <w:p w14:paraId="131A07D8" w14:textId="77777777" w:rsidR="00345678" w:rsidRPr="00345678" w:rsidRDefault="00345678" w:rsidP="00086262">
            <w:pPr>
              <w:jc w:val="center"/>
              <w:rPr>
                <w:sz w:val="16"/>
                <w:szCs w:val="16"/>
              </w:rPr>
            </w:pPr>
            <w:r w:rsidRPr="00345678">
              <w:rPr>
                <w:sz w:val="16"/>
                <w:szCs w:val="16"/>
              </w:rPr>
              <w:t>&gt; 2026</w:t>
            </w:r>
          </w:p>
        </w:tc>
        <w:tc>
          <w:tcPr>
            <w:tcW w:w="1773" w:type="dxa"/>
            <w:vMerge/>
          </w:tcPr>
          <w:p w14:paraId="68ABB00D" w14:textId="77777777" w:rsidR="00345678" w:rsidRPr="00345678" w:rsidRDefault="00345678" w:rsidP="00086262">
            <w:pPr>
              <w:rPr>
                <w:b/>
                <w:bCs/>
                <w:sz w:val="16"/>
                <w:szCs w:val="16"/>
              </w:rPr>
            </w:pPr>
          </w:p>
        </w:tc>
      </w:tr>
      <w:tr w:rsidR="00345678" w:rsidRPr="00345678" w14:paraId="419CE56D" w14:textId="77777777" w:rsidTr="00086262">
        <w:trPr>
          <w:trHeight w:val="662"/>
        </w:trPr>
        <w:tc>
          <w:tcPr>
            <w:tcW w:w="2018" w:type="dxa"/>
            <w:vMerge/>
            <w:shd w:val="clear" w:color="auto" w:fill="auto"/>
          </w:tcPr>
          <w:p w14:paraId="6222EB00" w14:textId="77777777" w:rsidR="00345678" w:rsidRPr="00345678" w:rsidRDefault="00345678" w:rsidP="00086262">
            <w:pPr>
              <w:pStyle w:val="EcorysBody"/>
              <w:rPr>
                <w:rFonts w:ascii="Arial" w:hAnsi="Arial" w:cs="Arial"/>
                <w:b/>
                <w:bCs/>
                <w:sz w:val="16"/>
                <w:szCs w:val="16"/>
              </w:rPr>
            </w:pPr>
          </w:p>
        </w:tc>
        <w:tc>
          <w:tcPr>
            <w:tcW w:w="3637" w:type="dxa"/>
            <w:vAlign w:val="center"/>
          </w:tcPr>
          <w:p w14:paraId="709E4008" w14:textId="77777777" w:rsidR="00345678" w:rsidRPr="00345678" w:rsidRDefault="00345678" w:rsidP="00086262">
            <w:pPr>
              <w:pStyle w:val="ListParagraph"/>
              <w:numPr>
                <w:ilvl w:val="0"/>
                <w:numId w:val="17"/>
              </w:numPr>
              <w:autoSpaceDE w:val="0"/>
              <w:autoSpaceDN w:val="0"/>
              <w:adjustRightInd w:val="0"/>
              <w:rPr>
                <w:rFonts w:eastAsia="Times New Roman"/>
                <w:bCs/>
                <w:sz w:val="16"/>
                <w:szCs w:val="16"/>
              </w:rPr>
            </w:pPr>
            <w:r w:rsidRPr="00345678">
              <w:rPr>
                <w:rFonts w:eastAsia="Times New Roman"/>
                <w:bCs/>
                <w:sz w:val="16"/>
                <w:szCs w:val="16"/>
              </w:rPr>
              <w:t>Collect and include the information on the PPPs and Concession contracts in GFS and EDP statistics.</w:t>
            </w:r>
          </w:p>
        </w:tc>
        <w:tc>
          <w:tcPr>
            <w:tcW w:w="794" w:type="dxa"/>
            <w:shd w:val="clear" w:color="auto" w:fill="auto"/>
            <w:vAlign w:val="center"/>
          </w:tcPr>
          <w:p w14:paraId="020B555E" w14:textId="77777777" w:rsidR="00345678" w:rsidRPr="00345678" w:rsidRDefault="00345678" w:rsidP="00086262">
            <w:pPr>
              <w:jc w:val="center"/>
              <w:rPr>
                <w:sz w:val="16"/>
                <w:szCs w:val="16"/>
              </w:rPr>
            </w:pPr>
            <w:r w:rsidRPr="00345678">
              <w:rPr>
                <w:sz w:val="16"/>
                <w:szCs w:val="16"/>
              </w:rPr>
              <w:t>Q1 2024</w:t>
            </w:r>
          </w:p>
        </w:tc>
        <w:tc>
          <w:tcPr>
            <w:tcW w:w="794" w:type="dxa"/>
            <w:vAlign w:val="center"/>
          </w:tcPr>
          <w:p w14:paraId="07D69E57" w14:textId="77777777" w:rsidR="00345678" w:rsidRPr="00345678" w:rsidRDefault="00345678" w:rsidP="00086262">
            <w:pPr>
              <w:jc w:val="center"/>
              <w:rPr>
                <w:sz w:val="16"/>
                <w:szCs w:val="16"/>
              </w:rPr>
            </w:pPr>
            <w:r w:rsidRPr="00345678">
              <w:rPr>
                <w:sz w:val="16"/>
                <w:szCs w:val="16"/>
              </w:rPr>
              <w:t>Q4 2024</w:t>
            </w:r>
          </w:p>
        </w:tc>
        <w:tc>
          <w:tcPr>
            <w:tcW w:w="1773" w:type="dxa"/>
            <w:vMerge/>
          </w:tcPr>
          <w:p w14:paraId="4F852302" w14:textId="77777777" w:rsidR="00345678" w:rsidRPr="00345678" w:rsidRDefault="00345678" w:rsidP="00086262">
            <w:pPr>
              <w:rPr>
                <w:b/>
                <w:bCs/>
                <w:sz w:val="16"/>
                <w:szCs w:val="16"/>
              </w:rPr>
            </w:pPr>
          </w:p>
        </w:tc>
      </w:tr>
    </w:tbl>
    <w:p w14:paraId="3B1A4BC2" w14:textId="77777777" w:rsidR="00345678" w:rsidRPr="00345678" w:rsidRDefault="00345678" w:rsidP="00345678">
      <w:pPr>
        <w:rPr>
          <w:lang w:val="en-GB"/>
        </w:rPr>
      </w:pPr>
    </w:p>
    <w:p w14:paraId="7AD91E0D" w14:textId="77777777" w:rsidR="00345678" w:rsidRPr="00345678" w:rsidRDefault="00345678" w:rsidP="00345678">
      <w:pPr>
        <w:pStyle w:val="H5"/>
        <w:rPr>
          <w:lang w:val="en-GB"/>
        </w:rPr>
      </w:pPr>
      <w:r w:rsidRPr="00345678">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345678" w:rsidRPr="00345678" w14:paraId="4FC2A446" w14:textId="77777777" w:rsidTr="00086262">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62CAFC" w14:textId="77777777" w:rsidR="00345678" w:rsidRPr="00345678" w:rsidRDefault="00345678" w:rsidP="00086262">
            <w:pPr>
              <w:pStyle w:val="T-bold"/>
            </w:pPr>
            <w:r w:rsidRPr="00345678">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1225E6" w14:textId="77777777" w:rsidR="00345678" w:rsidRPr="00345678" w:rsidRDefault="00345678" w:rsidP="00086262">
            <w:pPr>
              <w:pStyle w:val="T-bold"/>
              <w:jc w:val="center"/>
            </w:pPr>
            <w:r w:rsidRPr="00345678">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4C83E" w14:textId="77777777" w:rsidR="00345678" w:rsidRPr="00345678" w:rsidRDefault="00345678" w:rsidP="00086262">
            <w:pPr>
              <w:pStyle w:val="T-bold"/>
              <w:jc w:val="center"/>
            </w:pPr>
            <w:r w:rsidRPr="00345678">
              <w:t>Target Value</w:t>
            </w:r>
          </w:p>
        </w:tc>
      </w:tr>
      <w:tr w:rsidR="00345678" w:rsidRPr="00345678" w14:paraId="2187C4B2" w14:textId="77777777" w:rsidTr="00086262">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92502A5" w14:textId="77777777" w:rsidR="00345678" w:rsidRPr="00345678" w:rsidRDefault="00345678" w:rsidP="00086262">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BE35F64" w14:textId="77777777" w:rsidR="00345678" w:rsidRPr="00345678" w:rsidRDefault="00345678" w:rsidP="00086262">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F4515" w14:textId="77777777" w:rsidR="00345678" w:rsidRPr="00345678" w:rsidRDefault="00345678" w:rsidP="00086262">
            <w:pPr>
              <w:pStyle w:val="T-bold"/>
              <w:jc w:val="center"/>
            </w:pPr>
            <w:r w:rsidRPr="00345678">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A3AF4" w14:textId="77777777" w:rsidR="00345678" w:rsidRPr="00345678" w:rsidRDefault="00345678" w:rsidP="00086262">
            <w:pPr>
              <w:pStyle w:val="T-bold"/>
              <w:jc w:val="center"/>
            </w:pPr>
            <w:r w:rsidRPr="00345678">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47416" w14:textId="77777777" w:rsidR="00345678" w:rsidRPr="00345678" w:rsidRDefault="00345678" w:rsidP="00086262">
            <w:pPr>
              <w:pStyle w:val="T-bold"/>
              <w:jc w:val="center"/>
            </w:pPr>
            <w:r w:rsidRPr="00345678">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65AD7" w14:textId="77777777" w:rsidR="00345678" w:rsidRPr="00345678" w:rsidRDefault="00345678" w:rsidP="00086262">
            <w:pPr>
              <w:pStyle w:val="T-bold"/>
              <w:jc w:val="center"/>
            </w:pPr>
            <w:r w:rsidRPr="00345678">
              <w:t>2026</w:t>
            </w:r>
          </w:p>
        </w:tc>
      </w:tr>
      <w:tr w:rsidR="00345678" w:rsidRPr="00345678" w14:paraId="2FC886DC" w14:textId="77777777" w:rsidTr="00086262">
        <w:tc>
          <w:tcPr>
            <w:tcW w:w="3114" w:type="dxa"/>
            <w:tcBorders>
              <w:top w:val="single" w:sz="4" w:space="0" w:color="auto"/>
              <w:left w:val="single" w:sz="4" w:space="0" w:color="auto"/>
              <w:bottom w:val="single" w:sz="4" w:space="0" w:color="auto"/>
              <w:right w:val="single" w:sz="4" w:space="0" w:color="auto"/>
            </w:tcBorders>
            <w:shd w:val="clear" w:color="auto" w:fill="auto"/>
          </w:tcPr>
          <w:p w14:paraId="7091AB4A" w14:textId="2016397E" w:rsidR="00345678" w:rsidRPr="00345678" w:rsidRDefault="000530C5" w:rsidP="00B45892">
            <w:pPr>
              <w:pStyle w:val="ListParagraph"/>
              <w:numPr>
                <w:ilvl w:val="0"/>
                <w:numId w:val="45"/>
              </w:numPr>
              <w:rPr>
                <w:sz w:val="16"/>
                <w:szCs w:val="16"/>
              </w:rPr>
            </w:pPr>
            <w:r>
              <w:rPr>
                <w:sz w:val="16"/>
                <w:szCs w:val="16"/>
              </w:rPr>
              <w:t>The information exchange system (Web service) to</w:t>
            </w:r>
            <w:r w:rsidR="00345678" w:rsidRPr="00345678">
              <w:rPr>
                <w:sz w:val="16"/>
                <w:szCs w:val="16"/>
              </w:rPr>
              <w:t xml:space="preserve"> facilitate the exchange of data between </w:t>
            </w:r>
            <w:r w:rsidR="00345678" w:rsidRPr="00345678">
              <w:rPr>
                <w:rFonts w:eastAsia="Times New Roman"/>
                <w:bCs/>
                <w:sz w:val="16"/>
                <w:szCs w:val="16"/>
              </w:rPr>
              <w:t>MoF</w:t>
            </w:r>
            <w:r w:rsidR="00345678" w:rsidRPr="00345678">
              <w:rPr>
                <w:sz w:val="16"/>
                <w:szCs w:val="16"/>
              </w:rPr>
              <w:t xml:space="preserve">, INSTAT and BoA established.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1F6532CA" w14:textId="77777777" w:rsidR="00345678" w:rsidRPr="00345678" w:rsidRDefault="00345678" w:rsidP="00086262">
            <w:pPr>
              <w:pStyle w:val="T-normal"/>
              <w:jc w:val="center"/>
            </w:pPr>
            <w:r w:rsidRPr="00345678">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085A416F" w14:textId="77777777" w:rsidR="00345678" w:rsidRPr="00345678" w:rsidRDefault="00345678" w:rsidP="00086262">
            <w:pPr>
              <w:pStyle w:val="T-normal"/>
              <w:jc w:val="center"/>
            </w:pPr>
            <w:r w:rsidRPr="00345678">
              <w:t>-</w:t>
            </w:r>
          </w:p>
        </w:tc>
        <w:tc>
          <w:tcPr>
            <w:tcW w:w="1180" w:type="dxa"/>
            <w:tcBorders>
              <w:top w:val="single" w:sz="4" w:space="0" w:color="auto"/>
              <w:left w:val="single" w:sz="4" w:space="0" w:color="auto"/>
              <w:bottom w:val="single" w:sz="4" w:space="0" w:color="auto"/>
              <w:right w:val="single" w:sz="4" w:space="0" w:color="auto"/>
            </w:tcBorders>
            <w:vAlign w:val="center"/>
          </w:tcPr>
          <w:p w14:paraId="098CEED5" w14:textId="4D04A3FA" w:rsidR="00345678" w:rsidRPr="00345678" w:rsidRDefault="00345678" w:rsidP="00086262">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7EB31AFF" w14:textId="1D251273" w:rsidR="00345678" w:rsidRPr="00345678" w:rsidRDefault="0016109D" w:rsidP="00086262">
            <w:pPr>
              <w:pStyle w:val="T-normal"/>
              <w:jc w:val="center"/>
            </w:pPr>
            <w:r>
              <w:t xml:space="preserve">Development of the Information Exchange </w:t>
            </w:r>
            <w:r>
              <w:lastRenderedPageBreak/>
              <w:t>S</w:t>
            </w:r>
            <w:r w:rsidR="00465913">
              <w:t>ystem (web service)</w:t>
            </w:r>
          </w:p>
        </w:tc>
        <w:tc>
          <w:tcPr>
            <w:tcW w:w="1181" w:type="dxa"/>
            <w:tcBorders>
              <w:top w:val="single" w:sz="4" w:space="0" w:color="auto"/>
              <w:left w:val="single" w:sz="4" w:space="0" w:color="auto"/>
              <w:bottom w:val="single" w:sz="4" w:space="0" w:color="auto"/>
              <w:right w:val="single" w:sz="4" w:space="0" w:color="auto"/>
            </w:tcBorders>
            <w:vAlign w:val="center"/>
          </w:tcPr>
          <w:p w14:paraId="381F9CA0" w14:textId="7D9AE4A5" w:rsidR="00345678" w:rsidRPr="00345678" w:rsidRDefault="00465913" w:rsidP="00086262">
            <w:pPr>
              <w:pStyle w:val="T-normal"/>
              <w:jc w:val="center"/>
            </w:pPr>
            <w:r>
              <w:lastRenderedPageBreak/>
              <w:t xml:space="preserve"> Information Exchange System (web service) developed</w:t>
            </w:r>
          </w:p>
        </w:tc>
      </w:tr>
      <w:tr w:rsidR="00345678" w:rsidRPr="001F151E" w14:paraId="29020A98" w14:textId="77777777" w:rsidTr="00086262">
        <w:tc>
          <w:tcPr>
            <w:tcW w:w="3114" w:type="dxa"/>
            <w:tcBorders>
              <w:top w:val="single" w:sz="4" w:space="0" w:color="auto"/>
              <w:left w:val="single" w:sz="4" w:space="0" w:color="auto"/>
              <w:bottom w:val="single" w:sz="4" w:space="0" w:color="auto"/>
              <w:right w:val="single" w:sz="4" w:space="0" w:color="auto"/>
            </w:tcBorders>
            <w:shd w:val="clear" w:color="auto" w:fill="auto"/>
          </w:tcPr>
          <w:p w14:paraId="3AEA6C81" w14:textId="77777777" w:rsidR="00345678" w:rsidRPr="00345678" w:rsidRDefault="00345678" w:rsidP="00B45892">
            <w:pPr>
              <w:pStyle w:val="ListParagraph"/>
              <w:numPr>
                <w:ilvl w:val="0"/>
                <w:numId w:val="45"/>
              </w:numPr>
              <w:rPr>
                <w:sz w:val="16"/>
                <w:szCs w:val="16"/>
              </w:rPr>
            </w:pPr>
            <w:r w:rsidRPr="00345678">
              <w:rPr>
                <w:sz w:val="16"/>
                <w:szCs w:val="16"/>
              </w:rPr>
              <w:lastRenderedPageBreak/>
              <w:t>Data on PPPs and Concession contracts included in the GFS.</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4E516EBF" w14:textId="77777777" w:rsidR="00345678" w:rsidRPr="00345678" w:rsidRDefault="00345678" w:rsidP="00086262">
            <w:pPr>
              <w:pStyle w:val="T-normal"/>
              <w:jc w:val="center"/>
            </w:pPr>
            <w:r w:rsidRPr="00345678">
              <w:t>-</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25128615" w14:textId="77777777" w:rsidR="00345678" w:rsidRPr="00345678" w:rsidRDefault="00345678" w:rsidP="00086262">
            <w:pPr>
              <w:pStyle w:val="T-normal"/>
              <w:jc w:val="center"/>
            </w:pPr>
            <w:r w:rsidRPr="00345678">
              <w:t>-</w:t>
            </w:r>
          </w:p>
        </w:tc>
        <w:tc>
          <w:tcPr>
            <w:tcW w:w="1180" w:type="dxa"/>
            <w:tcBorders>
              <w:top w:val="single" w:sz="4" w:space="0" w:color="auto"/>
              <w:left w:val="single" w:sz="4" w:space="0" w:color="auto"/>
              <w:bottom w:val="single" w:sz="4" w:space="0" w:color="auto"/>
              <w:right w:val="single" w:sz="4" w:space="0" w:color="auto"/>
            </w:tcBorders>
            <w:vAlign w:val="center"/>
          </w:tcPr>
          <w:p w14:paraId="52AE8E4C" w14:textId="77777777" w:rsidR="00345678" w:rsidRPr="00345678" w:rsidRDefault="00345678" w:rsidP="00086262">
            <w:pPr>
              <w:pStyle w:val="T-normal"/>
              <w:jc w:val="center"/>
            </w:pPr>
            <w:r w:rsidRPr="00345678">
              <w:t>-</w:t>
            </w:r>
          </w:p>
        </w:tc>
        <w:tc>
          <w:tcPr>
            <w:tcW w:w="1181" w:type="dxa"/>
            <w:tcBorders>
              <w:top w:val="single" w:sz="4" w:space="0" w:color="auto"/>
              <w:left w:val="single" w:sz="4" w:space="0" w:color="auto"/>
              <w:bottom w:val="single" w:sz="4" w:space="0" w:color="auto"/>
              <w:right w:val="single" w:sz="4" w:space="0" w:color="auto"/>
            </w:tcBorders>
            <w:vAlign w:val="center"/>
          </w:tcPr>
          <w:p w14:paraId="0D95DC12" w14:textId="77777777" w:rsidR="00345678" w:rsidRPr="00345678" w:rsidRDefault="00345678" w:rsidP="00086262">
            <w:pPr>
              <w:pStyle w:val="T-normal"/>
              <w:jc w:val="center"/>
            </w:pPr>
            <w:r w:rsidRPr="00345678">
              <w:t>PPPs and CCs included in GFS</w:t>
            </w:r>
          </w:p>
        </w:tc>
        <w:tc>
          <w:tcPr>
            <w:tcW w:w="1181" w:type="dxa"/>
            <w:tcBorders>
              <w:top w:val="single" w:sz="4" w:space="0" w:color="auto"/>
              <w:left w:val="single" w:sz="4" w:space="0" w:color="auto"/>
              <w:bottom w:val="single" w:sz="4" w:space="0" w:color="auto"/>
              <w:right w:val="single" w:sz="4" w:space="0" w:color="auto"/>
            </w:tcBorders>
            <w:vAlign w:val="center"/>
          </w:tcPr>
          <w:p w14:paraId="49284594" w14:textId="77777777" w:rsidR="00345678" w:rsidRPr="001F151E" w:rsidRDefault="00345678" w:rsidP="00086262">
            <w:pPr>
              <w:pStyle w:val="T-normal"/>
              <w:jc w:val="center"/>
            </w:pPr>
            <w:r w:rsidRPr="00345678">
              <w:t>PPPs and CCs included in GFS</w:t>
            </w:r>
          </w:p>
        </w:tc>
      </w:tr>
    </w:tbl>
    <w:p w14:paraId="4E5D3C2A" w14:textId="77777777" w:rsidR="00345678" w:rsidRPr="001F151E" w:rsidRDefault="00345678" w:rsidP="00345678">
      <w:pPr>
        <w:spacing w:after="160" w:line="259" w:lineRule="auto"/>
        <w:rPr>
          <w:rFonts w:eastAsiaTheme="majorEastAsia" w:cstheme="majorBidi"/>
          <w:iCs/>
          <w:color w:val="0070C0"/>
          <w:sz w:val="22"/>
          <w:szCs w:val="22"/>
          <w:lang w:val="en-GB"/>
        </w:rPr>
      </w:pPr>
    </w:p>
    <w:p w14:paraId="79A5DF8E" w14:textId="010C3918" w:rsidR="003E6F0E" w:rsidRPr="001F151E" w:rsidRDefault="003E6F0E" w:rsidP="003E6F0E">
      <w:pPr>
        <w:pStyle w:val="Heading2"/>
        <w:rPr>
          <w:lang w:val="en-GB"/>
        </w:rPr>
      </w:pPr>
      <w:bookmarkStart w:id="49" w:name="_Toc163148028"/>
      <w:r w:rsidRPr="001F151E">
        <w:rPr>
          <w:lang w:val="en-GB"/>
        </w:rPr>
        <w:t>Component 4.</w:t>
      </w:r>
      <w:r w:rsidR="00297283">
        <w:rPr>
          <w:lang w:val="en-GB"/>
        </w:rPr>
        <w:t>2</w:t>
      </w:r>
      <w:r w:rsidRPr="001F151E">
        <w:rPr>
          <w:lang w:val="en-GB"/>
        </w:rPr>
        <w:t xml:space="preserve"> Accounting</w:t>
      </w:r>
      <w:bookmarkEnd w:id="45"/>
      <w:bookmarkEnd w:id="49"/>
    </w:p>
    <w:p w14:paraId="6B7E4098" w14:textId="77777777" w:rsidR="003E6F0E" w:rsidRPr="001F151E" w:rsidRDefault="003E6F0E" w:rsidP="00EA6F1D">
      <w:pPr>
        <w:spacing w:line="276" w:lineRule="auto"/>
        <w:jc w:val="both"/>
        <w:rPr>
          <w:lang w:val="en-GB"/>
        </w:rPr>
      </w:pPr>
    </w:p>
    <w:p w14:paraId="65810AB7" w14:textId="77777777" w:rsidR="003E6F0E" w:rsidRPr="001F151E" w:rsidRDefault="003E6F0E" w:rsidP="00EA6F1D">
      <w:pPr>
        <w:pStyle w:val="H5"/>
        <w:spacing w:line="276" w:lineRule="auto"/>
        <w:jc w:val="both"/>
        <w:rPr>
          <w:lang w:val="en-GB"/>
        </w:rPr>
      </w:pPr>
      <w:r w:rsidRPr="001F151E">
        <w:rPr>
          <w:lang w:val="en-GB"/>
        </w:rPr>
        <w:t>Objective</w:t>
      </w:r>
    </w:p>
    <w:p w14:paraId="2285064B" w14:textId="4174D915" w:rsidR="003E6F0E" w:rsidRPr="001F151E" w:rsidRDefault="003E6F0E" w:rsidP="00EA6F1D">
      <w:pPr>
        <w:spacing w:line="276" w:lineRule="auto"/>
        <w:jc w:val="both"/>
        <w:rPr>
          <w:lang w:val="en-GB"/>
        </w:rPr>
      </w:pPr>
      <w:r w:rsidRPr="001F151E">
        <w:rPr>
          <w:lang w:val="en-GB"/>
        </w:rPr>
        <w:t xml:space="preserve">The goal for 2030 is to prepare and publish (consolidated) financial statements in compliance with IPSAS, following the rollout of IPSAS to all </w:t>
      </w:r>
      <w:r w:rsidR="006F5393" w:rsidRPr="001F151E">
        <w:rPr>
          <w:lang w:val="en-GB"/>
        </w:rPr>
        <w:t>central government</w:t>
      </w:r>
      <w:r w:rsidRPr="001F151E">
        <w:rPr>
          <w:lang w:val="en-GB"/>
        </w:rPr>
        <w:t xml:space="preserve"> Institutions</w:t>
      </w:r>
      <w:r w:rsidR="006F5393" w:rsidRPr="001F151E">
        <w:rPr>
          <w:lang w:val="en-GB"/>
        </w:rPr>
        <w:t>.</w:t>
      </w:r>
    </w:p>
    <w:p w14:paraId="644F2FBB" w14:textId="77777777" w:rsidR="003E6F0E" w:rsidRPr="001F151E" w:rsidRDefault="003E6F0E" w:rsidP="00EA6F1D">
      <w:pPr>
        <w:spacing w:line="276" w:lineRule="auto"/>
        <w:jc w:val="both"/>
        <w:rPr>
          <w:lang w:val="en-GB"/>
        </w:rPr>
      </w:pPr>
    </w:p>
    <w:p w14:paraId="4CE6F385" w14:textId="77777777" w:rsidR="003E6F0E" w:rsidRPr="001F151E" w:rsidRDefault="003E6F0E" w:rsidP="00EA6F1D">
      <w:pPr>
        <w:pStyle w:val="H5"/>
        <w:spacing w:line="276" w:lineRule="auto"/>
        <w:jc w:val="both"/>
        <w:rPr>
          <w:lang w:val="en-GB"/>
        </w:rPr>
      </w:pPr>
      <w:r w:rsidRPr="001F151E">
        <w:rPr>
          <w:lang w:val="en-GB"/>
        </w:rPr>
        <w:t>Context</w:t>
      </w:r>
    </w:p>
    <w:p w14:paraId="5319264F" w14:textId="2B2AC3F2" w:rsidR="003E6F0E" w:rsidRPr="001F151E" w:rsidRDefault="003E6F0E" w:rsidP="00EA6F1D">
      <w:pPr>
        <w:spacing w:line="276" w:lineRule="auto"/>
        <w:jc w:val="both"/>
        <w:rPr>
          <w:lang w:val="en-GB"/>
        </w:rPr>
      </w:pPr>
      <w:r w:rsidRPr="001F151E">
        <w:rPr>
          <w:lang w:val="en-GB"/>
        </w:rPr>
        <w:t xml:space="preserve">AGFIS is the information system used for accounting and treasury operations. The system has been developed over time, including full integration with the </w:t>
      </w:r>
      <w:r w:rsidR="00EB1BF0" w:rsidRPr="00EB1BF0">
        <w:rPr>
          <w:lang w:val="en-GB"/>
        </w:rPr>
        <w:t xml:space="preserve">Human Resources Management Information System </w:t>
      </w:r>
      <w:r w:rsidRPr="001F151E">
        <w:rPr>
          <w:lang w:val="en-GB"/>
        </w:rPr>
        <w:t>(HRIMS) for payroll in 2022 and the Au</w:t>
      </w:r>
      <w:r w:rsidR="00EB1BF0">
        <w:rPr>
          <w:lang w:val="en-GB"/>
        </w:rPr>
        <w:t>tomated Public Procurement</w:t>
      </w:r>
      <w:r w:rsidRPr="001F151E">
        <w:rPr>
          <w:lang w:val="en-GB"/>
        </w:rPr>
        <w:t xml:space="preserve"> system for procurement in 2020. The 20 largest budget institutions (out of a total of approximately 1020 Budget Institutions) are directly connected to AGFIS. These are all ministries, three large municipalities and a few large other public institut</w:t>
      </w:r>
      <w:r w:rsidR="00465913">
        <w:rPr>
          <w:lang w:val="en-GB"/>
        </w:rPr>
        <w:t xml:space="preserve">ions. Other – mainly smaller - </w:t>
      </w:r>
      <w:r w:rsidRPr="001F151E">
        <w:rPr>
          <w:lang w:val="en-GB"/>
        </w:rPr>
        <w:t xml:space="preserve">Budget Institutions do not have direct access to AGFIS, but submit their accounting documents in electronic format through the ‘electronic archive’ functionality of AGFIS to the Treasury District offices for further processing. </w:t>
      </w:r>
    </w:p>
    <w:p w14:paraId="06DF7B3F" w14:textId="403A9E65" w:rsidR="003E6F0E" w:rsidRPr="001F151E" w:rsidRDefault="003E6F0E" w:rsidP="00EA6F1D">
      <w:pPr>
        <w:spacing w:line="276" w:lineRule="auto"/>
        <w:jc w:val="both"/>
        <w:rPr>
          <w:lang w:val="en-GB"/>
        </w:rPr>
      </w:pPr>
      <w:r w:rsidRPr="001F151E">
        <w:rPr>
          <w:lang w:val="en-GB"/>
        </w:rPr>
        <w:t>Approximately 300 budget institutions have been connected to this electronic archive system by the end of 2022. It is planned that the number of connected budget institutions will reach a total of 642 by 2023 and 728 b</w:t>
      </w:r>
      <w:r w:rsidR="009F78CA" w:rsidRPr="001F151E">
        <w:rPr>
          <w:lang w:val="en-GB"/>
        </w:rPr>
        <w:t>y</w:t>
      </w:r>
      <w:r w:rsidRPr="001F151E">
        <w:rPr>
          <w:lang w:val="en-GB"/>
        </w:rPr>
        <w:t xml:space="preserve"> 2024. </w:t>
      </w:r>
    </w:p>
    <w:p w14:paraId="4687CB7F" w14:textId="010F1946" w:rsidR="003E6F0E" w:rsidRPr="001F151E" w:rsidRDefault="003E6F0E" w:rsidP="00EA6F1D">
      <w:pPr>
        <w:spacing w:line="276" w:lineRule="auto"/>
        <w:jc w:val="both"/>
        <w:rPr>
          <w:lang w:val="en-GB"/>
        </w:rPr>
      </w:pPr>
      <w:r w:rsidRPr="001F151E">
        <w:rPr>
          <w:lang w:val="en-GB"/>
        </w:rPr>
        <w:t xml:space="preserve">Approximately 250 mainly smaller budget institutions will not be connected to the AGFIS through the ‘electronic archive’ module of AGFIS since these institutions do not comply with the legal requirements to provide three signatures on payment orders. A concentration of the number of small spending units may be required for the purpose of sound financial management and control. The </w:t>
      </w:r>
      <w:r w:rsidR="00EB1BF0">
        <w:rPr>
          <w:lang w:val="en-GB"/>
        </w:rPr>
        <w:t>AGFIS system is operated by MoF</w:t>
      </w:r>
      <w:r w:rsidRPr="001F151E">
        <w:rPr>
          <w:lang w:val="en-GB"/>
        </w:rPr>
        <w:t xml:space="preserve"> and maintained by NAIS. </w:t>
      </w:r>
    </w:p>
    <w:p w14:paraId="62969609" w14:textId="77777777" w:rsidR="003E6F0E" w:rsidRPr="001F151E" w:rsidRDefault="003E6F0E" w:rsidP="00EA6F1D">
      <w:pPr>
        <w:spacing w:line="276" w:lineRule="auto"/>
        <w:jc w:val="both"/>
        <w:rPr>
          <w:lang w:val="en-GB"/>
        </w:rPr>
      </w:pPr>
    </w:p>
    <w:p w14:paraId="7569F2E0" w14:textId="3AEF76A2" w:rsidR="003E6F0E" w:rsidRPr="001F151E" w:rsidRDefault="003E6F0E" w:rsidP="00EA6F1D">
      <w:pPr>
        <w:spacing w:line="276" w:lineRule="auto"/>
        <w:jc w:val="both"/>
        <w:rPr>
          <w:lang w:val="en-GB"/>
        </w:rPr>
      </w:pPr>
      <w:r w:rsidRPr="001F151E">
        <w:rPr>
          <w:lang w:val="en-GB"/>
        </w:rPr>
        <w:t>Adequate management of arrears in the accounting system has been a high priority in the past years. Procedures have been put in place to ensure that financial transactions (e.g. procurement contracts, executive orders stemming from court cases, etc.) are recorded in the system on time. Underreporting of arrears has not yet been fully eliminated.</w:t>
      </w:r>
      <w:r w:rsidR="00D56114" w:rsidRPr="001F151E">
        <w:rPr>
          <w:lang w:val="en-GB"/>
        </w:rPr>
        <w:t xml:space="preserve"> </w:t>
      </w:r>
      <w:r w:rsidRPr="001F151E">
        <w:rPr>
          <w:lang w:val="en-GB"/>
        </w:rPr>
        <w:t>In 2018</w:t>
      </w:r>
      <w:r w:rsidR="006F5393" w:rsidRPr="001F151E">
        <w:rPr>
          <w:lang w:val="en-GB"/>
        </w:rPr>
        <w:t>,</w:t>
      </w:r>
      <w:r w:rsidRPr="001F151E">
        <w:rPr>
          <w:lang w:val="en-GB"/>
        </w:rPr>
        <w:t xml:space="preserve"> the </w:t>
      </w:r>
      <w:r w:rsidR="00A660B5">
        <w:rPr>
          <w:lang w:val="en-GB"/>
        </w:rPr>
        <w:t>MoF</w:t>
      </w:r>
      <w:r w:rsidRPr="001F151E">
        <w:rPr>
          <w:lang w:val="en-GB"/>
        </w:rPr>
        <w:t xml:space="preserve"> started its preparations for accounting reform with the aim to be fully compliant with IPSAS by 2030. A separate accounting reform unit was established within DHFMCA to support the process of transition to accrual accounting through the adoption of a regulatory framework that is based on IPSAS. As a first step, the Country Strategic Action Plan for Accounting Reform 2019-2027 was prepared.</w:t>
      </w:r>
      <w:r w:rsidRPr="001F151E">
        <w:rPr>
          <w:rStyle w:val="FootnoteReference"/>
          <w:lang w:val="en-GB"/>
        </w:rPr>
        <w:footnoteReference w:id="49"/>
      </w:r>
      <w:r w:rsidRPr="001F151E">
        <w:rPr>
          <w:lang w:val="en-GB"/>
        </w:rPr>
        <w:t xml:space="preserve"> Following the adoption of the action plan, steps were taken to develop the legal and regulatory framework. To date, the IPSAS have been translated in Albanian, 10 instructions (sub-legal acts) have been developed and are subject to approval by the Minister of Finance in the later phases </w:t>
      </w:r>
      <w:r w:rsidR="004840A2" w:rsidRPr="001F151E">
        <w:rPr>
          <w:lang w:val="en-GB"/>
        </w:rPr>
        <w:t>accompanied</w:t>
      </w:r>
      <w:r w:rsidR="006F5393" w:rsidRPr="001F151E">
        <w:rPr>
          <w:lang w:val="en-GB"/>
        </w:rPr>
        <w:t xml:space="preserve"> with </w:t>
      </w:r>
      <w:r w:rsidRPr="001F151E">
        <w:rPr>
          <w:lang w:val="en-GB"/>
        </w:rPr>
        <w:t>specific manuals related with these instructions to be adopted as well. Also</w:t>
      </w:r>
      <w:r w:rsidR="006F5393" w:rsidRPr="001F151E">
        <w:rPr>
          <w:lang w:val="en-GB"/>
        </w:rPr>
        <w:t>,</w:t>
      </w:r>
      <w:r w:rsidRPr="001F151E">
        <w:rPr>
          <w:lang w:val="en-GB"/>
        </w:rPr>
        <w:t xml:space="preserve"> first steps for developing a new accounting law have been undertaken</w:t>
      </w:r>
      <w:r w:rsidR="006F5393" w:rsidRPr="001F151E">
        <w:rPr>
          <w:lang w:val="en-GB"/>
        </w:rPr>
        <w:t>, as there is provided by the consultant the structure that the law should have</w:t>
      </w:r>
      <w:r w:rsidRPr="001F151E">
        <w:rPr>
          <w:lang w:val="en-GB"/>
        </w:rPr>
        <w:t xml:space="preserve">. Capacity building activities have commenced and 25 individuals (MFE staff, public sector accountants, universities, </w:t>
      </w:r>
      <w:r w:rsidR="00EB1BF0" w:rsidRPr="00F23C87">
        <w:t>Professional Accountancy Organizations</w:t>
      </w:r>
      <w:r w:rsidRPr="001F151E">
        <w:rPr>
          <w:lang w:val="en-GB"/>
        </w:rPr>
        <w:t xml:space="preserve">) were trained through an extensive training programme in IPSAS (provided by Chartered Institute of Public Finance and Accountancy. Subsequently 500 (out of a total of approximately 1,100) government accountants received a shorter training on IPSAS. A review of AGFIS functionality compared with IPSAS requirements was conducted under the WB project </w:t>
      </w:r>
      <w:r w:rsidR="006A4BED" w:rsidRPr="001F151E">
        <w:rPr>
          <w:lang w:val="en-GB"/>
        </w:rPr>
        <w:t>“Development of public sector accounting in Albania (IPSAS)”</w:t>
      </w:r>
      <w:r w:rsidRPr="001F151E">
        <w:rPr>
          <w:lang w:val="en-GB"/>
        </w:rPr>
        <w:t xml:space="preserve"> which provided recommendations on adding modules and accounts under AGFIS. In addition, it identified alternative solutions to fill in the data gaps through tools or spreadsheets that can be used for tracking information, processing it and determining the journal entries to be recorded in the AGFIS system on a periodic basis.  Also, an analysis of the institutional responsibilities within the </w:t>
      </w:r>
      <w:r w:rsidR="00A660B5">
        <w:rPr>
          <w:lang w:val="en-GB"/>
        </w:rPr>
        <w:t>MoF</w:t>
      </w:r>
      <w:r w:rsidRPr="001F151E">
        <w:rPr>
          <w:lang w:val="en-GB"/>
        </w:rPr>
        <w:t xml:space="preserve"> and broader central government accounting function was conducted providing specific recommendations that will be considered for further reorganization of the function within the Ministry. </w:t>
      </w:r>
    </w:p>
    <w:p w14:paraId="7C977CEC" w14:textId="77777777" w:rsidR="003E6F0E" w:rsidRPr="001F151E" w:rsidRDefault="003E6F0E" w:rsidP="00EA6F1D">
      <w:pPr>
        <w:spacing w:line="276" w:lineRule="auto"/>
        <w:jc w:val="both"/>
        <w:rPr>
          <w:lang w:val="en-GB"/>
        </w:rPr>
      </w:pPr>
    </w:p>
    <w:p w14:paraId="5AA06C2F" w14:textId="77777777" w:rsidR="003E6F0E" w:rsidRPr="001F151E" w:rsidRDefault="003E6F0E" w:rsidP="00EA6F1D">
      <w:pPr>
        <w:pStyle w:val="H5"/>
        <w:spacing w:line="276" w:lineRule="auto"/>
        <w:jc w:val="both"/>
        <w:rPr>
          <w:lang w:val="en-GB"/>
        </w:rPr>
      </w:pPr>
      <w:r w:rsidRPr="001F151E">
        <w:rPr>
          <w:lang w:val="en-GB"/>
        </w:rPr>
        <w:lastRenderedPageBreak/>
        <w:t>Priorities</w:t>
      </w:r>
    </w:p>
    <w:p w14:paraId="57632A0E" w14:textId="204CD9FA" w:rsidR="003E6F0E" w:rsidRPr="001F151E" w:rsidRDefault="003E6F0E" w:rsidP="00EA6F1D">
      <w:pPr>
        <w:pStyle w:val="EcorysBody"/>
        <w:spacing w:line="276" w:lineRule="auto"/>
        <w:jc w:val="both"/>
        <w:rPr>
          <w:rFonts w:ascii="Arial" w:hAnsi="Arial" w:cs="Arial"/>
          <w:lang w:val="en-GB"/>
        </w:rPr>
      </w:pPr>
      <w:r w:rsidRPr="001F151E">
        <w:rPr>
          <w:rFonts w:ascii="Arial" w:hAnsi="Arial" w:cs="Arial"/>
          <w:lang w:val="en-GB"/>
        </w:rPr>
        <w:t>For the period 2023 – 2026 the key priorities are:</w:t>
      </w:r>
    </w:p>
    <w:p w14:paraId="125132E8" w14:textId="385D4C51" w:rsidR="003E6F0E" w:rsidRPr="001F151E" w:rsidRDefault="003E6F0E" w:rsidP="00B45892">
      <w:pPr>
        <w:pStyle w:val="N-Bullet"/>
        <w:numPr>
          <w:ilvl w:val="0"/>
          <w:numId w:val="54"/>
        </w:numPr>
        <w:spacing w:line="276" w:lineRule="auto"/>
        <w:jc w:val="both"/>
        <w:rPr>
          <w:lang w:val="en-GB"/>
        </w:rPr>
      </w:pPr>
      <w:r w:rsidRPr="001F151E">
        <w:rPr>
          <w:lang w:val="en-GB"/>
        </w:rPr>
        <w:t xml:space="preserve">Increasing access of all budgetary institutions to the </w:t>
      </w:r>
      <w:r w:rsidR="000E357C" w:rsidRPr="001F151E">
        <w:rPr>
          <w:lang w:val="en-GB"/>
        </w:rPr>
        <w:t>Electronic Archive through Web Portal</w:t>
      </w:r>
      <w:r w:rsidRPr="001F151E">
        <w:rPr>
          <w:lang w:val="en-GB"/>
        </w:rPr>
        <w:t>.</w:t>
      </w:r>
    </w:p>
    <w:p w14:paraId="501A9D43" w14:textId="151C6E10" w:rsidR="003E6F0E" w:rsidRPr="001F151E" w:rsidRDefault="003E6F0E" w:rsidP="00B45892">
      <w:pPr>
        <w:pStyle w:val="N-Bullet"/>
        <w:numPr>
          <w:ilvl w:val="0"/>
          <w:numId w:val="54"/>
        </w:numPr>
        <w:spacing w:line="276" w:lineRule="auto"/>
        <w:jc w:val="both"/>
        <w:rPr>
          <w:lang w:val="en-GB"/>
        </w:rPr>
      </w:pPr>
      <w:r w:rsidRPr="001F151E">
        <w:rPr>
          <w:lang w:val="en-GB"/>
        </w:rPr>
        <w:t>Improving the functionalities of AGFIS to make the system more efficient (automated pre-commitments for all budgetary institutions off &amp; online with AGFIS, connection of AGFIS with the fiscalization system</w:t>
      </w:r>
      <w:r w:rsidR="000E357C" w:rsidRPr="001F151E">
        <w:rPr>
          <w:lang w:val="en-GB"/>
        </w:rPr>
        <w:t xml:space="preserve"> and AGFIS </w:t>
      </w:r>
      <w:r w:rsidR="0045776A" w:rsidRPr="001F151E">
        <w:rPr>
          <w:lang w:val="en-GB"/>
        </w:rPr>
        <w:t>h</w:t>
      </w:r>
      <w:r w:rsidR="000E357C" w:rsidRPr="001F151E">
        <w:rPr>
          <w:lang w:val="en-GB"/>
        </w:rPr>
        <w:t xml:space="preserve">ardware </w:t>
      </w:r>
      <w:r w:rsidR="009F78CA" w:rsidRPr="001F151E">
        <w:rPr>
          <w:lang w:val="en-GB"/>
        </w:rPr>
        <w:t>and</w:t>
      </w:r>
      <w:r w:rsidR="000E357C" w:rsidRPr="001F151E">
        <w:rPr>
          <w:lang w:val="en-GB"/>
        </w:rPr>
        <w:t xml:space="preserve"> </w:t>
      </w:r>
      <w:r w:rsidR="0045776A" w:rsidRPr="001F151E">
        <w:rPr>
          <w:lang w:val="en-GB"/>
        </w:rPr>
        <w:t>s</w:t>
      </w:r>
      <w:r w:rsidR="000E357C" w:rsidRPr="001F151E">
        <w:rPr>
          <w:lang w:val="en-GB"/>
        </w:rPr>
        <w:t>oftware Upgrade</w:t>
      </w:r>
      <w:r w:rsidRPr="001F151E">
        <w:rPr>
          <w:lang w:val="en-GB"/>
        </w:rPr>
        <w:t xml:space="preserve">) </w:t>
      </w:r>
    </w:p>
    <w:p w14:paraId="0566F6C2" w14:textId="051D99FB" w:rsidR="003E6F0E" w:rsidRPr="001F151E" w:rsidRDefault="003E6F0E" w:rsidP="00B45892">
      <w:pPr>
        <w:pStyle w:val="N-Bullet"/>
        <w:numPr>
          <w:ilvl w:val="0"/>
          <w:numId w:val="54"/>
        </w:numPr>
        <w:spacing w:line="276" w:lineRule="auto"/>
        <w:jc w:val="both"/>
        <w:rPr>
          <w:lang w:val="en-GB"/>
        </w:rPr>
      </w:pPr>
      <w:r w:rsidRPr="001F151E">
        <w:rPr>
          <w:lang w:val="en-GB"/>
        </w:rPr>
        <w:t>Developing the legal and regulatory framework</w:t>
      </w:r>
      <w:r w:rsidR="00D56114" w:rsidRPr="001F151E">
        <w:rPr>
          <w:lang w:val="en-GB"/>
        </w:rPr>
        <w:t xml:space="preserve">, </w:t>
      </w:r>
      <w:r w:rsidRPr="001F151E">
        <w:rPr>
          <w:lang w:val="en-GB"/>
        </w:rPr>
        <w:t>AGFIS</w:t>
      </w:r>
      <w:r w:rsidR="00D56114" w:rsidRPr="001F151E">
        <w:rPr>
          <w:lang w:val="en-GB"/>
        </w:rPr>
        <w:t xml:space="preserve"> functionalities </w:t>
      </w:r>
      <w:r w:rsidRPr="001F151E">
        <w:rPr>
          <w:lang w:val="en-GB"/>
        </w:rPr>
        <w:t xml:space="preserve">and </w:t>
      </w:r>
      <w:r w:rsidR="004840A2" w:rsidRPr="001F151E">
        <w:rPr>
          <w:lang w:val="en-GB"/>
        </w:rPr>
        <w:t>institutionalizing</w:t>
      </w:r>
      <w:r w:rsidRPr="001F151E">
        <w:rPr>
          <w:lang w:val="en-GB"/>
        </w:rPr>
        <w:t xml:space="preserve"> capacity building for accountants in the context of the accounting reforms</w:t>
      </w:r>
      <w:r w:rsidR="00D56114" w:rsidRPr="001F151E">
        <w:rPr>
          <w:lang w:val="en-GB"/>
        </w:rPr>
        <w:t xml:space="preserve"> (IPSAS)</w:t>
      </w:r>
      <w:r w:rsidRPr="001F151E">
        <w:rPr>
          <w:lang w:val="en-GB"/>
        </w:rPr>
        <w:t>.</w:t>
      </w:r>
    </w:p>
    <w:p w14:paraId="5A152839" w14:textId="77777777" w:rsidR="003E6F0E" w:rsidRPr="001F151E" w:rsidRDefault="003E6F0E" w:rsidP="003E6F0E">
      <w:pPr>
        <w:pStyle w:val="EcorysBody"/>
        <w:rPr>
          <w:rFonts w:ascii="Arial" w:hAnsi="Arial" w:cs="Arial"/>
          <w:b/>
          <w:bCs/>
          <w:sz w:val="16"/>
          <w:szCs w:val="16"/>
          <w:lang w:val="en-GB"/>
        </w:rPr>
      </w:pPr>
    </w:p>
    <w:p w14:paraId="78B4F1F0" w14:textId="77777777" w:rsidR="003E6F0E" w:rsidRPr="001F151E" w:rsidRDefault="003E6F0E" w:rsidP="003E6F0E">
      <w:pPr>
        <w:pStyle w:val="EcorysBody"/>
        <w:rPr>
          <w:rFonts w:ascii="Arial" w:hAnsi="Arial" w:cs="Arial"/>
          <w:b/>
          <w:bCs/>
          <w:sz w:val="16"/>
          <w:szCs w:val="16"/>
          <w:lang w:val="en-GB"/>
        </w:rPr>
      </w:pPr>
    </w:p>
    <w:p w14:paraId="50B27F38" w14:textId="77777777" w:rsidR="003E6F0E" w:rsidRPr="001F151E" w:rsidRDefault="003E6F0E" w:rsidP="003E6F0E">
      <w:pPr>
        <w:pStyle w:val="H5"/>
        <w:rPr>
          <w:lang w:val="en-GB"/>
        </w:rPr>
      </w:pPr>
      <w:r w:rsidRPr="001F151E">
        <w:rPr>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65"/>
        <w:gridCol w:w="3960"/>
        <w:gridCol w:w="810"/>
        <w:gridCol w:w="810"/>
        <w:gridCol w:w="1371"/>
      </w:tblGrid>
      <w:tr w:rsidR="003E6F0E" w:rsidRPr="001F151E" w14:paraId="69DAFB76" w14:textId="77777777" w:rsidTr="00C613E7">
        <w:trPr>
          <w:trHeight w:val="182"/>
          <w:tblHeader/>
        </w:trPr>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76B12" w14:textId="77777777" w:rsidR="003E6F0E" w:rsidRPr="001F151E" w:rsidRDefault="003E6F0E">
            <w:pPr>
              <w:pStyle w:val="T-bold"/>
            </w:pPr>
            <w:r w:rsidRPr="001F151E">
              <w:t>Measure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6388AC" w14:textId="77777777" w:rsidR="003E6F0E" w:rsidRPr="001F151E" w:rsidRDefault="003E6F0E">
            <w:pPr>
              <w:pStyle w:val="T-bold"/>
            </w:pPr>
            <w:r w:rsidRPr="001F151E">
              <w:t>Activity</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7F277F" w14:textId="77777777" w:rsidR="003E6F0E" w:rsidRPr="001F151E" w:rsidRDefault="003E6F0E">
            <w:pPr>
              <w:pStyle w:val="T-bold"/>
              <w:jc w:val="center"/>
            </w:pPr>
            <w:r w:rsidRPr="001F151E">
              <w:t>Start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F41A" w14:textId="77777777" w:rsidR="003E6F0E" w:rsidRPr="001F151E" w:rsidRDefault="003E6F0E">
            <w:pPr>
              <w:pStyle w:val="T-bold"/>
              <w:jc w:val="center"/>
            </w:pPr>
            <w:r w:rsidRPr="001F151E">
              <w:t>End</w:t>
            </w: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134F6D" w14:textId="77777777" w:rsidR="003E6F0E" w:rsidRPr="001F151E" w:rsidRDefault="003E6F0E">
            <w:pPr>
              <w:pStyle w:val="T-bold"/>
            </w:pPr>
            <w:r w:rsidRPr="001F151E">
              <w:t>Stakeholders</w:t>
            </w:r>
          </w:p>
        </w:tc>
      </w:tr>
      <w:tr w:rsidR="00C613E7" w:rsidRPr="001F151E" w14:paraId="2035D3E8" w14:textId="77777777" w:rsidTr="007E0059">
        <w:trPr>
          <w:trHeight w:val="1346"/>
        </w:trPr>
        <w:tc>
          <w:tcPr>
            <w:tcW w:w="2065" w:type="dxa"/>
            <w:vMerge w:val="restart"/>
            <w:tcBorders>
              <w:top w:val="single" w:sz="4" w:space="0" w:color="auto"/>
              <w:left w:val="single" w:sz="4" w:space="0" w:color="auto"/>
              <w:right w:val="single" w:sz="4" w:space="0" w:color="auto"/>
            </w:tcBorders>
            <w:vAlign w:val="center"/>
            <w:hideMark/>
          </w:tcPr>
          <w:p w14:paraId="775E53C0" w14:textId="06D3F52C" w:rsidR="00C613E7" w:rsidRPr="001F151E" w:rsidRDefault="00C613E7" w:rsidP="00C613E7">
            <w:pPr>
              <w:rPr>
                <w:b/>
                <w:bCs/>
                <w:sz w:val="16"/>
                <w:szCs w:val="16"/>
              </w:rPr>
            </w:pPr>
            <w:r w:rsidRPr="001F151E">
              <w:rPr>
                <w:b/>
                <w:bCs/>
                <w:sz w:val="16"/>
                <w:szCs w:val="16"/>
              </w:rPr>
              <w:t>Measure 4.</w:t>
            </w:r>
            <w:r>
              <w:rPr>
                <w:b/>
                <w:bCs/>
                <w:sz w:val="16"/>
                <w:szCs w:val="16"/>
              </w:rPr>
              <w:t>2</w:t>
            </w:r>
            <w:r w:rsidRPr="001F151E">
              <w:rPr>
                <w:b/>
                <w:bCs/>
                <w:sz w:val="16"/>
                <w:szCs w:val="16"/>
              </w:rPr>
              <w:t>.1 Increase access to a</w:t>
            </w:r>
            <w:r w:rsidR="007E0059">
              <w:rPr>
                <w:b/>
                <w:bCs/>
                <w:sz w:val="16"/>
                <w:szCs w:val="16"/>
              </w:rPr>
              <w:t>nd utilisation of AGFIS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FD69F" w14:textId="4895BB12" w:rsidR="00C613E7" w:rsidRPr="001F151E" w:rsidRDefault="00C613E7" w:rsidP="00B45892">
            <w:pPr>
              <w:pStyle w:val="EcorysBody"/>
              <w:numPr>
                <w:ilvl w:val="0"/>
                <w:numId w:val="55"/>
              </w:numPr>
              <w:rPr>
                <w:rFonts w:ascii="Arial" w:hAnsi="Arial" w:cs="Arial"/>
                <w:sz w:val="16"/>
                <w:szCs w:val="16"/>
              </w:rPr>
            </w:pPr>
            <w:r w:rsidRPr="001F151E">
              <w:rPr>
                <w:rFonts w:ascii="Arial" w:hAnsi="Arial" w:cs="Arial"/>
                <w:sz w:val="16"/>
                <w:szCs w:val="16"/>
              </w:rPr>
              <w:t>Increase access of budget institutions to the electronic archive module of AGFIS.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984EC" w14:textId="6D6B72B9" w:rsidR="00C613E7" w:rsidRPr="001F151E" w:rsidRDefault="00C613E7">
            <w:pPr>
              <w:jc w:val="center"/>
              <w:rPr>
                <w:sz w:val="16"/>
                <w:szCs w:val="16"/>
              </w:rPr>
            </w:pPr>
            <w:r w:rsidRPr="001F151E">
              <w:rPr>
                <w:sz w:val="16"/>
                <w:szCs w:val="16"/>
              </w:rPr>
              <w:t>Q1 2023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D58FC" w14:textId="534C9925" w:rsidR="00C613E7" w:rsidRPr="001F151E" w:rsidRDefault="00C613E7">
            <w:pPr>
              <w:jc w:val="center"/>
              <w:rPr>
                <w:sz w:val="16"/>
                <w:szCs w:val="16"/>
              </w:rPr>
            </w:pPr>
            <w:r w:rsidRPr="001F151E">
              <w:rPr>
                <w:sz w:val="16"/>
                <w:szCs w:val="16"/>
              </w:rPr>
              <w:t>Q4 2024</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8F985A7" w14:textId="77777777" w:rsidR="00C613E7" w:rsidRPr="001F151E" w:rsidRDefault="00C613E7" w:rsidP="00C613E7">
            <w:pPr>
              <w:rPr>
                <w:b/>
                <w:bCs/>
                <w:sz w:val="16"/>
                <w:szCs w:val="16"/>
              </w:rPr>
            </w:pPr>
            <w:r w:rsidRPr="001F151E">
              <w:rPr>
                <w:b/>
                <w:bCs/>
                <w:sz w:val="16"/>
                <w:szCs w:val="16"/>
              </w:rPr>
              <w:t>Responsible entity:</w:t>
            </w:r>
          </w:p>
          <w:p w14:paraId="77893FD1" w14:textId="04F6C96D" w:rsidR="00C613E7" w:rsidRPr="001F151E" w:rsidRDefault="00C613E7" w:rsidP="00C613E7">
            <w:pPr>
              <w:rPr>
                <w:sz w:val="16"/>
                <w:szCs w:val="16"/>
              </w:rPr>
            </w:pPr>
            <w:r>
              <w:rPr>
                <w:sz w:val="16"/>
                <w:szCs w:val="16"/>
              </w:rPr>
              <w:t>GDTreasury (lead)</w:t>
            </w:r>
            <w:r w:rsidR="007E0059">
              <w:rPr>
                <w:sz w:val="16"/>
                <w:szCs w:val="16"/>
              </w:rPr>
              <w:t>, NAIS</w:t>
            </w:r>
          </w:p>
          <w:p w14:paraId="67622132" w14:textId="77777777" w:rsidR="00C613E7" w:rsidRPr="001F151E" w:rsidRDefault="00C613E7" w:rsidP="00C613E7">
            <w:pPr>
              <w:rPr>
                <w:sz w:val="16"/>
                <w:szCs w:val="16"/>
              </w:rPr>
            </w:pPr>
          </w:p>
          <w:p w14:paraId="36A179BD" w14:textId="216CA9E5" w:rsidR="00C613E7" w:rsidRDefault="007E0059" w:rsidP="00C613E7">
            <w:pPr>
              <w:rPr>
                <w:b/>
                <w:bCs/>
                <w:sz w:val="16"/>
                <w:szCs w:val="16"/>
              </w:rPr>
            </w:pPr>
            <w:r>
              <w:rPr>
                <w:b/>
                <w:bCs/>
                <w:sz w:val="16"/>
                <w:szCs w:val="16"/>
              </w:rPr>
              <w:t>Partner:</w:t>
            </w:r>
          </w:p>
          <w:p w14:paraId="779B69C6" w14:textId="77777777" w:rsidR="00C613E7" w:rsidRPr="001F151E" w:rsidRDefault="00C613E7">
            <w:pPr>
              <w:spacing w:line="240" w:lineRule="auto"/>
              <w:rPr>
                <w:sz w:val="16"/>
                <w:szCs w:val="16"/>
              </w:rPr>
            </w:pPr>
          </w:p>
        </w:tc>
      </w:tr>
      <w:tr w:rsidR="00C613E7" w:rsidRPr="001F151E" w14:paraId="1DAFD7F1" w14:textId="77777777" w:rsidTr="00C613E7">
        <w:trPr>
          <w:trHeight w:val="32"/>
        </w:trPr>
        <w:tc>
          <w:tcPr>
            <w:tcW w:w="2065" w:type="dxa"/>
            <w:vMerge/>
            <w:tcBorders>
              <w:left w:val="single" w:sz="4" w:space="0" w:color="auto"/>
              <w:right w:val="single" w:sz="4" w:space="0" w:color="auto"/>
            </w:tcBorders>
            <w:hideMark/>
          </w:tcPr>
          <w:p w14:paraId="4C0F323D" w14:textId="1B597231" w:rsidR="00C613E7" w:rsidRPr="001F151E" w:rsidRDefault="00C613E7">
            <w:pPr>
              <w:rPr>
                <w:b/>
                <w:bCs/>
                <w:sz w:val="16"/>
                <w:szCs w:val="16"/>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7E072885" w14:textId="1A5325ED" w:rsidR="00C613E7" w:rsidRPr="00C613E7" w:rsidRDefault="00C613E7" w:rsidP="00B45892">
            <w:pPr>
              <w:pStyle w:val="ListParagraph"/>
              <w:numPr>
                <w:ilvl w:val="0"/>
                <w:numId w:val="55"/>
              </w:numPr>
              <w:rPr>
                <w:sz w:val="16"/>
                <w:szCs w:val="16"/>
              </w:rPr>
            </w:pPr>
            <w:r w:rsidRPr="00C613E7">
              <w:rPr>
                <w:sz w:val="16"/>
                <w:szCs w:val="16"/>
              </w:rPr>
              <w:t>Automate process of pre-commitment control of expenditure for budget institutions that do not have a direct connection with AGFIS hardware and software AGFIS upgrade.</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AA78C4" w14:textId="3370A09F" w:rsidR="00C613E7" w:rsidRPr="001F151E" w:rsidRDefault="00C613E7">
            <w:pPr>
              <w:jc w:val="center"/>
              <w:rPr>
                <w:sz w:val="16"/>
                <w:szCs w:val="16"/>
              </w:rPr>
            </w:pPr>
            <w:r w:rsidRPr="001F151E">
              <w:rPr>
                <w:sz w:val="16"/>
                <w:szCs w:val="16"/>
              </w:rPr>
              <w:t>Q3 2024</w:t>
            </w:r>
          </w:p>
        </w:tc>
        <w:tc>
          <w:tcPr>
            <w:tcW w:w="810" w:type="dxa"/>
            <w:tcBorders>
              <w:top w:val="single" w:sz="4" w:space="0" w:color="auto"/>
              <w:left w:val="single" w:sz="4" w:space="0" w:color="auto"/>
              <w:bottom w:val="single" w:sz="4" w:space="0" w:color="auto"/>
              <w:right w:val="single" w:sz="4" w:space="0" w:color="auto"/>
            </w:tcBorders>
            <w:vAlign w:val="center"/>
          </w:tcPr>
          <w:p w14:paraId="6DE7DA2E" w14:textId="393271BE" w:rsidR="00C613E7" w:rsidRPr="001F151E" w:rsidRDefault="00C613E7">
            <w:pPr>
              <w:jc w:val="center"/>
              <w:rPr>
                <w:sz w:val="16"/>
                <w:szCs w:val="16"/>
              </w:rPr>
            </w:pPr>
            <w:r w:rsidRPr="001F151E">
              <w:rPr>
                <w:sz w:val="16"/>
                <w:szCs w:val="16"/>
              </w:rPr>
              <w:t>Q4 2026</w:t>
            </w:r>
          </w:p>
        </w:tc>
        <w:tc>
          <w:tcPr>
            <w:tcW w:w="1371" w:type="dxa"/>
            <w:vMerge w:val="restart"/>
            <w:tcBorders>
              <w:top w:val="single" w:sz="4" w:space="0" w:color="auto"/>
              <w:left w:val="single" w:sz="4" w:space="0" w:color="auto"/>
              <w:bottom w:val="single" w:sz="4" w:space="0" w:color="auto"/>
              <w:right w:val="single" w:sz="4" w:space="0" w:color="auto"/>
            </w:tcBorders>
          </w:tcPr>
          <w:p w14:paraId="53680DB9" w14:textId="77777777" w:rsidR="00C613E7" w:rsidRDefault="00C613E7">
            <w:pPr>
              <w:rPr>
                <w:b/>
                <w:bCs/>
                <w:sz w:val="16"/>
                <w:szCs w:val="16"/>
              </w:rPr>
            </w:pPr>
          </w:p>
          <w:p w14:paraId="72AA14F6" w14:textId="77777777" w:rsidR="00C613E7" w:rsidRPr="001F151E" w:rsidRDefault="00C613E7">
            <w:pPr>
              <w:rPr>
                <w:b/>
                <w:bCs/>
                <w:sz w:val="16"/>
                <w:szCs w:val="16"/>
              </w:rPr>
            </w:pPr>
            <w:r w:rsidRPr="001F151E">
              <w:rPr>
                <w:b/>
                <w:bCs/>
                <w:sz w:val="16"/>
                <w:szCs w:val="16"/>
              </w:rPr>
              <w:t>Responsible entity:</w:t>
            </w:r>
          </w:p>
          <w:p w14:paraId="01F3241F" w14:textId="1CD0911D" w:rsidR="00C613E7" w:rsidRPr="001F151E" w:rsidRDefault="00C613E7">
            <w:pPr>
              <w:rPr>
                <w:sz w:val="16"/>
                <w:szCs w:val="16"/>
              </w:rPr>
            </w:pPr>
            <w:r>
              <w:rPr>
                <w:sz w:val="16"/>
                <w:szCs w:val="16"/>
              </w:rPr>
              <w:t>GDTreasury (lead), DHFMCA</w:t>
            </w:r>
          </w:p>
          <w:p w14:paraId="67BD6B63" w14:textId="77777777" w:rsidR="00C613E7" w:rsidRPr="001F151E" w:rsidRDefault="00C613E7">
            <w:pPr>
              <w:rPr>
                <w:sz w:val="16"/>
                <w:szCs w:val="16"/>
              </w:rPr>
            </w:pPr>
          </w:p>
          <w:p w14:paraId="57AF8B08" w14:textId="77777777" w:rsidR="00C613E7" w:rsidRDefault="00C613E7">
            <w:pPr>
              <w:rPr>
                <w:b/>
                <w:bCs/>
                <w:sz w:val="16"/>
                <w:szCs w:val="16"/>
              </w:rPr>
            </w:pPr>
            <w:r>
              <w:rPr>
                <w:b/>
                <w:bCs/>
                <w:sz w:val="16"/>
                <w:szCs w:val="16"/>
              </w:rPr>
              <w:t>Partner:</w:t>
            </w:r>
          </w:p>
          <w:p w14:paraId="33E61B3E" w14:textId="0C714EB6" w:rsidR="00C613E7" w:rsidRPr="00EB1BF0" w:rsidRDefault="00C613E7">
            <w:pPr>
              <w:rPr>
                <w:b/>
                <w:bCs/>
                <w:sz w:val="16"/>
                <w:szCs w:val="16"/>
              </w:rPr>
            </w:pPr>
          </w:p>
        </w:tc>
      </w:tr>
      <w:tr w:rsidR="00C613E7" w:rsidRPr="001F151E" w14:paraId="1EAFF401" w14:textId="77777777" w:rsidTr="00C613E7">
        <w:trPr>
          <w:trHeight w:val="20"/>
        </w:trPr>
        <w:tc>
          <w:tcPr>
            <w:tcW w:w="2065" w:type="dxa"/>
            <w:vMerge/>
            <w:tcBorders>
              <w:left w:val="single" w:sz="4" w:space="0" w:color="auto"/>
              <w:bottom w:val="single" w:sz="4" w:space="0" w:color="auto"/>
              <w:right w:val="single" w:sz="4" w:space="0" w:color="auto"/>
            </w:tcBorders>
            <w:vAlign w:val="center"/>
            <w:hideMark/>
          </w:tcPr>
          <w:p w14:paraId="7DFBF7C9" w14:textId="77777777" w:rsidR="00C613E7" w:rsidRPr="001F151E" w:rsidRDefault="00C613E7" w:rsidP="000E357C">
            <w:pPr>
              <w:spacing w:line="240" w:lineRule="auto"/>
              <w:rPr>
                <w:b/>
                <w:bCs/>
                <w:sz w:val="16"/>
                <w:szCs w:val="16"/>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465DE5E9" w14:textId="5E269F92" w:rsidR="00C613E7" w:rsidRPr="001F151E" w:rsidRDefault="00C613E7" w:rsidP="00B45892">
            <w:pPr>
              <w:numPr>
                <w:ilvl w:val="0"/>
                <w:numId w:val="55"/>
              </w:numPr>
              <w:contextualSpacing/>
              <w:rPr>
                <w:sz w:val="16"/>
                <w:szCs w:val="16"/>
              </w:rPr>
            </w:pPr>
            <w:r w:rsidRPr="001F151E">
              <w:rPr>
                <w:sz w:val="16"/>
                <w:szCs w:val="16"/>
              </w:rPr>
              <w:t>Secure interoperability with the fiscalization system to improve internal controls to prevent arrears.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49FA48" w14:textId="756E7BFD" w:rsidR="00C613E7" w:rsidRPr="001F151E" w:rsidRDefault="00C613E7" w:rsidP="000E357C">
            <w:pPr>
              <w:jc w:val="center"/>
              <w:rPr>
                <w:sz w:val="16"/>
                <w:szCs w:val="16"/>
              </w:rPr>
            </w:pPr>
            <w:r w:rsidRPr="001F151E">
              <w:rPr>
                <w:sz w:val="16"/>
                <w:szCs w:val="16"/>
              </w:rPr>
              <w:t>Q3 2024</w:t>
            </w:r>
          </w:p>
        </w:tc>
        <w:tc>
          <w:tcPr>
            <w:tcW w:w="810" w:type="dxa"/>
            <w:tcBorders>
              <w:top w:val="single" w:sz="4" w:space="0" w:color="auto"/>
              <w:left w:val="single" w:sz="4" w:space="0" w:color="auto"/>
              <w:bottom w:val="single" w:sz="4" w:space="0" w:color="auto"/>
              <w:right w:val="single" w:sz="4" w:space="0" w:color="auto"/>
            </w:tcBorders>
            <w:vAlign w:val="center"/>
          </w:tcPr>
          <w:p w14:paraId="00135F72" w14:textId="15D993B3" w:rsidR="00C613E7" w:rsidRPr="001F151E" w:rsidRDefault="00C613E7" w:rsidP="000E357C">
            <w:pPr>
              <w:jc w:val="center"/>
              <w:rPr>
                <w:sz w:val="16"/>
                <w:szCs w:val="16"/>
              </w:rPr>
            </w:pPr>
            <w:r w:rsidRPr="001F151E">
              <w:rPr>
                <w:sz w:val="16"/>
                <w:szCs w:val="16"/>
              </w:rPr>
              <w:t>Q4 2026</w:t>
            </w: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0241503D" w14:textId="77777777" w:rsidR="00C613E7" w:rsidRPr="001F151E" w:rsidRDefault="00C613E7" w:rsidP="000E357C">
            <w:pPr>
              <w:spacing w:line="240" w:lineRule="auto"/>
              <w:rPr>
                <w:sz w:val="16"/>
                <w:szCs w:val="16"/>
              </w:rPr>
            </w:pPr>
          </w:p>
        </w:tc>
      </w:tr>
      <w:tr w:rsidR="00892285" w:rsidRPr="001F151E" w14:paraId="1A1A0A83" w14:textId="77777777" w:rsidTr="00C613E7">
        <w:trPr>
          <w:trHeight w:val="32"/>
        </w:trPr>
        <w:tc>
          <w:tcPr>
            <w:tcW w:w="2065" w:type="dxa"/>
            <w:vMerge w:val="restart"/>
            <w:tcBorders>
              <w:top w:val="single" w:sz="4" w:space="0" w:color="auto"/>
              <w:left w:val="single" w:sz="4" w:space="0" w:color="auto"/>
              <w:right w:val="single" w:sz="4" w:space="0" w:color="auto"/>
            </w:tcBorders>
          </w:tcPr>
          <w:p w14:paraId="5F308234" w14:textId="1CE06D24" w:rsidR="00892285" w:rsidRPr="001F151E" w:rsidRDefault="00892285" w:rsidP="000E357C">
            <w:pPr>
              <w:rPr>
                <w:b/>
                <w:bCs/>
                <w:sz w:val="16"/>
                <w:szCs w:val="16"/>
              </w:rPr>
            </w:pPr>
            <w:r w:rsidRPr="001F151E">
              <w:rPr>
                <w:b/>
                <w:bCs/>
                <w:sz w:val="16"/>
                <w:szCs w:val="16"/>
              </w:rPr>
              <w:t>Measure 4.</w:t>
            </w:r>
            <w:r w:rsidR="00297283">
              <w:rPr>
                <w:b/>
                <w:bCs/>
                <w:sz w:val="16"/>
                <w:szCs w:val="16"/>
              </w:rPr>
              <w:t>2</w:t>
            </w:r>
            <w:r w:rsidR="007C4226">
              <w:rPr>
                <w:b/>
                <w:bCs/>
                <w:sz w:val="16"/>
                <w:szCs w:val="16"/>
              </w:rPr>
              <w:t>.2</w:t>
            </w:r>
            <w:r w:rsidRPr="001F151E">
              <w:rPr>
                <w:b/>
                <w:bCs/>
                <w:sz w:val="16"/>
                <w:szCs w:val="16"/>
              </w:rPr>
              <w:t xml:space="preserve"> Develop the legal and regulatory framework for accounting reforms</w:t>
            </w:r>
          </w:p>
          <w:p w14:paraId="62FFE339" w14:textId="77777777" w:rsidR="00892285" w:rsidRPr="001F151E" w:rsidRDefault="00892285" w:rsidP="000E357C">
            <w:pPr>
              <w:rPr>
                <w:b/>
                <w:bCs/>
                <w:sz w:val="16"/>
                <w:szCs w:val="16"/>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0DBCF5D9" w14:textId="77777777" w:rsidR="00892285" w:rsidRPr="001F151E" w:rsidRDefault="00892285" w:rsidP="00B45892">
            <w:pPr>
              <w:pStyle w:val="EcorysBody"/>
              <w:numPr>
                <w:ilvl w:val="0"/>
                <w:numId w:val="56"/>
              </w:numPr>
              <w:rPr>
                <w:rFonts w:ascii="Arial" w:hAnsi="Arial" w:cs="Arial"/>
                <w:sz w:val="16"/>
                <w:szCs w:val="16"/>
              </w:rPr>
            </w:pPr>
            <w:r w:rsidRPr="001F151E">
              <w:rPr>
                <w:rFonts w:ascii="Arial" w:hAnsi="Arial" w:cs="Arial"/>
                <w:sz w:val="16"/>
                <w:szCs w:val="16"/>
              </w:rPr>
              <w:t>Develop and enact a new public accounting law introducing the accounting reforms.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304E24" w14:textId="613E8C1B" w:rsidR="00892285" w:rsidRPr="001F151E" w:rsidRDefault="00892285" w:rsidP="000E357C">
            <w:pPr>
              <w:jc w:val="center"/>
              <w:rPr>
                <w:sz w:val="16"/>
                <w:szCs w:val="16"/>
              </w:rPr>
            </w:pPr>
            <w:r w:rsidRPr="001F151E">
              <w:rPr>
                <w:sz w:val="16"/>
                <w:szCs w:val="16"/>
              </w:rPr>
              <w:t>Q1 2024</w:t>
            </w:r>
          </w:p>
        </w:tc>
        <w:tc>
          <w:tcPr>
            <w:tcW w:w="810" w:type="dxa"/>
            <w:tcBorders>
              <w:top w:val="single" w:sz="4" w:space="0" w:color="auto"/>
              <w:left w:val="single" w:sz="4" w:space="0" w:color="auto"/>
              <w:bottom w:val="single" w:sz="4" w:space="0" w:color="auto"/>
              <w:right w:val="single" w:sz="4" w:space="0" w:color="auto"/>
            </w:tcBorders>
            <w:vAlign w:val="center"/>
            <w:hideMark/>
          </w:tcPr>
          <w:p w14:paraId="4932796B" w14:textId="19CE7D2B" w:rsidR="00892285" w:rsidRPr="001F151E" w:rsidRDefault="00892285" w:rsidP="000E357C">
            <w:pPr>
              <w:jc w:val="center"/>
              <w:rPr>
                <w:sz w:val="16"/>
                <w:szCs w:val="16"/>
              </w:rPr>
            </w:pPr>
            <w:r w:rsidRPr="001F151E">
              <w:rPr>
                <w:sz w:val="16"/>
                <w:szCs w:val="16"/>
              </w:rPr>
              <w:t>Q4 2026</w:t>
            </w:r>
          </w:p>
        </w:tc>
        <w:tc>
          <w:tcPr>
            <w:tcW w:w="1371" w:type="dxa"/>
            <w:vMerge w:val="restart"/>
            <w:tcBorders>
              <w:top w:val="single" w:sz="4" w:space="0" w:color="auto"/>
              <w:left w:val="single" w:sz="4" w:space="0" w:color="auto"/>
              <w:right w:val="single" w:sz="4" w:space="0" w:color="auto"/>
            </w:tcBorders>
          </w:tcPr>
          <w:p w14:paraId="3068DC82" w14:textId="77777777" w:rsidR="00892285" w:rsidRPr="001F151E" w:rsidRDefault="00892285" w:rsidP="000E357C">
            <w:pPr>
              <w:rPr>
                <w:b/>
                <w:bCs/>
                <w:sz w:val="16"/>
                <w:szCs w:val="16"/>
              </w:rPr>
            </w:pPr>
            <w:r w:rsidRPr="001F151E">
              <w:rPr>
                <w:b/>
                <w:bCs/>
                <w:sz w:val="16"/>
                <w:szCs w:val="16"/>
              </w:rPr>
              <w:t>Responsible entity:</w:t>
            </w:r>
          </w:p>
          <w:p w14:paraId="41E02A83" w14:textId="41769E08" w:rsidR="00892285" w:rsidRPr="001F151E" w:rsidRDefault="00892285" w:rsidP="000E357C">
            <w:pPr>
              <w:rPr>
                <w:sz w:val="16"/>
                <w:szCs w:val="16"/>
              </w:rPr>
            </w:pPr>
            <w:r w:rsidRPr="001F151E">
              <w:rPr>
                <w:sz w:val="16"/>
                <w:szCs w:val="16"/>
              </w:rPr>
              <w:t xml:space="preserve">DHFMCA (lead), </w:t>
            </w:r>
            <w:r w:rsidR="00EB1BF0">
              <w:rPr>
                <w:sz w:val="16"/>
                <w:szCs w:val="16"/>
              </w:rPr>
              <w:t>GDTreasury</w:t>
            </w:r>
          </w:p>
          <w:p w14:paraId="4FCBC1C6" w14:textId="77777777" w:rsidR="00892285" w:rsidRPr="001F151E" w:rsidRDefault="00892285" w:rsidP="000E357C">
            <w:pPr>
              <w:rPr>
                <w:sz w:val="16"/>
                <w:szCs w:val="16"/>
              </w:rPr>
            </w:pPr>
          </w:p>
          <w:p w14:paraId="56D5AF21" w14:textId="77777777" w:rsidR="00892285" w:rsidRPr="001F151E" w:rsidRDefault="00892285" w:rsidP="000E357C">
            <w:pPr>
              <w:rPr>
                <w:b/>
                <w:bCs/>
                <w:sz w:val="16"/>
                <w:szCs w:val="16"/>
              </w:rPr>
            </w:pPr>
            <w:r w:rsidRPr="001F151E">
              <w:rPr>
                <w:b/>
                <w:bCs/>
                <w:sz w:val="16"/>
                <w:szCs w:val="16"/>
              </w:rPr>
              <w:t>Partner:</w:t>
            </w:r>
          </w:p>
          <w:p w14:paraId="5EAC7BE6" w14:textId="77777777" w:rsidR="00892285" w:rsidRPr="001F151E" w:rsidRDefault="00892285" w:rsidP="000E357C">
            <w:pPr>
              <w:rPr>
                <w:sz w:val="16"/>
                <w:szCs w:val="16"/>
              </w:rPr>
            </w:pPr>
            <w:r w:rsidRPr="001F151E">
              <w:rPr>
                <w:sz w:val="16"/>
                <w:szCs w:val="16"/>
              </w:rPr>
              <w:t>World Bank, SECO</w:t>
            </w:r>
          </w:p>
        </w:tc>
      </w:tr>
      <w:tr w:rsidR="00892285" w:rsidRPr="001F151E" w14:paraId="5F62C0B8" w14:textId="77777777" w:rsidTr="00C613E7">
        <w:trPr>
          <w:trHeight w:val="607"/>
        </w:trPr>
        <w:tc>
          <w:tcPr>
            <w:tcW w:w="2065" w:type="dxa"/>
            <w:vMerge/>
            <w:tcBorders>
              <w:left w:val="single" w:sz="4" w:space="0" w:color="auto"/>
              <w:right w:val="single" w:sz="4" w:space="0" w:color="auto"/>
            </w:tcBorders>
            <w:vAlign w:val="center"/>
            <w:hideMark/>
          </w:tcPr>
          <w:p w14:paraId="741202E7" w14:textId="77777777" w:rsidR="00892285" w:rsidRPr="001F151E" w:rsidRDefault="00892285" w:rsidP="000E357C">
            <w:pPr>
              <w:spacing w:line="240" w:lineRule="auto"/>
              <w:rPr>
                <w:b/>
                <w:bCs/>
                <w:sz w:val="16"/>
                <w:szCs w:val="16"/>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72064469" w14:textId="77777777" w:rsidR="00892285" w:rsidRPr="001F151E" w:rsidRDefault="00892285" w:rsidP="00B45892">
            <w:pPr>
              <w:numPr>
                <w:ilvl w:val="0"/>
                <w:numId w:val="56"/>
              </w:numPr>
              <w:contextualSpacing/>
              <w:rPr>
                <w:sz w:val="16"/>
                <w:szCs w:val="16"/>
              </w:rPr>
            </w:pPr>
            <w:r w:rsidRPr="001F151E">
              <w:rPr>
                <w:sz w:val="16"/>
                <w:szCs w:val="16"/>
              </w:rPr>
              <w:t>Develop instructions / sub-legal acts covering all adopted IPSAS and develop for each sub-legal act the manuals.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57B70F1" w14:textId="6661A714" w:rsidR="00892285" w:rsidRPr="001F151E" w:rsidRDefault="00892285" w:rsidP="000E357C">
            <w:pPr>
              <w:jc w:val="center"/>
              <w:rPr>
                <w:sz w:val="16"/>
                <w:szCs w:val="16"/>
              </w:rPr>
            </w:pPr>
            <w:r w:rsidRPr="001F151E">
              <w:rPr>
                <w:sz w:val="16"/>
                <w:szCs w:val="16"/>
              </w:rPr>
              <w:t>Q1 2024</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A8D70C" w14:textId="4A5E4335" w:rsidR="00892285" w:rsidRPr="001F151E" w:rsidRDefault="00892285" w:rsidP="000E357C">
            <w:pPr>
              <w:jc w:val="center"/>
              <w:rPr>
                <w:sz w:val="16"/>
                <w:szCs w:val="16"/>
              </w:rPr>
            </w:pPr>
            <w:r w:rsidRPr="001F151E">
              <w:rPr>
                <w:sz w:val="16"/>
                <w:szCs w:val="16"/>
              </w:rPr>
              <w:t>Q4 2026</w:t>
            </w:r>
          </w:p>
        </w:tc>
        <w:tc>
          <w:tcPr>
            <w:tcW w:w="1371" w:type="dxa"/>
            <w:vMerge/>
            <w:tcBorders>
              <w:left w:val="single" w:sz="4" w:space="0" w:color="auto"/>
              <w:right w:val="single" w:sz="4" w:space="0" w:color="auto"/>
            </w:tcBorders>
            <w:vAlign w:val="center"/>
            <w:hideMark/>
          </w:tcPr>
          <w:p w14:paraId="374EA6D3" w14:textId="77777777" w:rsidR="00892285" w:rsidRPr="001F151E" w:rsidRDefault="00892285" w:rsidP="000E357C">
            <w:pPr>
              <w:spacing w:line="240" w:lineRule="auto"/>
              <w:rPr>
                <w:sz w:val="16"/>
                <w:szCs w:val="16"/>
              </w:rPr>
            </w:pPr>
          </w:p>
        </w:tc>
      </w:tr>
      <w:tr w:rsidR="00892285" w:rsidRPr="001F151E" w14:paraId="5EC0280D" w14:textId="77777777" w:rsidTr="00C613E7">
        <w:trPr>
          <w:trHeight w:val="607"/>
        </w:trPr>
        <w:tc>
          <w:tcPr>
            <w:tcW w:w="2065" w:type="dxa"/>
            <w:vMerge/>
            <w:tcBorders>
              <w:left w:val="single" w:sz="4" w:space="0" w:color="auto"/>
              <w:bottom w:val="single" w:sz="4" w:space="0" w:color="auto"/>
              <w:right w:val="single" w:sz="4" w:space="0" w:color="auto"/>
            </w:tcBorders>
            <w:vAlign w:val="center"/>
          </w:tcPr>
          <w:p w14:paraId="1B0CE0D3" w14:textId="77777777" w:rsidR="00892285" w:rsidRPr="001F151E" w:rsidRDefault="00892285" w:rsidP="000E357C">
            <w:pPr>
              <w:spacing w:line="240" w:lineRule="auto"/>
              <w:rPr>
                <w:b/>
                <w:bCs/>
                <w:sz w:val="16"/>
                <w:szCs w:val="16"/>
              </w:rPr>
            </w:pPr>
          </w:p>
        </w:tc>
        <w:tc>
          <w:tcPr>
            <w:tcW w:w="3960" w:type="dxa"/>
            <w:tcBorders>
              <w:top w:val="single" w:sz="4" w:space="0" w:color="auto"/>
              <w:left w:val="single" w:sz="4" w:space="0" w:color="auto"/>
              <w:bottom w:val="single" w:sz="4" w:space="0" w:color="auto"/>
              <w:right w:val="single" w:sz="4" w:space="0" w:color="auto"/>
            </w:tcBorders>
            <w:vAlign w:val="center"/>
          </w:tcPr>
          <w:p w14:paraId="5819BAF8" w14:textId="4B137722" w:rsidR="00892285" w:rsidRPr="001F151E" w:rsidRDefault="00892285" w:rsidP="00B45892">
            <w:pPr>
              <w:numPr>
                <w:ilvl w:val="0"/>
                <w:numId w:val="56"/>
              </w:numPr>
              <w:contextualSpacing/>
              <w:rPr>
                <w:sz w:val="16"/>
                <w:szCs w:val="16"/>
              </w:rPr>
            </w:pPr>
            <w:r w:rsidRPr="001F151E">
              <w:rPr>
                <w:sz w:val="16"/>
                <w:szCs w:val="16"/>
              </w:rPr>
              <w:t>Assist the budgetary institutions in compiling opening balances</w:t>
            </w:r>
            <w:r w:rsidR="002B78A3">
              <w:rPr>
                <w:sz w:val="16"/>
                <w:szCs w:val="16"/>
              </w:rPr>
              <w:t xml:space="preserve"> and implementing</w:t>
            </w:r>
            <w:r w:rsidRPr="001F151E">
              <w:rPr>
                <w:sz w:val="16"/>
                <w:szCs w:val="16"/>
              </w:rPr>
              <w:t xml:space="preserve"> the new accounting framework</w:t>
            </w:r>
            <w:r w:rsidR="00E46076">
              <w:rPr>
                <w:rStyle w:val="FootnoteReference"/>
              </w:rPr>
              <w:footnoteReference w:id="50"/>
            </w:r>
            <w:r w:rsidRPr="001F151E">
              <w:rPr>
                <w:sz w:val="16"/>
                <w:szCs w:val="16"/>
              </w:rPr>
              <w:t>.</w:t>
            </w:r>
            <w:r w:rsidR="002B78A3">
              <w:rPr>
                <w:sz w:val="16"/>
                <w:szCs w:val="16"/>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14:paraId="6E269E66" w14:textId="3933B18C" w:rsidR="00892285" w:rsidRPr="001F151E" w:rsidRDefault="00892285" w:rsidP="006215A1">
            <w:pPr>
              <w:jc w:val="center"/>
              <w:rPr>
                <w:sz w:val="16"/>
                <w:szCs w:val="16"/>
              </w:rPr>
            </w:pPr>
            <w:r w:rsidRPr="001F151E">
              <w:rPr>
                <w:sz w:val="16"/>
                <w:szCs w:val="16"/>
              </w:rPr>
              <w:t>Q1 2025</w:t>
            </w:r>
          </w:p>
        </w:tc>
        <w:tc>
          <w:tcPr>
            <w:tcW w:w="810" w:type="dxa"/>
            <w:tcBorders>
              <w:top w:val="single" w:sz="4" w:space="0" w:color="auto"/>
              <w:left w:val="single" w:sz="4" w:space="0" w:color="auto"/>
              <w:bottom w:val="single" w:sz="4" w:space="0" w:color="auto"/>
              <w:right w:val="single" w:sz="4" w:space="0" w:color="auto"/>
            </w:tcBorders>
            <w:vAlign w:val="center"/>
          </w:tcPr>
          <w:p w14:paraId="5A9794E2" w14:textId="5796AF06" w:rsidR="00892285" w:rsidRPr="001F151E" w:rsidRDefault="00892285" w:rsidP="000E357C">
            <w:pPr>
              <w:jc w:val="center"/>
              <w:rPr>
                <w:sz w:val="16"/>
                <w:szCs w:val="16"/>
              </w:rPr>
            </w:pPr>
            <w:r w:rsidRPr="001F151E">
              <w:rPr>
                <w:sz w:val="16"/>
                <w:szCs w:val="16"/>
              </w:rPr>
              <w:t>Q4 2026</w:t>
            </w:r>
          </w:p>
        </w:tc>
        <w:tc>
          <w:tcPr>
            <w:tcW w:w="1371" w:type="dxa"/>
            <w:vMerge/>
            <w:tcBorders>
              <w:left w:val="single" w:sz="4" w:space="0" w:color="auto"/>
              <w:bottom w:val="single" w:sz="4" w:space="0" w:color="auto"/>
              <w:right w:val="single" w:sz="4" w:space="0" w:color="auto"/>
            </w:tcBorders>
            <w:vAlign w:val="center"/>
          </w:tcPr>
          <w:p w14:paraId="04377640" w14:textId="77777777" w:rsidR="00892285" w:rsidRPr="001F151E" w:rsidRDefault="00892285" w:rsidP="000E357C">
            <w:pPr>
              <w:spacing w:line="240" w:lineRule="auto"/>
              <w:rPr>
                <w:sz w:val="16"/>
                <w:szCs w:val="16"/>
              </w:rPr>
            </w:pPr>
          </w:p>
        </w:tc>
      </w:tr>
      <w:tr w:rsidR="000E357C" w:rsidRPr="001F151E" w14:paraId="3BC58448" w14:textId="77777777" w:rsidTr="00C613E7">
        <w:trPr>
          <w:trHeight w:val="180"/>
        </w:trPr>
        <w:tc>
          <w:tcPr>
            <w:tcW w:w="2065" w:type="dxa"/>
            <w:vMerge w:val="restart"/>
            <w:tcBorders>
              <w:top w:val="single" w:sz="4" w:space="0" w:color="auto"/>
              <w:left w:val="single" w:sz="4" w:space="0" w:color="auto"/>
              <w:bottom w:val="single" w:sz="4" w:space="0" w:color="auto"/>
              <w:right w:val="single" w:sz="4" w:space="0" w:color="auto"/>
            </w:tcBorders>
          </w:tcPr>
          <w:p w14:paraId="6A884B67" w14:textId="53463FFA" w:rsidR="000E357C" w:rsidRPr="001F151E" w:rsidRDefault="000E357C" w:rsidP="000E357C">
            <w:pPr>
              <w:pStyle w:val="EcorysBody"/>
              <w:rPr>
                <w:rFonts w:ascii="Arial" w:hAnsi="Arial" w:cs="Arial"/>
                <w:b/>
                <w:bCs/>
                <w:sz w:val="16"/>
                <w:szCs w:val="16"/>
              </w:rPr>
            </w:pPr>
            <w:r w:rsidRPr="001F151E">
              <w:rPr>
                <w:rFonts w:ascii="Arial" w:hAnsi="Arial" w:cs="Arial"/>
                <w:b/>
                <w:bCs/>
                <w:sz w:val="16"/>
                <w:szCs w:val="16"/>
              </w:rPr>
              <w:t>Measure 4.</w:t>
            </w:r>
            <w:r w:rsidR="00297283">
              <w:rPr>
                <w:rFonts w:ascii="Arial" w:hAnsi="Arial" w:cs="Arial"/>
                <w:b/>
                <w:bCs/>
                <w:sz w:val="16"/>
                <w:szCs w:val="16"/>
              </w:rPr>
              <w:t>2</w:t>
            </w:r>
            <w:r w:rsidR="007C4226">
              <w:rPr>
                <w:rFonts w:ascii="Arial" w:hAnsi="Arial" w:cs="Arial"/>
                <w:b/>
                <w:bCs/>
                <w:sz w:val="16"/>
                <w:szCs w:val="16"/>
              </w:rPr>
              <w:t>.3</w:t>
            </w:r>
            <w:r w:rsidRPr="001F151E">
              <w:rPr>
                <w:rFonts w:ascii="Arial" w:hAnsi="Arial" w:cs="Arial"/>
                <w:b/>
                <w:bCs/>
                <w:sz w:val="16"/>
                <w:szCs w:val="16"/>
              </w:rPr>
              <w:t xml:space="preserve"> Improve functionalities of AGFIS to absorb accounting reforms</w:t>
            </w:r>
          </w:p>
          <w:p w14:paraId="09C1923A" w14:textId="77777777" w:rsidR="000E357C" w:rsidRPr="001F151E" w:rsidRDefault="000E357C" w:rsidP="000E357C">
            <w:pPr>
              <w:pStyle w:val="EcorysBody"/>
              <w:rPr>
                <w:rFonts w:ascii="Arial" w:hAnsi="Arial" w:cs="Arial"/>
                <w:b/>
                <w:bCs/>
                <w:sz w:val="16"/>
                <w:szCs w:val="16"/>
              </w:rPr>
            </w:pPr>
          </w:p>
        </w:tc>
        <w:tc>
          <w:tcPr>
            <w:tcW w:w="3960" w:type="dxa"/>
            <w:tcBorders>
              <w:top w:val="single" w:sz="4" w:space="0" w:color="auto"/>
              <w:left w:val="single" w:sz="4" w:space="0" w:color="auto"/>
              <w:bottom w:val="single" w:sz="4" w:space="0" w:color="auto"/>
              <w:right w:val="single" w:sz="4" w:space="0" w:color="auto"/>
            </w:tcBorders>
            <w:hideMark/>
          </w:tcPr>
          <w:p w14:paraId="62136C72" w14:textId="77777777" w:rsidR="000E357C" w:rsidRPr="001F151E" w:rsidRDefault="000E357C" w:rsidP="00B45892">
            <w:pPr>
              <w:pStyle w:val="EcorysBody"/>
              <w:numPr>
                <w:ilvl w:val="0"/>
                <w:numId w:val="57"/>
              </w:numPr>
              <w:spacing w:line="288" w:lineRule="auto"/>
              <w:contextualSpacing/>
              <w:rPr>
                <w:rFonts w:ascii="Arial" w:hAnsi="Arial" w:cs="Arial"/>
                <w:sz w:val="16"/>
                <w:szCs w:val="16"/>
              </w:rPr>
            </w:pPr>
            <w:r w:rsidRPr="001F151E">
              <w:rPr>
                <w:rFonts w:ascii="Arial" w:hAnsi="Arial" w:cs="Arial"/>
                <w:sz w:val="16"/>
                <w:szCs w:val="16"/>
              </w:rPr>
              <w:t>Prepare functional requirements document and AGFIS improvement plan to absorb the planned accounting reforms.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E344628" w14:textId="0F2F2047" w:rsidR="000E357C" w:rsidRPr="001F151E" w:rsidRDefault="000E357C" w:rsidP="000E357C">
            <w:pPr>
              <w:jc w:val="center"/>
              <w:rPr>
                <w:sz w:val="16"/>
                <w:szCs w:val="16"/>
              </w:rPr>
            </w:pPr>
            <w:r w:rsidRPr="001F151E">
              <w:rPr>
                <w:sz w:val="16"/>
                <w:szCs w:val="16"/>
              </w:rPr>
              <w:t>Q3 2024</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741FDB" w14:textId="396F5B2F" w:rsidR="000E357C" w:rsidRPr="001F151E" w:rsidRDefault="000E357C" w:rsidP="000E357C">
            <w:pPr>
              <w:jc w:val="center"/>
              <w:rPr>
                <w:sz w:val="16"/>
                <w:szCs w:val="16"/>
              </w:rPr>
            </w:pPr>
            <w:r w:rsidRPr="001F151E">
              <w:rPr>
                <w:sz w:val="16"/>
                <w:szCs w:val="16"/>
              </w:rPr>
              <w:t>Q4 2026</w:t>
            </w:r>
          </w:p>
        </w:tc>
        <w:tc>
          <w:tcPr>
            <w:tcW w:w="1371" w:type="dxa"/>
            <w:vMerge w:val="restart"/>
            <w:tcBorders>
              <w:top w:val="single" w:sz="4" w:space="0" w:color="auto"/>
              <w:left w:val="single" w:sz="4" w:space="0" w:color="auto"/>
              <w:bottom w:val="single" w:sz="4" w:space="0" w:color="auto"/>
              <w:right w:val="single" w:sz="4" w:space="0" w:color="auto"/>
            </w:tcBorders>
          </w:tcPr>
          <w:p w14:paraId="3FF6FEA8" w14:textId="77777777" w:rsidR="000E357C" w:rsidRPr="001F151E" w:rsidRDefault="000E357C" w:rsidP="000E357C">
            <w:pPr>
              <w:rPr>
                <w:b/>
                <w:bCs/>
                <w:sz w:val="16"/>
                <w:szCs w:val="16"/>
              </w:rPr>
            </w:pPr>
            <w:r w:rsidRPr="001F151E">
              <w:rPr>
                <w:b/>
                <w:bCs/>
                <w:sz w:val="16"/>
                <w:szCs w:val="16"/>
              </w:rPr>
              <w:t>Responsible entity:</w:t>
            </w:r>
          </w:p>
          <w:p w14:paraId="019454AB" w14:textId="5D24D9F7" w:rsidR="000E357C" w:rsidRPr="001F151E" w:rsidRDefault="00EB1BF0" w:rsidP="000E357C">
            <w:pPr>
              <w:rPr>
                <w:sz w:val="16"/>
                <w:szCs w:val="16"/>
              </w:rPr>
            </w:pPr>
            <w:r>
              <w:rPr>
                <w:sz w:val="16"/>
                <w:szCs w:val="16"/>
              </w:rPr>
              <w:t>GDTreasury (lead), DHFMCA</w:t>
            </w:r>
          </w:p>
          <w:p w14:paraId="3280CB3C" w14:textId="77777777" w:rsidR="000E357C" w:rsidRPr="001F151E" w:rsidRDefault="000E357C" w:rsidP="000E357C">
            <w:pPr>
              <w:rPr>
                <w:sz w:val="16"/>
                <w:szCs w:val="16"/>
              </w:rPr>
            </w:pPr>
          </w:p>
          <w:p w14:paraId="12018F99" w14:textId="77777777" w:rsidR="000E357C" w:rsidRPr="001F151E" w:rsidRDefault="000E357C" w:rsidP="000E357C">
            <w:pPr>
              <w:rPr>
                <w:b/>
                <w:bCs/>
                <w:sz w:val="16"/>
                <w:szCs w:val="16"/>
              </w:rPr>
            </w:pPr>
            <w:r w:rsidRPr="001F151E">
              <w:rPr>
                <w:b/>
                <w:bCs/>
                <w:sz w:val="16"/>
                <w:szCs w:val="16"/>
              </w:rPr>
              <w:t>Partner:</w:t>
            </w:r>
          </w:p>
          <w:p w14:paraId="60EE948B" w14:textId="77777777" w:rsidR="000E357C" w:rsidRPr="001F151E" w:rsidRDefault="000E357C" w:rsidP="000E357C">
            <w:pPr>
              <w:rPr>
                <w:sz w:val="16"/>
                <w:szCs w:val="16"/>
              </w:rPr>
            </w:pPr>
            <w:r w:rsidRPr="001F151E">
              <w:rPr>
                <w:sz w:val="16"/>
                <w:szCs w:val="16"/>
              </w:rPr>
              <w:t>World Bank, SECO</w:t>
            </w:r>
          </w:p>
        </w:tc>
      </w:tr>
      <w:tr w:rsidR="000E357C" w:rsidRPr="001F151E" w14:paraId="27CBF917" w14:textId="77777777" w:rsidTr="00C613E7">
        <w:trPr>
          <w:trHeight w:val="215"/>
        </w:trPr>
        <w:tc>
          <w:tcPr>
            <w:tcW w:w="2065" w:type="dxa"/>
            <w:vMerge/>
            <w:tcBorders>
              <w:top w:val="single" w:sz="4" w:space="0" w:color="auto"/>
              <w:left w:val="single" w:sz="4" w:space="0" w:color="auto"/>
              <w:bottom w:val="single" w:sz="4" w:space="0" w:color="auto"/>
              <w:right w:val="single" w:sz="4" w:space="0" w:color="auto"/>
            </w:tcBorders>
            <w:vAlign w:val="center"/>
            <w:hideMark/>
          </w:tcPr>
          <w:p w14:paraId="23708FFB" w14:textId="77777777" w:rsidR="000E357C" w:rsidRPr="001F151E" w:rsidRDefault="000E357C" w:rsidP="000E357C">
            <w:pPr>
              <w:spacing w:line="240" w:lineRule="auto"/>
              <w:rPr>
                <w:b/>
                <w:bCs/>
                <w:sz w:val="16"/>
                <w:szCs w:val="16"/>
              </w:rPr>
            </w:pPr>
          </w:p>
        </w:tc>
        <w:tc>
          <w:tcPr>
            <w:tcW w:w="3960" w:type="dxa"/>
            <w:tcBorders>
              <w:top w:val="single" w:sz="4" w:space="0" w:color="auto"/>
              <w:left w:val="single" w:sz="4" w:space="0" w:color="auto"/>
              <w:bottom w:val="single" w:sz="4" w:space="0" w:color="auto"/>
              <w:right w:val="single" w:sz="4" w:space="0" w:color="auto"/>
            </w:tcBorders>
            <w:hideMark/>
          </w:tcPr>
          <w:p w14:paraId="30505126" w14:textId="77777777" w:rsidR="000E357C" w:rsidRPr="001F151E" w:rsidRDefault="000E357C" w:rsidP="00B45892">
            <w:pPr>
              <w:pStyle w:val="EcorysBody"/>
              <w:numPr>
                <w:ilvl w:val="0"/>
                <w:numId w:val="57"/>
              </w:numPr>
              <w:rPr>
                <w:rFonts w:ascii="Arial" w:hAnsi="Arial" w:cs="Arial"/>
                <w:sz w:val="16"/>
                <w:szCs w:val="16"/>
              </w:rPr>
            </w:pPr>
            <w:r w:rsidRPr="001F151E">
              <w:rPr>
                <w:rFonts w:ascii="Arial" w:hAnsi="Arial" w:cs="Arial"/>
                <w:sz w:val="16"/>
                <w:szCs w:val="16"/>
              </w:rPr>
              <w:t>Develop test and deploy improved / additional functionalities necessary to ensure compliance with the new legislation.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1445E4CA" w14:textId="7197ADBA" w:rsidR="000E357C" w:rsidRPr="001F151E" w:rsidRDefault="000E357C" w:rsidP="000E357C">
            <w:pPr>
              <w:jc w:val="center"/>
              <w:rPr>
                <w:sz w:val="16"/>
                <w:szCs w:val="16"/>
              </w:rPr>
            </w:pPr>
            <w:r w:rsidRPr="001F151E">
              <w:rPr>
                <w:sz w:val="16"/>
                <w:szCs w:val="16"/>
              </w:rPr>
              <w:t>Q1 2024</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66E5E2" w14:textId="4A037DCB" w:rsidR="000E357C" w:rsidRPr="001F151E" w:rsidRDefault="000E357C" w:rsidP="000E357C">
            <w:pPr>
              <w:jc w:val="center"/>
              <w:rPr>
                <w:sz w:val="16"/>
                <w:szCs w:val="16"/>
              </w:rPr>
            </w:pPr>
            <w:r w:rsidRPr="001F151E">
              <w:rPr>
                <w:sz w:val="16"/>
                <w:szCs w:val="16"/>
              </w:rPr>
              <w:t>Q4 2026</w:t>
            </w: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7E8DFA65" w14:textId="77777777" w:rsidR="000E357C" w:rsidRPr="001F151E" w:rsidRDefault="000E357C" w:rsidP="000E357C">
            <w:pPr>
              <w:spacing w:line="240" w:lineRule="auto"/>
              <w:rPr>
                <w:sz w:val="16"/>
                <w:szCs w:val="16"/>
              </w:rPr>
            </w:pPr>
          </w:p>
        </w:tc>
      </w:tr>
      <w:tr w:rsidR="006E5EBB" w:rsidRPr="001F151E" w14:paraId="72698E83" w14:textId="77777777" w:rsidTr="00C613E7">
        <w:trPr>
          <w:trHeight w:val="607"/>
        </w:trPr>
        <w:tc>
          <w:tcPr>
            <w:tcW w:w="2065" w:type="dxa"/>
            <w:vMerge w:val="restart"/>
            <w:tcBorders>
              <w:top w:val="single" w:sz="4" w:space="0" w:color="auto"/>
              <w:left w:val="single" w:sz="4" w:space="0" w:color="auto"/>
              <w:right w:val="single" w:sz="4" w:space="0" w:color="auto"/>
            </w:tcBorders>
          </w:tcPr>
          <w:p w14:paraId="571FBFB2" w14:textId="35115F65" w:rsidR="006E5EBB" w:rsidRPr="001F151E" w:rsidRDefault="006E5EBB" w:rsidP="000E357C">
            <w:pPr>
              <w:pStyle w:val="EcorysBody"/>
              <w:rPr>
                <w:rFonts w:ascii="Arial" w:hAnsi="Arial" w:cs="Arial"/>
                <w:b/>
                <w:bCs/>
                <w:sz w:val="16"/>
                <w:szCs w:val="16"/>
              </w:rPr>
            </w:pPr>
            <w:r w:rsidRPr="001F151E">
              <w:rPr>
                <w:rFonts w:ascii="Arial" w:hAnsi="Arial" w:cs="Arial"/>
                <w:b/>
                <w:bCs/>
                <w:sz w:val="16"/>
                <w:szCs w:val="16"/>
              </w:rPr>
              <w:t>Measure 4.</w:t>
            </w:r>
            <w:r>
              <w:rPr>
                <w:rFonts w:ascii="Arial" w:hAnsi="Arial" w:cs="Arial"/>
                <w:b/>
                <w:bCs/>
                <w:sz w:val="16"/>
                <w:szCs w:val="16"/>
              </w:rPr>
              <w:t>2</w:t>
            </w:r>
            <w:r w:rsidR="007C4226">
              <w:rPr>
                <w:rFonts w:ascii="Arial" w:hAnsi="Arial" w:cs="Arial"/>
                <w:b/>
                <w:bCs/>
                <w:sz w:val="16"/>
                <w:szCs w:val="16"/>
              </w:rPr>
              <w:t>.4</w:t>
            </w:r>
            <w:r w:rsidRPr="001F151E">
              <w:rPr>
                <w:rFonts w:ascii="Arial" w:hAnsi="Arial" w:cs="Arial"/>
                <w:b/>
                <w:bCs/>
                <w:sz w:val="16"/>
                <w:szCs w:val="16"/>
              </w:rPr>
              <w:t xml:space="preserve"> Prepare, deliver and institutionalise capacity development of accountants to absorb accounting reforms</w:t>
            </w:r>
          </w:p>
          <w:p w14:paraId="7809EF6B" w14:textId="77777777" w:rsidR="006E5EBB" w:rsidRPr="001F151E" w:rsidRDefault="006E5EBB" w:rsidP="000E357C">
            <w:pPr>
              <w:pStyle w:val="EcorysBody"/>
              <w:rPr>
                <w:rFonts w:ascii="Arial" w:hAnsi="Arial" w:cs="Arial"/>
                <w:b/>
                <w:bCs/>
                <w:sz w:val="16"/>
                <w:szCs w:val="16"/>
              </w:rPr>
            </w:pPr>
          </w:p>
        </w:tc>
        <w:tc>
          <w:tcPr>
            <w:tcW w:w="3960" w:type="dxa"/>
            <w:tcBorders>
              <w:top w:val="single" w:sz="4" w:space="0" w:color="auto"/>
              <w:left w:val="single" w:sz="4" w:space="0" w:color="auto"/>
              <w:bottom w:val="single" w:sz="4" w:space="0" w:color="auto"/>
              <w:right w:val="single" w:sz="4" w:space="0" w:color="auto"/>
            </w:tcBorders>
            <w:hideMark/>
          </w:tcPr>
          <w:p w14:paraId="3032E152" w14:textId="77777777" w:rsidR="006E5EBB" w:rsidRPr="001F151E" w:rsidRDefault="006E5EBB" w:rsidP="00B45892">
            <w:pPr>
              <w:pStyle w:val="EcorysBody"/>
              <w:numPr>
                <w:ilvl w:val="0"/>
                <w:numId w:val="58"/>
              </w:numPr>
              <w:rPr>
                <w:rFonts w:ascii="Arial" w:hAnsi="Arial" w:cs="Arial"/>
                <w:sz w:val="16"/>
                <w:szCs w:val="16"/>
              </w:rPr>
            </w:pPr>
            <w:r w:rsidRPr="001F151E">
              <w:rPr>
                <w:rFonts w:ascii="Arial" w:hAnsi="Arial" w:cs="Arial"/>
                <w:sz w:val="16"/>
                <w:szCs w:val="16"/>
              </w:rPr>
              <w:t>Develop a comprehensive capacity development plan, including mechanisms for CPD and certification of public sector accountants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AFACD99" w14:textId="2EFA9EAA" w:rsidR="006E5EBB" w:rsidRPr="001F151E" w:rsidRDefault="006E5EBB" w:rsidP="000E357C">
            <w:pPr>
              <w:jc w:val="center"/>
              <w:rPr>
                <w:sz w:val="16"/>
                <w:szCs w:val="16"/>
              </w:rPr>
            </w:pPr>
            <w:r w:rsidRPr="001F151E">
              <w:rPr>
                <w:sz w:val="16"/>
                <w:szCs w:val="16"/>
              </w:rPr>
              <w:t>Q1 2024</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AE3302" w14:textId="75830123" w:rsidR="006E5EBB" w:rsidRPr="001F151E" w:rsidRDefault="006E5EBB" w:rsidP="000E357C">
            <w:pPr>
              <w:jc w:val="center"/>
              <w:rPr>
                <w:sz w:val="16"/>
                <w:szCs w:val="16"/>
              </w:rPr>
            </w:pPr>
            <w:r w:rsidRPr="001F151E">
              <w:rPr>
                <w:sz w:val="16"/>
                <w:szCs w:val="16"/>
              </w:rPr>
              <w:t>Q4 2026</w:t>
            </w:r>
          </w:p>
        </w:tc>
        <w:tc>
          <w:tcPr>
            <w:tcW w:w="1371" w:type="dxa"/>
            <w:vMerge w:val="restart"/>
            <w:tcBorders>
              <w:top w:val="single" w:sz="4" w:space="0" w:color="auto"/>
              <w:left w:val="single" w:sz="4" w:space="0" w:color="auto"/>
              <w:right w:val="single" w:sz="4" w:space="0" w:color="auto"/>
            </w:tcBorders>
          </w:tcPr>
          <w:p w14:paraId="1FE7B80F" w14:textId="77777777" w:rsidR="006E5EBB" w:rsidRPr="001F151E" w:rsidRDefault="006E5EBB" w:rsidP="000E357C">
            <w:pPr>
              <w:rPr>
                <w:b/>
                <w:bCs/>
                <w:sz w:val="16"/>
                <w:szCs w:val="16"/>
              </w:rPr>
            </w:pPr>
            <w:r w:rsidRPr="001F151E">
              <w:rPr>
                <w:b/>
                <w:bCs/>
                <w:sz w:val="16"/>
                <w:szCs w:val="16"/>
              </w:rPr>
              <w:t>Responsible entity:</w:t>
            </w:r>
          </w:p>
          <w:p w14:paraId="178CD352" w14:textId="2402B0BE" w:rsidR="006E5EBB" w:rsidRPr="001F151E" w:rsidRDefault="006E5EBB" w:rsidP="000E357C">
            <w:pPr>
              <w:rPr>
                <w:sz w:val="16"/>
                <w:szCs w:val="16"/>
              </w:rPr>
            </w:pPr>
            <w:r w:rsidRPr="001F151E">
              <w:rPr>
                <w:sz w:val="16"/>
                <w:szCs w:val="16"/>
              </w:rPr>
              <w:t xml:space="preserve">DHFMCA (lead), </w:t>
            </w:r>
            <w:r w:rsidR="00EB1BF0">
              <w:rPr>
                <w:sz w:val="16"/>
                <w:szCs w:val="16"/>
              </w:rPr>
              <w:t>GDTreasury</w:t>
            </w:r>
          </w:p>
          <w:p w14:paraId="1093A94A" w14:textId="77777777" w:rsidR="006E5EBB" w:rsidRPr="001F151E" w:rsidRDefault="006E5EBB" w:rsidP="000E357C">
            <w:pPr>
              <w:rPr>
                <w:sz w:val="16"/>
                <w:szCs w:val="16"/>
              </w:rPr>
            </w:pPr>
          </w:p>
          <w:p w14:paraId="0BD22DB7" w14:textId="77777777" w:rsidR="006E5EBB" w:rsidRPr="001F151E" w:rsidRDefault="006E5EBB" w:rsidP="000E357C">
            <w:pPr>
              <w:rPr>
                <w:b/>
                <w:bCs/>
                <w:sz w:val="16"/>
                <w:szCs w:val="16"/>
              </w:rPr>
            </w:pPr>
            <w:r w:rsidRPr="001F151E">
              <w:rPr>
                <w:b/>
                <w:bCs/>
                <w:sz w:val="16"/>
                <w:szCs w:val="16"/>
              </w:rPr>
              <w:t>Partner:</w:t>
            </w:r>
          </w:p>
          <w:p w14:paraId="193070F1" w14:textId="77777777" w:rsidR="006E5EBB" w:rsidRPr="001F151E" w:rsidRDefault="006E5EBB" w:rsidP="000E357C">
            <w:pPr>
              <w:rPr>
                <w:sz w:val="16"/>
                <w:szCs w:val="16"/>
              </w:rPr>
            </w:pPr>
            <w:r w:rsidRPr="001F151E">
              <w:rPr>
                <w:sz w:val="16"/>
                <w:szCs w:val="16"/>
              </w:rPr>
              <w:t>World Bank, SECO</w:t>
            </w:r>
          </w:p>
        </w:tc>
      </w:tr>
      <w:tr w:rsidR="006E5EBB" w:rsidRPr="001F151E" w14:paraId="2201D020" w14:textId="77777777" w:rsidTr="00C613E7">
        <w:trPr>
          <w:trHeight w:val="20"/>
        </w:trPr>
        <w:tc>
          <w:tcPr>
            <w:tcW w:w="2065" w:type="dxa"/>
            <w:vMerge/>
            <w:tcBorders>
              <w:left w:val="single" w:sz="4" w:space="0" w:color="auto"/>
              <w:right w:val="single" w:sz="4" w:space="0" w:color="auto"/>
            </w:tcBorders>
            <w:vAlign w:val="center"/>
            <w:hideMark/>
          </w:tcPr>
          <w:p w14:paraId="568D23EF" w14:textId="77777777" w:rsidR="006E5EBB" w:rsidRPr="001F151E" w:rsidRDefault="006E5EBB" w:rsidP="000E357C">
            <w:pPr>
              <w:spacing w:line="240" w:lineRule="auto"/>
              <w:rPr>
                <w:b/>
                <w:bCs/>
                <w:sz w:val="16"/>
                <w:szCs w:val="16"/>
              </w:rPr>
            </w:pPr>
          </w:p>
        </w:tc>
        <w:tc>
          <w:tcPr>
            <w:tcW w:w="3960" w:type="dxa"/>
            <w:tcBorders>
              <w:top w:val="single" w:sz="4" w:space="0" w:color="auto"/>
              <w:left w:val="single" w:sz="4" w:space="0" w:color="auto"/>
              <w:bottom w:val="single" w:sz="4" w:space="0" w:color="auto"/>
              <w:right w:val="single" w:sz="4" w:space="0" w:color="auto"/>
            </w:tcBorders>
            <w:hideMark/>
          </w:tcPr>
          <w:p w14:paraId="7FA87AD6" w14:textId="0AC49ABB" w:rsidR="006E5EBB" w:rsidRPr="001F151E" w:rsidRDefault="006E5EBB" w:rsidP="00B45892">
            <w:pPr>
              <w:pStyle w:val="EcorysBody"/>
              <w:numPr>
                <w:ilvl w:val="0"/>
                <w:numId w:val="58"/>
              </w:numPr>
              <w:rPr>
                <w:rFonts w:ascii="Arial" w:hAnsi="Arial" w:cs="Arial"/>
                <w:sz w:val="16"/>
                <w:szCs w:val="16"/>
              </w:rPr>
            </w:pPr>
            <w:r w:rsidRPr="001F151E">
              <w:rPr>
                <w:rFonts w:ascii="Arial" w:hAnsi="Arial" w:cs="Arial"/>
                <w:sz w:val="16"/>
                <w:szCs w:val="16"/>
              </w:rPr>
              <w:t>Prepare and deliver training and on-the-job support to all public sector accountants as per plan.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D7D5CF9" w14:textId="0ABF93ED" w:rsidR="006E5EBB" w:rsidRPr="001F151E" w:rsidRDefault="006E5EBB" w:rsidP="000E357C">
            <w:pPr>
              <w:jc w:val="center"/>
              <w:rPr>
                <w:sz w:val="16"/>
                <w:szCs w:val="16"/>
              </w:rPr>
            </w:pPr>
            <w:r w:rsidRPr="001F151E">
              <w:rPr>
                <w:sz w:val="16"/>
                <w:szCs w:val="16"/>
              </w:rPr>
              <w:t>Q1 2024</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64B8C3" w14:textId="3D9DDE64" w:rsidR="006E5EBB" w:rsidRPr="001F151E" w:rsidRDefault="006E5EBB" w:rsidP="000E357C">
            <w:pPr>
              <w:jc w:val="center"/>
              <w:rPr>
                <w:sz w:val="16"/>
                <w:szCs w:val="16"/>
              </w:rPr>
            </w:pPr>
            <w:r w:rsidRPr="001F151E">
              <w:rPr>
                <w:sz w:val="16"/>
                <w:szCs w:val="16"/>
              </w:rPr>
              <w:t>Q4 2026</w:t>
            </w:r>
          </w:p>
        </w:tc>
        <w:tc>
          <w:tcPr>
            <w:tcW w:w="1371" w:type="dxa"/>
            <w:vMerge/>
            <w:tcBorders>
              <w:left w:val="single" w:sz="4" w:space="0" w:color="auto"/>
              <w:right w:val="single" w:sz="4" w:space="0" w:color="auto"/>
            </w:tcBorders>
            <w:vAlign w:val="center"/>
            <w:hideMark/>
          </w:tcPr>
          <w:p w14:paraId="2C10F7DE" w14:textId="77777777" w:rsidR="006E5EBB" w:rsidRPr="001F151E" w:rsidRDefault="006E5EBB" w:rsidP="000E357C">
            <w:pPr>
              <w:spacing w:line="240" w:lineRule="auto"/>
              <w:rPr>
                <w:sz w:val="16"/>
                <w:szCs w:val="16"/>
              </w:rPr>
            </w:pPr>
          </w:p>
        </w:tc>
      </w:tr>
      <w:tr w:rsidR="006E5EBB" w:rsidRPr="001F151E" w14:paraId="040518CB" w14:textId="77777777" w:rsidTr="00C613E7">
        <w:trPr>
          <w:trHeight w:val="20"/>
        </w:trPr>
        <w:tc>
          <w:tcPr>
            <w:tcW w:w="2065" w:type="dxa"/>
            <w:vMerge/>
            <w:tcBorders>
              <w:left w:val="single" w:sz="4" w:space="0" w:color="auto"/>
              <w:bottom w:val="single" w:sz="4" w:space="0" w:color="auto"/>
              <w:right w:val="single" w:sz="4" w:space="0" w:color="auto"/>
            </w:tcBorders>
            <w:vAlign w:val="center"/>
          </w:tcPr>
          <w:p w14:paraId="302D2375" w14:textId="77777777" w:rsidR="006E5EBB" w:rsidRPr="001F151E" w:rsidRDefault="006E5EBB" w:rsidP="006E5EBB">
            <w:pPr>
              <w:spacing w:line="240" w:lineRule="auto"/>
              <w:rPr>
                <w:b/>
                <w:bCs/>
                <w:sz w:val="16"/>
                <w:szCs w:val="16"/>
              </w:rPr>
            </w:pPr>
          </w:p>
        </w:tc>
        <w:tc>
          <w:tcPr>
            <w:tcW w:w="3960" w:type="dxa"/>
            <w:tcBorders>
              <w:top w:val="single" w:sz="4" w:space="0" w:color="auto"/>
              <w:left w:val="single" w:sz="4" w:space="0" w:color="auto"/>
              <w:bottom w:val="single" w:sz="4" w:space="0" w:color="auto"/>
              <w:right w:val="single" w:sz="4" w:space="0" w:color="auto"/>
            </w:tcBorders>
          </w:tcPr>
          <w:p w14:paraId="4EB5FBBF" w14:textId="72ED0DF4" w:rsidR="006E5EBB" w:rsidRPr="001F151E" w:rsidRDefault="006E5EBB" w:rsidP="00B45892">
            <w:pPr>
              <w:pStyle w:val="EcorysBody"/>
              <w:numPr>
                <w:ilvl w:val="0"/>
                <w:numId w:val="58"/>
              </w:numPr>
              <w:rPr>
                <w:rFonts w:ascii="Arial" w:hAnsi="Arial" w:cs="Arial"/>
                <w:sz w:val="16"/>
                <w:szCs w:val="16"/>
              </w:rPr>
            </w:pPr>
            <w:r w:rsidRPr="006E5EBB">
              <w:rPr>
                <w:rFonts w:ascii="Arial" w:hAnsi="Arial" w:cs="Arial"/>
                <w:sz w:val="16"/>
                <w:szCs w:val="16"/>
              </w:rPr>
              <w:t>Reorganization of the treasury branches as well as the structure responsible for the public sector accounting methodology, based on the best international practices and supporting the implementation of accrual accounting.</w:t>
            </w:r>
          </w:p>
        </w:tc>
        <w:tc>
          <w:tcPr>
            <w:tcW w:w="810" w:type="dxa"/>
            <w:tcBorders>
              <w:top w:val="single" w:sz="4" w:space="0" w:color="auto"/>
              <w:left w:val="single" w:sz="4" w:space="0" w:color="auto"/>
              <w:bottom w:val="single" w:sz="4" w:space="0" w:color="auto"/>
              <w:right w:val="single" w:sz="4" w:space="0" w:color="auto"/>
            </w:tcBorders>
            <w:vAlign w:val="center"/>
          </w:tcPr>
          <w:p w14:paraId="3687A9BA" w14:textId="09241336" w:rsidR="006E5EBB" w:rsidRPr="006E5EBB" w:rsidRDefault="006E5EBB" w:rsidP="006E5EBB">
            <w:pPr>
              <w:jc w:val="center"/>
              <w:rPr>
                <w:sz w:val="16"/>
                <w:szCs w:val="16"/>
              </w:rPr>
            </w:pPr>
            <w:r w:rsidRPr="006E5EBB">
              <w:rPr>
                <w:sz w:val="16"/>
                <w:szCs w:val="16"/>
              </w:rPr>
              <w:t>Q3 2024</w:t>
            </w:r>
          </w:p>
        </w:tc>
        <w:tc>
          <w:tcPr>
            <w:tcW w:w="810" w:type="dxa"/>
            <w:tcBorders>
              <w:top w:val="single" w:sz="4" w:space="0" w:color="auto"/>
              <w:left w:val="single" w:sz="4" w:space="0" w:color="auto"/>
              <w:bottom w:val="single" w:sz="4" w:space="0" w:color="auto"/>
              <w:right w:val="single" w:sz="4" w:space="0" w:color="auto"/>
            </w:tcBorders>
            <w:vAlign w:val="center"/>
          </w:tcPr>
          <w:p w14:paraId="0D870829" w14:textId="4801B218" w:rsidR="006E5EBB" w:rsidRPr="006E5EBB" w:rsidRDefault="006E5EBB" w:rsidP="006E5EBB">
            <w:pPr>
              <w:jc w:val="center"/>
              <w:rPr>
                <w:sz w:val="16"/>
                <w:szCs w:val="16"/>
              </w:rPr>
            </w:pPr>
            <w:r w:rsidRPr="006E5EBB">
              <w:rPr>
                <w:sz w:val="16"/>
                <w:szCs w:val="16"/>
              </w:rPr>
              <w:t>Q4 2026</w:t>
            </w:r>
          </w:p>
        </w:tc>
        <w:tc>
          <w:tcPr>
            <w:tcW w:w="1371" w:type="dxa"/>
            <w:vMerge/>
            <w:tcBorders>
              <w:left w:val="single" w:sz="4" w:space="0" w:color="auto"/>
              <w:bottom w:val="single" w:sz="4" w:space="0" w:color="auto"/>
              <w:right w:val="single" w:sz="4" w:space="0" w:color="auto"/>
            </w:tcBorders>
            <w:vAlign w:val="center"/>
          </w:tcPr>
          <w:p w14:paraId="1050BA3B" w14:textId="77777777" w:rsidR="006E5EBB" w:rsidRPr="001F151E" w:rsidRDefault="006E5EBB" w:rsidP="006E5EBB">
            <w:pPr>
              <w:spacing w:line="240" w:lineRule="auto"/>
              <w:rPr>
                <w:sz w:val="16"/>
                <w:szCs w:val="16"/>
              </w:rPr>
            </w:pPr>
          </w:p>
        </w:tc>
      </w:tr>
    </w:tbl>
    <w:p w14:paraId="43BAE4B0" w14:textId="77777777" w:rsidR="003E6F0E" w:rsidRPr="001F151E" w:rsidRDefault="003E6F0E" w:rsidP="003E6F0E">
      <w:pPr>
        <w:pStyle w:val="H5"/>
        <w:rPr>
          <w:lang w:val="en-GB"/>
        </w:rPr>
      </w:pPr>
      <w:r w:rsidRPr="001F151E">
        <w:rPr>
          <w:lang w:val="en-GB"/>
        </w:rPr>
        <w:lastRenderedPageBreak/>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3E6F0E" w:rsidRPr="001F151E" w14:paraId="08808A75" w14:textId="77777777" w:rsidTr="002B7FF8">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1B0366" w14:textId="77777777" w:rsidR="003E6F0E" w:rsidRPr="001F151E" w:rsidRDefault="003E6F0E" w:rsidP="002B7FF8">
            <w:pPr>
              <w:pStyle w:val="T-bold"/>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E5159" w14:textId="77777777" w:rsidR="003E6F0E" w:rsidRPr="001F151E" w:rsidRDefault="003E6F0E" w:rsidP="002B7FF8">
            <w:pPr>
              <w:pStyle w:val="T-bold"/>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638F62" w14:textId="77777777" w:rsidR="003E6F0E" w:rsidRPr="001F151E" w:rsidRDefault="003E6F0E" w:rsidP="002B7FF8">
            <w:pPr>
              <w:pStyle w:val="T-bold"/>
              <w:jc w:val="center"/>
            </w:pPr>
            <w:r w:rsidRPr="001F151E">
              <w:t>Target Value</w:t>
            </w:r>
          </w:p>
        </w:tc>
      </w:tr>
      <w:tr w:rsidR="003E6F0E" w:rsidRPr="001F151E" w14:paraId="5C26A23D" w14:textId="77777777" w:rsidTr="002B7FF8">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64C548A" w14:textId="77777777" w:rsidR="003E6F0E" w:rsidRPr="001F151E" w:rsidRDefault="003E6F0E" w:rsidP="002B7FF8">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9540826" w14:textId="77777777" w:rsidR="003E6F0E" w:rsidRPr="001F151E" w:rsidRDefault="003E6F0E" w:rsidP="002B7FF8">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987BA" w14:textId="77777777" w:rsidR="003E6F0E" w:rsidRPr="001F151E" w:rsidRDefault="003E6F0E" w:rsidP="002B7FF8">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8B007" w14:textId="77777777" w:rsidR="003E6F0E" w:rsidRPr="001F151E" w:rsidRDefault="003E6F0E" w:rsidP="002B7FF8">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35E4FE" w14:textId="77777777" w:rsidR="003E6F0E" w:rsidRPr="001F151E" w:rsidRDefault="003E6F0E" w:rsidP="002B7FF8">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9EC634" w14:textId="77777777" w:rsidR="003E6F0E" w:rsidRPr="001F151E" w:rsidRDefault="003E6F0E" w:rsidP="002B7FF8">
            <w:pPr>
              <w:pStyle w:val="T-bold"/>
              <w:jc w:val="center"/>
            </w:pPr>
            <w:r w:rsidRPr="001F151E">
              <w:t>2026</w:t>
            </w:r>
          </w:p>
        </w:tc>
      </w:tr>
      <w:tr w:rsidR="000E357C" w:rsidRPr="001F151E" w14:paraId="4DBDB75F" w14:textId="77777777" w:rsidTr="003E6F0E">
        <w:tc>
          <w:tcPr>
            <w:tcW w:w="3114" w:type="dxa"/>
            <w:tcBorders>
              <w:top w:val="single" w:sz="4" w:space="0" w:color="auto"/>
              <w:left w:val="single" w:sz="4" w:space="0" w:color="auto"/>
              <w:bottom w:val="single" w:sz="4" w:space="0" w:color="auto"/>
              <w:right w:val="single" w:sz="4" w:space="0" w:color="auto"/>
            </w:tcBorders>
          </w:tcPr>
          <w:p w14:paraId="512AE6FC" w14:textId="539608A5" w:rsidR="000E357C" w:rsidRPr="001F151E" w:rsidRDefault="00527768" w:rsidP="00B45892">
            <w:pPr>
              <w:pStyle w:val="ListParagraph"/>
              <w:numPr>
                <w:ilvl w:val="0"/>
                <w:numId w:val="59"/>
              </w:numPr>
              <w:rPr>
                <w:sz w:val="16"/>
                <w:szCs w:val="16"/>
              </w:rPr>
            </w:pPr>
            <w:r w:rsidRPr="001F151E">
              <w:rPr>
                <w:sz w:val="16"/>
                <w:szCs w:val="16"/>
              </w:rPr>
              <w:t>Additional n</w:t>
            </w:r>
            <w:r w:rsidR="000E357C" w:rsidRPr="001F151E">
              <w:rPr>
                <w:sz w:val="16"/>
                <w:szCs w:val="16"/>
              </w:rPr>
              <w:t>umber of Budget Institutions connected to AGFIS and  electronic archive</w:t>
            </w:r>
            <w:r w:rsidR="00A766BC" w:rsidRPr="001F151E">
              <w:rPr>
                <w:sz w:val="16"/>
                <w:szCs w:val="16"/>
              </w:rPr>
              <w:t xml:space="preserve"> (EA)</w:t>
            </w:r>
            <w:r w:rsidR="004850AC" w:rsidRPr="001F151E">
              <w:rPr>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75EC2FCE" w14:textId="2B6D2EA8" w:rsidR="000E357C" w:rsidRPr="001F151E" w:rsidRDefault="00A766BC" w:rsidP="000E357C">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280E1D42" w14:textId="592AA429" w:rsidR="000E357C" w:rsidRPr="001F151E" w:rsidRDefault="000E357C" w:rsidP="000E357C">
            <w:pPr>
              <w:pStyle w:val="T-normal"/>
              <w:jc w:val="center"/>
            </w:pPr>
            <w:r w:rsidRPr="001F151E">
              <w:t xml:space="preserve">5 </w:t>
            </w:r>
            <w:r w:rsidR="004850AC" w:rsidRPr="001F151E">
              <w:t xml:space="preserve">to </w:t>
            </w:r>
            <w:r w:rsidRPr="001F151E">
              <w:t>AGFIS</w:t>
            </w:r>
            <w:r w:rsidR="004850AC" w:rsidRPr="001F151E">
              <w:t xml:space="preserve">,  </w:t>
            </w:r>
          </w:p>
          <w:p w14:paraId="00F2DF03" w14:textId="33B633FA" w:rsidR="000E357C" w:rsidRPr="001F151E" w:rsidRDefault="000E357C" w:rsidP="000E357C">
            <w:pPr>
              <w:pStyle w:val="T-normal"/>
              <w:jc w:val="center"/>
            </w:pPr>
            <w:r w:rsidRPr="001F151E">
              <w:t xml:space="preserve">300 </w:t>
            </w:r>
            <w:r w:rsidR="004850AC" w:rsidRPr="001F151E">
              <w:t>to</w:t>
            </w:r>
            <w:r w:rsidRPr="001F151E">
              <w:t xml:space="preserve"> EA</w:t>
            </w:r>
          </w:p>
        </w:tc>
        <w:tc>
          <w:tcPr>
            <w:tcW w:w="1180" w:type="dxa"/>
            <w:tcBorders>
              <w:top w:val="single" w:sz="4" w:space="0" w:color="auto"/>
              <w:left w:val="single" w:sz="4" w:space="0" w:color="auto"/>
              <w:bottom w:val="single" w:sz="4" w:space="0" w:color="auto"/>
              <w:right w:val="single" w:sz="4" w:space="0" w:color="auto"/>
            </w:tcBorders>
            <w:vAlign w:val="center"/>
          </w:tcPr>
          <w:p w14:paraId="00621C3C" w14:textId="589571FC" w:rsidR="000E357C" w:rsidRPr="001F151E" w:rsidRDefault="004850AC" w:rsidP="000E357C">
            <w:pPr>
              <w:pStyle w:val="T-normal"/>
              <w:jc w:val="center"/>
            </w:pPr>
            <w:r w:rsidRPr="001F151E">
              <w:t>86 to EA</w:t>
            </w:r>
          </w:p>
        </w:tc>
        <w:tc>
          <w:tcPr>
            <w:tcW w:w="1181" w:type="dxa"/>
            <w:tcBorders>
              <w:top w:val="single" w:sz="4" w:space="0" w:color="auto"/>
              <w:left w:val="single" w:sz="4" w:space="0" w:color="auto"/>
              <w:bottom w:val="single" w:sz="4" w:space="0" w:color="auto"/>
              <w:right w:val="single" w:sz="4" w:space="0" w:color="auto"/>
            </w:tcBorders>
            <w:vAlign w:val="center"/>
          </w:tcPr>
          <w:p w14:paraId="4EE1C85E" w14:textId="45C6E1BE" w:rsidR="000E357C" w:rsidRPr="001F151E" w:rsidRDefault="001C5913" w:rsidP="000E357C">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6D0A7AF" w14:textId="79CF0E36" w:rsidR="000E357C" w:rsidRPr="001F151E" w:rsidRDefault="001C5913" w:rsidP="000E357C">
            <w:pPr>
              <w:pStyle w:val="T-normal"/>
              <w:jc w:val="center"/>
            </w:pPr>
            <w:r w:rsidRPr="001F151E">
              <w:t>-</w:t>
            </w:r>
          </w:p>
        </w:tc>
      </w:tr>
      <w:tr w:rsidR="006A4BED" w:rsidRPr="001F151E" w14:paraId="5C091186" w14:textId="77777777" w:rsidTr="003E6F0E">
        <w:tc>
          <w:tcPr>
            <w:tcW w:w="3114" w:type="dxa"/>
            <w:tcBorders>
              <w:top w:val="single" w:sz="4" w:space="0" w:color="auto"/>
              <w:left w:val="single" w:sz="4" w:space="0" w:color="auto"/>
              <w:bottom w:val="single" w:sz="4" w:space="0" w:color="auto"/>
              <w:right w:val="single" w:sz="4" w:space="0" w:color="auto"/>
            </w:tcBorders>
          </w:tcPr>
          <w:p w14:paraId="02308657" w14:textId="15ADE786" w:rsidR="006A4BED" w:rsidRPr="001F151E" w:rsidRDefault="006A4BED" w:rsidP="00B45892">
            <w:pPr>
              <w:pStyle w:val="ListParagraph"/>
              <w:numPr>
                <w:ilvl w:val="0"/>
                <w:numId w:val="59"/>
              </w:numPr>
              <w:rPr>
                <w:sz w:val="16"/>
                <w:szCs w:val="16"/>
              </w:rPr>
            </w:pPr>
            <w:r w:rsidRPr="001F151E">
              <w:rPr>
                <w:sz w:val="16"/>
                <w:szCs w:val="16"/>
              </w:rPr>
              <w:t>Production of legal and sub-legal regulatory framework based on IPSAS as per plan.</w:t>
            </w:r>
          </w:p>
        </w:tc>
        <w:tc>
          <w:tcPr>
            <w:tcW w:w="1180" w:type="dxa"/>
            <w:tcBorders>
              <w:top w:val="single" w:sz="4" w:space="0" w:color="auto"/>
              <w:left w:val="single" w:sz="4" w:space="0" w:color="auto"/>
              <w:bottom w:val="single" w:sz="4" w:space="0" w:color="auto"/>
              <w:right w:val="single" w:sz="4" w:space="0" w:color="auto"/>
            </w:tcBorders>
            <w:vAlign w:val="center"/>
          </w:tcPr>
          <w:p w14:paraId="1A9E6E61" w14:textId="7DA62AC6" w:rsidR="006A4BED" w:rsidRPr="001F151E" w:rsidRDefault="00A766BC" w:rsidP="006A4BED">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AFD509D" w14:textId="6B7D80FC" w:rsidR="006A4BED" w:rsidRPr="001F151E" w:rsidRDefault="006A4BED" w:rsidP="006A4BED">
            <w:pPr>
              <w:pStyle w:val="T-normal"/>
              <w:jc w:val="center"/>
            </w:pPr>
            <w:r w:rsidRPr="001F151E">
              <w:t>Concept paper prepared</w:t>
            </w:r>
          </w:p>
        </w:tc>
        <w:tc>
          <w:tcPr>
            <w:tcW w:w="1180" w:type="dxa"/>
            <w:tcBorders>
              <w:top w:val="single" w:sz="4" w:space="0" w:color="auto"/>
              <w:left w:val="single" w:sz="4" w:space="0" w:color="auto"/>
              <w:bottom w:val="single" w:sz="4" w:space="0" w:color="auto"/>
              <w:right w:val="single" w:sz="4" w:space="0" w:color="auto"/>
            </w:tcBorders>
            <w:vAlign w:val="center"/>
          </w:tcPr>
          <w:p w14:paraId="730A6B8D" w14:textId="2A8B920F" w:rsidR="006A4BED" w:rsidRPr="001F151E" w:rsidRDefault="00F721B3" w:rsidP="006A4BED">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71CCFC3A" w14:textId="3D948136" w:rsidR="006A4BED" w:rsidRPr="001F151E" w:rsidRDefault="00786AC9" w:rsidP="006A4BED">
            <w:pPr>
              <w:pStyle w:val="T-normal"/>
              <w:jc w:val="center"/>
            </w:pPr>
            <w:r w:rsidRPr="001F151E">
              <w:t>Legal framework</w:t>
            </w:r>
            <w:r w:rsidR="00A135F5" w:rsidRPr="001F151E">
              <w:t xml:space="preserve"> d</w:t>
            </w:r>
            <w:r w:rsidR="006A4BED" w:rsidRPr="001F151E">
              <w:t>rafted</w:t>
            </w:r>
          </w:p>
        </w:tc>
        <w:tc>
          <w:tcPr>
            <w:tcW w:w="1181" w:type="dxa"/>
            <w:tcBorders>
              <w:top w:val="single" w:sz="4" w:space="0" w:color="auto"/>
              <w:left w:val="single" w:sz="4" w:space="0" w:color="auto"/>
              <w:bottom w:val="single" w:sz="4" w:space="0" w:color="auto"/>
              <w:right w:val="single" w:sz="4" w:space="0" w:color="auto"/>
            </w:tcBorders>
            <w:vAlign w:val="center"/>
          </w:tcPr>
          <w:p w14:paraId="5FF52E96" w14:textId="6A57033B" w:rsidR="006A4BED" w:rsidRPr="001F151E" w:rsidRDefault="00786AC9" w:rsidP="006A4BED">
            <w:pPr>
              <w:pStyle w:val="T-normal"/>
              <w:jc w:val="center"/>
            </w:pPr>
            <w:r w:rsidRPr="001F151E">
              <w:t>Legal framework</w:t>
            </w:r>
            <w:r w:rsidR="00F721B3" w:rsidRPr="001F151E">
              <w:t xml:space="preserve"> a</w:t>
            </w:r>
            <w:r w:rsidR="006A4BED" w:rsidRPr="001F151E">
              <w:t>pproved</w:t>
            </w:r>
          </w:p>
        </w:tc>
      </w:tr>
      <w:tr w:rsidR="00FF1552" w:rsidRPr="001F151E" w14:paraId="5BCB037B" w14:textId="77777777" w:rsidTr="003E6F0E">
        <w:tc>
          <w:tcPr>
            <w:tcW w:w="3114" w:type="dxa"/>
            <w:tcBorders>
              <w:top w:val="single" w:sz="4" w:space="0" w:color="auto"/>
              <w:left w:val="single" w:sz="4" w:space="0" w:color="auto"/>
              <w:bottom w:val="single" w:sz="4" w:space="0" w:color="auto"/>
              <w:right w:val="single" w:sz="4" w:space="0" w:color="auto"/>
            </w:tcBorders>
          </w:tcPr>
          <w:p w14:paraId="5742F1BE" w14:textId="3E7854B2" w:rsidR="00FF1552" w:rsidRPr="001F151E" w:rsidDel="00CF2208" w:rsidRDefault="00FF1552" w:rsidP="00B45892">
            <w:pPr>
              <w:pStyle w:val="ListParagraph"/>
              <w:numPr>
                <w:ilvl w:val="0"/>
                <w:numId w:val="59"/>
              </w:numPr>
              <w:rPr>
                <w:sz w:val="16"/>
                <w:szCs w:val="16"/>
              </w:rPr>
            </w:pPr>
            <w:r w:rsidRPr="001F151E">
              <w:rPr>
                <w:sz w:val="16"/>
                <w:szCs w:val="16"/>
              </w:rPr>
              <w:t>Opening balances prepared</w:t>
            </w:r>
            <w:r w:rsidR="000D5413">
              <w:rPr>
                <w:sz w:val="16"/>
                <w:szCs w:val="16"/>
              </w:rPr>
              <w:t xml:space="preserve"> and new accounting framework implemented</w:t>
            </w:r>
          </w:p>
        </w:tc>
        <w:tc>
          <w:tcPr>
            <w:tcW w:w="1180" w:type="dxa"/>
            <w:tcBorders>
              <w:top w:val="single" w:sz="4" w:space="0" w:color="auto"/>
              <w:left w:val="single" w:sz="4" w:space="0" w:color="auto"/>
              <w:bottom w:val="single" w:sz="4" w:space="0" w:color="auto"/>
              <w:right w:val="single" w:sz="4" w:space="0" w:color="auto"/>
            </w:tcBorders>
            <w:vAlign w:val="center"/>
          </w:tcPr>
          <w:p w14:paraId="3E40E4E2" w14:textId="7B84A9A6" w:rsidR="00FF1552" w:rsidRPr="001F151E" w:rsidDel="00CF2208" w:rsidRDefault="00A766BC" w:rsidP="006A4BED">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5A998A4A" w14:textId="77777777" w:rsidR="00FF1552" w:rsidRPr="001F151E" w:rsidDel="00CF2208" w:rsidRDefault="00FF1552" w:rsidP="006A4BED">
            <w:pPr>
              <w:pStyle w:val="T-normal"/>
              <w:jc w:val="center"/>
            </w:pPr>
          </w:p>
        </w:tc>
        <w:tc>
          <w:tcPr>
            <w:tcW w:w="1180" w:type="dxa"/>
            <w:tcBorders>
              <w:top w:val="single" w:sz="4" w:space="0" w:color="auto"/>
              <w:left w:val="single" w:sz="4" w:space="0" w:color="auto"/>
              <w:bottom w:val="single" w:sz="4" w:space="0" w:color="auto"/>
              <w:right w:val="single" w:sz="4" w:space="0" w:color="auto"/>
            </w:tcBorders>
            <w:vAlign w:val="center"/>
          </w:tcPr>
          <w:p w14:paraId="4F5B3111" w14:textId="77777777" w:rsidR="00FF1552" w:rsidRPr="001F151E" w:rsidDel="00CF2208" w:rsidRDefault="00FF1552" w:rsidP="006A4BED">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78764080" w14:textId="77777777" w:rsidR="00FF1552" w:rsidRPr="001F151E" w:rsidDel="00CF2208" w:rsidRDefault="00FF1552" w:rsidP="006A4BED">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6B955AD8" w14:textId="4E0B7D34" w:rsidR="00FF1552" w:rsidRPr="001F151E" w:rsidDel="00CF2208" w:rsidRDefault="00FF1552" w:rsidP="006A4BED">
            <w:pPr>
              <w:pStyle w:val="T-normal"/>
              <w:jc w:val="center"/>
            </w:pPr>
            <w:r w:rsidRPr="001F151E">
              <w:t>Finalised</w:t>
            </w:r>
          </w:p>
        </w:tc>
      </w:tr>
      <w:tr w:rsidR="00BE1BC7" w:rsidRPr="001F151E" w14:paraId="5C085E98" w14:textId="77777777" w:rsidTr="003E6F0E">
        <w:tc>
          <w:tcPr>
            <w:tcW w:w="3114" w:type="dxa"/>
            <w:tcBorders>
              <w:top w:val="single" w:sz="4" w:space="0" w:color="auto"/>
              <w:left w:val="single" w:sz="4" w:space="0" w:color="auto"/>
              <w:bottom w:val="single" w:sz="4" w:space="0" w:color="auto"/>
              <w:right w:val="single" w:sz="4" w:space="0" w:color="auto"/>
            </w:tcBorders>
          </w:tcPr>
          <w:p w14:paraId="299BEDAC" w14:textId="1AFCCF9A" w:rsidR="00BE1BC7" w:rsidRPr="001F151E" w:rsidRDefault="00BE1BC7" w:rsidP="00B45892">
            <w:pPr>
              <w:pStyle w:val="ListParagraph"/>
              <w:numPr>
                <w:ilvl w:val="0"/>
                <w:numId w:val="59"/>
              </w:numPr>
              <w:rPr>
                <w:sz w:val="16"/>
                <w:szCs w:val="16"/>
              </w:rPr>
            </w:pPr>
            <w:r w:rsidRPr="001F151E">
              <w:rPr>
                <w:sz w:val="16"/>
                <w:szCs w:val="16"/>
              </w:rPr>
              <w:t>Percentage of government accountants that have completed IPSAS training</w:t>
            </w:r>
          </w:p>
        </w:tc>
        <w:tc>
          <w:tcPr>
            <w:tcW w:w="1180" w:type="dxa"/>
            <w:tcBorders>
              <w:top w:val="single" w:sz="4" w:space="0" w:color="auto"/>
              <w:left w:val="single" w:sz="4" w:space="0" w:color="auto"/>
              <w:bottom w:val="single" w:sz="4" w:space="0" w:color="auto"/>
              <w:right w:val="single" w:sz="4" w:space="0" w:color="auto"/>
            </w:tcBorders>
            <w:vAlign w:val="center"/>
          </w:tcPr>
          <w:p w14:paraId="5DF9A17F" w14:textId="6AC3FB18" w:rsidR="00BE1BC7" w:rsidRPr="001F151E" w:rsidRDefault="00A766BC" w:rsidP="00BE1BC7">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CB55FF3" w14:textId="2D2AB648" w:rsidR="00BE1BC7" w:rsidRPr="001F151E" w:rsidRDefault="00BE1BC7" w:rsidP="00BE1BC7">
            <w:pPr>
              <w:pStyle w:val="T-normal"/>
              <w:jc w:val="center"/>
            </w:pPr>
            <w:r w:rsidRPr="001F151E">
              <w:t>40%</w:t>
            </w:r>
          </w:p>
        </w:tc>
        <w:tc>
          <w:tcPr>
            <w:tcW w:w="1180" w:type="dxa"/>
            <w:tcBorders>
              <w:top w:val="single" w:sz="4" w:space="0" w:color="auto"/>
              <w:left w:val="single" w:sz="4" w:space="0" w:color="auto"/>
              <w:bottom w:val="single" w:sz="4" w:space="0" w:color="auto"/>
              <w:right w:val="single" w:sz="4" w:space="0" w:color="auto"/>
            </w:tcBorders>
            <w:vAlign w:val="center"/>
          </w:tcPr>
          <w:p w14:paraId="652ECCCF" w14:textId="5A9FA2AD" w:rsidR="00BE1BC7" w:rsidRPr="001F151E" w:rsidRDefault="00BE1BC7" w:rsidP="00BE1BC7">
            <w:pPr>
              <w:pStyle w:val="T-normal"/>
              <w:jc w:val="center"/>
            </w:pPr>
            <w:r w:rsidRPr="001F151E">
              <w:t>60%</w:t>
            </w:r>
          </w:p>
        </w:tc>
        <w:tc>
          <w:tcPr>
            <w:tcW w:w="1181" w:type="dxa"/>
            <w:tcBorders>
              <w:top w:val="single" w:sz="4" w:space="0" w:color="auto"/>
              <w:left w:val="single" w:sz="4" w:space="0" w:color="auto"/>
              <w:bottom w:val="single" w:sz="4" w:space="0" w:color="auto"/>
              <w:right w:val="single" w:sz="4" w:space="0" w:color="auto"/>
            </w:tcBorders>
            <w:vAlign w:val="center"/>
          </w:tcPr>
          <w:p w14:paraId="4F7411BE" w14:textId="39309B5E" w:rsidR="00BE1BC7" w:rsidRPr="001F151E" w:rsidRDefault="00BE1BC7" w:rsidP="00BE1BC7">
            <w:pPr>
              <w:pStyle w:val="T-normal"/>
              <w:jc w:val="center"/>
            </w:pPr>
            <w:r w:rsidRPr="001F151E">
              <w:t>80%</w:t>
            </w:r>
          </w:p>
        </w:tc>
        <w:tc>
          <w:tcPr>
            <w:tcW w:w="1181" w:type="dxa"/>
            <w:tcBorders>
              <w:top w:val="single" w:sz="4" w:space="0" w:color="auto"/>
              <w:left w:val="single" w:sz="4" w:space="0" w:color="auto"/>
              <w:bottom w:val="single" w:sz="4" w:space="0" w:color="auto"/>
              <w:right w:val="single" w:sz="4" w:space="0" w:color="auto"/>
            </w:tcBorders>
            <w:vAlign w:val="center"/>
          </w:tcPr>
          <w:p w14:paraId="32D9791F" w14:textId="616D48D3" w:rsidR="00BE1BC7" w:rsidRPr="001F151E" w:rsidRDefault="00BE1BC7" w:rsidP="00BE1BC7">
            <w:pPr>
              <w:pStyle w:val="T-normal"/>
              <w:jc w:val="center"/>
            </w:pPr>
            <w:r w:rsidRPr="001F151E">
              <w:t>100%</w:t>
            </w:r>
          </w:p>
        </w:tc>
      </w:tr>
    </w:tbl>
    <w:p w14:paraId="7927386A" w14:textId="77777777" w:rsidR="003E6F0E" w:rsidRDefault="003E6F0E" w:rsidP="003E6F0E">
      <w:pPr>
        <w:rPr>
          <w:lang w:val="en-GB"/>
        </w:rPr>
      </w:pPr>
    </w:p>
    <w:p w14:paraId="79FDBC90" w14:textId="77777777" w:rsidR="002A75EC" w:rsidRPr="001F151E" w:rsidRDefault="002A75EC" w:rsidP="003E6F0E">
      <w:pPr>
        <w:rPr>
          <w:lang w:val="en-GB"/>
        </w:rPr>
      </w:pPr>
    </w:p>
    <w:p w14:paraId="430781DB" w14:textId="50EB918F" w:rsidR="002C447B" w:rsidRPr="001F151E" w:rsidRDefault="002C447B" w:rsidP="00C96708">
      <w:pPr>
        <w:pStyle w:val="Heading2"/>
        <w:rPr>
          <w:rFonts w:eastAsiaTheme="minorHAnsi" w:cs="Times New Roman"/>
          <w:sz w:val="21"/>
          <w:szCs w:val="21"/>
          <w:lang w:val="en-GB"/>
        </w:rPr>
      </w:pPr>
      <w:bookmarkStart w:id="50" w:name="_Toc163148029"/>
      <w:r w:rsidRPr="001F151E">
        <w:rPr>
          <w:rFonts w:eastAsiaTheme="minorHAnsi"/>
          <w:lang w:val="en-GB"/>
        </w:rPr>
        <w:t>Component 4.</w:t>
      </w:r>
      <w:r w:rsidR="00297283">
        <w:rPr>
          <w:rFonts w:eastAsiaTheme="minorHAnsi"/>
          <w:lang w:val="en-GB"/>
        </w:rPr>
        <w:t>3</w:t>
      </w:r>
      <w:r w:rsidRPr="001F151E">
        <w:rPr>
          <w:rFonts w:eastAsiaTheme="minorHAnsi"/>
          <w:lang w:val="en-GB"/>
        </w:rPr>
        <w:t xml:space="preserve"> Public Procurement</w:t>
      </w:r>
      <w:bookmarkEnd w:id="50"/>
    </w:p>
    <w:p w14:paraId="120D8CBF" w14:textId="77777777" w:rsidR="002C447B" w:rsidRPr="001F151E" w:rsidRDefault="002C447B" w:rsidP="002C447B">
      <w:pPr>
        <w:rPr>
          <w:lang w:val="en-GB"/>
        </w:rPr>
      </w:pPr>
    </w:p>
    <w:p w14:paraId="2CDD3B3A" w14:textId="77777777" w:rsidR="002C447B" w:rsidRPr="001F151E" w:rsidRDefault="002C447B" w:rsidP="00EA6F1D">
      <w:pPr>
        <w:pStyle w:val="H5"/>
        <w:spacing w:line="276" w:lineRule="auto"/>
        <w:jc w:val="both"/>
        <w:rPr>
          <w:rFonts w:ascii="Calibri" w:hAnsi="Calibri"/>
          <w:i/>
          <w:lang w:val="en-GB"/>
        </w:rPr>
      </w:pPr>
      <w:r w:rsidRPr="001F151E">
        <w:rPr>
          <w:lang w:val="en-GB"/>
        </w:rPr>
        <w:t>Objective</w:t>
      </w:r>
    </w:p>
    <w:p w14:paraId="109FE1CA" w14:textId="77777777" w:rsidR="00F4641F" w:rsidRPr="001F151E" w:rsidRDefault="00F4641F" w:rsidP="00F4641F">
      <w:pPr>
        <w:spacing w:line="276" w:lineRule="auto"/>
        <w:jc w:val="both"/>
        <w:rPr>
          <w:rStyle w:val="jlqj4b"/>
          <w:lang w:val="en-GB"/>
        </w:rPr>
      </w:pPr>
      <w:r w:rsidRPr="00040BB6">
        <w:rPr>
          <w:rStyle w:val="jlqj4b"/>
          <w:lang w:val="en-GB"/>
        </w:rPr>
        <w:t xml:space="preserve">The goal for 2030 is to guarantee an efficient and sustainable system by promoting its improvement towards a modern and efficient approach based on the best international practices, in accordance with the principles of transparency, free and fair competition, non-discrimination and </w:t>
      </w:r>
      <w:r>
        <w:rPr>
          <w:rStyle w:val="jlqj4b"/>
          <w:lang w:val="en-GB"/>
        </w:rPr>
        <w:t xml:space="preserve">equal treatment, by </w:t>
      </w:r>
      <w:r w:rsidRPr="00040BB6">
        <w:rPr>
          <w:rStyle w:val="jlqj4b"/>
          <w:lang w:val="en-GB"/>
        </w:rPr>
        <w:t xml:space="preserve">promoting </w:t>
      </w:r>
      <w:r>
        <w:rPr>
          <w:rStyle w:val="jlqj4b"/>
          <w:lang w:val="en-GB"/>
        </w:rPr>
        <w:t xml:space="preserve">and </w:t>
      </w:r>
      <w:r w:rsidRPr="001F151E">
        <w:rPr>
          <w:rStyle w:val="jlqj4b"/>
          <w:lang w:val="en-GB"/>
        </w:rPr>
        <w:t xml:space="preserve">encouraging </w:t>
      </w:r>
      <w:r w:rsidRPr="00040BB6">
        <w:rPr>
          <w:rStyle w:val="jlqj4b"/>
          <w:lang w:val="en-GB"/>
        </w:rPr>
        <w:t>a sustainable system that guarantees value for money</w:t>
      </w:r>
      <w:r>
        <w:rPr>
          <w:rStyle w:val="jlqj4b"/>
          <w:lang w:val="en-GB"/>
        </w:rPr>
        <w:t>.</w:t>
      </w:r>
    </w:p>
    <w:p w14:paraId="365CC15B" w14:textId="77777777" w:rsidR="002C447B" w:rsidRPr="001F151E" w:rsidRDefault="002C447B" w:rsidP="00EA6F1D">
      <w:pPr>
        <w:spacing w:line="276" w:lineRule="auto"/>
        <w:jc w:val="both"/>
        <w:rPr>
          <w:lang w:val="en-GB"/>
        </w:rPr>
      </w:pPr>
    </w:p>
    <w:p w14:paraId="1F727F60" w14:textId="77777777" w:rsidR="002C447B" w:rsidRPr="001F151E" w:rsidRDefault="002C447B" w:rsidP="00EA6F1D">
      <w:pPr>
        <w:pStyle w:val="H5"/>
        <w:spacing w:line="276" w:lineRule="auto"/>
        <w:jc w:val="both"/>
        <w:rPr>
          <w:lang w:val="en-GB"/>
        </w:rPr>
      </w:pPr>
      <w:r w:rsidRPr="001F151E">
        <w:rPr>
          <w:lang w:val="en-GB"/>
        </w:rPr>
        <w:t xml:space="preserve">Context </w:t>
      </w:r>
    </w:p>
    <w:p w14:paraId="78FBFBC4" w14:textId="30D0208A" w:rsidR="00F4641F" w:rsidRPr="001F151E" w:rsidRDefault="00F4641F" w:rsidP="00F4641F">
      <w:pPr>
        <w:spacing w:line="276" w:lineRule="auto"/>
        <w:jc w:val="both"/>
        <w:rPr>
          <w:rFonts w:eastAsia="Times New Roman"/>
          <w:color w:val="FF0000"/>
          <w:lang w:val="en-GB"/>
        </w:rPr>
      </w:pPr>
      <w:r w:rsidRPr="001F151E">
        <w:rPr>
          <w:lang w:val="en-GB"/>
        </w:rPr>
        <w:t>In recent years, significant progress has been made to align the Public Procurement legislation with the EU directives. The Law on Public Procurement</w:t>
      </w:r>
      <w:r w:rsidRPr="001F151E">
        <w:rPr>
          <w:rStyle w:val="FootnoteReference"/>
          <w:rFonts w:eastAsia="Times New Roman"/>
          <w:lang w:val="en-GB"/>
        </w:rPr>
        <w:footnoteReference w:id="51"/>
      </w:r>
      <w:r w:rsidRPr="001F151E">
        <w:rPr>
          <w:lang w:val="en-GB"/>
        </w:rPr>
        <w:t xml:space="preserve"> was approved and a series of sub-legal acts and regulations were adopted, including the approval of public procurement rules</w:t>
      </w:r>
      <w:r>
        <w:rPr>
          <w:lang w:val="en-GB"/>
        </w:rPr>
        <w:t>, DCM for the procurement of social services</w:t>
      </w:r>
      <w:r w:rsidRPr="001F151E">
        <w:rPr>
          <w:lang w:val="en-GB"/>
        </w:rPr>
        <w:t xml:space="preserve"> and the joint procurement vocabulary. </w:t>
      </w:r>
      <w:r w:rsidR="002D25CF">
        <w:rPr>
          <w:lang w:val="en-GB"/>
        </w:rPr>
        <w:t>T</w:t>
      </w:r>
      <w:r w:rsidRPr="001F151E">
        <w:rPr>
          <w:rFonts w:eastAsia="Times New Roman"/>
          <w:lang w:val="en-GB"/>
        </w:rPr>
        <w:t xml:space="preserve">he electronic procurement system (EPS) </w:t>
      </w:r>
      <w:r w:rsidR="002D25CF">
        <w:rPr>
          <w:rFonts w:eastAsia="Times New Roman"/>
          <w:lang w:val="en-GB"/>
        </w:rPr>
        <w:t xml:space="preserve">has been improving, including the implementation of new functionalities in EPS to align with the changes of the new law. </w:t>
      </w:r>
      <w:r w:rsidRPr="001F151E">
        <w:rPr>
          <w:rFonts w:eastAsia="Times New Roman"/>
          <w:lang w:val="en-GB"/>
        </w:rPr>
        <w:t xml:space="preserve">An interface between the AGFIS and EPS was established in 2020, ensuring that contracting authorities could verify fund availability before proceeding with procurement procedures. </w:t>
      </w:r>
    </w:p>
    <w:p w14:paraId="75F69838" w14:textId="77777777" w:rsidR="00F4641F" w:rsidRPr="001F151E" w:rsidRDefault="00F4641F" w:rsidP="00F4641F">
      <w:pPr>
        <w:spacing w:line="276" w:lineRule="auto"/>
        <w:jc w:val="both"/>
        <w:rPr>
          <w:rFonts w:eastAsia="Times New Roman"/>
          <w:color w:val="FF0000"/>
          <w:lang w:val="en-GB"/>
        </w:rPr>
      </w:pPr>
    </w:p>
    <w:p w14:paraId="103A8CAA" w14:textId="73AF21D1" w:rsidR="00F4641F" w:rsidRPr="001F151E" w:rsidRDefault="00F4641F" w:rsidP="00F4641F">
      <w:pPr>
        <w:spacing w:line="276" w:lineRule="auto"/>
        <w:jc w:val="both"/>
        <w:rPr>
          <w:lang w:val="en-GB"/>
        </w:rPr>
      </w:pPr>
      <w:r w:rsidRPr="001F151E">
        <w:rPr>
          <w:rFonts w:eastAsia="Times New Roman"/>
          <w:lang w:val="en-GB"/>
        </w:rPr>
        <w:t>The Albanian Public Procurement Agency (PPA) in its capacity as the pub</w:t>
      </w:r>
      <w:r>
        <w:rPr>
          <w:rFonts w:eastAsia="Times New Roman"/>
          <w:lang w:val="en-GB"/>
        </w:rPr>
        <w:t>l</w:t>
      </w:r>
      <w:r w:rsidRPr="001F151E">
        <w:rPr>
          <w:rFonts w:eastAsia="Times New Roman"/>
          <w:lang w:val="en-GB"/>
        </w:rPr>
        <w:t xml:space="preserve">ic procurement regulator continues to have oversight of the implementation of the new public procurement law. The PPA has published a roadmap regarding the use of green public procurement, including a methodology on the relevant criteria and technical specifications. </w:t>
      </w:r>
      <w:r w:rsidRPr="001F151E">
        <w:rPr>
          <w:lang w:val="en-GB"/>
        </w:rPr>
        <w:t xml:space="preserve">The use of green criteria in public procurement requires increased capacities and knowledge on the concept of </w:t>
      </w:r>
      <w:r w:rsidRPr="001F151E">
        <w:rPr>
          <w:rFonts w:eastAsia="Times New Roman"/>
          <w:lang w:val="en-GB"/>
        </w:rPr>
        <w:t>Green Public Procurement among the contracting authorities.</w:t>
      </w:r>
    </w:p>
    <w:p w14:paraId="31331406" w14:textId="77777777" w:rsidR="00F4641F" w:rsidRPr="001F151E" w:rsidRDefault="00F4641F" w:rsidP="00F4641F">
      <w:pPr>
        <w:spacing w:line="276" w:lineRule="auto"/>
        <w:jc w:val="both"/>
        <w:rPr>
          <w:lang w:val="en-GB"/>
        </w:rPr>
      </w:pPr>
    </w:p>
    <w:p w14:paraId="0F9401D9" w14:textId="77777777" w:rsidR="00F4641F" w:rsidRPr="001F151E" w:rsidRDefault="00F4641F" w:rsidP="00F4641F">
      <w:pPr>
        <w:spacing w:line="276" w:lineRule="auto"/>
        <w:jc w:val="both"/>
        <w:rPr>
          <w:rFonts w:eastAsia="Times New Roman"/>
          <w:color w:val="FF0000"/>
          <w:lang w:val="en-GB"/>
        </w:rPr>
      </w:pPr>
      <w:r w:rsidRPr="001F151E">
        <w:rPr>
          <w:lang w:val="en-GB"/>
        </w:rPr>
        <w:t>The Albanian Public Procurement Commission</w:t>
      </w:r>
      <w:r w:rsidRPr="001F151E">
        <w:rPr>
          <w:rStyle w:val="FootnoteReference"/>
          <w:rFonts w:eastAsia="Times New Roman"/>
          <w:lang w:val="en-GB"/>
        </w:rPr>
        <w:footnoteReference w:id="52"/>
      </w:r>
      <w:r w:rsidRPr="001F151E">
        <w:rPr>
          <w:lang w:val="en-GB"/>
        </w:rPr>
        <w:t xml:space="preserve"> (PPC) has strengthened its independence by effectuation of legal changes in 2018. An electronic e-complaints management system for public procurement became operational since 2021. All planned vacancies were filled in until the end of 2022 and in the same year the PPC improved the efficiency of complaint reviews, both in terms of the number of complaints handled outside the deadline and the time taken to review complaints. T</w:t>
      </w:r>
      <w:r w:rsidRPr="001F151E">
        <w:rPr>
          <w:rFonts w:eastAsia="Times New Roman"/>
          <w:lang w:val="en-GB"/>
        </w:rPr>
        <w:t xml:space="preserve">he PPC will continue to maintain a focus on timely and effective decision-making in the complaint review process while keeping in balance resource allocation, regulatory amendments, and technological upgrades. </w:t>
      </w:r>
    </w:p>
    <w:p w14:paraId="7E25ACFE" w14:textId="77777777" w:rsidR="002C447B" w:rsidRDefault="002C447B" w:rsidP="002C447B">
      <w:pPr>
        <w:pStyle w:val="EcorysBody"/>
        <w:rPr>
          <w:rFonts w:ascii="Arial" w:hAnsi="Arial" w:cs="Arial"/>
          <w:color w:val="FF0000"/>
          <w:lang w:val="en-GB"/>
        </w:rPr>
      </w:pPr>
    </w:p>
    <w:p w14:paraId="6609BD31" w14:textId="77777777" w:rsidR="00830DA2" w:rsidRDefault="00830DA2" w:rsidP="002C447B">
      <w:pPr>
        <w:pStyle w:val="EcorysBody"/>
        <w:rPr>
          <w:rFonts w:ascii="Arial" w:hAnsi="Arial" w:cs="Arial"/>
          <w:color w:val="FF0000"/>
          <w:lang w:val="en-GB"/>
        </w:rPr>
      </w:pPr>
    </w:p>
    <w:p w14:paraId="1EABE069" w14:textId="77777777" w:rsidR="00830DA2" w:rsidRDefault="00830DA2" w:rsidP="002C447B">
      <w:pPr>
        <w:pStyle w:val="EcorysBody"/>
        <w:rPr>
          <w:rFonts w:ascii="Arial" w:hAnsi="Arial" w:cs="Arial"/>
          <w:color w:val="FF0000"/>
          <w:lang w:val="en-GB"/>
        </w:rPr>
      </w:pPr>
    </w:p>
    <w:p w14:paraId="42CCED4B" w14:textId="77777777" w:rsidR="00830DA2" w:rsidRDefault="00830DA2" w:rsidP="002C447B">
      <w:pPr>
        <w:pStyle w:val="EcorysBody"/>
        <w:rPr>
          <w:rFonts w:ascii="Arial" w:hAnsi="Arial" w:cs="Arial"/>
          <w:color w:val="FF0000"/>
          <w:lang w:val="en-GB"/>
        </w:rPr>
      </w:pPr>
    </w:p>
    <w:p w14:paraId="4AB82538" w14:textId="77777777" w:rsidR="00830DA2" w:rsidRDefault="00830DA2" w:rsidP="002C447B">
      <w:pPr>
        <w:pStyle w:val="EcorysBody"/>
        <w:rPr>
          <w:rFonts w:ascii="Arial" w:hAnsi="Arial" w:cs="Arial"/>
          <w:color w:val="FF0000"/>
          <w:lang w:val="en-GB"/>
        </w:rPr>
      </w:pPr>
    </w:p>
    <w:p w14:paraId="3832367C" w14:textId="77777777" w:rsidR="00A2296F" w:rsidRPr="001F151E" w:rsidRDefault="00A2296F" w:rsidP="002C447B">
      <w:pPr>
        <w:pStyle w:val="EcorysBody"/>
        <w:rPr>
          <w:rFonts w:ascii="Arial" w:hAnsi="Arial" w:cs="Arial"/>
          <w:color w:val="FF0000"/>
          <w:lang w:val="en-GB"/>
        </w:rPr>
      </w:pPr>
    </w:p>
    <w:p w14:paraId="066A91CD" w14:textId="77777777" w:rsidR="002C447B" w:rsidRPr="001F151E" w:rsidRDefault="002C447B" w:rsidP="002C447B">
      <w:pPr>
        <w:pStyle w:val="H5"/>
        <w:rPr>
          <w:lang w:val="en-GB"/>
        </w:rPr>
      </w:pPr>
      <w:r w:rsidRPr="001F151E">
        <w:rPr>
          <w:lang w:val="en-GB"/>
        </w:rPr>
        <w:lastRenderedPageBreak/>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18"/>
        <w:gridCol w:w="3637"/>
        <w:gridCol w:w="794"/>
        <w:gridCol w:w="794"/>
        <w:gridCol w:w="1773"/>
      </w:tblGrid>
      <w:tr w:rsidR="002C447B" w:rsidRPr="001F151E" w14:paraId="454DB0F0" w14:textId="77777777" w:rsidTr="001964BA">
        <w:trPr>
          <w:trHeight w:val="182"/>
          <w:tblHeader/>
        </w:trPr>
        <w:tc>
          <w:tcPr>
            <w:tcW w:w="2018" w:type="dxa"/>
            <w:shd w:val="clear" w:color="auto" w:fill="D9D9D9" w:themeFill="background1" w:themeFillShade="D9"/>
          </w:tcPr>
          <w:p w14:paraId="41680CF6" w14:textId="77777777" w:rsidR="002C447B" w:rsidRPr="001F151E" w:rsidRDefault="002C447B" w:rsidP="001964BA">
            <w:pPr>
              <w:pStyle w:val="T-bold"/>
              <w:spacing w:line="288" w:lineRule="auto"/>
            </w:pPr>
            <w:r w:rsidRPr="001F151E">
              <w:t>Measure</w:t>
            </w:r>
          </w:p>
        </w:tc>
        <w:tc>
          <w:tcPr>
            <w:tcW w:w="3637" w:type="dxa"/>
            <w:shd w:val="clear" w:color="auto" w:fill="D9D9D9" w:themeFill="background1" w:themeFillShade="D9"/>
          </w:tcPr>
          <w:p w14:paraId="4FC608A4" w14:textId="77777777" w:rsidR="002C447B" w:rsidRPr="001F151E" w:rsidRDefault="002C447B" w:rsidP="001964BA">
            <w:pPr>
              <w:pStyle w:val="T-bold"/>
              <w:spacing w:line="288" w:lineRule="auto"/>
            </w:pPr>
            <w:r w:rsidRPr="001F151E">
              <w:t>Activity</w:t>
            </w:r>
          </w:p>
        </w:tc>
        <w:tc>
          <w:tcPr>
            <w:tcW w:w="794" w:type="dxa"/>
            <w:shd w:val="clear" w:color="auto" w:fill="D9D9D9" w:themeFill="background1" w:themeFillShade="D9"/>
          </w:tcPr>
          <w:p w14:paraId="7B465C28" w14:textId="77777777" w:rsidR="002C447B" w:rsidRPr="001F151E" w:rsidRDefault="002C447B" w:rsidP="001964BA">
            <w:pPr>
              <w:pStyle w:val="T-bold"/>
              <w:spacing w:line="288" w:lineRule="auto"/>
              <w:jc w:val="center"/>
            </w:pPr>
            <w:r w:rsidRPr="001F151E">
              <w:t>Start</w:t>
            </w:r>
          </w:p>
        </w:tc>
        <w:tc>
          <w:tcPr>
            <w:tcW w:w="794" w:type="dxa"/>
            <w:shd w:val="clear" w:color="auto" w:fill="D9D9D9" w:themeFill="background1" w:themeFillShade="D9"/>
          </w:tcPr>
          <w:p w14:paraId="554A6FE7" w14:textId="77777777" w:rsidR="002C447B" w:rsidRPr="001F151E" w:rsidRDefault="002C447B" w:rsidP="001964BA">
            <w:pPr>
              <w:pStyle w:val="T-bold"/>
              <w:spacing w:line="288" w:lineRule="auto"/>
              <w:jc w:val="center"/>
            </w:pPr>
            <w:r w:rsidRPr="001F151E">
              <w:t>End</w:t>
            </w:r>
          </w:p>
        </w:tc>
        <w:tc>
          <w:tcPr>
            <w:tcW w:w="1773" w:type="dxa"/>
            <w:shd w:val="clear" w:color="auto" w:fill="D9D9D9" w:themeFill="background1" w:themeFillShade="D9"/>
          </w:tcPr>
          <w:p w14:paraId="23B3D70C" w14:textId="77777777" w:rsidR="002C447B" w:rsidRPr="001F151E" w:rsidRDefault="002C447B" w:rsidP="001964BA">
            <w:pPr>
              <w:pStyle w:val="T-bold"/>
              <w:spacing w:line="288" w:lineRule="auto"/>
            </w:pPr>
            <w:r w:rsidRPr="001F151E">
              <w:t>Stakeholders</w:t>
            </w:r>
          </w:p>
        </w:tc>
      </w:tr>
      <w:tr w:rsidR="00257005" w:rsidRPr="001F151E" w14:paraId="68C815D8" w14:textId="77777777" w:rsidTr="001964BA">
        <w:trPr>
          <w:trHeight w:val="20"/>
        </w:trPr>
        <w:tc>
          <w:tcPr>
            <w:tcW w:w="2018" w:type="dxa"/>
            <w:shd w:val="clear" w:color="auto" w:fill="auto"/>
          </w:tcPr>
          <w:p w14:paraId="03D0B117" w14:textId="4FB03DC9" w:rsidR="005802EF" w:rsidRPr="001F151E" w:rsidRDefault="00257005" w:rsidP="00257005">
            <w:pPr>
              <w:pStyle w:val="EcorysBody"/>
              <w:spacing w:line="288" w:lineRule="auto"/>
              <w:rPr>
                <w:rFonts w:ascii="Arial" w:hAnsi="Arial" w:cs="Arial"/>
                <w:b/>
                <w:bCs/>
                <w:sz w:val="16"/>
                <w:szCs w:val="16"/>
              </w:rPr>
            </w:pPr>
            <w:r w:rsidRPr="001F151E">
              <w:rPr>
                <w:rFonts w:ascii="Arial" w:hAnsi="Arial" w:cs="Arial"/>
                <w:b/>
                <w:bCs/>
                <w:sz w:val="16"/>
                <w:szCs w:val="16"/>
              </w:rPr>
              <w:t>Measure 4.</w:t>
            </w:r>
            <w:r w:rsidR="00297283">
              <w:rPr>
                <w:rFonts w:ascii="Arial" w:hAnsi="Arial" w:cs="Arial"/>
                <w:b/>
                <w:bCs/>
                <w:sz w:val="16"/>
                <w:szCs w:val="16"/>
              </w:rPr>
              <w:t>3</w:t>
            </w:r>
            <w:r w:rsidRPr="001F151E">
              <w:rPr>
                <w:rFonts w:ascii="Arial" w:hAnsi="Arial" w:cs="Arial"/>
                <w:b/>
                <w:bCs/>
                <w:sz w:val="16"/>
                <w:szCs w:val="16"/>
              </w:rPr>
              <w:t xml:space="preserve">.1 </w:t>
            </w:r>
          </w:p>
          <w:p w14:paraId="6529E142" w14:textId="65A9A300" w:rsidR="00257005" w:rsidRPr="001F151E" w:rsidRDefault="00F4641F" w:rsidP="00F4641F">
            <w:pPr>
              <w:pStyle w:val="EcorysBody"/>
              <w:spacing w:line="288" w:lineRule="auto"/>
              <w:rPr>
                <w:rFonts w:ascii="Arial" w:hAnsi="Arial" w:cs="Arial"/>
                <w:b/>
                <w:bCs/>
                <w:sz w:val="16"/>
                <w:szCs w:val="16"/>
              </w:rPr>
            </w:pPr>
            <w:r w:rsidRPr="001F151E">
              <w:rPr>
                <w:rFonts w:ascii="Arial" w:hAnsi="Arial" w:cs="Arial"/>
                <w:b/>
                <w:bCs/>
                <w:sz w:val="16"/>
                <w:szCs w:val="16"/>
              </w:rPr>
              <w:t xml:space="preserve">Improve </w:t>
            </w:r>
            <w:r>
              <w:rPr>
                <w:rFonts w:ascii="Arial" w:hAnsi="Arial" w:cs="Arial"/>
                <w:b/>
                <w:bCs/>
                <w:sz w:val="16"/>
                <w:szCs w:val="16"/>
              </w:rPr>
              <w:t>quality and efficiency in procurement procedures</w:t>
            </w:r>
            <w:r w:rsidRPr="001F151E">
              <w:rPr>
                <w:rFonts w:ascii="Arial" w:hAnsi="Arial" w:cs="Arial"/>
                <w:b/>
                <w:bCs/>
                <w:sz w:val="16"/>
                <w:szCs w:val="16"/>
              </w:rPr>
              <w:t xml:space="preserve"> </w:t>
            </w:r>
          </w:p>
        </w:tc>
        <w:tc>
          <w:tcPr>
            <w:tcW w:w="3637" w:type="dxa"/>
            <w:vAlign w:val="center"/>
          </w:tcPr>
          <w:p w14:paraId="12B3A0CF" w14:textId="3506C244" w:rsidR="00257005" w:rsidRPr="001F151E" w:rsidRDefault="002D25CF" w:rsidP="001D38E5">
            <w:pPr>
              <w:pStyle w:val="EcorysBody"/>
              <w:numPr>
                <w:ilvl w:val="0"/>
                <w:numId w:val="14"/>
              </w:numPr>
              <w:spacing w:line="288" w:lineRule="auto"/>
              <w:rPr>
                <w:rFonts w:ascii="Arial" w:hAnsi="Arial" w:cs="Arial"/>
                <w:sz w:val="16"/>
                <w:szCs w:val="16"/>
              </w:rPr>
            </w:pPr>
            <w:r>
              <w:rPr>
                <w:rFonts w:ascii="Arial" w:hAnsi="Arial" w:cs="Arial"/>
                <w:sz w:val="16"/>
                <w:szCs w:val="16"/>
              </w:rPr>
              <w:t>O</w:t>
            </w:r>
            <w:r w:rsidR="00257005" w:rsidRPr="001F151E">
              <w:rPr>
                <w:rFonts w:ascii="Arial" w:hAnsi="Arial" w:cs="Arial"/>
                <w:sz w:val="16"/>
                <w:szCs w:val="16"/>
              </w:rPr>
              <w:t xml:space="preserve">n the use of </w:t>
            </w:r>
            <w:r w:rsidR="001D38E5">
              <w:rPr>
                <w:rFonts w:ascii="Arial" w:hAnsi="Arial" w:cs="Arial"/>
                <w:sz w:val="16"/>
                <w:szCs w:val="16"/>
              </w:rPr>
              <w:t>award</w:t>
            </w:r>
            <w:r w:rsidR="00B447FE">
              <w:rPr>
                <w:rFonts w:ascii="Arial" w:hAnsi="Arial" w:cs="Arial"/>
                <w:sz w:val="16"/>
                <w:szCs w:val="16"/>
              </w:rPr>
              <w:t xml:space="preserve"> criteria “</w:t>
            </w:r>
            <w:r w:rsidR="00257005" w:rsidRPr="001F151E">
              <w:rPr>
                <w:rFonts w:ascii="Arial" w:hAnsi="Arial" w:cs="Arial"/>
                <w:sz w:val="16"/>
                <w:szCs w:val="16"/>
              </w:rPr>
              <w:t>most economically advantageous tender based on costs</w:t>
            </w:r>
            <w:r w:rsidR="00B447FE">
              <w:rPr>
                <w:rFonts w:ascii="Arial" w:hAnsi="Arial" w:cs="Arial"/>
                <w:sz w:val="16"/>
                <w:szCs w:val="16"/>
              </w:rPr>
              <w:t>”</w:t>
            </w:r>
            <w:r w:rsidR="00257005" w:rsidRPr="001F151E">
              <w:rPr>
                <w:rFonts w:ascii="Arial" w:hAnsi="Arial" w:cs="Arial"/>
                <w:sz w:val="16"/>
                <w:szCs w:val="16"/>
              </w:rPr>
              <w:t xml:space="preserve"> (MEAT based on cost)</w:t>
            </w:r>
            <w:r w:rsidR="006867B7" w:rsidRPr="001F151E">
              <w:rPr>
                <w:rFonts w:ascii="Arial" w:hAnsi="Arial" w:cs="Arial"/>
                <w:sz w:val="16"/>
                <w:szCs w:val="16"/>
              </w:rPr>
              <w:t>.</w:t>
            </w:r>
          </w:p>
        </w:tc>
        <w:tc>
          <w:tcPr>
            <w:tcW w:w="794" w:type="dxa"/>
            <w:vAlign w:val="center"/>
          </w:tcPr>
          <w:p w14:paraId="102CD408" w14:textId="0841D30A" w:rsidR="00257005" w:rsidRPr="001F151E" w:rsidRDefault="00640760" w:rsidP="00257005">
            <w:pPr>
              <w:jc w:val="center"/>
              <w:rPr>
                <w:sz w:val="16"/>
                <w:szCs w:val="16"/>
              </w:rPr>
            </w:pPr>
            <w:r w:rsidRPr="001F151E">
              <w:rPr>
                <w:sz w:val="16"/>
                <w:szCs w:val="16"/>
              </w:rPr>
              <w:t xml:space="preserve">Q1 </w:t>
            </w:r>
            <w:r w:rsidR="00257005" w:rsidRPr="001F151E">
              <w:rPr>
                <w:sz w:val="16"/>
                <w:szCs w:val="16"/>
              </w:rPr>
              <w:t>2023</w:t>
            </w:r>
          </w:p>
        </w:tc>
        <w:tc>
          <w:tcPr>
            <w:tcW w:w="794" w:type="dxa"/>
            <w:vAlign w:val="center"/>
          </w:tcPr>
          <w:p w14:paraId="22CEFE8A" w14:textId="718AE3DD" w:rsidR="00257005" w:rsidRPr="001F151E" w:rsidRDefault="00640760" w:rsidP="00257005">
            <w:pPr>
              <w:jc w:val="center"/>
              <w:rPr>
                <w:sz w:val="16"/>
                <w:szCs w:val="16"/>
              </w:rPr>
            </w:pPr>
            <w:r w:rsidRPr="001F151E">
              <w:rPr>
                <w:sz w:val="16"/>
                <w:szCs w:val="16"/>
              </w:rPr>
              <w:t xml:space="preserve">Q4 </w:t>
            </w:r>
            <w:r w:rsidR="00257005" w:rsidRPr="001F151E">
              <w:rPr>
                <w:sz w:val="16"/>
                <w:szCs w:val="16"/>
              </w:rPr>
              <w:t>2024</w:t>
            </w:r>
          </w:p>
        </w:tc>
        <w:tc>
          <w:tcPr>
            <w:tcW w:w="1773" w:type="dxa"/>
          </w:tcPr>
          <w:p w14:paraId="7A07C07B" w14:textId="77777777" w:rsidR="00257005" w:rsidRPr="001F151E" w:rsidRDefault="00257005" w:rsidP="00257005">
            <w:pPr>
              <w:rPr>
                <w:b/>
                <w:bCs/>
                <w:sz w:val="16"/>
                <w:szCs w:val="16"/>
              </w:rPr>
            </w:pPr>
            <w:r w:rsidRPr="001F151E">
              <w:rPr>
                <w:b/>
                <w:bCs/>
                <w:sz w:val="16"/>
                <w:szCs w:val="16"/>
              </w:rPr>
              <w:t>Responsible entity:</w:t>
            </w:r>
          </w:p>
          <w:p w14:paraId="16703269" w14:textId="285A3738" w:rsidR="00257005" w:rsidRPr="001F151E" w:rsidRDefault="00257005" w:rsidP="00257005">
            <w:pPr>
              <w:rPr>
                <w:sz w:val="16"/>
                <w:szCs w:val="16"/>
              </w:rPr>
            </w:pPr>
            <w:r w:rsidRPr="001F151E">
              <w:rPr>
                <w:sz w:val="16"/>
                <w:szCs w:val="16"/>
              </w:rPr>
              <w:t>PPA (lead)</w:t>
            </w:r>
          </w:p>
          <w:p w14:paraId="694AA635" w14:textId="77777777" w:rsidR="00257005" w:rsidRPr="001F151E" w:rsidRDefault="00257005" w:rsidP="00257005">
            <w:pPr>
              <w:rPr>
                <w:sz w:val="16"/>
                <w:szCs w:val="16"/>
              </w:rPr>
            </w:pPr>
          </w:p>
          <w:p w14:paraId="6FD724B4" w14:textId="77777777" w:rsidR="00257005" w:rsidRPr="001F151E" w:rsidRDefault="00257005" w:rsidP="00257005">
            <w:pPr>
              <w:rPr>
                <w:b/>
                <w:bCs/>
                <w:sz w:val="16"/>
                <w:szCs w:val="16"/>
              </w:rPr>
            </w:pPr>
            <w:r w:rsidRPr="001F151E">
              <w:rPr>
                <w:b/>
                <w:bCs/>
                <w:sz w:val="16"/>
                <w:szCs w:val="16"/>
              </w:rPr>
              <w:t>Partner:</w:t>
            </w:r>
          </w:p>
          <w:p w14:paraId="2BA80B59" w14:textId="77777777" w:rsidR="00257005" w:rsidRPr="001F151E" w:rsidRDefault="00257005" w:rsidP="00257005">
            <w:pPr>
              <w:rPr>
                <w:sz w:val="16"/>
                <w:szCs w:val="16"/>
              </w:rPr>
            </w:pPr>
            <w:r w:rsidRPr="001F151E">
              <w:rPr>
                <w:sz w:val="16"/>
                <w:szCs w:val="16"/>
              </w:rPr>
              <w:t>SIGMA</w:t>
            </w:r>
          </w:p>
        </w:tc>
      </w:tr>
      <w:tr w:rsidR="002C447B" w:rsidRPr="001F151E" w14:paraId="204B1413" w14:textId="77777777" w:rsidTr="001964BA">
        <w:trPr>
          <w:trHeight w:val="32"/>
        </w:trPr>
        <w:tc>
          <w:tcPr>
            <w:tcW w:w="2018" w:type="dxa"/>
            <w:vMerge w:val="restart"/>
          </w:tcPr>
          <w:p w14:paraId="7144D9B2" w14:textId="373F31B5" w:rsidR="005802EF" w:rsidRPr="001F151E" w:rsidRDefault="00257005" w:rsidP="001964BA">
            <w:pPr>
              <w:pStyle w:val="EcorysBody"/>
              <w:spacing w:line="288" w:lineRule="auto"/>
              <w:rPr>
                <w:rFonts w:ascii="Arial" w:hAnsi="Arial" w:cs="Arial"/>
                <w:b/>
                <w:bCs/>
                <w:sz w:val="16"/>
                <w:szCs w:val="16"/>
              </w:rPr>
            </w:pPr>
            <w:r w:rsidRPr="001F151E">
              <w:rPr>
                <w:rFonts w:ascii="Arial" w:hAnsi="Arial" w:cs="Arial"/>
                <w:b/>
                <w:bCs/>
                <w:sz w:val="16"/>
                <w:szCs w:val="16"/>
              </w:rPr>
              <w:t>Measure 4.</w:t>
            </w:r>
            <w:r w:rsidR="00297283">
              <w:rPr>
                <w:rFonts w:ascii="Arial" w:hAnsi="Arial" w:cs="Arial"/>
                <w:b/>
                <w:bCs/>
                <w:sz w:val="16"/>
                <w:szCs w:val="16"/>
              </w:rPr>
              <w:t>3</w:t>
            </w:r>
            <w:r w:rsidRPr="001F151E">
              <w:rPr>
                <w:rFonts w:ascii="Arial" w:hAnsi="Arial" w:cs="Arial"/>
                <w:b/>
                <w:bCs/>
                <w:sz w:val="16"/>
                <w:szCs w:val="16"/>
              </w:rPr>
              <w:t>.2</w:t>
            </w:r>
            <w:r w:rsidR="002C447B" w:rsidRPr="001F151E">
              <w:rPr>
                <w:rFonts w:ascii="Arial" w:hAnsi="Arial" w:cs="Arial"/>
                <w:b/>
                <w:bCs/>
                <w:sz w:val="16"/>
                <w:szCs w:val="16"/>
              </w:rPr>
              <w:t xml:space="preserve"> </w:t>
            </w:r>
          </w:p>
          <w:p w14:paraId="40385002" w14:textId="142BD987" w:rsidR="002C447B" w:rsidRPr="001F151E" w:rsidRDefault="002C447B" w:rsidP="001964BA">
            <w:pPr>
              <w:pStyle w:val="EcorysBody"/>
              <w:spacing w:line="288" w:lineRule="auto"/>
              <w:rPr>
                <w:rFonts w:ascii="Arial" w:hAnsi="Arial" w:cs="Arial"/>
                <w:b/>
                <w:bCs/>
                <w:sz w:val="16"/>
                <w:szCs w:val="16"/>
              </w:rPr>
            </w:pPr>
            <w:r w:rsidRPr="001F151E">
              <w:rPr>
                <w:rFonts w:ascii="Arial" w:hAnsi="Arial" w:cs="Arial"/>
                <w:b/>
                <w:bCs/>
                <w:sz w:val="16"/>
                <w:szCs w:val="16"/>
              </w:rPr>
              <w:t>Design and Implement green public procurement</w:t>
            </w:r>
          </w:p>
          <w:p w14:paraId="4B62276E" w14:textId="77777777" w:rsidR="002C447B" w:rsidRPr="001F151E" w:rsidRDefault="002C447B" w:rsidP="001964BA">
            <w:pPr>
              <w:pStyle w:val="EcorysBody"/>
              <w:spacing w:line="288" w:lineRule="auto"/>
              <w:rPr>
                <w:rFonts w:ascii="Arial" w:hAnsi="Arial" w:cs="Arial"/>
                <w:b/>
                <w:bCs/>
                <w:sz w:val="16"/>
                <w:szCs w:val="16"/>
              </w:rPr>
            </w:pPr>
          </w:p>
        </w:tc>
        <w:tc>
          <w:tcPr>
            <w:tcW w:w="3637" w:type="dxa"/>
            <w:vAlign w:val="center"/>
          </w:tcPr>
          <w:p w14:paraId="0F8F847A" w14:textId="7B428873" w:rsidR="002C447B" w:rsidRPr="001F151E" w:rsidRDefault="002C447B" w:rsidP="002B2CA4">
            <w:pPr>
              <w:pStyle w:val="EcorysBody"/>
              <w:numPr>
                <w:ilvl w:val="0"/>
                <w:numId w:val="15"/>
              </w:numPr>
              <w:rPr>
                <w:rFonts w:ascii="Arial" w:hAnsi="Arial" w:cs="Arial"/>
                <w:sz w:val="16"/>
                <w:szCs w:val="16"/>
              </w:rPr>
            </w:pPr>
            <w:r w:rsidRPr="001F151E">
              <w:rPr>
                <w:rFonts w:ascii="Arial" w:hAnsi="Arial" w:cs="Arial"/>
                <w:sz w:val="16"/>
                <w:szCs w:val="16"/>
              </w:rPr>
              <w:t>Prepare the methodology to implement the green procurement</w:t>
            </w:r>
            <w:r w:rsidR="002B2CA4">
              <w:rPr>
                <w:rFonts w:ascii="Arial" w:hAnsi="Arial" w:cs="Arial"/>
                <w:sz w:val="16"/>
                <w:szCs w:val="16"/>
              </w:rPr>
              <w:t>/energy efficiency criteria</w:t>
            </w:r>
            <w:r w:rsidRPr="001F151E">
              <w:rPr>
                <w:rFonts w:ascii="Arial" w:hAnsi="Arial" w:cs="Arial"/>
                <w:sz w:val="16"/>
                <w:szCs w:val="16"/>
              </w:rPr>
              <w:t>.</w:t>
            </w:r>
            <w:r w:rsidRPr="001F151E">
              <w:rPr>
                <w:rStyle w:val="FootnoteReference"/>
                <w:rFonts w:cs="Arial"/>
                <w:sz w:val="16"/>
                <w:szCs w:val="16"/>
              </w:rPr>
              <w:footnoteReference w:id="53"/>
            </w:r>
          </w:p>
        </w:tc>
        <w:tc>
          <w:tcPr>
            <w:tcW w:w="794" w:type="dxa"/>
            <w:vAlign w:val="center"/>
          </w:tcPr>
          <w:p w14:paraId="0FD9E3D0" w14:textId="65A19F09" w:rsidR="002C447B" w:rsidRPr="001F151E" w:rsidRDefault="00640760" w:rsidP="001964BA">
            <w:pPr>
              <w:jc w:val="center"/>
              <w:rPr>
                <w:sz w:val="16"/>
                <w:szCs w:val="16"/>
              </w:rPr>
            </w:pPr>
            <w:r w:rsidRPr="001F151E">
              <w:rPr>
                <w:sz w:val="16"/>
                <w:szCs w:val="16"/>
              </w:rPr>
              <w:t xml:space="preserve">Q1 </w:t>
            </w:r>
            <w:r w:rsidR="002C447B" w:rsidRPr="001F151E">
              <w:rPr>
                <w:sz w:val="16"/>
                <w:szCs w:val="16"/>
              </w:rPr>
              <w:t>2023</w:t>
            </w:r>
          </w:p>
        </w:tc>
        <w:tc>
          <w:tcPr>
            <w:tcW w:w="794" w:type="dxa"/>
            <w:vAlign w:val="center"/>
          </w:tcPr>
          <w:p w14:paraId="35054B79" w14:textId="407786C3" w:rsidR="002C447B" w:rsidRPr="001F151E" w:rsidRDefault="00C64ECD" w:rsidP="001964BA">
            <w:pPr>
              <w:jc w:val="center"/>
              <w:rPr>
                <w:sz w:val="16"/>
                <w:szCs w:val="16"/>
              </w:rPr>
            </w:pPr>
            <w:r w:rsidRPr="001F151E">
              <w:rPr>
                <w:sz w:val="16"/>
                <w:szCs w:val="16"/>
              </w:rPr>
              <w:t xml:space="preserve">Q4 </w:t>
            </w:r>
            <w:r w:rsidR="002C447B" w:rsidRPr="001F151E">
              <w:rPr>
                <w:sz w:val="16"/>
                <w:szCs w:val="16"/>
              </w:rPr>
              <w:t>2023</w:t>
            </w:r>
          </w:p>
        </w:tc>
        <w:tc>
          <w:tcPr>
            <w:tcW w:w="1773" w:type="dxa"/>
            <w:vMerge w:val="restart"/>
          </w:tcPr>
          <w:p w14:paraId="272D418B" w14:textId="77777777" w:rsidR="002C447B" w:rsidRPr="001F151E" w:rsidRDefault="002C447B" w:rsidP="001964BA">
            <w:pPr>
              <w:rPr>
                <w:b/>
                <w:bCs/>
                <w:sz w:val="16"/>
                <w:szCs w:val="16"/>
              </w:rPr>
            </w:pPr>
            <w:r w:rsidRPr="001F151E">
              <w:rPr>
                <w:b/>
                <w:bCs/>
                <w:sz w:val="16"/>
                <w:szCs w:val="16"/>
              </w:rPr>
              <w:t>Responsible entity:</w:t>
            </w:r>
          </w:p>
          <w:p w14:paraId="0E382A25" w14:textId="343A8B24" w:rsidR="002C447B" w:rsidRPr="001F151E" w:rsidRDefault="002C447B" w:rsidP="001964BA">
            <w:pPr>
              <w:rPr>
                <w:sz w:val="16"/>
                <w:szCs w:val="16"/>
              </w:rPr>
            </w:pPr>
            <w:r w:rsidRPr="001F151E">
              <w:rPr>
                <w:sz w:val="16"/>
                <w:szCs w:val="16"/>
              </w:rPr>
              <w:t>PP</w:t>
            </w:r>
            <w:r w:rsidR="00257005" w:rsidRPr="001F151E">
              <w:rPr>
                <w:sz w:val="16"/>
                <w:szCs w:val="16"/>
              </w:rPr>
              <w:t>A</w:t>
            </w:r>
            <w:r w:rsidRPr="001F151E">
              <w:rPr>
                <w:sz w:val="16"/>
                <w:szCs w:val="16"/>
              </w:rPr>
              <w:t xml:space="preserve"> (lead)</w:t>
            </w:r>
            <w:r w:rsidR="00086262">
              <w:rPr>
                <w:sz w:val="16"/>
                <w:szCs w:val="16"/>
              </w:rPr>
              <w:t>, MIE</w:t>
            </w:r>
          </w:p>
          <w:p w14:paraId="1BB58D35" w14:textId="77777777" w:rsidR="002C447B" w:rsidRPr="001F151E" w:rsidRDefault="002C447B" w:rsidP="001964BA">
            <w:pPr>
              <w:rPr>
                <w:sz w:val="16"/>
                <w:szCs w:val="16"/>
              </w:rPr>
            </w:pPr>
          </w:p>
          <w:p w14:paraId="1EF6F3D6" w14:textId="77777777" w:rsidR="002C447B" w:rsidRPr="001F151E" w:rsidRDefault="002C447B" w:rsidP="001964BA">
            <w:pPr>
              <w:rPr>
                <w:b/>
                <w:bCs/>
                <w:sz w:val="16"/>
                <w:szCs w:val="16"/>
              </w:rPr>
            </w:pPr>
            <w:r w:rsidRPr="001F151E">
              <w:rPr>
                <w:b/>
                <w:bCs/>
                <w:sz w:val="16"/>
                <w:szCs w:val="16"/>
              </w:rPr>
              <w:t>Partner:</w:t>
            </w:r>
          </w:p>
          <w:p w14:paraId="02F51A75" w14:textId="77777777" w:rsidR="002C447B" w:rsidRPr="001F151E" w:rsidRDefault="002C447B" w:rsidP="001964BA">
            <w:pPr>
              <w:rPr>
                <w:sz w:val="16"/>
                <w:szCs w:val="16"/>
              </w:rPr>
            </w:pPr>
            <w:r w:rsidRPr="001F151E">
              <w:rPr>
                <w:sz w:val="16"/>
                <w:szCs w:val="16"/>
              </w:rPr>
              <w:t>World Bank</w:t>
            </w:r>
          </w:p>
          <w:p w14:paraId="1004B972" w14:textId="77777777" w:rsidR="002C447B" w:rsidRPr="001F151E" w:rsidRDefault="002C447B" w:rsidP="001964BA">
            <w:pPr>
              <w:rPr>
                <w:sz w:val="16"/>
                <w:szCs w:val="16"/>
              </w:rPr>
            </w:pPr>
          </w:p>
        </w:tc>
      </w:tr>
      <w:tr w:rsidR="00257005" w:rsidRPr="001F151E" w14:paraId="69C9E765" w14:textId="77777777" w:rsidTr="001964BA">
        <w:trPr>
          <w:trHeight w:val="32"/>
        </w:trPr>
        <w:tc>
          <w:tcPr>
            <w:tcW w:w="2018" w:type="dxa"/>
            <w:vMerge/>
          </w:tcPr>
          <w:p w14:paraId="7B4DD638" w14:textId="77777777" w:rsidR="00257005" w:rsidRPr="001F151E" w:rsidRDefault="00257005" w:rsidP="00897DDC">
            <w:pPr>
              <w:pStyle w:val="EcorysBody"/>
              <w:numPr>
                <w:ilvl w:val="0"/>
                <w:numId w:val="15"/>
              </w:numPr>
              <w:spacing w:line="288" w:lineRule="auto"/>
              <w:rPr>
                <w:rFonts w:ascii="Arial" w:hAnsi="Arial" w:cs="Arial"/>
                <w:sz w:val="16"/>
                <w:szCs w:val="16"/>
              </w:rPr>
            </w:pPr>
          </w:p>
        </w:tc>
        <w:tc>
          <w:tcPr>
            <w:tcW w:w="3637" w:type="dxa"/>
            <w:vAlign w:val="center"/>
          </w:tcPr>
          <w:p w14:paraId="742020D2" w14:textId="5C549909" w:rsidR="00257005" w:rsidRPr="001F151E" w:rsidRDefault="00257005" w:rsidP="00897DDC">
            <w:pPr>
              <w:pStyle w:val="EcorysBody"/>
              <w:numPr>
                <w:ilvl w:val="0"/>
                <w:numId w:val="15"/>
              </w:numPr>
              <w:spacing w:line="288" w:lineRule="auto"/>
              <w:rPr>
                <w:rFonts w:ascii="Arial" w:hAnsi="Arial" w:cs="Arial"/>
                <w:sz w:val="16"/>
                <w:szCs w:val="16"/>
              </w:rPr>
            </w:pPr>
            <w:r w:rsidRPr="001F151E">
              <w:rPr>
                <w:rFonts w:ascii="Arial" w:hAnsi="Arial" w:cs="Arial"/>
                <w:sz w:val="16"/>
                <w:szCs w:val="16"/>
              </w:rPr>
              <w:t>Develop and deliver training on green procurement</w:t>
            </w:r>
            <w:r w:rsidR="00E53B4B">
              <w:rPr>
                <w:rFonts w:ascii="Arial" w:hAnsi="Arial" w:cs="Arial"/>
                <w:sz w:val="16"/>
                <w:szCs w:val="16"/>
              </w:rPr>
              <w:t>/energy efficiency</w:t>
            </w:r>
            <w:r w:rsidRPr="001F151E">
              <w:rPr>
                <w:rFonts w:ascii="Arial" w:hAnsi="Arial" w:cs="Arial"/>
                <w:sz w:val="16"/>
                <w:szCs w:val="16"/>
              </w:rPr>
              <w:t xml:space="preserve"> to procurement professionals.</w:t>
            </w:r>
          </w:p>
        </w:tc>
        <w:tc>
          <w:tcPr>
            <w:tcW w:w="794" w:type="dxa"/>
            <w:vAlign w:val="center"/>
          </w:tcPr>
          <w:p w14:paraId="0F980982" w14:textId="320DC227" w:rsidR="00257005" w:rsidRPr="001F151E" w:rsidRDefault="00C64ECD" w:rsidP="00257005">
            <w:pPr>
              <w:jc w:val="center"/>
              <w:rPr>
                <w:sz w:val="16"/>
                <w:szCs w:val="16"/>
              </w:rPr>
            </w:pPr>
            <w:r w:rsidRPr="001F151E">
              <w:rPr>
                <w:sz w:val="16"/>
                <w:szCs w:val="16"/>
              </w:rPr>
              <w:t xml:space="preserve">Q1 </w:t>
            </w:r>
            <w:r w:rsidR="00257005" w:rsidRPr="001F151E">
              <w:rPr>
                <w:sz w:val="16"/>
                <w:szCs w:val="16"/>
              </w:rPr>
              <w:t>2023</w:t>
            </w:r>
          </w:p>
        </w:tc>
        <w:tc>
          <w:tcPr>
            <w:tcW w:w="794" w:type="dxa"/>
            <w:vAlign w:val="center"/>
          </w:tcPr>
          <w:p w14:paraId="56B18562" w14:textId="06B22BA4" w:rsidR="00257005" w:rsidRPr="001F151E" w:rsidRDefault="00C64ECD" w:rsidP="00257005">
            <w:pPr>
              <w:jc w:val="center"/>
              <w:rPr>
                <w:sz w:val="16"/>
                <w:szCs w:val="16"/>
              </w:rPr>
            </w:pPr>
            <w:r w:rsidRPr="001F151E">
              <w:rPr>
                <w:sz w:val="16"/>
                <w:szCs w:val="16"/>
              </w:rPr>
              <w:t xml:space="preserve">Q4 </w:t>
            </w:r>
            <w:r w:rsidR="00257005" w:rsidRPr="001F151E">
              <w:rPr>
                <w:sz w:val="16"/>
                <w:szCs w:val="16"/>
              </w:rPr>
              <w:t>2024</w:t>
            </w:r>
          </w:p>
        </w:tc>
        <w:tc>
          <w:tcPr>
            <w:tcW w:w="1773" w:type="dxa"/>
            <w:vMerge/>
          </w:tcPr>
          <w:p w14:paraId="7356F38A" w14:textId="77777777" w:rsidR="00257005" w:rsidRPr="001F151E" w:rsidRDefault="00257005" w:rsidP="00257005">
            <w:pPr>
              <w:rPr>
                <w:sz w:val="16"/>
                <w:szCs w:val="16"/>
              </w:rPr>
            </w:pPr>
          </w:p>
        </w:tc>
      </w:tr>
      <w:tr w:rsidR="00257005" w:rsidRPr="001F151E" w14:paraId="2F566021" w14:textId="77777777" w:rsidTr="001964BA">
        <w:trPr>
          <w:trHeight w:val="20"/>
        </w:trPr>
        <w:tc>
          <w:tcPr>
            <w:tcW w:w="2018" w:type="dxa"/>
            <w:vMerge/>
          </w:tcPr>
          <w:p w14:paraId="01BF0E0C" w14:textId="77777777" w:rsidR="00257005" w:rsidRPr="001F151E" w:rsidRDefault="00257005" w:rsidP="00897DDC">
            <w:pPr>
              <w:pStyle w:val="EcorysBody"/>
              <w:numPr>
                <w:ilvl w:val="0"/>
                <w:numId w:val="15"/>
              </w:numPr>
              <w:spacing w:line="288" w:lineRule="auto"/>
              <w:rPr>
                <w:rFonts w:ascii="Arial" w:hAnsi="Arial" w:cs="Arial"/>
                <w:sz w:val="16"/>
                <w:szCs w:val="16"/>
              </w:rPr>
            </w:pPr>
          </w:p>
        </w:tc>
        <w:tc>
          <w:tcPr>
            <w:tcW w:w="3637" w:type="dxa"/>
            <w:vAlign w:val="center"/>
          </w:tcPr>
          <w:p w14:paraId="198A9B9B" w14:textId="77777777" w:rsidR="00257005" w:rsidRPr="001F151E" w:rsidRDefault="00257005" w:rsidP="00897DDC">
            <w:pPr>
              <w:pStyle w:val="EcorysBody"/>
              <w:numPr>
                <w:ilvl w:val="0"/>
                <w:numId w:val="15"/>
              </w:numPr>
              <w:spacing w:line="288" w:lineRule="auto"/>
              <w:rPr>
                <w:rFonts w:ascii="Arial" w:hAnsi="Arial" w:cs="Arial"/>
                <w:sz w:val="16"/>
                <w:szCs w:val="16"/>
              </w:rPr>
            </w:pPr>
            <w:r w:rsidRPr="001F151E">
              <w:rPr>
                <w:rFonts w:ascii="Arial" w:hAnsi="Arial" w:cs="Arial"/>
                <w:sz w:val="16"/>
                <w:szCs w:val="16"/>
              </w:rPr>
              <w:t>Review and amend the regulatory framework (if needed).</w:t>
            </w:r>
          </w:p>
        </w:tc>
        <w:tc>
          <w:tcPr>
            <w:tcW w:w="794" w:type="dxa"/>
            <w:vAlign w:val="center"/>
          </w:tcPr>
          <w:p w14:paraId="75805A75" w14:textId="64607AB4" w:rsidR="00257005" w:rsidRPr="001F151E" w:rsidRDefault="00C64ECD" w:rsidP="00257005">
            <w:pPr>
              <w:jc w:val="center"/>
              <w:rPr>
                <w:sz w:val="16"/>
                <w:szCs w:val="16"/>
              </w:rPr>
            </w:pPr>
            <w:r w:rsidRPr="001F151E">
              <w:rPr>
                <w:sz w:val="16"/>
                <w:szCs w:val="16"/>
              </w:rPr>
              <w:t xml:space="preserve">Q1 </w:t>
            </w:r>
            <w:r w:rsidR="00257005" w:rsidRPr="001F151E">
              <w:rPr>
                <w:sz w:val="16"/>
                <w:szCs w:val="16"/>
              </w:rPr>
              <w:t>2023</w:t>
            </w:r>
          </w:p>
        </w:tc>
        <w:tc>
          <w:tcPr>
            <w:tcW w:w="794" w:type="dxa"/>
            <w:vAlign w:val="center"/>
          </w:tcPr>
          <w:p w14:paraId="581B207B" w14:textId="654AFB3F" w:rsidR="00257005" w:rsidRPr="001F151E" w:rsidRDefault="00C64ECD" w:rsidP="00257005">
            <w:pPr>
              <w:jc w:val="center"/>
              <w:rPr>
                <w:sz w:val="16"/>
                <w:szCs w:val="16"/>
              </w:rPr>
            </w:pPr>
            <w:r w:rsidRPr="001F151E">
              <w:rPr>
                <w:sz w:val="16"/>
                <w:szCs w:val="16"/>
              </w:rPr>
              <w:t xml:space="preserve">Q4 </w:t>
            </w:r>
            <w:r w:rsidR="00257005" w:rsidRPr="001F151E">
              <w:rPr>
                <w:sz w:val="16"/>
                <w:szCs w:val="16"/>
              </w:rPr>
              <w:t>2026</w:t>
            </w:r>
          </w:p>
        </w:tc>
        <w:tc>
          <w:tcPr>
            <w:tcW w:w="1773" w:type="dxa"/>
            <w:vMerge/>
          </w:tcPr>
          <w:p w14:paraId="23B9F0C4" w14:textId="77777777" w:rsidR="00257005" w:rsidRPr="001F151E" w:rsidRDefault="00257005" w:rsidP="00257005">
            <w:pPr>
              <w:rPr>
                <w:sz w:val="16"/>
                <w:szCs w:val="16"/>
              </w:rPr>
            </w:pPr>
          </w:p>
        </w:tc>
      </w:tr>
      <w:tr w:rsidR="002C447B" w:rsidRPr="001F151E" w14:paraId="4F73719E" w14:textId="77777777" w:rsidTr="001964BA">
        <w:trPr>
          <w:trHeight w:val="20"/>
        </w:trPr>
        <w:tc>
          <w:tcPr>
            <w:tcW w:w="2018" w:type="dxa"/>
            <w:vMerge w:val="restart"/>
          </w:tcPr>
          <w:p w14:paraId="448DEF8D" w14:textId="0E62BB48" w:rsidR="005802EF" w:rsidRPr="001F151E" w:rsidRDefault="00257005" w:rsidP="001964BA">
            <w:pPr>
              <w:pStyle w:val="EcorysBody"/>
              <w:spacing w:line="288" w:lineRule="auto"/>
              <w:rPr>
                <w:rFonts w:ascii="Arial" w:hAnsi="Arial" w:cs="Arial"/>
                <w:b/>
                <w:bCs/>
                <w:sz w:val="16"/>
                <w:szCs w:val="16"/>
              </w:rPr>
            </w:pPr>
            <w:r w:rsidRPr="001F151E">
              <w:rPr>
                <w:rFonts w:ascii="Arial" w:hAnsi="Arial" w:cs="Arial"/>
                <w:b/>
                <w:bCs/>
                <w:sz w:val="16"/>
                <w:szCs w:val="16"/>
              </w:rPr>
              <w:t>Measure 4.</w:t>
            </w:r>
            <w:r w:rsidR="00297283">
              <w:rPr>
                <w:rFonts w:ascii="Arial" w:hAnsi="Arial" w:cs="Arial"/>
                <w:b/>
                <w:bCs/>
                <w:sz w:val="16"/>
                <w:szCs w:val="16"/>
              </w:rPr>
              <w:t>3</w:t>
            </w:r>
            <w:r w:rsidRPr="001F151E">
              <w:rPr>
                <w:rFonts w:ascii="Arial" w:hAnsi="Arial" w:cs="Arial"/>
                <w:b/>
                <w:bCs/>
                <w:sz w:val="16"/>
                <w:szCs w:val="16"/>
              </w:rPr>
              <w:t>.3</w:t>
            </w:r>
            <w:r w:rsidR="002C447B" w:rsidRPr="001F151E">
              <w:rPr>
                <w:rFonts w:ascii="Arial" w:hAnsi="Arial" w:cs="Arial"/>
                <w:b/>
                <w:bCs/>
                <w:sz w:val="16"/>
                <w:szCs w:val="16"/>
              </w:rPr>
              <w:t xml:space="preserve"> </w:t>
            </w:r>
          </w:p>
          <w:p w14:paraId="1FB28C0F" w14:textId="3C2A79C3" w:rsidR="002C447B" w:rsidRPr="001F151E" w:rsidRDefault="002C447B" w:rsidP="001964BA">
            <w:pPr>
              <w:pStyle w:val="EcorysBody"/>
              <w:spacing w:line="288" w:lineRule="auto"/>
              <w:rPr>
                <w:rFonts w:ascii="Arial" w:hAnsi="Arial" w:cs="Arial"/>
                <w:b/>
                <w:bCs/>
                <w:sz w:val="16"/>
                <w:szCs w:val="16"/>
              </w:rPr>
            </w:pPr>
            <w:r w:rsidRPr="001F151E">
              <w:rPr>
                <w:rFonts w:ascii="Arial" w:hAnsi="Arial" w:cs="Arial"/>
                <w:b/>
                <w:bCs/>
                <w:sz w:val="16"/>
                <w:szCs w:val="16"/>
              </w:rPr>
              <w:t xml:space="preserve">Enhance the efficiency of the complaint review system by increasing the speed of decision-making </w:t>
            </w:r>
          </w:p>
        </w:tc>
        <w:tc>
          <w:tcPr>
            <w:tcW w:w="3637" w:type="dxa"/>
          </w:tcPr>
          <w:p w14:paraId="1FB3EC86" w14:textId="252EF08F" w:rsidR="002C447B" w:rsidRPr="001F151E" w:rsidRDefault="000A0489" w:rsidP="000A0489">
            <w:pPr>
              <w:pStyle w:val="EcorysBody"/>
              <w:numPr>
                <w:ilvl w:val="0"/>
                <w:numId w:val="16"/>
              </w:numPr>
              <w:spacing w:line="288" w:lineRule="auto"/>
              <w:rPr>
                <w:rFonts w:ascii="Arial" w:hAnsi="Arial" w:cs="Arial"/>
                <w:sz w:val="16"/>
                <w:szCs w:val="16"/>
              </w:rPr>
            </w:pPr>
            <w:r>
              <w:rPr>
                <w:rFonts w:ascii="Arial" w:hAnsi="Arial" w:cs="Arial"/>
                <w:sz w:val="16"/>
                <w:szCs w:val="16"/>
              </w:rPr>
              <w:t>Fill in the vacancies</w:t>
            </w:r>
            <w:r w:rsidR="002C447B" w:rsidRPr="001F151E">
              <w:rPr>
                <w:rFonts w:ascii="Arial" w:hAnsi="Arial" w:cs="Arial"/>
                <w:sz w:val="16"/>
                <w:szCs w:val="16"/>
              </w:rPr>
              <w:t>.</w:t>
            </w:r>
            <w:r w:rsidR="002C447B" w:rsidRPr="001F151E">
              <w:rPr>
                <w:rStyle w:val="FootnoteReference"/>
                <w:rFonts w:cs="Arial"/>
                <w:sz w:val="16"/>
                <w:szCs w:val="16"/>
              </w:rPr>
              <w:footnoteReference w:id="54"/>
            </w:r>
          </w:p>
        </w:tc>
        <w:tc>
          <w:tcPr>
            <w:tcW w:w="794" w:type="dxa"/>
            <w:vAlign w:val="center"/>
          </w:tcPr>
          <w:p w14:paraId="548598AF" w14:textId="57D0EE1E" w:rsidR="002C447B" w:rsidRPr="0015103C" w:rsidRDefault="006A67E2" w:rsidP="001964BA">
            <w:pPr>
              <w:jc w:val="center"/>
              <w:rPr>
                <w:sz w:val="16"/>
                <w:szCs w:val="16"/>
              </w:rPr>
            </w:pPr>
            <w:r w:rsidRPr="0015103C">
              <w:rPr>
                <w:sz w:val="16"/>
                <w:szCs w:val="16"/>
              </w:rPr>
              <w:t>Q1 2024</w:t>
            </w:r>
          </w:p>
        </w:tc>
        <w:tc>
          <w:tcPr>
            <w:tcW w:w="794" w:type="dxa"/>
            <w:vAlign w:val="center"/>
          </w:tcPr>
          <w:p w14:paraId="243F60C5" w14:textId="22A79DBF" w:rsidR="002C447B" w:rsidRPr="0015103C" w:rsidRDefault="006A67E2" w:rsidP="001964BA">
            <w:pPr>
              <w:jc w:val="center"/>
              <w:rPr>
                <w:sz w:val="16"/>
                <w:szCs w:val="16"/>
              </w:rPr>
            </w:pPr>
            <w:r w:rsidRPr="0015103C">
              <w:rPr>
                <w:sz w:val="16"/>
                <w:szCs w:val="16"/>
              </w:rPr>
              <w:t>Q4 2024</w:t>
            </w:r>
          </w:p>
        </w:tc>
        <w:tc>
          <w:tcPr>
            <w:tcW w:w="1773" w:type="dxa"/>
            <w:vMerge w:val="restart"/>
          </w:tcPr>
          <w:p w14:paraId="2E702E53" w14:textId="77777777" w:rsidR="002C447B" w:rsidRPr="001F151E" w:rsidRDefault="002C447B" w:rsidP="001964BA">
            <w:pPr>
              <w:rPr>
                <w:b/>
                <w:bCs/>
                <w:sz w:val="16"/>
                <w:szCs w:val="16"/>
              </w:rPr>
            </w:pPr>
            <w:r w:rsidRPr="001F151E">
              <w:rPr>
                <w:b/>
                <w:bCs/>
                <w:sz w:val="16"/>
                <w:szCs w:val="16"/>
              </w:rPr>
              <w:t>Responsible entity:</w:t>
            </w:r>
          </w:p>
          <w:p w14:paraId="20ADE7F1" w14:textId="77777777" w:rsidR="002C447B" w:rsidRPr="001F151E" w:rsidRDefault="002C447B" w:rsidP="001964BA">
            <w:pPr>
              <w:rPr>
                <w:sz w:val="16"/>
                <w:szCs w:val="16"/>
              </w:rPr>
            </w:pPr>
            <w:r w:rsidRPr="001F151E">
              <w:rPr>
                <w:sz w:val="16"/>
                <w:szCs w:val="16"/>
              </w:rPr>
              <w:t>PPC (lead)</w:t>
            </w:r>
          </w:p>
          <w:p w14:paraId="4AA7CE75" w14:textId="77777777" w:rsidR="002C447B" w:rsidRPr="001F151E" w:rsidRDefault="002C447B" w:rsidP="001964BA">
            <w:pPr>
              <w:rPr>
                <w:sz w:val="16"/>
                <w:szCs w:val="16"/>
              </w:rPr>
            </w:pPr>
          </w:p>
          <w:p w14:paraId="44F8B407" w14:textId="77777777" w:rsidR="002C447B" w:rsidRDefault="00EB1BF0" w:rsidP="001964BA">
            <w:pPr>
              <w:rPr>
                <w:b/>
                <w:bCs/>
                <w:sz w:val="16"/>
                <w:szCs w:val="16"/>
              </w:rPr>
            </w:pPr>
            <w:r>
              <w:rPr>
                <w:b/>
                <w:bCs/>
                <w:sz w:val="16"/>
                <w:szCs w:val="16"/>
              </w:rPr>
              <w:t>Partner:</w:t>
            </w:r>
          </w:p>
          <w:p w14:paraId="2D3B1A79" w14:textId="21C1D0A2" w:rsidR="00086262" w:rsidRPr="00EB1BF0" w:rsidRDefault="00086262" w:rsidP="001964BA">
            <w:pPr>
              <w:rPr>
                <w:b/>
                <w:bCs/>
                <w:sz w:val="16"/>
                <w:szCs w:val="16"/>
              </w:rPr>
            </w:pPr>
            <w:r w:rsidRPr="00086262">
              <w:rPr>
                <w:sz w:val="16"/>
                <w:szCs w:val="16"/>
              </w:rPr>
              <w:t>University of Tirana</w:t>
            </w:r>
            <w:r>
              <w:rPr>
                <w:sz w:val="16"/>
                <w:szCs w:val="16"/>
              </w:rPr>
              <w:t>, SIGMA, other International P</w:t>
            </w:r>
            <w:r w:rsidRPr="00086262">
              <w:rPr>
                <w:sz w:val="16"/>
                <w:szCs w:val="16"/>
              </w:rPr>
              <w:t>artners</w:t>
            </w:r>
          </w:p>
        </w:tc>
      </w:tr>
      <w:tr w:rsidR="006A67E2" w:rsidRPr="001F151E" w14:paraId="576CC90C" w14:textId="77777777" w:rsidTr="001964BA">
        <w:trPr>
          <w:trHeight w:val="254"/>
        </w:trPr>
        <w:tc>
          <w:tcPr>
            <w:tcW w:w="2018" w:type="dxa"/>
            <w:vMerge/>
          </w:tcPr>
          <w:p w14:paraId="1ADA9630" w14:textId="77777777" w:rsidR="006A67E2" w:rsidRPr="001F151E" w:rsidRDefault="006A67E2" w:rsidP="006A67E2">
            <w:pPr>
              <w:pStyle w:val="EcorysBody"/>
              <w:numPr>
                <w:ilvl w:val="0"/>
                <w:numId w:val="16"/>
              </w:numPr>
              <w:spacing w:line="288" w:lineRule="auto"/>
              <w:rPr>
                <w:rFonts w:ascii="Arial" w:hAnsi="Arial" w:cs="Arial"/>
                <w:sz w:val="16"/>
                <w:szCs w:val="16"/>
              </w:rPr>
            </w:pPr>
          </w:p>
        </w:tc>
        <w:tc>
          <w:tcPr>
            <w:tcW w:w="3637" w:type="dxa"/>
          </w:tcPr>
          <w:p w14:paraId="4EC07678" w14:textId="77777777" w:rsidR="006A67E2" w:rsidRPr="001F151E" w:rsidRDefault="006A67E2" w:rsidP="006A67E2">
            <w:pPr>
              <w:pStyle w:val="EcorysBody"/>
              <w:numPr>
                <w:ilvl w:val="0"/>
                <w:numId w:val="16"/>
              </w:numPr>
              <w:spacing w:line="288" w:lineRule="auto"/>
              <w:rPr>
                <w:rFonts w:ascii="Arial" w:hAnsi="Arial" w:cs="Arial"/>
                <w:sz w:val="16"/>
                <w:szCs w:val="16"/>
              </w:rPr>
            </w:pPr>
            <w:r w:rsidRPr="001F151E">
              <w:rPr>
                <w:rFonts w:ascii="Arial" w:hAnsi="Arial" w:cs="Arial"/>
                <w:sz w:val="16"/>
                <w:szCs w:val="16"/>
              </w:rPr>
              <w:t>Perform annually the training need assessment and develop and deliver specialized capacity building activities for inspectors.</w:t>
            </w:r>
            <w:r w:rsidRPr="001F151E">
              <w:rPr>
                <w:rFonts w:ascii="Arial" w:hAnsi="Arial" w:cs="Arial"/>
                <w:vertAlign w:val="superscript"/>
              </w:rPr>
              <w:footnoteReference w:id="55"/>
            </w:r>
          </w:p>
        </w:tc>
        <w:tc>
          <w:tcPr>
            <w:tcW w:w="794" w:type="dxa"/>
            <w:vAlign w:val="center"/>
          </w:tcPr>
          <w:p w14:paraId="488DBAED" w14:textId="5EA6C71A" w:rsidR="006A67E2" w:rsidRPr="0015103C" w:rsidRDefault="006A67E2" w:rsidP="006A67E2">
            <w:pPr>
              <w:jc w:val="center"/>
              <w:rPr>
                <w:sz w:val="16"/>
                <w:szCs w:val="16"/>
              </w:rPr>
            </w:pPr>
            <w:r w:rsidRPr="0015103C">
              <w:rPr>
                <w:sz w:val="16"/>
                <w:szCs w:val="16"/>
              </w:rPr>
              <w:t>Q1 2024</w:t>
            </w:r>
          </w:p>
        </w:tc>
        <w:tc>
          <w:tcPr>
            <w:tcW w:w="794" w:type="dxa"/>
            <w:vAlign w:val="center"/>
          </w:tcPr>
          <w:p w14:paraId="0048EE11" w14:textId="5BA5D32D" w:rsidR="006A67E2" w:rsidRPr="0015103C" w:rsidRDefault="006A67E2" w:rsidP="006A67E2">
            <w:pPr>
              <w:jc w:val="center"/>
              <w:rPr>
                <w:sz w:val="16"/>
                <w:szCs w:val="16"/>
              </w:rPr>
            </w:pPr>
            <w:r w:rsidRPr="0015103C">
              <w:rPr>
                <w:sz w:val="16"/>
                <w:szCs w:val="16"/>
              </w:rPr>
              <w:t>Q4 2024</w:t>
            </w:r>
          </w:p>
        </w:tc>
        <w:tc>
          <w:tcPr>
            <w:tcW w:w="1773" w:type="dxa"/>
            <w:vMerge/>
          </w:tcPr>
          <w:p w14:paraId="08E1BF19" w14:textId="77777777" w:rsidR="006A67E2" w:rsidRPr="001F151E" w:rsidRDefault="006A67E2" w:rsidP="006A67E2">
            <w:pPr>
              <w:rPr>
                <w:sz w:val="16"/>
                <w:szCs w:val="16"/>
              </w:rPr>
            </w:pPr>
          </w:p>
        </w:tc>
      </w:tr>
      <w:tr w:rsidR="006A67E2" w:rsidRPr="001F151E" w14:paraId="1FC50301" w14:textId="77777777" w:rsidTr="001964BA">
        <w:trPr>
          <w:trHeight w:val="20"/>
        </w:trPr>
        <w:tc>
          <w:tcPr>
            <w:tcW w:w="2018" w:type="dxa"/>
            <w:vMerge/>
          </w:tcPr>
          <w:p w14:paraId="58123186" w14:textId="77777777" w:rsidR="006A67E2" w:rsidRPr="001F151E" w:rsidRDefault="006A67E2" w:rsidP="006A67E2">
            <w:pPr>
              <w:pStyle w:val="EcorysBody"/>
              <w:numPr>
                <w:ilvl w:val="0"/>
                <w:numId w:val="16"/>
              </w:numPr>
              <w:spacing w:line="288" w:lineRule="auto"/>
              <w:rPr>
                <w:rFonts w:ascii="Arial" w:hAnsi="Arial" w:cs="Arial"/>
                <w:sz w:val="16"/>
                <w:szCs w:val="16"/>
              </w:rPr>
            </w:pPr>
          </w:p>
        </w:tc>
        <w:tc>
          <w:tcPr>
            <w:tcW w:w="3637" w:type="dxa"/>
          </w:tcPr>
          <w:p w14:paraId="4D02C6AF" w14:textId="77777777" w:rsidR="006A67E2" w:rsidRPr="001F151E" w:rsidRDefault="006A67E2" w:rsidP="006A67E2">
            <w:pPr>
              <w:pStyle w:val="EcorysBody"/>
              <w:numPr>
                <w:ilvl w:val="0"/>
                <w:numId w:val="16"/>
              </w:numPr>
              <w:spacing w:line="288" w:lineRule="auto"/>
              <w:rPr>
                <w:rFonts w:ascii="Arial" w:hAnsi="Arial" w:cs="Arial"/>
                <w:sz w:val="16"/>
                <w:szCs w:val="16"/>
              </w:rPr>
            </w:pPr>
            <w:r w:rsidRPr="001F151E">
              <w:rPr>
                <w:rFonts w:ascii="Arial" w:hAnsi="Arial" w:cs="Arial"/>
                <w:sz w:val="16"/>
                <w:szCs w:val="16"/>
              </w:rPr>
              <w:t>Update the E-complaint system.</w:t>
            </w:r>
          </w:p>
        </w:tc>
        <w:tc>
          <w:tcPr>
            <w:tcW w:w="794" w:type="dxa"/>
            <w:vAlign w:val="center"/>
          </w:tcPr>
          <w:p w14:paraId="7E8CFBB7" w14:textId="265D482C" w:rsidR="006A67E2" w:rsidRPr="0015103C" w:rsidRDefault="006A67E2" w:rsidP="006A67E2">
            <w:pPr>
              <w:jc w:val="center"/>
              <w:rPr>
                <w:sz w:val="16"/>
                <w:szCs w:val="16"/>
              </w:rPr>
            </w:pPr>
            <w:r w:rsidRPr="0015103C">
              <w:rPr>
                <w:sz w:val="16"/>
                <w:szCs w:val="16"/>
              </w:rPr>
              <w:t>Q1 2024</w:t>
            </w:r>
          </w:p>
        </w:tc>
        <w:tc>
          <w:tcPr>
            <w:tcW w:w="794" w:type="dxa"/>
            <w:vAlign w:val="center"/>
          </w:tcPr>
          <w:p w14:paraId="01A19B03" w14:textId="6B96626F" w:rsidR="006A67E2" w:rsidRPr="0015103C" w:rsidRDefault="006A67E2" w:rsidP="006A67E2">
            <w:pPr>
              <w:jc w:val="center"/>
              <w:rPr>
                <w:sz w:val="16"/>
                <w:szCs w:val="16"/>
              </w:rPr>
            </w:pPr>
            <w:r w:rsidRPr="0015103C">
              <w:rPr>
                <w:sz w:val="16"/>
                <w:szCs w:val="16"/>
              </w:rPr>
              <w:t>Q4 2026</w:t>
            </w:r>
          </w:p>
        </w:tc>
        <w:tc>
          <w:tcPr>
            <w:tcW w:w="1773" w:type="dxa"/>
            <w:vMerge/>
          </w:tcPr>
          <w:p w14:paraId="2FC47B90" w14:textId="77777777" w:rsidR="006A67E2" w:rsidRPr="001F151E" w:rsidRDefault="006A67E2" w:rsidP="006A67E2">
            <w:pPr>
              <w:rPr>
                <w:sz w:val="16"/>
                <w:szCs w:val="16"/>
              </w:rPr>
            </w:pPr>
          </w:p>
        </w:tc>
      </w:tr>
      <w:tr w:rsidR="006A67E2" w:rsidRPr="001F151E" w14:paraId="03697123" w14:textId="77777777" w:rsidTr="001964BA">
        <w:trPr>
          <w:trHeight w:val="20"/>
        </w:trPr>
        <w:tc>
          <w:tcPr>
            <w:tcW w:w="2018" w:type="dxa"/>
            <w:vMerge/>
          </w:tcPr>
          <w:p w14:paraId="64110B79" w14:textId="77777777" w:rsidR="006A67E2" w:rsidRPr="001F151E" w:rsidRDefault="006A67E2" w:rsidP="006A67E2">
            <w:pPr>
              <w:pStyle w:val="EcorysBody"/>
              <w:numPr>
                <w:ilvl w:val="0"/>
                <w:numId w:val="16"/>
              </w:numPr>
              <w:spacing w:line="288" w:lineRule="auto"/>
              <w:rPr>
                <w:rFonts w:ascii="Arial" w:hAnsi="Arial" w:cs="Arial"/>
                <w:sz w:val="16"/>
                <w:szCs w:val="16"/>
              </w:rPr>
            </w:pPr>
          </w:p>
        </w:tc>
        <w:tc>
          <w:tcPr>
            <w:tcW w:w="3637" w:type="dxa"/>
          </w:tcPr>
          <w:p w14:paraId="7CF21BCC" w14:textId="77777777" w:rsidR="006A67E2" w:rsidRPr="001F151E" w:rsidRDefault="006A67E2" w:rsidP="006A67E2">
            <w:pPr>
              <w:pStyle w:val="EcorysBody"/>
              <w:numPr>
                <w:ilvl w:val="0"/>
                <w:numId w:val="16"/>
              </w:numPr>
              <w:spacing w:line="288" w:lineRule="auto"/>
              <w:rPr>
                <w:rFonts w:ascii="Arial" w:hAnsi="Arial" w:cs="Arial"/>
                <w:sz w:val="16"/>
                <w:szCs w:val="16"/>
              </w:rPr>
            </w:pPr>
            <w:r w:rsidRPr="001F151E">
              <w:rPr>
                <w:rFonts w:ascii="Arial" w:hAnsi="Arial" w:cs="Arial"/>
                <w:sz w:val="16"/>
                <w:szCs w:val="16"/>
              </w:rPr>
              <w:t>Implement the ISO 370001 on Anti-bribery management systems.</w:t>
            </w:r>
            <w:r w:rsidRPr="001F151E">
              <w:rPr>
                <w:rStyle w:val="FootnoteReference"/>
                <w:rFonts w:cs="Arial"/>
                <w:sz w:val="16"/>
                <w:szCs w:val="16"/>
              </w:rPr>
              <w:footnoteReference w:id="56"/>
            </w:r>
          </w:p>
        </w:tc>
        <w:tc>
          <w:tcPr>
            <w:tcW w:w="794" w:type="dxa"/>
            <w:vAlign w:val="center"/>
          </w:tcPr>
          <w:p w14:paraId="6F216CC6" w14:textId="03887A74" w:rsidR="006A67E2" w:rsidRPr="0015103C" w:rsidRDefault="006A67E2" w:rsidP="006A67E2">
            <w:pPr>
              <w:jc w:val="center"/>
              <w:rPr>
                <w:sz w:val="16"/>
                <w:szCs w:val="16"/>
              </w:rPr>
            </w:pPr>
            <w:r w:rsidRPr="0015103C">
              <w:rPr>
                <w:sz w:val="16"/>
                <w:szCs w:val="16"/>
              </w:rPr>
              <w:t>Q1 2024</w:t>
            </w:r>
          </w:p>
        </w:tc>
        <w:tc>
          <w:tcPr>
            <w:tcW w:w="794" w:type="dxa"/>
            <w:vAlign w:val="center"/>
          </w:tcPr>
          <w:p w14:paraId="7056D7F2" w14:textId="79C8F14F" w:rsidR="006A67E2" w:rsidRPr="0015103C" w:rsidRDefault="006A67E2" w:rsidP="006A67E2">
            <w:pPr>
              <w:jc w:val="center"/>
              <w:rPr>
                <w:sz w:val="16"/>
                <w:szCs w:val="16"/>
              </w:rPr>
            </w:pPr>
            <w:r w:rsidRPr="0015103C">
              <w:rPr>
                <w:sz w:val="16"/>
                <w:szCs w:val="16"/>
              </w:rPr>
              <w:t>Q4 2024</w:t>
            </w:r>
          </w:p>
        </w:tc>
        <w:tc>
          <w:tcPr>
            <w:tcW w:w="1773" w:type="dxa"/>
            <w:vMerge/>
          </w:tcPr>
          <w:p w14:paraId="4EA74E08" w14:textId="77777777" w:rsidR="006A67E2" w:rsidRPr="001F151E" w:rsidRDefault="006A67E2" w:rsidP="006A67E2">
            <w:pPr>
              <w:rPr>
                <w:sz w:val="16"/>
                <w:szCs w:val="16"/>
              </w:rPr>
            </w:pPr>
          </w:p>
        </w:tc>
      </w:tr>
      <w:tr w:rsidR="006A67E2" w:rsidRPr="001F151E" w14:paraId="748C4F7B" w14:textId="77777777" w:rsidTr="003472DA">
        <w:trPr>
          <w:trHeight w:val="20"/>
        </w:trPr>
        <w:tc>
          <w:tcPr>
            <w:tcW w:w="2018" w:type="dxa"/>
          </w:tcPr>
          <w:p w14:paraId="71C56116" w14:textId="7CB77A6A" w:rsidR="006A67E2" w:rsidRPr="001F151E" w:rsidRDefault="006A67E2" w:rsidP="006A67E2">
            <w:pPr>
              <w:pStyle w:val="EcorysBody"/>
              <w:rPr>
                <w:rFonts w:ascii="Arial" w:hAnsi="Arial" w:cs="Arial"/>
                <w:b/>
                <w:bCs/>
                <w:sz w:val="16"/>
                <w:szCs w:val="16"/>
              </w:rPr>
            </w:pPr>
            <w:r w:rsidRPr="001F151E">
              <w:rPr>
                <w:rFonts w:ascii="Arial" w:hAnsi="Arial" w:cs="Arial"/>
                <w:b/>
                <w:bCs/>
                <w:sz w:val="16"/>
                <w:szCs w:val="16"/>
              </w:rPr>
              <w:t>Measures 4.</w:t>
            </w:r>
            <w:r w:rsidR="00297283">
              <w:rPr>
                <w:rFonts w:ascii="Arial" w:hAnsi="Arial" w:cs="Arial"/>
                <w:b/>
                <w:bCs/>
                <w:sz w:val="16"/>
                <w:szCs w:val="16"/>
              </w:rPr>
              <w:t>3</w:t>
            </w:r>
            <w:r w:rsidRPr="001F151E">
              <w:rPr>
                <w:rFonts w:ascii="Arial" w:hAnsi="Arial" w:cs="Arial"/>
                <w:b/>
                <w:bCs/>
                <w:sz w:val="16"/>
                <w:szCs w:val="16"/>
              </w:rPr>
              <w:t xml:space="preserve">.4 </w:t>
            </w:r>
          </w:p>
          <w:p w14:paraId="7F25F239" w14:textId="17B765B4" w:rsidR="006A67E2" w:rsidRPr="001F151E" w:rsidRDefault="006A67E2" w:rsidP="006A67E2">
            <w:pPr>
              <w:pStyle w:val="EcorysBody"/>
              <w:rPr>
                <w:rFonts w:ascii="Arial" w:hAnsi="Arial" w:cs="Arial"/>
                <w:b/>
                <w:bCs/>
                <w:sz w:val="16"/>
                <w:szCs w:val="16"/>
              </w:rPr>
            </w:pPr>
            <w:r w:rsidRPr="001F151E">
              <w:rPr>
                <w:rFonts w:ascii="Arial" w:hAnsi="Arial" w:cs="Arial"/>
                <w:b/>
                <w:bCs/>
                <w:sz w:val="16"/>
                <w:szCs w:val="16"/>
              </w:rPr>
              <w:t>Improve the legal and institutional framework for concessions and public-private partnership</w:t>
            </w:r>
          </w:p>
        </w:tc>
        <w:tc>
          <w:tcPr>
            <w:tcW w:w="3637" w:type="dxa"/>
          </w:tcPr>
          <w:p w14:paraId="0D0A8857" w14:textId="2B0E3494" w:rsidR="006A67E2" w:rsidRPr="001F151E" w:rsidRDefault="006A67E2" w:rsidP="00B45892">
            <w:pPr>
              <w:pStyle w:val="EcorysBody"/>
              <w:numPr>
                <w:ilvl w:val="0"/>
                <w:numId w:val="84"/>
              </w:numPr>
              <w:spacing w:line="288" w:lineRule="auto"/>
              <w:rPr>
                <w:rFonts w:ascii="Arial" w:hAnsi="Arial" w:cs="Arial"/>
                <w:sz w:val="16"/>
                <w:szCs w:val="16"/>
              </w:rPr>
            </w:pPr>
            <w:r w:rsidRPr="001F151E">
              <w:rPr>
                <w:rFonts w:ascii="Arial" w:hAnsi="Arial" w:cs="Arial"/>
                <w:sz w:val="16"/>
                <w:szCs w:val="16"/>
              </w:rPr>
              <w:t xml:space="preserve">Align the Law on Concessions and PPP with the Acquis Communautaire </w:t>
            </w:r>
          </w:p>
        </w:tc>
        <w:tc>
          <w:tcPr>
            <w:tcW w:w="794" w:type="dxa"/>
            <w:vAlign w:val="center"/>
          </w:tcPr>
          <w:p w14:paraId="1E875032" w14:textId="29B7B4A3" w:rsidR="006A67E2" w:rsidRPr="00E3524D" w:rsidRDefault="00E3524D" w:rsidP="00E3524D">
            <w:pPr>
              <w:jc w:val="center"/>
              <w:rPr>
                <w:sz w:val="16"/>
                <w:szCs w:val="16"/>
              </w:rPr>
            </w:pPr>
            <w:r w:rsidRPr="00E3524D">
              <w:rPr>
                <w:sz w:val="16"/>
                <w:szCs w:val="16"/>
              </w:rPr>
              <w:t>2024</w:t>
            </w:r>
          </w:p>
        </w:tc>
        <w:tc>
          <w:tcPr>
            <w:tcW w:w="794" w:type="dxa"/>
            <w:vAlign w:val="center"/>
          </w:tcPr>
          <w:p w14:paraId="423E1BA1" w14:textId="7A872226" w:rsidR="006A67E2" w:rsidRPr="00E3524D" w:rsidRDefault="00E3524D" w:rsidP="006A67E2">
            <w:pPr>
              <w:jc w:val="center"/>
              <w:rPr>
                <w:sz w:val="16"/>
                <w:szCs w:val="16"/>
              </w:rPr>
            </w:pPr>
            <w:r w:rsidRPr="00E3524D">
              <w:rPr>
                <w:sz w:val="16"/>
                <w:szCs w:val="16"/>
              </w:rPr>
              <w:t>2025</w:t>
            </w:r>
          </w:p>
        </w:tc>
        <w:tc>
          <w:tcPr>
            <w:tcW w:w="1773" w:type="dxa"/>
          </w:tcPr>
          <w:p w14:paraId="63B6B4A5" w14:textId="77777777" w:rsidR="006A67E2" w:rsidRPr="001F151E" w:rsidRDefault="006A67E2" w:rsidP="006A67E2">
            <w:pPr>
              <w:rPr>
                <w:b/>
                <w:bCs/>
                <w:sz w:val="16"/>
                <w:szCs w:val="16"/>
              </w:rPr>
            </w:pPr>
            <w:r w:rsidRPr="001F151E">
              <w:rPr>
                <w:b/>
                <w:bCs/>
                <w:sz w:val="16"/>
                <w:szCs w:val="16"/>
              </w:rPr>
              <w:t>Responsible entity:</w:t>
            </w:r>
          </w:p>
          <w:p w14:paraId="733D10E1" w14:textId="4B654424" w:rsidR="006A67E2" w:rsidRPr="001F151E" w:rsidRDefault="00E3524D" w:rsidP="006A67E2">
            <w:pPr>
              <w:rPr>
                <w:sz w:val="16"/>
                <w:szCs w:val="16"/>
              </w:rPr>
            </w:pPr>
            <w:r>
              <w:rPr>
                <w:sz w:val="16"/>
                <w:szCs w:val="16"/>
              </w:rPr>
              <w:t xml:space="preserve">Working Group </w:t>
            </w:r>
          </w:p>
          <w:p w14:paraId="08BD7A02" w14:textId="77777777" w:rsidR="006A67E2" w:rsidRPr="001F151E" w:rsidRDefault="006A67E2" w:rsidP="006A67E2">
            <w:pPr>
              <w:rPr>
                <w:sz w:val="16"/>
                <w:szCs w:val="16"/>
              </w:rPr>
            </w:pPr>
          </w:p>
          <w:p w14:paraId="67FE525A" w14:textId="77777777" w:rsidR="006A67E2" w:rsidRPr="001F151E" w:rsidRDefault="006A67E2" w:rsidP="006A67E2">
            <w:pPr>
              <w:rPr>
                <w:b/>
                <w:bCs/>
                <w:sz w:val="16"/>
                <w:szCs w:val="16"/>
              </w:rPr>
            </w:pPr>
            <w:r w:rsidRPr="001F151E">
              <w:rPr>
                <w:b/>
                <w:bCs/>
                <w:sz w:val="16"/>
                <w:szCs w:val="16"/>
              </w:rPr>
              <w:t>Partner:</w:t>
            </w:r>
          </w:p>
          <w:p w14:paraId="22AA264E" w14:textId="77777777" w:rsidR="006A67E2" w:rsidRPr="001F151E" w:rsidRDefault="006A67E2" w:rsidP="006A67E2">
            <w:pPr>
              <w:rPr>
                <w:sz w:val="16"/>
                <w:szCs w:val="16"/>
              </w:rPr>
            </w:pPr>
            <w:r w:rsidRPr="001F151E">
              <w:rPr>
                <w:sz w:val="16"/>
                <w:szCs w:val="16"/>
              </w:rPr>
              <w:t>SIGMA</w:t>
            </w:r>
          </w:p>
        </w:tc>
      </w:tr>
    </w:tbl>
    <w:p w14:paraId="45D21705" w14:textId="77777777" w:rsidR="002C447B" w:rsidRPr="001F151E" w:rsidRDefault="002C447B" w:rsidP="002C447B">
      <w:pPr>
        <w:rPr>
          <w:color w:val="FF0000"/>
          <w:lang w:val="en-GB"/>
        </w:rPr>
      </w:pPr>
    </w:p>
    <w:p w14:paraId="27CA060A" w14:textId="77777777" w:rsidR="002C447B" w:rsidRPr="001F151E" w:rsidRDefault="002C447B" w:rsidP="002C447B">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5802EF" w:rsidRPr="001F151E" w14:paraId="0DE4650C" w14:textId="77777777" w:rsidTr="009A77C3">
        <w:trPr>
          <w:cantSplit/>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D70C12" w14:textId="77777777" w:rsidR="005802EF" w:rsidRPr="001F151E" w:rsidRDefault="005802EF" w:rsidP="009A77C3">
            <w:pPr>
              <w:pStyle w:val="T-bold"/>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F6DF76" w14:textId="77777777" w:rsidR="005802EF" w:rsidRPr="001F151E" w:rsidRDefault="005802EF" w:rsidP="009A77C3">
            <w:pPr>
              <w:pStyle w:val="T-bold"/>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7924D" w14:textId="77777777" w:rsidR="005802EF" w:rsidRPr="001F151E" w:rsidRDefault="005802EF" w:rsidP="009A77C3">
            <w:pPr>
              <w:pStyle w:val="T-bold"/>
              <w:jc w:val="center"/>
            </w:pPr>
            <w:r w:rsidRPr="001F151E">
              <w:t>Target Value</w:t>
            </w:r>
          </w:p>
        </w:tc>
      </w:tr>
      <w:tr w:rsidR="005802EF" w:rsidRPr="001F151E" w14:paraId="68B86768" w14:textId="77777777" w:rsidTr="009A77C3">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E05455E" w14:textId="77777777" w:rsidR="005802EF" w:rsidRPr="001F151E" w:rsidRDefault="005802EF" w:rsidP="009A77C3">
            <w:pPr>
              <w:pStyle w:val="T-bold"/>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B42EFFA" w14:textId="77777777" w:rsidR="005802EF" w:rsidRPr="001F151E" w:rsidRDefault="005802EF" w:rsidP="009A77C3">
            <w:pPr>
              <w:pStyle w:val="T-bold"/>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FD38F0" w14:textId="77777777" w:rsidR="005802EF" w:rsidRPr="001F151E" w:rsidRDefault="005802EF" w:rsidP="009A77C3">
            <w:pPr>
              <w:pStyle w:val="T-bold"/>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7E3769" w14:textId="77777777" w:rsidR="005802EF" w:rsidRPr="001F151E" w:rsidRDefault="005802EF" w:rsidP="009A77C3">
            <w:pPr>
              <w:pStyle w:val="T-bold"/>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20AA62" w14:textId="77777777" w:rsidR="005802EF" w:rsidRPr="001F151E" w:rsidRDefault="005802EF" w:rsidP="009A77C3">
            <w:pPr>
              <w:pStyle w:val="T-bold"/>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55988" w14:textId="77777777" w:rsidR="005802EF" w:rsidRPr="001F151E" w:rsidRDefault="005802EF" w:rsidP="009A77C3">
            <w:pPr>
              <w:pStyle w:val="T-bold"/>
              <w:jc w:val="center"/>
            </w:pPr>
            <w:r w:rsidRPr="001F151E">
              <w:t>2026</w:t>
            </w:r>
          </w:p>
        </w:tc>
      </w:tr>
      <w:tr w:rsidR="005802EF" w:rsidRPr="001F151E" w14:paraId="4FB8507B" w14:textId="77777777" w:rsidTr="00B350E7">
        <w:tc>
          <w:tcPr>
            <w:tcW w:w="3114" w:type="dxa"/>
            <w:tcBorders>
              <w:top w:val="single" w:sz="4" w:space="0" w:color="auto"/>
              <w:left w:val="single" w:sz="4" w:space="0" w:color="auto"/>
              <w:bottom w:val="single" w:sz="4" w:space="0" w:color="auto"/>
              <w:right w:val="single" w:sz="4" w:space="0" w:color="auto"/>
            </w:tcBorders>
          </w:tcPr>
          <w:p w14:paraId="0563F90C" w14:textId="7A92B9F7" w:rsidR="005802EF" w:rsidRPr="001F151E" w:rsidRDefault="005802EF" w:rsidP="00B45892">
            <w:pPr>
              <w:pStyle w:val="ListParagraph"/>
              <w:numPr>
                <w:ilvl w:val="0"/>
                <w:numId w:val="71"/>
              </w:numPr>
              <w:rPr>
                <w:sz w:val="16"/>
                <w:szCs w:val="16"/>
              </w:rPr>
            </w:pPr>
            <w:r w:rsidRPr="001F151E">
              <w:rPr>
                <w:sz w:val="16"/>
                <w:szCs w:val="16"/>
              </w:rPr>
              <w:t>Percentage of use of</w:t>
            </w:r>
            <w:r w:rsidR="00B447FE">
              <w:rPr>
                <w:sz w:val="16"/>
                <w:szCs w:val="16"/>
              </w:rPr>
              <w:t xml:space="preserve"> the award criteria</w:t>
            </w:r>
            <w:r w:rsidRPr="001F151E">
              <w:rPr>
                <w:sz w:val="16"/>
                <w:szCs w:val="16"/>
              </w:rPr>
              <w:t xml:space="preserve"> </w:t>
            </w:r>
            <w:r w:rsidR="00B447FE">
              <w:rPr>
                <w:sz w:val="16"/>
                <w:szCs w:val="16"/>
              </w:rPr>
              <w:t>“</w:t>
            </w:r>
            <w:r w:rsidRPr="001F151E">
              <w:rPr>
                <w:sz w:val="16"/>
                <w:szCs w:val="16"/>
              </w:rPr>
              <w:t>the most economically advantageous tender based on cost</w:t>
            </w:r>
            <w:r w:rsidR="00B447FE">
              <w:rPr>
                <w:sz w:val="16"/>
                <w:szCs w:val="16"/>
              </w:rPr>
              <w:t>”</w:t>
            </w:r>
            <w:r w:rsidRPr="001F151E">
              <w:rPr>
                <w:sz w:val="16"/>
                <w:szCs w:val="16"/>
              </w:rPr>
              <w:t xml:space="preserve"> (MEAT criteria based on cost) o</w:t>
            </w:r>
            <w:r w:rsidR="007E6BB4">
              <w:rPr>
                <w:sz w:val="16"/>
                <w:szCs w:val="16"/>
              </w:rPr>
              <w:t>n public procurement procedures</w:t>
            </w:r>
            <w:r w:rsidRPr="001F151E">
              <w:rPr>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6755E2ED" w14:textId="1FE8D240" w:rsidR="00F45BF0" w:rsidRPr="001F151E" w:rsidRDefault="00F4641F" w:rsidP="00E53B4B">
            <w:pPr>
              <w:pStyle w:val="T-normal"/>
              <w:jc w:val="center"/>
            </w:pPr>
            <w:r>
              <w:t>33.92</w:t>
            </w: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64EF8652" w14:textId="6BCC4FA5" w:rsidR="005802EF" w:rsidRPr="001F151E" w:rsidRDefault="005802EF" w:rsidP="00B350E7">
            <w:pPr>
              <w:pStyle w:val="T-normal"/>
              <w:jc w:val="center"/>
            </w:pPr>
          </w:p>
        </w:tc>
        <w:tc>
          <w:tcPr>
            <w:tcW w:w="1180" w:type="dxa"/>
            <w:tcBorders>
              <w:top w:val="single" w:sz="4" w:space="0" w:color="auto"/>
              <w:left w:val="single" w:sz="4" w:space="0" w:color="auto"/>
              <w:bottom w:val="single" w:sz="4" w:space="0" w:color="auto"/>
              <w:right w:val="single" w:sz="4" w:space="0" w:color="auto"/>
            </w:tcBorders>
            <w:vAlign w:val="center"/>
          </w:tcPr>
          <w:p w14:paraId="5400EB07" w14:textId="270E547F" w:rsidR="005802EF" w:rsidRPr="001F151E" w:rsidRDefault="005802EF" w:rsidP="00B350E7">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42455352" w14:textId="13FE8A5A" w:rsidR="005802EF" w:rsidRPr="001F151E" w:rsidRDefault="005802EF" w:rsidP="00B350E7">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789A3A37" w14:textId="16DB6106" w:rsidR="005802EF" w:rsidRPr="001F151E" w:rsidRDefault="00B350E7" w:rsidP="00B350E7">
            <w:pPr>
              <w:pStyle w:val="T-normal"/>
              <w:jc w:val="center"/>
            </w:pPr>
            <w:r w:rsidRPr="001F151E">
              <w:t>I</w:t>
            </w:r>
            <w:r w:rsidR="005802EF" w:rsidRPr="001F151E">
              <w:t>ncreas</w:t>
            </w:r>
            <w:r w:rsidR="00F45BF0" w:rsidRPr="001F151E">
              <w:t>ing</w:t>
            </w:r>
            <w:r w:rsidR="005802EF" w:rsidRPr="001F151E">
              <w:t xml:space="preserve"> trend</w:t>
            </w:r>
          </w:p>
        </w:tc>
      </w:tr>
      <w:tr w:rsidR="005802EF" w:rsidRPr="001F151E" w14:paraId="1B2EC0AA" w14:textId="77777777" w:rsidTr="00B350E7">
        <w:tc>
          <w:tcPr>
            <w:tcW w:w="3114" w:type="dxa"/>
            <w:tcBorders>
              <w:top w:val="single" w:sz="4" w:space="0" w:color="auto"/>
              <w:left w:val="single" w:sz="4" w:space="0" w:color="auto"/>
              <w:bottom w:val="single" w:sz="4" w:space="0" w:color="auto"/>
              <w:right w:val="single" w:sz="4" w:space="0" w:color="auto"/>
            </w:tcBorders>
          </w:tcPr>
          <w:p w14:paraId="6CF46C4D" w14:textId="3BAF23AC" w:rsidR="005802EF" w:rsidRPr="001F151E" w:rsidRDefault="005802EF" w:rsidP="00B45892">
            <w:pPr>
              <w:pStyle w:val="ListParagraph"/>
              <w:numPr>
                <w:ilvl w:val="0"/>
                <w:numId w:val="71"/>
              </w:numPr>
              <w:rPr>
                <w:sz w:val="16"/>
                <w:szCs w:val="16"/>
              </w:rPr>
            </w:pPr>
            <w:r w:rsidRPr="001F151E">
              <w:rPr>
                <w:sz w:val="16"/>
                <w:szCs w:val="16"/>
              </w:rPr>
              <w:t>ISO 370001 on ‘Anti-bribery management systems’ implemented by PPC.</w:t>
            </w:r>
          </w:p>
        </w:tc>
        <w:tc>
          <w:tcPr>
            <w:tcW w:w="1180" w:type="dxa"/>
            <w:tcBorders>
              <w:top w:val="single" w:sz="4" w:space="0" w:color="auto"/>
              <w:left w:val="single" w:sz="4" w:space="0" w:color="auto"/>
              <w:bottom w:val="single" w:sz="4" w:space="0" w:color="auto"/>
              <w:right w:val="single" w:sz="4" w:space="0" w:color="auto"/>
            </w:tcBorders>
            <w:vAlign w:val="center"/>
          </w:tcPr>
          <w:p w14:paraId="77EBBC35" w14:textId="7EEFADD3" w:rsidR="005802EF" w:rsidRPr="001F151E" w:rsidRDefault="00B350E7" w:rsidP="00B350E7">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29A02F5F" w14:textId="4BEC70D0" w:rsidR="005802EF" w:rsidRPr="001F151E" w:rsidRDefault="00B350E7" w:rsidP="00B350E7">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01461B91" w14:textId="48B0AA76" w:rsidR="005802EF" w:rsidRPr="001F151E" w:rsidRDefault="00B350E7" w:rsidP="00B350E7">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799C4B29" w14:textId="3C8854F9" w:rsidR="005802EF" w:rsidRPr="001F151E" w:rsidRDefault="00B350E7" w:rsidP="00B350E7">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7BFC5AA7" w14:textId="52E7D68C" w:rsidR="005802EF" w:rsidRPr="001F151E" w:rsidRDefault="00B8679A" w:rsidP="00B350E7">
            <w:pPr>
              <w:pStyle w:val="T-normal"/>
              <w:jc w:val="center"/>
            </w:pPr>
            <w:r w:rsidRPr="001F151E">
              <w:t>Imple</w:t>
            </w:r>
            <w:r w:rsidR="005802EF" w:rsidRPr="001F151E">
              <w:t>mented</w:t>
            </w:r>
          </w:p>
        </w:tc>
      </w:tr>
    </w:tbl>
    <w:p w14:paraId="772C0960" w14:textId="77777777" w:rsidR="005802EF" w:rsidRPr="001F151E" w:rsidRDefault="005802EF" w:rsidP="005802EF">
      <w:pPr>
        <w:rPr>
          <w:lang w:val="en-GB"/>
        </w:rPr>
      </w:pPr>
    </w:p>
    <w:p w14:paraId="23C62487" w14:textId="77777777" w:rsidR="002C447B" w:rsidRPr="001F151E" w:rsidRDefault="002C447B" w:rsidP="002C447B">
      <w:pPr>
        <w:rPr>
          <w:lang w:val="en-GB"/>
        </w:rPr>
      </w:pPr>
    </w:p>
    <w:p w14:paraId="44E2F4E8" w14:textId="77777777" w:rsidR="00672086" w:rsidRPr="001F151E" w:rsidRDefault="00672086">
      <w:pPr>
        <w:spacing w:after="160" w:line="259" w:lineRule="auto"/>
        <w:rPr>
          <w:rFonts w:cstheme="majorBidi"/>
          <w:iCs/>
          <w:color w:val="0070C0"/>
          <w:sz w:val="22"/>
          <w:szCs w:val="22"/>
          <w:lang w:val="en-GB"/>
        </w:rPr>
      </w:pPr>
      <w:r w:rsidRPr="001F151E">
        <w:rPr>
          <w:lang w:val="en-GB"/>
        </w:rPr>
        <w:br w:type="page"/>
      </w:r>
    </w:p>
    <w:p w14:paraId="0374207E" w14:textId="25E03CBB" w:rsidR="002C447B" w:rsidRPr="001F151E" w:rsidRDefault="002C447B" w:rsidP="00C96708">
      <w:pPr>
        <w:pStyle w:val="Heading2"/>
        <w:rPr>
          <w:rFonts w:eastAsiaTheme="minorHAnsi" w:cs="Times New Roman"/>
          <w:sz w:val="21"/>
          <w:szCs w:val="21"/>
          <w:lang w:val="en-GB"/>
        </w:rPr>
      </w:pPr>
      <w:bookmarkStart w:id="51" w:name="_Toc163148030"/>
      <w:r w:rsidRPr="001F151E">
        <w:rPr>
          <w:rFonts w:eastAsiaTheme="minorHAnsi"/>
          <w:lang w:val="en-GB"/>
        </w:rPr>
        <w:lastRenderedPageBreak/>
        <w:t>Component 4.</w:t>
      </w:r>
      <w:r w:rsidR="00297283">
        <w:rPr>
          <w:rFonts w:eastAsiaTheme="minorHAnsi"/>
          <w:lang w:val="en-GB"/>
        </w:rPr>
        <w:t>4</w:t>
      </w:r>
      <w:r w:rsidRPr="001F151E">
        <w:rPr>
          <w:rFonts w:eastAsiaTheme="minorHAnsi"/>
          <w:lang w:val="en-GB"/>
        </w:rPr>
        <w:t xml:space="preserve"> Debt Management</w:t>
      </w:r>
      <w:bookmarkEnd w:id="51"/>
    </w:p>
    <w:p w14:paraId="190F4643" w14:textId="77777777" w:rsidR="002C447B" w:rsidRPr="001F151E" w:rsidRDefault="002C447B" w:rsidP="002C447B">
      <w:pPr>
        <w:rPr>
          <w:lang w:val="en-GB"/>
        </w:rPr>
      </w:pPr>
    </w:p>
    <w:p w14:paraId="7610440F" w14:textId="77777777" w:rsidR="00402D1B" w:rsidRPr="001F151E" w:rsidRDefault="00402D1B" w:rsidP="00EA6F1D">
      <w:pPr>
        <w:pStyle w:val="H5"/>
        <w:spacing w:line="276" w:lineRule="auto"/>
        <w:jc w:val="both"/>
        <w:rPr>
          <w:lang w:val="en-GB"/>
        </w:rPr>
      </w:pPr>
      <w:r w:rsidRPr="001F151E">
        <w:rPr>
          <w:lang w:val="en-GB"/>
        </w:rPr>
        <w:t>Objective</w:t>
      </w:r>
    </w:p>
    <w:p w14:paraId="690FDF1E" w14:textId="1FB7E758" w:rsidR="00402D1B" w:rsidRPr="001F151E" w:rsidRDefault="00402D1B" w:rsidP="00EA6F1D">
      <w:pPr>
        <w:spacing w:line="276" w:lineRule="auto"/>
        <w:jc w:val="both"/>
        <w:rPr>
          <w:rStyle w:val="jlqj4b"/>
          <w:rFonts w:eastAsia="Times New Roman"/>
          <w:color w:val="FF0000"/>
          <w:lang w:val="en-GB"/>
        </w:rPr>
      </w:pPr>
      <w:r w:rsidRPr="001F151E">
        <w:rPr>
          <w:lang w:val="en-GB"/>
        </w:rPr>
        <w:t xml:space="preserve">The </w:t>
      </w:r>
      <w:r w:rsidR="00D56114" w:rsidRPr="001F151E">
        <w:rPr>
          <w:lang w:val="en-GB"/>
        </w:rPr>
        <w:t>goal</w:t>
      </w:r>
      <w:r w:rsidRPr="001F151E">
        <w:rPr>
          <w:lang w:val="en-GB"/>
        </w:rPr>
        <w:t xml:space="preserve"> for 2030 is to operate a comprehensive Debt Management System that ensures that the government’s financing needs and its debt payment obligations are met at the lowest possible cost over the medium to long term consistent with a prudent degree of risk.</w:t>
      </w:r>
    </w:p>
    <w:p w14:paraId="20EF82DA" w14:textId="77777777" w:rsidR="00402D1B" w:rsidRPr="001F151E" w:rsidRDefault="00402D1B" w:rsidP="00EA6F1D">
      <w:pPr>
        <w:pStyle w:val="H5"/>
        <w:spacing w:line="276" w:lineRule="auto"/>
        <w:jc w:val="both"/>
        <w:rPr>
          <w:lang w:val="en-GB"/>
        </w:rPr>
      </w:pPr>
    </w:p>
    <w:p w14:paraId="1F7BAFD4" w14:textId="77777777" w:rsidR="00402D1B" w:rsidRPr="001F151E" w:rsidRDefault="00402D1B" w:rsidP="00EA6F1D">
      <w:pPr>
        <w:pStyle w:val="H5"/>
        <w:spacing w:line="276" w:lineRule="auto"/>
        <w:jc w:val="both"/>
        <w:rPr>
          <w:rFonts w:ascii="Calibri" w:hAnsi="Calibri"/>
          <w:sz w:val="21"/>
          <w:lang w:val="en-GB"/>
        </w:rPr>
      </w:pPr>
      <w:r w:rsidRPr="001F151E">
        <w:rPr>
          <w:lang w:val="en-GB"/>
        </w:rPr>
        <w:t xml:space="preserve">Context </w:t>
      </w:r>
    </w:p>
    <w:p w14:paraId="67150831" w14:textId="61027F6E" w:rsidR="00402D1B" w:rsidRPr="001F151E" w:rsidRDefault="00402D1B" w:rsidP="00EA6F1D">
      <w:pPr>
        <w:spacing w:line="276" w:lineRule="auto"/>
        <w:jc w:val="both"/>
        <w:rPr>
          <w:rFonts w:ascii="Times New Roman" w:hAnsi="Times New Roman" w:cs="Times New Roman"/>
          <w:sz w:val="24"/>
          <w:szCs w:val="24"/>
          <w:lang w:val="en-GB"/>
        </w:rPr>
      </w:pPr>
      <w:r w:rsidRPr="001F151E">
        <w:rPr>
          <w:lang w:val="en-GB"/>
        </w:rPr>
        <w:t xml:space="preserve">The debt management legal framework has been consolidated, with some recent amendments implemented recently to accommodate improvements for preparing the Debt Management Strategy (DMS). The formulation and publication of this DMS on a regular basis has been fully institutionalised. A first </w:t>
      </w:r>
      <w:r w:rsidR="00EB1BF0">
        <w:rPr>
          <w:lang w:val="en-GB"/>
        </w:rPr>
        <w:t>ever Annual Borrowing Plan</w:t>
      </w:r>
      <w:r w:rsidRPr="001F151E">
        <w:rPr>
          <w:lang w:val="en-GB"/>
        </w:rPr>
        <w:t xml:space="preserve"> was published in 2022, clearly defining the borrowing strategy and instruments to be used. A quarterly auction calendar is timely published, complementing a yearly domestic issuance plan included in the Annual Borrowing Plan. A quarterly statistical debt bulletin is published and also the annual report on the implementation of the DMS.</w:t>
      </w:r>
      <w:r w:rsidRPr="001F151E">
        <w:rPr>
          <w:rStyle w:val="FootnoteReference"/>
          <w:rFonts w:eastAsia="Times New Roman"/>
          <w:lang w:val="en-GB"/>
        </w:rPr>
        <w:footnoteReference w:id="57"/>
      </w:r>
      <w:r w:rsidRPr="001F151E">
        <w:rPr>
          <w:lang w:val="en-GB"/>
        </w:rPr>
        <w:t xml:space="preserve"> In January 2023, an international code format for government securities (ISIN-International Securities Identification Number) was introduced aiming to increasing the access of foreign investors in domestic government securities market.</w:t>
      </w:r>
    </w:p>
    <w:p w14:paraId="2CE83823" w14:textId="77777777" w:rsidR="00402D1B" w:rsidRPr="001F151E" w:rsidRDefault="00402D1B" w:rsidP="00EA6F1D">
      <w:pPr>
        <w:spacing w:line="276" w:lineRule="auto"/>
        <w:jc w:val="both"/>
        <w:rPr>
          <w:lang w:val="en-GB"/>
        </w:rPr>
      </w:pPr>
    </w:p>
    <w:p w14:paraId="1A4D1C24" w14:textId="25F70E9B" w:rsidR="00402D1B" w:rsidRPr="001F151E" w:rsidRDefault="00402D1B" w:rsidP="00EA6F1D">
      <w:pPr>
        <w:spacing w:line="276" w:lineRule="auto"/>
        <w:jc w:val="both"/>
        <w:rPr>
          <w:lang w:val="en-GB"/>
        </w:rPr>
      </w:pPr>
      <w:r w:rsidRPr="001F151E">
        <w:rPr>
          <w:lang w:val="en-GB"/>
        </w:rPr>
        <w:t>Some challenges in the domain of Debt Management are to be addressed. Sufficient human resources are in place in the GDD, but capacity still to be developed.. The concession of guarantees and on-lending is well regulated in the debt law, however a proper framework is still to be developed. GDD performs a credit risk assessment of SOEs and subnational governments</w:t>
      </w:r>
      <w:r w:rsidR="00EA6F1D">
        <w:rPr>
          <w:lang w:val="en-GB"/>
        </w:rPr>
        <w:t xml:space="preserve"> requesting a guarantee or when</w:t>
      </w:r>
      <w:r w:rsidRPr="001F151E">
        <w:rPr>
          <w:lang w:val="en-GB"/>
        </w:rPr>
        <w:t xml:space="preserve"> benefiting from on-lending operations. This analysis lags yet a formalized and well-structured methodology.</w:t>
      </w:r>
    </w:p>
    <w:p w14:paraId="1B3D5E55" w14:textId="77777777" w:rsidR="00402D1B" w:rsidRPr="001F151E" w:rsidRDefault="00402D1B" w:rsidP="00EA6F1D">
      <w:pPr>
        <w:spacing w:line="276" w:lineRule="auto"/>
        <w:jc w:val="both"/>
        <w:rPr>
          <w:lang w:val="en-GB"/>
        </w:rPr>
      </w:pPr>
    </w:p>
    <w:p w14:paraId="1C58A0C6" w14:textId="77777777" w:rsidR="00402D1B" w:rsidRPr="001F151E" w:rsidRDefault="00402D1B" w:rsidP="00EA6F1D">
      <w:pPr>
        <w:pStyle w:val="H5"/>
        <w:spacing w:line="276" w:lineRule="auto"/>
        <w:jc w:val="both"/>
        <w:rPr>
          <w:lang w:val="en-GB"/>
        </w:rPr>
      </w:pPr>
      <w:r w:rsidRPr="001F151E">
        <w:rPr>
          <w:lang w:val="en-GB"/>
        </w:rPr>
        <w:t>Priorities</w:t>
      </w:r>
    </w:p>
    <w:p w14:paraId="0F1C80C2" w14:textId="77777777" w:rsidR="00402D1B" w:rsidRPr="001F151E" w:rsidRDefault="00402D1B" w:rsidP="00EA6F1D">
      <w:pPr>
        <w:spacing w:line="276" w:lineRule="auto"/>
        <w:jc w:val="both"/>
        <w:rPr>
          <w:lang w:val="en-GB"/>
        </w:rPr>
      </w:pPr>
      <w:r w:rsidRPr="001F151E">
        <w:rPr>
          <w:lang w:val="en-GB"/>
        </w:rPr>
        <w:t>The key priorities for the period 2023-2026 are to:</w:t>
      </w:r>
    </w:p>
    <w:p w14:paraId="14CFCF91" w14:textId="0181C7DB" w:rsidR="00402D1B" w:rsidRPr="001F151E" w:rsidRDefault="00402D1B" w:rsidP="00EA6F1D">
      <w:pPr>
        <w:pStyle w:val="N-Bullet"/>
        <w:spacing w:line="276" w:lineRule="auto"/>
        <w:jc w:val="both"/>
        <w:rPr>
          <w:lang w:val="en-GB"/>
        </w:rPr>
      </w:pPr>
      <w:r w:rsidRPr="001F151E">
        <w:rPr>
          <w:lang w:val="en-GB"/>
        </w:rPr>
        <w:t>Strengthening Debt Management Reporting and Investor Relations</w:t>
      </w:r>
      <w:r w:rsidR="009A7BFB" w:rsidRPr="001F151E">
        <w:rPr>
          <w:lang w:val="en-GB"/>
        </w:rPr>
        <w:t>;</w:t>
      </w:r>
    </w:p>
    <w:p w14:paraId="035A9C49" w14:textId="12BF9ACD" w:rsidR="00402D1B" w:rsidRPr="001F151E" w:rsidRDefault="00402D1B" w:rsidP="00EA6F1D">
      <w:pPr>
        <w:pStyle w:val="N-Bullet"/>
        <w:spacing w:line="276" w:lineRule="auto"/>
        <w:jc w:val="both"/>
        <w:rPr>
          <w:lang w:val="en-GB"/>
        </w:rPr>
      </w:pPr>
      <w:r w:rsidRPr="001F151E">
        <w:rPr>
          <w:lang w:val="en-GB"/>
        </w:rPr>
        <w:t>Developing a comprehensive framework for provision of guarantees and on-lending, underpinned by a formalized assessment methodology focused on risk management of potential future portfolio</w:t>
      </w:r>
      <w:r w:rsidR="009A7BFB" w:rsidRPr="001F151E">
        <w:rPr>
          <w:lang w:val="en-GB"/>
        </w:rPr>
        <w:t>;</w:t>
      </w:r>
    </w:p>
    <w:p w14:paraId="462A4F3F" w14:textId="5EF59049" w:rsidR="00402D1B" w:rsidRPr="001F151E" w:rsidRDefault="00402D1B" w:rsidP="00EA6F1D">
      <w:pPr>
        <w:pStyle w:val="N-Bullet"/>
        <w:spacing w:line="276" w:lineRule="auto"/>
        <w:jc w:val="both"/>
        <w:rPr>
          <w:lang w:val="en-GB"/>
        </w:rPr>
      </w:pPr>
      <w:r w:rsidRPr="001F151E">
        <w:rPr>
          <w:lang w:val="en-GB"/>
        </w:rPr>
        <w:t xml:space="preserve">Assessment of potential use of new alternative financing sources (Green, </w:t>
      </w:r>
      <w:r w:rsidR="00D84DF8" w:rsidRPr="001F151E">
        <w:rPr>
          <w:lang w:val="en-GB"/>
        </w:rPr>
        <w:t>Social, Sustainability</w:t>
      </w:r>
      <w:r w:rsidR="007B0E29" w:rsidRPr="001F151E">
        <w:rPr>
          <w:lang w:val="en-GB"/>
        </w:rPr>
        <w:t xml:space="preserve"> or other</w:t>
      </w:r>
      <w:r w:rsidRPr="001F151E">
        <w:rPr>
          <w:lang w:val="en-GB"/>
        </w:rPr>
        <w:t xml:space="preserve"> </w:t>
      </w:r>
      <w:r w:rsidR="00D84DF8" w:rsidRPr="001F151E">
        <w:rPr>
          <w:lang w:val="en-GB"/>
        </w:rPr>
        <w:t>i</w:t>
      </w:r>
      <w:r w:rsidRPr="001F151E">
        <w:rPr>
          <w:lang w:val="en-GB"/>
        </w:rPr>
        <w:t>nstruments)</w:t>
      </w:r>
      <w:r w:rsidRPr="001F151E" w:rsidDel="00A935DC">
        <w:rPr>
          <w:lang w:val="en-GB"/>
        </w:rPr>
        <w:t xml:space="preserve"> </w:t>
      </w:r>
      <w:r w:rsidRPr="001F151E">
        <w:rPr>
          <w:lang w:val="en-GB"/>
        </w:rPr>
        <w:t>Measures and activities.</w:t>
      </w:r>
    </w:p>
    <w:p w14:paraId="36766C81" w14:textId="77777777" w:rsidR="00801FD9" w:rsidRPr="001F151E" w:rsidRDefault="00801FD9" w:rsidP="00801FD9">
      <w:pPr>
        <w:pStyle w:val="N-Bullet"/>
        <w:numPr>
          <w:ilvl w:val="0"/>
          <w:numId w:val="0"/>
        </w:numPr>
        <w:rPr>
          <w:lang w:val="en-GB"/>
        </w:rPr>
      </w:pPr>
    </w:p>
    <w:p w14:paraId="00AB5558" w14:textId="4F23A8D1" w:rsidR="00801FD9" w:rsidRPr="001F151E" w:rsidRDefault="00801FD9" w:rsidP="00801FD9">
      <w:pPr>
        <w:pStyle w:val="H5"/>
        <w:rPr>
          <w:lang w:val="en-GB"/>
        </w:rPr>
      </w:pPr>
      <w:r w:rsidRPr="001F151E">
        <w:rPr>
          <w:lang w:val="en-GB"/>
        </w:rPr>
        <w:t>Measures and activities</w:t>
      </w:r>
    </w:p>
    <w:tbl>
      <w:tblPr>
        <w:tblStyle w:val="TableGrid"/>
        <w:tblW w:w="9015" w:type="dxa"/>
        <w:tblCellMar>
          <w:top w:w="28" w:type="dxa"/>
          <w:left w:w="57" w:type="dxa"/>
          <w:bottom w:w="28" w:type="dxa"/>
          <w:right w:w="57" w:type="dxa"/>
        </w:tblCellMar>
        <w:tblLook w:val="04A0" w:firstRow="1" w:lastRow="0" w:firstColumn="1" w:lastColumn="0" w:noHBand="0" w:noVBand="1"/>
      </w:tblPr>
      <w:tblGrid>
        <w:gridCol w:w="1976"/>
        <w:gridCol w:w="3710"/>
        <w:gridCol w:w="790"/>
        <w:gridCol w:w="797"/>
        <w:gridCol w:w="1742"/>
      </w:tblGrid>
      <w:tr w:rsidR="00D4087D" w:rsidRPr="001F151E" w14:paraId="1EFBC514" w14:textId="77777777" w:rsidTr="002A3E65">
        <w:trPr>
          <w:trHeight w:val="20"/>
          <w:tblHeader/>
        </w:trPr>
        <w:tc>
          <w:tcPr>
            <w:tcW w:w="1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8D23F" w14:textId="5704DAAA" w:rsidR="00D4087D" w:rsidRPr="001F151E" w:rsidRDefault="004F380A" w:rsidP="002B7FF8">
            <w:pPr>
              <w:pStyle w:val="T-bold"/>
            </w:pPr>
            <w:r w:rsidRPr="001F151E">
              <w:t>Measures</w:t>
            </w:r>
          </w:p>
        </w:tc>
        <w:tc>
          <w:tcPr>
            <w:tcW w:w="3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6A36A" w14:textId="77777777" w:rsidR="00D4087D" w:rsidRPr="001F151E" w:rsidRDefault="00D4087D" w:rsidP="002B7FF8">
            <w:pPr>
              <w:pStyle w:val="T-bold"/>
            </w:pPr>
            <w:r w:rsidRPr="001F151E">
              <w:t>Activity</w:t>
            </w:r>
          </w:p>
        </w:tc>
        <w:tc>
          <w:tcPr>
            <w:tcW w:w="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77DBF9" w14:textId="77777777" w:rsidR="00D4087D" w:rsidRPr="001F151E" w:rsidRDefault="00D4087D" w:rsidP="002B7FF8">
            <w:pPr>
              <w:pStyle w:val="T-bold"/>
              <w:jc w:val="center"/>
            </w:pPr>
            <w:r w:rsidRPr="001F151E">
              <w:t>Start</w:t>
            </w:r>
          </w:p>
        </w:tc>
        <w:tc>
          <w:tcPr>
            <w:tcW w:w="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3E975B" w14:textId="77777777" w:rsidR="00D4087D" w:rsidRPr="001F151E" w:rsidRDefault="00D4087D" w:rsidP="002B7FF8">
            <w:pPr>
              <w:pStyle w:val="T-bold"/>
              <w:jc w:val="center"/>
            </w:pPr>
            <w:r w:rsidRPr="001F151E">
              <w:t>End</w:t>
            </w:r>
          </w:p>
        </w:tc>
        <w:tc>
          <w:tcPr>
            <w:tcW w:w="1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144DD" w14:textId="77777777" w:rsidR="00D4087D" w:rsidRPr="001F151E" w:rsidRDefault="00D4087D" w:rsidP="002B7FF8">
            <w:pPr>
              <w:pStyle w:val="T-bold"/>
            </w:pPr>
            <w:r w:rsidRPr="001F151E">
              <w:t>Stakeholders</w:t>
            </w:r>
          </w:p>
        </w:tc>
      </w:tr>
      <w:tr w:rsidR="00286D9D" w:rsidRPr="001F151E" w14:paraId="6BF53FE4" w14:textId="77777777" w:rsidTr="002D4D5C">
        <w:trPr>
          <w:trHeight w:val="20"/>
        </w:trPr>
        <w:tc>
          <w:tcPr>
            <w:tcW w:w="1976" w:type="dxa"/>
            <w:vMerge w:val="restart"/>
            <w:tcBorders>
              <w:top w:val="single" w:sz="4" w:space="0" w:color="auto"/>
              <w:left w:val="single" w:sz="4" w:space="0" w:color="auto"/>
              <w:right w:val="single" w:sz="4" w:space="0" w:color="auto"/>
            </w:tcBorders>
            <w:shd w:val="clear" w:color="auto" w:fill="auto"/>
          </w:tcPr>
          <w:p w14:paraId="435F41AC" w14:textId="146FFD1D" w:rsidR="00286D9D" w:rsidRPr="001F151E" w:rsidRDefault="00286D9D" w:rsidP="007B0E29">
            <w:pPr>
              <w:pStyle w:val="T-bold"/>
            </w:pPr>
            <w:r w:rsidRPr="001F151E">
              <w:t>Measure 4.</w:t>
            </w:r>
            <w:r w:rsidR="00297283">
              <w:t>4</w:t>
            </w:r>
            <w:r w:rsidRPr="001F151E">
              <w:t>.</w:t>
            </w:r>
            <w:r w:rsidR="007B0E29" w:rsidRPr="001F151E">
              <w:t>1</w:t>
            </w:r>
            <w:r w:rsidRPr="001F151E">
              <w:t xml:space="preserve"> Strengthening of debt management reporting and Investor Relations</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38674C16" w14:textId="71DEFC99" w:rsidR="00286D9D" w:rsidRPr="001F151E" w:rsidRDefault="00C16473" w:rsidP="00B45892">
            <w:pPr>
              <w:pStyle w:val="T-number"/>
              <w:numPr>
                <w:ilvl w:val="0"/>
                <w:numId w:val="85"/>
              </w:numPr>
            </w:pPr>
            <w:r w:rsidRPr="001F151E">
              <w:t>P</w:t>
            </w:r>
            <w:r w:rsidR="00AE60FC">
              <w:t>repare and publish</w:t>
            </w:r>
            <w:r w:rsidR="00286D9D" w:rsidRPr="001F151E">
              <w:t xml:space="preserve"> the annual borrowing plan.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6DDEB158" w14:textId="2C1A841D" w:rsidR="00286D9D" w:rsidRPr="001F151E" w:rsidRDefault="00286D9D" w:rsidP="002D4D5C">
            <w:pPr>
              <w:pStyle w:val="T-bold"/>
              <w:jc w:val="center"/>
              <w:rPr>
                <w:b w:val="0"/>
                <w:bCs w:val="0"/>
              </w:rPr>
            </w:pPr>
            <w:r w:rsidRPr="001F151E">
              <w:rPr>
                <w:b w:val="0"/>
                <w:bCs w:val="0"/>
              </w:rPr>
              <w:t>Q1 2023</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13467681" w14:textId="6B542E47" w:rsidR="00286D9D" w:rsidRPr="001F151E" w:rsidRDefault="00286D9D" w:rsidP="002D4D5C">
            <w:pPr>
              <w:pStyle w:val="T-bold"/>
              <w:jc w:val="center"/>
              <w:rPr>
                <w:b w:val="0"/>
                <w:bCs w:val="0"/>
              </w:rPr>
            </w:pPr>
            <w:r w:rsidRPr="001F151E">
              <w:rPr>
                <w:b w:val="0"/>
                <w:bCs w:val="0"/>
              </w:rPr>
              <w:t>Q4 2023</w:t>
            </w:r>
          </w:p>
        </w:tc>
        <w:tc>
          <w:tcPr>
            <w:tcW w:w="1742" w:type="dxa"/>
            <w:vMerge w:val="restart"/>
            <w:tcBorders>
              <w:top w:val="single" w:sz="4" w:space="0" w:color="auto"/>
              <w:left w:val="single" w:sz="4" w:space="0" w:color="auto"/>
              <w:right w:val="single" w:sz="4" w:space="0" w:color="auto"/>
            </w:tcBorders>
            <w:shd w:val="clear" w:color="auto" w:fill="auto"/>
          </w:tcPr>
          <w:p w14:paraId="61C8E849" w14:textId="77777777" w:rsidR="00286D9D" w:rsidRPr="001F151E" w:rsidRDefault="00286D9D" w:rsidP="00286D9D">
            <w:pPr>
              <w:rPr>
                <w:b/>
                <w:bCs/>
                <w:sz w:val="16"/>
                <w:szCs w:val="16"/>
              </w:rPr>
            </w:pPr>
            <w:r w:rsidRPr="001F151E">
              <w:rPr>
                <w:b/>
                <w:bCs/>
                <w:sz w:val="16"/>
                <w:szCs w:val="16"/>
              </w:rPr>
              <w:t>Responsible entity:</w:t>
            </w:r>
          </w:p>
          <w:p w14:paraId="73841833" w14:textId="5A357397" w:rsidR="00286D9D" w:rsidRPr="001F151E" w:rsidRDefault="00286D9D" w:rsidP="00286D9D">
            <w:pPr>
              <w:rPr>
                <w:sz w:val="16"/>
                <w:szCs w:val="16"/>
              </w:rPr>
            </w:pPr>
            <w:r w:rsidRPr="001F151E">
              <w:rPr>
                <w:sz w:val="16"/>
                <w:szCs w:val="16"/>
              </w:rPr>
              <w:t>GD</w:t>
            </w:r>
            <w:r w:rsidR="00EB1BF0">
              <w:rPr>
                <w:sz w:val="16"/>
                <w:szCs w:val="16"/>
              </w:rPr>
              <w:t>S</w:t>
            </w:r>
            <w:r w:rsidRPr="001F151E">
              <w:rPr>
                <w:sz w:val="16"/>
                <w:szCs w:val="16"/>
              </w:rPr>
              <w:t>D (lead)</w:t>
            </w:r>
          </w:p>
          <w:p w14:paraId="2DA15B02" w14:textId="77777777" w:rsidR="00286D9D" w:rsidRPr="001F151E" w:rsidRDefault="00286D9D" w:rsidP="00286D9D">
            <w:pPr>
              <w:rPr>
                <w:sz w:val="16"/>
                <w:szCs w:val="16"/>
              </w:rPr>
            </w:pPr>
          </w:p>
          <w:p w14:paraId="222D2695" w14:textId="77777777" w:rsidR="00286D9D" w:rsidRPr="001F151E" w:rsidRDefault="00286D9D" w:rsidP="00286D9D">
            <w:pPr>
              <w:rPr>
                <w:b/>
                <w:bCs/>
                <w:sz w:val="16"/>
                <w:szCs w:val="16"/>
              </w:rPr>
            </w:pPr>
            <w:r w:rsidRPr="001F151E">
              <w:rPr>
                <w:b/>
                <w:bCs/>
                <w:sz w:val="16"/>
                <w:szCs w:val="16"/>
              </w:rPr>
              <w:t>Partner:</w:t>
            </w:r>
          </w:p>
          <w:p w14:paraId="113CFE52" w14:textId="1ABB3F8A" w:rsidR="00286D9D" w:rsidRPr="001F151E" w:rsidRDefault="00C16473" w:rsidP="00286D9D">
            <w:pPr>
              <w:pStyle w:val="T-bold"/>
              <w:rPr>
                <w:b w:val="0"/>
                <w:bCs w:val="0"/>
              </w:rPr>
            </w:pPr>
            <w:r w:rsidRPr="001F151E">
              <w:rPr>
                <w:b w:val="0"/>
                <w:bCs w:val="0"/>
              </w:rPr>
              <w:t>World Bank</w:t>
            </w:r>
          </w:p>
        </w:tc>
      </w:tr>
      <w:tr w:rsidR="00EE1031" w:rsidRPr="001F151E" w14:paraId="29A1D5A4" w14:textId="77777777" w:rsidTr="002D4D5C">
        <w:trPr>
          <w:trHeight w:val="20"/>
        </w:trPr>
        <w:tc>
          <w:tcPr>
            <w:tcW w:w="1976" w:type="dxa"/>
            <w:vMerge/>
            <w:tcBorders>
              <w:left w:val="single" w:sz="4" w:space="0" w:color="auto"/>
              <w:right w:val="single" w:sz="4" w:space="0" w:color="auto"/>
            </w:tcBorders>
            <w:shd w:val="clear" w:color="auto" w:fill="auto"/>
          </w:tcPr>
          <w:p w14:paraId="03BCEA4F" w14:textId="77777777" w:rsidR="00EE1031" w:rsidRPr="001F151E" w:rsidRDefault="00EE1031" w:rsidP="00EE1031">
            <w:pPr>
              <w:pStyle w:val="T-bold"/>
            </w:pP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01758B5B" w14:textId="769200CB" w:rsidR="00EE1031" w:rsidRPr="001F151E" w:rsidRDefault="00EE1031" w:rsidP="00F132BD">
            <w:pPr>
              <w:pStyle w:val="T-number"/>
            </w:pPr>
            <w:r w:rsidRPr="001F151E">
              <w:t xml:space="preserve">Review current practices and improve information </w:t>
            </w:r>
            <w:r w:rsidR="0094530F" w:rsidRPr="001F151E">
              <w:t xml:space="preserve">for investors </w:t>
            </w:r>
            <w:r w:rsidR="00EB1BF0">
              <w:t>published at MoF</w:t>
            </w:r>
            <w:r w:rsidRPr="001F151E">
              <w:t>’s website</w:t>
            </w:r>
            <w:r w:rsidR="000412FF" w:rsidRPr="001F151E">
              <w:rPr>
                <w:rStyle w:val="FootnoteReference"/>
                <w:bCs/>
              </w:rPr>
              <w:footnoteReference w:id="58"/>
            </w:r>
            <w:r w:rsidRPr="001F151E">
              <w:t xml:space="preserve">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156FCD72" w14:textId="162EC746" w:rsidR="00EE1031" w:rsidRPr="001F151E" w:rsidRDefault="00EE1031" w:rsidP="002D4D5C">
            <w:pPr>
              <w:pStyle w:val="T-bold"/>
              <w:jc w:val="center"/>
              <w:rPr>
                <w:b w:val="0"/>
              </w:rPr>
            </w:pPr>
            <w:r w:rsidRPr="001F151E">
              <w:rPr>
                <w:b w:val="0"/>
                <w:color w:val="000000"/>
                <w:shd w:val="clear" w:color="auto" w:fill="FFFFFF"/>
              </w:rPr>
              <w:t>Q2 2024</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7D294868" w14:textId="68FD0187" w:rsidR="00EE1031" w:rsidRPr="001F151E" w:rsidRDefault="00EE1031" w:rsidP="002D4D5C">
            <w:pPr>
              <w:pStyle w:val="T-bold"/>
              <w:jc w:val="center"/>
              <w:rPr>
                <w:b w:val="0"/>
              </w:rPr>
            </w:pPr>
            <w:r w:rsidRPr="001F151E">
              <w:rPr>
                <w:b w:val="0"/>
                <w:color w:val="000000"/>
                <w:shd w:val="clear" w:color="auto" w:fill="FFFFFF"/>
              </w:rPr>
              <w:t>Q3 2024</w:t>
            </w:r>
          </w:p>
        </w:tc>
        <w:tc>
          <w:tcPr>
            <w:tcW w:w="1742" w:type="dxa"/>
            <w:vMerge/>
            <w:tcBorders>
              <w:left w:val="single" w:sz="4" w:space="0" w:color="auto"/>
              <w:right w:val="single" w:sz="4" w:space="0" w:color="auto"/>
            </w:tcBorders>
            <w:shd w:val="clear" w:color="auto" w:fill="auto"/>
          </w:tcPr>
          <w:p w14:paraId="33CBB9C0" w14:textId="77777777" w:rsidR="00EE1031" w:rsidRPr="001F151E" w:rsidRDefault="00EE1031" w:rsidP="00EE1031">
            <w:pPr>
              <w:pStyle w:val="T-bold"/>
            </w:pPr>
          </w:p>
        </w:tc>
      </w:tr>
      <w:tr w:rsidR="00F34C7B" w:rsidRPr="001F151E" w14:paraId="6910EAB9" w14:textId="77777777" w:rsidTr="002D4D5C">
        <w:trPr>
          <w:trHeight w:val="20"/>
        </w:trPr>
        <w:tc>
          <w:tcPr>
            <w:tcW w:w="1976" w:type="dxa"/>
            <w:vMerge/>
            <w:tcBorders>
              <w:left w:val="single" w:sz="4" w:space="0" w:color="auto"/>
              <w:bottom w:val="single" w:sz="4" w:space="0" w:color="auto"/>
              <w:right w:val="single" w:sz="4" w:space="0" w:color="auto"/>
            </w:tcBorders>
            <w:shd w:val="clear" w:color="auto" w:fill="auto"/>
          </w:tcPr>
          <w:p w14:paraId="1C977767" w14:textId="77777777" w:rsidR="00F34C7B" w:rsidRPr="001F151E" w:rsidRDefault="00F34C7B" w:rsidP="00F34C7B">
            <w:pPr>
              <w:pStyle w:val="T-bold"/>
            </w:pP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79CC7C63" w14:textId="0D2E2151" w:rsidR="00F34C7B" w:rsidRPr="00F34C7B" w:rsidRDefault="00F34C7B" w:rsidP="00F34C7B">
            <w:pPr>
              <w:pStyle w:val="T-number"/>
            </w:pPr>
            <w:r w:rsidRPr="00F34C7B">
              <w:rPr>
                <w:bCs/>
                <w:szCs w:val="24"/>
              </w:rPr>
              <w:t>Provide information to investor base on main macroeconomic developments in the country</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34CCD73B" w14:textId="29185CDC" w:rsidR="00F34C7B" w:rsidRPr="004E0B1B" w:rsidRDefault="00F34C7B" w:rsidP="004E0B1B">
            <w:pPr>
              <w:pStyle w:val="T-bold"/>
              <w:jc w:val="center"/>
              <w:rPr>
                <w:b w:val="0"/>
                <w:bCs w:val="0"/>
              </w:rPr>
            </w:pPr>
            <w:r w:rsidRPr="004E0B1B">
              <w:rPr>
                <w:b w:val="0"/>
                <w:shd w:val="clear" w:color="auto" w:fill="FFFFFF"/>
              </w:rPr>
              <w:t>Q</w:t>
            </w:r>
            <w:r w:rsidR="004E0B1B" w:rsidRPr="004E0B1B">
              <w:rPr>
                <w:b w:val="0"/>
                <w:shd w:val="clear" w:color="auto" w:fill="FFFFFF"/>
              </w:rPr>
              <w:t>3</w:t>
            </w:r>
            <w:r w:rsidRPr="004E0B1B">
              <w:rPr>
                <w:b w:val="0"/>
                <w:shd w:val="clear" w:color="auto" w:fill="FFFFFF"/>
              </w:rPr>
              <w:t xml:space="preserve"> 2024</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3169B040" w14:textId="6455774D" w:rsidR="00F34C7B" w:rsidRPr="004E0B1B" w:rsidRDefault="004E0B1B" w:rsidP="00F34C7B">
            <w:pPr>
              <w:pStyle w:val="T-bold"/>
              <w:jc w:val="center"/>
              <w:rPr>
                <w:b w:val="0"/>
                <w:bCs w:val="0"/>
              </w:rPr>
            </w:pPr>
            <w:r w:rsidRPr="004E0B1B">
              <w:rPr>
                <w:b w:val="0"/>
                <w:shd w:val="clear" w:color="auto" w:fill="FFFFFF"/>
              </w:rPr>
              <w:t>Q4 2026</w:t>
            </w:r>
          </w:p>
        </w:tc>
        <w:tc>
          <w:tcPr>
            <w:tcW w:w="1742" w:type="dxa"/>
            <w:vMerge/>
            <w:tcBorders>
              <w:left w:val="single" w:sz="4" w:space="0" w:color="auto"/>
              <w:bottom w:val="single" w:sz="4" w:space="0" w:color="auto"/>
              <w:right w:val="single" w:sz="4" w:space="0" w:color="auto"/>
            </w:tcBorders>
            <w:shd w:val="clear" w:color="auto" w:fill="auto"/>
          </w:tcPr>
          <w:p w14:paraId="3E9B5B78" w14:textId="77777777" w:rsidR="00F34C7B" w:rsidRPr="001F151E" w:rsidRDefault="00F34C7B" w:rsidP="00F34C7B">
            <w:pPr>
              <w:pStyle w:val="T-bold"/>
            </w:pPr>
          </w:p>
        </w:tc>
      </w:tr>
      <w:tr w:rsidR="00F34C7B" w:rsidRPr="001F151E" w14:paraId="7878449D" w14:textId="77777777" w:rsidTr="002D4D5C">
        <w:trPr>
          <w:trHeight w:val="20"/>
        </w:trPr>
        <w:tc>
          <w:tcPr>
            <w:tcW w:w="1976" w:type="dxa"/>
            <w:vMerge/>
            <w:tcBorders>
              <w:left w:val="single" w:sz="4" w:space="0" w:color="auto"/>
              <w:bottom w:val="single" w:sz="4" w:space="0" w:color="auto"/>
              <w:right w:val="single" w:sz="4" w:space="0" w:color="auto"/>
            </w:tcBorders>
            <w:shd w:val="clear" w:color="auto" w:fill="auto"/>
          </w:tcPr>
          <w:p w14:paraId="3AF0FD28" w14:textId="77777777" w:rsidR="00F34C7B" w:rsidRPr="001F151E" w:rsidRDefault="00F34C7B" w:rsidP="00F34C7B">
            <w:pPr>
              <w:pStyle w:val="T-bold"/>
            </w:pP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4A2CABB7" w14:textId="3FB760AC" w:rsidR="00F34C7B" w:rsidRPr="001F151E" w:rsidRDefault="00F34C7B" w:rsidP="00F34C7B">
            <w:pPr>
              <w:pStyle w:val="T-number"/>
            </w:pPr>
            <w:r w:rsidRPr="001F151E">
              <w:t xml:space="preserve">Prepare and publish the annual DMS Monitoring Report.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2EC4708F" w14:textId="22DA0959" w:rsidR="00F34C7B" w:rsidRPr="001F151E" w:rsidRDefault="00F34C7B" w:rsidP="00F34C7B">
            <w:pPr>
              <w:pStyle w:val="T-bold"/>
              <w:jc w:val="center"/>
            </w:pPr>
            <w:r w:rsidRPr="001F151E">
              <w:rPr>
                <w:b w:val="0"/>
                <w:bCs w:val="0"/>
              </w:rPr>
              <w:t>Q1 2023</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411EF910" w14:textId="584E2899" w:rsidR="00F34C7B" w:rsidRPr="001F151E" w:rsidRDefault="00F34C7B" w:rsidP="00F34C7B">
            <w:pPr>
              <w:pStyle w:val="T-bold"/>
              <w:jc w:val="center"/>
            </w:pPr>
            <w:r w:rsidRPr="001F151E">
              <w:rPr>
                <w:b w:val="0"/>
                <w:bCs w:val="0"/>
              </w:rPr>
              <w:t>Q1 2026</w:t>
            </w:r>
          </w:p>
        </w:tc>
        <w:tc>
          <w:tcPr>
            <w:tcW w:w="1742" w:type="dxa"/>
            <w:vMerge/>
            <w:tcBorders>
              <w:left w:val="single" w:sz="4" w:space="0" w:color="auto"/>
              <w:bottom w:val="single" w:sz="4" w:space="0" w:color="auto"/>
              <w:right w:val="single" w:sz="4" w:space="0" w:color="auto"/>
            </w:tcBorders>
            <w:shd w:val="clear" w:color="auto" w:fill="auto"/>
          </w:tcPr>
          <w:p w14:paraId="5C45AFDB" w14:textId="77777777" w:rsidR="00F34C7B" w:rsidRPr="001F151E" w:rsidRDefault="00F34C7B" w:rsidP="00F34C7B">
            <w:pPr>
              <w:pStyle w:val="T-bold"/>
            </w:pPr>
          </w:p>
        </w:tc>
      </w:tr>
      <w:tr w:rsidR="00F34C7B" w:rsidRPr="001F151E" w14:paraId="0579BFE9" w14:textId="77777777" w:rsidTr="002D4D5C">
        <w:trPr>
          <w:trHeight w:val="20"/>
        </w:trPr>
        <w:tc>
          <w:tcPr>
            <w:tcW w:w="1976" w:type="dxa"/>
            <w:vMerge w:val="restart"/>
            <w:tcBorders>
              <w:top w:val="single" w:sz="4" w:space="0" w:color="auto"/>
              <w:left w:val="single" w:sz="4" w:space="0" w:color="auto"/>
              <w:right w:val="single" w:sz="4" w:space="0" w:color="auto"/>
            </w:tcBorders>
            <w:shd w:val="clear" w:color="auto" w:fill="auto"/>
          </w:tcPr>
          <w:p w14:paraId="6A871A94" w14:textId="274E001A" w:rsidR="00F34C7B" w:rsidRPr="001F151E" w:rsidRDefault="00F34C7B" w:rsidP="00F34C7B">
            <w:pPr>
              <w:pStyle w:val="T-bold"/>
            </w:pPr>
            <w:r w:rsidRPr="001F151E">
              <w:t>Measure 4.</w:t>
            </w:r>
            <w:r w:rsidR="00297283">
              <w:t>4</w:t>
            </w:r>
            <w:r w:rsidRPr="001F151E">
              <w:t xml:space="preserve">.2 </w:t>
            </w:r>
            <w:r w:rsidRPr="001F151E">
              <w:rPr>
                <w:bCs w:val="0"/>
              </w:rPr>
              <w:t>Developing a comprehensive framework for provision of guarantees and on-lending</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5C138EE2" w14:textId="6E7CED9C" w:rsidR="00F34C7B" w:rsidRPr="001F151E" w:rsidRDefault="00F34C7B" w:rsidP="00B45892">
            <w:pPr>
              <w:pStyle w:val="T-number"/>
              <w:numPr>
                <w:ilvl w:val="0"/>
                <w:numId w:val="86"/>
              </w:numPr>
            </w:pPr>
            <w:r w:rsidRPr="001F151E">
              <w:t>Develop a comprehensive framework for credit risk assessment of SOEs and subnational governments when providing state guarantees or on-lending.</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755D5C40" w14:textId="28DEE4A6" w:rsidR="00F34C7B" w:rsidRPr="001F151E" w:rsidRDefault="00F34C7B" w:rsidP="00F34C7B">
            <w:pPr>
              <w:pStyle w:val="T-bold"/>
              <w:jc w:val="center"/>
              <w:rPr>
                <w:b w:val="0"/>
                <w:bCs w:val="0"/>
              </w:rPr>
            </w:pPr>
            <w:r w:rsidRPr="001F151E">
              <w:rPr>
                <w:b w:val="0"/>
                <w:bCs w:val="0"/>
              </w:rPr>
              <w:t>Q1 2025</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19A8EF86" w14:textId="09F673C6" w:rsidR="00F34C7B" w:rsidRPr="001F151E" w:rsidRDefault="00F34C7B" w:rsidP="00F34C7B">
            <w:pPr>
              <w:pStyle w:val="T-bold"/>
              <w:jc w:val="center"/>
              <w:rPr>
                <w:b w:val="0"/>
                <w:bCs w:val="0"/>
              </w:rPr>
            </w:pPr>
            <w:r w:rsidRPr="001F151E">
              <w:rPr>
                <w:b w:val="0"/>
                <w:bCs w:val="0"/>
              </w:rPr>
              <w:t>Q4 2026</w:t>
            </w:r>
          </w:p>
        </w:tc>
        <w:tc>
          <w:tcPr>
            <w:tcW w:w="1742" w:type="dxa"/>
            <w:vMerge w:val="restart"/>
            <w:tcBorders>
              <w:top w:val="single" w:sz="4" w:space="0" w:color="auto"/>
              <w:left w:val="single" w:sz="4" w:space="0" w:color="auto"/>
              <w:right w:val="single" w:sz="4" w:space="0" w:color="auto"/>
            </w:tcBorders>
            <w:shd w:val="clear" w:color="auto" w:fill="auto"/>
          </w:tcPr>
          <w:p w14:paraId="05F12AE0" w14:textId="77777777" w:rsidR="00F34C7B" w:rsidRPr="001F151E" w:rsidRDefault="00F34C7B" w:rsidP="00F34C7B">
            <w:pPr>
              <w:rPr>
                <w:b/>
                <w:bCs/>
                <w:sz w:val="16"/>
                <w:szCs w:val="16"/>
              </w:rPr>
            </w:pPr>
            <w:r w:rsidRPr="001F151E">
              <w:rPr>
                <w:b/>
                <w:bCs/>
                <w:sz w:val="16"/>
                <w:szCs w:val="16"/>
              </w:rPr>
              <w:t>Responsible entity:</w:t>
            </w:r>
          </w:p>
          <w:p w14:paraId="10068C66" w14:textId="4FA04DD5" w:rsidR="00F34C7B" w:rsidRPr="001F151E" w:rsidRDefault="00F34C7B" w:rsidP="00F34C7B">
            <w:pPr>
              <w:rPr>
                <w:sz w:val="16"/>
                <w:szCs w:val="16"/>
              </w:rPr>
            </w:pPr>
            <w:r w:rsidRPr="001F151E">
              <w:rPr>
                <w:sz w:val="16"/>
                <w:szCs w:val="16"/>
              </w:rPr>
              <w:t>GD</w:t>
            </w:r>
            <w:r w:rsidR="00EB1BF0">
              <w:rPr>
                <w:sz w:val="16"/>
                <w:szCs w:val="16"/>
              </w:rPr>
              <w:t>S</w:t>
            </w:r>
            <w:r w:rsidRPr="001F151E">
              <w:rPr>
                <w:sz w:val="16"/>
                <w:szCs w:val="16"/>
              </w:rPr>
              <w:t>D (lead)</w:t>
            </w:r>
          </w:p>
          <w:p w14:paraId="6644E14C" w14:textId="77777777" w:rsidR="00F34C7B" w:rsidRPr="001F151E" w:rsidRDefault="00F34C7B" w:rsidP="00F34C7B">
            <w:pPr>
              <w:rPr>
                <w:sz w:val="16"/>
                <w:szCs w:val="16"/>
              </w:rPr>
            </w:pPr>
          </w:p>
          <w:p w14:paraId="7B83FBF2" w14:textId="77777777" w:rsidR="00F34C7B" w:rsidRPr="001F151E" w:rsidRDefault="00F34C7B" w:rsidP="00F34C7B">
            <w:pPr>
              <w:rPr>
                <w:b/>
                <w:bCs/>
                <w:sz w:val="16"/>
                <w:szCs w:val="16"/>
              </w:rPr>
            </w:pPr>
            <w:r w:rsidRPr="001F151E">
              <w:rPr>
                <w:b/>
                <w:bCs/>
                <w:sz w:val="16"/>
                <w:szCs w:val="16"/>
              </w:rPr>
              <w:t>Partner:</w:t>
            </w:r>
          </w:p>
          <w:p w14:paraId="00F9AD4B" w14:textId="54BE853F" w:rsidR="00F34C7B" w:rsidRPr="001F151E" w:rsidRDefault="00F34C7B" w:rsidP="00F34C7B">
            <w:pPr>
              <w:pStyle w:val="T-bold"/>
              <w:rPr>
                <w:b w:val="0"/>
              </w:rPr>
            </w:pPr>
            <w:r w:rsidRPr="001F151E">
              <w:rPr>
                <w:b w:val="0"/>
              </w:rPr>
              <w:t>World Bank</w:t>
            </w:r>
          </w:p>
        </w:tc>
      </w:tr>
      <w:tr w:rsidR="00F34C7B" w:rsidRPr="001F151E" w14:paraId="61B69318" w14:textId="77777777" w:rsidTr="002D4D5C">
        <w:trPr>
          <w:trHeight w:val="20"/>
        </w:trPr>
        <w:tc>
          <w:tcPr>
            <w:tcW w:w="1976" w:type="dxa"/>
            <w:vMerge/>
            <w:tcBorders>
              <w:left w:val="single" w:sz="4" w:space="0" w:color="auto"/>
              <w:bottom w:val="single" w:sz="4" w:space="0" w:color="auto"/>
              <w:right w:val="single" w:sz="4" w:space="0" w:color="auto"/>
            </w:tcBorders>
            <w:shd w:val="clear" w:color="auto" w:fill="auto"/>
          </w:tcPr>
          <w:p w14:paraId="2DA8B2AB" w14:textId="77777777" w:rsidR="00F34C7B" w:rsidRPr="001F151E" w:rsidRDefault="00F34C7B" w:rsidP="00F34C7B">
            <w:pPr>
              <w:pStyle w:val="T-bold"/>
            </w:pP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3BDB0D55" w14:textId="23405C2F" w:rsidR="00F34C7B" w:rsidRPr="001F151E" w:rsidRDefault="00F34C7B" w:rsidP="00F34C7B">
            <w:pPr>
              <w:pStyle w:val="T-number"/>
            </w:pPr>
            <w:r w:rsidRPr="001F151E">
              <w:t>Building capacities of GDD staff to evaluate the creditworthiness of the SOEs and Subnational governments.</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5D9B4D18" w14:textId="364F2560" w:rsidR="00F34C7B" w:rsidRPr="001F151E" w:rsidRDefault="00F34C7B" w:rsidP="00F34C7B">
            <w:pPr>
              <w:pStyle w:val="T-bold"/>
              <w:jc w:val="center"/>
              <w:rPr>
                <w:b w:val="0"/>
                <w:bCs w:val="0"/>
              </w:rPr>
            </w:pPr>
            <w:r w:rsidRPr="001F151E">
              <w:rPr>
                <w:b w:val="0"/>
                <w:bCs w:val="0"/>
              </w:rPr>
              <w:t>Q1 2025</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29E97C0B" w14:textId="1559B19D" w:rsidR="00F34C7B" w:rsidRPr="001F151E" w:rsidRDefault="00F34C7B" w:rsidP="00F34C7B">
            <w:pPr>
              <w:pStyle w:val="T-bold"/>
              <w:jc w:val="center"/>
              <w:rPr>
                <w:b w:val="0"/>
                <w:bCs w:val="0"/>
              </w:rPr>
            </w:pPr>
            <w:r w:rsidRPr="001F151E">
              <w:rPr>
                <w:b w:val="0"/>
                <w:bCs w:val="0"/>
              </w:rPr>
              <w:t>Q4 2026</w:t>
            </w:r>
          </w:p>
        </w:tc>
        <w:tc>
          <w:tcPr>
            <w:tcW w:w="1742" w:type="dxa"/>
            <w:vMerge/>
            <w:tcBorders>
              <w:left w:val="single" w:sz="4" w:space="0" w:color="auto"/>
              <w:bottom w:val="single" w:sz="4" w:space="0" w:color="auto"/>
              <w:right w:val="single" w:sz="4" w:space="0" w:color="auto"/>
            </w:tcBorders>
            <w:shd w:val="clear" w:color="auto" w:fill="auto"/>
          </w:tcPr>
          <w:p w14:paraId="7D48822A" w14:textId="77777777" w:rsidR="00F34C7B" w:rsidRPr="001F151E" w:rsidRDefault="00F34C7B" w:rsidP="00F34C7B">
            <w:pPr>
              <w:pStyle w:val="T-bold"/>
            </w:pPr>
          </w:p>
        </w:tc>
      </w:tr>
      <w:tr w:rsidR="00F34C7B" w:rsidRPr="001F151E" w14:paraId="3F312828" w14:textId="77777777" w:rsidTr="002D4D5C">
        <w:trPr>
          <w:trHeight w:val="20"/>
        </w:trPr>
        <w:tc>
          <w:tcPr>
            <w:tcW w:w="1976" w:type="dxa"/>
            <w:vMerge w:val="restart"/>
            <w:tcBorders>
              <w:top w:val="single" w:sz="4" w:space="0" w:color="auto"/>
              <w:left w:val="single" w:sz="4" w:space="0" w:color="auto"/>
              <w:right w:val="single" w:sz="4" w:space="0" w:color="auto"/>
            </w:tcBorders>
            <w:shd w:val="clear" w:color="auto" w:fill="auto"/>
          </w:tcPr>
          <w:p w14:paraId="047ACA40" w14:textId="7666B29E" w:rsidR="00F34C7B" w:rsidRPr="001F151E" w:rsidRDefault="00F34C7B" w:rsidP="00F34C7B">
            <w:pPr>
              <w:pStyle w:val="EcorysBody"/>
              <w:rPr>
                <w:rFonts w:ascii="Arial" w:hAnsi="Arial" w:cs="Arial"/>
                <w:b/>
                <w:sz w:val="16"/>
                <w:szCs w:val="16"/>
              </w:rPr>
            </w:pPr>
            <w:r w:rsidRPr="001F151E">
              <w:rPr>
                <w:rFonts w:ascii="Arial" w:hAnsi="Arial" w:cs="Arial"/>
                <w:b/>
                <w:sz w:val="16"/>
                <w:szCs w:val="16"/>
              </w:rPr>
              <w:t>Measure 4.</w:t>
            </w:r>
            <w:r w:rsidR="00297283">
              <w:rPr>
                <w:rFonts w:ascii="Arial" w:hAnsi="Arial" w:cs="Arial"/>
                <w:b/>
                <w:sz w:val="16"/>
                <w:szCs w:val="16"/>
              </w:rPr>
              <w:t>4</w:t>
            </w:r>
            <w:r w:rsidRPr="001F151E">
              <w:rPr>
                <w:rFonts w:ascii="Arial" w:hAnsi="Arial" w:cs="Arial"/>
                <w:b/>
                <w:sz w:val="16"/>
                <w:szCs w:val="16"/>
              </w:rPr>
              <w:t xml:space="preserve">.3 </w:t>
            </w:r>
          </w:p>
          <w:p w14:paraId="2A8ACFCA" w14:textId="1D27A42B" w:rsidR="00F34C7B" w:rsidRPr="001F151E" w:rsidRDefault="00F34C7B" w:rsidP="00F34C7B">
            <w:pPr>
              <w:pStyle w:val="T-bold"/>
            </w:pPr>
            <w:r w:rsidRPr="001F151E">
              <w:t xml:space="preserve">Gradually start to develop the necessary </w:t>
            </w:r>
            <w:r w:rsidRPr="001F151E">
              <w:lastRenderedPageBreak/>
              <w:t>assessment for the new alternative financing instruments ((Green, Social or Sustainability or other Instruments)</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2A523A3F" w14:textId="64AF533D" w:rsidR="00F34C7B" w:rsidRPr="001F151E" w:rsidRDefault="00F34C7B" w:rsidP="00B45892">
            <w:pPr>
              <w:pStyle w:val="T-number"/>
              <w:numPr>
                <w:ilvl w:val="0"/>
                <w:numId w:val="87"/>
              </w:numPr>
            </w:pPr>
            <w:r w:rsidRPr="001F151E">
              <w:lastRenderedPageBreak/>
              <w:t>Conduct an assessment of various green bonds and other alternative financing instruments and how they could be applied.</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2F914FC4" w14:textId="14D1B701" w:rsidR="00F34C7B" w:rsidRPr="001F151E" w:rsidRDefault="00F34C7B" w:rsidP="00F34C7B">
            <w:pPr>
              <w:pStyle w:val="T-bold"/>
              <w:jc w:val="center"/>
              <w:rPr>
                <w:b w:val="0"/>
                <w:bCs w:val="0"/>
              </w:rPr>
            </w:pPr>
            <w:r w:rsidRPr="001F151E">
              <w:rPr>
                <w:b w:val="0"/>
              </w:rPr>
              <w:t>Q3 2024</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74ADD39D" w14:textId="4C6654E0" w:rsidR="00F34C7B" w:rsidRPr="001F151E" w:rsidRDefault="00F34C7B" w:rsidP="00F34C7B">
            <w:pPr>
              <w:pStyle w:val="T-bold"/>
              <w:jc w:val="center"/>
              <w:rPr>
                <w:b w:val="0"/>
                <w:bCs w:val="0"/>
              </w:rPr>
            </w:pPr>
            <w:r w:rsidRPr="001F151E">
              <w:rPr>
                <w:b w:val="0"/>
              </w:rPr>
              <w:t>Q4 2025</w:t>
            </w:r>
          </w:p>
        </w:tc>
        <w:tc>
          <w:tcPr>
            <w:tcW w:w="1742" w:type="dxa"/>
            <w:vMerge w:val="restart"/>
            <w:tcBorders>
              <w:top w:val="single" w:sz="4" w:space="0" w:color="auto"/>
              <w:left w:val="single" w:sz="4" w:space="0" w:color="auto"/>
              <w:right w:val="single" w:sz="4" w:space="0" w:color="auto"/>
            </w:tcBorders>
            <w:shd w:val="clear" w:color="auto" w:fill="auto"/>
          </w:tcPr>
          <w:p w14:paraId="38C72C67" w14:textId="77777777" w:rsidR="00F34C7B" w:rsidRPr="001F151E" w:rsidRDefault="00F34C7B" w:rsidP="00F34C7B">
            <w:pPr>
              <w:rPr>
                <w:b/>
                <w:bCs/>
                <w:sz w:val="16"/>
                <w:szCs w:val="16"/>
              </w:rPr>
            </w:pPr>
            <w:r w:rsidRPr="001F151E">
              <w:rPr>
                <w:b/>
                <w:bCs/>
                <w:sz w:val="16"/>
                <w:szCs w:val="16"/>
              </w:rPr>
              <w:t>Responsible entity:</w:t>
            </w:r>
          </w:p>
          <w:p w14:paraId="4BFF2C4E" w14:textId="53D6C662" w:rsidR="00F34C7B" w:rsidRPr="001F151E" w:rsidRDefault="00F34C7B" w:rsidP="00F34C7B">
            <w:pPr>
              <w:rPr>
                <w:sz w:val="16"/>
                <w:szCs w:val="16"/>
              </w:rPr>
            </w:pPr>
            <w:r w:rsidRPr="001F151E">
              <w:rPr>
                <w:sz w:val="16"/>
                <w:szCs w:val="16"/>
              </w:rPr>
              <w:lastRenderedPageBreak/>
              <w:t>GD</w:t>
            </w:r>
            <w:r w:rsidR="00EB1BF0">
              <w:rPr>
                <w:sz w:val="16"/>
                <w:szCs w:val="16"/>
              </w:rPr>
              <w:t>S</w:t>
            </w:r>
            <w:r w:rsidRPr="001F151E">
              <w:rPr>
                <w:sz w:val="16"/>
                <w:szCs w:val="16"/>
              </w:rPr>
              <w:t>D (lead), DGMP, GDB, Line Ministries.</w:t>
            </w:r>
          </w:p>
          <w:p w14:paraId="175391B7" w14:textId="77777777" w:rsidR="00F34C7B" w:rsidRPr="001F151E" w:rsidRDefault="00F34C7B" w:rsidP="00F34C7B">
            <w:pPr>
              <w:rPr>
                <w:sz w:val="16"/>
                <w:szCs w:val="16"/>
              </w:rPr>
            </w:pPr>
          </w:p>
          <w:p w14:paraId="7C09EA1A" w14:textId="77777777" w:rsidR="00F34C7B" w:rsidRPr="001F151E" w:rsidRDefault="00F34C7B" w:rsidP="00F34C7B">
            <w:pPr>
              <w:rPr>
                <w:b/>
                <w:bCs/>
                <w:sz w:val="16"/>
                <w:szCs w:val="16"/>
              </w:rPr>
            </w:pPr>
            <w:r w:rsidRPr="001F151E">
              <w:rPr>
                <w:b/>
                <w:bCs/>
                <w:sz w:val="16"/>
                <w:szCs w:val="16"/>
              </w:rPr>
              <w:t>Partner:</w:t>
            </w:r>
          </w:p>
          <w:p w14:paraId="4B9C1DD4" w14:textId="0B593FC5" w:rsidR="00F34C7B" w:rsidRPr="001F151E" w:rsidRDefault="00F34C7B" w:rsidP="00F34C7B">
            <w:pPr>
              <w:rPr>
                <w:sz w:val="16"/>
                <w:szCs w:val="16"/>
              </w:rPr>
            </w:pPr>
            <w:r w:rsidRPr="001F151E">
              <w:rPr>
                <w:sz w:val="16"/>
                <w:szCs w:val="16"/>
              </w:rPr>
              <w:t>World Bank, GIZ, AFD</w:t>
            </w:r>
          </w:p>
        </w:tc>
      </w:tr>
      <w:tr w:rsidR="00F34C7B" w:rsidRPr="001F151E" w14:paraId="34DECDBB" w14:textId="77777777" w:rsidTr="002D4D5C">
        <w:trPr>
          <w:trHeight w:val="20"/>
        </w:trPr>
        <w:tc>
          <w:tcPr>
            <w:tcW w:w="1976" w:type="dxa"/>
            <w:vMerge/>
            <w:tcBorders>
              <w:left w:val="single" w:sz="4" w:space="0" w:color="auto"/>
              <w:bottom w:val="single" w:sz="4" w:space="0" w:color="auto"/>
              <w:right w:val="single" w:sz="4" w:space="0" w:color="auto"/>
            </w:tcBorders>
            <w:shd w:val="clear" w:color="auto" w:fill="auto"/>
          </w:tcPr>
          <w:p w14:paraId="2900404C" w14:textId="77777777" w:rsidR="00F34C7B" w:rsidRPr="001F151E" w:rsidRDefault="00F34C7B" w:rsidP="00F34C7B">
            <w:pPr>
              <w:pStyle w:val="T-bold"/>
            </w:pP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14:paraId="09AF7BA7" w14:textId="2184D8F9" w:rsidR="00F34C7B" w:rsidRPr="001F151E" w:rsidRDefault="00F34C7B" w:rsidP="00F34C7B">
            <w:pPr>
              <w:pStyle w:val="T-number"/>
              <w:rPr>
                <w:rFonts w:eastAsia="Times New Roman"/>
                <w:bCs/>
              </w:rPr>
            </w:pPr>
            <w:r w:rsidRPr="001F151E">
              <w:rPr>
                <w:rFonts w:eastAsia="Times New Roman"/>
                <w:bCs/>
              </w:rPr>
              <w:t>Building capacities of GDD, PIM and other staff to enhance the understanding of green financing and other alternative financing instruments and respective conditions and requirements.</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2C27798E" w14:textId="5DEDD9E0" w:rsidR="00F34C7B" w:rsidRPr="001F151E" w:rsidRDefault="00F34C7B" w:rsidP="00F34C7B">
            <w:pPr>
              <w:pStyle w:val="T-bold"/>
              <w:jc w:val="center"/>
              <w:rPr>
                <w:b w:val="0"/>
                <w:bCs w:val="0"/>
              </w:rPr>
            </w:pPr>
            <w:r w:rsidRPr="001F151E">
              <w:rPr>
                <w:b w:val="0"/>
              </w:rPr>
              <w:t>Q3 2024</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016F05CC" w14:textId="08CC5E0A" w:rsidR="00F34C7B" w:rsidRPr="001F151E" w:rsidRDefault="00F34C7B" w:rsidP="00F34C7B">
            <w:pPr>
              <w:pStyle w:val="T-bold"/>
              <w:jc w:val="center"/>
              <w:rPr>
                <w:b w:val="0"/>
                <w:bCs w:val="0"/>
              </w:rPr>
            </w:pPr>
            <w:r w:rsidRPr="001F151E">
              <w:rPr>
                <w:b w:val="0"/>
              </w:rPr>
              <w:t>Q4 2025</w:t>
            </w:r>
          </w:p>
        </w:tc>
        <w:tc>
          <w:tcPr>
            <w:tcW w:w="1742" w:type="dxa"/>
            <w:vMerge/>
            <w:tcBorders>
              <w:left w:val="single" w:sz="4" w:space="0" w:color="auto"/>
              <w:bottom w:val="single" w:sz="4" w:space="0" w:color="auto"/>
              <w:right w:val="single" w:sz="4" w:space="0" w:color="auto"/>
            </w:tcBorders>
            <w:shd w:val="clear" w:color="auto" w:fill="auto"/>
          </w:tcPr>
          <w:p w14:paraId="1B3E01FB" w14:textId="77777777" w:rsidR="00F34C7B" w:rsidRPr="001F151E" w:rsidRDefault="00F34C7B" w:rsidP="00F34C7B">
            <w:pPr>
              <w:pStyle w:val="T-bold"/>
            </w:pPr>
          </w:p>
        </w:tc>
      </w:tr>
    </w:tbl>
    <w:p w14:paraId="0B74C7A2" w14:textId="77777777" w:rsidR="00402D1B" w:rsidRPr="001F151E" w:rsidRDefault="00402D1B" w:rsidP="00402D1B">
      <w:pPr>
        <w:pStyle w:val="N-Bullet"/>
        <w:numPr>
          <w:ilvl w:val="0"/>
          <w:numId w:val="0"/>
        </w:numPr>
        <w:rPr>
          <w:lang w:val="en-GB"/>
        </w:rPr>
      </w:pPr>
    </w:p>
    <w:p w14:paraId="38B2F2B7" w14:textId="77777777" w:rsidR="00402D1B" w:rsidRPr="001F151E" w:rsidRDefault="00402D1B" w:rsidP="00402D1B">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4F380A" w:rsidRPr="001F151E" w14:paraId="3FAC9AE3" w14:textId="77777777" w:rsidTr="002B7FF8">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9F230B" w14:textId="323B8B92" w:rsidR="004F380A" w:rsidRPr="001F151E" w:rsidRDefault="004F380A" w:rsidP="002B7FF8">
            <w:pPr>
              <w:pStyle w:val="T-bold"/>
              <w:spacing w:line="200" w:lineRule="exact"/>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104F56" w14:textId="77777777" w:rsidR="004F380A" w:rsidRPr="001F151E" w:rsidRDefault="004F380A" w:rsidP="002B7FF8">
            <w:pPr>
              <w:pStyle w:val="T-bold"/>
              <w:spacing w:line="200" w:lineRule="exact"/>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07747" w14:textId="77777777" w:rsidR="004F380A" w:rsidRPr="001F151E" w:rsidRDefault="004F380A" w:rsidP="002B7FF8">
            <w:pPr>
              <w:pStyle w:val="T-bold"/>
              <w:spacing w:line="200" w:lineRule="exact"/>
              <w:jc w:val="center"/>
            </w:pPr>
            <w:r w:rsidRPr="001F151E">
              <w:t>Target Value</w:t>
            </w:r>
          </w:p>
        </w:tc>
      </w:tr>
      <w:tr w:rsidR="004F380A" w:rsidRPr="001F151E" w14:paraId="3BC6263A" w14:textId="77777777" w:rsidTr="002B7FF8">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BBEC3DD" w14:textId="77777777" w:rsidR="004F380A" w:rsidRPr="001F151E" w:rsidRDefault="004F380A" w:rsidP="002B7FF8">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06CE77A" w14:textId="77777777" w:rsidR="004F380A" w:rsidRPr="001F151E" w:rsidRDefault="004F380A" w:rsidP="002B7FF8">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90644" w14:textId="77777777" w:rsidR="004F380A" w:rsidRPr="001F151E" w:rsidRDefault="004F380A" w:rsidP="002B7FF8">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23B76" w14:textId="77777777" w:rsidR="004F380A" w:rsidRPr="001F151E" w:rsidRDefault="004F380A" w:rsidP="002B7FF8">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01921" w14:textId="77777777" w:rsidR="004F380A" w:rsidRPr="001F151E" w:rsidRDefault="004F380A" w:rsidP="002B7FF8">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0B2BF" w14:textId="77777777" w:rsidR="004F380A" w:rsidRPr="001F151E" w:rsidRDefault="004F380A" w:rsidP="002B7FF8">
            <w:pPr>
              <w:pStyle w:val="T-bold"/>
              <w:spacing w:line="200" w:lineRule="exact"/>
              <w:jc w:val="center"/>
            </w:pPr>
            <w:r w:rsidRPr="001F151E">
              <w:t>2026</w:t>
            </w:r>
          </w:p>
        </w:tc>
      </w:tr>
      <w:tr w:rsidR="00E57593" w:rsidRPr="001F151E" w14:paraId="788A5ED1" w14:textId="77777777" w:rsidTr="002B7FF8">
        <w:tc>
          <w:tcPr>
            <w:tcW w:w="3114" w:type="dxa"/>
            <w:tcBorders>
              <w:top w:val="single" w:sz="4" w:space="0" w:color="auto"/>
              <w:left w:val="single" w:sz="4" w:space="0" w:color="auto"/>
              <w:bottom w:val="single" w:sz="4" w:space="0" w:color="auto"/>
              <w:right w:val="single" w:sz="4" w:space="0" w:color="auto"/>
            </w:tcBorders>
          </w:tcPr>
          <w:p w14:paraId="24334A23" w14:textId="4AAD471F" w:rsidR="00E57593" w:rsidRPr="001F151E" w:rsidRDefault="00E57593" w:rsidP="00B45892">
            <w:pPr>
              <w:pStyle w:val="ListParagraph"/>
              <w:numPr>
                <w:ilvl w:val="0"/>
                <w:numId w:val="39"/>
              </w:numPr>
              <w:spacing w:line="200" w:lineRule="exact"/>
              <w:rPr>
                <w:rFonts w:eastAsia="Times New Roman"/>
                <w:bCs/>
                <w:sz w:val="16"/>
                <w:szCs w:val="16"/>
              </w:rPr>
            </w:pPr>
            <w:r w:rsidRPr="001F151E">
              <w:rPr>
                <w:rFonts w:eastAsia="Times New Roman"/>
                <w:bCs/>
                <w:sz w:val="16"/>
                <w:szCs w:val="16"/>
              </w:rPr>
              <w:t>Annual Borrowing Plan and DMS Monitoring Report prepared and published</w:t>
            </w:r>
          </w:p>
        </w:tc>
        <w:tc>
          <w:tcPr>
            <w:tcW w:w="1180" w:type="dxa"/>
            <w:tcBorders>
              <w:top w:val="single" w:sz="4" w:space="0" w:color="auto"/>
              <w:left w:val="single" w:sz="4" w:space="0" w:color="auto"/>
              <w:bottom w:val="single" w:sz="4" w:space="0" w:color="auto"/>
              <w:right w:val="single" w:sz="4" w:space="0" w:color="auto"/>
            </w:tcBorders>
            <w:vAlign w:val="center"/>
          </w:tcPr>
          <w:p w14:paraId="5EAFE63F" w14:textId="6BD3E4F4" w:rsidR="00E57593" w:rsidRPr="001F151E" w:rsidRDefault="004F6BF1" w:rsidP="004D6AD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1D20EE4F" w14:textId="7DF0CAFA" w:rsidR="00E57593" w:rsidRPr="001F151E" w:rsidRDefault="00EB1BF0" w:rsidP="004D6ADA">
            <w:pPr>
              <w:pStyle w:val="T-normal"/>
              <w:jc w:val="center"/>
            </w:pPr>
            <w:r>
              <w:t xml:space="preserve">Documents published in the MoF </w:t>
            </w:r>
            <w:r w:rsidR="00E57593" w:rsidRPr="001F151E">
              <w:t>Website</w:t>
            </w:r>
          </w:p>
        </w:tc>
        <w:tc>
          <w:tcPr>
            <w:tcW w:w="1180" w:type="dxa"/>
            <w:tcBorders>
              <w:top w:val="single" w:sz="4" w:space="0" w:color="auto"/>
              <w:left w:val="single" w:sz="4" w:space="0" w:color="auto"/>
              <w:bottom w:val="single" w:sz="4" w:space="0" w:color="auto"/>
              <w:right w:val="single" w:sz="4" w:space="0" w:color="auto"/>
            </w:tcBorders>
            <w:vAlign w:val="center"/>
          </w:tcPr>
          <w:p w14:paraId="13630400" w14:textId="592ED67A" w:rsidR="00E57593" w:rsidRPr="001F151E" w:rsidRDefault="00E57593" w:rsidP="004D6ADA">
            <w:pPr>
              <w:pStyle w:val="T-normal"/>
              <w:jc w:val="center"/>
            </w:pPr>
            <w:r w:rsidRPr="001F151E">
              <w:t>Documen</w:t>
            </w:r>
            <w:r w:rsidR="00EB1BF0">
              <w:t>ts published in the MoF</w:t>
            </w:r>
            <w:r w:rsidRPr="001F151E">
              <w:t xml:space="preserve"> Website</w:t>
            </w:r>
          </w:p>
        </w:tc>
        <w:tc>
          <w:tcPr>
            <w:tcW w:w="1181" w:type="dxa"/>
            <w:tcBorders>
              <w:top w:val="single" w:sz="4" w:space="0" w:color="auto"/>
              <w:left w:val="single" w:sz="4" w:space="0" w:color="auto"/>
              <w:bottom w:val="single" w:sz="4" w:space="0" w:color="auto"/>
              <w:right w:val="single" w:sz="4" w:space="0" w:color="auto"/>
            </w:tcBorders>
          </w:tcPr>
          <w:p w14:paraId="589D296C" w14:textId="5A855BCB" w:rsidR="00E57593" w:rsidRPr="001F151E" w:rsidRDefault="00EB1BF0" w:rsidP="004D6ADA">
            <w:pPr>
              <w:pStyle w:val="T-normal"/>
              <w:jc w:val="center"/>
            </w:pPr>
            <w:r>
              <w:t>Documents published in the MoF</w:t>
            </w:r>
            <w:r w:rsidR="00E57593" w:rsidRPr="001F151E">
              <w:t xml:space="preserve"> Website</w:t>
            </w:r>
          </w:p>
        </w:tc>
        <w:tc>
          <w:tcPr>
            <w:tcW w:w="1181" w:type="dxa"/>
            <w:tcBorders>
              <w:top w:val="single" w:sz="4" w:space="0" w:color="auto"/>
              <w:left w:val="single" w:sz="4" w:space="0" w:color="auto"/>
              <w:bottom w:val="single" w:sz="4" w:space="0" w:color="auto"/>
              <w:right w:val="single" w:sz="4" w:space="0" w:color="auto"/>
            </w:tcBorders>
          </w:tcPr>
          <w:p w14:paraId="204B01A2" w14:textId="56525E3E" w:rsidR="00E57593" w:rsidRPr="00214392" w:rsidRDefault="00EB1BF0" w:rsidP="004D6ADA">
            <w:pPr>
              <w:pStyle w:val="T-normal"/>
              <w:jc w:val="center"/>
            </w:pPr>
            <w:r>
              <w:t>Documents published in the MoF</w:t>
            </w:r>
            <w:r w:rsidR="00E57593" w:rsidRPr="001F151E">
              <w:t xml:space="preserve"> Website</w:t>
            </w:r>
          </w:p>
        </w:tc>
      </w:tr>
      <w:tr w:rsidR="004F380A" w:rsidRPr="001F151E" w14:paraId="16E9D3B9" w14:textId="77777777" w:rsidTr="002B7FF8">
        <w:tc>
          <w:tcPr>
            <w:tcW w:w="3114" w:type="dxa"/>
            <w:tcBorders>
              <w:top w:val="single" w:sz="4" w:space="0" w:color="auto"/>
              <w:left w:val="single" w:sz="4" w:space="0" w:color="auto"/>
              <w:bottom w:val="single" w:sz="4" w:space="0" w:color="auto"/>
              <w:right w:val="single" w:sz="4" w:space="0" w:color="auto"/>
            </w:tcBorders>
          </w:tcPr>
          <w:p w14:paraId="3BB54009" w14:textId="3030D950" w:rsidR="004F380A" w:rsidRPr="001F151E" w:rsidRDefault="004F380A" w:rsidP="00B45892">
            <w:pPr>
              <w:pStyle w:val="ListParagraph"/>
              <w:numPr>
                <w:ilvl w:val="0"/>
                <w:numId w:val="39"/>
              </w:numPr>
              <w:spacing w:line="200" w:lineRule="exact"/>
              <w:rPr>
                <w:sz w:val="16"/>
                <w:szCs w:val="16"/>
              </w:rPr>
            </w:pPr>
            <w:r w:rsidRPr="001F151E">
              <w:rPr>
                <w:rFonts w:eastAsia="Times New Roman"/>
                <w:bCs/>
                <w:sz w:val="16"/>
                <w:szCs w:val="16"/>
              </w:rPr>
              <w:t>Comprehensive Credit Risk Assessment (CRA) framework in place</w:t>
            </w:r>
            <w:r w:rsidR="00020B30" w:rsidRPr="001F151E">
              <w:rPr>
                <w:rFonts w:eastAsia="Times New Roman"/>
                <w:bCs/>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33665F41" w14:textId="64162F27" w:rsidR="004F380A" w:rsidRPr="001F151E" w:rsidRDefault="004F380A" w:rsidP="004D6AD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79610D1D" w14:textId="0CF03D18" w:rsidR="004F380A" w:rsidRPr="001F151E" w:rsidRDefault="004F380A" w:rsidP="004D6ADA">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1B40FCD6" w14:textId="7764762A" w:rsidR="004F380A" w:rsidRPr="001F151E" w:rsidRDefault="004F380A" w:rsidP="004D6AD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tcPr>
          <w:p w14:paraId="2730556A" w14:textId="6E43CCE6" w:rsidR="004F380A" w:rsidRPr="001F151E" w:rsidRDefault="006D79D0" w:rsidP="004D6AD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tcPr>
          <w:p w14:paraId="04499BC7" w14:textId="606DCEF1" w:rsidR="004F380A" w:rsidRPr="001F151E" w:rsidRDefault="00C16473" w:rsidP="004D6ADA">
            <w:pPr>
              <w:pStyle w:val="T-normal"/>
              <w:jc w:val="center"/>
            </w:pPr>
            <w:r w:rsidRPr="001F151E">
              <w:t xml:space="preserve">CRA framework developed and </w:t>
            </w:r>
            <w:r w:rsidR="004D6ADA" w:rsidRPr="001F151E">
              <w:t>implemented</w:t>
            </w:r>
            <w:r w:rsidRPr="00214392">
              <w:footnoteReference w:id="59"/>
            </w:r>
          </w:p>
        </w:tc>
      </w:tr>
      <w:tr w:rsidR="004F380A" w:rsidRPr="001F151E" w14:paraId="386C061B" w14:textId="77777777" w:rsidTr="002B7FF8">
        <w:trPr>
          <w:trHeight w:val="21"/>
        </w:trPr>
        <w:tc>
          <w:tcPr>
            <w:tcW w:w="3114" w:type="dxa"/>
            <w:tcBorders>
              <w:top w:val="single" w:sz="4" w:space="0" w:color="auto"/>
              <w:left w:val="single" w:sz="4" w:space="0" w:color="auto"/>
              <w:bottom w:val="single" w:sz="4" w:space="0" w:color="auto"/>
              <w:right w:val="single" w:sz="4" w:space="0" w:color="auto"/>
            </w:tcBorders>
          </w:tcPr>
          <w:p w14:paraId="236C1D0D" w14:textId="5A5EFC0B" w:rsidR="004F380A" w:rsidRPr="001F151E" w:rsidRDefault="004F380A" w:rsidP="00B45892">
            <w:pPr>
              <w:pStyle w:val="ListParagraph"/>
              <w:numPr>
                <w:ilvl w:val="0"/>
                <w:numId w:val="39"/>
              </w:numPr>
              <w:spacing w:line="200" w:lineRule="exact"/>
              <w:rPr>
                <w:sz w:val="16"/>
                <w:szCs w:val="16"/>
              </w:rPr>
            </w:pPr>
            <w:r w:rsidRPr="001F151E">
              <w:rPr>
                <w:sz w:val="16"/>
                <w:szCs w:val="16"/>
              </w:rPr>
              <w:t>Concept note on green / alternative financing instruments developed</w:t>
            </w:r>
            <w:r w:rsidR="00020B30" w:rsidRPr="001F151E">
              <w:rPr>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05A34216" w14:textId="4CC89B0D" w:rsidR="004F380A" w:rsidRPr="001F151E" w:rsidRDefault="00460F7E" w:rsidP="004D6AD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632AE89B" w14:textId="46F10E13" w:rsidR="004F380A" w:rsidRPr="001F151E" w:rsidRDefault="00460F7E" w:rsidP="004D6ADA">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002A7F5E" w14:textId="08F8210B" w:rsidR="004F380A" w:rsidRPr="001F151E" w:rsidRDefault="00E57593" w:rsidP="004D6ADA">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7964F2B1" w14:textId="32185DD1" w:rsidR="004F380A" w:rsidRPr="001F151E" w:rsidRDefault="00E57593" w:rsidP="004D6ADA">
            <w:pPr>
              <w:pStyle w:val="T-normal"/>
              <w:jc w:val="center"/>
            </w:pPr>
            <w:r w:rsidRPr="001F151E">
              <w:t>Assessment Report prepared</w:t>
            </w:r>
          </w:p>
        </w:tc>
        <w:tc>
          <w:tcPr>
            <w:tcW w:w="1181" w:type="dxa"/>
            <w:tcBorders>
              <w:top w:val="single" w:sz="4" w:space="0" w:color="auto"/>
              <w:left w:val="single" w:sz="4" w:space="0" w:color="auto"/>
              <w:bottom w:val="single" w:sz="4" w:space="0" w:color="auto"/>
              <w:right w:val="single" w:sz="4" w:space="0" w:color="auto"/>
            </w:tcBorders>
            <w:vAlign w:val="center"/>
          </w:tcPr>
          <w:p w14:paraId="30BF5D53" w14:textId="79FBD288" w:rsidR="004F380A" w:rsidRPr="001F151E" w:rsidRDefault="00460F7E" w:rsidP="004D6ADA">
            <w:pPr>
              <w:pStyle w:val="T-normal"/>
              <w:jc w:val="center"/>
            </w:pPr>
            <w:r w:rsidRPr="001F151E">
              <w:t>-</w:t>
            </w:r>
          </w:p>
        </w:tc>
      </w:tr>
    </w:tbl>
    <w:p w14:paraId="436FF6C0" w14:textId="77777777" w:rsidR="004F380A" w:rsidRPr="001F151E" w:rsidRDefault="004F380A" w:rsidP="00402D1B">
      <w:pPr>
        <w:pStyle w:val="H5"/>
        <w:rPr>
          <w:lang w:val="en-GB"/>
        </w:rPr>
      </w:pPr>
    </w:p>
    <w:p w14:paraId="67A50852" w14:textId="77777777" w:rsidR="002C447B" w:rsidRPr="001F151E" w:rsidRDefault="002C447B" w:rsidP="002C447B">
      <w:pPr>
        <w:rPr>
          <w:lang w:val="en-GB"/>
        </w:rPr>
      </w:pPr>
    </w:p>
    <w:p w14:paraId="3DFE64F7" w14:textId="5CDF5B0C" w:rsidR="00801FD9" w:rsidRPr="001F151E" w:rsidRDefault="00801FD9" w:rsidP="00801FD9">
      <w:pPr>
        <w:pStyle w:val="Heading2"/>
        <w:rPr>
          <w:rFonts w:eastAsiaTheme="minorHAnsi"/>
          <w:lang w:val="en-GB"/>
        </w:rPr>
      </w:pPr>
      <w:bookmarkStart w:id="52" w:name="_Toc152719056"/>
      <w:bookmarkStart w:id="53" w:name="_Toc163148031"/>
      <w:r w:rsidRPr="001F151E">
        <w:rPr>
          <w:rFonts w:eastAsiaTheme="minorHAnsi"/>
          <w:lang w:val="en-GB"/>
        </w:rPr>
        <w:t>Component 4.</w:t>
      </w:r>
      <w:r w:rsidR="00297283">
        <w:rPr>
          <w:rFonts w:eastAsiaTheme="minorHAnsi"/>
          <w:lang w:val="en-GB"/>
        </w:rPr>
        <w:t>5</w:t>
      </w:r>
      <w:r w:rsidRPr="001F151E">
        <w:rPr>
          <w:rFonts w:eastAsiaTheme="minorHAnsi"/>
          <w:lang w:val="en-GB"/>
        </w:rPr>
        <w:t xml:space="preserve"> Cash Management</w:t>
      </w:r>
      <w:bookmarkEnd w:id="52"/>
      <w:bookmarkEnd w:id="53"/>
    </w:p>
    <w:p w14:paraId="63743683" w14:textId="77777777" w:rsidR="00801FD9" w:rsidRPr="001F151E" w:rsidRDefault="00801FD9" w:rsidP="00801FD9">
      <w:pPr>
        <w:rPr>
          <w:lang w:val="en-GB"/>
        </w:rPr>
      </w:pPr>
    </w:p>
    <w:p w14:paraId="7C5C372C" w14:textId="77777777" w:rsidR="00801FD9" w:rsidRPr="001F151E" w:rsidRDefault="00801FD9" w:rsidP="00EA6F1D">
      <w:pPr>
        <w:pStyle w:val="H5"/>
        <w:spacing w:line="276" w:lineRule="auto"/>
        <w:jc w:val="both"/>
        <w:rPr>
          <w:lang w:val="en-GB"/>
        </w:rPr>
      </w:pPr>
      <w:r w:rsidRPr="001F151E">
        <w:rPr>
          <w:lang w:val="en-GB"/>
        </w:rPr>
        <w:t>Objective</w:t>
      </w:r>
    </w:p>
    <w:p w14:paraId="004A55B5" w14:textId="1D5D6B67" w:rsidR="00061B73" w:rsidRPr="001F151E" w:rsidRDefault="00497553" w:rsidP="00EA6F1D">
      <w:pPr>
        <w:spacing w:line="276" w:lineRule="auto"/>
        <w:jc w:val="both"/>
        <w:rPr>
          <w:lang w:val="en-GB"/>
        </w:rPr>
      </w:pPr>
      <w:r w:rsidRPr="001F151E">
        <w:rPr>
          <w:lang w:val="en-GB"/>
        </w:rPr>
        <w:t>The goal for 2030 is to have in place advanced cash planning and cash management systems</w:t>
      </w:r>
      <w:r w:rsidR="00186D8D" w:rsidRPr="001F151E">
        <w:rPr>
          <w:lang w:val="en-GB"/>
        </w:rPr>
        <w:t xml:space="preserve"> to ensure </w:t>
      </w:r>
      <w:r w:rsidR="00666537" w:rsidRPr="001F151E">
        <w:rPr>
          <w:lang w:val="en-GB"/>
        </w:rPr>
        <w:t>efficient and effective</w:t>
      </w:r>
      <w:r w:rsidR="00186D8D" w:rsidRPr="001F151E">
        <w:rPr>
          <w:lang w:val="en-GB"/>
        </w:rPr>
        <w:t xml:space="preserve"> treasury operations</w:t>
      </w:r>
      <w:r w:rsidR="00666537" w:rsidRPr="001F151E">
        <w:rPr>
          <w:lang w:val="en-GB"/>
        </w:rPr>
        <w:t>.</w:t>
      </w:r>
    </w:p>
    <w:p w14:paraId="78BD8F4A" w14:textId="77777777" w:rsidR="00801FD9" w:rsidRPr="001F151E" w:rsidRDefault="00801FD9" w:rsidP="00EA6F1D">
      <w:pPr>
        <w:spacing w:line="276" w:lineRule="auto"/>
        <w:jc w:val="both"/>
        <w:rPr>
          <w:lang w:val="en-GB"/>
        </w:rPr>
      </w:pPr>
    </w:p>
    <w:p w14:paraId="1B2EF0E9" w14:textId="77777777" w:rsidR="00801FD9" w:rsidRPr="001F151E" w:rsidRDefault="00801FD9" w:rsidP="00EA6F1D">
      <w:pPr>
        <w:pStyle w:val="H5"/>
        <w:spacing w:line="276" w:lineRule="auto"/>
        <w:jc w:val="both"/>
        <w:rPr>
          <w:lang w:val="en-GB"/>
        </w:rPr>
      </w:pPr>
      <w:r w:rsidRPr="001F151E">
        <w:rPr>
          <w:lang w:val="en-GB"/>
        </w:rPr>
        <w:t xml:space="preserve">Context </w:t>
      </w:r>
    </w:p>
    <w:p w14:paraId="72DCEB31" w14:textId="09E57E41" w:rsidR="00801FD9" w:rsidRPr="001F151E" w:rsidRDefault="00801FD9" w:rsidP="00EA6F1D">
      <w:pPr>
        <w:spacing w:line="276" w:lineRule="auto"/>
        <w:jc w:val="both"/>
        <w:rPr>
          <w:lang w:val="en-GB"/>
        </w:rPr>
      </w:pPr>
      <w:r w:rsidRPr="001F151E">
        <w:rPr>
          <w:lang w:val="en-GB"/>
        </w:rPr>
        <w:t>The cash flow forecasting process has been recently improved. Monthly cash flow forecasts are produced for 12 months ahead and daily forecasts are produced for the upcoming three months period. Budget plans received from spending entities and historical data are an input for the forecasts. In addition to the top-down forecasting approach, a pilot with three line ministries and the tax and custom authorities has been implemented to complement the forecast with bottom-up information. To improve the accuracy of forecasts and minimize deviations, a periodic assessment of the accuracy of the forecast is needed by the GDT</w:t>
      </w:r>
      <w:r w:rsidR="00EB1BF0">
        <w:rPr>
          <w:lang w:val="en-GB"/>
        </w:rPr>
        <w:t>reasury</w:t>
      </w:r>
      <w:r w:rsidRPr="001F151E">
        <w:rPr>
          <w:lang w:val="en-GB"/>
        </w:rPr>
        <w:t>.</w:t>
      </w:r>
      <w:r w:rsidRPr="001F151E">
        <w:rPr>
          <w:rStyle w:val="FootnoteReference"/>
          <w:lang w:val="en-GB"/>
        </w:rPr>
        <w:footnoteReference w:id="60"/>
      </w:r>
      <w:r w:rsidRPr="001F151E">
        <w:rPr>
          <w:lang w:val="en-GB"/>
        </w:rPr>
        <w:t xml:space="preserve"> Regarding cash management, a limited remuneration of cash balances in t</w:t>
      </w:r>
      <w:r w:rsidR="00EB1BF0">
        <w:rPr>
          <w:lang w:val="en-GB"/>
        </w:rPr>
        <w:t>he Treasury Single Account</w:t>
      </w:r>
      <w:r w:rsidRPr="001F151E">
        <w:rPr>
          <w:lang w:val="en-GB"/>
        </w:rPr>
        <w:t xml:space="preserve"> through deposits provided by the Bank of Albania is observed, as well as a loose cash buffer policy. </w:t>
      </w:r>
    </w:p>
    <w:p w14:paraId="20379AC2" w14:textId="77777777" w:rsidR="00801FD9" w:rsidRPr="001F151E" w:rsidRDefault="00801FD9" w:rsidP="00EA6F1D">
      <w:pPr>
        <w:spacing w:line="276" w:lineRule="auto"/>
        <w:jc w:val="both"/>
        <w:rPr>
          <w:lang w:val="en-GB"/>
        </w:rPr>
      </w:pPr>
    </w:p>
    <w:p w14:paraId="1038C3F2" w14:textId="77777777" w:rsidR="00801FD9" w:rsidRPr="001F151E" w:rsidRDefault="00801FD9" w:rsidP="00EA6F1D">
      <w:pPr>
        <w:pStyle w:val="H5"/>
        <w:spacing w:line="276" w:lineRule="auto"/>
        <w:jc w:val="both"/>
        <w:rPr>
          <w:lang w:val="en-GB"/>
        </w:rPr>
      </w:pPr>
      <w:r w:rsidRPr="001F151E">
        <w:rPr>
          <w:lang w:val="en-GB"/>
        </w:rPr>
        <w:t>Priorities</w:t>
      </w:r>
    </w:p>
    <w:p w14:paraId="6CC1C89E" w14:textId="0D3E6E6E" w:rsidR="00801FD9" w:rsidRPr="001F151E" w:rsidRDefault="00801FD9" w:rsidP="00EA6F1D">
      <w:pPr>
        <w:spacing w:line="276" w:lineRule="auto"/>
        <w:jc w:val="both"/>
        <w:rPr>
          <w:lang w:val="en-GB"/>
        </w:rPr>
      </w:pPr>
      <w:r w:rsidRPr="001F151E">
        <w:rPr>
          <w:lang w:val="en-GB"/>
        </w:rPr>
        <w:t>The priorit</w:t>
      </w:r>
      <w:r w:rsidR="00345F2D" w:rsidRPr="001F151E">
        <w:rPr>
          <w:lang w:val="en-GB"/>
        </w:rPr>
        <w:t>ies</w:t>
      </w:r>
      <w:r w:rsidRPr="001F151E">
        <w:rPr>
          <w:lang w:val="en-GB"/>
        </w:rPr>
        <w:t xml:space="preserve"> for the period 2023-2026 </w:t>
      </w:r>
      <w:r w:rsidR="00345F2D" w:rsidRPr="001F151E">
        <w:rPr>
          <w:lang w:val="en-GB"/>
        </w:rPr>
        <w:t>are</w:t>
      </w:r>
      <w:r w:rsidRPr="001F151E">
        <w:rPr>
          <w:lang w:val="en-GB"/>
        </w:rPr>
        <w:t>:</w:t>
      </w:r>
    </w:p>
    <w:p w14:paraId="613A4DF5" w14:textId="77777777" w:rsidR="00801FD9" w:rsidRPr="001F151E" w:rsidRDefault="00801FD9" w:rsidP="00B45892">
      <w:pPr>
        <w:pStyle w:val="N-Bullet"/>
        <w:numPr>
          <w:ilvl w:val="0"/>
          <w:numId w:val="54"/>
        </w:numPr>
        <w:spacing w:line="276" w:lineRule="auto"/>
        <w:jc w:val="both"/>
        <w:rPr>
          <w:lang w:val="en-GB"/>
        </w:rPr>
      </w:pPr>
      <w:r w:rsidRPr="001F151E">
        <w:rPr>
          <w:lang w:val="en-GB"/>
        </w:rPr>
        <w:t>Improve cash forecasting process.</w:t>
      </w:r>
    </w:p>
    <w:p w14:paraId="14CD93E3" w14:textId="77777777" w:rsidR="00801FD9" w:rsidRPr="001F151E" w:rsidRDefault="00801FD9" w:rsidP="00B45892">
      <w:pPr>
        <w:pStyle w:val="N-Bullet"/>
        <w:numPr>
          <w:ilvl w:val="0"/>
          <w:numId w:val="54"/>
        </w:numPr>
        <w:spacing w:line="276" w:lineRule="auto"/>
        <w:jc w:val="both"/>
        <w:rPr>
          <w:lang w:val="en-GB"/>
        </w:rPr>
      </w:pPr>
      <w:r w:rsidRPr="001F151E">
        <w:rPr>
          <w:lang w:val="en-GB"/>
        </w:rPr>
        <w:t>Establishing a comprehensive performance monitoring system for cash forecasting.</w:t>
      </w:r>
    </w:p>
    <w:p w14:paraId="2DAF23D0" w14:textId="77777777" w:rsidR="00801FD9" w:rsidRPr="001F151E" w:rsidRDefault="00801FD9" w:rsidP="00B45892">
      <w:pPr>
        <w:pStyle w:val="N-Bullet"/>
        <w:numPr>
          <w:ilvl w:val="0"/>
          <w:numId w:val="54"/>
        </w:numPr>
        <w:spacing w:line="276" w:lineRule="auto"/>
        <w:jc w:val="both"/>
        <w:rPr>
          <w:lang w:val="en-GB"/>
        </w:rPr>
      </w:pPr>
      <w:r w:rsidRPr="001F151E">
        <w:rPr>
          <w:lang w:val="en-GB"/>
        </w:rPr>
        <w:t>Enhancing cash management instruments.</w:t>
      </w:r>
    </w:p>
    <w:p w14:paraId="32FDACD1" w14:textId="77777777" w:rsidR="00801FD9" w:rsidRPr="001F151E" w:rsidRDefault="00801FD9" w:rsidP="00EA6F1D">
      <w:pPr>
        <w:spacing w:line="276" w:lineRule="auto"/>
        <w:jc w:val="both"/>
        <w:rPr>
          <w:lang w:val="en-GB"/>
        </w:rPr>
      </w:pPr>
    </w:p>
    <w:p w14:paraId="212E1CCF" w14:textId="77777777" w:rsidR="00153168" w:rsidRDefault="00153168">
      <w:pPr>
        <w:spacing w:after="160" w:line="259" w:lineRule="auto"/>
        <w:rPr>
          <w:b/>
          <w:bCs/>
          <w:color w:val="0070C0"/>
          <w:lang w:val="en-GB"/>
        </w:rPr>
      </w:pPr>
      <w:r>
        <w:rPr>
          <w:lang w:val="en-GB"/>
        </w:rPr>
        <w:br w:type="page"/>
      </w:r>
    </w:p>
    <w:p w14:paraId="48DBA7FD" w14:textId="18416E38" w:rsidR="00801FD9" w:rsidRPr="001F151E" w:rsidRDefault="00801FD9" w:rsidP="00801FD9">
      <w:pPr>
        <w:pStyle w:val="H5"/>
        <w:rPr>
          <w:lang w:val="en-GB"/>
        </w:rPr>
      </w:pPr>
      <w:r w:rsidRPr="001F151E">
        <w:rPr>
          <w:lang w:val="en-GB"/>
        </w:rPr>
        <w:lastRenderedPageBreak/>
        <w:t>Measures and activities</w:t>
      </w:r>
    </w:p>
    <w:tbl>
      <w:tblPr>
        <w:tblStyle w:val="TableGrid"/>
        <w:tblW w:w="5000" w:type="pct"/>
        <w:jc w:val="center"/>
        <w:tblLayout w:type="fixed"/>
        <w:tblCellMar>
          <w:top w:w="57" w:type="dxa"/>
          <w:left w:w="85" w:type="dxa"/>
          <w:bottom w:w="57" w:type="dxa"/>
          <w:right w:w="85" w:type="dxa"/>
        </w:tblCellMar>
        <w:tblLook w:val="04A0" w:firstRow="1" w:lastRow="0" w:firstColumn="1" w:lastColumn="0" w:noHBand="0" w:noVBand="1"/>
      </w:tblPr>
      <w:tblGrid>
        <w:gridCol w:w="1918"/>
        <w:gridCol w:w="3440"/>
        <w:gridCol w:w="1013"/>
        <w:gridCol w:w="964"/>
        <w:gridCol w:w="1671"/>
        <w:gridCol w:w="10"/>
      </w:tblGrid>
      <w:tr w:rsidR="00801FD9" w:rsidRPr="001F151E" w14:paraId="79EE54BD" w14:textId="77777777" w:rsidTr="00736F38">
        <w:trPr>
          <w:gridAfter w:val="1"/>
          <w:wAfter w:w="10" w:type="dxa"/>
          <w:trHeight w:val="287"/>
          <w:jc w:val="center"/>
        </w:trPr>
        <w:tc>
          <w:tcPr>
            <w:tcW w:w="1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C87B7D" w14:textId="77777777" w:rsidR="00801FD9" w:rsidRPr="001F151E" w:rsidRDefault="00801FD9">
            <w:pPr>
              <w:pStyle w:val="T-bold"/>
            </w:pPr>
            <w:r w:rsidRPr="001F151E">
              <w:t>Measure</w:t>
            </w:r>
          </w:p>
        </w:tc>
        <w:tc>
          <w:tcPr>
            <w:tcW w:w="3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6376F" w14:textId="77777777" w:rsidR="00801FD9" w:rsidRPr="001F151E" w:rsidRDefault="00801FD9">
            <w:pPr>
              <w:pStyle w:val="T-bold"/>
            </w:pPr>
            <w:r w:rsidRPr="001F151E">
              <w:t>Activity</w:t>
            </w:r>
          </w:p>
        </w:tc>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99309" w14:textId="77777777" w:rsidR="00801FD9" w:rsidRPr="001F151E" w:rsidRDefault="00801FD9">
            <w:pPr>
              <w:pStyle w:val="T-bold"/>
              <w:jc w:val="center"/>
            </w:pPr>
            <w:r w:rsidRPr="001F151E">
              <w:t>Start</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AA7E5" w14:textId="77777777" w:rsidR="00801FD9" w:rsidRPr="001F151E" w:rsidRDefault="00801FD9">
            <w:pPr>
              <w:pStyle w:val="T-bold"/>
              <w:jc w:val="center"/>
            </w:pPr>
            <w:r w:rsidRPr="001F151E">
              <w:t>End</w:t>
            </w:r>
          </w:p>
        </w:tc>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57DE0C" w14:textId="77777777" w:rsidR="00801FD9" w:rsidRPr="001F151E" w:rsidRDefault="00801FD9">
            <w:pPr>
              <w:pStyle w:val="T-bold"/>
            </w:pPr>
            <w:r w:rsidRPr="001F151E">
              <w:t>Stakeholders</w:t>
            </w:r>
          </w:p>
        </w:tc>
      </w:tr>
      <w:tr w:rsidR="00801FD9" w:rsidRPr="001F151E" w14:paraId="28107FBD" w14:textId="77777777" w:rsidTr="00736F38">
        <w:trPr>
          <w:gridAfter w:val="1"/>
          <w:wAfter w:w="10" w:type="dxa"/>
          <w:trHeight w:val="20"/>
          <w:jc w:val="center"/>
        </w:trPr>
        <w:tc>
          <w:tcPr>
            <w:tcW w:w="1918" w:type="dxa"/>
            <w:vMerge w:val="restart"/>
            <w:tcBorders>
              <w:top w:val="single" w:sz="4" w:space="0" w:color="auto"/>
              <w:left w:val="single" w:sz="4" w:space="0" w:color="auto"/>
              <w:bottom w:val="single" w:sz="4" w:space="0" w:color="auto"/>
              <w:right w:val="single" w:sz="4" w:space="0" w:color="auto"/>
            </w:tcBorders>
          </w:tcPr>
          <w:p w14:paraId="4735C375" w14:textId="7E2359A5" w:rsidR="00801FD9" w:rsidRPr="001F151E" w:rsidRDefault="00801FD9">
            <w:pPr>
              <w:pStyle w:val="EcorysBody"/>
              <w:rPr>
                <w:rFonts w:ascii="Arial" w:hAnsi="Arial" w:cs="Arial"/>
                <w:b/>
                <w:sz w:val="16"/>
                <w:szCs w:val="16"/>
              </w:rPr>
            </w:pPr>
            <w:r w:rsidRPr="001F151E">
              <w:rPr>
                <w:rFonts w:ascii="Arial" w:hAnsi="Arial" w:cs="Arial"/>
                <w:b/>
                <w:sz w:val="16"/>
                <w:szCs w:val="16"/>
              </w:rPr>
              <w:t>Measure 4.</w:t>
            </w:r>
            <w:r w:rsidR="00297283">
              <w:rPr>
                <w:rFonts w:ascii="Arial" w:hAnsi="Arial" w:cs="Arial"/>
                <w:b/>
                <w:sz w:val="16"/>
                <w:szCs w:val="16"/>
              </w:rPr>
              <w:t>5</w:t>
            </w:r>
            <w:r w:rsidRPr="001F151E">
              <w:rPr>
                <w:rFonts w:ascii="Arial" w:hAnsi="Arial" w:cs="Arial"/>
                <w:b/>
                <w:sz w:val="16"/>
                <w:szCs w:val="16"/>
              </w:rPr>
              <w:t>.1 Improve cash forecasting process</w:t>
            </w:r>
          </w:p>
          <w:p w14:paraId="74982F73" w14:textId="77777777" w:rsidR="00801FD9" w:rsidRPr="001F151E" w:rsidRDefault="00801FD9">
            <w:pPr>
              <w:pStyle w:val="EcorysBody"/>
              <w:rPr>
                <w:rFonts w:ascii="Arial" w:eastAsia="Times New Roman" w:hAnsi="Arial" w:cs="Arial"/>
                <w:b/>
                <w:bCs/>
                <w:sz w:val="16"/>
                <w:szCs w:val="16"/>
              </w:rPr>
            </w:pPr>
          </w:p>
        </w:tc>
        <w:tc>
          <w:tcPr>
            <w:tcW w:w="3440" w:type="dxa"/>
            <w:tcBorders>
              <w:top w:val="single" w:sz="4" w:space="0" w:color="auto"/>
              <w:left w:val="single" w:sz="4" w:space="0" w:color="auto"/>
              <w:bottom w:val="single" w:sz="4" w:space="0" w:color="auto"/>
              <w:right w:val="single" w:sz="4" w:space="0" w:color="auto"/>
            </w:tcBorders>
            <w:hideMark/>
          </w:tcPr>
          <w:p w14:paraId="0D6147B7" w14:textId="31D40F36" w:rsidR="00801FD9" w:rsidRPr="001F151E" w:rsidRDefault="00801FD9" w:rsidP="00B45892">
            <w:pPr>
              <w:pStyle w:val="ListParagraph"/>
              <w:numPr>
                <w:ilvl w:val="0"/>
                <w:numId w:val="60"/>
              </w:numPr>
              <w:autoSpaceDE w:val="0"/>
              <w:autoSpaceDN w:val="0"/>
              <w:adjustRightInd w:val="0"/>
              <w:rPr>
                <w:rFonts w:eastAsia="Times New Roman"/>
                <w:bCs/>
                <w:sz w:val="16"/>
                <w:szCs w:val="16"/>
              </w:rPr>
            </w:pPr>
            <w:r w:rsidRPr="001F151E">
              <w:rPr>
                <w:rFonts w:eastAsia="Times New Roman"/>
                <w:bCs/>
                <w:sz w:val="16"/>
                <w:szCs w:val="16"/>
              </w:rPr>
              <w:t xml:space="preserve">Revise </w:t>
            </w:r>
            <w:r w:rsidR="0033496F" w:rsidRPr="001F151E">
              <w:rPr>
                <w:rFonts w:eastAsia="Times New Roman"/>
                <w:bCs/>
                <w:sz w:val="16"/>
                <w:szCs w:val="16"/>
              </w:rPr>
              <w:t xml:space="preserve">the process of preparing and submission of treasury plans by Budget Institutions.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8F18C" w14:textId="08D3C295" w:rsidR="00801FD9" w:rsidRPr="001F151E" w:rsidRDefault="000B6AD4" w:rsidP="008A1EB6">
            <w:pPr>
              <w:jc w:val="center"/>
              <w:rPr>
                <w:sz w:val="16"/>
                <w:szCs w:val="16"/>
              </w:rPr>
            </w:pPr>
            <w:r w:rsidRPr="001F151E">
              <w:rPr>
                <w:sz w:val="16"/>
                <w:szCs w:val="16"/>
              </w:rPr>
              <w:t xml:space="preserve">Q1 </w:t>
            </w:r>
            <w:r w:rsidR="00801FD9" w:rsidRPr="001F151E">
              <w:rPr>
                <w:sz w:val="16"/>
                <w:szCs w:val="16"/>
              </w:rPr>
              <w:t>2024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A277F4C" w14:textId="2B84C237" w:rsidR="00801FD9" w:rsidRPr="001F151E" w:rsidRDefault="000B6AD4" w:rsidP="008A1EB6">
            <w:pPr>
              <w:jc w:val="center"/>
              <w:rPr>
                <w:sz w:val="16"/>
                <w:szCs w:val="16"/>
              </w:rPr>
            </w:pPr>
            <w:r w:rsidRPr="001F151E">
              <w:rPr>
                <w:sz w:val="16"/>
                <w:szCs w:val="16"/>
              </w:rPr>
              <w:t>Q4 2026</w:t>
            </w:r>
          </w:p>
        </w:tc>
        <w:tc>
          <w:tcPr>
            <w:tcW w:w="1671" w:type="dxa"/>
            <w:vMerge w:val="restart"/>
            <w:tcBorders>
              <w:top w:val="single" w:sz="4" w:space="0" w:color="auto"/>
              <w:left w:val="single" w:sz="4" w:space="0" w:color="auto"/>
              <w:bottom w:val="single" w:sz="4" w:space="0" w:color="auto"/>
              <w:right w:val="single" w:sz="4" w:space="0" w:color="auto"/>
            </w:tcBorders>
          </w:tcPr>
          <w:p w14:paraId="184B4E9E" w14:textId="77777777" w:rsidR="00801FD9" w:rsidRPr="001F151E" w:rsidRDefault="00801FD9">
            <w:pPr>
              <w:rPr>
                <w:b/>
                <w:bCs/>
                <w:sz w:val="16"/>
                <w:szCs w:val="16"/>
              </w:rPr>
            </w:pPr>
            <w:r w:rsidRPr="001F151E">
              <w:rPr>
                <w:b/>
                <w:bCs/>
                <w:sz w:val="16"/>
                <w:szCs w:val="16"/>
              </w:rPr>
              <w:t>Responsible entity:</w:t>
            </w:r>
          </w:p>
          <w:p w14:paraId="1C13CC3B" w14:textId="345FCFBF" w:rsidR="00801FD9" w:rsidRPr="001F151E" w:rsidRDefault="00EB1BF0">
            <w:pPr>
              <w:rPr>
                <w:sz w:val="16"/>
                <w:szCs w:val="16"/>
              </w:rPr>
            </w:pPr>
            <w:r>
              <w:rPr>
                <w:sz w:val="16"/>
                <w:szCs w:val="16"/>
              </w:rPr>
              <w:t>GDTreasury</w:t>
            </w:r>
            <w:r w:rsidR="00801FD9" w:rsidRPr="001F151E">
              <w:rPr>
                <w:sz w:val="16"/>
                <w:szCs w:val="16"/>
              </w:rPr>
              <w:t xml:space="preserve"> (lead)</w:t>
            </w:r>
            <w:r w:rsidR="0033496F" w:rsidRPr="001F151E">
              <w:rPr>
                <w:sz w:val="16"/>
                <w:szCs w:val="16"/>
              </w:rPr>
              <w:t>, CMU</w:t>
            </w:r>
            <w:r w:rsidR="00801FD9" w:rsidRPr="001F151E">
              <w:rPr>
                <w:sz w:val="16"/>
                <w:szCs w:val="16"/>
              </w:rPr>
              <w:t xml:space="preserve"> </w:t>
            </w:r>
          </w:p>
          <w:p w14:paraId="3E8EBC30" w14:textId="77777777" w:rsidR="00801FD9" w:rsidRPr="001F151E" w:rsidRDefault="00801FD9">
            <w:pPr>
              <w:rPr>
                <w:sz w:val="16"/>
                <w:szCs w:val="16"/>
              </w:rPr>
            </w:pPr>
          </w:p>
          <w:p w14:paraId="04D66597" w14:textId="77777777" w:rsidR="00801FD9" w:rsidRPr="001F151E" w:rsidRDefault="00801FD9">
            <w:pPr>
              <w:rPr>
                <w:b/>
                <w:bCs/>
                <w:sz w:val="16"/>
                <w:szCs w:val="16"/>
              </w:rPr>
            </w:pPr>
            <w:r w:rsidRPr="001F151E">
              <w:rPr>
                <w:b/>
                <w:bCs/>
                <w:sz w:val="16"/>
                <w:szCs w:val="16"/>
              </w:rPr>
              <w:t>Partner:</w:t>
            </w:r>
          </w:p>
          <w:p w14:paraId="76856AD9" w14:textId="77777777" w:rsidR="00801FD9" w:rsidRDefault="00801FD9">
            <w:pPr>
              <w:rPr>
                <w:sz w:val="16"/>
                <w:szCs w:val="16"/>
              </w:rPr>
            </w:pPr>
            <w:r w:rsidRPr="001F151E">
              <w:rPr>
                <w:sz w:val="16"/>
                <w:szCs w:val="16"/>
              </w:rPr>
              <w:t xml:space="preserve">BI, </w:t>
            </w:r>
            <w:r w:rsidR="00FB6C41" w:rsidRPr="001F151E">
              <w:rPr>
                <w:sz w:val="16"/>
                <w:szCs w:val="16"/>
              </w:rPr>
              <w:t>GD</w:t>
            </w:r>
            <w:r w:rsidR="007C7822">
              <w:rPr>
                <w:sz w:val="16"/>
                <w:szCs w:val="16"/>
              </w:rPr>
              <w:t>T</w:t>
            </w:r>
            <w:r w:rsidR="00FB6C41" w:rsidRPr="001F151E">
              <w:rPr>
                <w:sz w:val="16"/>
                <w:szCs w:val="16"/>
              </w:rPr>
              <w:t>ax</w:t>
            </w:r>
            <w:r w:rsidRPr="001F151E">
              <w:rPr>
                <w:sz w:val="16"/>
                <w:szCs w:val="16"/>
              </w:rPr>
              <w:t>, Customs</w:t>
            </w:r>
          </w:p>
          <w:p w14:paraId="300417C4" w14:textId="7760F9C5" w:rsidR="007C4226" w:rsidRPr="001F151E" w:rsidRDefault="007C4226">
            <w:pPr>
              <w:rPr>
                <w:sz w:val="16"/>
                <w:szCs w:val="16"/>
              </w:rPr>
            </w:pPr>
            <w:r>
              <w:rPr>
                <w:sz w:val="16"/>
                <w:szCs w:val="16"/>
              </w:rPr>
              <w:t>IMF</w:t>
            </w:r>
          </w:p>
        </w:tc>
      </w:tr>
      <w:tr w:rsidR="00801FD9" w:rsidRPr="001F151E" w14:paraId="5EC06D5A" w14:textId="77777777" w:rsidTr="00736F38">
        <w:trPr>
          <w:gridAfter w:val="1"/>
          <w:wAfter w:w="10" w:type="dxa"/>
          <w:trHeight w:val="230"/>
          <w:jc w:val="center"/>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1C013EB8" w14:textId="77777777" w:rsidR="00801FD9" w:rsidRPr="001F151E" w:rsidRDefault="00801FD9">
            <w:pPr>
              <w:spacing w:line="240" w:lineRule="auto"/>
              <w:rPr>
                <w:rFonts w:eastAsia="Times New Roman"/>
                <w:b/>
                <w:bCs/>
                <w:sz w:val="16"/>
                <w:szCs w:val="16"/>
              </w:rPr>
            </w:pPr>
          </w:p>
        </w:tc>
        <w:tc>
          <w:tcPr>
            <w:tcW w:w="3440" w:type="dxa"/>
            <w:tcBorders>
              <w:top w:val="single" w:sz="4" w:space="0" w:color="auto"/>
              <w:left w:val="single" w:sz="4" w:space="0" w:color="auto"/>
              <w:bottom w:val="single" w:sz="4" w:space="0" w:color="auto"/>
              <w:right w:val="single" w:sz="4" w:space="0" w:color="auto"/>
            </w:tcBorders>
            <w:hideMark/>
          </w:tcPr>
          <w:p w14:paraId="76CFD023" w14:textId="50A6F390" w:rsidR="00801FD9" w:rsidRPr="001F151E" w:rsidRDefault="00801FD9" w:rsidP="00B45892">
            <w:pPr>
              <w:pStyle w:val="ListParagraph"/>
              <w:numPr>
                <w:ilvl w:val="0"/>
                <w:numId w:val="60"/>
              </w:numPr>
              <w:autoSpaceDE w:val="0"/>
              <w:autoSpaceDN w:val="0"/>
              <w:adjustRightInd w:val="0"/>
              <w:rPr>
                <w:rFonts w:eastAsia="Times New Roman"/>
                <w:bCs/>
                <w:sz w:val="16"/>
                <w:szCs w:val="16"/>
              </w:rPr>
            </w:pPr>
            <w:r w:rsidRPr="001F151E">
              <w:rPr>
                <w:rFonts w:eastAsia="Times New Roman"/>
                <w:bCs/>
                <w:sz w:val="16"/>
                <w:szCs w:val="16"/>
              </w:rPr>
              <w:t>Establish Technical Committee and organise technical meetings on monthly basis with largest BI, Tax and Customs to get real time crucial information</w:t>
            </w:r>
            <w:r w:rsidR="00E262A0" w:rsidRPr="001F151E">
              <w:rPr>
                <w:rFonts w:eastAsia="Times New Roman"/>
                <w:bCs/>
                <w:sz w:val="16"/>
                <w:szCs w:val="16"/>
              </w:rPr>
              <w:t>.</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0D0DE" w14:textId="7BDE9B05" w:rsidR="00801FD9" w:rsidRPr="001F151E" w:rsidRDefault="000B6AD4" w:rsidP="008A1EB6">
            <w:pPr>
              <w:jc w:val="center"/>
              <w:rPr>
                <w:sz w:val="16"/>
                <w:szCs w:val="16"/>
              </w:rPr>
            </w:pPr>
            <w:r w:rsidRPr="001F151E">
              <w:rPr>
                <w:sz w:val="16"/>
                <w:szCs w:val="16"/>
              </w:rPr>
              <w:t xml:space="preserve">Q1 </w:t>
            </w:r>
            <w:r w:rsidR="00801FD9" w:rsidRPr="001F151E">
              <w:rPr>
                <w:sz w:val="16"/>
                <w:szCs w:val="16"/>
              </w:rPr>
              <w:t>2024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C099BC2" w14:textId="074F20F0" w:rsidR="00801FD9" w:rsidRPr="001F151E" w:rsidRDefault="000B6AD4" w:rsidP="008A1EB6">
            <w:pPr>
              <w:jc w:val="center"/>
              <w:rPr>
                <w:sz w:val="16"/>
                <w:szCs w:val="16"/>
              </w:rPr>
            </w:pPr>
            <w:r w:rsidRPr="001F151E">
              <w:rPr>
                <w:sz w:val="16"/>
                <w:szCs w:val="16"/>
              </w:rPr>
              <w:t>Q4 2024</w:t>
            </w: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67A92369" w14:textId="77777777" w:rsidR="00801FD9" w:rsidRPr="001F151E" w:rsidRDefault="00801FD9">
            <w:pPr>
              <w:spacing w:line="240" w:lineRule="auto"/>
              <w:rPr>
                <w:sz w:val="16"/>
                <w:szCs w:val="16"/>
              </w:rPr>
            </w:pPr>
          </w:p>
        </w:tc>
      </w:tr>
      <w:tr w:rsidR="000B6AD4" w:rsidRPr="001F151E" w14:paraId="2D178F95" w14:textId="77777777" w:rsidTr="00736F38">
        <w:trPr>
          <w:gridAfter w:val="1"/>
          <w:wAfter w:w="10" w:type="dxa"/>
          <w:trHeight w:val="230"/>
          <w:jc w:val="center"/>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172FF95A" w14:textId="77777777" w:rsidR="000B6AD4" w:rsidRPr="001F151E" w:rsidRDefault="000B6AD4" w:rsidP="000B6AD4">
            <w:pPr>
              <w:spacing w:line="240" w:lineRule="auto"/>
              <w:rPr>
                <w:rFonts w:eastAsia="Times New Roman"/>
                <w:b/>
                <w:bCs/>
                <w:sz w:val="16"/>
                <w:szCs w:val="16"/>
              </w:rPr>
            </w:pPr>
          </w:p>
        </w:tc>
        <w:tc>
          <w:tcPr>
            <w:tcW w:w="3440" w:type="dxa"/>
            <w:tcBorders>
              <w:top w:val="single" w:sz="4" w:space="0" w:color="auto"/>
              <w:left w:val="single" w:sz="4" w:space="0" w:color="auto"/>
              <w:bottom w:val="single" w:sz="4" w:space="0" w:color="auto"/>
              <w:right w:val="single" w:sz="4" w:space="0" w:color="auto"/>
            </w:tcBorders>
            <w:hideMark/>
          </w:tcPr>
          <w:p w14:paraId="267DBB80" w14:textId="3E81E17C" w:rsidR="000B6AD4" w:rsidRPr="001F151E" w:rsidRDefault="000B6AD4" w:rsidP="00B45892">
            <w:pPr>
              <w:pStyle w:val="ListParagraph"/>
              <w:numPr>
                <w:ilvl w:val="0"/>
                <w:numId w:val="60"/>
              </w:numPr>
              <w:autoSpaceDE w:val="0"/>
              <w:autoSpaceDN w:val="0"/>
              <w:adjustRightInd w:val="0"/>
              <w:rPr>
                <w:rFonts w:eastAsia="Times New Roman"/>
                <w:bCs/>
                <w:sz w:val="16"/>
                <w:szCs w:val="16"/>
              </w:rPr>
            </w:pPr>
            <w:r w:rsidRPr="001F151E">
              <w:rPr>
                <w:rFonts w:eastAsia="Times New Roman"/>
                <w:bCs/>
                <w:sz w:val="16"/>
                <w:szCs w:val="16"/>
              </w:rPr>
              <w:t xml:space="preserve">Introduce a notification mechanism </w:t>
            </w:r>
            <w:r w:rsidR="008A1EB6" w:rsidRPr="001F151E">
              <w:rPr>
                <w:rFonts w:eastAsia="Times New Roman"/>
                <w:bCs/>
                <w:sz w:val="16"/>
                <w:szCs w:val="16"/>
              </w:rPr>
              <w:t>two</w:t>
            </w:r>
            <w:r w:rsidRPr="001F151E">
              <w:rPr>
                <w:rFonts w:eastAsia="Times New Roman"/>
                <w:bCs/>
                <w:sz w:val="16"/>
                <w:szCs w:val="16"/>
              </w:rPr>
              <w:t xml:space="preserve"> weeks before large payments take place</w:t>
            </w:r>
            <w:r w:rsidR="00E262A0" w:rsidRPr="001F151E">
              <w:rPr>
                <w:rFonts w:eastAsia="Times New Roman"/>
                <w:bCs/>
                <w:sz w:val="16"/>
                <w:szCs w:val="16"/>
              </w:rPr>
              <w:t>.</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EF41E" w14:textId="197E5210" w:rsidR="000B6AD4" w:rsidRPr="001F151E" w:rsidRDefault="000B6AD4" w:rsidP="008A1EB6">
            <w:pPr>
              <w:jc w:val="center"/>
              <w:rPr>
                <w:sz w:val="16"/>
                <w:szCs w:val="16"/>
              </w:rPr>
            </w:pPr>
            <w:r w:rsidRPr="001F151E">
              <w:rPr>
                <w:sz w:val="16"/>
                <w:szCs w:val="16"/>
              </w:rPr>
              <w:t>Q1 2024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737FBD7" w14:textId="3B955E9E" w:rsidR="000B6AD4" w:rsidRPr="001F151E" w:rsidRDefault="000B6AD4" w:rsidP="008A1EB6">
            <w:pPr>
              <w:jc w:val="center"/>
              <w:rPr>
                <w:sz w:val="16"/>
                <w:szCs w:val="16"/>
              </w:rPr>
            </w:pPr>
            <w:r w:rsidRPr="001F151E">
              <w:rPr>
                <w:sz w:val="16"/>
                <w:szCs w:val="16"/>
              </w:rPr>
              <w:t>Q4 2024</w:t>
            </w: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49C531E2" w14:textId="77777777" w:rsidR="000B6AD4" w:rsidRPr="001F151E" w:rsidRDefault="000B6AD4" w:rsidP="000B6AD4">
            <w:pPr>
              <w:spacing w:line="240" w:lineRule="auto"/>
              <w:rPr>
                <w:sz w:val="16"/>
                <w:szCs w:val="16"/>
              </w:rPr>
            </w:pPr>
          </w:p>
        </w:tc>
      </w:tr>
      <w:tr w:rsidR="000B6AD4" w:rsidRPr="001F151E" w14:paraId="1526B9EB" w14:textId="77777777" w:rsidTr="00736F38">
        <w:trPr>
          <w:gridAfter w:val="1"/>
          <w:wAfter w:w="10" w:type="dxa"/>
          <w:trHeight w:val="230"/>
          <w:jc w:val="center"/>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7BEC10DB" w14:textId="77777777" w:rsidR="000B6AD4" w:rsidRPr="001F151E" w:rsidRDefault="000B6AD4" w:rsidP="000B6AD4">
            <w:pPr>
              <w:spacing w:line="240" w:lineRule="auto"/>
              <w:rPr>
                <w:rFonts w:eastAsia="Times New Roman"/>
                <w:b/>
                <w:bCs/>
                <w:sz w:val="16"/>
                <w:szCs w:val="16"/>
              </w:rPr>
            </w:pPr>
          </w:p>
        </w:tc>
        <w:tc>
          <w:tcPr>
            <w:tcW w:w="3440" w:type="dxa"/>
            <w:tcBorders>
              <w:top w:val="single" w:sz="4" w:space="0" w:color="auto"/>
              <w:left w:val="single" w:sz="4" w:space="0" w:color="auto"/>
              <w:bottom w:val="single" w:sz="4" w:space="0" w:color="auto"/>
              <w:right w:val="single" w:sz="4" w:space="0" w:color="auto"/>
            </w:tcBorders>
            <w:hideMark/>
          </w:tcPr>
          <w:p w14:paraId="2A4F9793" w14:textId="66D2056D" w:rsidR="000B6AD4" w:rsidRPr="001F151E" w:rsidRDefault="000B6AD4" w:rsidP="00B45892">
            <w:pPr>
              <w:pStyle w:val="ListParagraph"/>
              <w:numPr>
                <w:ilvl w:val="0"/>
                <w:numId w:val="60"/>
              </w:numPr>
              <w:autoSpaceDE w:val="0"/>
              <w:autoSpaceDN w:val="0"/>
              <w:adjustRightInd w:val="0"/>
              <w:rPr>
                <w:rFonts w:eastAsia="Times New Roman"/>
                <w:bCs/>
                <w:sz w:val="16"/>
                <w:szCs w:val="16"/>
              </w:rPr>
            </w:pPr>
            <w:r w:rsidRPr="001F151E">
              <w:rPr>
                <w:rFonts w:eastAsia="Times New Roman"/>
                <w:bCs/>
                <w:sz w:val="16"/>
                <w:szCs w:val="16"/>
              </w:rPr>
              <w:t xml:space="preserve">Use a new IMF developed “tool” in </w:t>
            </w:r>
            <w:r w:rsidR="00E262A0" w:rsidRPr="001F151E">
              <w:rPr>
                <w:rFonts w:eastAsia="Times New Roman"/>
                <w:bCs/>
                <w:sz w:val="16"/>
                <w:szCs w:val="16"/>
              </w:rPr>
              <w:t>Microsoft E</w:t>
            </w:r>
            <w:r w:rsidRPr="001F151E">
              <w:rPr>
                <w:rFonts w:eastAsia="Times New Roman"/>
                <w:bCs/>
                <w:sz w:val="16"/>
                <w:szCs w:val="16"/>
              </w:rPr>
              <w:t>xcel for preparation of forecasts and for data analysis</w:t>
            </w:r>
            <w:r w:rsidR="00E262A0" w:rsidRPr="001F151E">
              <w:rPr>
                <w:rFonts w:eastAsia="Times New Roman"/>
                <w:bCs/>
                <w:sz w:val="16"/>
                <w:szCs w:val="16"/>
              </w:rPr>
              <w:t>.</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6992D" w14:textId="1E1EF041" w:rsidR="000B6AD4" w:rsidRPr="001F151E" w:rsidRDefault="000B6AD4" w:rsidP="008A1EB6">
            <w:pPr>
              <w:jc w:val="center"/>
              <w:rPr>
                <w:sz w:val="16"/>
                <w:szCs w:val="16"/>
              </w:rPr>
            </w:pPr>
            <w:r w:rsidRPr="001F151E">
              <w:rPr>
                <w:sz w:val="16"/>
                <w:szCs w:val="16"/>
              </w:rPr>
              <w:t>Q1 2024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2DF24B8" w14:textId="4F4C36DF" w:rsidR="000B6AD4" w:rsidRPr="001F151E" w:rsidRDefault="000B6AD4" w:rsidP="008A1EB6">
            <w:pPr>
              <w:jc w:val="center"/>
              <w:rPr>
                <w:sz w:val="16"/>
                <w:szCs w:val="16"/>
              </w:rPr>
            </w:pPr>
            <w:r w:rsidRPr="001F151E">
              <w:rPr>
                <w:sz w:val="16"/>
                <w:szCs w:val="16"/>
              </w:rPr>
              <w:t>Q4 2026</w:t>
            </w: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05908ABA" w14:textId="77777777" w:rsidR="000B6AD4" w:rsidRPr="001F151E" w:rsidRDefault="000B6AD4" w:rsidP="000B6AD4">
            <w:pPr>
              <w:spacing w:line="240" w:lineRule="auto"/>
              <w:rPr>
                <w:sz w:val="16"/>
                <w:szCs w:val="16"/>
              </w:rPr>
            </w:pPr>
          </w:p>
        </w:tc>
      </w:tr>
      <w:tr w:rsidR="000B6AD4" w:rsidRPr="001F151E" w14:paraId="09324A9E" w14:textId="77777777" w:rsidTr="00736F38">
        <w:trPr>
          <w:gridAfter w:val="1"/>
          <w:wAfter w:w="10" w:type="dxa"/>
          <w:trHeight w:val="20"/>
          <w:jc w:val="center"/>
        </w:trPr>
        <w:tc>
          <w:tcPr>
            <w:tcW w:w="191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B736A1" w14:textId="2D3319DC" w:rsidR="000B6AD4" w:rsidRPr="001F151E" w:rsidRDefault="000B6AD4" w:rsidP="000B6AD4">
            <w:pPr>
              <w:pStyle w:val="EcorysBody"/>
              <w:rPr>
                <w:rFonts w:ascii="Arial" w:hAnsi="Arial" w:cs="Arial"/>
                <w:b/>
                <w:sz w:val="16"/>
                <w:szCs w:val="16"/>
              </w:rPr>
            </w:pPr>
            <w:r w:rsidRPr="001F151E">
              <w:rPr>
                <w:rFonts w:ascii="Arial" w:hAnsi="Arial" w:cs="Arial"/>
                <w:b/>
                <w:sz w:val="16"/>
                <w:szCs w:val="16"/>
              </w:rPr>
              <w:t>Measure 4.</w:t>
            </w:r>
            <w:r w:rsidR="00297283">
              <w:rPr>
                <w:rFonts w:ascii="Arial" w:hAnsi="Arial" w:cs="Arial"/>
                <w:b/>
                <w:sz w:val="16"/>
                <w:szCs w:val="16"/>
              </w:rPr>
              <w:t>5</w:t>
            </w:r>
            <w:r w:rsidRPr="001F151E">
              <w:rPr>
                <w:rFonts w:ascii="Arial" w:hAnsi="Arial" w:cs="Arial"/>
                <w:b/>
                <w:sz w:val="16"/>
                <w:szCs w:val="16"/>
              </w:rPr>
              <w:t>.2 Introduce a comprehensive performance monitoring system for cash forecasting</w:t>
            </w:r>
          </w:p>
          <w:p w14:paraId="54B77230" w14:textId="77777777" w:rsidR="000B6AD4" w:rsidRPr="001F151E" w:rsidRDefault="000B6AD4" w:rsidP="000B6AD4">
            <w:pPr>
              <w:pStyle w:val="EcorysBody"/>
              <w:rPr>
                <w:rFonts w:ascii="Arial" w:eastAsia="Times New Roman" w:hAnsi="Arial" w:cs="Arial"/>
                <w:b/>
                <w:bCs/>
                <w:sz w:val="16"/>
                <w:szCs w:val="16"/>
              </w:rPr>
            </w:pPr>
          </w:p>
        </w:tc>
        <w:tc>
          <w:tcPr>
            <w:tcW w:w="34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CA48204" w14:textId="2FDAAC03" w:rsidR="000B6AD4" w:rsidRPr="001F151E" w:rsidRDefault="000B6AD4" w:rsidP="00B45892">
            <w:pPr>
              <w:pStyle w:val="ListParagraph"/>
              <w:numPr>
                <w:ilvl w:val="0"/>
                <w:numId w:val="73"/>
              </w:numPr>
              <w:autoSpaceDE w:val="0"/>
              <w:autoSpaceDN w:val="0"/>
              <w:adjustRightInd w:val="0"/>
              <w:rPr>
                <w:rFonts w:eastAsia="Times New Roman"/>
                <w:bCs/>
                <w:sz w:val="16"/>
                <w:szCs w:val="16"/>
              </w:rPr>
            </w:pPr>
            <w:r w:rsidRPr="001F151E">
              <w:rPr>
                <w:rFonts w:eastAsia="Times New Roman"/>
                <w:bCs/>
                <w:sz w:val="16"/>
                <w:szCs w:val="16"/>
              </w:rPr>
              <w:t>Measure and monitor the deviations from the updated monthly forecasts</w:t>
            </w:r>
            <w:r w:rsidR="00E262A0" w:rsidRPr="001F151E">
              <w:rPr>
                <w:rFonts w:eastAsia="Times New Roman"/>
                <w:bCs/>
                <w:sz w:val="16"/>
                <w:szCs w:val="16"/>
              </w:rPr>
              <w:t>.</w:t>
            </w:r>
          </w:p>
        </w:tc>
        <w:tc>
          <w:tcPr>
            <w:tcW w:w="10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E1CA07A" w14:textId="23F3A92F" w:rsidR="000B6AD4" w:rsidRPr="001F151E" w:rsidRDefault="000B6AD4" w:rsidP="008A1EB6">
            <w:pPr>
              <w:jc w:val="center"/>
              <w:rPr>
                <w:sz w:val="16"/>
                <w:szCs w:val="16"/>
              </w:rPr>
            </w:pPr>
            <w:r w:rsidRPr="001F151E">
              <w:rPr>
                <w:sz w:val="16"/>
                <w:szCs w:val="16"/>
              </w:rPr>
              <w:t>Q1 2024</w:t>
            </w:r>
          </w:p>
        </w:tc>
        <w:tc>
          <w:tcPr>
            <w:tcW w:w="9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455E08" w14:textId="55513781" w:rsidR="000B6AD4" w:rsidRPr="001F151E" w:rsidRDefault="000B6AD4" w:rsidP="008A1EB6">
            <w:pPr>
              <w:jc w:val="center"/>
              <w:rPr>
                <w:sz w:val="16"/>
                <w:szCs w:val="16"/>
              </w:rPr>
            </w:pPr>
            <w:r w:rsidRPr="001F151E">
              <w:rPr>
                <w:sz w:val="16"/>
                <w:szCs w:val="16"/>
              </w:rPr>
              <w:t>Q4 2025</w:t>
            </w:r>
          </w:p>
        </w:tc>
        <w:tc>
          <w:tcPr>
            <w:tcW w:w="1671"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354089" w14:textId="77777777" w:rsidR="000B6AD4" w:rsidRPr="001F151E" w:rsidRDefault="000B6AD4" w:rsidP="000B6AD4">
            <w:pPr>
              <w:rPr>
                <w:b/>
                <w:bCs/>
                <w:sz w:val="16"/>
                <w:szCs w:val="16"/>
              </w:rPr>
            </w:pPr>
            <w:r w:rsidRPr="001F151E">
              <w:rPr>
                <w:b/>
                <w:bCs/>
                <w:sz w:val="16"/>
                <w:szCs w:val="16"/>
              </w:rPr>
              <w:t>Responsible entity:</w:t>
            </w:r>
          </w:p>
          <w:p w14:paraId="08F98344" w14:textId="18810AF1" w:rsidR="000B6AD4" w:rsidRPr="001F151E" w:rsidRDefault="00EB1BF0" w:rsidP="000B6AD4">
            <w:pPr>
              <w:rPr>
                <w:sz w:val="16"/>
                <w:szCs w:val="16"/>
              </w:rPr>
            </w:pPr>
            <w:r>
              <w:rPr>
                <w:sz w:val="16"/>
                <w:szCs w:val="16"/>
              </w:rPr>
              <w:t>GDTreasury</w:t>
            </w:r>
            <w:r w:rsidR="000B6AD4" w:rsidRPr="001F151E">
              <w:rPr>
                <w:sz w:val="16"/>
                <w:szCs w:val="16"/>
              </w:rPr>
              <w:t xml:space="preserve"> (lead) </w:t>
            </w:r>
          </w:p>
          <w:p w14:paraId="672D83B8" w14:textId="77777777" w:rsidR="000B6AD4" w:rsidRPr="001F151E" w:rsidRDefault="000B6AD4" w:rsidP="000B6AD4">
            <w:pPr>
              <w:rPr>
                <w:sz w:val="16"/>
                <w:szCs w:val="16"/>
              </w:rPr>
            </w:pPr>
          </w:p>
          <w:p w14:paraId="582316A3" w14:textId="77777777" w:rsidR="000B6AD4" w:rsidRPr="001F151E" w:rsidRDefault="000B6AD4" w:rsidP="000B6AD4">
            <w:pPr>
              <w:rPr>
                <w:b/>
                <w:bCs/>
                <w:sz w:val="16"/>
                <w:szCs w:val="16"/>
              </w:rPr>
            </w:pPr>
            <w:r w:rsidRPr="001F151E">
              <w:rPr>
                <w:b/>
                <w:bCs/>
                <w:sz w:val="16"/>
                <w:szCs w:val="16"/>
              </w:rPr>
              <w:t>Partner:</w:t>
            </w:r>
          </w:p>
          <w:p w14:paraId="55286187" w14:textId="45C8A68A" w:rsidR="000B6AD4" w:rsidRPr="001F151E" w:rsidRDefault="007C4226" w:rsidP="000B6AD4">
            <w:pPr>
              <w:rPr>
                <w:sz w:val="16"/>
                <w:szCs w:val="16"/>
              </w:rPr>
            </w:pPr>
            <w:r>
              <w:rPr>
                <w:sz w:val="16"/>
                <w:szCs w:val="16"/>
              </w:rPr>
              <w:t>IMF</w:t>
            </w:r>
          </w:p>
        </w:tc>
      </w:tr>
      <w:tr w:rsidR="000B6AD4" w:rsidRPr="001F151E" w14:paraId="62184239" w14:textId="77777777" w:rsidTr="00736F38">
        <w:trPr>
          <w:gridAfter w:val="1"/>
          <w:wAfter w:w="10" w:type="dxa"/>
          <w:trHeight w:val="230"/>
          <w:jc w:val="center"/>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69654951" w14:textId="77777777" w:rsidR="000B6AD4" w:rsidRPr="001F151E" w:rsidRDefault="000B6AD4" w:rsidP="000B6AD4">
            <w:pPr>
              <w:spacing w:line="240" w:lineRule="auto"/>
              <w:rPr>
                <w:rFonts w:eastAsia="Times New Roman"/>
                <w:b/>
                <w:bCs/>
                <w:sz w:val="16"/>
                <w:szCs w:val="16"/>
              </w:rPr>
            </w:pPr>
          </w:p>
        </w:tc>
        <w:tc>
          <w:tcPr>
            <w:tcW w:w="34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DBA91EC" w14:textId="7305BA9D" w:rsidR="000B6AD4" w:rsidRPr="001F151E" w:rsidRDefault="000B6AD4" w:rsidP="00B45892">
            <w:pPr>
              <w:pStyle w:val="ListParagraph"/>
              <w:numPr>
                <w:ilvl w:val="0"/>
                <w:numId w:val="73"/>
              </w:numPr>
              <w:autoSpaceDE w:val="0"/>
              <w:autoSpaceDN w:val="0"/>
              <w:adjustRightInd w:val="0"/>
              <w:rPr>
                <w:rFonts w:eastAsia="Times New Roman"/>
                <w:bCs/>
                <w:sz w:val="16"/>
                <w:szCs w:val="16"/>
              </w:rPr>
            </w:pPr>
            <w:r w:rsidRPr="001F151E">
              <w:rPr>
                <w:rFonts w:eastAsia="Times New Roman"/>
                <w:bCs/>
                <w:sz w:val="16"/>
                <w:szCs w:val="16"/>
              </w:rPr>
              <w:t>Set key performance indicators (KPIs) for daily and monthly forecasts and presenting them to the Cash and Debt Management Committee (CDMC)</w:t>
            </w:r>
            <w:r w:rsidR="00E262A0" w:rsidRPr="001F151E">
              <w:rPr>
                <w:rFonts w:eastAsia="Times New Roman"/>
                <w:bCs/>
                <w:sz w:val="16"/>
                <w:szCs w:val="16"/>
              </w:rPr>
              <w:t>.</w:t>
            </w:r>
            <w:r w:rsidRPr="001F151E">
              <w:rPr>
                <w:rFonts w:eastAsia="Times New Roman"/>
                <w:bCs/>
                <w:sz w:val="16"/>
                <w:szCs w:val="16"/>
              </w:rPr>
              <w:t xml:space="preserve"> </w:t>
            </w:r>
          </w:p>
        </w:tc>
        <w:tc>
          <w:tcPr>
            <w:tcW w:w="10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97D0159" w14:textId="55AE330F" w:rsidR="000B6AD4" w:rsidRPr="001F151E" w:rsidRDefault="000B6AD4" w:rsidP="008A1EB6">
            <w:pPr>
              <w:jc w:val="center"/>
              <w:rPr>
                <w:sz w:val="16"/>
                <w:szCs w:val="16"/>
              </w:rPr>
            </w:pPr>
            <w:r w:rsidRPr="001F151E">
              <w:rPr>
                <w:sz w:val="16"/>
                <w:szCs w:val="16"/>
              </w:rPr>
              <w:t>Q1 2024</w:t>
            </w:r>
          </w:p>
        </w:tc>
        <w:tc>
          <w:tcPr>
            <w:tcW w:w="9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A97B7D" w14:textId="109B324D" w:rsidR="000B6AD4" w:rsidRPr="001F151E" w:rsidRDefault="000B6AD4" w:rsidP="008A1EB6">
            <w:pPr>
              <w:jc w:val="center"/>
              <w:rPr>
                <w:sz w:val="16"/>
                <w:szCs w:val="16"/>
              </w:rPr>
            </w:pPr>
            <w:r w:rsidRPr="001F151E">
              <w:rPr>
                <w:sz w:val="16"/>
                <w:szCs w:val="16"/>
              </w:rPr>
              <w:t>Q4 2025</w:t>
            </w:r>
          </w:p>
        </w:tc>
        <w:tc>
          <w:tcPr>
            <w:tcW w:w="1671" w:type="dxa"/>
            <w:vMerge/>
            <w:tcBorders>
              <w:top w:val="single" w:sz="4" w:space="0" w:color="auto"/>
              <w:left w:val="single" w:sz="4" w:space="0" w:color="auto"/>
              <w:bottom w:val="single" w:sz="4" w:space="0" w:color="auto"/>
              <w:right w:val="single" w:sz="4" w:space="0" w:color="auto"/>
            </w:tcBorders>
            <w:vAlign w:val="center"/>
            <w:hideMark/>
          </w:tcPr>
          <w:p w14:paraId="6FF3412D" w14:textId="77777777" w:rsidR="000B6AD4" w:rsidRPr="001F151E" w:rsidRDefault="000B6AD4" w:rsidP="000B6AD4">
            <w:pPr>
              <w:spacing w:line="240" w:lineRule="auto"/>
              <w:rPr>
                <w:sz w:val="16"/>
                <w:szCs w:val="16"/>
              </w:rPr>
            </w:pPr>
          </w:p>
        </w:tc>
      </w:tr>
      <w:tr w:rsidR="000B6AD4" w:rsidRPr="001F151E" w14:paraId="50622A1B" w14:textId="77777777" w:rsidTr="00736F38">
        <w:trPr>
          <w:trHeight w:val="20"/>
          <w:jc w:val="center"/>
        </w:trPr>
        <w:tc>
          <w:tcPr>
            <w:tcW w:w="191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B16DAE" w14:textId="1C73DDC6" w:rsidR="000B6AD4" w:rsidRPr="001F151E" w:rsidRDefault="000B6AD4" w:rsidP="000B6AD4">
            <w:pPr>
              <w:pStyle w:val="EcorysBody"/>
              <w:rPr>
                <w:rFonts w:ascii="Arial" w:hAnsi="Arial" w:cs="Arial"/>
                <w:b/>
                <w:sz w:val="16"/>
                <w:szCs w:val="16"/>
              </w:rPr>
            </w:pPr>
            <w:r w:rsidRPr="001F151E">
              <w:rPr>
                <w:rFonts w:ascii="Arial" w:hAnsi="Arial" w:cs="Arial"/>
                <w:b/>
                <w:sz w:val="16"/>
                <w:szCs w:val="16"/>
              </w:rPr>
              <w:t>Measure 4.</w:t>
            </w:r>
            <w:r w:rsidR="00297283">
              <w:rPr>
                <w:rFonts w:ascii="Arial" w:hAnsi="Arial" w:cs="Arial"/>
                <w:b/>
                <w:sz w:val="16"/>
                <w:szCs w:val="16"/>
              </w:rPr>
              <w:t>5</w:t>
            </w:r>
            <w:r w:rsidRPr="001F151E">
              <w:rPr>
                <w:rFonts w:ascii="Arial" w:hAnsi="Arial" w:cs="Arial"/>
                <w:b/>
                <w:sz w:val="16"/>
                <w:szCs w:val="16"/>
              </w:rPr>
              <w:t>.3 Enhance cash management instruments</w:t>
            </w:r>
          </w:p>
          <w:p w14:paraId="4CC99868" w14:textId="77777777" w:rsidR="000B6AD4" w:rsidRPr="001F151E" w:rsidRDefault="000B6AD4" w:rsidP="000B6AD4">
            <w:pPr>
              <w:pStyle w:val="EcorysBody"/>
              <w:rPr>
                <w:rFonts w:ascii="Arial" w:eastAsia="Times New Roman" w:hAnsi="Arial" w:cs="Arial"/>
                <w:b/>
                <w:bCs/>
                <w:sz w:val="16"/>
                <w:szCs w:val="16"/>
              </w:rPr>
            </w:pPr>
          </w:p>
        </w:tc>
        <w:tc>
          <w:tcPr>
            <w:tcW w:w="34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CE8B2B5" w14:textId="6556F390" w:rsidR="000B6AD4" w:rsidRPr="001F151E" w:rsidRDefault="000B6AD4" w:rsidP="00B45892">
            <w:pPr>
              <w:pStyle w:val="ListParagraph"/>
              <w:numPr>
                <w:ilvl w:val="0"/>
                <w:numId w:val="72"/>
              </w:numPr>
              <w:autoSpaceDE w:val="0"/>
              <w:autoSpaceDN w:val="0"/>
              <w:adjustRightInd w:val="0"/>
              <w:rPr>
                <w:rFonts w:eastAsia="Times New Roman"/>
                <w:bCs/>
                <w:sz w:val="16"/>
                <w:szCs w:val="16"/>
              </w:rPr>
            </w:pPr>
            <w:r w:rsidRPr="001F151E">
              <w:rPr>
                <w:rFonts w:eastAsia="Times New Roman"/>
                <w:bCs/>
                <w:sz w:val="16"/>
                <w:szCs w:val="16"/>
              </w:rPr>
              <w:t>Improve cash buffer policy</w:t>
            </w:r>
            <w:r w:rsidR="001C245E" w:rsidRPr="001F151E">
              <w:rPr>
                <w:rFonts w:eastAsia="Times New Roman"/>
                <w:bCs/>
                <w:sz w:val="16"/>
                <w:szCs w:val="16"/>
              </w:rPr>
              <w:t>.</w:t>
            </w:r>
          </w:p>
        </w:tc>
        <w:tc>
          <w:tcPr>
            <w:tcW w:w="10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61CBD4B" w14:textId="16E9AF20" w:rsidR="000B6AD4" w:rsidRPr="001F151E" w:rsidRDefault="000B6AD4" w:rsidP="008A1EB6">
            <w:pPr>
              <w:jc w:val="center"/>
              <w:rPr>
                <w:sz w:val="16"/>
                <w:szCs w:val="16"/>
              </w:rPr>
            </w:pPr>
            <w:r w:rsidRPr="001F151E">
              <w:rPr>
                <w:sz w:val="16"/>
                <w:szCs w:val="16"/>
              </w:rPr>
              <w:t>Q1 2024</w:t>
            </w:r>
          </w:p>
        </w:tc>
        <w:tc>
          <w:tcPr>
            <w:tcW w:w="9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796C3AF" w14:textId="1DF02EF3" w:rsidR="000B6AD4" w:rsidRPr="001F151E" w:rsidRDefault="000B6AD4" w:rsidP="008A1EB6">
            <w:pPr>
              <w:jc w:val="center"/>
              <w:rPr>
                <w:sz w:val="16"/>
                <w:szCs w:val="16"/>
              </w:rPr>
            </w:pPr>
            <w:r w:rsidRPr="001F151E">
              <w:rPr>
                <w:sz w:val="16"/>
                <w:szCs w:val="16"/>
              </w:rPr>
              <w:t>Q4 2025</w:t>
            </w:r>
          </w:p>
        </w:tc>
        <w:tc>
          <w:tcPr>
            <w:tcW w:w="1681"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DDD775" w14:textId="77777777" w:rsidR="000B6AD4" w:rsidRPr="001F151E" w:rsidRDefault="000B6AD4" w:rsidP="000B6AD4">
            <w:pPr>
              <w:rPr>
                <w:b/>
                <w:bCs/>
                <w:sz w:val="16"/>
                <w:szCs w:val="16"/>
              </w:rPr>
            </w:pPr>
            <w:r w:rsidRPr="001F151E">
              <w:rPr>
                <w:b/>
                <w:bCs/>
                <w:sz w:val="16"/>
                <w:szCs w:val="16"/>
              </w:rPr>
              <w:t>Responsible entity:</w:t>
            </w:r>
          </w:p>
          <w:p w14:paraId="029F76E7" w14:textId="5A32B6D1" w:rsidR="000B6AD4" w:rsidRPr="001F151E" w:rsidRDefault="00EB1BF0" w:rsidP="000B6AD4">
            <w:pPr>
              <w:rPr>
                <w:sz w:val="16"/>
                <w:szCs w:val="16"/>
              </w:rPr>
            </w:pPr>
            <w:r>
              <w:rPr>
                <w:sz w:val="16"/>
                <w:szCs w:val="16"/>
              </w:rPr>
              <w:t>GDTreasury</w:t>
            </w:r>
            <w:r w:rsidR="000B6AD4" w:rsidRPr="001F151E">
              <w:rPr>
                <w:sz w:val="16"/>
                <w:szCs w:val="16"/>
              </w:rPr>
              <w:t xml:space="preserve"> (lead) </w:t>
            </w:r>
          </w:p>
          <w:p w14:paraId="3AA135C3" w14:textId="77777777" w:rsidR="000B6AD4" w:rsidRPr="001F151E" w:rsidRDefault="000B6AD4" w:rsidP="000B6AD4">
            <w:pPr>
              <w:rPr>
                <w:sz w:val="16"/>
                <w:szCs w:val="16"/>
              </w:rPr>
            </w:pPr>
          </w:p>
          <w:p w14:paraId="55985C5F" w14:textId="77777777" w:rsidR="000B6AD4" w:rsidRPr="001F151E" w:rsidRDefault="000B6AD4" w:rsidP="000B6AD4">
            <w:pPr>
              <w:rPr>
                <w:b/>
                <w:bCs/>
                <w:sz w:val="16"/>
                <w:szCs w:val="16"/>
              </w:rPr>
            </w:pPr>
            <w:r w:rsidRPr="001F151E">
              <w:rPr>
                <w:b/>
                <w:bCs/>
                <w:sz w:val="16"/>
                <w:szCs w:val="16"/>
              </w:rPr>
              <w:t>Partner:</w:t>
            </w:r>
          </w:p>
          <w:p w14:paraId="511C93E2" w14:textId="3651D0D7" w:rsidR="000B6AD4" w:rsidRPr="001F151E" w:rsidRDefault="000B6AD4" w:rsidP="000B6AD4">
            <w:pPr>
              <w:rPr>
                <w:sz w:val="16"/>
                <w:szCs w:val="16"/>
              </w:rPr>
            </w:pPr>
            <w:r w:rsidRPr="001F151E">
              <w:rPr>
                <w:sz w:val="16"/>
                <w:szCs w:val="16"/>
              </w:rPr>
              <w:t>BoA</w:t>
            </w:r>
            <w:r w:rsidR="007C4226">
              <w:rPr>
                <w:sz w:val="16"/>
                <w:szCs w:val="16"/>
              </w:rPr>
              <w:t>, IMF</w:t>
            </w:r>
          </w:p>
        </w:tc>
      </w:tr>
      <w:tr w:rsidR="000B6AD4" w:rsidRPr="001F151E" w14:paraId="00D4B4CD" w14:textId="77777777" w:rsidTr="00736F38">
        <w:trPr>
          <w:trHeight w:val="20"/>
          <w:jc w:val="center"/>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60F621F4" w14:textId="77777777" w:rsidR="000B6AD4" w:rsidRPr="001F151E" w:rsidRDefault="000B6AD4" w:rsidP="000B6AD4">
            <w:pPr>
              <w:spacing w:line="240" w:lineRule="auto"/>
              <w:rPr>
                <w:rFonts w:eastAsia="Times New Roman"/>
                <w:b/>
                <w:bCs/>
                <w:sz w:val="16"/>
                <w:szCs w:val="16"/>
              </w:rPr>
            </w:pPr>
          </w:p>
        </w:tc>
        <w:tc>
          <w:tcPr>
            <w:tcW w:w="34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D8166CE" w14:textId="4FC08955" w:rsidR="000B6AD4" w:rsidRPr="001F151E" w:rsidRDefault="000B6AD4" w:rsidP="00B45892">
            <w:pPr>
              <w:pStyle w:val="ListParagraph"/>
              <w:numPr>
                <w:ilvl w:val="0"/>
                <w:numId w:val="72"/>
              </w:numPr>
              <w:autoSpaceDE w:val="0"/>
              <w:autoSpaceDN w:val="0"/>
              <w:adjustRightInd w:val="0"/>
              <w:rPr>
                <w:rFonts w:eastAsia="Times New Roman"/>
                <w:bCs/>
                <w:sz w:val="16"/>
                <w:szCs w:val="16"/>
              </w:rPr>
            </w:pPr>
            <w:r w:rsidRPr="001F151E">
              <w:rPr>
                <w:rFonts w:eastAsia="Times New Roman"/>
                <w:bCs/>
                <w:sz w:val="16"/>
                <w:szCs w:val="16"/>
              </w:rPr>
              <w:t>Raise the amount and timeline of idle cash deposit investment in BoA</w:t>
            </w:r>
            <w:r w:rsidR="001F5FDE" w:rsidRPr="001F151E">
              <w:rPr>
                <w:rFonts w:eastAsia="Times New Roman"/>
                <w:bCs/>
                <w:sz w:val="16"/>
                <w:szCs w:val="16"/>
              </w:rPr>
              <w:t xml:space="preserve"> and introduce new investment instruments</w:t>
            </w:r>
            <w:r w:rsidR="00FB6C41" w:rsidRPr="001F151E">
              <w:rPr>
                <w:rFonts w:eastAsia="Times New Roman"/>
                <w:bCs/>
                <w:sz w:val="16"/>
                <w:szCs w:val="16"/>
              </w:rPr>
              <w:t>.</w:t>
            </w:r>
          </w:p>
        </w:tc>
        <w:tc>
          <w:tcPr>
            <w:tcW w:w="101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851CC85" w14:textId="70358EAC" w:rsidR="000B6AD4" w:rsidRPr="001F151E" w:rsidRDefault="000B6AD4" w:rsidP="008A1EB6">
            <w:pPr>
              <w:jc w:val="center"/>
              <w:rPr>
                <w:sz w:val="16"/>
                <w:szCs w:val="16"/>
              </w:rPr>
            </w:pPr>
            <w:r w:rsidRPr="001F151E">
              <w:rPr>
                <w:sz w:val="16"/>
                <w:szCs w:val="16"/>
              </w:rPr>
              <w:t>Q1 2024</w:t>
            </w:r>
          </w:p>
        </w:tc>
        <w:tc>
          <w:tcPr>
            <w:tcW w:w="9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1FE270" w14:textId="2F2EEE33" w:rsidR="000B6AD4" w:rsidRPr="001F151E" w:rsidRDefault="000B6AD4" w:rsidP="008A1EB6">
            <w:pPr>
              <w:jc w:val="center"/>
              <w:rPr>
                <w:sz w:val="16"/>
                <w:szCs w:val="16"/>
              </w:rPr>
            </w:pPr>
            <w:r w:rsidRPr="001F151E">
              <w:rPr>
                <w:sz w:val="16"/>
                <w:szCs w:val="16"/>
              </w:rPr>
              <w:t>Q4 2025</w:t>
            </w:r>
          </w:p>
        </w:tc>
        <w:tc>
          <w:tcPr>
            <w:tcW w:w="1681" w:type="dxa"/>
            <w:gridSpan w:val="2"/>
            <w:vMerge/>
            <w:tcBorders>
              <w:top w:val="single" w:sz="4" w:space="0" w:color="auto"/>
              <w:left w:val="single" w:sz="4" w:space="0" w:color="auto"/>
              <w:bottom w:val="single" w:sz="4" w:space="0" w:color="auto"/>
              <w:right w:val="single" w:sz="4" w:space="0" w:color="auto"/>
            </w:tcBorders>
            <w:vAlign w:val="center"/>
            <w:hideMark/>
          </w:tcPr>
          <w:p w14:paraId="333E872E" w14:textId="77777777" w:rsidR="000B6AD4" w:rsidRPr="001F151E" w:rsidRDefault="000B6AD4" w:rsidP="000B6AD4">
            <w:pPr>
              <w:spacing w:line="240" w:lineRule="auto"/>
              <w:rPr>
                <w:sz w:val="16"/>
                <w:szCs w:val="16"/>
              </w:rPr>
            </w:pPr>
          </w:p>
        </w:tc>
      </w:tr>
    </w:tbl>
    <w:p w14:paraId="35E58BF8" w14:textId="77777777" w:rsidR="00801FD9" w:rsidRPr="001F151E" w:rsidRDefault="00801FD9" w:rsidP="00801FD9">
      <w:pPr>
        <w:rPr>
          <w:lang w:val="en-GB"/>
        </w:rPr>
      </w:pPr>
    </w:p>
    <w:p w14:paraId="64054B9F" w14:textId="77777777" w:rsidR="00801FD9" w:rsidRPr="001F151E" w:rsidRDefault="00801FD9" w:rsidP="00801FD9">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801FD9" w:rsidRPr="001F151E" w14:paraId="06D71B38" w14:textId="77777777" w:rsidTr="002B7FF8">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32ECD4" w14:textId="3198E958" w:rsidR="00801FD9" w:rsidRPr="001F151E" w:rsidRDefault="00801FD9" w:rsidP="002B7FF8">
            <w:pPr>
              <w:pStyle w:val="T-bold"/>
              <w:spacing w:line="200" w:lineRule="exact"/>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B4413B" w14:textId="77777777" w:rsidR="00801FD9" w:rsidRPr="001F151E" w:rsidRDefault="00801FD9" w:rsidP="002B7FF8">
            <w:pPr>
              <w:pStyle w:val="T-bold"/>
              <w:spacing w:line="200" w:lineRule="exact"/>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74175" w14:textId="77777777" w:rsidR="00801FD9" w:rsidRPr="001F151E" w:rsidRDefault="00801FD9" w:rsidP="002B7FF8">
            <w:pPr>
              <w:pStyle w:val="T-bold"/>
              <w:spacing w:line="200" w:lineRule="exact"/>
              <w:jc w:val="center"/>
            </w:pPr>
            <w:r w:rsidRPr="001F151E">
              <w:t>Target Value</w:t>
            </w:r>
          </w:p>
        </w:tc>
      </w:tr>
      <w:tr w:rsidR="00801FD9" w:rsidRPr="001F151E" w14:paraId="143B4F2D" w14:textId="77777777" w:rsidTr="002B7FF8">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53BF49C" w14:textId="77777777" w:rsidR="00801FD9" w:rsidRPr="001F151E" w:rsidRDefault="00801FD9" w:rsidP="002B7FF8">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823C02A" w14:textId="77777777" w:rsidR="00801FD9" w:rsidRPr="001F151E" w:rsidRDefault="00801FD9" w:rsidP="002B7FF8">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FEDA4" w14:textId="77777777" w:rsidR="00801FD9" w:rsidRPr="001F151E" w:rsidRDefault="00801FD9" w:rsidP="002B7FF8">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C7303" w14:textId="77777777" w:rsidR="00801FD9" w:rsidRPr="001F151E" w:rsidRDefault="00801FD9" w:rsidP="002B7FF8">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50A0A" w14:textId="77777777" w:rsidR="00801FD9" w:rsidRPr="001F151E" w:rsidRDefault="00801FD9" w:rsidP="002B7FF8">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EF433" w14:textId="77777777" w:rsidR="00801FD9" w:rsidRPr="001F151E" w:rsidRDefault="00801FD9" w:rsidP="002B7FF8">
            <w:pPr>
              <w:pStyle w:val="T-bold"/>
              <w:spacing w:line="200" w:lineRule="exact"/>
              <w:jc w:val="center"/>
            </w:pPr>
            <w:r w:rsidRPr="001F151E">
              <w:t>2026</w:t>
            </w:r>
          </w:p>
        </w:tc>
      </w:tr>
      <w:tr w:rsidR="001F5FDE" w:rsidRPr="001F151E" w14:paraId="5464017D" w14:textId="77777777" w:rsidTr="002B7FF8">
        <w:tc>
          <w:tcPr>
            <w:tcW w:w="3114" w:type="dxa"/>
            <w:tcBorders>
              <w:top w:val="single" w:sz="4" w:space="0" w:color="auto"/>
              <w:left w:val="single" w:sz="4" w:space="0" w:color="auto"/>
              <w:bottom w:val="single" w:sz="4" w:space="0" w:color="auto"/>
              <w:right w:val="single" w:sz="4" w:space="0" w:color="auto"/>
            </w:tcBorders>
          </w:tcPr>
          <w:p w14:paraId="4259348F" w14:textId="52C843DE" w:rsidR="001F5FDE" w:rsidRPr="001F151E" w:rsidRDefault="001F5FDE" w:rsidP="00B45892">
            <w:pPr>
              <w:pStyle w:val="ListParagraph"/>
              <w:numPr>
                <w:ilvl w:val="0"/>
                <w:numId w:val="63"/>
              </w:numPr>
              <w:spacing w:line="200" w:lineRule="exact"/>
              <w:rPr>
                <w:rFonts w:eastAsia="Times New Roman"/>
                <w:bCs/>
                <w:sz w:val="16"/>
                <w:szCs w:val="16"/>
              </w:rPr>
            </w:pPr>
            <w:r w:rsidRPr="001F151E">
              <w:rPr>
                <w:rFonts w:eastAsia="Times New Roman"/>
                <w:bCs/>
                <w:sz w:val="16"/>
                <w:szCs w:val="16"/>
              </w:rPr>
              <w:t>Monthly cash forecast accuracy rate</w:t>
            </w:r>
          </w:p>
        </w:tc>
        <w:tc>
          <w:tcPr>
            <w:tcW w:w="1180" w:type="dxa"/>
            <w:tcBorders>
              <w:top w:val="single" w:sz="4" w:space="0" w:color="auto"/>
              <w:left w:val="single" w:sz="4" w:space="0" w:color="auto"/>
              <w:bottom w:val="single" w:sz="4" w:space="0" w:color="auto"/>
              <w:right w:val="single" w:sz="4" w:space="0" w:color="auto"/>
            </w:tcBorders>
          </w:tcPr>
          <w:p w14:paraId="7342292A" w14:textId="6ADB6A53" w:rsidR="001F5FDE" w:rsidRPr="001F151E" w:rsidRDefault="001F5FDE" w:rsidP="001F5FDE">
            <w:pPr>
              <w:pStyle w:val="EcorysBody"/>
              <w:spacing w:line="200" w:lineRule="exact"/>
              <w:jc w:val="center"/>
              <w:rPr>
                <w:rFonts w:ascii="Arial" w:hAnsi="Arial" w:cs="Arial"/>
                <w:sz w:val="16"/>
                <w:szCs w:val="16"/>
              </w:rPr>
            </w:pPr>
            <w:r w:rsidRPr="001F151E">
              <w:rPr>
                <w:rFonts w:ascii="Arial" w:hAnsi="Arial" w:cs="Arial"/>
                <w:sz w:val="16"/>
                <w:szCs w:val="16"/>
              </w:rPr>
              <w:t>88%</w:t>
            </w:r>
          </w:p>
        </w:tc>
        <w:tc>
          <w:tcPr>
            <w:tcW w:w="1181" w:type="dxa"/>
            <w:tcBorders>
              <w:top w:val="single" w:sz="4" w:space="0" w:color="auto"/>
              <w:left w:val="single" w:sz="4" w:space="0" w:color="auto"/>
              <w:bottom w:val="single" w:sz="4" w:space="0" w:color="auto"/>
              <w:right w:val="single" w:sz="4" w:space="0" w:color="auto"/>
            </w:tcBorders>
          </w:tcPr>
          <w:p w14:paraId="4C321A95" w14:textId="06FBCBB7" w:rsidR="001F5FDE" w:rsidRPr="001F151E" w:rsidRDefault="001F5FDE" w:rsidP="001F5FDE">
            <w:pPr>
              <w:pStyle w:val="EcorysBody"/>
              <w:spacing w:line="200" w:lineRule="exact"/>
              <w:jc w:val="center"/>
              <w:rPr>
                <w:rFonts w:ascii="Arial" w:hAnsi="Arial" w:cs="Arial"/>
                <w:sz w:val="16"/>
                <w:szCs w:val="16"/>
              </w:rPr>
            </w:pPr>
            <w:r w:rsidRPr="001F151E">
              <w:rPr>
                <w:rFonts w:ascii="Arial" w:hAnsi="Arial" w:cs="Arial"/>
                <w:sz w:val="16"/>
                <w:szCs w:val="16"/>
              </w:rPr>
              <w:t>88%</w:t>
            </w:r>
          </w:p>
        </w:tc>
        <w:tc>
          <w:tcPr>
            <w:tcW w:w="1180" w:type="dxa"/>
            <w:tcBorders>
              <w:top w:val="single" w:sz="4" w:space="0" w:color="auto"/>
              <w:left w:val="single" w:sz="4" w:space="0" w:color="auto"/>
              <w:bottom w:val="single" w:sz="4" w:space="0" w:color="auto"/>
              <w:right w:val="single" w:sz="4" w:space="0" w:color="auto"/>
            </w:tcBorders>
          </w:tcPr>
          <w:p w14:paraId="39329661" w14:textId="3BB890F4" w:rsidR="001F5FDE" w:rsidRPr="001F151E" w:rsidRDefault="001F5FDE" w:rsidP="001F5FDE">
            <w:pPr>
              <w:pStyle w:val="EcorysBody"/>
              <w:spacing w:line="200" w:lineRule="exact"/>
              <w:jc w:val="center"/>
              <w:rPr>
                <w:rFonts w:ascii="Arial" w:hAnsi="Arial" w:cs="Arial"/>
                <w:sz w:val="16"/>
                <w:szCs w:val="16"/>
              </w:rPr>
            </w:pPr>
            <w:r w:rsidRPr="001F151E">
              <w:rPr>
                <w:rFonts w:ascii="Arial" w:hAnsi="Arial" w:cs="Arial"/>
                <w:sz w:val="16"/>
                <w:szCs w:val="16"/>
              </w:rPr>
              <w:t>91%</w:t>
            </w:r>
          </w:p>
        </w:tc>
        <w:tc>
          <w:tcPr>
            <w:tcW w:w="1181" w:type="dxa"/>
            <w:tcBorders>
              <w:top w:val="single" w:sz="4" w:space="0" w:color="auto"/>
              <w:left w:val="single" w:sz="4" w:space="0" w:color="auto"/>
              <w:bottom w:val="single" w:sz="4" w:space="0" w:color="auto"/>
              <w:right w:val="single" w:sz="4" w:space="0" w:color="auto"/>
            </w:tcBorders>
          </w:tcPr>
          <w:p w14:paraId="64BFCF51" w14:textId="329DB516" w:rsidR="001F5FDE" w:rsidRPr="001F151E" w:rsidRDefault="001F5FDE" w:rsidP="001F5FDE">
            <w:pPr>
              <w:pStyle w:val="EcorysBody"/>
              <w:spacing w:line="200" w:lineRule="exact"/>
              <w:jc w:val="center"/>
              <w:rPr>
                <w:rFonts w:ascii="Arial" w:hAnsi="Arial" w:cs="Arial"/>
                <w:sz w:val="16"/>
                <w:szCs w:val="16"/>
              </w:rPr>
            </w:pPr>
            <w:r w:rsidRPr="001F151E">
              <w:rPr>
                <w:rFonts w:ascii="Arial" w:hAnsi="Arial" w:cs="Arial"/>
                <w:sz w:val="16"/>
                <w:szCs w:val="16"/>
              </w:rPr>
              <w:t>93%</w:t>
            </w:r>
          </w:p>
        </w:tc>
        <w:tc>
          <w:tcPr>
            <w:tcW w:w="1181" w:type="dxa"/>
            <w:tcBorders>
              <w:top w:val="single" w:sz="4" w:space="0" w:color="auto"/>
              <w:left w:val="single" w:sz="4" w:space="0" w:color="auto"/>
              <w:bottom w:val="single" w:sz="4" w:space="0" w:color="auto"/>
              <w:right w:val="single" w:sz="4" w:space="0" w:color="auto"/>
            </w:tcBorders>
          </w:tcPr>
          <w:p w14:paraId="2D814C97" w14:textId="6738DBAA" w:rsidR="001F5FDE" w:rsidRPr="001F151E" w:rsidRDefault="001F5FDE" w:rsidP="001F5FDE">
            <w:pPr>
              <w:pStyle w:val="EcorysBody"/>
              <w:spacing w:line="200" w:lineRule="exact"/>
              <w:jc w:val="center"/>
              <w:rPr>
                <w:rFonts w:ascii="Arial" w:hAnsi="Arial" w:cs="Arial"/>
                <w:color w:val="FF0000"/>
                <w:sz w:val="16"/>
                <w:szCs w:val="16"/>
              </w:rPr>
            </w:pPr>
            <w:r w:rsidRPr="001F151E">
              <w:rPr>
                <w:rFonts w:ascii="Arial" w:hAnsi="Arial" w:cs="Arial"/>
                <w:sz w:val="16"/>
                <w:szCs w:val="16"/>
              </w:rPr>
              <w:t>96%</w:t>
            </w:r>
          </w:p>
        </w:tc>
      </w:tr>
      <w:tr w:rsidR="001F5FDE" w:rsidRPr="001F151E" w14:paraId="0D1F1EFA" w14:textId="77777777" w:rsidTr="000A1205">
        <w:tc>
          <w:tcPr>
            <w:tcW w:w="3114" w:type="dxa"/>
            <w:tcBorders>
              <w:top w:val="single" w:sz="4" w:space="0" w:color="auto"/>
              <w:left w:val="single" w:sz="4" w:space="0" w:color="auto"/>
              <w:bottom w:val="single" w:sz="4" w:space="0" w:color="auto"/>
              <w:right w:val="single" w:sz="4" w:space="0" w:color="auto"/>
            </w:tcBorders>
          </w:tcPr>
          <w:p w14:paraId="1B9A00F0" w14:textId="51743FDD" w:rsidR="001F5FDE" w:rsidRPr="001F151E" w:rsidRDefault="003262BC" w:rsidP="00B45892">
            <w:pPr>
              <w:pStyle w:val="ListParagraph"/>
              <w:numPr>
                <w:ilvl w:val="0"/>
                <w:numId w:val="63"/>
              </w:numPr>
              <w:spacing w:line="200" w:lineRule="exact"/>
              <w:rPr>
                <w:rFonts w:eastAsia="Times New Roman"/>
                <w:bCs/>
                <w:sz w:val="16"/>
                <w:szCs w:val="16"/>
              </w:rPr>
            </w:pPr>
            <w:r w:rsidRPr="001F151E">
              <w:rPr>
                <w:rFonts w:eastAsia="Times New Roman"/>
                <w:bCs/>
                <w:sz w:val="16"/>
                <w:szCs w:val="16"/>
              </w:rPr>
              <w:t>D</w:t>
            </w:r>
            <w:r w:rsidR="001F5FDE" w:rsidRPr="001F151E">
              <w:rPr>
                <w:rFonts w:eastAsia="Times New Roman"/>
                <w:bCs/>
                <w:sz w:val="16"/>
                <w:szCs w:val="16"/>
              </w:rPr>
              <w:t xml:space="preserve">etailed inflow and outflow items in Cash Flow Forecasting </w:t>
            </w:r>
            <w:r w:rsidRPr="001F151E">
              <w:rPr>
                <w:rFonts w:eastAsia="Times New Roman"/>
                <w:bCs/>
                <w:sz w:val="16"/>
                <w:szCs w:val="16"/>
              </w:rPr>
              <w:t>included</w:t>
            </w:r>
          </w:p>
        </w:tc>
        <w:tc>
          <w:tcPr>
            <w:tcW w:w="1180" w:type="dxa"/>
            <w:tcBorders>
              <w:top w:val="single" w:sz="4" w:space="0" w:color="auto"/>
              <w:left w:val="single" w:sz="4" w:space="0" w:color="auto"/>
              <w:bottom w:val="single" w:sz="4" w:space="0" w:color="auto"/>
              <w:right w:val="single" w:sz="4" w:space="0" w:color="auto"/>
            </w:tcBorders>
            <w:vAlign w:val="center"/>
          </w:tcPr>
          <w:p w14:paraId="7E22B992" w14:textId="240FA808" w:rsidR="001F5FDE" w:rsidRPr="001F151E" w:rsidRDefault="00884018" w:rsidP="001F5FDE">
            <w:pPr>
              <w:pStyle w:val="EcorysBody"/>
              <w:spacing w:line="200" w:lineRule="exact"/>
              <w:jc w:val="center"/>
              <w:rPr>
                <w:rFonts w:ascii="Arial" w:hAnsi="Arial" w:cs="Arial"/>
                <w:sz w:val="16"/>
                <w:szCs w:val="16"/>
              </w:rPr>
            </w:pPr>
            <w:r>
              <w:rPr>
                <w:rFonts w:ascii="Arial" w:hAnsi="Arial" w:cs="Arial"/>
                <w:sz w:val="16"/>
                <w:szCs w:val="16"/>
              </w:rPr>
              <w:t>0</w:t>
            </w:r>
          </w:p>
        </w:tc>
        <w:tc>
          <w:tcPr>
            <w:tcW w:w="1181" w:type="dxa"/>
            <w:tcBorders>
              <w:top w:val="single" w:sz="4" w:space="0" w:color="auto"/>
              <w:left w:val="single" w:sz="4" w:space="0" w:color="auto"/>
              <w:bottom w:val="single" w:sz="4" w:space="0" w:color="auto"/>
              <w:right w:val="single" w:sz="4" w:space="0" w:color="auto"/>
            </w:tcBorders>
            <w:vAlign w:val="center"/>
          </w:tcPr>
          <w:p w14:paraId="153613B2" w14:textId="07AE101A" w:rsidR="001F5FDE" w:rsidRPr="001F151E" w:rsidRDefault="00884018">
            <w:pPr>
              <w:pStyle w:val="EcorysBody"/>
              <w:spacing w:line="200" w:lineRule="exact"/>
              <w:jc w:val="center"/>
              <w:rPr>
                <w:rFonts w:ascii="Arial" w:hAnsi="Arial" w:cs="Arial"/>
                <w:sz w:val="16"/>
                <w:szCs w:val="16"/>
              </w:rPr>
            </w:pPr>
            <w:r>
              <w:rPr>
                <w:rFonts w:ascii="Arial" w:hAnsi="Arial" w:cs="Arial"/>
                <w:sz w:val="16"/>
                <w:szCs w:val="16"/>
              </w:rPr>
              <w:t>0</w:t>
            </w:r>
          </w:p>
        </w:tc>
        <w:tc>
          <w:tcPr>
            <w:tcW w:w="1180" w:type="dxa"/>
            <w:tcBorders>
              <w:top w:val="single" w:sz="4" w:space="0" w:color="auto"/>
              <w:left w:val="single" w:sz="4" w:space="0" w:color="auto"/>
              <w:bottom w:val="single" w:sz="4" w:space="0" w:color="auto"/>
              <w:right w:val="single" w:sz="4" w:space="0" w:color="auto"/>
            </w:tcBorders>
            <w:vAlign w:val="center"/>
          </w:tcPr>
          <w:p w14:paraId="569E5EAB" w14:textId="6D1F1665" w:rsidR="001F5FDE" w:rsidRPr="001F151E" w:rsidRDefault="001F5FDE" w:rsidP="001F5FDE">
            <w:pPr>
              <w:pStyle w:val="EcorysBody"/>
              <w:spacing w:line="200" w:lineRule="exact"/>
              <w:jc w:val="center"/>
              <w:rPr>
                <w:rFonts w:ascii="Arial" w:hAnsi="Arial" w:cs="Arial"/>
                <w:sz w:val="16"/>
                <w:szCs w:val="16"/>
              </w:rPr>
            </w:pPr>
            <w:r w:rsidRPr="001F151E">
              <w:rPr>
                <w:rFonts w:ascii="Arial" w:hAnsi="Arial" w:cs="Arial"/>
                <w:sz w:val="16"/>
                <w:szCs w:val="16"/>
              </w:rPr>
              <w:t>6</w:t>
            </w:r>
          </w:p>
        </w:tc>
        <w:tc>
          <w:tcPr>
            <w:tcW w:w="1181" w:type="dxa"/>
            <w:tcBorders>
              <w:top w:val="single" w:sz="4" w:space="0" w:color="auto"/>
              <w:left w:val="single" w:sz="4" w:space="0" w:color="auto"/>
              <w:bottom w:val="single" w:sz="4" w:space="0" w:color="auto"/>
              <w:right w:val="single" w:sz="4" w:space="0" w:color="auto"/>
            </w:tcBorders>
            <w:vAlign w:val="center"/>
          </w:tcPr>
          <w:p w14:paraId="14A29925" w14:textId="5CAB00D3" w:rsidR="001F5FDE" w:rsidRPr="001F151E" w:rsidRDefault="001F5FDE" w:rsidP="001F5FDE">
            <w:pPr>
              <w:pStyle w:val="EcorysBody"/>
              <w:spacing w:line="200" w:lineRule="exact"/>
              <w:jc w:val="center"/>
              <w:rPr>
                <w:rFonts w:ascii="Arial" w:hAnsi="Arial" w:cs="Arial"/>
                <w:sz w:val="16"/>
                <w:szCs w:val="16"/>
              </w:rPr>
            </w:pPr>
            <w:r w:rsidRPr="001F151E">
              <w:rPr>
                <w:rFonts w:ascii="Arial" w:hAnsi="Arial" w:cs="Arial"/>
                <w:sz w:val="16"/>
                <w:szCs w:val="16"/>
              </w:rPr>
              <w:t>2</w:t>
            </w:r>
          </w:p>
        </w:tc>
        <w:tc>
          <w:tcPr>
            <w:tcW w:w="1181" w:type="dxa"/>
            <w:tcBorders>
              <w:top w:val="single" w:sz="4" w:space="0" w:color="auto"/>
              <w:left w:val="single" w:sz="4" w:space="0" w:color="auto"/>
              <w:bottom w:val="single" w:sz="4" w:space="0" w:color="auto"/>
              <w:right w:val="single" w:sz="4" w:space="0" w:color="auto"/>
            </w:tcBorders>
            <w:vAlign w:val="center"/>
          </w:tcPr>
          <w:p w14:paraId="3CD9DDCF" w14:textId="3BAC7D14" w:rsidR="001F5FDE" w:rsidRPr="001F151E" w:rsidRDefault="00884018" w:rsidP="001F5FDE">
            <w:pPr>
              <w:pStyle w:val="EcorysBody"/>
              <w:spacing w:line="200" w:lineRule="exact"/>
              <w:jc w:val="center"/>
              <w:rPr>
                <w:rFonts w:ascii="Arial" w:hAnsi="Arial" w:cs="Arial"/>
                <w:color w:val="FF0000"/>
                <w:sz w:val="16"/>
                <w:szCs w:val="16"/>
              </w:rPr>
            </w:pPr>
            <w:r>
              <w:rPr>
                <w:rFonts w:ascii="Arial" w:hAnsi="Arial" w:cs="Arial"/>
                <w:sz w:val="16"/>
                <w:szCs w:val="16"/>
              </w:rPr>
              <w:t>0</w:t>
            </w:r>
          </w:p>
        </w:tc>
      </w:tr>
      <w:tr w:rsidR="001F5FDE" w:rsidRPr="001F151E" w14:paraId="2F70D088" w14:textId="77777777" w:rsidTr="000A1205">
        <w:tc>
          <w:tcPr>
            <w:tcW w:w="3114" w:type="dxa"/>
            <w:tcBorders>
              <w:top w:val="single" w:sz="4" w:space="0" w:color="auto"/>
              <w:left w:val="single" w:sz="4" w:space="0" w:color="auto"/>
              <w:bottom w:val="single" w:sz="4" w:space="0" w:color="auto"/>
              <w:right w:val="single" w:sz="4" w:space="0" w:color="auto"/>
            </w:tcBorders>
          </w:tcPr>
          <w:p w14:paraId="7DF408F3" w14:textId="4EB62804" w:rsidR="001F5FDE" w:rsidRPr="001F151E" w:rsidRDefault="001F5FDE" w:rsidP="00B45892">
            <w:pPr>
              <w:pStyle w:val="ListParagraph"/>
              <w:numPr>
                <w:ilvl w:val="0"/>
                <w:numId w:val="63"/>
              </w:numPr>
              <w:spacing w:line="200" w:lineRule="exact"/>
              <w:rPr>
                <w:sz w:val="16"/>
                <w:szCs w:val="16"/>
              </w:rPr>
            </w:pPr>
            <w:r w:rsidRPr="001F151E">
              <w:rPr>
                <w:sz w:val="16"/>
                <w:szCs w:val="16"/>
              </w:rPr>
              <w:t xml:space="preserve">Increase </w:t>
            </w:r>
            <w:r w:rsidR="003262BC" w:rsidRPr="001F151E">
              <w:rPr>
                <w:sz w:val="16"/>
                <w:szCs w:val="16"/>
              </w:rPr>
              <w:t xml:space="preserve">of the </w:t>
            </w:r>
            <w:r w:rsidRPr="001F151E">
              <w:rPr>
                <w:sz w:val="16"/>
                <w:szCs w:val="16"/>
              </w:rPr>
              <w:t>number of instruments for active cash management</w:t>
            </w:r>
          </w:p>
        </w:tc>
        <w:tc>
          <w:tcPr>
            <w:tcW w:w="1180" w:type="dxa"/>
            <w:tcBorders>
              <w:top w:val="single" w:sz="4" w:space="0" w:color="auto"/>
              <w:left w:val="single" w:sz="4" w:space="0" w:color="auto"/>
              <w:bottom w:val="single" w:sz="4" w:space="0" w:color="auto"/>
              <w:right w:val="single" w:sz="4" w:space="0" w:color="auto"/>
            </w:tcBorders>
            <w:vAlign w:val="center"/>
          </w:tcPr>
          <w:p w14:paraId="160851F5" w14:textId="6347349E" w:rsidR="001F5FDE" w:rsidRPr="001F151E" w:rsidRDefault="00884018" w:rsidP="001F5FDE">
            <w:pPr>
              <w:pStyle w:val="EcorysBody"/>
              <w:spacing w:line="200" w:lineRule="exact"/>
              <w:jc w:val="center"/>
              <w:rPr>
                <w:rFonts w:ascii="Arial" w:hAnsi="Arial" w:cs="Arial"/>
                <w:sz w:val="16"/>
                <w:szCs w:val="16"/>
              </w:rPr>
            </w:pPr>
            <w:r>
              <w:rPr>
                <w:rFonts w:ascii="Arial" w:hAnsi="Arial" w:cs="Arial"/>
                <w:sz w:val="16"/>
                <w:szCs w:val="16"/>
              </w:rPr>
              <w:t>1</w:t>
            </w:r>
          </w:p>
        </w:tc>
        <w:tc>
          <w:tcPr>
            <w:tcW w:w="1181" w:type="dxa"/>
            <w:tcBorders>
              <w:top w:val="single" w:sz="4" w:space="0" w:color="auto"/>
              <w:left w:val="single" w:sz="4" w:space="0" w:color="auto"/>
              <w:bottom w:val="single" w:sz="4" w:space="0" w:color="auto"/>
              <w:right w:val="single" w:sz="4" w:space="0" w:color="auto"/>
            </w:tcBorders>
            <w:vAlign w:val="center"/>
          </w:tcPr>
          <w:p w14:paraId="583CEB42" w14:textId="3DBA6EC2" w:rsidR="001F5FDE" w:rsidRPr="001F151E" w:rsidRDefault="00884018" w:rsidP="001F5FDE">
            <w:pPr>
              <w:pStyle w:val="EcorysBody"/>
              <w:spacing w:line="200" w:lineRule="exact"/>
              <w:jc w:val="center"/>
              <w:rPr>
                <w:rFonts w:ascii="Arial" w:hAnsi="Arial" w:cs="Arial"/>
                <w:sz w:val="16"/>
                <w:szCs w:val="16"/>
              </w:rPr>
            </w:pPr>
            <w:r>
              <w:rPr>
                <w:rFonts w:ascii="Arial" w:hAnsi="Arial" w:cs="Arial"/>
                <w:sz w:val="16"/>
                <w:szCs w:val="16"/>
              </w:rPr>
              <w:t>0</w:t>
            </w:r>
          </w:p>
        </w:tc>
        <w:tc>
          <w:tcPr>
            <w:tcW w:w="1180" w:type="dxa"/>
            <w:tcBorders>
              <w:top w:val="single" w:sz="4" w:space="0" w:color="auto"/>
              <w:left w:val="single" w:sz="4" w:space="0" w:color="auto"/>
              <w:bottom w:val="single" w:sz="4" w:space="0" w:color="auto"/>
              <w:right w:val="single" w:sz="4" w:space="0" w:color="auto"/>
            </w:tcBorders>
            <w:vAlign w:val="center"/>
          </w:tcPr>
          <w:p w14:paraId="341A3937" w14:textId="3437EEC1" w:rsidR="001F5FDE" w:rsidRPr="001F151E" w:rsidRDefault="00884018" w:rsidP="001F5FDE">
            <w:pPr>
              <w:pStyle w:val="EcorysBody"/>
              <w:spacing w:line="200" w:lineRule="exact"/>
              <w:jc w:val="center"/>
              <w:rPr>
                <w:rFonts w:ascii="Arial" w:hAnsi="Arial" w:cs="Arial"/>
                <w:sz w:val="16"/>
                <w:szCs w:val="16"/>
              </w:rPr>
            </w:pPr>
            <w:r>
              <w:rPr>
                <w:rFonts w:ascii="Arial" w:hAnsi="Arial" w:cs="Arial"/>
                <w:sz w:val="16"/>
                <w:szCs w:val="16"/>
              </w:rPr>
              <w:t>0</w:t>
            </w:r>
          </w:p>
        </w:tc>
        <w:tc>
          <w:tcPr>
            <w:tcW w:w="1181" w:type="dxa"/>
            <w:tcBorders>
              <w:top w:val="single" w:sz="4" w:space="0" w:color="auto"/>
              <w:left w:val="single" w:sz="4" w:space="0" w:color="auto"/>
              <w:bottom w:val="single" w:sz="4" w:space="0" w:color="auto"/>
              <w:right w:val="single" w:sz="4" w:space="0" w:color="auto"/>
            </w:tcBorders>
            <w:vAlign w:val="center"/>
          </w:tcPr>
          <w:p w14:paraId="6D11BE95" w14:textId="458C439F" w:rsidR="001F5FDE" w:rsidRPr="001F151E" w:rsidRDefault="001F5FDE" w:rsidP="001F5FDE">
            <w:pPr>
              <w:pStyle w:val="EcorysBody"/>
              <w:spacing w:line="200" w:lineRule="exact"/>
              <w:jc w:val="center"/>
              <w:rPr>
                <w:rFonts w:ascii="Arial" w:hAnsi="Arial" w:cs="Arial"/>
                <w:sz w:val="16"/>
                <w:szCs w:val="16"/>
              </w:rPr>
            </w:pPr>
            <w:r w:rsidRPr="001F151E">
              <w:rPr>
                <w:rFonts w:ascii="Arial" w:hAnsi="Arial" w:cs="Arial"/>
                <w:sz w:val="16"/>
                <w:szCs w:val="16"/>
              </w:rPr>
              <w:t>1</w:t>
            </w:r>
          </w:p>
        </w:tc>
        <w:tc>
          <w:tcPr>
            <w:tcW w:w="1181" w:type="dxa"/>
            <w:tcBorders>
              <w:top w:val="single" w:sz="4" w:space="0" w:color="auto"/>
              <w:left w:val="single" w:sz="4" w:space="0" w:color="auto"/>
              <w:bottom w:val="single" w:sz="4" w:space="0" w:color="auto"/>
              <w:right w:val="single" w:sz="4" w:space="0" w:color="auto"/>
            </w:tcBorders>
            <w:vAlign w:val="center"/>
          </w:tcPr>
          <w:p w14:paraId="5CC93E88" w14:textId="60CF39A1" w:rsidR="001F5FDE" w:rsidRPr="001F151E" w:rsidRDefault="00884018" w:rsidP="001F5FDE">
            <w:pPr>
              <w:pStyle w:val="EcorysBody"/>
              <w:spacing w:line="200" w:lineRule="exact"/>
              <w:jc w:val="center"/>
              <w:rPr>
                <w:rFonts w:ascii="Arial" w:hAnsi="Arial" w:cs="Arial"/>
                <w:sz w:val="16"/>
                <w:szCs w:val="16"/>
              </w:rPr>
            </w:pPr>
            <w:r>
              <w:rPr>
                <w:rFonts w:ascii="Arial" w:hAnsi="Arial" w:cs="Arial"/>
                <w:sz w:val="16"/>
                <w:szCs w:val="16"/>
              </w:rPr>
              <w:t>0</w:t>
            </w:r>
          </w:p>
        </w:tc>
      </w:tr>
    </w:tbl>
    <w:p w14:paraId="7C63EC0D" w14:textId="77777777" w:rsidR="002C447B" w:rsidRPr="001F151E" w:rsidRDefault="002C447B" w:rsidP="002C447B">
      <w:pPr>
        <w:rPr>
          <w:lang w:val="en-GB"/>
        </w:rPr>
      </w:pPr>
    </w:p>
    <w:p w14:paraId="3A9CDA85" w14:textId="77777777" w:rsidR="00801FD9" w:rsidRPr="001F151E" w:rsidRDefault="00801FD9" w:rsidP="002C447B">
      <w:pPr>
        <w:rPr>
          <w:lang w:val="en-GB"/>
        </w:rPr>
      </w:pPr>
    </w:p>
    <w:p w14:paraId="521AE87F" w14:textId="77777777" w:rsidR="00345678" w:rsidRPr="001F151E" w:rsidRDefault="00345678" w:rsidP="00345678">
      <w:pPr>
        <w:pStyle w:val="Heading2"/>
        <w:rPr>
          <w:rFonts w:eastAsiaTheme="minorHAnsi"/>
          <w:lang w:val="en-GB"/>
        </w:rPr>
      </w:pPr>
      <w:bookmarkStart w:id="54" w:name="_Toc152719057"/>
      <w:bookmarkStart w:id="55" w:name="_Toc163148032"/>
      <w:bookmarkStart w:id="56" w:name="_Hlk148118301"/>
      <w:r w:rsidRPr="001F151E">
        <w:rPr>
          <w:rFonts w:eastAsiaTheme="minorHAnsi"/>
          <w:lang w:val="en-GB"/>
        </w:rPr>
        <w:t>Component 4.</w:t>
      </w:r>
      <w:r>
        <w:rPr>
          <w:rFonts w:eastAsiaTheme="minorHAnsi"/>
          <w:lang w:val="en-GB"/>
        </w:rPr>
        <w:t>6</w:t>
      </w:r>
      <w:r w:rsidRPr="001F151E">
        <w:rPr>
          <w:rFonts w:eastAsiaTheme="minorHAnsi"/>
          <w:lang w:val="en-GB"/>
        </w:rPr>
        <w:t xml:space="preserve"> Asset Management</w:t>
      </w:r>
      <w:bookmarkEnd w:id="54"/>
      <w:bookmarkEnd w:id="55"/>
    </w:p>
    <w:p w14:paraId="6D562EB2" w14:textId="77777777" w:rsidR="00345678" w:rsidRPr="001F151E" w:rsidRDefault="00345678" w:rsidP="00345678">
      <w:pPr>
        <w:rPr>
          <w:lang w:val="en-GB"/>
        </w:rPr>
      </w:pPr>
    </w:p>
    <w:p w14:paraId="1E4A4559" w14:textId="77777777" w:rsidR="00345678" w:rsidRPr="001F151E" w:rsidRDefault="00345678" w:rsidP="00345678">
      <w:pPr>
        <w:pStyle w:val="H5"/>
        <w:spacing w:line="276" w:lineRule="auto"/>
        <w:jc w:val="both"/>
        <w:rPr>
          <w:lang w:val="en-GB"/>
        </w:rPr>
      </w:pPr>
      <w:r w:rsidRPr="001F151E">
        <w:rPr>
          <w:lang w:val="en-GB"/>
        </w:rPr>
        <w:t>Objective</w:t>
      </w:r>
    </w:p>
    <w:p w14:paraId="2253235A" w14:textId="77777777" w:rsidR="00345678" w:rsidRPr="00345678" w:rsidRDefault="00345678" w:rsidP="00345678">
      <w:pPr>
        <w:pStyle w:val="H5"/>
        <w:spacing w:line="276" w:lineRule="auto"/>
        <w:jc w:val="both"/>
        <w:rPr>
          <w:b w:val="0"/>
          <w:bCs w:val="0"/>
          <w:color w:val="auto"/>
          <w:lang w:val="en-GB"/>
        </w:rPr>
      </w:pPr>
      <w:r w:rsidRPr="00345678">
        <w:rPr>
          <w:b w:val="0"/>
          <w:bCs w:val="0"/>
          <w:color w:val="auto"/>
          <w:lang w:val="en-GB"/>
        </w:rPr>
        <w:t>The goal for 2030 is to have completed the procedures and systems for the registration and valuation of all public assets in accordance with the adopted accounting standards.</w:t>
      </w:r>
    </w:p>
    <w:p w14:paraId="6A7FFA20" w14:textId="77777777" w:rsidR="00345678" w:rsidRPr="00345678" w:rsidRDefault="00345678" w:rsidP="00345678">
      <w:pPr>
        <w:pStyle w:val="H5"/>
        <w:spacing w:line="276" w:lineRule="auto"/>
        <w:jc w:val="both"/>
        <w:rPr>
          <w:lang w:val="en-GB"/>
        </w:rPr>
      </w:pPr>
    </w:p>
    <w:p w14:paraId="4AAB93F0" w14:textId="77777777" w:rsidR="00345678" w:rsidRPr="00345678" w:rsidRDefault="00345678" w:rsidP="00345678">
      <w:pPr>
        <w:pStyle w:val="H5"/>
        <w:spacing w:line="276" w:lineRule="auto"/>
        <w:jc w:val="both"/>
        <w:rPr>
          <w:lang w:val="en-GB"/>
        </w:rPr>
      </w:pPr>
      <w:r w:rsidRPr="00345678">
        <w:rPr>
          <w:lang w:val="en-GB"/>
        </w:rPr>
        <w:t xml:space="preserve">Context </w:t>
      </w:r>
    </w:p>
    <w:p w14:paraId="335730C2" w14:textId="77777777" w:rsidR="00345678" w:rsidRPr="00345678" w:rsidRDefault="00345678" w:rsidP="00345678">
      <w:pPr>
        <w:spacing w:line="276" w:lineRule="auto"/>
        <w:jc w:val="both"/>
        <w:rPr>
          <w:lang w:val="en-GB"/>
        </w:rPr>
      </w:pPr>
      <w:r w:rsidRPr="00345678">
        <w:rPr>
          <w:lang w:val="en-GB"/>
        </w:rPr>
        <w:t xml:space="preserve">For the purpose of accounting, a public asset register module has been created in AGFIS. Considering the substantial data gap in the fixed assets records, an assessment of the quality, completeness, methodology and accuracy of the fixed assets was conducted under the WB project “Development of public sector accounting in Albania (IPSAS)”. As a result some instructions and guidelines were drafted such as: (i) an instruction on the initial recognition, measurement and derecognition of each class of assets, (ii) a methodology for fixed asset register, and (iii) an action plan for fixed assets stocktaking and proposed stocktaking arrangement at the business unit level. In conjunction with rolling out the register, training has been provided to the users of the system. </w:t>
      </w:r>
    </w:p>
    <w:p w14:paraId="32F662C3" w14:textId="77777777" w:rsidR="00345678" w:rsidRPr="00345678" w:rsidRDefault="00345678" w:rsidP="00345678">
      <w:pPr>
        <w:spacing w:line="276" w:lineRule="auto"/>
        <w:jc w:val="both"/>
        <w:rPr>
          <w:lang w:val="en-GB"/>
        </w:rPr>
      </w:pPr>
      <w:r w:rsidRPr="00345678">
        <w:rPr>
          <w:lang w:val="en-GB"/>
        </w:rPr>
        <w:t xml:space="preserve">.  </w:t>
      </w:r>
    </w:p>
    <w:p w14:paraId="313795FA" w14:textId="77777777" w:rsidR="00345678" w:rsidRPr="00345678" w:rsidRDefault="00345678" w:rsidP="00345678">
      <w:pPr>
        <w:pStyle w:val="H5"/>
        <w:spacing w:line="276" w:lineRule="auto"/>
        <w:jc w:val="both"/>
        <w:rPr>
          <w:lang w:val="en-GB"/>
        </w:rPr>
      </w:pPr>
      <w:r w:rsidRPr="00345678">
        <w:rPr>
          <w:lang w:val="en-GB"/>
        </w:rPr>
        <w:lastRenderedPageBreak/>
        <w:t xml:space="preserve">Priorities </w:t>
      </w:r>
    </w:p>
    <w:p w14:paraId="3C816812" w14:textId="77777777" w:rsidR="00345678" w:rsidRPr="00345678" w:rsidRDefault="00345678" w:rsidP="00345678">
      <w:pPr>
        <w:spacing w:line="276" w:lineRule="auto"/>
        <w:jc w:val="both"/>
        <w:rPr>
          <w:lang w:val="en-GB"/>
        </w:rPr>
      </w:pPr>
      <w:r w:rsidRPr="00345678">
        <w:rPr>
          <w:lang w:val="en-GB"/>
        </w:rPr>
        <w:t>The priority for the period 2023-2026 is:</w:t>
      </w:r>
    </w:p>
    <w:p w14:paraId="4B82429F" w14:textId="77777777" w:rsidR="00345678" w:rsidRPr="00345678" w:rsidRDefault="00345678" w:rsidP="00345678">
      <w:pPr>
        <w:pStyle w:val="N-Bullet"/>
        <w:numPr>
          <w:ilvl w:val="0"/>
          <w:numId w:val="19"/>
        </w:numPr>
        <w:spacing w:line="276" w:lineRule="auto"/>
        <w:jc w:val="both"/>
        <w:rPr>
          <w:lang w:val="en-GB"/>
        </w:rPr>
      </w:pPr>
      <w:r w:rsidRPr="00345678">
        <w:rPr>
          <w:lang w:val="en-GB"/>
        </w:rPr>
        <w:t>Finalising the reform on introducing and fully deploying the asset register module in AGFIS.</w:t>
      </w:r>
    </w:p>
    <w:p w14:paraId="5F429D8F" w14:textId="77777777" w:rsidR="00345678" w:rsidRPr="001F151E" w:rsidRDefault="00345678" w:rsidP="00345678">
      <w:pPr>
        <w:rPr>
          <w:lang w:val="en-GB"/>
        </w:rPr>
      </w:pPr>
    </w:p>
    <w:p w14:paraId="19A361F3" w14:textId="77777777" w:rsidR="00345678" w:rsidRPr="001F151E" w:rsidRDefault="00345678" w:rsidP="00345678">
      <w:pPr>
        <w:pStyle w:val="H5"/>
        <w:rPr>
          <w:lang w:val="en-GB"/>
        </w:rPr>
      </w:pPr>
      <w:r w:rsidRPr="001F151E">
        <w:rPr>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18"/>
        <w:gridCol w:w="3637"/>
        <w:gridCol w:w="794"/>
        <w:gridCol w:w="794"/>
        <w:gridCol w:w="1773"/>
      </w:tblGrid>
      <w:tr w:rsidR="00345678" w:rsidRPr="001F151E" w14:paraId="68EBEF57" w14:textId="77777777" w:rsidTr="00086262">
        <w:trPr>
          <w:trHeight w:val="20"/>
          <w:tblHeader/>
        </w:trPr>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16971" w14:textId="77777777" w:rsidR="00345678" w:rsidRPr="001F151E" w:rsidRDefault="00345678" w:rsidP="00086262">
            <w:pPr>
              <w:pStyle w:val="T-bold"/>
              <w:spacing w:line="288" w:lineRule="auto"/>
            </w:pPr>
            <w:r w:rsidRPr="001F151E">
              <w:t>Measure</w:t>
            </w:r>
          </w:p>
        </w:tc>
        <w:tc>
          <w:tcPr>
            <w:tcW w:w="3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66D66F" w14:textId="77777777" w:rsidR="00345678" w:rsidRPr="001F151E" w:rsidRDefault="00345678" w:rsidP="00086262">
            <w:pPr>
              <w:pStyle w:val="T-bold"/>
              <w:spacing w:line="288" w:lineRule="auto"/>
            </w:pPr>
            <w:r w:rsidRPr="001F151E">
              <w:t>Activity</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D5DFA" w14:textId="77777777" w:rsidR="00345678" w:rsidRPr="001F151E" w:rsidRDefault="00345678" w:rsidP="00086262">
            <w:pPr>
              <w:pStyle w:val="T-bold"/>
              <w:spacing w:line="288" w:lineRule="auto"/>
              <w:jc w:val="center"/>
            </w:pPr>
            <w:r w:rsidRPr="001F151E">
              <w:t>Start</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311D" w14:textId="77777777" w:rsidR="00345678" w:rsidRPr="001F151E" w:rsidRDefault="00345678" w:rsidP="00086262">
            <w:pPr>
              <w:pStyle w:val="T-bold"/>
              <w:spacing w:line="288" w:lineRule="auto"/>
              <w:jc w:val="center"/>
            </w:pPr>
            <w:r w:rsidRPr="001F151E">
              <w:t>End</w:t>
            </w: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A7F195" w14:textId="77777777" w:rsidR="00345678" w:rsidRPr="001F151E" w:rsidRDefault="00345678" w:rsidP="00086262">
            <w:pPr>
              <w:pStyle w:val="T-bold"/>
              <w:spacing w:line="288" w:lineRule="auto"/>
            </w:pPr>
            <w:r w:rsidRPr="001F151E">
              <w:t>Stakeholders</w:t>
            </w:r>
          </w:p>
        </w:tc>
      </w:tr>
      <w:tr w:rsidR="00345678" w:rsidRPr="001F151E" w14:paraId="43F802E0" w14:textId="77777777" w:rsidTr="00086262">
        <w:trPr>
          <w:trHeight w:val="20"/>
        </w:trPr>
        <w:tc>
          <w:tcPr>
            <w:tcW w:w="2018" w:type="dxa"/>
            <w:vMerge w:val="restart"/>
            <w:tcBorders>
              <w:top w:val="single" w:sz="4" w:space="0" w:color="auto"/>
              <w:left w:val="single" w:sz="4" w:space="0" w:color="auto"/>
              <w:right w:val="single" w:sz="4" w:space="0" w:color="auto"/>
            </w:tcBorders>
          </w:tcPr>
          <w:p w14:paraId="3E49D384" w14:textId="77777777" w:rsidR="00345678" w:rsidRPr="001F151E" w:rsidRDefault="00345678" w:rsidP="00086262">
            <w:pPr>
              <w:pStyle w:val="EcorysBody"/>
              <w:rPr>
                <w:rFonts w:ascii="Arial" w:hAnsi="Arial" w:cs="Arial"/>
                <w:b/>
                <w:sz w:val="16"/>
                <w:szCs w:val="16"/>
              </w:rPr>
            </w:pPr>
            <w:r w:rsidRPr="001F151E">
              <w:rPr>
                <w:rFonts w:ascii="Arial" w:hAnsi="Arial" w:cs="Arial"/>
                <w:b/>
                <w:sz w:val="16"/>
                <w:szCs w:val="16"/>
              </w:rPr>
              <w:t>Measure 4.</w:t>
            </w:r>
            <w:r>
              <w:rPr>
                <w:rFonts w:ascii="Arial" w:hAnsi="Arial" w:cs="Arial"/>
                <w:b/>
                <w:sz w:val="16"/>
                <w:szCs w:val="16"/>
              </w:rPr>
              <w:t>6</w:t>
            </w:r>
            <w:r w:rsidRPr="001F151E">
              <w:rPr>
                <w:rFonts w:ascii="Arial" w:hAnsi="Arial" w:cs="Arial"/>
                <w:b/>
                <w:sz w:val="16"/>
                <w:szCs w:val="16"/>
              </w:rPr>
              <w:t>.1 Finalise reform on asset registration for accounting purposes</w:t>
            </w:r>
          </w:p>
          <w:p w14:paraId="314452E9" w14:textId="77777777" w:rsidR="00345678" w:rsidRPr="001F151E" w:rsidRDefault="00345678" w:rsidP="00086262">
            <w:pPr>
              <w:pStyle w:val="EcorysBody"/>
              <w:rPr>
                <w:rFonts w:ascii="Arial" w:eastAsia="Times New Roman" w:hAnsi="Arial" w:cs="Arial"/>
                <w:b/>
                <w:bCs/>
                <w:sz w:val="16"/>
                <w:szCs w:val="16"/>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252D73F6" w14:textId="77777777" w:rsidR="00345678" w:rsidRPr="001F151E" w:rsidRDefault="00345678" w:rsidP="00B45892">
            <w:pPr>
              <w:pStyle w:val="ListParagraph"/>
              <w:numPr>
                <w:ilvl w:val="0"/>
                <w:numId w:val="61"/>
              </w:numPr>
              <w:autoSpaceDE w:val="0"/>
              <w:autoSpaceDN w:val="0"/>
              <w:adjustRightInd w:val="0"/>
              <w:rPr>
                <w:rFonts w:eastAsia="Times New Roman"/>
                <w:bCs/>
                <w:sz w:val="16"/>
                <w:szCs w:val="16"/>
              </w:rPr>
            </w:pPr>
            <w:r w:rsidRPr="001F151E">
              <w:rPr>
                <w:rFonts w:eastAsia="Times New Roman"/>
                <w:bCs/>
                <w:sz w:val="16"/>
                <w:szCs w:val="16"/>
              </w:rPr>
              <w:t>Review and amend the relevant methodology for asset management in accordance with IPSAS requirements.</w:t>
            </w:r>
            <w:r w:rsidRPr="001F151E">
              <w:rPr>
                <w:rStyle w:val="FootnoteReference"/>
                <w:rFonts w:eastAsia="Times New Roman"/>
                <w:bCs/>
              </w:rPr>
              <w:footnoteReference w:id="61"/>
            </w:r>
          </w:p>
        </w:tc>
        <w:tc>
          <w:tcPr>
            <w:tcW w:w="794" w:type="dxa"/>
            <w:tcBorders>
              <w:top w:val="single" w:sz="4" w:space="0" w:color="auto"/>
              <w:left w:val="single" w:sz="4" w:space="0" w:color="auto"/>
              <w:bottom w:val="single" w:sz="4" w:space="0" w:color="auto"/>
              <w:right w:val="single" w:sz="4" w:space="0" w:color="auto"/>
            </w:tcBorders>
            <w:vAlign w:val="center"/>
            <w:hideMark/>
          </w:tcPr>
          <w:p w14:paraId="5BC66A80" w14:textId="77777777" w:rsidR="00345678" w:rsidRPr="001F151E" w:rsidRDefault="00345678" w:rsidP="00086262">
            <w:pPr>
              <w:jc w:val="center"/>
              <w:rPr>
                <w:sz w:val="16"/>
                <w:szCs w:val="16"/>
              </w:rPr>
            </w:pPr>
            <w:r w:rsidRPr="001F151E">
              <w:rPr>
                <w:sz w:val="16"/>
                <w:szCs w:val="16"/>
              </w:rPr>
              <w:t>Q1 2024</w:t>
            </w:r>
          </w:p>
        </w:tc>
        <w:tc>
          <w:tcPr>
            <w:tcW w:w="794" w:type="dxa"/>
            <w:tcBorders>
              <w:top w:val="single" w:sz="4" w:space="0" w:color="auto"/>
              <w:left w:val="single" w:sz="4" w:space="0" w:color="auto"/>
              <w:bottom w:val="single" w:sz="4" w:space="0" w:color="auto"/>
              <w:right w:val="single" w:sz="4" w:space="0" w:color="auto"/>
            </w:tcBorders>
            <w:vAlign w:val="center"/>
            <w:hideMark/>
          </w:tcPr>
          <w:p w14:paraId="65F08AF0" w14:textId="77777777" w:rsidR="00345678" w:rsidRPr="001F151E" w:rsidRDefault="00345678" w:rsidP="00086262">
            <w:pPr>
              <w:jc w:val="center"/>
              <w:rPr>
                <w:sz w:val="16"/>
                <w:szCs w:val="16"/>
              </w:rPr>
            </w:pPr>
            <w:r w:rsidRPr="001F151E">
              <w:rPr>
                <w:sz w:val="16"/>
                <w:szCs w:val="16"/>
              </w:rPr>
              <w:t>2027</w:t>
            </w:r>
          </w:p>
        </w:tc>
        <w:tc>
          <w:tcPr>
            <w:tcW w:w="1773" w:type="dxa"/>
            <w:vMerge w:val="restart"/>
            <w:tcBorders>
              <w:top w:val="single" w:sz="4" w:space="0" w:color="auto"/>
              <w:left w:val="single" w:sz="4" w:space="0" w:color="auto"/>
              <w:right w:val="single" w:sz="4" w:space="0" w:color="auto"/>
            </w:tcBorders>
          </w:tcPr>
          <w:p w14:paraId="580EFC3E" w14:textId="77777777" w:rsidR="00345678" w:rsidRPr="001F151E" w:rsidRDefault="00345678" w:rsidP="00086262">
            <w:pPr>
              <w:rPr>
                <w:b/>
                <w:bCs/>
                <w:sz w:val="16"/>
                <w:szCs w:val="16"/>
              </w:rPr>
            </w:pPr>
            <w:r w:rsidRPr="001F151E">
              <w:rPr>
                <w:b/>
                <w:bCs/>
                <w:sz w:val="16"/>
                <w:szCs w:val="16"/>
              </w:rPr>
              <w:t>Responsible entity:</w:t>
            </w:r>
          </w:p>
          <w:p w14:paraId="51EFB54F" w14:textId="693062AC" w:rsidR="00345678" w:rsidRPr="001F151E" w:rsidRDefault="00345678" w:rsidP="00086262">
            <w:pPr>
              <w:rPr>
                <w:sz w:val="16"/>
                <w:szCs w:val="16"/>
              </w:rPr>
            </w:pPr>
            <w:r w:rsidRPr="001F151E">
              <w:rPr>
                <w:sz w:val="16"/>
                <w:szCs w:val="16"/>
              </w:rPr>
              <w:t>DHMCA (lead for IPSAS), GDT</w:t>
            </w:r>
            <w:r w:rsidR="00E370D4">
              <w:rPr>
                <w:sz w:val="16"/>
                <w:szCs w:val="16"/>
              </w:rPr>
              <w:t>reasury</w:t>
            </w:r>
            <w:r w:rsidRPr="001F151E">
              <w:rPr>
                <w:sz w:val="16"/>
                <w:szCs w:val="16"/>
              </w:rPr>
              <w:t xml:space="preserve"> (lead for AGFIS). </w:t>
            </w:r>
          </w:p>
          <w:p w14:paraId="740B68EB" w14:textId="77777777" w:rsidR="00345678" w:rsidRPr="001F151E" w:rsidRDefault="00345678" w:rsidP="00086262">
            <w:pPr>
              <w:rPr>
                <w:sz w:val="16"/>
                <w:szCs w:val="16"/>
              </w:rPr>
            </w:pPr>
          </w:p>
          <w:p w14:paraId="74C4FBAD" w14:textId="77777777" w:rsidR="00345678" w:rsidRPr="001F151E" w:rsidRDefault="00345678" w:rsidP="00086262">
            <w:pPr>
              <w:rPr>
                <w:sz w:val="16"/>
                <w:szCs w:val="16"/>
              </w:rPr>
            </w:pPr>
          </w:p>
        </w:tc>
      </w:tr>
      <w:tr w:rsidR="00345678" w:rsidRPr="001F151E" w14:paraId="11C36487" w14:textId="77777777" w:rsidTr="00086262">
        <w:trPr>
          <w:trHeight w:val="20"/>
        </w:trPr>
        <w:tc>
          <w:tcPr>
            <w:tcW w:w="0" w:type="auto"/>
            <w:vMerge/>
            <w:tcBorders>
              <w:left w:val="single" w:sz="4" w:space="0" w:color="auto"/>
              <w:right w:val="single" w:sz="4" w:space="0" w:color="auto"/>
            </w:tcBorders>
            <w:vAlign w:val="center"/>
            <w:hideMark/>
          </w:tcPr>
          <w:p w14:paraId="1C931BED" w14:textId="77777777" w:rsidR="00345678" w:rsidRPr="001F151E" w:rsidRDefault="00345678" w:rsidP="00086262">
            <w:pPr>
              <w:spacing w:line="240" w:lineRule="auto"/>
              <w:rPr>
                <w:rFonts w:eastAsia="Times New Roman"/>
                <w:b/>
                <w:bCs/>
                <w:sz w:val="16"/>
                <w:szCs w:val="16"/>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52A310B0" w14:textId="77777777" w:rsidR="00345678" w:rsidRPr="001F151E" w:rsidRDefault="00345678" w:rsidP="00B45892">
            <w:pPr>
              <w:pStyle w:val="ListParagraph"/>
              <w:numPr>
                <w:ilvl w:val="0"/>
                <w:numId w:val="61"/>
              </w:numPr>
              <w:autoSpaceDE w:val="0"/>
              <w:autoSpaceDN w:val="0"/>
              <w:adjustRightInd w:val="0"/>
              <w:rPr>
                <w:rFonts w:eastAsia="Times New Roman"/>
                <w:bCs/>
                <w:sz w:val="16"/>
                <w:szCs w:val="16"/>
              </w:rPr>
            </w:pPr>
            <w:r w:rsidRPr="001F151E">
              <w:rPr>
                <w:rFonts w:eastAsia="Times New Roman"/>
                <w:bCs/>
                <w:sz w:val="16"/>
                <w:szCs w:val="16"/>
              </w:rPr>
              <w:t>Continue and finalise migration / entry of asset data into AGFIS by online Budget Institutions and perform the necessary checks.</w:t>
            </w:r>
          </w:p>
        </w:tc>
        <w:tc>
          <w:tcPr>
            <w:tcW w:w="794" w:type="dxa"/>
            <w:tcBorders>
              <w:top w:val="single" w:sz="4" w:space="0" w:color="auto"/>
              <w:left w:val="single" w:sz="4" w:space="0" w:color="auto"/>
              <w:bottom w:val="single" w:sz="4" w:space="0" w:color="auto"/>
              <w:right w:val="single" w:sz="4" w:space="0" w:color="auto"/>
            </w:tcBorders>
            <w:vAlign w:val="center"/>
          </w:tcPr>
          <w:p w14:paraId="54C4159D" w14:textId="77777777" w:rsidR="00345678" w:rsidRPr="001F151E" w:rsidRDefault="00345678" w:rsidP="00086262">
            <w:pPr>
              <w:jc w:val="center"/>
              <w:rPr>
                <w:sz w:val="16"/>
                <w:szCs w:val="16"/>
              </w:rPr>
            </w:pPr>
            <w:r w:rsidRPr="001F151E">
              <w:rPr>
                <w:sz w:val="16"/>
                <w:szCs w:val="16"/>
              </w:rPr>
              <w:t>Q1 2024</w:t>
            </w:r>
          </w:p>
        </w:tc>
        <w:tc>
          <w:tcPr>
            <w:tcW w:w="794" w:type="dxa"/>
            <w:tcBorders>
              <w:top w:val="single" w:sz="4" w:space="0" w:color="auto"/>
              <w:left w:val="single" w:sz="4" w:space="0" w:color="auto"/>
              <w:bottom w:val="single" w:sz="4" w:space="0" w:color="auto"/>
              <w:right w:val="single" w:sz="4" w:space="0" w:color="auto"/>
            </w:tcBorders>
            <w:vAlign w:val="center"/>
          </w:tcPr>
          <w:p w14:paraId="017E1489" w14:textId="77777777" w:rsidR="00345678" w:rsidRPr="001F151E" w:rsidRDefault="00345678" w:rsidP="00086262">
            <w:pPr>
              <w:jc w:val="center"/>
              <w:rPr>
                <w:sz w:val="16"/>
                <w:szCs w:val="16"/>
              </w:rPr>
            </w:pPr>
            <w:r w:rsidRPr="001F151E">
              <w:rPr>
                <w:sz w:val="16"/>
                <w:szCs w:val="16"/>
              </w:rPr>
              <w:t>Q3 2026</w:t>
            </w:r>
          </w:p>
        </w:tc>
        <w:tc>
          <w:tcPr>
            <w:tcW w:w="0" w:type="auto"/>
            <w:vMerge/>
            <w:tcBorders>
              <w:left w:val="single" w:sz="4" w:space="0" w:color="auto"/>
              <w:right w:val="single" w:sz="4" w:space="0" w:color="auto"/>
            </w:tcBorders>
            <w:vAlign w:val="center"/>
            <w:hideMark/>
          </w:tcPr>
          <w:p w14:paraId="5CE67FD8" w14:textId="77777777" w:rsidR="00345678" w:rsidRPr="001F151E" w:rsidRDefault="00345678" w:rsidP="00086262">
            <w:pPr>
              <w:spacing w:line="240" w:lineRule="auto"/>
              <w:rPr>
                <w:sz w:val="16"/>
                <w:szCs w:val="16"/>
              </w:rPr>
            </w:pPr>
          </w:p>
        </w:tc>
      </w:tr>
      <w:tr w:rsidR="00345678" w:rsidRPr="001F151E" w14:paraId="6E3872A4" w14:textId="77777777" w:rsidTr="00086262">
        <w:trPr>
          <w:trHeight w:val="20"/>
        </w:trPr>
        <w:tc>
          <w:tcPr>
            <w:tcW w:w="0" w:type="auto"/>
            <w:vMerge/>
            <w:tcBorders>
              <w:left w:val="single" w:sz="4" w:space="0" w:color="auto"/>
              <w:right w:val="single" w:sz="4" w:space="0" w:color="auto"/>
            </w:tcBorders>
            <w:vAlign w:val="center"/>
          </w:tcPr>
          <w:p w14:paraId="0FF452EE" w14:textId="77777777" w:rsidR="00345678" w:rsidRPr="001F151E" w:rsidRDefault="00345678" w:rsidP="00086262">
            <w:pPr>
              <w:spacing w:line="240" w:lineRule="auto"/>
              <w:rPr>
                <w:rFonts w:eastAsia="Times New Roman"/>
                <w:b/>
                <w:bCs/>
                <w:sz w:val="16"/>
                <w:szCs w:val="16"/>
              </w:rPr>
            </w:pPr>
          </w:p>
        </w:tc>
        <w:tc>
          <w:tcPr>
            <w:tcW w:w="3637" w:type="dxa"/>
            <w:tcBorders>
              <w:top w:val="single" w:sz="4" w:space="0" w:color="auto"/>
              <w:left w:val="single" w:sz="4" w:space="0" w:color="auto"/>
              <w:bottom w:val="single" w:sz="4" w:space="0" w:color="auto"/>
              <w:right w:val="single" w:sz="4" w:space="0" w:color="auto"/>
            </w:tcBorders>
            <w:vAlign w:val="center"/>
          </w:tcPr>
          <w:p w14:paraId="2B1E3DAB" w14:textId="77777777" w:rsidR="00345678" w:rsidRPr="001F151E" w:rsidRDefault="00345678" w:rsidP="00B45892">
            <w:pPr>
              <w:pStyle w:val="ListParagraph"/>
              <w:numPr>
                <w:ilvl w:val="0"/>
                <w:numId w:val="61"/>
              </w:numPr>
              <w:autoSpaceDE w:val="0"/>
              <w:autoSpaceDN w:val="0"/>
              <w:adjustRightInd w:val="0"/>
              <w:rPr>
                <w:rFonts w:eastAsia="Times New Roman"/>
                <w:bCs/>
                <w:sz w:val="16"/>
                <w:szCs w:val="16"/>
              </w:rPr>
            </w:pPr>
            <w:r w:rsidRPr="001F151E">
              <w:rPr>
                <w:rFonts w:eastAsia="Times New Roman"/>
                <w:bCs/>
                <w:sz w:val="16"/>
                <w:szCs w:val="16"/>
              </w:rPr>
              <w:t>Public sector institutions carries out the inventory and evaluation of their assets.</w:t>
            </w:r>
          </w:p>
        </w:tc>
        <w:tc>
          <w:tcPr>
            <w:tcW w:w="794" w:type="dxa"/>
            <w:tcBorders>
              <w:top w:val="single" w:sz="4" w:space="0" w:color="auto"/>
              <w:left w:val="single" w:sz="4" w:space="0" w:color="auto"/>
              <w:bottom w:val="single" w:sz="4" w:space="0" w:color="auto"/>
              <w:right w:val="single" w:sz="4" w:space="0" w:color="auto"/>
            </w:tcBorders>
            <w:vAlign w:val="center"/>
          </w:tcPr>
          <w:p w14:paraId="42308E5B" w14:textId="77777777" w:rsidR="00345678" w:rsidRPr="001F151E" w:rsidRDefault="00345678" w:rsidP="00086262">
            <w:pPr>
              <w:jc w:val="center"/>
              <w:rPr>
                <w:sz w:val="16"/>
                <w:szCs w:val="16"/>
              </w:rPr>
            </w:pPr>
            <w:r w:rsidRPr="001F151E">
              <w:rPr>
                <w:sz w:val="16"/>
                <w:szCs w:val="16"/>
              </w:rPr>
              <w:t>Q1 2025</w:t>
            </w:r>
          </w:p>
        </w:tc>
        <w:tc>
          <w:tcPr>
            <w:tcW w:w="794" w:type="dxa"/>
            <w:tcBorders>
              <w:top w:val="single" w:sz="4" w:space="0" w:color="auto"/>
              <w:left w:val="single" w:sz="4" w:space="0" w:color="auto"/>
              <w:bottom w:val="single" w:sz="4" w:space="0" w:color="auto"/>
              <w:right w:val="single" w:sz="4" w:space="0" w:color="auto"/>
            </w:tcBorders>
            <w:vAlign w:val="center"/>
          </w:tcPr>
          <w:p w14:paraId="5BD20C9A" w14:textId="77777777" w:rsidR="00345678" w:rsidRPr="001F151E" w:rsidRDefault="00345678" w:rsidP="00086262">
            <w:pPr>
              <w:jc w:val="center"/>
              <w:rPr>
                <w:sz w:val="16"/>
                <w:szCs w:val="16"/>
              </w:rPr>
            </w:pPr>
            <w:r w:rsidRPr="001F151E">
              <w:rPr>
                <w:sz w:val="16"/>
                <w:szCs w:val="16"/>
              </w:rPr>
              <w:t>Q4 2026</w:t>
            </w:r>
          </w:p>
        </w:tc>
        <w:tc>
          <w:tcPr>
            <w:tcW w:w="0" w:type="auto"/>
            <w:vMerge/>
            <w:tcBorders>
              <w:left w:val="single" w:sz="4" w:space="0" w:color="auto"/>
              <w:right w:val="single" w:sz="4" w:space="0" w:color="auto"/>
            </w:tcBorders>
            <w:vAlign w:val="center"/>
          </w:tcPr>
          <w:p w14:paraId="243A5E18" w14:textId="77777777" w:rsidR="00345678" w:rsidRPr="001F151E" w:rsidRDefault="00345678" w:rsidP="00086262">
            <w:pPr>
              <w:spacing w:line="240" w:lineRule="auto"/>
              <w:rPr>
                <w:sz w:val="16"/>
                <w:szCs w:val="16"/>
              </w:rPr>
            </w:pPr>
          </w:p>
        </w:tc>
      </w:tr>
      <w:tr w:rsidR="00345678" w:rsidRPr="001F151E" w14:paraId="5A95500E" w14:textId="77777777" w:rsidTr="00086262">
        <w:trPr>
          <w:trHeight w:val="20"/>
        </w:trPr>
        <w:tc>
          <w:tcPr>
            <w:tcW w:w="0" w:type="auto"/>
            <w:vMerge/>
            <w:tcBorders>
              <w:left w:val="single" w:sz="4" w:space="0" w:color="auto"/>
              <w:bottom w:val="single" w:sz="4" w:space="0" w:color="auto"/>
              <w:right w:val="single" w:sz="4" w:space="0" w:color="auto"/>
            </w:tcBorders>
            <w:vAlign w:val="center"/>
          </w:tcPr>
          <w:p w14:paraId="0692F910" w14:textId="77777777" w:rsidR="00345678" w:rsidRPr="001F151E" w:rsidRDefault="00345678" w:rsidP="00086262">
            <w:pPr>
              <w:spacing w:line="240" w:lineRule="auto"/>
              <w:rPr>
                <w:rFonts w:eastAsia="Times New Roman"/>
                <w:b/>
                <w:bCs/>
                <w:sz w:val="16"/>
                <w:szCs w:val="16"/>
              </w:rPr>
            </w:pPr>
          </w:p>
        </w:tc>
        <w:tc>
          <w:tcPr>
            <w:tcW w:w="3637" w:type="dxa"/>
            <w:tcBorders>
              <w:top w:val="single" w:sz="4" w:space="0" w:color="auto"/>
              <w:left w:val="single" w:sz="4" w:space="0" w:color="auto"/>
              <w:bottom w:val="single" w:sz="4" w:space="0" w:color="auto"/>
              <w:right w:val="single" w:sz="4" w:space="0" w:color="auto"/>
            </w:tcBorders>
            <w:vAlign w:val="center"/>
          </w:tcPr>
          <w:p w14:paraId="4F699B7A" w14:textId="47D6C011" w:rsidR="00345678" w:rsidRPr="001F151E" w:rsidRDefault="00345678" w:rsidP="00B45892">
            <w:pPr>
              <w:pStyle w:val="ListParagraph"/>
              <w:numPr>
                <w:ilvl w:val="0"/>
                <w:numId w:val="61"/>
              </w:numPr>
              <w:autoSpaceDE w:val="0"/>
              <w:autoSpaceDN w:val="0"/>
              <w:adjustRightInd w:val="0"/>
              <w:rPr>
                <w:rFonts w:eastAsia="Times New Roman"/>
                <w:bCs/>
                <w:sz w:val="16"/>
                <w:szCs w:val="16"/>
              </w:rPr>
            </w:pPr>
            <w:r w:rsidRPr="001F151E">
              <w:rPr>
                <w:rFonts w:eastAsia="Times New Roman"/>
                <w:bCs/>
                <w:sz w:val="16"/>
                <w:szCs w:val="16"/>
              </w:rPr>
              <w:t>Preparation of a consolidated asset register</w:t>
            </w:r>
            <w:r w:rsidR="00817159">
              <w:rPr>
                <w:rFonts w:eastAsia="Times New Roman"/>
                <w:bCs/>
                <w:sz w:val="16"/>
                <w:szCs w:val="16"/>
              </w:rPr>
              <w:t xml:space="preserve"> in central institutions, at the controlling unit level</w:t>
            </w:r>
            <w:r w:rsidRPr="001F151E">
              <w:rPr>
                <w:rFonts w:eastAsia="Times New Roman"/>
                <w:bCs/>
                <w:sz w:val="16"/>
                <w:szCs w:val="16"/>
              </w:rPr>
              <w:t>.</w:t>
            </w:r>
          </w:p>
        </w:tc>
        <w:tc>
          <w:tcPr>
            <w:tcW w:w="794" w:type="dxa"/>
            <w:tcBorders>
              <w:top w:val="single" w:sz="4" w:space="0" w:color="auto"/>
              <w:left w:val="single" w:sz="4" w:space="0" w:color="auto"/>
              <w:bottom w:val="single" w:sz="4" w:space="0" w:color="auto"/>
              <w:right w:val="single" w:sz="4" w:space="0" w:color="auto"/>
            </w:tcBorders>
            <w:vAlign w:val="center"/>
          </w:tcPr>
          <w:p w14:paraId="217E67CC" w14:textId="77777777" w:rsidR="00345678" w:rsidRPr="001F151E" w:rsidRDefault="00345678" w:rsidP="00086262">
            <w:pPr>
              <w:jc w:val="center"/>
              <w:rPr>
                <w:sz w:val="16"/>
                <w:szCs w:val="16"/>
              </w:rPr>
            </w:pPr>
            <w:r w:rsidRPr="001F151E">
              <w:rPr>
                <w:sz w:val="16"/>
                <w:szCs w:val="16"/>
              </w:rPr>
              <w:t>Q1 2025</w:t>
            </w:r>
          </w:p>
        </w:tc>
        <w:tc>
          <w:tcPr>
            <w:tcW w:w="794" w:type="dxa"/>
            <w:tcBorders>
              <w:top w:val="single" w:sz="4" w:space="0" w:color="auto"/>
              <w:left w:val="single" w:sz="4" w:space="0" w:color="auto"/>
              <w:bottom w:val="single" w:sz="4" w:space="0" w:color="auto"/>
              <w:right w:val="single" w:sz="4" w:space="0" w:color="auto"/>
            </w:tcBorders>
            <w:vAlign w:val="center"/>
          </w:tcPr>
          <w:p w14:paraId="0960B3BC" w14:textId="77777777" w:rsidR="00345678" w:rsidRPr="001F151E" w:rsidRDefault="00345678" w:rsidP="00086262">
            <w:pPr>
              <w:jc w:val="center"/>
              <w:rPr>
                <w:sz w:val="16"/>
                <w:szCs w:val="16"/>
              </w:rPr>
            </w:pPr>
            <w:r w:rsidRPr="001F151E">
              <w:rPr>
                <w:sz w:val="16"/>
                <w:szCs w:val="16"/>
              </w:rPr>
              <w:t>Q4 2026</w:t>
            </w:r>
          </w:p>
        </w:tc>
        <w:tc>
          <w:tcPr>
            <w:tcW w:w="0" w:type="auto"/>
            <w:vMerge/>
            <w:tcBorders>
              <w:left w:val="single" w:sz="4" w:space="0" w:color="auto"/>
              <w:bottom w:val="single" w:sz="4" w:space="0" w:color="auto"/>
              <w:right w:val="single" w:sz="4" w:space="0" w:color="auto"/>
            </w:tcBorders>
            <w:vAlign w:val="center"/>
          </w:tcPr>
          <w:p w14:paraId="5DDBF6BB" w14:textId="77777777" w:rsidR="00345678" w:rsidRPr="001F151E" w:rsidRDefault="00345678" w:rsidP="00086262">
            <w:pPr>
              <w:spacing w:line="240" w:lineRule="auto"/>
              <w:rPr>
                <w:sz w:val="16"/>
                <w:szCs w:val="16"/>
              </w:rPr>
            </w:pPr>
          </w:p>
        </w:tc>
      </w:tr>
    </w:tbl>
    <w:p w14:paraId="2D2D070C" w14:textId="77777777" w:rsidR="00345678" w:rsidRPr="001F151E" w:rsidRDefault="00345678" w:rsidP="00345678">
      <w:pPr>
        <w:rPr>
          <w:lang w:val="en-GB"/>
        </w:rPr>
      </w:pPr>
    </w:p>
    <w:p w14:paraId="337428A8" w14:textId="77777777" w:rsidR="00345678" w:rsidRPr="001F151E" w:rsidRDefault="00345678" w:rsidP="00345678">
      <w:pPr>
        <w:pStyle w:val="H5"/>
        <w:rPr>
          <w:lang w:val="en-GB"/>
        </w:rPr>
      </w:pPr>
      <w:r w:rsidRPr="001F151E">
        <w:rPr>
          <w:lang w:val="en-GB"/>
        </w:rPr>
        <w:t>Performance indicators and milestones</w:t>
      </w:r>
    </w:p>
    <w:tbl>
      <w:tblPr>
        <w:tblStyle w:val="TableGrid"/>
        <w:tblW w:w="0" w:type="auto"/>
        <w:tblLayout w:type="fixed"/>
        <w:tblCellMar>
          <w:top w:w="28" w:type="dxa"/>
          <w:left w:w="57" w:type="dxa"/>
          <w:bottom w:w="28" w:type="dxa"/>
          <w:right w:w="57" w:type="dxa"/>
        </w:tblCellMar>
        <w:tblLook w:val="04A0" w:firstRow="1" w:lastRow="0" w:firstColumn="1" w:lastColumn="0" w:noHBand="0" w:noVBand="1"/>
      </w:tblPr>
      <w:tblGrid>
        <w:gridCol w:w="3939"/>
        <w:gridCol w:w="919"/>
        <w:gridCol w:w="1039"/>
        <w:gridCol w:w="1040"/>
        <w:gridCol w:w="1039"/>
        <w:gridCol w:w="1040"/>
      </w:tblGrid>
      <w:tr w:rsidR="00345678" w:rsidRPr="001F151E" w14:paraId="763C1644" w14:textId="77777777" w:rsidTr="00086262">
        <w:tc>
          <w:tcPr>
            <w:tcW w:w="3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891F2"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Indicator</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13AD62" w14:textId="77777777" w:rsidR="00345678" w:rsidRPr="001F151E" w:rsidRDefault="00345678" w:rsidP="00086262">
            <w:pPr>
              <w:pStyle w:val="EcorysBody"/>
              <w:jc w:val="center"/>
              <w:rPr>
                <w:rFonts w:ascii="Arial" w:hAnsi="Arial" w:cs="Arial"/>
                <w:b/>
                <w:bCs/>
                <w:sz w:val="16"/>
                <w:szCs w:val="16"/>
              </w:rPr>
            </w:pPr>
            <w:r w:rsidRPr="001F151E">
              <w:rPr>
                <w:rFonts w:ascii="Arial" w:hAnsi="Arial" w:cs="Arial"/>
                <w:b/>
                <w:bCs/>
                <w:sz w:val="16"/>
                <w:szCs w:val="16"/>
              </w:rPr>
              <w:t>Baseline value (year)</w:t>
            </w:r>
          </w:p>
        </w:tc>
        <w:tc>
          <w:tcPr>
            <w:tcW w:w="41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EF527C" w14:textId="77777777" w:rsidR="00345678" w:rsidRPr="001F151E" w:rsidRDefault="00345678" w:rsidP="00086262">
            <w:pPr>
              <w:pStyle w:val="EcorysBody"/>
              <w:jc w:val="center"/>
              <w:rPr>
                <w:rFonts w:ascii="Arial" w:hAnsi="Arial" w:cs="Arial"/>
                <w:b/>
                <w:bCs/>
                <w:sz w:val="16"/>
                <w:szCs w:val="16"/>
              </w:rPr>
            </w:pPr>
            <w:r w:rsidRPr="001F151E">
              <w:rPr>
                <w:rFonts w:ascii="Arial" w:hAnsi="Arial" w:cs="Arial"/>
                <w:b/>
                <w:bCs/>
                <w:sz w:val="16"/>
                <w:szCs w:val="16"/>
              </w:rPr>
              <w:t>Target value</w:t>
            </w:r>
          </w:p>
        </w:tc>
      </w:tr>
      <w:tr w:rsidR="00345678" w:rsidRPr="001F151E" w14:paraId="0291FA21" w14:textId="77777777" w:rsidTr="00086262">
        <w:tc>
          <w:tcPr>
            <w:tcW w:w="3939" w:type="dxa"/>
            <w:vMerge/>
            <w:tcBorders>
              <w:top w:val="single" w:sz="4" w:space="0" w:color="auto"/>
              <w:left w:val="single" w:sz="4" w:space="0" w:color="auto"/>
              <w:bottom w:val="single" w:sz="4" w:space="0" w:color="auto"/>
              <w:right w:val="single" w:sz="4" w:space="0" w:color="auto"/>
            </w:tcBorders>
            <w:vAlign w:val="center"/>
            <w:hideMark/>
          </w:tcPr>
          <w:p w14:paraId="7A2F29E2" w14:textId="77777777" w:rsidR="00345678" w:rsidRPr="001F151E" w:rsidRDefault="00345678" w:rsidP="00086262">
            <w:pPr>
              <w:spacing w:line="240" w:lineRule="auto"/>
              <w:rPr>
                <w:b/>
                <w:bCs/>
                <w:sz w:val="16"/>
                <w:szCs w:val="16"/>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7E66B49D" w14:textId="77777777" w:rsidR="00345678" w:rsidRPr="001F151E" w:rsidRDefault="00345678" w:rsidP="00086262">
            <w:pPr>
              <w:spacing w:line="240" w:lineRule="auto"/>
              <w:rPr>
                <w:b/>
                <w:bCs/>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BF26E" w14:textId="77777777" w:rsidR="00345678" w:rsidRPr="001F151E" w:rsidRDefault="00345678" w:rsidP="00086262">
            <w:pPr>
              <w:pStyle w:val="EcorysBody"/>
              <w:jc w:val="center"/>
              <w:rPr>
                <w:rFonts w:ascii="Arial" w:hAnsi="Arial" w:cs="Arial"/>
                <w:b/>
                <w:bCs/>
                <w:sz w:val="16"/>
                <w:szCs w:val="16"/>
              </w:rPr>
            </w:pPr>
            <w:r w:rsidRPr="001F151E">
              <w:rPr>
                <w:rFonts w:ascii="Arial" w:hAnsi="Arial" w:cs="Arial"/>
                <w:b/>
                <w:bCs/>
                <w:sz w:val="16"/>
                <w:szCs w:val="16"/>
              </w:rPr>
              <w:t>2023</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0487E" w14:textId="77777777" w:rsidR="00345678" w:rsidRPr="001F151E" w:rsidRDefault="00345678" w:rsidP="00086262">
            <w:pPr>
              <w:pStyle w:val="EcorysBody"/>
              <w:jc w:val="center"/>
              <w:rPr>
                <w:rFonts w:ascii="Arial" w:hAnsi="Arial" w:cs="Arial"/>
                <w:b/>
                <w:bCs/>
                <w:sz w:val="16"/>
                <w:szCs w:val="16"/>
              </w:rPr>
            </w:pPr>
            <w:r w:rsidRPr="001F151E">
              <w:rPr>
                <w:rFonts w:ascii="Arial" w:hAnsi="Arial" w:cs="Arial"/>
                <w:b/>
                <w:bCs/>
                <w:sz w:val="16"/>
                <w:szCs w:val="16"/>
              </w:rPr>
              <w:t>2024</w:t>
            </w:r>
          </w:p>
        </w:tc>
        <w:tc>
          <w:tcPr>
            <w:tcW w:w="1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E9DE25" w14:textId="77777777" w:rsidR="00345678" w:rsidRPr="001F151E" w:rsidRDefault="00345678" w:rsidP="00086262">
            <w:pPr>
              <w:pStyle w:val="EcorysBody"/>
              <w:jc w:val="center"/>
              <w:rPr>
                <w:rFonts w:ascii="Arial" w:hAnsi="Arial" w:cs="Arial"/>
                <w:b/>
                <w:bCs/>
                <w:sz w:val="16"/>
                <w:szCs w:val="16"/>
              </w:rPr>
            </w:pPr>
            <w:r w:rsidRPr="001F151E">
              <w:rPr>
                <w:rFonts w:ascii="Arial" w:hAnsi="Arial" w:cs="Arial"/>
                <w:b/>
                <w:bCs/>
                <w:sz w:val="16"/>
                <w:szCs w:val="16"/>
              </w:rPr>
              <w:t>2025</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FBF925" w14:textId="77777777" w:rsidR="00345678" w:rsidRPr="001F151E" w:rsidRDefault="00345678" w:rsidP="00086262">
            <w:pPr>
              <w:pStyle w:val="EcorysBody"/>
              <w:jc w:val="center"/>
              <w:rPr>
                <w:rFonts w:ascii="Arial" w:hAnsi="Arial" w:cs="Arial"/>
                <w:b/>
                <w:bCs/>
                <w:sz w:val="16"/>
                <w:szCs w:val="16"/>
              </w:rPr>
            </w:pPr>
            <w:r w:rsidRPr="001F151E">
              <w:rPr>
                <w:rFonts w:ascii="Arial" w:hAnsi="Arial" w:cs="Arial"/>
                <w:b/>
                <w:bCs/>
                <w:sz w:val="16"/>
                <w:szCs w:val="16"/>
              </w:rPr>
              <w:t>2026</w:t>
            </w:r>
          </w:p>
        </w:tc>
      </w:tr>
      <w:tr w:rsidR="00345678" w:rsidRPr="001F151E" w14:paraId="7BD86801" w14:textId="77777777" w:rsidTr="00086262">
        <w:tc>
          <w:tcPr>
            <w:tcW w:w="3939" w:type="dxa"/>
            <w:tcBorders>
              <w:top w:val="single" w:sz="4" w:space="0" w:color="auto"/>
              <w:left w:val="single" w:sz="4" w:space="0" w:color="auto"/>
              <w:bottom w:val="single" w:sz="4" w:space="0" w:color="auto"/>
              <w:right w:val="single" w:sz="4" w:space="0" w:color="auto"/>
            </w:tcBorders>
            <w:hideMark/>
          </w:tcPr>
          <w:p w14:paraId="353576DE" w14:textId="77777777" w:rsidR="00345678" w:rsidRPr="001F151E" w:rsidRDefault="00345678" w:rsidP="00B45892">
            <w:pPr>
              <w:pStyle w:val="ListParagraph"/>
              <w:numPr>
                <w:ilvl w:val="0"/>
                <w:numId w:val="62"/>
              </w:numPr>
              <w:autoSpaceDE w:val="0"/>
              <w:autoSpaceDN w:val="0"/>
              <w:adjustRightInd w:val="0"/>
              <w:rPr>
                <w:rFonts w:eastAsia="Times New Roman"/>
                <w:bCs/>
                <w:sz w:val="16"/>
                <w:szCs w:val="16"/>
              </w:rPr>
            </w:pPr>
            <w:r w:rsidRPr="001F151E">
              <w:rPr>
                <w:rFonts w:eastAsia="Times New Roman"/>
                <w:bCs/>
                <w:sz w:val="16"/>
                <w:szCs w:val="16"/>
              </w:rPr>
              <w:t>Establishment of the proper regulatory framework regarding evaluation and inventory of public assets</w:t>
            </w:r>
          </w:p>
        </w:tc>
        <w:tc>
          <w:tcPr>
            <w:tcW w:w="919" w:type="dxa"/>
            <w:tcBorders>
              <w:top w:val="single" w:sz="4" w:space="0" w:color="auto"/>
              <w:left w:val="single" w:sz="4" w:space="0" w:color="auto"/>
              <w:bottom w:val="single" w:sz="4" w:space="0" w:color="auto"/>
              <w:right w:val="single" w:sz="4" w:space="0" w:color="auto"/>
            </w:tcBorders>
            <w:vAlign w:val="center"/>
          </w:tcPr>
          <w:p w14:paraId="5F1DE2F0" w14:textId="77777777" w:rsidR="00345678" w:rsidRPr="001F151E" w:rsidRDefault="00345678" w:rsidP="00086262">
            <w:pPr>
              <w:pStyle w:val="EcorysBody"/>
              <w:jc w:val="center"/>
              <w:rPr>
                <w:rFonts w:ascii="Arial" w:hAnsi="Arial" w:cs="Arial"/>
                <w:color w:val="FF0000"/>
                <w:sz w:val="16"/>
                <w:szCs w:val="16"/>
              </w:rPr>
            </w:pPr>
            <w:r w:rsidRPr="001F151E">
              <w:rPr>
                <w:rFonts w:ascii="Arial" w:hAnsi="Arial" w:cs="Arial"/>
                <w:color w:val="FF0000"/>
                <w:sz w:val="16"/>
                <w:szCs w:val="16"/>
              </w:rPr>
              <w:t>-</w:t>
            </w:r>
          </w:p>
        </w:tc>
        <w:tc>
          <w:tcPr>
            <w:tcW w:w="1039" w:type="dxa"/>
            <w:tcBorders>
              <w:top w:val="single" w:sz="4" w:space="0" w:color="auto"/>
              <w:left w:val="single" w:sz="4" w:space="0" w:color="auto"/>
              <w:bottom w:val="single" w:sz="4" w:space="0" w:color="auto"/>
              <w:right w:val="single" w:sz="4" w:space="0" w:color="auto"/>
            </w:tcBorders>
            <w:vAlign w:val="center"/>
          </w:tcPr>
          <w:p w14:paraId="1897FC30" w14:textId="77777777" w:rsidR="00345678" w:rsidRPr="001F151E" w:rsidRDefault="00345678" w:rsidP="00086262">
            <w:pPr>
              <w:pStyle w:val="EcorysBody"/>
              <w:jc w:val="center"/>
              <w:rPr>
                <w:rFonts w:ascii="Arial" w:hAnsi="Arial" w:cs="Arial"/>
                <w:sz w:val="16"/>
                <w:szCs w:val="16"/>
              </w:rPr>
            </w:pPr>
            <w:r w:rsidRPr="001F151E">
              <w:rPr>
                <w:rFonts w:ascii="Arial" w:hAnsi="Arial" w:cs="Arial"/>
                <w:sz w:val="16"/>
                <w:szCs w:val="16"/>
              </w:rPr>
              <w:t>Concept paper prepared</w:t>
            </w:r>
          </w:p>
        </w:tc>
        <w:tc>
          <w:tcPr>
            <w:tcW w:w="1040" w:type="dxa"/>
            <w:tcBorders>
              <w:top w:val="single" w:sz="4" w:space="0" w:color="auto"/>
              <w:left w:val="single" w:sz="4" w:space="0" w:color="auto"/>
              <w:bottom w:val="single" w:sz="4" w:space="0" w:color="auto"/>
              <w:right w:val="single" w:sz="4" w:space="0" w:color="auto"/>
            </w:tcBorders>
            <w:vAlign w:val="center"/>
          </w:tcPr>
          <w:p w14:paraId="19B27F9A" w14:textId="77777777" w:rsidR="00345678" w:rsidRPr="001F151E" w:rsidRDefault="00345678" w:rsidP="00086262">
            <w:pPr>
              <w:pStyle w:val="EcorysBody"/>
              <w:jc w:val="center"/>
              <w:rPr>
                <w:rFonts w:ascii="Arial" w:hAnsi="Arial" w:cs="Arial"/>
                <w:sz w:val="16"/>
                <w:szCs w:val="16"/>
              </w:rPr>
            </w:pPr>
            <w:r w:rsidRPr="001F151E">
              <w:rPr>
                <w:rFonts w:ascii="Arial" w:hAnsi="Arial" w:cs="Arial"/>
                <w:sz w:val="16"/>
                <w:szCs w:val="16"/>
              </w:rPr>
              <w:t>Regulatory framework drafted</w:t>
            </w:r>
          </w:p>
        </w:tc>
        <w:tc>
          <w:tcPr>
            <w:tcW w:w="1039" w:type="dxa"/>
            <w:tcBorders>
              <w:top w:val="single" w:sz="4" w:space="0" w:color="auto"/>
              <w:left w:val="single" w:sz="4" w:space="0" w:color="auto"/>
              <w:bottom w:val="single" w:sz="4" w:space="0" w:color="auto"/>
              <w:right w:val="single" w:sz="4" w:space="0" w:color="auto"/>
            </w:tcBorders>
            <w:vAlign w:val="center"/>
          </w:tcPr>
          <w:p w14:paraId="6FD5F954" w14:textId="77777777" w:rsidR="00345678" w:rsidRPr="001F151E" w:rsidRDefault="00345678" w:rsidP="00086262">
            <w:pPr>
              <w:pStyle w:val="EcorysBody"/>
              <w:jc w:val="center"/>
              <w:rPr>
                <w:rFonts w:ascii="Arial" w:hAnsi="Arial" w:cs="Arial"/>
                <w:sz w:val="16"/>
                <w:szCs w:val="16"/>
              </w:rPr>
            </w:pPr>
            <w:r w:rsidRPr="001F151E">
              <w:rPr>
                <w:rFonts w:ascii="Arial" w:hAnsi="Arial" w:cs="Arial"/>
                <w:sz w:val="16"/>
                <w:szCs w:val="16"/>
              </w:rPr>
              <w:t xml:space="preserve">Regulatory framework </w:t>
            </w:r>
          </w:p>
          <w:p w14:paraId="7ECB092B" w14:textId="77777777" w:rsidR="00345678" w:rsidRPr="001F151E" w:rsidRDefault="00345678" w:rsidP="00086262">
            <w:pPr>
              <w:pStyle w:val="EcorysBody"/>
              <w:jc w:val="center"/>
              <w:rPr>
                <w:rFonts w:ascii="Arial" w:hAnsi="Arial" w:cs="Arial"/>
                <w:sz w:val="16"/>
                <w:szCs w:val="16"/>
              </w:rPr>
            </w:pPr>
            <w:r w:rsidRPr="001F151E">
              <w:rPr>
                <w:rFonts w:ascii="Arial" w:hAnsi="Arial" w:cs="Arial"/>
                <w:sz w:val="16"/>
                <w:szCs w:val="16"/>
              </w:rPr>
              <w:t>approved</w:t>
            </w:r>
          </w:p>
        </w:tc>
        <w:tc>
          <w:tcPr>
            <w:tcW w:w="1040" w:type="dxa"/>
            <w:tcBorders>
              <w:top w:val="single" w:sz="4" w:space="0" w:color="auto"/>
              <w:left w:val="single" w:sz="4" w:space="0" w:color="auto"/>
              <w:bottom w:val="single" w:sz="4" w:space="0" w:color="auto"/>
              <w:right w:val="single" w:sz="4" w:space="0" w:color="auto"/>
            </w:tcBorders>
            <w:vAlign w:val="center"/>
          </w:tcPr>
          <w:p w14:paraId="4E2BA7FD" w14:textId="77777777" w:rsidR="00345678" w:rsidRPr="001F151E" w:rsidRDefault="00345678" w:rsidP="00086262">
            <w:pPr>
              <w:pStyle w:val="EcorysBody"/>
              <w:jc w:val="center"/>
              <w:rPr>
                <w:rFonts w:ascii="Arial" w:hAnsi="Arial" w:cs="Arial"/>
                <w:sz w:val="16"/>
                <w:szCs w:val="16"/>
              </w:rPr>
            </w:pPr>
            <w:r w:rsidRPr="001F151E">
              <w:rPr>
                <w:rFonts w:ascii="Arial" w:hAnsi="Arial" w:cs="Arial"/>
                <w:sz w:val="16"/>
                <w:szCs w:val="16"/>
              </w:rPr>
              <w:t>-</w:t>
            </w:r>
          </w:p>
        </w:tc>
      </w:tr>
      <w:tr w:rsidR="00345678" w:rsidRPr="001F151E" w14:paraId="7E3AC25F" w14:textId="77777777" w:rsidTr="00086262">
        <w:tc>
          <w:tcPr>
            <w:tcW w:w="3939" w:type="dxa"/>
            <w:tcBorders>
              <w:top w:val="single" w:sz="4" w:space="0" w:color="auto"/>
              <w:left w:val="single" w:sz="4" w:space="0" w:color="auto"/>
              <w:bottom w:val="single" w:sz="4" w:space="0" w:color="auto"/>
              <w:right w:val="single" w:sz="4" w:space="0" w:color="auto"/>
            </w:tcBorders>
            <w:hideMark/>
          </w:tcPr>
          <w:p w14:paraId="381AD910" w14:textId="685DB6B2" w:rsidR="00345678" w:rsidRPr="001F151E" w:rsidRDefault="00345678" w:rsidP="00B45892">
            <w:pPr>
              <w:pStyle w:val="ListParagraph"/>
              <w:numPr>
                <w:ilvl w:val="0"/>
                <w:numId w:val="62"/>
              </w:numPr>
              <w:autoSpaceDE w:val="0"/>
              <w:autoSpaceDN w:val="0"/>
              <w:adjustRightInd w:val="0"/>
              <w:rPr>
                <w:sz w:val="16"/>
                <w:szCs w:val="16"/>
              </w:rPr>
            </w:pPr>
            <w:r w:rsidRPr="001F151E">
              <w:rPr>
                <w:sz w:val="16"/>
                <w:szCs w:val="16"/>
              </w:rPr>
              <w:t>Preparation of a consolidated asset register</w:t>
            </w:r>
            <w:r w:rsidR="00817159">
              <w:rPr>
                <w:sz w:val="16"/>
                <w:szCs w:val="16"/>
              </w:rPr>
              <w:t xml:space="preserve"> in central institutions, at the controlling unit level</w:t>
            </w:r>
            <w:r w:rsidRPr="001F151E">
              <w:rPr>
                <w:sz w:val="16"/>
                <w:szCs w:val="16"/>
              </w:rPr>
              <w:t>.</w:t>
            </w:r>
          </w:p>
        </w:tc>
        <w:tc>
          <w:tcPr>
            <w:tcW w:w="919" w:type="dxa"/>
            <w:tcBorders>
              <w:top w:val="single" w:sz="4" w:space="0" w:color="auto"/>
              <w:left w:val="single" w:sz="4" w:space="0" w:color="auto"/>
              <w:bottom w:val="single" w:sz="4" w:space="0" w:color="auto"/>
              <w:right w:val="single" w:sz="4" w:space="0" w:color="auto"/>
            </w:tcBorders>
            <w:vAlign w:val="center"/>
          </w:tcPr>
          <w:p w14:paraId="79060776" w14:textId="77777777" w:rsidR="00345678" w:rsidRPr="001F151E" w:rsidRDefault="00345678" w:rsidP="00086262">
            <w:pPr>
              <w:pStyle w:val="EcorysBody"/>
              <w:jc w:val="center"/>
              <w:rPr>
                <w:rFonts w:ascii="Arial" w:hAnsi="Arial" w:cs="Arial"/>
                <w:sz w:val="16"/>
                <w:szCs w:val="16"/>
              </w:rPr>
            </w:pPr>
            <w:r w:rsidRPr="001F151E">
              <w:rPr>
                <w:rFonts w:ascii="Arial" w:hAnsi="Arial" w:cs="Arial"/>
                <w:sz w:val="16"/>
                <w:szCs w:val="16"/>
              </w:rPr>
              <w:t>-</w:t>
            </w:r>
          </w:p>
        </w:tc>
        <w:tc>
          <w:tcPr>
            <w:tcW w:w="1039" w:type="dxa"/>
            <w:tcBorders>
              <w:top w:val="single" w:sz="4" w:space="0" w:color="auto"/>
              <w:left w:val="single" w:sz="4" w:space="0" w:color="auto"/>
              <w:bottom w:val="single" w:sz="4" w:space="0" w:color="auto"/>
              <w:right w:val="single" w:sz="4" w:space="0" w:color="auto"/>
            </w:tcBorders>
            <w:vAlign w:val="center"/>
          </w:tcPr>
          <w:p w14:paraId="77593319" w14:textId="77777777" w:rsidR="00345678" w:rsidRPr="001F151E" w:rsidRDefault="00345678" w:rsidP="00086262">
            <w:pPr>
              <w:pStyle w:val="EcorysBody"/>
              <w:jc w:val="center"/>
              <w:rPr>
                <w:rFonts w:ascii="Arial" w:hAnsi="Arial" w:cs="Arial"/>
                <w:sz w:val="16"/>
                <w:szCs w:val="16"/>
              </w:rPr>
            </w:pPr>
            <w:r w:rsidRPr="001F151E">
              <w:rPr>
                <w:rFonts w:ascii="Arial" w:hAnsi="Arial" w:cs="Arial"/>
                <w:sz w:val="16"/>
                <w:szCs w:val="16"/>
              </w:rPr>
              <w:t>Concept paper prepared</w:t>
            </w:r>
          </w:p>
        </w:tc>
        <w:tc>
          <w:tcPr>
            <w:tcW w:w="1040" w:type="dxa"/>
            <w:tcBorders>
              <w:top w:val="single" w:sz="4" w:space="0" w:color="auto"/>
              <w:left w:val="single" w:sz="4" w:space="0" w:color="auto"/>
              <w:bottom w:val="single" w:sz="4" w:space="0" w:color="auto"/>
              <w:right w:val="single" w:sz="4" w:space="0" w:color="auto"/>
            </w:tcBorders>
            <w:vAlign w:val="center"/>
          </w:tcPr>
          <w:p w14:paraId="340A4264" w14:textId="77777777" w:rsidR="00345678" w:rsidRPr="001F151E" w:rsidRDefault="00345678" w:rsidP="00086262">
            <w:pPr>
              <w:pStyle w:val="EcorysBody"/>
              <w:jc w:val="center"/>
              <w:rPr>
                <w:rFonts w:ascii="Arial" w:hAnsi="Arial" w:cs="Arial"/>
                <w:sz w:val="16"/>
                <w:szCs w:val="16"/>
              </w:rPr>
            </w:pPr>
            <w:r w:rsidRPr="001F151E">
              <w:rPr>
                <w:rFonts w:ascii="Arial" w:hAnsi="Arial" w:cs="Arial"/>
                <w:sz w:val="16"/>
                <w:szCs w:val="16"/>
              </w:rPr>
              <w:t>Drafted</w:t>
            </w:r>
          </w:p>
        </w:tc>
        <w:tc>
          <w:tcPr>
            <w:tcW w:w="1039" w:type="dxa"/>
            <w:tcBorders>
              <w:top w:val="single" w:sz="4" w:space="0" w:color="auto"/>
              <w:left w:val="single" w:sz="4" w:space="0" w:color="auto"/>
              <w:bottom w:val="single" w:sz="4" w:space="0" w:color="auto"/>
              <w:right w:val="single" w:sz="4" w:space="0" w:color="auto"/>
            </w:tcBorders>
            <w:vAlign w:val="center"/>
          </w:tcPr>
          <w:p w14:paraId="08A1B6FF" w14:textId="77777777" w:rsidR="00345678" w:rsidRPr="001F151E" w:rsidRDefault="00345678" w:rsidP="00086262">
            <w:pPr>
              <w:pStyle w:val="EcorysBody"/>
              <w:jc w:val="center"/>
              <w:rPr>
                <w:rFonts w:ascii="Arial" w:hAnsi="Arial" w:cs="Arial"/>
                <w:sz w:val="16"/>
                <w:szCs w:val="16"/>
              </w:rPr>
            </w:pPr>
            <w:r w:rsidRPr="001F151E">
              <w:rPr>
                <w:rFonts w:ascii="Arial" w:hAnsi="Arial" w:cs="Arial"/>
                <w:sz w:val="16"/>
                <w:szCs w:val="16"/>
              </w:rPr>
              <w:t>Drafted</w:t>
            </w:r>
          </w:p>
        </w:tc>
        <w:tc>
          <w:tcPr>
            <w:tcW w:w="1040" w:type="dxa"/>
            <w:tcBorders>
              <w:top w:val="single" w:sz="4" w:space="0" w:color="auto"/>
              <w:left w:val="single" w:sz="4" w:space="0" w:color="auto"/>
              <w:bottom w:val="single" w:sz="4" w:space="0" w:color="auto"/>
              <w:right w:val="single" w:sz="4" w:space="0" w:color="auto"/>
            </w:tcBorders>
            <w:vAlign w:val="center"/>
          </w:tcPr>
          <w:p w14:paraId="3EF5FEBF" w14:textId="77777777" w:rsidR="00345678" w:rsidRPr="001F151E" w:rsidRDefault="00345678" w:rsidP="00086262">
            <w:pPr>
              <w:pStyle w:val="EcorysBody"/>
              <w:jc w:val="center"/>
              <w:rPr>
                <w:rFonts w:ascii="Arial" w:hAnsi="Arial" w:cs="Arial"/>
                <w:sz w:val="16"/>
                <w:szCs w:val="16"/>
              </w:rPr>
            </w:pPr>
            <w:r w:rsidRPr="001F151E">
              <w:rPr>
                <w:rFonts w:ascii="Arial" w:hAnsi="Arial" w:cs="Arial"/>
                <w:sz w:val="16"/>
                <w:szCs w:val="16"/>
              </w:rPr>
              <w:t>Approved</w:t>
            </w:r>
          </w:p>
        </w:tc>
      </w:tr>
    </w:tbl>
    <w:p w14:paraId="2F3FA050" w14:textId="77777777" w:rsidR="00345678" w:rsidRPr="001F151E" w:rsidRDefault="00345678" w:rsidP="00345678">
      <w:pPr>
        <w:rPr>
          <w:lang w:val="en-GB"/>
        </w:rPr>
      </w:pPr>
    </w:p>
    <w:p w14:paraId="36F5E2D2" w14:textId="77777777" w:rsidR="00345678" w:rsidRPr="001F151E" w:rsidRDefault="00345678" w:rsidP="00345678">
      <w:pPr>
        <w:spacing w:after="160" w:line="259" w:lineRule="auto"/>
        <w:rPr>
          <w:rFonts w:eastAsiaTheme="majorEastAsia" w:cstheme="majorBidi"/>
          <w:b/>
          <w:bCs/>
          <w:iCs/>
          <w:color w:val="0070C0"/>
          <w:sz w:val="26"/>
          <w:szCs w:val="26"/>
          <w:lang w:val="en-GB"/>
        </w:rPr>
      </w:pPr>
    </w:p>
    <w:p w14:paraId="120B7041" w14:textId="77777777" w:rsidR="00345678" w:rsidRPr="001F151E" w:rsidRDefault="00345678" w:rsidP="00345678">
      <w:pPr>
        <w:spacing w:after="160" w:line="259" w:lineRule="auto"/>
        <w:rPr>
          <w:rFonts w:eastAsiaTheme="majorEastAsia" w:cstheme="majorBidi"/>
          <w:b/>
          <w:bCs/>
          <w:iCs/>
          <w:color w:val="0070C0"/>
          <w:sz w:val="26"/>
          <w:szCs w:val="26"/>
          <w:lang w:val="en-GB"/>
        </w:rPr>
      </w:pPr>
      <w:r w:rsidRPr="001F151E">
        <w:rPr>
          <w:lang w:val="en-GB"/>
        </w:rPr>
        <w:br w:type="page"/>
      </w:r>
    </w:p>
    <w:p w14:paraId="5BDE188C" w14:textId="77777777" w:rsidR="00345678" w:rsidRPr="001F151E" w:rsidRDefault="00345678" w:rsidP="00345678">
      <w:pPr>
        <w:pStyle w:val="Heading1"/>
        <w:rPr>
          <w:lang w:val="en-GB"/>
        </w:rPr>
      </w:pPr>
      <w:bookmarkStart w:id="57" w:name="_Toc163148033"/>
      <w:r w:rsidRPr="001F151E">
        <w:rPr>
          <w:lang w:val="en-GB"/>
        </w:rPr>
        <w:lastRenderedPageBreak/>
        <w:t>Pillar 5 Public Internal Financial Control</w:t>
      </w:r>
      <w:bookmarkEnd w:id="57"/>
    </w:p>
    <w:p w14:paraId="72608FC5" w14:textId="77777777" w:rsidR="00345678" w:rsidRPr="001F151E" w:rsidRDefault="00345678" w:rsidP="00345678">
      <w:pPr>
        <w:rPr>
          <w:lang w:val="en-GB"/>
        </w:rPr>
      </w:pPr>
    </w:p>
    <w:p w14:paraId="7D785B65" w14:textId="77777777" w:rsidR="00345678" w:rsidRPr="001F151E" w:rsidRDefault="00345678" w:rsidP="00345678">
      <w:pPr>
        <w:rPr>
          <w:lang w:val="en-GB"/>
        </w:rPr>
      </w:pPr>
    </w:p>
    <w:p w14:paraId="0D572203" w14:textId="77777777" w:rsidR="00345678" w:rsidRPr="001F151E" w:rsidRDefault="00345678" w:rsidP="00345678">
      <w:pPr>
        <w:pStyle w:val="Heading2"/>
        <w:rPr>
          <w:lang w:val="en-GB"/>
        </w:rPr>
      </w:pPr>
      <w:bookmarkStart w:id="58" w:name="_Toc163148034"/>
      <w:r w:rsidRPr="001F151E">
        <w:rPr>
          <w:lang w:val="en-GB"/>
        </w:rPr>
        <w:t>Introduction</w:t>
      </w:r>
      <w:bookmarkEnd w:id="58"/>
    </w:p>
    <w:p w14:paraId="62C08B5A" w14:textId="77777777" w:rsidR="00345678" w:rsidRPr="001F151E" w:rsidRDefault="00345678" w:rsidP="00345678">
      <w:pPr>
        <w:spacing w:line="276" w:lineRule="auto"/>
        <w:jc w:val="both"/>
        <w:rPr>
          <w:lang w:val="en-GB"/>
        </w:rPr>
      </w:pPr>
    </w:p>
    <w:p w14:paraId="0FAEF9BA" w14:textId="77777777" w:rsidR="00345678" w:rsidRPr="00345678" w:rsidRDefault="00345678" w:rsidP="00345678">
      <w:pPr>
        <w:spacing w:line="276" w:lineRule="auto"/>
        <w:jc w:val="both"/>
        <w:rPr>
          <w:lang w:val="en-GB"/>
        </w:rPr>
      </w:pPr>
      <w:r w:rsidRPr="00345678">
        <w:rPr>
          <w:lang w:val="en-GB"/>
        </w:rPr>
        <w:t>Specific Objective of Pillar 5 is “The system of Public Internal Financial Control is further professionalised in all Budget Institutions in compliance with EU integration requirements” and covers Financial Management and Control, Internal Audit, Public Financial Inspection and Anti-Fraud Coordination Services coordination and management of EU funds.</w:t>
      </w:r>
    </w:p>
    <w:p w14:paraId="46AF1BFA" w14:textId="77777777" w:rsidR="00345678" w:rsidRPr="00345678" w:rsidRDefault="00345678" w:rsidP="00345678">
      <w:pPr>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9026"/>
      </w:tblGrid>
      <w:tr w:rsidR="00345678" w:rsidRPr="001F151E" w14:paraId="5C2204C8" w14:textId="77777777" w:rsidTr="00086262">
        <w:trPr>
          <w:trHeight w:val="6856"/>
        </w:trPr>
        <w:tc>
          <w:tcPr>
            <w:tcW w:w="9016" w:type="dxa"/>
            <w:shd w:val="clear" w:color="auto" w:fill="F2F2F2" w:themeFill="background1" w:themeFillShade="F2"/>
          </w:tcPr>
          <w:p w14:paraId="46D123A1" w14:textId="77777777" w:rsidR="00345678" w:rsidRPr="00345678" w:rsidRDefault="00345678" w:rsidP="00086262">
            <w:pPr>
              <w:spacing w:after="60" w:line="220" w:lineRule="exact"/>
              <w:jc w:val="both"/>
              <w:rPr>
                <w:b/>
                <w:bCs/>
                <w:sz w:val="16"/>
                <w:szCs w:val="16"/>
              </w:rPr>
            </w:pPr>
            <w:r w:rsidRPr="00345678">
              <w:rPr>
                <w:b/>
                <w:bCs/>
                <w:sz w:val="16"/>
                <w:szCs w:val="16"/>
              </w:rPr>
              <w:t>Component 5.1 Financial Management and Control</w:t>
            </w:r>
          </w:p>
          <w:p w14:paraId="6050C136" w14:textId="77777777" w:rsidR="00345678" w:rsidRPr="00345678" w:rsidRDefault="00345678" w:rsidP="00086262">
            <w:pPr>
              <w:pStyle w:val="T-normal"/>
              <w:spacing w:after="60" w:line="220" w:lineRule="exact"/>
              <w:jc w:val="both"/>
            </w:pPr>
            <w:r w:rsidRPr="00345678">
              <w:t>Goal 2030: Strong FMC systems operational in all Public Institutions in compliance with national legislation and international / EU good practices.</w:t>
            </w:r>
          </w:p>
          <w:p w14:paraId="151119C6" w14:textId="77777777" w:rsidR="00345678" w:rsidRPr="00345678" w:rsidRDefault="00345678" w:rsidP="00086262">
            <w:pPr>
              <w:pStyle w:val="T-normal"/>
              <w:spacing w:line="220" w:lineRule="exact"/>
              <w:jc w:val="both"/>
            </w:pPr>
            <w:r w:rsidRPr="00345678">
              <w:t>Measures 2023-2026:</w:t>
            </w:r>
          </w:p>
          <w:p w14:paraId="4C167CA6" w14:textId="554BA9A0" w:rsidR="00345678" w:rsidRPr="00345678" w:rsidRDefault="00E12BBE" w:rsidP="00086262">
            <w:pPr>
              <w:pStyle w:val="T-bullet0"/>
              <w:spacing w:line="220" w:lineRule="exact"/>
              <w:jc w:val="both"/>
            </w:pPr>
            <w:r>
              <w:t xml:space="preserve">Measure </w:t>
            </w:r>
            <w:r w:rsidR="00345678" w:rsidRPr="00345678">
              <w:t>5.1.1 Enhance legal and regulatory framework for FMC;</w:t>
            </w:r>
          </w:p>
          <w:p w14:paraId="15B8BD3B" w14:textId="74A0CC75" w:rsidR="00345678" w:rsidRPr="00345678" w:rsidRDefault="00E12BBE" w:rsidP="00086262">
            <w:pPr>
              <w:pStyle w:val="T-bullet0"/>
              <w:spacing w:line="220" w:lineRule="exact"/>
              <w:jc w:val="both"/>
            </w:pPr>
            <w:r>
              <w:t>Measure</w:t>
            </w:r>
            <w:r w:rsidRPr="00345678">
              <w:t xml:space="preserve"> </w:t>
            </w:r>
            <w:r w:rsidR="00345678" w:rsidRPr="00345678">
              <w:t>5.1.2 Enhance Managerial Accountability in public institutions;</w:t>
            </w:r>
          </w:p>
          <w:p w14:paraId="6B403A80" w14:textId="7B7F17BC" w:rsidR="00345678" w:rsidRPr="00345678" w:rsidRDefault="00E12BBE" w:rsidP="00086262">
            <w:pPr>
              <w:pStyle w:val="T-bullet0"/>
              <w:spacing w:line="220" w:lineRule="exact"/>
              <w:jc w:val="both"/>
            </w:pPr>
            <w:r>
              <w:t>Measure</w:t>
            </w:r>
            <w:r w:rsidRPr="00345678">
              <w:t xml:space="preserve"> </w:t>
            </w:r>
            <w:r w:rsidR="00345678" w:rsidRPr="00345678">
              <w:t>5.1.3 Strengthen Risk Management practices;</w:t>
            </w:r>
          </w:p>
          <w:p w14:paraId="1A1137F0" w14:textId="088F34C4" w:rsidR="00345678" w:rsidRPr="00345678" w:rsidRDefault="00E12BBE" w:rsidP="00086262">
            <w:pPr>
              <w:pStyle w:val="T-bullet0"/>
              <w:spacing w:line="220" w:lineRule="exact"/>
              <w:jc w:val="both"/>
            </w:pPr>
            <w:r>
              <w:t>Measure</w:t>
            </w:r>
            <w:r w:rsidRPr="00345678">
              <w:t xml:space="preserve"> </w:t>
            </w:r>
            <w:r w:rsidR="00345678" w:rsidRPr="00345678">
              <w:t>5.1.4 Enhance FMC quality assessment and improvement in public institutions.</w:t>
            </w:r>
          </w:p>
          <w:p w14:paraId="219BBA58" w14:textId="77777777" w:rsidR="00345678" w:rsidRPr="00345678" w:rsidRDefault="00345678" w:rsidP="00086262">
            <w:pPr>
              <w:spacing w:after="60" w:line="220" w:lineRule="exact"/>
              <w:jc w:val="both"/>
              <w:rPr>
                <w:b/>
                <w:bCs/>
                <w:sz w:val="16"/>
                <w:szCs w:val="16"/>
              </w:rPr>
            </w:pPr>
          </w:p>
          <w:p w14:paraId="6E4898BC" w14:textId="77777777" w:rsidR="00345678" w:rsidRPr="00345678" w:rsidRDefault="00345678" w:rsidP="00086262">
            <w:pPr>
              <w:spacing w:after="60" w:line="220" w:lineRule="exact"/>
              <w:jc w:val="both"/>
              <w:rPr>
                <w:b/>
                <w:bCs/>
                <w:sz w:val="16"/>
                <w:szCs w:val="16"/>
              </w:rPr>
            </w:pPr>
            <w:r w:rsidRPr="00345678">
              <w:rPr>
                <w:b/>
                <w:bCs/>
                <w:sz w:val="16"/>
                <w:szCs w:val="16"/>
              </w:rPr>
              <w:t>Component 5.2 Internal Audit</w:t>
            </w:r>
          </w:p>
          <w:p w14:paraId="72184B2C" w14:textId="77777777" w:rsidR="00345678" w:rsidRPr="00345678" w:rsidRDefault="00345678" w:rsidP="00086262">
            <w:pPr>
              <w:pStyle w:val="T-normal"/>
              <w:spacing w:after="60" w:line="220" w:lineRule="exact"/>
              <w:jc w:val="both"/>
            </w:pPr>
            <w:r w:rsidRPr="00345678">
              <w:t>Goal 2030: Value-added internal audit in all public institutions in accordance with international standards.</w:t>
            </w:r>
          </w:p>
          <w:p w14:paraId="2908BFF6" w14:textId="77777777" w:rsidR="00345678" w:rsidRPr="00345678" w:rsidRDefault="00345678" w:rsidP="00086262">
            <w:pPr>
              <w:pStyle w:val="T-normal"/>
              <w:spacing w:line="220" w:lineRule="exact"/>
              <w:jc w:val="both"/>
            </w:pPr>
            <w:r w:rsidRPr="00345678">
              <w:t>Measures 2023-2026:</w:t>
            </w:r>
          </w:p>
          <w:p w14:paraId="4FB90646" w14:textId="770BD614" w:rsidR="00345678" w:rsidRPr="00345678" w:rsidRDefault="00E12BBE" w:rsidP="00086262">
            <w:pPr>
              <w:pStyle w:val="T-bullet0"/>
              <w:spacing w:line="220" w:lineRule="exact"/>
              <w:jc w:val="both"/>
            </w:pPr>
            <w:r>
              <w:t>Measure</w:t>
            </w:r>
            <w:r w:rsidRPr="00345678">
              <w:t xml:space="preserve"> </w:t>
            </w:r>
            <w:r w:rsidR="00345678" w:rsidRPr="00345678">
              <w:t>5.2.1 Continue oversight and expand support services to public institutions and internal audit teams;</w:t>
            </w:r>
          </w:p>
          <w:p w14:paraId="08329755" w14:textId="2B5CE105" w:rsidR="00345678" w:rsidRPr="00345678" w:rsidRDefault="00E12BBE" w:rsidP="00086262">
            <w:pPr>
              <w:pStyle w:val="T-bullet0"/>
              <w:spacing w:line="220" w:lineRule="exact"/>
              <w:jc w:val="both"/>
            </w:pPr>
            <w:r>
              <w:t>Measure</w:t>
            </w:r>
            <w:r w:rsidRPr="00345678">
              <w:t xml:space="preserve"> </w:t>
            </w:r>
            <w:r w:rsidR="00345678" w:rsidRPr="00345678">
              <w:t>5.2.2 Professionalise core internal audit practices through developing guidelines and delivering capacity building activities.</w:t>
            </w:r>
          </w:p>
          <w:p w14:paraId="17E43A93" w14:textId="77777777" w:rsidR="00345678" w:rsidRPr="00345678" w:rsidRDefault="00345678" w:rsidP="00086262">
            <w:pPr>
              <w:spacing w:after="60" w:line="220" w:lineRule="exact"/>
              <w:jc w:val="both"/>
              <w:rPr>
                <w:b/>
                <w:bCs/>
                <w:sz w:val="16"/>
                <w:szCs w:val="16"/>
              </w:rPr>
            </w:pPr>
          </w:p>
          <w:p w14:paraId="29A7D0B3" w14:textId="77777777" w:rsidR="00345678" w:rsidRPr="00345678" w:rsidRDefault="00345678" w:rsidP="00086262">
            <w:pPr>
              <w:spacing w:after="60" w:line="220" w:lineRule="exact"/>
              <w:jc w:val="both"/>
              <w:rPr>
                <w:b/>
                <w:bCs/>
                <w:sz w:val="16"/>
                <w:szCs w:val="16"/>
              </w:rPr>
            </w:pPr>
            <w:r w:rsidRPr="00345678">
              <w:rPr>
                <w:b/>
                <w:bCs/>
                <w:sz w:val="16"/>
                <w:szCs w:val="16"/>
              </w:rPr>
              <w:t>Component 5.3 Public Financial Inspection and Anti-Fraud Coordination Services</w:t>
            </w:r>
          </w:p>
          <w:p w14:paraId="25FE3ED1" w14:textId="77777777" w:rsidR="00345678" w:rsidRPr="00345678" w:rsidRDefault="00345678" w:rsidP="00086262">
            <w:pPr>
              <w:pStyle w:val="T-normal"/>
              <w:spacing w:after="60" w:line="220" w:lineRule="exact"/>
              <w:jc w:val="both"/>
            </w:pPr>
            <w:r w:rsidRPr="00345678">
              <w:t>Goal 2030: Public Financial Inspection that effectively addresses all reported cases of irregularities fraud and corruption and national anti-fraud strategy implemented to protect EU financial interests.</w:t>
            </w:r>
          </w:p>
          <w:p w14:paraId="25BC9EF6" w14:textId="77777777" w:rsidR="00345678" w:rsidRPr="00345678" w:rsidRDefault="00345678" w:rsidP="00086262">
            <w:pPr>
              <w:pStyle w:val="T-normal"/>
              <w:spacing w:line="220" w:lineRule="exact"/>
              <w:jc w:val="both"/>
            </w:pPr>
            <w:r w:rsidRPr="00345678">
              <w:t>Measures 2023-2026</w:t>
            </w:r>
          </w:p>
          <w:p w14:paraId="502AFE56" w14:textId="6EA5B5EB" w:rsidR="00345678" w:rsidRPr="00345678" w:rsidRDefault="00E12BBE" w:rsidP="00086262">
            <w:pPr>
              <w:pStyle w:val="T-bullet0"/>
              <w:spacing w:line="220" w:lineRule="exact"/>
              <w:jc w:val="both"/>
            </w:pPr>
            <w:r>
              <w:t>Measure</w:t>
            </w:r>
            <w:r w:rsidRPr="00345678">
              <w:t xml:space="preserve"> </w:t>
            </w:r>
            <w:r w:rsidR="00345678" w:rsidRPr="00345678">
              <w:t>5.3.1 Enhance collaboration with Internal Audit and ALSAI;</w:t>
            </w:r>
          </w:p>
          <w:p w14:paraId="1C6C0136" w14:textId="5827CFB8" w:rsidR="00345678" w:rsidRPr="00345678" w:rsidRDefault="00E12BBE" w:rsidP="00086262">
            <w:pPr>
              <w:pStyle w:val="T-bullet0"/>
              <w:spacing w:line="220" w:lineRule="exact"/>
              <w:jc w:val="both"/>
            </w:pPr>
            <w:r>
              <w:t>Measure</w:t>
            </w:r>
            <w:r w:rsidRPr="00345678">
              <w:t xml:space="preserve"> </w:t>
            </w:r>
            <w:r w:rsidR="00345678" w:rsidRPr="00345678">
              <w:t xml:space="preserve">5.3.2 </w:t>
            </w:r>
            <w:r w:rsidR="00022F54" w:rsidRPr="00022F54">
              <w:t>Coordinate the drafting and monitoring of the National Anti-fraud Strategy for the protection of the EU financial interests</w:t>
            </w:r>
            <w:r w:rsidR="00345678" w:rsidRPr="00345678">
              <w:t>.</w:t>
            </w:r>
          </w:p>
          <w:p w14:paraId="76773188" w14:textId="77777777" w:rsidR="00345678" w:rsidRPr="00345678" w:rsidRDefault="00345678" w:rsidP="00086262">
            <w:pPr>
              <w:spacing w:after="60" w:line="220" w:lineRule="exact"/>
              <w:jc w:val="both"/>
              <w:rPr>
                <w:b/>
                <w:bCs/>
                <w:sz w:val="16"/>
                <w:szCs w:val="16"/>
              </w:rPr>
            </w:pPr>
          </w:p>
          <w:p w14:paraId="55B42218" w14:textId="77777777" w:rsidR="00345678" w:rsidRPr="00345678" w:rsidRDefault="00345678" w:rsidP="00086262">
            <w:pPr>
              <w:spacing w:after="60" w:line="220" w:lineRule="exact"/>
              <w:jc w:val="both"/>
              <w:rPr>
                <w:b/>
                <w:bCs/>
                <w:sz w:val="16"/>
                <w:szCs w:val="16"/>
              </w:rPr>
            </w:pPr>
            <w:r w:rsidRPr="00345678">
              <w:rPr>
                <w:b/>
                <w:bCs/>
                <w:sz w:val="16"/>
                <w:szCs w:val="16"/>
              </w:rPr>
              <w:t>Component 5.4 Management of EU funds</w:t>
            </w:r>
          </w:p>
          <w:p w14:paraId="7A8CDDF0" w14:textId="77777777" w:rsidR="00345678" w:rsidRPr="00345678" w:rsidRDefault="00345678" w:rsidP="00086262">
            <w:pPr>
              <w:pStyle w:val="T-normal"/>
              <w:spacing w:after="60" w:line="220" w:lineRule="exact"/>
              <w:jc w:val="both"/>
            </w:pPr>
            <w:r w:rsidRPr="00345678">
              <w:t>Goal 2030: Adequate PFM systems in compliance with EU requirements for sound financial management in order to effectively absorb EU funds.</w:t>
            </w:r>
          </w:p>
          <w:p w14:paraId="092B3D9F" w14:textId="77777777" w:rsidR="00345678" w:rsidRPr="00345678" w:rsidRDefault="00345678" w:rsidP="00086262">
            <w:pPr>
              <w:pStyle w:val="T-normal"/>
              <w:spacing w:line="220" w:lineRule="exact"/>
              <w:jc w:val="both"/>
            </w:pPr>
            <w:r w:rsidRPr="00345678">
              <w:t>Measures 2023-2026</w:t>
            </w:r>
          </w:p>
          <w:p w14:paraId="5AE7B2EF" w14:textId="4C846B90" w:rsidR="00345678" w:rsidRPr="00345678" w:rsidRDefault="00E12BBE" w:rsidP="00086262">
            <w:pPr>
              <w:pStyle w:val="T-bullet0"/>
              <w:spacing w:line="220" w:lineRule="exact"/>
              <w:jc w:val="both"/>
            </w:pPr>
            <w:r>
              <w:t>Measure</w:t>
            </w:r>
            <w:r w:rsidRPr="00345678">
              <w:t xml:space="preserve"> </w:t>
            </w:r>
            <w:r w:rsidR="00345678" w:rsidRPr="00345678">
              <w:t>5.4.1 Establishment of IPA III legal framework;</w:t>
            </w:r>
          </w:p>
          <w:p w14:paraId="05C8612E" w14:textId="1FEC9AD7" w:rsidR="00345678" w:rsidRPr="00345678" w:rsidRDefault="00022F54" w:rsidP="00086262">
            <w:pPr>
              <w:pStyle w:val="T-bullet0"/>
              <w:spacing w:line="220" w:lineRule="exact"/>
              <w:jc w:val="both"/>
            </w:pPr>
            <w:r>
              <w:t xml:space="preserve">Measure </w:t>
            </w:r>
            <w:r w:rsidR="00345678" w:rsidRPr="00345678">
              <w:t>5.4.2 Develop and implement regulations, procedures for IPA III management. Enhance the capacities of IPA III structures;</w:t>
            </w:r>
          </w:p>
          <w:p w14:paraId="7344D9D4" w14:textId="3D0B17EC" w:rsidR="00345678" w:rsidRPr="00345678" w:rsidRDefault="00E12BBE" w:rsidP="00086262">
            <w:pPr>
              <w:pStyle w:val="T-bullet0"/>
              <w:spacing w:line="220" w:lineRule="exact"/>
              <w:jc w:val="both"/>
            </w:pPr>
            <w:r>
              <w:t>Measure</w:t>
            </w:r>
            <w:r w:rsidRPr="00345678">
              <w:t xml:space="preserve"> </w:t>
            </w:r>
            <w:r w:rsidR="00345678" w:rsidRPr="00345678">
              <w:t>5.4.3 Enhance financial adjustment and/or Recovery procedures for EU Funds in line with national and  IPA III legal requirements;</w:t>
            </w:r>
          </w:p>
          <w:p w14:paraId="56D8021B" w14:textId="77777777" w:rsidR="003D53BC" w:rsidRDefault="00E12BBE" w:rsidP="003D53BC">
            <w:pPr>
              <w:pStyle w:val="T-bullet0"/>
              <w:spacing w:line="220" w:lineRule="exact"/>
              <w:jc w:val="both"/>
            </w:pPr>
            <w:r>
              <w:t>Measure</w:t>
            </w:r>
            <w:r w:rsidRPr="00345678">
              <w:t xml:space="preserve"> </w:t>
            </w:r>
            <w:r w:rsidR="00345678" w:rsidRPr="00345678">
              <w:t xml:space="preserve">5.4.4 </w:t>
            </w:r>
            <w:r w:rsidR="003D53BC" w:rsidRPr="001F151E">
              <w:t>Take stock of future requirements for managing EU post-accession funds and develop an action plan</w:t>
            </w:r>
            <w:r w:rsidR="003D53BC">
              <w:t>, within the framework of chapter 22,</w:t>
            </w:r>
            <w:r w:rsidR="003D53BC" w:rsidRPr="001F151E">
              <w:t xml:space="preserve"> </w:t>
            </w:r>
            <w:r w:rsidR="003D53BC">
              <w:t>which will determine the needs for improving the legal framework of funds management.</w:t>
            </w:r>
          </w:p>
          <w:p w14:paraId="124C2228" w14:textId="37D5A1BF" w:rsidR="003D53BC" w:rsidRPr="003D53BC" w:rsidRDefault="003D53BC" w:rsidP="003D53BC">
            <w:pPr>
              <w:pStyle w:val="T-bullet0"/>
              <w:spacing w:line="220" w:lineRule="exact"/>
              <w:jc w:val="both"/>
              <w:rPr>
                <w:rStyle w:val="IntenseReference"/>
                <w:i w:val="0"/>
                <w:color w:val="auto"/>
                <w:sz w:val="16"/>
                <w:szCs w:val="16"/>
              </w:rPr>
            </w:pPr>
            <w:r w:rsidRPr="003D53BC">
              <w:t xml:space="preserve">Measure 5.4.5 </w:t>
            </w:r>
            <w:r w:rsidRPr="00CD53F2">
              <w:rPr>
                <w:rStyle w:val="IntenseReference"/>
                <w:i w:val="0"/>
                <w:color w:val="auto"/>
                <w:sz w:val="16"/>
              </w:rPr>
              <w:t>Development of Simplified Cost Options (SCO)</w:t>
            </w:r>
          </w:p>
          <w:p w14:paraId="33659C18" w14:textId="55CF71C3" w:rsidR="003D53BC" w:rsidRPr="00345678" w:rsidRDefault="003D53BC" w:rsidP="003D53BC">
            <w:pPr>
              <w:pStyle w:val="T-bullet0"/>
              <w:numPr>
                <w:ilvl w:val="0"/>
                <w:numId w:val="0"/>
              </w:numPr>
              <w:spacing w:line="220" w:lineRule="exact"/>
              <w:ind w:left="360"/>
              <w:jc w:val="both"/>
            </w:pPr>
          </w:p>
        </w:tc>
      </w:tr>
    </w:tbl>
    <w:p w14:paraId="201E521D" w14:textId="77777777" w:rsidR="00345678" w:rsidRPr="001F151E" w:rsidRDefault="00345678" w:rsidP="00345678">
      <w:pPr>
        <w:rPr>
          <w:lang w:val="en-GB"/>
        </w:rPr>
      </w:pPr>
    </w:p>
    <w:p w14:paraId="4640D3C3" w14:textId="77777777" w:rsidR="00345678" w:rsidRDefault="00345678" w:rsidP="00345678">
      <w:pPr>
        <w:rPr>
          <w:lang w:val="en-GB"/>
        </w:rPr>
      </w:pPr>
    </w:p>
    <w:p w14:paraId="5E795ED6" w14:textId="77777777" w:rsidR="00F22823" w:rsidRDefault="00F22823" w:rsidP="00345678">
      <w:pPr>
        <w:rPr>
          <w:lang w:val="en-GB"/>
        </w:rPr>
      </w:pPr>
    </w:p>
    <w:p w14:paraId="4DE3F8F6" w14:textId="77777777" w:rsidR="00F22823" w:rsidRDefault="00F22823" w:rsidP="00345678">
      <w:pPr>
        <w:rPr>
          <w:lang w:val="en-GB"/>
        </w:rPr>
      </w:pPr>
    </w:p>
    <w:p w14:paraId="3DD2E11D" w14:textId="77777777" w:rsidR="00F22823" w:rsidRDefault="00F22823" w:rsidP="00345678">
      <w:pPr>
        <w:rPr>
          <w:lang w:val="en-GB"/>
        </w:rPr>
      </w:pPr>
    </w:p>
    <w:p w14:paraId="5E12F704" w14:textId="77777777" w:rsidR="00F22823" w:rsidRPr="001F151E" w:rsidRDefault="00F22823" w:rsidP="00345678">
      <w:pPr>
        <w:rPr>
          <w:lang w:val="en-GB"/>
        </w:rPr>
      </w:pPr>
    </w:p>
    <w:p w14:paraId="4008C6A4" w14:textId="77777777" w:rsidR="00345678" w:rsidRPr="001F151E" w:rsidRDefault="00345678" w:rsidP="00345678">
      <w:pPr>
        <w:pStyle w:val="Heading2"/>
        <w:rPr>
          <w:lang w:val="en-GB"/>
        </w:rPr>
      </w:pPr>
      <w:bookmarkStart w:id="59" w:name="_Toc163148035"/>
      <w:r w:rsidRPr="001F151E">
        <w:rPr>
          <w:lang w:val="en-GB"/>
        </w:rPr>
        <w:lastRenderedPageBreak/>
        <w:t>Component 5.1 Financial Management and Control</w:t>
      </w:r>
      <w:bookmarkEnd w:id="59"/>
    </w:p>
    <w:p w14:paraId="2BB96383" w14:textId="77777777" w:rsidR="00345678" w:rsidRPr="001F151E" w:rsidRDefault="00345678" w:rsidP="00345678">
      <w:pPr>
        <w:rPr>
          <w:lang w:val="en-GB"/>
        </w:rPr>
      </w:pPr>
    </w:p>
    <w:p w14:paraId="022B5B94" w14:textId="77777777" w:rsidR="00345678" w:rsidRPr="001F151E" w:rsidRDefault="00345678" w:rsidP="00345678">
      <w:pPr>
        <w:pStyle w:val="H5"/>
        <w:jc w:val="both"/>
        <w:rPr>
          <w:lang w:val="en-GB"/>
        </w:rPr>
      </w:pPr>
      <w:r w:rsidRPr="001F151E">
        <w:rPr>
          <w:lang w:val="en-GB"/>
        </w:rPr>
        <w:t>Objective</w:t>
      </w:r>
    </w:p>
    <w:p w14:paraId="5D2AF0E8" w14:textId="4DFA0926" w:rsidR="00345678" w:rsidRPr="003D53BC" w:rsidRDefault="00345678" w:rsidP="003D53BC">
      <w:pPr>
        <w:spacing w:line="276" w:lineRule="auto"/>
        <w:jc w:val="both"/>
        <w:rPr>
          <w:lang w:val="en-GB"/>
        </w:rPr>
      </w:pPr>
      <w:r w:rsidRPr="001F151E">
        <w:rPr>
          <w:lang w:val="en-GB"/>
        </w:rPr>
        <w:t>The goal for 2030 is to have strong FMC systems operational in all Public Institutions in compliance with national legislation and international / EU good practices.</w:t>
      </w:r>
    </w:p>
    <w:p w14:paraId="5368DD41" w14:textId="77777777" w:rsidR="00345678" w:rsidRPr="001F151E" w:rsidRDefault="00345678" w:rsidP="00345678">
      <w:pPr>
        <w:pStyle w:val="H5"/>
        <w:spacing w:line="276" w:lineRule="auto"/>
        <w:jc w:val="both"/>
        <w:rPr>
          <w:lang w:val="en-GB"/>
        </w:rPr>
      </w:pPr>
      <w:r w:rsidRPr="001F151E">
        <w:rPr>
          <w:lang w:val="en-GB"/>
        </w:rPr>
        <w:t>Context</w:t>
      </w:r>
    </w:p>
    <w:p w14:paraId="78FCF2CE" w14:textId="118BE03F" w:rsidR="00345678" w:rsidRPr="00345678" w:rsidRDefault="00345678" w:rsidP="00345678">
      <w:pPr>
        <w:spacing w:line="276" w:lineRule="auto"/>
        <w:jc w:val="both"/>
        <w:rPr>
          <w:lang w:val="en-GB"/>
        </w:rPr>
      </w:pPr>
      <w:r w:rsidRPr="001F151E">
        <w:rPr>
          <w:lang w:val="en-GB"/>
        </w:rPr>
        <w:t>Financial Management and Control (FMC) practices in Public Institutions have gradually improved over time. However the quality of FMC as well as compliance with laws and regulations varies considerably across public institutions. In particular in the area of internal control, managerial accountability and risk management space for improvement is observed. The legal framework consisting of the law on Financial Management and Control</w:t>
      </w:r>
      <w:bookmarkStart w:id="60" w:name="_Hlk157425442"/>
      <w:r w:rsidRPr="001F151E">
        <w:rPr>
          <w:rStyle w:val="FootnoteReference"/>
          <w:lang w:val="en-GB"/>
        </w:rPr>
        <w:footnoteReference w:id="62"/>
      </w:r>
      <w:bookmarkEnd w:id="60"/>
      <w:r w:rsidRPr="001F151E">
        <w:rPr>
          <w:lang w:val="en-GB"/>
        </w:rPr>
        <w:t xml:space="preserve"> and several sub-legal acts are in the process of being amended as to address the ongoing reforms in the area. Also the FMC manual</w:t>
      </w:r>
      <w:bookmarkStart w:id="61" w:name="_Hlk157425343"/>
      <w:r w:rsidRPr="001F151E">
        <w:rPr>
          <w:rStyle w:val="FootnoteReference"/>
          <w:lang w:val="en-GB"/>
        </w:rPr>
        <w:footnoteReference w:id="63"/>
      </w:r>
      <w:bookmarkEnd w:id="61"/>
      <w:r w:rsidRPr="001F151E">
        <w:rPr>
          <w:lang w:val="en-GB"/>
        </w:rPr>
        <w:t xml:space="preserve"> is being improved and further adapted. All changes are aligned to the EU requirements as stipulated in chapter 32 of the acquis. The process of annual quality self-assessment of the FMC system (through a questionnaire)</w:t>
      </w:r>
      <w:bookmarkStart w:id="62" w:name="_Hlk157425401"/>
      <w:r w:rsidRPr="001F151E">
        <w:rPr>
          <w:rStyle w:val="FootnoteReference"/>
          <w:lang w:val="en-GB"/>
        </w:rPr>
        <w:footnoteReference w:id="64"/>
      </w:r>
      <w:bookmarkEnd w:id="62"/>
      <w:r w:rsidRPr="001F151E">
        <w:rPr>
          <w:lang w:val="en-GB"/>
        </w:rPr>
        <w:t xml:space="preserve">, follow-up </w:t>
      </w:r>
      <w:r w:rsidRPr="00345678">
        <w:rPr>
          <w:lang w:val="en-GB"/>
        </w:rPr>
        <w:t xml:space="preserve">reporting to </w:t>
      </w:r>
      <w:r w:rsidR="00A660B5">
        <w:rPr>
          <w:lang w:val="en-GB"/>
        </w:rPr>
        <w:t>MoF</w:t>
      </w:r>
      <w:r w:rsidRPr="00345678">
        <w:rPr>
          <w:lang w:val="en-GB"/>
        </w:rPr>
        <w:t>, development of FMC improvement plans and its implementation by Public Institutions has been established and is supported by CHU/FMC. Main findings are reported in the annual PIFC report and discussed by the PIFC board. The CHU/FMC supports the public institutions with direct assistance on implementing the financial management and control requirements. The concept of managerial accountability within public institutions has not yet fully crystallized and a deeper understanding of managerial accountability by executive management has to be developed and facilitated by the necessary tools. Some weaknesses in the systematic follow-up on recommendations from internal and external auditors have been identified and need to be resolved. Risk management is still at an early stage at all levels and needs to be better incorporated in the management of financial and operational processes.</w:t>
      </w:r>
      <w:r w:rsidRPr="00345678">
        <w:rPr>
          <w:rStyle w:val="FootnoteReference"/>
          <w:lang w:val="en-GB"/>
        </w:rPr>
        <w:footnoteReference w:id="65"/>
      </w:r>
    </w:p>
    <w:p w14:paraId="1AFBD421" w14:textId="77777777" w:rsidR="00345678" w:rsidRPr="00345678" w:rsidRDefault="00345678" w:rsidP="00345678">
      <w:pPr>
        <w:pStyle w:val="DefaultText"/>
        <w:spacing w:line="276" w:lineRule="auto"/>
        <w:jc w:val="both"/>
      </w:pPr>
    </w:p>
    <w:p w14:paraId="4A05C33D" w14:textId="77777777" w:rsidR="00345678" w:rsidRPr="00345678" w:rsidRDefault="00345678" w:rsidP="00345678">
      <w:pPr>
        <w:pStyle w:val="H5"/>
        <w:spacing w:line="276" w:lineRule="auto"/>
        <w:jc w:val="both"/>
        <w:rPr>
          <w:lang w:val="en-GB"/>
        </w:rPr>
      </w:pPr>
      <w:r w:rsidRPr="00345678">
        <w:rPr>
          <w:lang w:val="en-GB"/>
        </w:rPr>
        <w:t>Priorities</w:t>
      </w:r>
    </w:p>
    <w:p w14:paraId="5A1FDF6A" w14:textId="77777777" w:rsidR="00345678" w:rsidRPr="001F151E" w:rsidRDefault="00345678" w:rsidP="00345678">
      <w:pPr>
        <w:spacing w:line="276" w:lineRule="auto"/>
        <w:jc w:val="both"/>
        <w:rPr>
          <w:lang w:val="en-GB"/>
        </w:rPr>
      </w:pPr>
      <w:r w:rsidRPr="00345678">
        <w:rPr>
          <w:lang w:val="en-GB"/>
        </w:rPr>
        <w:t>The priorities for the period 2023-2026 are:</w:t>
      </w:r>
      <w:r w:rsidRPr="001F151E">
        <w:rPr>
          <w:lang w:val="en-GB"/>
        </w:rPr>
        <w:t xml:space="preserve"> </w:t>
      </w:r>
    </w:p>
    <w:p w14:paraId="13CAC0B3" w14:textId="77777777" w:rsidR="00345678" w:rsidRPr="001F151E" w:rsidRDefault="00345678" w:rsidP="00345678">
      <w:pPr>
        <w:pStyle w:val="ListParagraph"/>
        <w:numPr>
          <w:ilvl w:val="0"/>
          <w:numId w:val="2"/>
        </w:numPr>
        <w:spacing w:line="276" w:lineRule="auto"/>
        <w:jc w:val="both"/>
        <w:rPr>
          <w:lang w:val="en-GB"/>
        </w:rPr>
      </w:pPr>
      <w:r w:rsidRPr="001F151E">
        <w:rPr>
          <w:lang w:val="en-GB"/>
        </w:rPr>
        <w:t>Updating the legal and regulatory framework for FMC improved in the context of ongoing reforms in the FMC area.</w:t>
      </w:r>
    </w:p>
    <w:p w14:paraId="644F48AD" w14:textId="77777777" w:rsidR="00345678" w:rsidRPr="001F151E" w:rsidRDefault="00345678" w:rsidP="00345678">
      <w:pPr>
        <w:pStyle w:val="ListParagraph"/>
        <w:numPr>
          <w:ilvl w:val="0"/>
          <w:numId w:val="2"/>
        </w:numPr>
        <w:spacing w:line="276" w:lineRule="auto"/>
        <w:jc w:val="both"/>
        <w:rPr>
          <w:lang w:val="en-GB"/>
        </w:rPr>
      </w:pPr>
      <w:r w:rsidRPr="001F151E">
        <w:rPr>
          <w:lang w:val="en-GB"/>
        </w:rPr>
        <w:t>Enhancing Managerial accountability practices in public institutions.</w:t>
      </w:r>
    </w:p>
    <w:p w14:paraId="50A3F0C9" w14:textId="77777777" w:rsidR="00345678" w:rsidRPr="001F151E" w:rsidRDefault="00345678" w:rsidP="00345678">
      <w:pPr>
        <w:pStyle w:val="ListParagraph"/>
        <w:numPr>
          <w:ilvl w:val="0"/>
          <w:numId w:val="2"/>
        </w:numPr>
        <w:spacing w:line="276" w:lineRule="auto"/>
        <w:jc w:val="both"/>
        <w:rPr>
          <w:lang w:val="en-GB"/>
        </w:rPr>
      </w:pPr>
      <w:r w:rsidRPr="001F151E">
        <w:rPr>
          <w:lang w:val="en-GB"/>
        </w:rPr>
        <w:t>Enhancing Risk management practices in public institutions.</w:t>
      </w:r>
    </w:p>
    <w:p w14:paraId="3C5923FD" w14:textId="77777777" w:rsidR="00345678" w:rsidRPr="001F151E" w:rsidRDefault="00345678" w:rsidP="00345678">
      <w:pPr>
        <w:pStyle w:val="ListParagraph"/>
        <w:numPr>
          <w:ilvl w:val="0"/>
          <w:numId w:val="2"/>
        </w:numPr>
        <w:spacing w:line="276" w:lineRule="auto"/>
        <w:jc w:val="both"/>
        <w:rPr>
          <w:lang w:val="en-GB"/>
        </w:rPr>
      </w:pPr>
      <w:r w:rsidRPr="001F151E">
        <w:rPr>
          <w:lang w:val="en-GB"/>
        </w:rPr>
        <w:t xml:space="preserve">Continuing the support to public institutions with developing and implementing FMC tools. </w:t>
      </w:r>
    </w:p>
    <w:p w14:paraId="42C67A00" w14:textId="77777777" w:rsidR="00345678" w:rsidRPr="001F151E" w:rsidRDefault="00345678" w:rsidP="00345678">
      <w:pPr>
        <w:rPr>
          <w:lang w:val="en-GB"/>
        </w:rPr>
      </w:pPr>
    </w:p>
    <w:p w14:paraId="53432AB7" w14:textId="77777777" w:rsidR="00345678" w:rsidRPr="001F151E" w:rsidRDefault="00345678" w:rsidP="00345678">
      <w:pPr>
        <w:pStyle w:val="H5"/>
        <w:rPr>
          <w:lang w:val="en-GB"/>
        </w:rPr>
      </w:pPr>
      <w:r w:rsidRPr="001F151E">
        <w:rPr>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80"/>
        <w:gridCol w:w="3659"/>
        <w:gridCol w:w="798"/>
        <w:gridCol w:w="798"/>
        <w:gridCol w:w="1781"/>
      </w:tblGrid>
      <w:tr w:rsidR="00345678" w:rsidRPr="001F151E" w14:paraId="457CBDED" w14:textId="77777777" w:rsidTr="00086262">
        <w:trPr>
          <w:cantSplit/>
          <w:trHeight w:val="20"/>
          <w:tblHeader/>
        </w:trPr>
        <w:tc>
          <w:tcPr>
            <w:tcW w:w="1980" w:type="dxa"/>
            <w:shd w:val="clear" w:color="auto" w:fill="D9D9D9" w:themeFill="background1" w:themeFillShade="D9"/>
          </w:tcPr>
          <w:p w14:paraId="52CA8AB7" w14:textId="77777777" w:rsidR="00345678" w:rsidRPr="001F151E" w:rsidRDefault="00345678" w:rsidP="00086262">
            <w:pPr>
              <w:pStyle w:val="T-bold"/>
            </w:pPr>
            <w:bookmarkStart w:id="63" w:name="_Hlk153204913"/>
            <w:r w:rsidRPr="001F151E">
              <w:t>Measure</w:t>
            </w:r>
          </w:p>
        </w:tc>
        <w:tc>
          <w:tcPr>
            <w:tcW w:w="3659" w:type="dxa"/>
            <w:shd w:val="clear" w:color="auto" w:fill="D9D9D9" w:themeFill="background1" w:themeFillShade="D9"/>
          </w:tcPr>
          <w:p w14:paraId="3F387F53" w14:textId="77777777" w:rsidR="00345678" w:rsidRPr="001F151E" w:rsidRDefault="00345678" w:rsidP="00086262">
            <w:pPr>
              <w:pStyle w:val="T-bold"/>
            </w:pPr>
            <w:r w:rsidRPr="001F151E">
              <w:t>Activity</w:t>
            </w:r>
          </w:p>
        </w:tc>
        <w:tc>
          <w:tcPr>
            <w:tcW w:w="798" w:type="dxa"/>
            <w:shd w:val="clear" w:color="auto" w:fill="D9D9D9" w:themeFill="background1" w:themeFillShade="D9"/>
          </w:tcPr>
          <w:p w14:paraId="75795BC1" w14:textId="77777777" w:rsidR="00345678" w:rsidRPr="001F151E" w:rsidRDefault="00345678" w:rsidP="00086262">
            <w:pPr>
              <w:pStyle w:val="T-bold"/>
              <w:jc w:val="center"/>
            </w:pPr>
            <w:r w:rsidRPr="001F151E">
              <w:t>Start</w:t>
            </w:r>
          </w:p>
        </w:tc>
        <w:tc>
          <w:tcPr>
            <w:tcW w:w="798" w:type="dxa"/>
            <w:shd w:val="clear" w:color="auto" w:fill="D9D9D9" w:themeFill="background1" w:themeFillShade="D9"/>
          </w:tcPr>
          <w:p w14:paraId="4BC1FBB1" w14:textId="77777777" w:rsidR="00345678" w:rsidRPr="001F151E" w:rsidRDefault="00345678" w:rsidP="00086262">
            <w:pPr>
              <w:pStyle w:val="T-bold"/>
              <w:jc w:val="center"/>
            </w:pPr>
            <w:r w:rsidRPr="001F151E">
              <w:t>End</w:t>
            </w:r>
          </w:p>
        </w:tc>
        <w:tc>
          <w:tcPr>
            <w:tcW w:w="1781" w:type="dxa"/>
            <w:shd w:val="clear" w:color="auto" w:fill="D9D9D9" w:themeFill="background1" w:themeFillShade="D9"/>
          </w:tcPr>
          <w:p w14:paraId="6BE18373" w14:textId="77777777" w:rsidR="00345678" w:rsidRPr="001F151E" w:rsidRDefault="00345678" w:rsidP="00086262">
            <w:pPr>
              <w:pStyle w:val="T-bold"/>
            </w:pPr>
            <w:r w:rsidRPr="001F151E">
              <w:t>Stakeholders</w:t>
            </w:r>
          </w:p>
        </w:tc>
      </w:tr>
      <w:tr w:rsidR="00345678" w:rsidRPr="001F151E" w14:paraId="70EAB56C" w14:textId="77777777" w:rsidTr="00086262">
        <w:trPr>
          <w:cantSplit/>
          <w:trHeight w:val="20"/>
        </w:trPr>
        <w:tc>
          <w:tcPr>
            <w:tcW w:w="1980" w:type="dxa"/>
            <w:vMerge w:val="restart"/>
            <w:shd w:val="clear" w:color="auto" w:fill="auto"/>
          </w:tcPr>
          <w:p w14:paraId="5D8EFD58"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 xml:space="preserve">Measure 5.1.1 </w:t>
            </w:r>
          </w:p>
          <w:p w14:paraId="519A076A" w14:textId="77777777" w:rsidR="00345678" w:rsidRPr="001F151E" w:rsidRDefault="00345678" w:rsidP="00086262">
            <w:pPr>
              <w:pStyle w:val="EcorysBody"/>
              <w:rPr>
                <w:rFonts w:ascii="Arial" w:hAnsi="Arial" w:cs="Arial"/>
                <w:sz w:val="16"/>
                <w:szCs w:val="16"/>
              </w:rPr>
            </w:pPr>
            <w:r w:rsidRPr="001F151E">
              <w:rPr>
                <w:rFonts w:ascii="Arial" w:hAnsi="Arial" w:cs="Arial"/>
                <w:b/>
                <w:bCs/>
                <w:sz w:val="16"/>
                <w:szCs w:val="16"/>
              </w:rPr>
              <w:t>Enhance legal and regulatory framework for FMC</w:t>
            </w:r>
          </w:p>
        </w:tc>
        <w:tc>
          <w:tcPr>
            <w:tcW w:w="3659" w:type="dxa"/>
            <w:vAlign w:val="center"/>
          </w:tcPr>
          <w:p w14:paraId="1D1B3D4F" w14:textId="77777777" w:rsidR="00345678" w:rsidRPr="001F151E" w:rsidRDefault="00345678" w:rsidP="00086262">
            <w:pPr>
              <w:pStyle w:val="EcorysBody"/>
              <w:numPr>
                <w:ilvl w:val="0"/>
                <w:numId w:val="6"/>
              </w:numPr>
              <w:rPr>
                <w:rFonts w:ascii="Arial" w:hAnsi="Arial" w:cs="Arial"/>
                <w:sz w:val="16"/>
                <w:szCs w:val="16"/>
              </w:rPr>
            </w:pPr>
            <w:r w:rsidRPr="001F151E">
              <w:rPr>
                <w:rFonts w:ascii="Arial" w:hAnsi="Arial" w:cs="Arial"/>
                <w:sz w:val="16"/>
                <w:szCs w:val="16"/>
              </w:rPr>
              <w:t>Review the FMC law as to address ongoing reforms in the domain of FMC.</w:t>
            </w:r>
          </w:p>
        </w:tc>
        <w:tc>
          <w:tcPr>
            <w:tcW w:w="798" w:type="dxa"/>
            <w:shd w:val="clear" w:color="auto" w:fill="FFFFFF" w:themeFill="background1"/>
            <w:vAlign w:val="center"/>
          </w:tcPr>
          <w:p w14:paraId="390BC456" w14:textId="77777777" w:rsidR="00345678" w:rsidRPr="001F151E" w:rsidRDefault="00345678" w:rsidP="00086262">
            <w:pPr>
              <w:jc w:val="center"/>
              <w:rPr>
                <w:sz w:val="16"/>
                <w:szCs w:val="16"/>
              </w:rPr>
            </w:pPr>
            <w:r w:rsidRPr="001F151E">
              <w:rPr>
                <w:sz w:val="16"/>
                <w:szCs w:val="16"/>
              </w:rPr>
              <w:t>Q1 2023</w:t>
            </w:r>
          </w:p>
        </w:tc>
        <w:tc>
          <w:tcPr>
            <w:tcW w:w="798" w:type="dxa"/>
            <w:shd w:val="clear" w:color="auto" w:fill="FFFFFF" w:themeFill="background1"/>
            <w:vAlign w:val="center"/>
          </w:tcPr>
          <w:p w14:paraId="1377D968" w14:textId="77777777" w:rsidR="00345678" w:rsidRPr="001F151E" w:rsidRDefault="00345678" w:rsidP="00086262">
            <w:pPr>
              <w:jc w:val="center"/>
              <w:rPr>
                <w:sz w:val="16"/>
                <w:szCs w:val="16"/>
              </w:rPr>
            </w:pPr>
            <w:r w:rsidRPr="001F151E">
              <w:rPr>
                <w:sz w:val="16"/>
                <w:szCs w:val="16"/>
              </w:rPr>
              <w:t>Q1 2023</w:t>
            </w:r>
          </w:p>
        </w:tc>
        <w:tc>
          <w:tcPr>
            <w:tcW w:w="1781" w:type="dxa"/>
            <w:vMerge w:val="restart"/>
          </w:tcPr>
          <w:p w14:paraId="77DC2D2A" w14:textId="77777777" w:rsidR="00345678" w:rsidRPr="001F151E" w:rsidRDefault="00345678" w:rsidP="00086262">
            <w:pPr>
              <w:rPr>
                <w:b/>
                <w:bCs/>
                <w:sz w:val="16"/>
                <w:szCs w:val="16"/>
              </w:rPr>
            </w:pPr>
            <w:r w:rsidRPr="001F151E">
              <w:rPr>
                <w:b/>
                <w:bCs/>
                <w:sz w:val="16"/>
                <w:szCs w:val="16"/>
              </w:rPr>
              <w:t>Responsible entity:</w:t>
            </w:r>
          </w:p>
          <w:p w14:paraId="54BDA1E9" w14:textId="77777777" w:rsidR="00345678" w:rsidRPr="001F151E" w:rsidRDefault="00345678" w:rsidP="00086262">
            <w:pPr>
              <w:pStyle w:val="EcorysBody"/>
              <w:rPr>
                <w:rFonts w:ascii="Arial" w:hAnsi="Arial" w:cs="Arial"/>
                <w:sz w:val="16"/>
                <w:szCs w:val="16"/>
              </w:rPr>
            </w:pPr>
            <w:r w:rsidRPr="001F151E">
              <w:rPr>
                <w:rFonts w:ascii="Arial" w:hAnsi="Arial" w:cs="Arial"/>
              </w:rPr>
              <w:t>DH/FMCA</w:t>
            </w:r>
            <w:r w:rsidRPr="001F151E">
              <w:rPr>
                <w:rFonts w:ascii="Arial" w:hAnsi="Arial" w:cs="Arial"/>
                <w:sz w:val="16"/>
                <w:szCs w:val="16"/>
              </w:rPr>
              <w:t xml:space="preserve"> (lead).</w:t>
            </w:r>
          </w:p>
          <w:p w14:paraId="09F95904" w14:textId="77777777" w:rsidR="00345678" w:rsidRPr="001F151E" w:rsidRDefault="00345678" w:rsidP="00086262">
            <w:pPr>
              <w:pStyle w:val="EcorysBody"/>
              <w:rPr>
                <w:rFonts w:ascii="Arial" w:hAnsi="Arial" w:cs="Arial"/>
                <w:b/>
                <w:bCs/>
                <w:sz w:val="8"/>
                <w:szCs w:val="8"/>
              </w:rPr>
            </w:pPr>
          </w:p>
          <w:p w14:paraId="3DD89B1C"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Partners:</w:t>
            </w:r>
            <w:r w:rsidRPr="001F151E">
              <w:rPr>
                <w:rStyle w:val="FootnoteReference"/>
                <w:sz w:val="16"/>
                <w:szCs w:val="16"/>
              </w:rPr>
              <w:t xml:space="preserve"> </w:t>
            </w:r>
          </w:p>
          <w:p w14:paraId="39C364E7"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EU, SIGMA, SECO.</w:t>
            </w:r>
            <w:r w:rsidRPr="001F151E">
              <w:rPr>
                <w:rStyle w:val="FootnoteReference"/>
                <w:sz w:val="16"/>
                <w:szCs w:val="16"/>
              </w:rPr>
              <w:footnoteReference w:id="66"/>
            </w:r>
          </w:p>
          <w:p w14:paraId="1802C2B2" w14:textId="77777777" w:rsidR="00345678" w:rsidRPr="001F151E" w:rsidRDefault="00345678" w:rsidP="00086262">
            <w:pPr>
              <w:pStyle w:val="EcorysBody"/>
              <w:rPr>
                <w:rFonts w:ascii="Arial" w:hAnsi="Arial" w:cs="Arial"/>
                <w:sz w:val="16"/>
                <w:szCs w:val="16"/>
              </w:rPr>
            </w:pPr>
          </w:p>
          <w:p w14:paraId="3CF3D2CC" w14:textId="77777777" w:rsidR="00345678" w:rsidRPr="001F151E" w:rsidRDefault="00345678" w:rsidP="00086262">
            <w:pPr>
              <w:rPr>
                <w:sz w:val="16"/>
                <w:szCs w:val="16"/>
              </w:rPr>
            </w:pPr>
          </w:p>
        </w:tc>
      </w:tr>
      <w:tr w:rsidR="00345678" w:rsidRPr="001F151E" w14:paraId="3E2F238B" w14:textId="77777777" w:rsidTr="00086262">
        <w:trPr>
          <w:cantSplit/>
          <w:trHeight w:val="566"/>
        </w:trPr>
        <w:tc>
          <w:tcPr>
            <w:tcW w:w="1980" w:type="dxa"/>
            <w:vMerge/>
            <w:shd w:val="clear" w:color="auto" w:fill="auto"/>
          </w:tcPr>
          <w:p w14:paraId="773EDDDA" w14:textId="77777777" w:rsidR="00345678" w:rsidRPr="001F151E" w:rsidRDefault="00345678" w:rsidP="00086262">
            <w:pPr>
              <w:pStyle w:val="EcorysBody"/>
              <w:numPr>
                <w:ilvl w:val="0"/>
                <w:numId w:val="6"/>
              </w:numPr>
              <w:rPr>
                <w:rFonts w:ascii="Arial" w:hAnsi="Arial" w:cs="Arial"/>
                <w:sz w:val="16"/>
                <w:szCs w:val="16"/>
              </w:rPr>
            </w:pPr>
          </w:p>
        </w:tc>
        <w:tc>
          <w:tcPr>
            <w:tcW w:w="3659" w:type="dxa"/>
            <w:vAlign w:val="center"/>
          </w:tcPr>
          <w:p w14:paraId="41D1EA82" w14:textId="77777777" w:rsidR="00345678" w:rsidRPr="001F151E" w:rsidRDefault="00345678" w:rsidP="00086262">
            <w:pPr>
              <w:pStyle w:val="EcorysBody"/>
              <w:numPr>
                <w:ilvl w:val="0"/>
                <w:numId w:val="6"/>
              </w:numPr>
              <w:rPr>
                <w:rFonts w:ascii="Arial" w:hAnsi="Arial" w:cs="Arial"/>
                <w:sz w:val="16"/>
                <w:szCs w:val="16"/>
              </w:rPr>
            </w:pPr>
            <w:r w:rsidRPr="001F151E">
              <w:rPr>
                <w:rFonts w:ascii="Arial" w:hAnsi="Arial" w:cs="Arial"/>
                <w:sz w:val="16"/>
                <w:szCs w:val="16"/>
              </w:rPr>
              <w:t>Review and update sub-legal acts and further improve the FMC manual.</w:t>
            </w:r>
          </w:p>
        </w:tc>
        <w:tc>
          <w:tcPr>
            <w:tcW w:w="798" w:type="dxa"/>
            <w:shd w:val="clear" w:color="auto" w:fill="FFFFFF" w:themeFill="background1"/>
            <w:vAlign w:val="center"/>
          </w:tcPr>
          <w:p w14:paraId="2D1E4FE0" w14:textId="77777777" w:rsidR="00345678" w:rsidRPr="001F151E" w:rsidRDefault="00345678" w:rsidP="00086262">
            <w:pPr>
              <w:rPr>
                <w:sz w:val="16"/>
                <w:szCs w:val="16"/>
              </w:rPr>
            </w:pPr>
            <w:r w:rsidRPr="001F151E">
              <w:rPr>
                <w:sz w:val="16"/>
                <w:szCs w:val="16"/>
              </w:rPr>
              <w:t>Q4 2023</w:t>
            </w:r>
          </w:p>
        </w:tc>
        <w:tc>
          <w:tcPr>
            <w:tcW w:w="798" w:type="dxa"/>
            <w:shd w:val="clear" w:color="auto" w:fill="FFFFFF" w:themeFill="background1"/>
            <w:vAlign w:val="center"/>
          </w:tcPr>
          <w:p w14:paraId="7EEB0542" w14:textId="77777777" w:rsidR="00345678" w:rsidRPr="001F151E" w:rsidRDefault="00345678" w:rsidP="00086262">
            <w:pPr>
              <w:jc w:val="center"/>
              <w:rPr>
                <w:sz w:val="16"/>
                <w:szCs w:val="16"/>
              </w:rPr>
            </w:pPr>
            <w:r w:rsidRPr="001F151E">
              <w:rPr>
                <w:sz w:val="16"/>
                <w:szCs w:val="16"/>
              </w:rPr>
              <w:t>Q4 2025</w:t>
            </w:r>
          </w:p>
        </w:tc>
        <w:tc>
          <w:tcPr>
            <w:tcW w:w="1781" w:type="dxa"/>
            <w:vMerge/>
          </w:tcPr>
          <w:p w14:paraId="1935C0B8" w14:textId="77777777" w:rsidR="00345678" w:rsidRPr="001F151E" w:rsidRDefault="00345678" w:rsidP="00086262">
            <w:pPr>
              <w:rPr>
                <w:sz w:val="16"/>
                <w:szCs w:val="16"/>
              </w:rPr>
            </w:pPr>
          </w:p>
        </w:tc>
      </w:tr>
      <w:tr w:rsidR="00345678" w:rsidRPr="001F151E" w14:paraId="15C4027F" w14:textId="77777777" w:rsidTr="00086262">
        <w:trPr>
          <w:cantSplit/>
          <w:trHeight w:val="810"/>
        </w:trPr>
        <w:tc>
          <w:tcPr>
            <w:tcW w:w="1980" w:type="dxa"/>
            <w:vMerge/>
            <w:shd w:val="clear" w:color="auto" w:fill="auto"/>
          </w:tcPr>
          <w:p w14:paraId="31735706" w14:textId="77777777" w:rsidR="00345678" w:rsidRPr="001F151E" w:rsidRDefault="00345678" w:rsidP="00086262">
            <w:pPr>
              <w:pStyle w:val="EcorysBody"/>
              <w:numPr>
                <w:ilvl w:val="0"/>
                <w:numId w:val="6"/>
              </w:numPr>
              <w:rPr>
                <w:rFonts w:ascii="Arial" w:hAnsi="Arial" w:cs="Arial"/>
                <w:sz w:val="16"/>
                <w:szCs w:val="16"/>
              </w:rPr>
            </w:pPr>
          </w:p>
        </w:tc>
        <w:tc>
          <w:tcPr>
            <w:tcW w:w="3659" w:type="dxa"/>
            <w:vAlign w:val="center"/>
          </w:tcPr>
          <w:p w14:paraId="30DE5E9E" w14:textId="77777777" w:rsidR="00345678" w:rsidRPr="001F151E" w:rsidRDefault="00345678" w:rsidP="00086262">
            <w:pPr>
              <w:pStyle w:val="EcorysBody"/>
              <w:numPr>
                <w:ilvl w:val="0"/>
                <w:numId w:val="6"/>
              </w:numPr>
              <w:rPr>
                <w:rFonts w:ascii="Arial" w:hAnsi="Arial" w:cs="Arial"/>
                <w:sz w:val="16"/>
                <w:szCs w:val="16"/>
              </w:rPr>
            </w:pPr>
            <w:r w:rsidRPr="001F151E">
              <w:rPr>
                <w:rFonts w:ascii="Arial" w:hAnsi="Arial" w:cs="Arial"/>
                <w:sz w:val="16"/>
                <w:szCs w:val="16"/>
              </w:rPr>
              <w:t>Review the effectiveness of the FMC law as well as required harmonization with other legislation and prepare amendments if needed.</w:t>
            </w:r>
          </w:p>
        </w:tc>
        <w:tc>
          <w:tcPr>
            <w:tcW w:w="798" w:type="dxa"/>
            <w:shd w:val="clear" w:color="auto" w:fill="FFFFFF" w:themeFill="background1"/>
            <w:vAlign w:val="center"/>
          </w:tcPr>
          <w:p w14:paraId="5DE09A47" w14:textId="77777777" w:rsidR="00345678" w:rsidRPr="001F151E" w:rsidRDefault="00345678" w:rsidP="00086262">
            <w:pPr>
              <w:jc w:val="center"/>
              <w:rPr>
                <w:sz w:val="16"/>
                <w:szCs w:val="16"/>
              </w:rPr>
            </w:pPr>
            <w:r w:rsidRPr="001F151E">
              <w:rPr>
                <w:sz w:val="16"/>
                <w:szCs w:val="16"/>
              </w:rPr>
              <w:t>Q1 2026</w:t>
            </w:r>
          </w:p>
        </w:tc>
        <w:tc>
          <w:tcPr>
            <w:tcW w:w="798" w:type="dxa"/>
            <w:shd w:val="clear" w:color="auto" w:fill="FFFFFF" w:themeFill="background1"/>
            <w:vAlign w:val="center"/>
          </w:tcPr>
          <w:p w14:paraId="0C8B8F8E" w14:textId="77777777" w:rsidR="00345678" w:rsidRPr="001F151E" w:rsidRDefault="00345678" w:rsidP="00086262">
            <w:pPr>
              <w:jc w:val="center"/>
              <w:rPr>
                <w:sz w:val="16"/>
                <w:szCs w:val="16"/>
              </w:rPr>
            </w:pPr>
            <w:r w:rsidRPr="001F151E">
              <w:rPr>
                <w:sz w:val="16"/>
                <w:szCs w:val="16"/>
              </w:rPr>
              <w:t>Q2 2026</w:t>
            </w:r>
          </w:p>
        </w:tc>
        <w:tc>
          <w:tcPr>
            <w:tcW w:w="1781" w:type="dxa"/>
            <w:vMerge/>
          </w:tcPr>
          <w:p w14:paraId="610EF46E" w14:textId="77777777" w:rsidR="00345678" w:rsidRPr="001F151E" w:rsidRDefault="00345678" w:rsidP="00086262">
            <w:pPr>
              <w:rPr>
                <w:sz w:val="16"/>
                <w:szCs w:val="16"/>
              </w:rPr>
            </w:pPr>
          </w:p>
        </w:tc>
      </w:tr>
      <w:tr w:rsidR="00345678" w:rsidRPr="001F151E" w14:paraId="0BA15FFB" w14:textId="77777777" w:rsidTr="00086262">
        <w:trPr>
          <w:cantSplit/>
          <w:trHeight w:val="1012"/>
        </w:trPr>
        <w:tc>
          <w:tcPr>
            <w:tcW w:w="1980" w:type="dxa"/>
            <w:vMerge w:val="restart"/>
            <w:shd w:val="clear" w:color="auto" w:fill="auto"/>
          </w:tcPr>
          <w:p w14:paraId="1BA07025"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 xml:space="preserve">Measure 5.1.2 </w:t>
            </w:r>
          </w:p>
          <w:p w14:paraId="74FB0325" w14:textId="77777777" w:rsidR="00345678" w:rsidRPr="001F151E" w:rsidRDefault="00345678" w:rsidP="00086262">
            <w:pPr>
              <w:pStyle w:val="EcorysBody"/>
              <w:rPr>
                <w:rFonts w:ascii="Arial" w:hAnsi="Arial" w:cs="Arial"/>
                <w:sz w:val="16"/>
                <w:szCs w:val="16"/>
              </w:rPr>
            </w:pPr>
            <w:r w:rsidRPr="001F151E">
              <w:rPr>
                <w:rFonts w:ascii="Arial" w:hAnsi="Arial" w:cs="Arial"/>
                <w:b/>
                <w:bCs/>
                <w:sz w:val="16"/>
                <w:szCs w:val="16"/>
              </w:rPr>
              <w:t xml:space="preserve">Enhance Managerial Accountability in public institutions </w:t>
            </w:r>
          </w:p>
        </w:tc>
        <w:tc>
          <w:tcPr>
            <w:tcW w:w="3659" w:type="dxa"/>
          </w:tcPr>
          <w:p w14:paraId="5CB49C20" w14:textId="77777777" w:rsidR="00345678" w:rsidRPr="001F151E" w:rsidRDefault="00345678" w:rsidP="00086262">
            <w:pPr>
              <w:pStyle w:val="EcorysBody"/>
              <w:numPr>
                <w:ilvl w:val="0"/>
                <w:numId w:val="7"/>
              </w:numPr>
              <w:rPr>
                <w:rFonts w:ascii="Arial" w:hAnsi="Arial" w:cs="Arial"/>
                <w:sz w:val="16"/>
                <w:szCs w:val="16"/>
              </w:rPr>
            </w:pPr>
            <w:r w:rsidRPr="001F151E">
              <w:rPr>
                <w:rFonts w:ascii="Arial" w:hAnsi="Arial" w:cs="Arial"/>
                <w:sz w:val="16"/>
                <w:szCs w:val="16"/>
              </w:rPr>
              <w:t>Support public institutions with using the rules of delegation of duties as a follow-up on the developed legal and regulatory framework for FMC and managerial accountability.</w:t>
            </w:r>
            <w:r w:rsidRPr="001F151E">
              <w:rPr>
                <w:rStyle w:val="FootnoteReference"/>
                <w:sz w:val="16"/>
                <w:szCs w:val="16"/>
              </w:rPr>
              <w:footnoteReference w:id="67"/>
            </w:r>
          </w:p>
        </w:tc>
        <w:tc>
          <w:tcPr>
            <w:tcW w:w="798" w:type="dxa"/>
            <w:shd w:val="clear" w:color="auto" w:fill="FFFFFF" w:themeFill="background1"/>
            <w:vAlign w:val="center"/>
          </w:tcPr>
          <w:p w14:paraId="17D650DE" w14:textId="77777777" w:rsidR="00345678" w:rsidRPr="001F151E" w:rsidRDefault="00345678" w:rsidP="00086262">
            <w:pPr>
              <w:jc w:val="center"/>
              <w:rPr>
                <w:sz w:val="16"/>
                <w:szCs w:val="16"/>
              </w:rPr>
            </w:pPr>
            <w:r w:rsidRPr="001F151E">
              <w:rPr>
                <w:sz w:val="16"/>
                <w:szCs w:val="16"/>
              </w:rPr>
              <w:t>Q1 2025</w:t>
            </w:r>
          </w:p>
        </w:tc>
        <w:tc>
          <w:tcPr>
            <w:tcW w:w="798" w:type="dxa"/>
            <w:shd w:val="clear" w:color="auto" w:fill="FFFFFF" w:themeFill="background1"/>
            <w:vAlign w:val="center"/>
          </w:tcPr>
          <w:p w14:paraId="13E914F1" w14:textId="77777777" w:rsidR="00345678" w:rsidRPr="001F151E" w:rsidRDefault="00345678" w:rsidP="00086262">
            <w:pPr>
              <w:jc w:val="center"/>
              <w:rPr>
                <w:sz w:val="16"/>
                <w:szCs w:val="16"/>
              </w:rPr>
            </w:pPr>
            <w:r w:rsidRPr="001F151E">
              <w:rPr>
                <w:sz w:val="16"/>
                <w:szCs w:val="16"/>
              </w:rPr>
              <w:t>Q4 2025</w:t>
            </w:r>
          </w:p>
        </w:tc>
        <w:tc>
          <w:tcPr>
            <w:tcW w:w="1781" w:type="dxa"/>
            <w:vMerge w:val="restart"/>
          </w:tcPr>
          <w:p w14:paraId="6FD50F2E" w14:textId="77777777" w:rsidR="00345678" w:rsidRPr="001F151E" w:rsidRDefault="00345678" w:rsidP="00086262">
            <w:pPr>
              <w:rPr>
                <w:b/>
                <w:bCs/>
                <w:sz w:val="16"/>
                <w:szCs w:val="16"/>
              </w:rPr>
            </w:pPr>
            <w:r w:rsidRPr="001F151E">
              <w:rPr>
                <w:b/>
                <w:bCs/>
                <w:sz w:val="16"/>
                <w:szCs w:val="16"/>
              </w:rPr>
              <w:t>Responsible entity:</w:t>
            </w:r>
          </w:p>
          <w:p w14:paraId="2E6CF6E6" w14:textId="57C360A3" w:rsidR="00345678" w:rsidRPr="001F151E" w:rsidRDefault="00345678" w:rsidP="00086262">
            <w:pPr>
              <w:pStyle w:val="EcorysBody"/>
              <w:rPr>
                <w:rFonts w:ascii="Arial" w:hAnsi="Arial" w:cs="Arial"/>
                <w:sz w:val="16"/>
                <w:szCs w:val="16"/>
              </w:rPr>
            </w:pPr>
            <w:r w:rsidRPr="001F151E">
              <w:rPr>
                <w:rFonts w:ascii="Arial" w:hAnsi="Arial" w:cs="Arial"/>
              </w:rPr>
              <w:t>DH/FMCA</w:t>
            </w:r>
            <w:r w:rsidRPr="001F151E">
              <w:rPr>
                <w:rFonts w:ascii="Arial" w:hAnsi="Arial" w:cs="Arial"/>
                <w:sz w:val="16"/>
                <w:szCs w:val="16"/>
              </w:rPr>
              <w:t xml:space="preserve"> (lead)</w:t>
            </w:r>
          </w:p>
          <w:p w14:paraId="2548ACEC" w14:textId="77777777" w:rsidR="00345678" w:rsidRPr="001F151E" w:rsidRDefault="00345678" w:rsidP="00086262">
            <w:pPr>
              <w:pStyle w:val="EcorysBody"/>
              <w:rPr>
                <w:rFonts w:ascii="Arial" w:hAnsi="Arial" w:cs="Arial"/>
                <w:b/>
                <w:bCs/>
                <w:sz w:val="8"/>
                <w:szCs w:val="8"/>
              </w:rPr>
            </w:pPr>
          </w:p>
          <w:p w14:paraId="701EABA1"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Partners:</w:t>
            </w:r>
          </w:p>
          <w:p w14:paraId="63AB2DC8"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EU, SIGMA, SECO.</w:t>
            </w:r>
            <w:r w:rsidRPr="001F151E">
              <w:rPr>
                <w:rStyle w:val="FootnoteReference"/>
                <w:sz w:val="16"/>
                <w:szCs w:val="16"/>
              </w:rPr>
              <w:footnoteReference w:id="68"/>
            </w:r>
          </w:p>
          <w:p w14:paraId="390839E2" w14:textId="77777777" w:rsidR="00345678" w:rsidRPr="001F151E" w:rsidRDefault="00345678" w:rsidP="00086262">
            <w:pPr>
              <w:rPr>
                <w:sz w:val="16"/>
                <w:szCs w:val="16"/>
              </w:rPr>
            </w:pPr>
          </w:p>
        </w:tc>
      </w:tr>
      <w:tr w:rsidR="00345678" w:rsidRPr="001F151E" w14:paraId="6F49A10F" w14:textId="77777777" w:rsidTr="00086262">
        <w:trPr>
          <w:cantSplit/>
          <w:trHeight w:val="20"/>
        </w:trPr>
        <w:tc>
          <w:tcPr>
            <w:tcW w:w="1980" w:type="dxa"/>
            <w:vMerge/>
            <w:shd w:val="clear" w:color="auto" w:fill="auto"/>
          </w:tcPr>
          <w:p w14:paraId="48EBE199" w14:textId="77777777" w:rsidR="00345678" w:rsidRPr="001F151E" w:rsidRDefault="00345678" w:rsidP="00086262">
            <w:pPr>
              <w:pStyle w:val="EcorysBody"/>
              <w:numPr>
                <w:ilvl w:val="0"/>
                <w:numId w:val="7"/>
              </w:numPr>
              <w:rPr>
                <w:rFonts w:ascii="Arial" w:hAnsi="Arial" w:cs="Arial"/>
                <w:sz w:val="16"/>
                <w:szCs w:val="16"/>
              </w:rPr>
            </w:pPr>
          </w:p>
        </w:tc>
        <w:tc>
          <w:tcPr>
            <w:tcW w:w="3659" w:type="dxa"/>
          </w:tcPr>
          <w:p w14:paraId="1C3A7404" w14:textId="77777777" w:rsidR="00345678" w:rsidRPr="001F151E" w:rsidRDefault="00345678" w:rsidP="00086262">
            <w:pPr>
              <w:pStyle w:val="EcorysBody"/>
              <w:numPr>
                <w:ilvl w:val="0"/>
                <w:numId w:val="7"/>
              </w:numPr>
              <w:rPr>
                <w:rFonts w:ascii="Arial" w:hAnsi="Arial" w:cs="Arial"/>
                <w:sz w:val="16"/>
                <w:szCs w:val="16"/>
              </w:rPr>
            </w:pPr>
            <w:r w:rsidRPr="001F151E">
              <w:rPr>
                <w:rFonts w:ascii="Arial" w:hAnsi="Arial" w:cs="Arial"/>
                <w:sz w:val="16"/>
                <w:szCs w:val="16"/>
              </w:rPr>
              <w:t xml:space="preserve">Raise awareness about managerial accountability and disseminate experiences to senior management of public institutions through training and technical assistance during the IC quality assessment. </w:t>
            </w:r>
          </w:p>
        </w:tc>
        <w:tc>
          <w:tcPr>
            <w:tcW w:w="798" w:type="dxa"/>
            <w:shd w:val="clear" w:color="auto" w:fill="FFFFFF" w:themeFill="background1"/>
            <w:vAlign w:val="center"/>
          </w:tcPr>
          <w:p w14:paraId="0981713B" w14:textId="77777777" w:rsidR="00345678" w:rsidRPr="001F151E" w:rsidRDefault="00345678" w:rsidP="00086262">
            <w:pPr>
              <w:jc w:val="center"/>
              <w:rPr>
                <w:sz w:val="16"/>
                <w:szCs w:val="16"/>
              </w:rPr>
            </w:pPr>
            <w:r w:rsidRPr="001F151E">
              <w:rPr>
                <w:sz w:val="16"/>
                <w:szCs w:val="16"/>
              </w:rPr>
              <w:t>Q1 2024</w:t>
            </w:r>
          </w:p>
        </w:tc>
        <w:tc>
          <w:tcPr>
            <w:tcW w:w="798" w:type="dxa"/>
            <w:shd w:val="clear" w:color="auto" w:fill="FFFFFF" w:themeFill="background1"/>
            <w:vAlign w:val="center"/>
          </w:tcPr>
          <w:p w14:paraId="45E1AB9E" w14:textId="77777777" w:rsidR="00345678" w:rsidRPr="001F151E" w:rsidRDefault="00345678" w:rsidP="00086262">
            <w:pPr>
              <w:jc w:val="center"/>
              <w:rPr>
                <w:sz w:val="16"/>
                <w:szCs w:val="16"/>
              </w:rPr>
            </w:pPr>
            <w:r w:rsidRPr="001F151E">
              <w:rPr>
                <w:sz w:val="16"/>
                <w:szCs w:val="16"/>
              </w:rPr>
              <w:t>Q4 2025</w:t>
            </w:r>
          </w:p>
        </w:tc>
        <w:tc>
          <w:tcPr>
            <w:tcW w:w="1781" w:type="dxa"/>
            <w:vMerge/>
          </w:tcPr>
          <w:p w14:paraId="7D81954D" w14:textId="77777777" w:rsidR="00345678" w:rsidRPr="001F151E" w:rsidRDefault="00345678" w:rsidP="00086262">
            <w:pPr>
              <w:rPr>
                <w:sz w:val="16"/>
                <w:szCs w:val="16"/>
              </w:rPr>
            </w:pPr>
          </w:p>
        </w:tc>
      </w:tr>
      <w:tr w:rsidR="00345678" w:rsidRPr="001F151E" w14:paraId="28D0082B" w14:textId="77777777" w:rsidTr="00086262">
        <w:trPr>
          <w:cantSplit/>
          <w:trHeight w:val="20"/>
        </w:trPr>
        <w:tc>
          <w:tcPr>
            <w:tcW w:w="1980" w:type="dxa"/>
            <w:vMerge w:val="restart"/>
            <w:shd w:val="clear" w:color="auto" w:fill="auto"/>
          </w:tcPr>
          <w:p w14:paraId="76B4A07A" w14:textId="77777777" w:rsidR="00345678" w:rsidRPr="001F151E" w:rsidRDefault="00345678" w:rsidP="00086262">
            <w:pPr>
              <w:rPr>
                <w:sz w:val="16"/>
                <w:szCs w:val="16"/>
              </w:rPr>
            </w:pPr>
            <w:r w:rsidRPr="001F151E">
              <w:rPr>
                <w:b/>
                <w:bCs/>
                <w:sz w:val="16"/>
                <w:szCs w:val="16"/>
              </w:rPr>
              <w:lastRenderedPageBreak/>
              <w:t>Measure 5.1.3 Strengthen Risk Management practices</w:t>
            </w:r>
          </w:p>
        </w:tc>
        <w:tc>
          <w:tcPr>
            <w:tcW w:w="3659" w:type="dxa"/>
          </w:tcPr>
          <w:p w14:paraId="0A7D550B" w14:textId="77777777" w:rsidR="00345678" w:rsidRPr="001F151E" w:rsidRDefault="00345678" w:rsidP="00086262">
            <w:pPr>
              <w:pStyle w:val="ListParagraph"/>
              <w:numPr>
                <w:ilvl w:val="0"/>
                <w:numId w:val="8"/>
              </w:numPr>
              <w:rPr>
                <w:sz w:val="16"/>
                <w:szCs w:val="16"/>
              </w:rPr>
            </w:pPr>
            <w:r w:rsidRPr="001F151E">
              <w:rPr>
                <w:sz w:val="16"/>
                <w:szCs w:val="16"/>
              </w:rPr>
              <w:t>Review and amend the risk coordinator and FMC coordinator instruction.</w:t>
            </w:r>
          </w:p>
        </w:tc>
        <w:tc>
          <w:tcPr>
            <w:tcW w:w="798" w:type="dxa"/>
            <w:shd w:val="clear" w:color="auto" w:fill="FFFFFF" w:themeFill="background1"/>
            <w:vAlign w:val="center"/>
          </w:tcPr>
          <w:p w14:paraId="0534500E" w14:textId="77777777" w:rsidR="00345678" w:rsidRPr="001F151E" w:rsidRDefault="00345678" w:rsidP="00086262">
            <w:pPr>
              <w:jc w:val="center"/>
              <w:rPr>
                <w:sz w:val="16"/>
                <w:szCs w:val="16"/>
              </w:rPr>
            </w:pPr>
            <w:r w:rsidRPr="001F151E">
              <w:rPr>
                <w:sz w:val="16"/>
                <w:szCs w:val="16"/>
              </w:rPr>
              <w:t>Q1 2024</w:t>
            </w:r>
          </w:p>
        </w:tc>
        <w:tc>
          <w:tcPr>
            <w:tcW w:w="798" w:type="dxa"/>
            <w:shd w:val="clear" w:color="auto" w:fill="FFFFFF" w:themeFill="background1"/>
            <w:vAlign w:val="center"/>
          </w:tcPr>
          <w:p w14:paraId="42EFE062" w14:textId="77777777" w:rsidR="00345678" w:rsidRPr="001F151E" w:rsidRDefault="00345678" w:rsidP="00086262">
            <w:pPr>
              <w:jc w:val="center"/>
              <w:rPr>
                <w:sz w:val="16"/>
                <w:szCs w:val="16"/>
              </w:rPr>
            </w:pPr>
            <w:r w:rsidRPr="001F151E">
              <w:rPr>
                <w:sz w:val="16"/>
                <w:szCs w:val="16"/>
              </w:rPr>
              <w:t>Q4 2024</w:t>
            </w:r>
          </w:p>
        </w:tc>
        <w:tc>
          <w:tcPr>
            <w:tcW w:w="1781" w:type="dxa"/>
            <w:vMerge w:val="restart"/>
          </w:tcPr>
          <w:p w14:paraId="077FEB64" w14:textId="77777777" w:rsidR="00345678" w:rsidRPr="001F151E" w:rsidRDefault="00345678" w:rsidP="00086262">
            <w:pPr>
              <w:rPr>
                <w:b/>
                <w:bCs/>
                <w:sz w:val="16"/>
                <w:szCs w:val="16"/>
              </w:rPr>
            </w:pPr>
            <w:r w:rsidRPr="001F151E">
              <w:rPr>
                <w:b/>
                <w:bCs/>
                <w:sz w:val="16"/>
                <w:szCs w:val="16"/>
              </w:rPr>
              <w:t xml:space="preserve">Responsible entity: </w:t>
            </w:r>
          </w:p>
          <w:p w14:paraId="5176225C" w14:textId="77777777" w:rsidR="00345678" w:rsidRPr="001F151E" w:rsidRDefault="00345678" w:rsidP="00086262">
            <w:pPr>
              <w:rPr>
                <w:sz w:val="16"/>
                <w:szCs w:val="16"/>
              </w:rPr>
            </w:pPr>
            <w:r w:rsidRPr="001F151E">
              <w:t>DH/FMCA</w:t>
            </w:r>
            <w:r w:rsidRPr="001F151E">
              <w:rPr>
                <w:sz w:val="16"/>
                <w:szCs w:val="16"/>
              </w:rPr>
              <w:t xml:space="preserve"> (lead)</w:t>
            </w:r>
          </w:p>
          <w:p w14:paraId="3C1104C1" w14:textId="77777777" w:rsidR="00345678" w:rsidRPr="001F151E" w:rsidRDefault="00345678" w:rsidP="00086262">
            <w:pPr>
              <w:pStyle w:val="EcorysBody"/>
              <w:rPr>
                <w:rFonts w:ascii="Arial" w:hAnsi="Arial" w:cs="Arial"/>
                <w:b/>
                <w:bCs/>
                <w:sz w:val="16"/>
                <w:szCs w:val="16"/>
              </w:rPr>
            </w:pPr>
          </w:p>
          <w:p w14:paraId="73F03814"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Partners:</w:t>
            </w:r>
          </w:p>
          <w:p w14:paraId="61A43A8B"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EU, SIGMA</w:t>
            </w:r>
            <w:r>
              <w:rPr>
                <w:rFonts w:ascii="Arial" w:hAnsi="Arial" w:cs="Arial"/>
                <w:sz w:val="16"/>
                <w:szCs w:val="16"/>
              </w:rPr>
              <w:t>, SECO</w:t>
            </w:r>
          </w:p>
          <w:p w14:paraId="7466DA42" w14:textId="77777777" w:rsidR="00345678" w:rsidRPr="001F151E" w:rsidRDefault="00345678" w:rsidP="00086262">
            <w:pPr>
              <w:pStyle w:val="EcorysBody"/>
              <w:rPr>
                <w:rFonts w:ascii="Arial" w:hAnsi="Arial" w:cs="Arial"/>
                <w:sz w:val="16"/>
                <w:szCs w:val="16"/>
              </w:rPr>
            </w:pPr>
          </w:p>
        </w:tc>
      </w:tr>
      <w:tr w:rsidR="00345678" w:rsidRPr="001F151E" w14:paraId="7FE835DA" w14:textId="77777777" w:rsidTr="00086262">
        <w:trPr>
          <w:cantSplit/>
          <w:trHeight w:val="20"/>
        </w:trPr>
        <w:tc>
          <w:tcPr>
            <w:tcW w:w="1980" w:type="dxa"/>
            <w:vMerge/>
            <w:shd w:val="clear" w:color="auto" w:fill="auto"/>
          </w:tcPr>
          <w:p w14:paraId="4FD62C91" w14:textId="77777777" w:rsidR="00345678" w:rsidRPr="001F151E" w:rsidRDefault="00345678" w:rsidP="00086262">
            <w:pPr>
              <w:rPr>
                <w:b/>
                <w:bCs/>
                <w:sz w:val="16"/>
                <w:szCs w:val="16"/>
              </w:rPr>
            </w:pPr>
          </w:p>
        </w:tc>
        <w:tc>
          <w:tcPr>
            <w:tcW w:w="3659" w:type="dxa"/>
          </w:tcPr>
          <w:p w14:paraId="6678936F" w14:textId="77777777" w:rsidR="00345678" w:rsidRPr="001F151E" w:rsidRDefault="00345678" w:rsidP="00086262">
            <w:pPr>
              <w:pStyle w:val="ListParagraph"/>
              <w:numPr>
                <w:ilvl w:val="0"/>
                <w:numId w:val="8"/>
              </w:numPr>
              <w:rPr>
                <w:sz w:val="16"/>
                <w:szCs w:val="16"/>
              </w:rPr>
            </w:pPr>
            <w:r w:rsidRPr="001F151E">
              <w:rPr>
                <w:sz w:val="16"/>
                <w:szCs w:val="16"/>
              </w:rPr>
              <w:t>Raise awareness and providing technical assistance on risk management on how to develop the tools for (strategic and operational) Risk Management.</w:t>
            </w:r>
          </w:p>
        </w:tc>
        <w:tc>
          <w:tcPr>
            <w:tcW w:w="798" w:type="dxa"/>
            <w:shd w:val="clear" w:color="auto" w:fill="FFFFFF" w:themeFill="background1"/>
            <w:vAlign w:val="center"/>
          </w:tcPr>
          <w:p w14:paraId="3ABD0495" w14:textId="77777777" w:rsidR="00345678" w:rsidRPr="001F151E" w:rsidRDefault="00345678" w:rsidP="00086262">
            <w:pPr>
              <w:jc w:val="center"/>
              <w:rPr>
                <w:sz w:val="16"/>
                <w:szCs w:val="16"/>
              </w:rPr>
            </w:pPr>
            <w:r w:rsidRPr="001F151E">
              <w:rPr>
                <w:sz w:val="16"/>
                <w:szCs w:val="16"/>
              </w:rPr>
              <w:t>Q1 2024</w:t>
            </w:r>
          </w:p>
        </w:tc>
        <w:tc>
          <w:tcPr>
            <w:tcW w:w="798" w:type="dxa"/>
            <w:shd w:val="clear" w:color="auto" w:fill="FFFFFF" w:themeFill="background1"/>
            <w:vAlign w:val="center"/>
          </w:tcPr>
          <w:p w14:paraId="00659A41" w14:textId="77777777" w:rsidR="00345678" w:rsidRPr="001F151E" w:rsidRDefault="00345678" w:rsidP="00086262">
            <w:pPr>
              <w:jc w:val="center"/>
              <w:rPr>
                <w:sz w:val="16"/>
                <w:szCs w:val="16"/>
              </w:rPr>
            </w:pPr>
            <w:r w:rsidRPr="001F151E">
              <w:rPr>
                <w:sz w:val="16"/>
                <w:szCs w:val="16"/>
              </w:rPr>
              <w:t>Q4 2025</w:t>
            </w:r>
          </w:p>
        </w:tc>
        <w:tc>
          <w:tcPr>
            <w:tcW w:w="1781" w:type="dxa"/>
            <w:vMerge/>
          </w:tcPr>
          <w:p w14:paraId="54DB6616" w14:textId="77777777" w:rsidR="00345678" w:rsidRPr="001F151E" w:rsidRDefault="00345678" w:rsidP="00086262">
            <w:pPr>
              <w:rPr>
                <w:b/>
                <w:bCs/>
                <w:sz w:val="16"/>
                <w:szCs w:val="16"/>
              </w:rPr>
            </w:pPr>
          </w:p>
        </w:tc>
      </w:tr>
      <w:tr w:rsidR="00345678" w:rsidRPr="001F151E" w14:paraId="0000F0F4" w14:textId="77777777" w:rsidTr="00086262">
        <w:trPr>
          <w:cantSplit/>
          <w:trHeight w:val="23"/>
        </w:trPr>
        <w:tc>
          <w:tcPr>
            <w:tcW w:w="1980" w:type="dxa"/>
            <w:shd w:val="clear" w:color="auto" w:fill="auto"/>
          </w:tcPr>
          <w:p w14:paraId="0A66EEF3" w14:textId="77777777" w:rsidR="00345678" w:rsidRPr="001F151E" w:rsidRDefault="00345678" w:rsidP="00086262">
            <w:pPr>
              <w:rPr>
                <w:b/>
                <w:bCs/>
                <w:sz w:val="16"/>
                <w:szCs w:val="16"/>
              </w:rPr>
            </w:pPr>
            <w:r w:rsidRPr="001F151E">
              <w:rPr>
                <w:b/>
                <w:bCs/>
                <w:sz w:val="16"/>
                <w:szCs w:val="16"/>
              </w:rPr>
              <w:t xml:space="preserve">Measure 5.1.4 </w:t>
            </w:r>
          </w:p>
          <w:p w14:paraId="29E99268" w14:textId="77777777" w:rsidR="00345678" w:rsidRPr="001F151E" w:rsidRDefault="00345678" w:rsidP="00086262">
            <w:pPr>
              <w:rPr>
                <w:sz w:val="16"/>
                <w:szCs w:val="16"/>
              </w:rPr>
            </w:pPr>
            <w:r w:rsidRPr="001F151E">
              <w:rPr>
                <w:b/>
                <w:bCs/>
                <w:sz w:val="16"/>
                <w:szCs w:val="16"/>
              </w:rPr>
              <w:t>Enhance FMC quality assessment and improvement in public institutions</w:t>
            </w:r>
          </w:p>
        </w:tc>
        <w:tc>
          <w:tcPr>
            <w:tcW w:w="3659" w:type="dxa"/>
            <w:vAlign w:val="center"/>
          </w:tcPr>
          <w:p w14:paraId="00A2671E" w14:textId="77777777" w:rsidR="00345678" w:rsidRPr="001F151E" w:rsidRDefault="00345678" w:rsidP="00086262">
            <w:pPr>
              <w:pStyle w:val="ListParagraph"/>
              <w:numPr>
                <w:ilvl w:val="0"/>
                <w:numId w:val="12"/>
              </w:numPr>
              <w:rPr>
                <w:sz w:val="16"/>
                <w:szCs w:val="16"/>
              </w:rPr>
            </w:pPr>
            <w:r w:rsidRPr="001F151E">
              <w:rPr>
                <w:sz w:val="16"/>
                <w:szCs w:val="16"/>
              </w:rPr>
              <w:t>Improve the level of implementation of FMC recommendations from the IC quality assessment procedure through the FMC development plan.</w:t>
            </w:r>
          </w:p>
        </w:tc>
        <w:tc>
          <w:tcPr>
            <w:tcW w:w="798" w:type="dxa"/>
            <w:vAlign w:val="center"/>
          </w:tcPr>
          <w:p w14:paraId="715A9A60" w14:textId="77777777" w:rsidR="00345678" w:rsidRPr="001F151E" w:rsidRDefault="00345678" w:rsidP="00086262">
            <w:pPr>
              <w:jc w:val="center"/>
              <w:rPr>
                <w:sz w:val="16"/>
                <w:szCs w:val="16"/>
              </w:rPr>
            </w:pPr>
            <w:r w:rsidRPr="001F151E">
              <w:rPr>
                <w:sz w:val="16"/>
                <w:szCs w:val="16"/>
              </w:rPr>
              <w:t>Q1 2024</w:t>
            </w:r>
          </w:p>
        </w:tc>
        <w:tc>
          <w:tcPr>
            <w:tcW w:w="798" w:type="dxa"/>
            <w:vAlign w:val="center"/>
          </w:tcPr>
          <w:p w14:paraId="3BE142B9" w14:textId="77777777" w:rsidR="00345678" w:rsidRPr="001F151E" w:rsidRDefault="00345678" w:rsidP="00086262">
            <w:pPr>
              <w:jc w:val="center"/>
              <w:rPr>
                <w:sz w:val="16"/>
                <w:szCs w:val="16"/>
              </w:rPr>
            </w:pPr>
            <w:r w:rsidRPr="001F151E">
              <w:rPr>
                <w:sz w:val="16"/>
                <w:szCs w:val="16"/>
              </w:rPr>
              <w:t>Q4 2026</w:t>
            </w:r>
          </w:p>
        </w:tc>
        <w:tc>
          <w:tcPr>
            <w:tcW w:w="1781" w:type="dxa"/>
          </w:tcPr>
          <w:p w14:paraId="4BC97D29" w14:textId="77777777" w:rsidR="00345678" w:rsidRPr="001F151E" w:rsidRDefault="00345678" w:rsidP="00086262">
            <w:pPr>
              <w:rPr>
                <w:b/>
                <w:bCs/>
                <w:sz w:val="16"/>
                <w:szCs w:val="16"/>
              </w:rPr>
            </w:pPr>
            <w:r w:rsidRPr="001F151E">
              <w:rPr>
                <w:b/>
                <w:bCs/>
                <w:sz w:val="16"/>
                <w:szCs w:val="16"/>
              </w:rPr>
              <w:t xml:space="preserve">Responsible entity: </w:t>
            </w:r>
          </w:p>
          <w:p w14:paraId="0BD37274" w14:textId="77777777" w:rsidR="00345678" w:rsidRPr="001F151E" w:rsidRDefault="00345678" w:rsidP="00086262">
            <w:pPr>
              <w:rPr>
                <w:sz w:val="16"/>
                <w:szCs w:val="16"/>
              </w:rPr>
            </w:pPr>
            <w:r w:rsidRPr="001F151E">
              <w:t>DH/FMCA</w:t>
            </w:r>
            <w:r w:rsidRPr="001F151E">
              <w:rPr>
                <w:sz w:val="16"/>
                <w:szCs w:val="16"/>
              </w:rPr>
              <w:t xml:space="preserve"> (lead)</w:t>
            </w:r>
          </w:p>
          <w:p w14:paraId="49DA767A" w14:textId="77777777" w:rsidR="00345678" w:rsidRPr="001F151E" w:rsidRDefault="00345678" w:rsidP="00086262">
            <w:pPr>
              <w:pStyle w:val="EcorysBody"/>
              <w:rPr>
                <w:rFonts w:ascii="Arial" w:hAnsi="Arial" w:cs="Arial"/>
                <w:b/>
                <w:bCs/>
                <w:sz w:val="16"/>
                <w:szCs w:val="16"/>
              </w:rPr>
            </w:pPr>
          </w:p>
          <w:p w14:paraId="5CFFF1D9"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Partners:</w:t>
            </w:r>
          </w:p>
          <w:p w14:paraId="61EDEF44"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SIGMA, SECO.</w:t>
            </w:r>
            <w:r w:rsidRPr="001F151E">
              <w:rPr>
                <w:rStyle w:val="FootnoteReference"/>
                <w:sz w:val="16"/>
                <w:szCs w:val="16"/>
              </w:rPr>
              <w:footnoteReference w:id="69"/>
            </w:r>
          </w:p>
        </w:tc>
      </w:tr>
      <w:bookmarkEnd w:id="63"/>
    </w:tbl>
    <w:p w14:paraId="3F286DAC" w14:textId="77777777" w:rsidR="00345678" w:rsidRPr="001F151E" w:rsidRDefault="00345678" w:rsidP="00345678">
      <w:pPr>
        <w:rPr>
          <w:rStyle w:val="IntenseReference"/>
          <w:rFonts w:eastAsiaTheme="majorEastAsia" w:cstheme="majorBidi"/>
          <w:i w:val="0"/>
          <w:iCs/>
          <w:sz w:val="22"/>
          <w:szCs w:val="22"/>
          <w:lang w:val="en-GB"/>
        </w:rPr>
      </w:pPr>
    </w:p>
    <w:p w14:paraId="0D043FB2" w14:textId="77777777" w:rsidR="00345678" w:rsidRPr="001F151E" w:rsidRDefault="00345678" w:rsidP="00345678">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345678" w:rsidRPr="001F151E" w14:paraId="21FE67E0" w14:textId="77777777" w:rsidTr="00086262">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0C599E" w14:textId="77777777" w:rsidR="00345678" w:rsidRPr="001F151E" w:rsidRDefault="00345678" w:rsidP="00086262">
            <w:pPr>
              <w:pStyle w:val="T-bold"/>
              <w:spacing w:line="200" w:lineRule="exact"/>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D6E6F4" w14:textId="77777777" w:rsidR="00345678" w:rsidRPr="001F151E" w:rsidRDefault="00345678" w:rsidP="00086262">
            <w:pPr>
              <w:pStyle w:val="T-bold"/>
              <w:spacing w:line="200" w:lineRule="exact"/>
              <w:jc w:val="center"/>
            </w:pPr>
            <w:r w:rsidRPr="001F151E">
              <w:t>Baseline value (</w:t>
            </w:r>
            <w:r>
              <w:t>2022)</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6EF7D" w14:textId="77777777" w:rsidR="00345678" w:rsidRPr="001F151E" w:rsidRDefault="00345678" w:rsidP="00086262">
            <w:pPr>
              <w:pStyle w:val="T-bold"/>
              <w:spacing w:line="200" w:lineRule="exact"/>
              <w:jc w:val="center"/>
            </w:pPr>
            <w:r w:rsidRPr="001F151E">
              <w:t>Target Value</w:t>
            </w:r>
          </w:p>
        </w:tc>
      </w:tr>
      <w:tr w:rsidR="00345678" w:rsidRPr="001F151E" w14:paraId="0EAC1A0B" w14:textId="77777777" w:rsidTr="00086262">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7E3D192" w14:textId="77777777" w:rsidR="00345678" w:rsidRPr="001F151E" w:rsidRDefault="00345678" w:rsidP="00086262">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9EB95AC" w14:textId="77777777" w:rsidR="00345678" w:rsidRPr="001F151E" w:rsidRDefault="00345678" w:rsidP="00086262">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D9B3D7" w14:textId="77777777" w:rsidR="00345678" w:rsidRPr="001F151E" w:rsidRDefault="00345678" w:rsidP="00086262">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D4F61A" w14:textId="77777777" w:rsidR="00345678" w:rsidRPr="001F151E" w:rsidRDefault="00345678" w:rsidP="00086262">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229B9" w14:textId="77777777" w:rsidR="00345678" w:rsidRPr="001F151E" w:rsidRDefault="00345678" w:rsidP="00086262">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775B8" w14:textId="77777777" w:rsidR="00345678" w:rsidRPr="001F151E" w:rsidRDefault="00345678" w:rsidP="00086262">
            <w:pPr>
              <w:pStyle w:val="T-bold"/>
              <w:spacing w:line="200" w:lineRule="exact"/>
              <w:jc w:val="center"/>
            </w:pPr>
            <w:r w:rsidRPr="001F151E">
              <w:t>2026</w:t>
            </w:r>
          </w:p>
        </w:tc>
      </w:tr>
      <w:tr w:rsidR="00345678" w:rsidRPr="001F151E" w14:paraId="1779FF23" w14:textId="77777777" w:rsidTr="00086262">
        <w:tc>
          <w:tcPr>
            <w:tcW w:w="3114" w:type="dxa"/>
            <w:tcBorders>
              <w:top w:val="single" w:sz="4" w:space="0" w:color="auto"/>
              <w:left w:val="single" w:sz="4" w:space="0" w:color="auto"/>
              <w:bottom w:val="single" w:sz="4" w:space="0" w:color="auto"/>
              <w:right w:val="single" w:sz="4" w:space="0" w:color="auto"/>
            </w:tcBorders>
          </w:tcPr>
          <w:p w14:paraId="7B6FD7C2" w14:textId="77777777" w:rsidR="00345678" w:rsidRPr="001F151E" w:rsidRDefault="00345678" w:rsidP="00B45892">
            <w:pPr>
              <w:pStyle w:val="ListParagraph"/>
              <w:numPr>
                <w:ilvl w:val="0"/>
                <w:numId w:val="40"/>
              </w:numPr>
              <w:spacing w:line="200" w:lineRule="exact"/>
              <w:rPr>
                <w:sz w:val="16"/>
                <w:szCs w:val="16"/>
              </w:rPr>
            </w:pPr>
            <w:r w:rsidRPr="001F151E">
              <w:rPr>
                <w:sz w:val="16"/>
                <w:szCs w:val="16"/>
              </w:rPr>
              <w:t xml:space="preserve">Percentage of Public Institutions that comply with FMC requirements. </w:t>
            </w:r>
          </w:p>
        </w:tc>
        <w:tc>
          <w:tcPr>
            <w:tcW w:w="1180" w:type="dxa"/>
            <w:tcBorders>
              <w:top w:val="single" w:sz="4" w:space="0" w:color="auto"/>
              <w:left w:val="single" w:sz="4" w:space="0" w:color="auto"/>
              <w:bottom w:val="single" w:sz="4" w:space="0" w:color="auto"/>
              <w:right w:val="single" w:sz="4" w:space="0" w:color="auto"/>
            </w:tcBorders>
            <w:vAlign w:val="center"/>
          </w:tcPr>
          <w:p w14:paraId="0CB51D6C" w14:textId="77777777" w:rsidR="00345678" w:rsidRPr="00022467" w:rsidRDefault="00345678" w:rsidP="00086262">
            <w:pPr>
              <w:pStyle w:val="EcorysBody"/>
              <w:spacing w:line="200" w:lineRule="exact"/>
              <w:jc w:val="center"/>
              <w:rPr>
                <w:rFonts w:ascii="Arial" w:hAnsi="Arial" w:cs="Arial"/>
                <w:sz w:val="16"/>
                <w:szCs w:val="16"/>
              </w:rPr>
            </w:pPr>
            <w:r w:rsidRPr="00022467">
              <w:rPr>
                <w:rFonts w:ascii="Arial" w:hAnsi="Arial" w:cs="Arial"/>
                <w:sz w:val="16"/>
                <w:szCs w:val="16"/>
              </w:rPr>
              <w:t>69%</w:t>
            </w:r>
          </w:p>
        </w:tc>
        <w:tc>
          <w:tcPr>
            <w:tcW w:w="1181" w:type="dxa"/>
            <w:tcBorders>
              <w:top w:val="single" w:sz="4" w:space="0" w:color="auto"/>
              <w:left w:val="single" w:sz="4" w:space="0" w:color="auto"/>
              <w:bottom w:val="single" w:sz="4" w:space="0" w:color="auto"/>
              <w:right w:val="single" w:sz="4" w:space="0" w:color="auto"/>
            </w:tcBorders>
            <w:vAlign w:val="center"/>
          </w:tcPr>
          <w:p w14:paraId="1B367A19"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70%</w:t>
            </w:r>
          </w:p>
        </w:tc>
        <w:tc>
          <w:tcPr>
            <w:tcW w:w="1180" w:type="dxa"/>
            <w:tcBorders>
              <w:top w:val="single" w:sz="4" w:space="0" w:color="auto"/>
              <w:left w:val="single" w:sz="4" w:space="0" w:color="auto"/>
              <w:bottom w:val="single" w:sz="4" w:space="0" w:color="auto"/>
              <w:right w:val="single" w:sz="4" w:space="0" w:color="auto"/>
            </w:tcBorders>
            <w:vAlign w:val="center"/>
          </w:tcPr>
          <w:p w14:paraId="13F6DDF6"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72%</w:t>
            </w:r>
          </w:p>
        </w:tc>
        <w:tc>
          <w:tcPr>
            <w:tcW w:w="1181" w:type="dxa"/>
            <w:tcBorders>
              <w:top w:val="single" w:sz="4" w:space="0" w:color="auto"/>
              <w:left w:val="single" w:sz="4" w:space="0" w:color="auto"/>
              <w:bottom w:val="single" w:sz="4" w:space="0" w:color="auto"/>
              <w:right w:val="single" w:sz="4" w:space="0" w:color="auto"/>
            </w:tcBorders>
            <w:vAlign w:val="center"/>
          </w:tcPr>
          <w:p w14:paraId="00ADE7C9"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75%</w:t>
            </w:r>
          </w:p>
        </w:tc>
        <w:tc>
          <w:tcPr>
            <w:tcW w:w="1181" w:type="dxa"/>
            <w:tcBorders>
              <w:top w:val="single" w:sz="4" w:space="0" w:color="auto"/>
              <w:left w:val="single" w:sz="4" w:space="0" w:color="auto"/>
              <w:bottom w:val="single" w:sz="4" w:space="0" w:color="auto"/>
              <w:right w:val="single" w:sz="4" w:space="0" w:color="auto"/>
            </w:tcBorders>
            <w:vAlign w:val="center"/>
          </w:tcPr>
          <w:p w14:paraId="2AA1AD16"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80%</w:t>
            </w:r>
          </w:p>
        </w:tc>
      </w:tr>
      <w:tr w:rsidR="00345678" w:rsidRPr="001F151E" w14:paraId="709626F6" w14:textId="77777777" w:rsidTr="00086262">
        <w:trPr>
          <w:trHeight w:val="21"/>
        </w:trPr>
        <w:tc>
          <w:tcPr>
            <w:tcW w:w="3114" w:type="dxa"/>
            <w:tcBorders>
              <w:top w:val="single" w:sz="4" w:space="0" w:color="auto"/>
              <w:left w:val="single" w:sz="4" w:space="0" w:color="auto"/>
              <w:bottom w:val="single" w:sz="4" w:space="0" w:color="auto"/>
              <w:right w:val="single" w:sz="4" w:space="0" w:color="auto"/>
            </w:tcBorders>
          </w:tcPr>
          <w:p w14:paraId="3E3D8E09" w14:textId="77777777" w:rsidR="00345678" w:rsidRPr="001F151E" w:rsidRDefault="00345678" w:rsidP="00B45892">
            <w:pPr>
              <w:pStyle w:val="ListParagraph"/>
              <w:numPr>
                <w:ilvl w:val="0"/>
                <w:numId w:val="40"/>
              </w:numPr>
              <w:spacing w:line="200" w:lineRule="exact"/>
              <w:rPr>
                <w:sz w:val="16"/>
                <w:szCs w:val="16"/>
              </w:rPr>
            </w:pPr>
            <w:r w:rsidRPr="001F151E">
              <w:rPr>
                <w:sz w:val="16"/>
                <w:szCs w:val="16"/>
              </w:rPr>
              <w:t>Percentage of Public Institutions that have adequate Managerial accountability mechanisms in place.</w:t>
            </w:r>
          </w:p>
        </w:tc>
        <w:tc>
          <w:tcPr>
            <w:tcW w:w="1180" w:type="dxa"/>
            <w:tcBorders>
              <w:top w:val="single" w:sz="4" w:space="0" w:color="auto"/>
              <w:left w:val="single" w:sz="4" w:space="0" w:color="auto"/>
              <w:bottom w:val="single" w:sz="4" w:space="0" w:color="auto"/>
              <w:right w:val="single" w:sz="4" w:space="0" w:color="auto"/>
            </w:tcBorders>
            <w:vAlign w:val="center"/>
          </w:tcPr>
          <w:p w14:paraId="5A7EC6D2" w14:textId="5E4252F2" w:rsidR="00345678" w:rsidRPr="00022467" w:rsidRDefault="00E55406" w:rsidP="00086262">
            <w:pPr>
              <w:pStyle w:val="EcorysBody"/>
              <w:spacing w:line="200" w:lineRule="exact"/>
              <w:jc w:val="center"/>
              <w:rPr>
                <w:rFonts w:ascii="Arial" w:hAnsi="Arial" w:cs="Arial"/>
                <w:sz w:val="16"/>
                <w:szCs w:val="16"/>
              </w:rPr>
            </w:pPr>
            <w:r>
              <w:rPr>
                <w:rFonts w:ascii="Arial" w:hAnsi="Arial" w:cs="Arial"/>
                <w:sz w:val="16"/>
                <w:szCs w:val="16"/>
              </w:rPr>
              <w:t>68</w:t>
            </w:r>
            <w:r w:rsidR="00345678" w:rsidRPr="00022467">
              <w:rPr>
                <w:rFonts w:ascii="Arial" w:hAnsi="Arial" w:cs="Arial"/>
                <w:sz w:val="16"/>
                <w:szCs w:val="16"/>
              </w:rPr>
              <w:t>%</w:t>
            </w:r>
          </w:p>
        </w:tc>
        <w:tc>
          <w:tcPr>
            <w:tcW w:w="1181" w:type="dxa"/>
            <w:tcBorders>
              <w:top w:val="single" w:sz="4" w:space="0" w:color="auto"/>
              <w:left w:val="single" w:sz="4" w:space="0" w:color="auto"/>
              <w:bottom w:val="single" w:sz="4" w:space="0" w:color="auto"/>
              <w:right w:val="single" w:sz="4" w:space="0" w:color="auto"/>
            </w:tcBorders>
            <w:vAlign w:val="center"/>
          </w:tcPr>
          <w:p w14:paraId="4C9E5CD3"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70%</w:t>
            </w:r>
          </w:p>
        </w:tc>
        <w:tc>
          <w:tcPr>
            <w:tcW w:w="1180" w:type="dxa"/>
            <w:tcBorders>
              <w:top w:val="single" w:sz="4" w:space="0" w:color="auto"/>
              <w:left w:val="single" w:sz="4" w:space="0" w:color="auto"/>
              <w:bottom w:val="single" w:sz="4" w:space="0" w:color="auto"/>
              <w:right w:val="single" w:sz="4" w:space="0" w:color="auto"/>
            </w:tcBorders>
            <w:vAlign w:val="center"/>
          </w:tcPr>
          <w:p w14:paraId="725BF220"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72%</w:t>
            </w:r>
          </w:p>
        </w:tc>
        <w:tc>
          <w:tcPr>
            <w:tcW w:w="1181" w:type="dxa"/>
            <w:tcBorders>
              <w:top w:val="single" w:sz="4" w:space="0" w:color="auto"/>
              <w:left w:val="single" w:sz="4" w:space="0" w:color="auto"/>
              <w:bottom w:val="single" w:sz="4" w:space="0" w:color="auto"/>
              <w:right w:val="single" w:sz="4" w:space="0" w:color="auto"/>
            </w:tcBorders>
            <w:vAlign w:val="center"/>
          </w:tcPr>
          <w:p w14:paraId="4C64AFE8"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75%</w:t>
            </w:r>
          </w:p>
        </w:tc>
        <w:tc>
          <w:tcPr>
            <w:tcW w:w="1181" w:type="dxa"/>
            <w:tcBorders>
              <w:top w:val="single" w:sz="4" w:space="0" w:color="auto"/>
              <w:left w:val="single" w:sz="4" w:space="0" w:color="auto"/>
              <w:bottom w:val="single" w:sz="4" w:space="0" w:color="auto"/>
              <w:right w:val="single" w:sz="4" w:space="0" w:color="auto"/>
            </w:tcBorders>
            <w:vAlign w:val="center"/>
          </w:tcPr>
          <w:p w14:paraId="4DBD41E7"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80%</w:t>
            </w:r>
          </w:p>
        </w:tc>
      </w:tr>
      <w:tr w:rsidR="00345678" w:rsidRPr="001F151E" w14:paraId="61EF268A" w14:textId="77777777" w:rsidTr="00086262">
        <w:tc>
          <w:tcPr>
            <w:tcW w:w="3114" w:type="dxa"/>
            <w:tcBorders>
              <w:top w:val="single" w:sz="4" w:space="0" w:color="auto"/>
              <w:left w:val="single" w:sz="4" w:space="0" w:color="auto"/>
              <w:bottom w:val="single" w:sz="4" w:space="0" w:color="auto"/>
              <w:right w:val="single" w:sz="4" w:space="0" w:color="auto"/>
            </w:tcBorders>
            <w:vAlign w:val="center"/>
          </w:tcPr>
          <w:p w14:paraId="4B61A8B9" w14:textId="77777777" w:rsidR="00345678" w:rsidRPr="001F151E" w:rsidRDefault="00345678" w:rsidP="00B45892">
            <w:pPr>
              <w:pStyle w:val="ListParagraph"/>
              <w:numPr>
                <w:ilvl w:val="0"/>
                <w:numId w:val="40"/>
              </w:numPr>
              <w:spacing w:line="200" w:lineRule="exact"/>
              <w:rPr>
                <w:sz w:val="16"/>
                <w:szCs w:val="16"/>
              </w:rPr>
            </w:pPr>
            <w:r w:rsidRPr="001F151E">
              <w:rPr>
                <w:sz w:val="16"/>
                <w:szCs w:val="16"/>
              </w:rPr>
              <w:t>FMC law and sublegal acts amended and approved.</w:t>
            </w:r>
          </w:p>
        </w:tc>
        <w:tc>
          <w:tcPr>
            <w:tcW w:w="1180" w:type="dxa"/>
            <w:tcBorders>
              <w:top w:val="single" w:sz="4" w:space="0" w:color="auto"/>
              <w:left w:val="single" w:sz="4" w:space="0" w:color="auto"/>
              <w:bottom w:val="single" w:sz="4" w:space="0" w:color="auto"/>
              <w:right w:val="single" w:sz="4" w:space="0" w:color="auto"/>
            </w:tcBorders>
            <w:vAlign w:val="center"/>
          </w:tcPr>
          <w:p w14:paraId="7C9296B2" w14:textId="77777777" w:rsidR="00345678" w:rsidRPr="00022467" w:rsidRDefault="00345678" w:rsidP="00086262">
            <w:pPr>
              <w:pStyle w:val="EcorysBody"/>
              <w:spacing w:line="200" w:lineRule="exact"/>
              <w:jc w:val="center"/>
              <w:rPr>
                <w:rFonts w:ascii="Arial" w:hAnsi="Arial" w:cs="Arial"/>
                <w:sz w:val="16"/>
                <w:szCs w:val="16"/>
              </w:rPr>
            </w:pPr>
            <w:r>
              <w:rPr>
                <w:rFonts w:ascii="Arial" w:hAnsi="Arial" w:cs="Arial"/>
                <w:sz w:val="16"/>
                <w:szCs w:val="16"/>
              </w:rPr>
              <w:t>NA</w:t>
            </w:r>
          </w:p>
        </w:tc>
        <w:tc>
          <w:tcPr>
            <w:tcW w:w="1181" w:type="dxa"/>
            <w:tcBorders>
              <w:top w:val="single" w:sz="4" w:space="0" w:color="auto"/>
              <w:left w:val="single" w:sz="4" w:space="0" w:color="auto"/>
              <w:bottom w:val="single" w:sz="4" w:space="0" w:color="auto"/>
              <w:right w:val="single" w:sz="4" w:space="0" w:color="auto"/>
            </w:tcBorders>
            <w:vAlign w:val="center"/>
          </w:tcPr>
          <w:p w14:paraId="1EAC3489"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FMC law, FMC manual and instruction on declaration and reporting for the quality of internal control system adopted</w:t>
            </w:r>
          </w:p>
        </w:tc>
        <w:tc>
          <w:tcPr>
            <w:tcW w:w="1180" w:type="dxa"/>
            <w:tcBorders>
              <w:top w:val="single" w:sz="4" w:space="0" w:color="auto"/>
              <w:left w:val="single" w:sz="4" w:space="0" w:color="auto"/>
              <w:bottom w:val="single" w:sz="4" w:space="0" w:color="auto"/>
              <w:right w:val="single" w:sz="4" w:space="0" w:color="auto"/>
            </w:tcBorders>
            <w:vAlign w:val="center"/>
          </w:tcPr>
          <w:p w14:paraId="4F6827A3"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IC quality assessment methodology adopted</w:t>
            </w:r>
          </w:p>
        </w:tc>
        <w:tc>
          <w:tcPr>
            <w:tcW w:w="1181" w:type="dxa"/>
            <w:tcBorders>
              <w:top w:val="single" w:sz="4" w:space="0" w:color="auto"/>
              <w:left w:val="single" w:sz="4" w:space="0" w:color="auto"/>
              <w:bottom w:val="single" w:sz="4" w:space="0" w:color="auto"/>
              <w:right w:val="single" w:sz="4" w:space="0" w:color="auto"/>
            </w:tcBorders>
            <w:vAlign w:val="center"/>
          </w:tcPr>
          <w:p w14:paraId="69C57712"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Methodology on monitoring the performance of general government unites adopted</w:t>
            </w:r>
          </w:p>
        </w:tc>
        <w:tc>
          <w:tcPr>
            <w:tcW w:w="1181" w:type="dxa"/>
            <w:tcBorders>
              <w:top w:val="single" w:sz="4" w:space="0" w:color="auto"/>
              <w:left w:val="single" w:sz="4" w:space="0" w:color="auto"/>
              <w:bottom w:val="single" w:sz="4" w:space="0" w:color="auto"/>
              <w:right w:val="single" w:sz="4" w:space="0" w:color="auto"/>
            </w:tcBorders>
            <w:vAlign w:val="center"/>
          </w:tcPr>
          <w:p w14:paraId="5775EC18"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FMC law reviewed</w:t>
            </w:r>
            <w:r w:rsidRPr="001F151E">
              <w:rPr>
                <w:rStyle w:val="FootnoteReference"/>
                <w:rFonts w:cs="Arial"/>
              </w:rPr>
              <w:footnoteReference w:id="70"/>
            </w:r>
            <w:r w:rsidRPr="001F151E">
              <w:rPr>
                <w:rFonts w:ascii="Arial" w:hAnsi="Arial" w:cs="Arial"/>
                <w:sz w:val="16"/>
                <w:szCs w:val="16"/>
              </w:rPr>
              <w:t xml:space="preserve"> </w:t>
            </w:r>
          </w:p>
        </w:tc>
      </w:tr>
      <w:tr w:rsidR="00345678" w:rsidRPr="001F151E" w14:paraId="00DFD95E" w14:textId="77777777" w:rsidTr="00086262">
        <w:tc>
          <w:tcPr>
            <w:tcW w:w="3114" w:type="dxa"/>
            <w:tcBorders>
              <w:top w:val="single" w:sz="4" w:space="0" w:color="auto"/>
              <w:left w:val="single" w:sz="4" w:space="0" w:color="auto"/>
              <w:bottom w:val="single" w:sz="4" w:space="0" w:color="auto"/>
              <w:right w:val="single" w:sz="4" w:space="0" w:color="auto"/>
            </w:tcBorders>
          </w:tcPr>
          <w:p w14:paraId="2EA66376" w14:textId="77777777" w:rsidR="00345678" w:rsidRPr="001F151E" w:rsidRDefault="00345678" w:rsidP="00B45892">
            <w:pPr>
              <w:pStyle w:val="ListParagraph"/>
              <w:numPr>
                <w:ilvl w:val="0"/>
                <w:numId w:val="40"/>
              </w:numPr>
              <w:spacing w:line="200" w:lineRule="exact"/>
              <w:rPr>
                <w:sz w:val="16"/>
                <w:szCs w:val="16"/>
              </w:rPr>
            </w:pPr>
            <w:r w:rsidRPr="001F151E">
              <w:rPr>
                <w:sz w:val="16"/>
                <w:szCs w:val="16"/>
              </w:rPr>
              <w:t>Percentage of public institutions that have adopted all risk management tools.</w:t>
            </w:r>
          </w:p>
        </w:tc>
        <w:tc>
          <w:tcPr>
            <w:tcW w:w="1180" w:type="dxa"/>
            <w:tcBorders>
              <w:top w:val="single" w:sz="4" w:space="0" w:color="auto"/>
              <w:left w:val="single" w:sz="4" w:space="0" w:color="auto"/>
              <w:bottom w:val="single" w:sz="4" w:space="0" w:color="auto"/>
              <w:right w:val="single" w:sz="4" w:space="0" w:color="auto"/>
            </w:tcBorders>
            <w:vAlign w:val="center"/>
          </w:tcPr>
          <w:p w14:paraId="40426BDA" w14:textId="77777777" w:rsidR="00345678" w:rsidRPr="00022467" w:rsidRDefault="00345678" w:rsidP="00086262">
            <w:pPr>
              <w:pStyle w:val="EcorysBody"/>
              <w:spacing w:line="200" w:lineRule="exact"/>
              <w:jc w:val="center"/>
              <w:rPr>
                <w:rFonts w:ascii="Arial" w:hAnsi="Arial" w:cs="Arial"/>
                <w:sz w:val="16"/>
                <w:szCs w:val="16"/>
              </w:rPr>
            </w:pPr>
            <w:r w:rsidRPr="00022467">
              <w:rPr>
                <w:rFonts w:ascii="Arial" w:hAnsi="Arial" w:cs="Arial"/>
                <w:sz w:val="16"/>
                <w:szCs w:val="16"/>
              </w:rPr>
              <w:t>68%</w:t>
            </w:r>
          </w:p>
        </w:tc>
        <w:tc>
          <w:tcPr>
            <w:tcW w:w="1181" w:type="dxa"/>
            <w:tcBorders>
              <w:top w:val="single" w:sz="4" w:space="0" w:color="auto"/>
              <w:left w:val="single" w:sz="4" w:space="0" w:color="auto"/>
              <w:bottom w:val="single" w:sz="4" w:space="0" w:color="auto"/>
              <w:right w:val="single" w:sz="4" w:space="0" w:color="auto"/>
            </w:tcBorders>
            <w:vAlign w:val="center"/>
          </w:tcPr>
          <w:p w14:paraId="4F3056B2"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70%</w:t>
            </w:r>
          </w:p>
        </w:tc>
        <w:tc>
          <w:tcPr>
            <w:tcW w:w="1180" w:type="dxa"/>
            <w:tcBorders>
              <w:top w:val="single" w:sz="4" w:space="0" w:color="auto"/>
              <w:left w:val="single" w:sz="4" w:space="0" w:color="auto"/>
              <w:bottom w:val="single" w:sz="4" w:space="0" w:color="auto"/>
              <w:right w:val="single" w:sz="4" w:space="0" w:color="auto"/>
            </w:tcBorders>
            <w:vAlign w:val="center"/>
          </w:tcPr>
          <w:p w14:paraId="0C7AD5F7"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72%</w:t>
            </w:r>
          </w:p>
        </w:tc>
        <w:tc>
          <w:tcPr>
            <w:tcW w:w="1181" w:type="dxa"/>
            <w:tcBorders>
              <w:top w:val="single" w:sz="4" w:space="0" w:color="auto"/>
              <w:left w:val="single" w:sz="4" w:space="0" w:color="auto"/>
              <w:bottom w:val="single" w:sz="4" w:space="0" w:color="auto"/>
              <w:right w:val="single" w:sz="4" w:space="0" w:color="auto"/>
            </w:tcBorders>
            <w:vAlign w:val="center"/>
          </w:tcPr>
          <w:p w14:paraId="5F6F1C67"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75%</w:t>
            </w:r>
          </w:p>
        </w:tc>
        <w:tc>
          <w:tcPr>
            <w:tcW w:w="1181" w:type="dxa"/>
            <w:tcBorders>
              <w:top w:val="single" w:sz="4" w:space="0" w:color="auto"/>
              <w:left w:val="single" w:sz="4" w:space="0" w:color="auto"/>
              <w:bottom w:val="single" w:sz="4" w:space="0" w:color="auto"/>
              <w:right w:val="single" w:sz="4" w:space="0" w:color="auto"/>
            </w:tcBorders>
            <w:vAlign w:val="center"/>
          </w:tcPr>
          <w:p w14:paraId="44A173AF"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80%</w:t>
            </w:r>
          </w:p>
        </w:tc>
      </w:tr>
    </w:tbl>
    <w:p w14:paraId="26A2A7FE" w14:textId="77777777" w:rsidR="00345678" w:rsidRPr="001F151E" w:rsidRDefault="00345678" w:rsidP="00345678">
      <w:pPr>
        <w:rPr>
          <w:lang w:val="en-GB"/>
        </w:rPr>
      </w:pPr>
    </w:p>
    <w:p w14:paraId="491381A2" w14:textId="77777777" w:rsidR="00345678" w:rsidRPr="001F151E" w:rsidRDefault="00345678" w:rsidP="00345678">
      <w:pPr>
        <w:rPr>
          <w:lang w:val="en-GB"/>
        </w:rPr>
      </w:pPr>
    </w:p>
    <w:p w14:paraId="0C60F856" w14:textId="77777777" w:rsidR="00345678" w:rsidRPr="001F151E" w:rsidRDefault="00345678" w:rsidP="00345678">
      <w:pPr>
        <w:pStyle w:val="Heading2"/>
        <w:rPr>
          <w:lang w:val="en-GB"/>
        </w:rPr>
      </w:pPr>
      <w:bookmarkStart w:id="64" w:name="_Toc150931563"/>
      <w:bookmarkStart w:id="65" w:name="_Toc163148036"/>
      <w:r w:rsidRPr="001F151E">
        <w:rPr>
          <w:lang w:val="en-GB"/>
        </w:rPr>
        <w:t>Component 5.2 Internal Audit</w:t>
      </w:r>
      <w:bookmarkEnd w:id="64"/>
      <w:bookmarkEnd w:id="65"/>
    </w:p>
    <w:p w14:paraId="7F23BA2E" w14:textId="77777777" w:rsidR="00345678" w:rsidRPr="001F151E" w:rsidRDefault="00345678" w:rsidP="00345678">
      <w:pPr>
        <w:ind w:left="360" w:hanging="360"/>
        <w:rPr>
          <w:lang w:val="en-GB"/>
        </w:rPr>
      </w:pPr>
    </w:p>
    <w:p w14:paraId="18AA66BB" w14:textId="77777777" w:rsidR="00345678" w:rsidRPr="001F151E" w:rsidRDefault="00345678" w:rsidP="00345678">
      <w:pPr>
        <w:pStyle w:val="H5"/>
        <w:rPr>
          <w:rStyle w:val="Strong"/>
          <w:b/>
          <w:lang w:val="en-GB"/>
        </w:rPr>
      </w:pPr>
      <w:r w:rsidRPr="001F151E">
        <w:rPr>
          <w:rStyle w:val="Strong"/>
          <w:b/>
          <w:lang w:val="en-GB"/>
        </w:rPr>
        <w:t>Objective</w:t>
      </w:r>
    </w:p>
    <w:p w14:paraId="5C33DCB0" w14:textId="77777777" w:rsidR="00345678" w:rsidRPr="001F151E" w:rsidRDefault="00345678" w:rsidP="00345678">
      <w:pPr>
        <w:spacing w:line="276" w:lineRule="auto"/>
        <w:jc w:val="both"/>
        <w:rPr>
          <w:lang w:val="en-GB"/>
        </w:rPr>
      </w:pPr>
      <w:r w:rsidRPr="00345678">
        <w:rPr>
          <w:lang w:val="en-GB"/>
        </w:rPr>
        <w:t>The goal for 2030 is to ensure a v</w:t>
      </w:r>
      <w:r w:rsidRPr="00345678">
        <w:t>alue-added internal audit in all public institutions in accordance with international standards</w:t>
      </w:r>
      <w:r w:rsidRPr="00345678">
        <w:rPr>
          <w:lang w:val="en-GB"/>
        </w:rPr>
        <w:t>. This can be achieved through either an in-house internal audit function or shared services, ensuring adherence to internationally adopted standards on internal audit. The objective is to furnish meaningful recommendations to both the executive management of the budget institution and the audit committee. The audit profession will further derive</w:t>
      </w:r>
      <w:r w:rsidRPr="001F151E">
        <w:rPr>
          <w:lang w:val="en-GB"/>
        </w:rPr>
        <w:t xml:space="preserve"> advantages from the integration of digital technologies and tools, aiming to optimize and streamline internal audit functions within government organizations. Additionally, enhancing the certification framework for internal auditors and providing professional development opportunities at both national and international levels will contribute to the profession's continuous improvement.</w:t>
      </w:r>
    </w:p>
    <w:p w14:paraId="4CA63416" w14:textId="77777777" w:rsidR="00345678" w:rsidRDefault="00345678" w:rsidP="00345678">
      <w:pPr>
        <w:spacing w:line="276" w:lineRule="auto"/>
        <w:jc w:val="both"/>
        <w:rPr>
          <w:lang w:val="en-GB"/>
        </w:rPr>
      </w:pPr>
    </w:p>
    <w:p w14:paraId="796115F3" w14:textId="77777777" w:rsidR="00A2296F" w:rsidRPr="001F151E" w:rsidRDefault="00A2296F" w:rsidP="00345678">
      <w:pPr>
        <w:spacing w:line="276" w:lineRule="auto"/>
        <w:jc w:val="both"/>
        <w:rPr>
          <w:lang w:val="en-GB"/>
        </w:rPr>
      </w:pPr>
    </w:p>
    <w:p w14:paraId="1F291C44" w14:textId="77777777" w:rsidR="00345678" w:rsidRPr="001F151E" w:rsidRDefault="00345678" w:rsidP="00345678">
      <w:pPr>
        <w:pStyle w:val="H5"/>
        <w:spacing w:line="276" w:lineRule="auto"/>
        <w:jc w:val="both"/>
        <w:rPr>
          <w:lang w:val="en-GB"/>
        </w:rPr>
      </w:pPr>
      <w:r w:rsidRPr="001F151E">
        <w:rPr>
          <w:lang w:val="en-GB"/>
        </w:rPr>
        <w:lastRenderedPageBreak/>
        <w:t>Context</w:t>
      </w:r>
    </w:p>
    <w:p w14:paraId="072E223E" w14:textId="77777777" w:rsidR="00345678" w:rsidRPr="00345678" w:rsidRDefault="00345678" w:rsidP="00345678">
      <w:pPr>
        <w:spacing w:line="276" w:lineRule="auto"/>
        <w:jc w:val="both"/>
        <w:rPr>
          <w:lang w:val="en-GB"/>
        </w:rPr>
      </w:pPr>
      <w:r w:rsidRPr="001F151E">
        <w:rPr>
          <w:lang w:val="en-GB"/>
        </w:rPr>
        <w:t xml:space="preserve">Following a gap analysis of the law on internal audit vis-a-vis international good practices, proposals for amending the law on internal audit have been developed. Proposed changes to the law include: (i) introducing a mechanism for outsourcing the internal audit function (audit service) as an alternative for employment of audit staff in the public entity; (ii) changes in the criteria for appointment of head of Internal Audit Unit of a public entity (senior auditor) and subordinate audit staff (junior auditors); (iii) changes in certification system: in addition to internal auditors also for other specialists in the domain of finance and economics can obtain certification after completing the necessary education and prior to being appointed as an Internal Auditor; (iv) clarification of the concepts for addressing observed corruption, fraud or irregularities and the role of the internal auditor and head of the public entity and (v) specification of the mandate and role of audit committees in public </w:t>
      </w:r>
      <w:r w:rsidRPr="00345678">
        <w:rPr>
          <w:lang w:val="en-GB"/>
        </w:rPr>
        <w:t>entities. Budget Institutions continue to develop and implement Quality Assurance Improvement Plans (QAIP) and MoF continues to provide Continuous Professional Development (CPD) and other training to Internal Auditors through national and international (CEF) training programs and 90% of internal auditors in active service have now been certified.</w:t>
      </w:r>
    </w:p>
    <w:p w14:paraId="0FE44738" w14:textId="77777777" w:rsidR="00345678" w:rsidRPr="00345678" w:rsidRDefault="00345678" w:rsidP="00345678">
      <w:pPr>
        <w:spacing w:line="276" w:lineRule="auto"/>
        <w:jc w:val="both"/>
        <w:rPr>
          <w:lang w:val="en-GB"/>
        </w:rPr>
      </w:pPr>
    </w:p>
    <w:p w14:paraId="438CE6A4" w14:textId="77777777" w:rsidR="00345678" w:rsidRPr="001F151E" w:rsidRDefault="00345678" w:rsidP="00345678">
      <w:pPr>
        <w:spacing w:line="276" w:lineRule="auto"/>
        <w:jc w:val="both"/>
        <w:rPr>
          <w:lang w:val="en-GB"/>
        </w:rPr>
      </w:pPr>
      <w:r w:rsidRPr="00345678">
        <w:rPr>
          <w:lang w:val="en-GB"/>
        </w:rPr>
        <w:t>Despite these achievements, a number of challenges remain. Not yet all public institutions have staffed an internal audit function or outsource the audit function. In several public institutions – in particular in some LGUs and secondary level institutions at central level, the capacity of internal audit teams remains weak. Also the added value of internal audit requires improvement with financial and compliance audits culminating in strong audit</w:t>
      </w:r>
      <w:r w:rsidRPr="001F151E">
        <w:rPr>
          <w:lang w:val="en-GB"/>
        </w:rPr>
        <w:t xml:space="preserve"> reports presenting a clear audit opinion and practical recommendations for improving FMC and business processes. Subsequently the adequate follow-up on audit recommendations by executive management of budget institutions shall be promoted, and Audit Committees need to be strengthened as to bring a fruitful contribution to improving financial management practices. </w:t>
      </w:r>
    </w:p>
    <w:p w14:paraId="0F78FD5E" w14:textId="77777777" w:rsidR="00345678" w:rsidRPr="001F151E" w:rsidRDefault="00345678" w:rsidP="00345678">
      <w:pPr>
        <w:spacing w:line="276" w:lineRule="auto"/>
        <w:jc w:val="both"/>
        <w:rPr>
          <w:lang w:val="en-GB"/>
        </w:rPr>
      </w:pPr>
    </w:p>
    <w:p w14:paraId="2F9CC62F" w14:textId="4826C343" w:rsidR="00345678" w:rsidRPr="001F151E" w:rsidRDefault="00345678" w:rsidP="00345678">
      <w:pPr>
        <w:spacing w:line="276" w:lineRule="auto"/>
        <w:jc w:val="both"/>
        <w:rPr>
          <w:lang w:val="en-GB"/>
        </w:rPr>
      </w:pPr>
      <w:r w:rsidRPr="001F151E">
        <w:rPr>
          <w:lang w:val="en-GB"/>
        </w:rPr>
        <w:t xml:space="preserve">More advanced types of internal audit such as IT-audit, performance audit, revenue audit and project audit have only </w:t>
      </w:r>
      <w:r w:rsidR="001C0673" w:rsidRPr="001F151E">
        <w:rPr>
          <w:lang w:val="en-GB"/>
        </w:rPr>
        <w:t>been</w:t>
      </w:r>
      <w:r w:rsidRPr="001F151E">
        <w:rPr>
          <w:lang w:val="en-GB"/>
        </w:rPr>
        <w:t xml:space="preserve"> partially introduced. The framework of risk-based audit in combination with the principles of preventing, </w:t>
      </w:r>
      <w:r w:rsidR="001C0673" w:rsidRPr="001F151E">
        <w:rPr>
          <w:lang w:val="en-GB"/>
        </w:rPr>
        <w:t>detecting,</w:t>
      </w:r>
      <w:r w:rsidRPr="001F151E">
        <w:rPr>
          <w:lang w:val="en-GB"/>
        </w:rPr>
        <w:t xml:space="preserve"> and addressing possible irregularities, fraud and corruption needs to be further operationalised and institutionalised to become fully effective. Improving and maintaining the professional qualifications and skills of the entire internal audit cadre remains a priority and a challenge. </w:t>
      </w:r>
    </w:p>
    <w:p w14:paraId="2C6BB40B" w14:textId="77777777" w:rsidR="00345678" w:rsidRPr="001F151E" w:rsidRDefault="00345678" w:rsidP="00345678">
      <w:pPr>
        <w:spacing w:line="276" w:lineRule="auto"/>
        <w:jc w:val="both"/>
        <w:rPr>
          <w:lang w:val="en-GB"/>
        </w:rPr>
      </w:pPr>
    </w:p>
    <w:p w14:paraId="3AE6E1F6" w14:textId="77777777" w:rsidR="00345678" w:rsidRPr="001F151E" w:rsidRDefault="00345678" w:rsidP="00345678">
      <w:pPr>
        <w:pStyle w:val="H5"/>
        <w:spacing w:line="276" w:lineRule="auto"/>
        <w:jc w:val="both"/>
        <w:rPr>
          <w:lang w:val="en-GB"/>
        </w:rPr>
      </w:pPr>
      <w:r w:rsidRPr="001F151E">
        <w:rPr>
          <w:lang w:val="en-GB"/>
        </w:rPr>
        <w:t>Priorities</w:t>
      </w:r>
    </w:p>
    <w:p w14:paraId="46777DA6" w14:textId="77777777" w:rsidR="00345678" w:rsidRPr="001F151E" w:rsidRDefault="00345678" w:rsidP="00345678">
      <w:pPr>
        <w:spacing w:line="276" w:lineRule="auto"/>
        <w:jc w:val="both"/>
        <w:rPr>
          <w:lang w:val="en-GB"/>
        </w:rPr>
      </w:pPr>
      <w:r w:rsidRPr="00345678">
        <w:rPr>
          <w:lang w:val="en-GB"/>
        </w:rPr>
        <w:t>The priorities for the period 2023-2026 are:</w:t>
      </w:r>
      <w:r w:rsidRPr="001F151E">
        <w:rPr>
          <w:lang w:val="en-GB"/>
        </w:rPr>
        <w:t xml:space="preserve"> </w:t>
      </w:r>
    </w:p>
    <w:p w14:paraId="711C16A1" w14:textId="77777777" w:rsidR="00345678" w:rsidRPr="001F151E" w:rsidRDefault="00345678" w:rsidP="00345678">
      <w:pPr>
        <w:pStyle w:val="ListParagraph"/>
        <w:numPr>
          <w:ilvl w:val="0"/>
          <w:numId w:val="2"/>
        </w:numPr>
        <w:spacing w:line="276" w:lineRule="auto"/>
        <w:jc w:val="both"/>
        <w:rPr>
          <w:lang w:val="en-GB"/>
        </w:rPr>
      </w:pPr>
      <w:r w:rsidRPr="001F151E">
        <w:rPr>
          <w:lang w:val="en-GB"/>
        </w:rPr>
        <w:t>Ensuring that Internal Audit services are delivered in each budget institution, either through an in-house audit function, the shared Internal Audit services modality or other arrangements.</w:t>
      </w:r>
    </w:p>
    <w:p w14:paraId="5D9D09B6" w14:textId="77777777" w:rsidR="00345678" w:rsidRPr="001F151E" w:rsidRDefault="00345678" w:rsidP="00345678">
      <w:pPr>
        <w:pStyle w:val="ListParagraph"/>
        <w:numPr>
          <w:ilvl w:val="0"/>
          <w:numId w:val="2"/>
        </w:numPr>
        <w:spacing w:line="276" w:lineRule="auto"/>
        <w:jc w:val="both"/>
        <w:rPr>
          <w:lang w:val="en-GB"/>
        </w:rPr>
      </w:pPr>
      <w:r w:rsidRPr="001F151E">
        <w:rPr>
          <w:lang w:val="en-GB"/>
        </w:rPr>
        <w:t>Strengthening financial, compliance and performance audit practices as to ensure that internal audit provides genuine added value.</w:t>
      </w:r>
    </w:p>
    <w:p w14:paraId="6C8A6242" w14:textId="77777777" w:rsidR="00345678" w:rsidRPr="001F151E" w:rsidRDefault="00345678" w:rsidP="00345678">
      <w:pPr>
        <w:pStyle w:val="ListParagraph"/>
        <w:numPr>
          <w:ilvl w:val="0"/>
          <w:numId w:val="2"/>
        </w:numPr>
        <w:spacing w:line="276" w:lineRule="auto"/>
        <w:jc w:val="both"/>
        <w:rPr>
          <w:lang w:val="en-GB"/>
        </w:rPr>
      </w:pPr>
      <w:r w:rsidRPr="001F151E">
        <w:rPr>
          <w:lang w:val="en-GB"/>
        </w:rPr>
        <w:t>Continuing and improving engagement of Executive Management of budget institutions to follow-up on recommendations of the Internal Auditors, External Auditors, and having in place effective Audit Committees.</w:t>
      </w:r>
    </w:p>
    <w:p w14:paraId="13E86156" w14:textId="77777777" w:rsidR="00345678" w:rsidRPr="001F151E" w:rsidRDefault="00345678" w:rsidP="00345678">
      <w:pPr>
        <w:rPr>
          <w:lang w:val="en-GB"/>
        </w:rPr>
      </w:pPr>
    </w:p>
    <w:p w14:paraId="54EACE52" w14:textId="77777777" w:rsidR="00345678" w:rsidRPr="001F151E" w:rsidRDefault="00345678" w:rsidP="00345678">
      <w:pPr>
        <w:pStyle w:val="H5"/>
        <w:rPr>
          <w:lang w:val="en-GB"/>
        </w:rPr>
      </w:pPr>
      <w:r w:rsidRPr="001F151E">
        <w:rPr>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56"/>
        <w:gridCol w:w="3596"/>
        <w:gridCol w:w="790"/>
        <w:gridCol w:w="915"/>
        <w:gridCol w:w="1759"/>
      </w:tblGrid>
      <w:tr w:rsidR="00345678" w:rsidRPr="001F151E" w14:paraId="43892A18" w14:textId="77777777" w:rsidTr="00086262">
        <w:trPr>
          <w:cantSplit/>
          <w:trHeight w:val="20"/>
          <w:tblHeader/>
        </w:trPr>
        <w:tc>
          <w:tcPr>
            <w:tcW w:w="1956" w:type="dxa"/>
            <w:shd w:val="clear" w:color="auto" w:fill="D9D9D9" w:themeFill="background1" w:themeFillShade="D9"/>
          </w:tcPr>
          <w:p w14:paraId="4EFA14D4" w14:textId="77777777" w:rsidR="00345678" w:rsidRPr="001F151E" w:rsidRDefault="00345678" w:rsidP="00086262">
            <w:pPr>
              <w:pStyle w:val="T-bold"/>
            </w:pPr>
            <w:r w:rsidRPr="001F151E">
              <w:t>Measure</w:t>
            </w:r>
          </w:p>
        </w:tc>
        <w:tc>
          <w:tcPr>
            <w:tcW w:w="3596" w:type="dxa"/>
            <w:shd w:val="clear" w:color="auto" w:fill="D9D9D9" w:themeFill="background1" w:themeFillShade="D9"/>
          </w:tcPr>
          <w:p w14:paraId="6AFDD836" w14:textId="77777777" w:rsidR="00345678" w:rsidRPr="001F151E" w:rsidRDefault="00345678" w:rsidP="00086262">
            <w:pPr>
              <w:pStyle w:val="T-bold"/>
            </w:pPr>
            <w:r w:rsidRPr="001F151E">
              <w:t>Activity</w:t>
            </w:r>
          </w:p>
        </w:tc>
        <w:tc>
          <w:tcPr>
            <w:tcW w:w="790" w:type="dxa"/>
            <w:shd w:val="clear" w:color="auto" w:fill="D9D9D9" w:themeFill="background1" w:themeFillShade="D9"/>
          </w:tcPr>
          <w:p w14:paraId="275C8F99" w14:textId="77777777" w:rsidR="00345678" w:rsidRPr="001F151E" w:rsidRDefault="00345678" w:rsidP="00086262">
            <w:pPr>
              <w:pStyle w:val="T-bold"/>
              <w:jc w:val="center"/>
            </w:pPr>
            <w:r w:rsidRPr="001F151E">
              <w:t>Start</w:t>
            </w:r>
          </w:p>
        </w:tc>
        <w:tc>
          <w:tcPr>
            <w:tcW w:w="915" w:type="dxa"/>
            <w:shd w:val="clear" w:color="auto" w:fill="D9D9D9" w:themeFill="background1" w:themeFillShade="D9"/>
          </w:tcPr>
          <w:p w14:paraId="24FD9D5A" w14:textId="77777777" w:rsidR="00345678" w:rsidRPr="001F151E" w:rsidRDefault="00345678" w:rsidP="00086262">
            <w:pPr>
              <w:pStyle w:val="T-bold"/>
              <w:jc w:val="center"/>
            </w:pPr>
            <w:r w:rsidRPr="001F151E">
              <w:t>End</w:t>
            </w:r>
          </w:p>
        </w:tc>
        <w:tc>
          <w:tcPr>
            <w:tcW w:w="1759" w:type="dxa"/>
            <w:shd w:val="clear" w:color="auto" w:fill="D9D9D9" w:themeFill="background1" w:themeFillShade="D9"/>
          </w:tcPr>
          <w:p w14:paraId="308A4516" w14:textId="77777777" w:rsidR="00345678" w:rsidRPr="001F151E" w:rsidRDefault="00345678" w:rsidP="00086262">
            <w:pPr>
              <w:pStyle w:val="T-bold"/>
            </w:pPr>
            <w:r w:rsidRPr="001F151E">
              <w:t>Stakeholders</w:t>
            </w:r>
          </w:p>
        </w:tc>
      </w:tr>
      <w:tr w:rsidR="00345678" w:rsidRPr="001F151E" w14:paraId="2F3534DC" w14:textId="77777777" w:rsidTr="00086262">
        <w:trPr>
          <w:trHeight w:val="20"/>
        </w:trPr>
        <w:tc>
          <w:tcPr>
            <w:tcW w:w="1956" w:type="dxa"/>
            <w:vMerge w:val="restart"/>
            <w:shd w:val="clear" w:color="auto" w:fill="auto"/>
          </w:tcPr>
          <w:p w14:paraId="0020B10A" w14:textId="77777777" w:rsidR="00345678" w:rsidRPr="001F151E" w:rsidRDefault="00345678" w:rsidP="00086262">
            <w:pPr>
              <w:pStyle w:val="T-bold"/>
            </w:pPr>
            <w:r w:rsidRPr="001F151E">
              <w:t>Measure 5.2.1 Continue oversight and expand support services to public institutions and internal audit teams</w:t>
            </w:r>
          </w:p>
        </w:tc>
        <w:tc>
          <w:tcPr>
            <w:tcW w:w="3596" w:type="dxa"/>
          </w:tcPr>
          <w:p w14:paraId="013489B4" w14:textId="77777777" w:rsidR="00345678" w:rsidRPr="001F151E" w:rsidRDefault="00345678" w:rsidP="005F65F3">
            <w:pPr>
              <w:pStyle w:val="T-number"/>
              <w:numPr>
                <w:ilvl w:val="0"/>
                <w:numId w:val="29"/>
              </w:numPr>
              <w:jc w:val="both"/>
            </w:pPr>
            <w:r w:rsidRPr="001F151E">
              <w:t>Develop tools and mechanisms for outsourcing internal audit services or establish shared internal audit services and provide support to public institutions that do not have an internal audit team to use these mechanisms.</w:t>
            </w:r>
          </w:p>
        </w:tc>
        <w:tc>
          <w:tcPr>
            <w:tcW w:w="790" w:type="dxa"/>
            <w:vAlign w:val="center"/>
          </w:tcPr>
          <w:p w14:paraId="5793734A" w14:textId="77777777" w:rsidR="00345678" w:rsidRPr="001F151E" w:rsidRDefault="00345678" w:rsidP="00086262">
            <w:pPr>
              <w:jc w:val="center"/>
              <w:rPr>
                <w:sz w:val="16"/>
                <w:szCs w:val="16"/>
              </w:rPr>
            </w:pPr>
            <w:r w:rsidRPr="001F151E">
              <w:rPr>
                <w:sz w:val="16"/>
                <w:szCs w:val="16"/>
              </w:rPr>
              <w:t>Q1 2023</w:t>
            </w:r>
          </w:p>
          <w:p w14:paraId="4EBACF3C" w14:textId="77777777" w:rsidR="00345678" w:rsidRPr="001F151E" w:rsidRDefault="00345678" w:rsidP="00086262">
            <w:pPr>
              <w:jc w:val="center"/>
              <w:rPr>
                <w:sz w:val="16"/>
                <w:szCs w:val="16"/>
              </w:rPr>
            </w:pPr>
          </w:p>
        </w:tc>
        <w:tc>
          <w:tcPr>
            <w:tcW w:w="915" w:type="dxa"/>
            <w:vAlign w:val="center"/>
          </w:tcPr>
          <w:p w14:paraId="6FAD1ECA" w14:textId="77777777" w:rsidR="00345678" w:rsidRPr="001F151E" w:rsidRDefault="00345678" w:rsidP="00086262">
            <w:pPr>
              <w:jc w:val="center"/>
              <w:rPr>
                <w:sz w:val="16"/>
                <w:szCs w:val="16"/>
              </w:rPr>
            </w:pPr>
            <w:r w:rsidRPr="001F151E">
              <w:rPr>
                <w:sz w:val="16"/>
                <w:szCs w:val="16"/>
              </w:rPr>
              <w:t>Q2 2023</w:t>
            </w:r>
          </w:p>
          <w:p w14:paraId="5F831E19" w14:textId="77777777" w:rsidR="00345678" w:rsidRPr="001F151E" w:rsidRDefault="00345678" w:rsidP="00086262">
            <w:pPr>
              <w:jc w:val="center"/>
              <w:rPr>
                <w:sz w:val="16"/>
                <w:szCs w:val="16"/>
              </w:rPr>
            </w:pPr>
          </w:p>
        </w:tc>
        <w:tc>
          <w:tcPr>
            <w:tcW w:w="1759" w:type="dxa"/>
            <w:vMerge w:val="restart"/>
          </w:tcPr>
          <w:p w14:paraId="44268285" w14:textId="77777777" w:rsidR="00345678" w:rsidRPr="001F151E" w:rsidRDefault="00345678" w:rsidP="00086262">
            <w:pPr>
              <w:rPr>
                <w:b/>
                <w:bCs/>
                <w:sz w:val="16"/>
                <w:szCs w:val="16"/>
              </w:rPr>
            </w:pPr>
            <w:r w:rsidRPr="001F151E">
              <w:rPr>
                <w:b/>
                <w:bCs/>
                <w:sz w:val="16"/>
                <w:szCs w:val="16"/>
              </w:rPr>
              <w:t>Responsible entity:</w:t>
            </w:r>
          </w:p>
          <w:p w14:paraId="1469EF34" w14:textId="77777777" w:rsidR="00345678" w:rsidRPr="001F151E" w:rsidRDefault="00345678" w:rsidP="00086262">
            <w:pPr>
              <w:pStyle w:val="EcorysBody"/>
              <w:rPr>
                <w:rFonts w:ascii="Arial" w:hAnsi="Arial" w:cs="Arial"/>
                <w:sz w:val="16"/>
                <w:szCs w:val="16"/>
              </w:rPr>
            </w:pPr>
            <w:r w:rsidRPr="001F151E">
              <w:rPr>
                <w:rFonts w:ascii="Arial" w:hAnsi="Arial" w:cs="Arial"/>
              </w:rPr>
              <w:t>DHIA</w:t>
            </w:r>
            <w:r w:rsidRPr="001F151E">
              <w:rPr>
                <w:rFonts w:ascii="Arial" w:hAnsi="Arial" w:cs="Arial"/>
                <w:sz w:val="16"/>
                <w:szCs w:val="16"/>
              </w:rPr>
              <w:t xml:space="preserve"> (lead)</w:t>
            </w:r>
          </w:p>
          <w:p w14:paraId="3F0A4AEC" w14:textId="77777777" w:rsidR="00345678" w:rsidRPr="001F151E" w:rsidRDefault="00345678" w:rsidP="00086262">
            <w:pPr>
              <w:pStyle w:val="EcorysBody"/>
              <w:rPr>
                <w:rFonts w:ascii="Arial" w:hAnsi="Arial" w:cs="Arial"/>
                <w:b/>
                <w:bCs/>
                <w:sz w:val="16"/>
                <w:szCs w:val="16"/>
              </w:rPr>
            </w:pPr>
          </w:p>
          <w:p w14:paraId="08E91FF2"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Partners:</w:t>
            </w:r>
            <w:r w:rsidRPr="001F151E">
              <w:rPr>
                <w:rStyle w:val="FootnoteReference"/>
                <w:sz w:val="16"/>
                <w:szCs w:val="16"/>
              </w:rPr>
              <w:t xml:space="preserve"> </w:t>
            </w:r>
          </w:p>
          <w:p w14:paraId="727B4314"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EU, SIGMA</w:t>
            </w:r>
            <w:r w:rsidRPr="001F151E">
              <w:rPr>
                <w:rStyle w:val="FootnoteReference"/>
                <w:sz w:val="16"/>
                <w:szCs w:val="16"/>
              </w:rPr>
              <w:footnoteReference w:id="71"/>
            </w:r>
          </w:p>
          <w:p w14:paraId="7DC950FF" w14:textId="77777777" w:rsidR="00345678" w:rsidRPr="001F151E" w:rsidRDefault="00345678" w:rsidP="00086262">
            <w:pPr>
              <w:pStyle w:val="EcorysBody"/>
              <w:rPr>
                <w:sz w:val="16"/>
                <w:szCs w:val="16"/>
              </w:rPr>
            </w:pPr>
          </w:p>
        </w:tc>
      </w:tr>
      <w:tr w:rsidR="00345678" w:rsidRPr="001F151E" w14:paraId="183AC115" w14:textId="77777777" w:rsidTr="00086262">
        <w:trPr>
          <w:trHeight w:val="20"/>
        </w:trPr>
        <w:tc>
          <w:tcPr>
            <w:tcW w:w="1956" w:type="dxa"/>
            <w:vMerge/>
            <w:shd w:val="clear" w:color="auto" w:fill="auto"/>
          </w:tcPr>
          <w:p w14:paraId="273996E4" w14:textId="77777777" w:rsidR="00345678" w:rsidRPr="001F151E" w:rsidRDefault="00345678" w:rsidP="00086262">
            <w:pPr>
              <w:pStyle w:val="T-bold"/>
            </w:pPr>
          </w:p>
        </w:tc>
        <w:tc>
          <w:tcPr>
            <w:tcW w:w="3596" w:type="dxa"/>
          </w:tcPr>
          <w:p w14:paraId="675E80CB" w14:textId="77777777" w:rsidR="00345678" w:rsidRPr="001F151E" w:rsidRDefault="00345678" w:rsidP="005F65F3">
            <w:pPr>
              <w:pStyle w:val="T-number"/>
              <w:jc w:val="both"/>
            </w:pPr>
            <w:r w:rsidRPr="001F151E">
              <w:t>Enhance the quality assurance management system, in order to ensure effective monitoring of internal audit work throughout public sector entities</w:t>
            </w:r>
          </w:p>
        </w:tc>
        <w:tc>
          <w:tcPr>
            <w:tcW w:w="790" w:type="dxa"/>
            <w:vAlign w:val="center"/>
          </w:tcPr>
          <w:p w14:paraId="2F7FCF07" w14:textId="77777777" w:rsidR="00345678" w:rsidRPr="001F151E" w:rsidRDefault="00345678" w:rsidP="00086262">
            <w:pPr>
              <w:jc w:val="center"/>
              <w:rPr>
                <w:sz w:val="16"/>
                <w:szCs w:val="16"/>
              </w:rPr>
            </w:pPr>
            <w:r w:rsidRPr="001F151E">
              <w:rPr>
                <w:sz w:val="16"/>
                <w:szCs w:val="16"/>
              </w:rPr>
              <w:t>Q2 2025</w:t>
            </w:r>
          </w:p>
        </w:tc>
        <w:tc>
          <w:tcPr>
            <w:tcW w:w="915" w:type="dxa"/>
            <w:vAlign w:val="center"/>
          </w:tcPr>
          <w:p w14:paraId="55360CDE" w14:textId="77777777" w:rsidR="00345678" w:rsidRPr="001F151E" w:rsidRDefault="00345678" w:rsidP="00086262">
            <w:pPr>
              <w:jc w:val="center"/>
              <w:rPr>
                <w:sz w:val="16"/>
                <w:szCs w:val="16"/>
              </w:rPr>
            </w:pPr>
            <w:r w:rsidRPr="001F151E">
              <w:rPr>
                <w:sz w:val="16"/>
                <w:szCs w:val="16"/>
              </w:rPr>
              <w:t>Q4 2026</w:t>
            </w:r>
          </w:p>
        </w:tc>
        <w:tc>
          <w:tcPr>
            <w:tcW w:w="1759" w:type="dxa"/>
            <w:vMerge/>
          </w:tcPr>
          <w:p w14:paraId="15988BE0" w14:textId="77777777" w:rsidR="00345678" w:rsidRPr="001F151E" w:rsidRDefault="00345678" w:rsidP="00086262">
            <w:pPr>
              <w:rPr>
                <w:sz w:val="16"/>
                <w:szCs w:val="16"/>
              </w:rPr>
            </w:pPr>
          </w:p>
        </w:tc>
      </w:tr>
      <w:tr w:rsidR="00345678" w:rsidRPr="001F151E" w14:paraId="76F382E4" w14:textId="77777777" w:rsidTr="00086262">
        <w:trPr>
          <w:trHeight w:val="20"/>
        </w:trPr>
        <w:tc>
          <w:tcPr>
            <w:tcW w:w="1956" w:type="dxa"/>
            <w:vMerge/>
            <w:shd w:val="clear" w:color="auto" w:fill="auto"/>
          </w:tcPr>
          <w:p w14:paraId="210DF8A8" w14:textId="77777777" w:rsidR="00345678" w:rsidRPr="001F151E" w:rsidRDefault="00345678" w:rsidP="00086262">
            <w:pPr>
              <w:pStyle w:val="T-bold"/>
            </w:pPr>
          </w:p>
        </w:tc>
        <w:tc>
          <w:tcPr>
            <w:tcW w:w="3596" w:type="dxa"/>
          </w:tcPr>
          <w:p w14:paraId="3008F716" w14:textId="77777777" w:rsidR="00345678" w:rsidRPr="001F151E" w:rsidRDefault="00345678" w:rsidP="005F65F3">
            <w:pPr>
              <w:pStyle w:val="T-number"/>
              <w:jc w:val="both"/>
            </w:pPr>
            <w:r w:rsidRPr="001F151E">
              <w:t>Update the law on internal audit as to facilitate reform in the field of Internal Audit.</w:t>
            </w:r>
          </w:p>
        </w:tc>
        <w:tc>
          <w:tcPr>
            <w:tcW w:w="790" w:type="dxa"/>
            <w:vAlign w:val="center"/>
          </w:tcPr>
          <w:p w14:paraId="62FBC75B" w14:textId="77777777" w:rsidR="00345678" w:rsidRPr="001F151E" w:rsidRDefault="00345678" w:rsidP="00086262">
            <w:pPr>
              <w:jc w:val="center"/>
              <w:rPr>
                <w:sz w:val="16"/>
                <w:szCs w:val="16"/>
              </w:rPr>
            </w:pPr>
            <w:r w:rsidRPr="001F151E">
              <w:rPr>
                <w:sz w:val="16"/>
                <w:szCs w:val="16"/>
              </w:rPr>
              <w:t>Q1 2023</w:t>
            </w:r>
          </w:p>
        </w:tc>
        <w:tc>
          <w:tcPr>
            <w:tcW w:w="915" w:type="dxa"/>
            <w:vAlign w:val="center"/>
          </w:tcPr>
          <w:p w14:paraId="701BC905" w14:textId="77777777" w:rsidR="00345678" w:rsidRPr="001F151E" w:rsidRDefault="00345678" w:rsidP="00086262">
            <w:pPr>
              <w:jc w:val="center"/>
              <w:rPr>
                <w:sz w:val="16"/>
                <w:szCs w:val="16"/>
              </w:rPr>
            </w:pPr>
            <w:r w:rsidRPr="001F151E">
              <w:rPr>
                <w:sz w:val="16"/>
                <w:szCs w:val="16"/>
              </w:rPr>
              <w:t>Q4 2023</w:t>
            </w:r>
          </w:p>
        </w:tc>
        <w:tc>
          <w:tcPr>
            <w:tcW w:w="1759" w:type="dxa"/>
            <w:vMerge/>
          </w:tcPr>
          <w:p w14:paraId="74FBB249" w14:textId="77777777" w:rsidR="00345678" w:rsidRPr="001F151E" w:rsidRDefault="00345678" w:rsidP="00086262">
            <w:pPr>
              <w:rPr>
                <w:sz w:val="16"/>
                <w:szCs w:val="16"/>
              </w:rPr>
            </w:pPr>
          </w:p>
        </w:tc>
      </w:tr>
      <w:tr w:rsidR="00345678" w:rsidRPr="001F151E" w14:paraId="73FD44AB" w14:textId="77777777" w:rsidTr="00086262">
        <w:trPr>
          <w:trHeight w:val="20"/>
        </w:trPr>
        <w:tc>
          <w:tcPr>
            <w:tcW w:w="1956" w:type="dxa"/>
            <w:vMerge/>
            <w:shd w:val="clear" w:color="auto" w:fill="auto"/>
          </w:tcPr>
          <w:p w14:paraId="76F16614" w14:textId="77777777" w:rsidR="00345678" w:rsidRPr="001F151E" w:rsidRDefault="00345678" w:rsidP="00086262">
            <w:pPr>
              <w:pStyle w:val="T-bold"/>
            </w:pPr>
          </w:p>
        </w:tc>
        <w:tc>
          <w:tcPr>
            <w:tcW w:w="3596" w:type="dxa"/>
          </w:tcPr>
          <w:p w14:paraId="25E5F3D8" w14:textId="77777777" w:rsidR="00345678" w:rsidRPr="001F151E" w:rsidRDefault="00345678" w:rsidP="005F65F3">
            <w:pPr>
              <w:pStyle w:val="T-number"/>
              <w:jc w:val="both"/>
            </w:pPr>
            <w:r w:rsidRPr="001F151E">
              <w:t>Capacitate Audit Committees through customized training activities.</w:t>
            </w:r>
          </w:p>
        </w:tc>
        <w:tc>
          <w:tcPr>
            <w:tcW w:w="790" w:type="dxa"/>
            <w:vAlign w:val="center"/>
          </w:tcPr>
          <w:p w14:paraId="01C87293" w14:textId="77777777" w:rsidR="00345678" w:rsidRPr="001F151E" w:rsidRDefault="00345678" w:rsidP="00086262">
            <w:pPr>
              <w:jc w:val="center"/>
              <w:rPr>
                <w:sz w:val="16"/>
                <w:szCs w:val="16"/>
              </w:rPr>
            </w:pPr>
            <w:r w:rsidRPr="001F151E">
              <w:rPr>
                <w:sz w:val="16"/>
                <w:szCs w:val="16"/>
              </w:rPr>
              <w:t>Q1 2024</w:t>
            </w:r>
          </w:p>
        </w:tc>
        <w:tc>
          <w:tcPr>
            <w:tcW w:w="915" w:type="dxa"/>
            <w:vAlign w:val="center"/>
          </w:tcPr>
          <w:p w14:paraId="01E0215C" w14:textId="77777777" w:rsidR="00345678" w:rsidRPr="001F151E" w:rsidRDefault="00345678" w:rsidP="00086262">
            <w:pPr>
              <w:jc w:val="center"/>
              <w:rPr>
                <w:sz w:val="16"/>
                <w:szCs w:val="16"/>
              </w:rPr>
            </w:pPr>
            <w:r w:rsidRPr="001F151E">
              <w:rPr>
                <w:sz w:val="16"/>
                <w:szCs w:val="16"/>
              </w:rPr>
              <w:t>Q4 2026</w:t>
            </w:r>
          </w:p>
        </w:tc>
        <w:tc>
          <w:tcPr>
            <w:tcW w:w="1759" w:type="dxa"/>
            <w:vMerge/>
          </w:tcPr>
          <w:p w14:paraId="0E6C837E" w14:textId="77777777" w:rsidR="00345678" w:rsidRPr="001F151E" w:rsidRDefault="00345678" w:rsidP="00086262">
            <w:pPr>
              <w:rPr>
                <w:sz w:val="16"/>
                <w:szCs w:val="16"/>
              </w:rPr>
            </w:pPr>
          </w:p>
        </w:tc>
      </w:tr>
      <w:tr w:rsidR="00345678" w:rsidRPr="001F151E" w14:paraId="5EFAC68C" w14:textId="77777777" w:rsidTr="00086262">
        <w:trPr>
          <w:trHeight w:val="20"/>
        </w:trPr>
        <w:tc>
          <w:tcPr>
            <w:tcW w:w="1956" w:type="dxa"/>
            <w:vMerge/>
            <w:shd w:val="clear" w:color="auto" w:fill="auto"/>
          </w:tcPr>
          <w:p w14:paraId="56404CC6" w14:textId="77777777" w:rsidR="00345678" w:rsidRPr="001F151E" w:rsidRDefault="00345678" w:rsidP="00086262">
            <w:pPr>
              <w:pStyle w:val="T-bold"/>
            </w:pPr>
          </w:p>
        </w:tc>
        <w:tc>
          <w:tcPr>
            <w:tcW w:w="3596" w:type="dxa"/>
          </w:tcPr>
          <w:p w14:paraId="7BCE2AE8" w14:textId="77777777" w:rsidR="00345678" w:rsidRPr="001F151E" w:rsidRDefault="00345678" w:rsidP="005F65F3">
            <w:pPr>
              <w:pStyle w:val="T-number"/>
              <w:jc w:val="both"/>
            </w:pPr>
            <w:r w:rsidRPr="001F151E">
              <w:t>Review options for introducing internal audit software to facilitate the</w:t>
            </w:r>
            <w:r>
              <w:t xml:space="preserve"> work of Internal Audit teams.</w:t>
            </w:r>
            <w:r w:rsidRPr="001F151E">
              <w:t xml:space="preserve"> </w:t>
            </w:r>
          </w:p>
        </w:tc>
        <w:tc>
          <w:tcPr>
            <w:tcW w:w="790" w:type="dxa"/>
            <w:vAlign w:val="center"/>
          </w:tcPr>
          <w:p w14:paraId="2F510476" w14:textId="77777777" w:rsidR="00345678" w:rsidRPr="001F151E" w:rsidRDefault="00345678" w:rsidP="00086262">
            <w:pPr>
              <w:jc w:val="center"/>
              <w:rPr>
                <w:sz w:val="16"/>
                <w:szCs w:val="16"/>
              </w:rPr>
            </w:pPr>
            <w:r w:rsidRPr="001F151E">
              <w:rPr>
                <w:sz w:val="16"/>
                <w:szCs w:val="16"/>
              </w:rPr>
              <w:t>Q1 2026</w:t>
            </w:r>
          </w:p>
        </w:tc>
        <w:tc>
          <w:tcPr>
            <w:tcW w:w="915" w:type="dxa"/>
            <w:vAlign w:val="center"/>
          </w:tcPr>
          <w:p w14:paraId="5224F836" w14:textId="77777777" w:rsidR="00345678" w:rsidRPr="001F151E" w:rsidRDefault="00345678" w:rsidP="00086262">
            <w:pPr>
              <w:jc w:val="center"/>
              <w:rPr>
                <w:sz w:val="16"/>
                <w:szCs w:val="16"/>
              </w:rPr>
            </w:pPr>
            <w:r w:rsidRPr="001F151E">
              <w:rPr>
                <w:sz w:val="16"/>
                <w:szCs w:val="16"/>
              </w:rPr>
              <w:t>Q4 2026</w:t>
            </w:r>
          </w:p>
        </w:tc>
        <w:tc>
          <w:tcPr>
            <w:tcW w:w="1759" w:type="dxa"/>
            <w:vMerge/>
          </w:tcPr>
          <w:p w14:paraId="6F53052F" w14:textId="77777777" w:rsidR="00345678" w:rsidRPr="001F151E" w:rsidRDefault="00345678" w:rsidP="00086262">
            <w:pPr>
              <w:rPr>
                <w:sz w:val="16"/>
                <w:szCs w:val="16"/>
              </w:rPr>
            </w:pPr>
          </w:p>
        </w:tc>
      </w:tr>
      <w:tr w:rsidR="00345678" w:rsidRPr="001F151E" w14:paraId="6DC06C58" w14:textId="77777777" w:rsidTr="00086262">
        <w:trPr>
          <w:trHeight w:val="20"/>
        </w:trPr>
        <w:tc>
          <w:tcPr>
            <w:tcW w:w="1956" w:type="dxa"/>
            <w:vMerge w:val="restart"/>
            <w:shd w:val="clear" w:color="auto" w:fill="auto"/>
          </w:tcPr>
          <w:p w14:paraId="559FC70B" w14:textId="77777777" w:rsidR="00345678" w:rsidRPr="001F151E" w:rsidRDefault="00345678" w:rsidP="00086262">
            <w:pPr>
              <w:pStyle w:val="T-bold"/>
            </w:pPr>
            <w:r w:rsidRPr="001F151E">
              <w:t>Measure 5.2.2 Professionalise core internal audit practices through developing guidelines and delivering capacity building activities</w:t>
            </w:r>
          </w:p>
        </w:tc>
        <w:tc>
          <w:tcPr>
            <w:tcW w:w="3596" w:type="dxa"/>
          </w:tcPr>
          <w:p w14:paraId="6DA3D732" w14:textId="53C7D2FE" w:rsidR="00345678" w:rsidRPr="001F151E" w:rsidRDefault="001F49CE" w:rsidP="00B45892">
            <w:pPr>
              <w:pStyle w:val="T-number"/>
              <w:numPr>
                <w:ilvl w:val="0"/>
                <w:numId w:val="100"/>
              </w:numPr>
              <w:jc w:val="both"/>
            </w:pPr>
            <w:r w:rsidRPr="001F49CE">
              <w:t>Development of the new IA Manual under the frame of recently Global internal Audit Standards, issued by IIA</w:t>
            </w:r>
            <w:r w:rsidR="00345678" w:rsidRPr="00345678">
              <w:rPr>
                <w:rStyle w:val="FootnoteReference"/>
              </w:rPr>
              <w:footnoteReference w:id="72"/>
            </w:r>
            <w:r w:rsidR="005F65F3">
              <w:t>.</w:t>
            </w:r>
            <w:r w:rsidR="00345678" w:rsidRPr="001F151E">
              <w:t xml:space="preserve"> </w:t>
            </w:r>
          </w:p>
        </w:tc>
        <w:tc>
          <w:tcPr>
            <w:tcW w:w="790" w:type="dxa"/>
            <w:vAlign w:val="center"/>
          </w:tcPr>
          <w:p w14:paraId="41839013" w14:textId="77777777" w:rsidR="00345678" w:rsidRPr="001F151E" w:rsidRDefault="00345678" w:rsidP="00086262">
            <w:pPr>
              <w:jc w:val="center"/>
              <w:rPr>
                <w:sz w:val="16"/>
                <w:szCs w:val="16"/>
              </w:rPr>
            </w:pPr>
            <w:r w:rsidRPr="001F151E">
              <w:rPr>
                <w:sz w:val="16"/>
                <w:szCs w:val="16"/>
              </w:rPr>
              <w:t>Q3 2024</w:t>
            </w:r>
          </w:p>
        </w:tc>
        <w:tc>
          <w:tcPr>
            <w:tcW w:w="915" w:type="dxa"/>
            <w:vAlign w:val="center"/>
          </w:tcPr>
          <w:p w14:paraId="6F3B0CEE" w14:textId="77777777" w:rsidR="00345678" w:rsidRPr="001F151E" w:rsidRDefault="00345678" w:rsidP="00086262">
            <w:pPr>
              <w:jc w:val="center"/>
              <w:rPr>
                <w:sz w:val="16"/>
                <w:szCs w:val="16"/>
              </w:rPr>
            </w:pPr>
            <w:r w:rsidRPr="001F151E">
              <w:rPr>
                <w:sz w:val="16"/>
                <w:szCs w:val="16"/>
              </w:rPr>
              <w:t>Q4 2025</w:t>
            </w:r>
          </w:p>
        </w:tc>
        <w:tc>
          <w:tcPr>
            <w:tcW w:w="1759" w:type="dxa"/>
            <w:vMerge w:val="restart"/>
          </w:tcPr>
          <w:p w14:paraId="476BF31B" w14:textId="77777777" w:rsidR="00345678" w:rsidRPr="001F151E" w:rsidRDefault="00345678" w:rsidP="00086262">
            <w:pPr>
              <w:rPr>
                <w:b/>
                <w:bCs/>
                <w:sz w:val="16"/>
                <w:szCs w:val="16"/>
              </w:rPr>
            </w:pPr>
            <w:r w:rsidRPr="001F151E">
              <w:rPr>
                <w:b/>
                <w:bCs/>
                <w:sz w:val="16"/>
                <w:szCs w:val="16"/>
              </w:rPr>
              <w:t xml:space="preserve">Responsible entity: </w:t>
            </w:r>
          </w:p>
          <w:p w14:paraId="135A3B56" w14:textId="77777777" w:rsidR="00345678" w:rsidRPr="001F151E" w:rsidRDefault="00345678" w:rsidP="00086262">
            <w:pPr>
              <w:rPr>
                <w:sz w:val="16"/>
                <w:szCs w:val="16"/>
              </w:rPr>
            </w:pPr>
            <w:r w:rsidRPr="001F151E">
              <w:t>DHIA</w:t>
            </w:r>
            <w:r w:rsidRPr="001F151E">
              <w:rPr>
                <w:sz w:val="16"/>
                <w:szCs w:val="16"/>
              </w:rPr>
              <w:t xml:space="preserve"> (lead)</w:t>
            </w:r>
          </w:p>
          <w:p w14:paraId="07A314A2" w14:textId="77777777" w:rsidR="00345678" w:rsidRPr="001F151E" w:rsidRDefault="00345678" w:rsidP="00086262">
            <w:pPr>
              <w:pStyle w:val="EcorysBody"/>
              <w:rPr>
                <w:rFonts w:ascii="Arial" w:hAnsi="Arial" w:cs="Arial"/>
                <w:b/>
                <w:bCs/>
                <w:sz w:val="16"/>
                <w:szCs w:val="16"/>
              </w:rPr>
            </w:pPr>
          </w:p>
          <w:p w14:paraId="165B3BC8"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Partners:</w:t>
            </w:r>
          </w:p>
          <w:p w14:paraId="45113296"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EU, SIGMA</w:t>
            </w:r>
            <w:r w:rsidRPr="001F151E">
              <w:rPr>
                <w:rStyle w:val="FootnoteReference"/>
                <w:sz w:val="16"/>
                <w:szCs w:val="16"/>
              </w:rPr>
              <w:footnoteReference w:id="73"/>
            </w:r>
          </w:p>
          <w:p w14:paraId="3FCE708B" w14:textId="77777777" w:rsidR="00345678" w:rsidRPr="001F151E" w:rsidRDefault="00345678" w:rsidP="00086262">
            <w:pPr>
              <w:rPr>
                <w:sz w:val="16"/>
                <w:szCs w:val="16"/>
              </w:rPr>
            </w:pPr>
          </w:p>
        </w:tc>
      </w:tr>
      <w:tr w:rsidR="00345678" w:rsidRPr="001F151E" w14:paraId="29BC32D8" w14:textId="77777777" w:rsidTr="00086262">
        <w:trPr>
          <w:trHeight w:val="20"/>
        </w:trPr>
        <w:tc>
          <w:tcPr>
            <w:tcW w:w="1956" w:type="dxa"/>
            <w:vMerge/>
            <w:shd w:val="clear" w:color="auto" w:fill="auto"/>
          </w:tcPr>
          <w:p w14:paraId="0A0962BC" w14:textId="77777777" w:rsidR="00345678" w:rsidRPr="001F151E" w:rsidRDefault="00345678" w:rsidP="00086262">
            <w:pPr>
              <w:pStyle w:val="T-bold"/>
            </w:pPr>
          </w:p>
        </w:tc>
        <w:tc>
          <w:tcPr>
            <w:tcW w:w="3596" w:type="dxa"/>
          </w:tcPr>
          <w:p w14:paraId="251D7607" w14:textId="4E5D2780" w:rsidR="00345678" w:rsidRPr="001F151E" w:rsidRDefault="002866F3" w:rsidP="00B45892">
            <w:pPr>
              <w:pStyle w:val="T-number"/>
              <w:numPr>
                <w:ilvl w:val="0"/>
                <w:numId w:val="100"/>
              </w:numPr>
              <w:jc w:val="both"/>
            </w:pPr>
            <w:r w:rsidRPr="002866F3">
              <w:t>Develop/update Training of Trainers Program on new internal Audit Manual and GIAS</w:t>
            </w:r>
            <w:r w:rsidRPr="001F151E">
              <w:rPr>
                <w:vertAlign w:val="superscript"/>
              </w:rPr>
              <w:footnoteReference w:id="74"/>
            </w:r>
            <w:r w:rsidR="00345678" w:rsidRPr="001F151E">
              <w:t>.</w:t>
            </w:r>
          </w:p>
        </w:tc>
        <w:tc>
          <w:tcPr>
            <w:tcW w:w="790" w:type="dxa"/>
            <w:shd w:val="clear" w:color="auto" w:fill="auto"/>
            <w:vAlign w:val="center"/>
          </w:tcPr>
          <w:p w14:paraId="7645B911" w14:textId="4DC6CADB" w:rsidR="00345678" w:rsidRPr="001F151E" w:rsidRDefault="00345678" w:rsidP="00086262">
            <w:pPr>
              <w:jc w:val="center"/>
              <w:rPr>
                <w:sz w:val="16"/>
                <w:szCs w:val="16"/>
              </w:rPr>
            </w:pPr>
            <w:r w:rsidRPr="001F151E">
              <w:rPr>
                <w:sz w:val="16"/>
                <w:szCs w:val="16"/>
              </w:rPr>
              <w:t>Q1 202</w:t>
            </w:r>
            <w:r w:rsidR="002866F3">
              <w:rPr>
                <w:sz w:val="16"/>
                <w:szCs w:val="16"/>
              </w:rPr>
              <w:t>3</w:t>
            </w:r>
          </w:p>
        </w:tc>
        <w:tc>
          <w:tcPr>
            <w:tcW w:w="915" w:type="dxa"/>
            <w:shd w:val="clear" w:color="auto" w:fill="auto"/>
            <w:vAlign w:val="center"/>
          </w:tcPr>
          <w:p w14:paraId="6BD9A8CD" w14:textId="4CB90ED0" w:rsidR="00345678" w:rsidRPr="001F151E" w:rsidRDefault="00345678" w:rsidP="00086262">
            <w:pPr>
              <w:jc w:val="center"/>
              <w:rPr>
                <w:sz w:val="16"/>
                <w:szCs w:val="16"/>
              </w:rPr>
            </w:pPr>
            <w:r w:rsidRPr="001F151E">
              <w:rPr>
                <w:sz w:val="16"/>
                <w:szCs w:val="16"/>
              </w:rPr>
              <w:t>Q4 202</w:t>
            </w:r>
            <w:r w:rsidR="002866F3">
              <w:rPr>
                <w:sz w:val="16"/>
                <w:szCs w:val="16"/>
              </w:rPr>
              <w:t>6</w:t>
            </w:r>
          </w:p>
        </w:tc>
        <w:tc>
          <w:tcPr>
            <w:tcW w:w="1759" w:type="dxa"/>
            <w:vMerge/>
          </w:tcPr>
          <w:p w14:paraId="182DA268" w14:textId="77777777" w:rsidR="00345678" w:rsidRPr="001F151E" w:rsidRDefault="00345678" w:rsidP="00086262">
            <w:pPr>
              <w:rPr>
                <w:b/>
                <w:bCs/>
                <w:sz w:val="16"/>
                <w:szCs w:val="16"/>
              </w:rPr>
            </w:pPr>
          </w:p>
        </w:tc>
      </w:tr>
      <w:tr w:rsidR="00345678" w:rsidRPr="001F151E" w14:paraId="060119B2" w14:textId="77777777" w:rsidTr="00086262">
        <w:trPr>
          <w:trHeight w:val="20"/>
        </w:trPr>
        <w:tc>
          <w:tcPr>
            <w:tcW w:w="1956" w:type="dxa"/>
            <w:vMerge/>
            <w:shd w:val="clear" w:color="auto" w:fill="auto"/>
          </w:tcPr>
          <w:p w14:paraId="33F751C0" w14:textId="77777777" w:rsidR="00345678" w:rsidRPr="001F151E" w:rsidRDefault="00345678" w:rsidP="00086262">
            <w:pPr>
              <w:pStyle w:val="T-bold"/>
            </w:pPr>
          </w:p>
        </w:tc>
        <w:tc>
          <w:tcPr>
            <w:tcW w:w="3596" w:type="dxa"/>
          </w:tcPr>
          <w:p w14:paraId="3207FEF4" w14:textId="1B5193FF" w:rsidR="00345678" w:rsidRPr="001F151E" w:rsidRDefault="002866F3" w:rsidP="00B45892">
            <w:pPr>
              <w:pStyle w:val="T-number"/>
              <w:numPr>
                <w:ilvl w:val="0"/>
                <w:numId w:val="100"/>
              </w:numPr>
              <w:jc w:val="both"/>
            </w:pPr>
            <w:r w:rsidRPr="002866F3">
              <w:t>Strengthen compliance audit practices: develop/update guidelines and deliver training to Internal Auditors on audit reporting, formulating audit opinion on internal control systems and presenting recommendations in the management letter</w:t>
            </w:r>
            <w:r>
              <w:t>.</w:t>
            </w:r>
          </w:p>
        </w:tc>
        <w:tc>
          <w:tcPr>
            <w:tcW w:w="790" w:type="dxa"/>
            <w:shd w:val="clear" w:color="auto" w:fill="auto"/>
            <w:vAlign w:val="center"/>
          </w:tcPr>
          <w:p w14:paraId="77CCA610" w14:textId="50F0164C" w:rsidR="00345678" w:rsidRPr="001F151E" w:rsidRDefault="00345678" w:rsidP="00086262">
            <w:pPr>
              <w:jc w:val="center"/>
              <w:rPr>
                <w:sz w:val="16"/>
                <w:szCs w:val="16"/>
              </w:rPr>
            </w:pPr>
            <w:r w:rsidRPr="001F151E">
              <w:rPr>
                <w:sz w:val="16"/>
                <w:szCs w:val="16"/>
              </w:rPr>
              <w:t>Q1 202</w:t>
            </w:r>
            <w:r w:rsidR="002866F3">
              <w:rPr>
                <w:sz w:val="16"/>
                <w:szCs w:val="16"/>
              </w:rPr>
              <w:t>4</w:t>
            </w:r>
          </w:p>
        </w:tc>
        <w:tc>
          <w:tcPr>
            <w:tcW w:w="915" w:type="dxa"/>
            <w:shd w:val="clear" w:color="auto" w:fill="auto"/>
            <w:vAlign w:val="center"/>
          </w:tcPr>
          <w:p w14:paraId="010BA256" w14:textId="4393F29F" w:rsidR="00345678" w:rsidRPr="001F151E" w:rsidRDefault="00345678" w:rsidP="00086262">
            <w:pPr>
              <w:jc w:val="center"/>
              <w:rPr>
                <w:sz w:val="16"/>
                <w:szCs w:val="16"/>
              </w:rPr>
            </w:pPr>
            <w:r w:rsidRPr="001F151E">
              <w:rPr>
                <w:sz w:val="16"/>
                <w:szCs w:val="16"/>
              </w:rPr>
              <w:t>Q4 202</w:t>
            </w:r>
            <w:r w:rsidR="002866F3">
              <w:rPr>
                <w:sz w:val="16"/>
                <w:szCs w:val="16"/>
              </w:rPr>
              <w:t>5</w:t>
            </w:r>
          </w:p>
        </w:tc>
        <w:tc>
          <w:tcPr>
            <w:tcW w:w="1759" w:type="dxa"/>
            <w:vMerge/>
          </w:tcPr>
          <w:p w14:paraId="365F6DB9" w14:textId="77777777" w:rsidR="00345678" w:rsidRPr="001F151E" w:rsidRDefault="00345678" w:rsidP="00086262">
            <w:pPr>
              <w:rPr>
                <w:sz w:val="16"/>
                <w:szCs w:val="16"/>
              </w:rPr>
            </w:pPr>
          </w:p>
        </w:tc>
      </w:tr>
      <w:tr w:rsidR="00345678" w:rsidRPr="001F151E" w14:paraId="13CDC63A" w14:textId="77777777" w:rsidTr="00086262">
        <w:trPr>
          <w:trHeight w:val="20"/>
        </w:trPr>
        <w:tc>
          <w:tcPr>
            <w:tcW w:w="1956" w:type="dxa"/>
            <w:vMerge/>
            <w:shd w:val="clear" w:color="auto" w:fill="auto"/>
          </w:tcPr>
          <w:p w14:paraId="7343652D" w14:textId="77777777" w:rsidR="00345678" w:rsidRPr="001F151E" w:rsidRDefault="00345678" w:rsidP="00086262">
            <w:pPr>
              <w:pStyle w:val="T-bold"/>
            </w:pPr>
          </w:p>
        </w:tc>
        <w:tc>
          <w:tcPr>
            <w:tcW w:w="3596" w:type="dxa"/>
          </w:tcPr>
          <w:p w14:paraId="7B8D734B" w14:textId="4E2E55C6" w:rsidR="00345678" w:rsidRPr="001F151E" w:rsidRDefault="002866F3" w:rsidP="00B45892">
            <w:pPr>
              <w:pStyle w:val="T-number"/>
              <w:numPr>
                <w:ilvl w:val="0"/>
                <w:numId w:val="100"/>
              </w:numPr>
              <w:jc w:val="both"/>
            </w:pPr>
            <w:r w:rsidRPr="002866F3">
              <w:t>Develop guidelines and deliver training to Internal Auditors on risk-based audit approaches in connection to preventing, detecting or addressing irregularities, fraud and corruption.</w:t>
            </w:r>
          </w:p>
        </w:tc>
        <w:tc>
          <w:tcPr>
            <w:tcW w:w="790" w:type="dxa"/>
            <w:shd w:val="clear" w:color="auto" w:fill="auto"/>
            <w:vAlign w:val="center"/>
          </w:tcPr>
          <w:p w14:paraId="7C8CFF80" w14:textId="77777777" w:rsidR="00345678" w:rsidRPr="001F151E" w:rsidRDefault="00345678" w:rsidP="00086262">
            <w:pPr>
              <w:jc w:val="center"/>
              <w:rPr>
                <w:sz w:val="16"/>
                <w:szCs w:val="16"/>
              </w:rPr>
            </w:pPr>
            <w:r w:rsidRPr="001F151E">
              <w:rPr>
                <w:sz w:val="16"/>
                <w:szCs w:val="16"/>
              </w:rPr>
              <w:t>Q1 2024</w:t>
            </w:r>
          </w:p>
        </w:tc>
        <w:tc>
          <w:tcPr>
            <w:tcW w:w="915" w:type="dxa"/>
            <w:shd w:val="clear" w:color="auto" w:fill="auto"/>
            <w:vAlign w:val="center"/>
          </w:tcPr>
          <w:p w14:paraId="4832CA0F" w14:textId="77777777" w:rsidR="00345678" w:rsidRPr="001F151E" w:rsidRDefault="00345678" w:rsidP="00086262">
            <w:pPr>
              <w:jc w:val="center"/>
              <w:rPr>
                <w:sz w:val="16"/>
                <w:szCs w:val="16"/>
              </w:rPr>
            </w:pPr>
            <w:r w:rsidRPr="001F151E">
              <w:rPr>
                <w:sz w:val="16"/>
                <w:szCs w:val="16"/>
              </w:rPr>
              <w:t>Q4 2026</w:t>
            </w:r>
          </w:p>
        </w:tc>
        <w:tc>
          <w:tcPr>
            <w:tcW w:w="1759" w:type="dxa"/>
            <w:vMerge/>
          </w:tcPr>
          <w:p w14:paraId="5F7E8554" w14:textId="77777777" w:rsidR="00345678" w:rsidRPr="001F151E" w:rsidRDefault="00345678" w:rsidP="00086262">
            <w:pPr>
              <w:rPr>
                <w:sz w:val="16"/>
                <w:szCs w:val="16"/>
              </w:rPr>
            </w:pPr>
          </w:p>
        </w:tc>
      </w:tr>
    </w:tbl>
    <w:p w14:paraId="583A6953" w14:textId="77777777" w:rsidR="00345678" w:rsidRPr="001F151E" w:rsidRDefault="00345678" w:rsidP="00345678">
      <w:pPr>
        <w:pStyle w:val="H5"/>
        <w:rPr>
          <w:lang w:val="en-GB"/>
        </w:rPr>
      </w:pPr>
    </w:p>
    <w:p w14:paraId="53E76F37" w14:textId="77777777" w:rsidR="00345678" w:rsidRPr="001F151E" w:rsidRDefault="00345678" w:rsidP="00345678">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345678" w:rsidRPr="001F151E" w14:paraId="0090A42D" w14:textId="77777777" w:rsidTr="00086262">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A2778E" w14:textId="77777777" w:rsidR="00345678" w:rsidRPr="001F151E" w:rsidRDefault="00345678" w:rsidP="00086262">
            <w:pPr>
              <w:pStyle w:val="T-bold"/>
              <w:spacing w:line="200" w:lineRule="exact"/>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D175FA" w14:textId="77777777" w:rsidR="00345678" w:rsidRPr="001F151E" w:rsidRDefault="00345678" w:rsidP="00086262">
            <w:pPr>
              <w:pStyle w:val="T-bold"/>
              <w:spacing w:line="200" w:lineRule="exact"/>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7C72C" w14:textId="77777777" w:rsidR="00345678" w:rsidRPr="001F151E" w:rsidRDefault="00345678" w:rsidP="00086262">
            <w:pPr>
              <w:pStyle w:val="T-bold"/>
              <w:spacing w:line="200" w:lineRule="exact"/>
              <w:jc w:val="center"/>
            </w:pPr>
            <w:r w:rsidRPr="001F151E">
              <w:t>Target value</w:t>
            </w:r>
          </w:p>
        </w:tc>
      </w:tr>
      <w:tr w:rsidR="00345678" w:rsidRPr="001F151E" w14:paraId="4390438B" w14:textId="77777777" w:rsidTr="00086262">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7F706DF" w14:textId="77777777" w:rsidR="00345678" w:rsidRPr="001F151E" w:rsidRDefault="00345678" w:rsidP="00086262">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ACF7F83" w14:textId="77777777" w:rsidR="00345678" w:rsidRPr="001F151E" w:rsidRDefault="00345678" w:rsidP="00086262">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BBC7A" w14:textId="77777777" w:rsidR="00345678" w:rsidRPr="001F151E" w:rsidRDefault="00345678" w:rsidP="00086262">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5A5FC7" w14:textId="77777777" w:rsidR="00345678" w:rsidRPr="001F151E" w:rsidRDefault="00345678" w:rsidP="00086262">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90565" w14:textId="77777777" w:rsidR="00345678" w:rsidRPr="001F151E" w:rsidRDefault="00345678" w:rsidP="00086262">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0E50E" w14:textId="77777777" w:rsidR="00345678" w:rsidRPr="001F151E" w:rsidRDefault="00345678" w:rsidP="00086262">
            <w:pPr>
              <w:pStyle w:val="T-bold"/>
              <w:spacing w:line="200" w:lineRule="exact"/>
              <w:jc w:val="center"/>
            </w:pPr>
            <w:r w:rsidRPr="001F151E">
              <w:t>2026</w:t>
            </w:r>
          </w:p>
        </w:tc>
      </w:tr>
      <w:tr w:rsidR="00345678" w:rsidRPr="001F151E" w14:paraId="0BA4B949" w14:textId="77777777" w:rsidTr="00086262">
        <w:tc>
          <w:tcPr>
            <w:tcW w:w="3114" w:type="dxa"/>
            <w:tcBorders>
              <w:top w:val="single" w:sz="4" w:space="0" w:color="auto"/>
              <w:left w:val="single" w:sz="4" w:space="0" w:color="auto"/>
              <w:bottom w:val="single" w:sz="4" w:space="0" w:color="auto"/>
              <w:right w:val="single" w:sz="4" w:space="0" w:color="auto"/>
            </w:tcBorders>
          </w:tcPr>
          <w:p w14:paraId="107C1632" w14:textId="77777777" w:rsidR="00345678" w:rsidRPr="001F151E" w:rsidRDefault="00345678" w:rsidP="00B45892">
            <w:pPr>
              <w:pStyle w:val="ListParagraph"/>
              <w:numPr>
                <w:ilvl w:val="0"/>
                <w:numId w:val="43"/>
              </w:numPr>
              <w:spacing w:line="200" w:lineRule="exact"/>
              <w:rPr>
                <w:sz w:val="16"/>
                <w:szCs w:val="16"/>
              </w:rPr>
            </w:pPr>
            <w:r w:rsidRPr="001F151E">
              <w:rPr>
                <w:sz w:val="16"/>
                <w:szCs w:val="16"/>
              </w:rPr>
              <w:t>Percentage of public institutions that are covered by annual internal audits.</w:t>
            </w:r>
          </w:p>
        </w:tc>
        <w:tc>
          <w:tcPr>
            <w:tcW w:w="1180" w:type="dxa"/>
            <w:tcBorders>
              <w:top w:val="single" w:sz="4" w:space="0" w:color="auto"/>
              <w:left w:val="single" w:sz="4" w:space="0" w:color="auto"/>
              <w:bottom w:val="single" w:sz="4" w:space="0" w:color="auto"/>
              <w:right w:val="single" w:sz="4" w:space="0" w:color="auto"/>
            </w:tcBorders>
            <w:vAlign w:val="center"/>
          </w:tcPr>
          <w:p w14:paraId="036C48D2"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136</w:t>
            </w:r>
          </w:p>
        </w:tc>
        <w:tc>
          <w:tcPr>
            <w:tcW w:w="1181" w:type="dxa"/>
            <w:tcBorders>
              <w:top w:val="single" w:sz="4" w:space="0" w:color="auto"/>
              <w:left w:val="single" w:sz="4" w:space="0" w:color="auto"/>
              <w:bottom w:val="single" w:sz="4" w:space="0" w:color="auto"/>
              <w:right w:val="single" w:sz="4" w:space="0" w:color="auto"/>
            </w:tcBorders>
            <w:vAlign w:val="center"/>
          </w:tcPr>
          <w:p w14:paraId="6C324CCB"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138</w:t>
            </w:r>
          </w:p>
        </w:tc>
        <w:tc>
          <w:tcPr>
            <w:tcW w:w="1180" w:type="dxa"/>
            <w:tcBorders>
              <w:top w:val="single" w:sz="4" w:space="0" w:color="auto"/>
              <w:left w:val="single" w:sz="4" w:space="0" w:color="auto"/>
              <w:bottom w:val="single" w:sz="4" w:space="0" w:color="auto"/>
              <w:right w:val="single" w:sz="4" w:space="0" w:color="auto"/>
            </w:tcBorders>
            <w:vAlign w:val="center"/>
          </w:tcPr>
          <w:p w14:paraId="60B903E7"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34D78E02"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trend </w:t>
            </w:r>
          </w:p>
        </w:tc>
        <w:tc>
          <w:tcPr>
            <w:tcW w:w="1181" w:type="dxa"/>
            <w:tcBorders>
              <w:top w:val="single" w:sz="4" w:space="0" w:color="auto"/>
              <w:left w:val="single" w:sz="4" w:space="0" w:color="auto"/>
              <w:bottom w:val="single" w:sz="4" w:space="0" w:color="auto"/>
              <w:right w:val="single" w:sz="4" w:space="0" w:color="auto"/>
            </w:tcBorders>
            <w:vAlign w:val="center"/>
          </w:tcPr>
          <w:p w14:paraId="4C6FBB71"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7576BA49"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trend</w:t>
            </w:r>
          </w:p>
        </w:tc>
        <w:tc>
          <w:tcPr>
            <w:tcW w:w="1181" w:type="dxa"/>
            <w:tcBorders>
              <w:top w:val="single" w:sz="4" w:space="0" w:color="auto"/>
              <w:left w:val="single" w:sz="4" w:space="0" w:color="auto"/>
              <w:bottom w:val="single" w:sz="4" w:space="0" w:color="auto"/>
              <w:right w:val="single" w:sz="4" w:space="0" w:color="auto"/>
            </w:tcBorders>
            <w:vAlign w:val="center"/>
          </w:tcPr>
          <w:p w14:paraId="66D5735C"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25B77F8B"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trend</w:t>
            </w:r>
          </w:p>
        </w:tc>
      </w:tr>
      <w:tr w:rsidR="00345678" w:rsidRPr="001F151E" w14:paraId="33A4EDF5" w14:textId="77777777" w:rsidTr="00086262">
        <w:trPr>
          <w:trHeight w:val="21"/>
        </w:trPr>
        <w:tc>
          <w:tcPr>
            <w:tcW w:w="3114" w:type="dxa"/>
            <w:tcBorders>
              <w:top w:val="single" w:sz="4" w:space="0" w:color="auto"/>
              <w:left w:val="single" w:sz="4" w:space="0" w:color="auto"/>
              <w:bottom w:val="single" w:sz="4" w:space="0" w:color="auto"/>
              <w:right w:val="single" w:sz="4" w:space="0" w:color="auto"/>
            </w:tcBorders>
          </w:tcPr>
          <w:p w14:paraId="4964EB6D" w14:textId="77777777" w:rsidR="00345678" w:rsidRPr="001F151E" w:rsidRDefault="00345678" w:rsidP="00B45892">
            <w:pPr>
              <w:pStyle w:val="ListParagraph"/>
              <w:numPr>
                <w:ilvl w:val="0"/>
                <w:numId w:val="43"/>
              </w:numPr>
              <w:spacing w:line="200" w:lineRule="exact"/>
              <w:rPr>
                <w:sz w:val="16"/>
                <w:szCs w:val="16"/>
              </w:rPr>
            </w:pPr>
            <w:r w:rsidRPr="001F151E">
              <w:rPr>
                <w:sz w:val="16"/>
                <w:szCs w:val="16"/>
              </w:rPr>
              <w:t>Number of public institutions that have a functional audit committee.</w:t>
            </w:r>
          </w:p>
        </w:tc>
        <w:tc>
          <w:tcPr>
            <w:tcW w:w="1180" w:type="dxa"/>
            <w:tcBorders>
              <w:top w:val="single" w:sz="4" w:space="0" w:color="auto"/>
              <w:left w:val="single" w:sz="4" w:space="0" w:color="auto"/>
              <w:bottom w:val="single" w:sz="4" w:space="0" w:color="auto"/>
              <w:right w:val="single" w:sz="4" w:space="0" w:color="auto"/>
            </w:tcBorders>
            <w:vAlign w:val="center"/>
          </w:tcPr>
          <w:p w14:paraId="3FA8A07F"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6</w:t>
            </w:r>
          </w:p>
        </w:tc>
        <w:tc>
          <w:tcPr>
            <w:tcW w:w="1181" w:type="dxa"/>
            <w:tcBorders>
              <w:top w:val="single" w:sz="4" w:space="0" w:color="auto"/>
              <w:left w:val="single" w:sz="4" w:space="0" w:color="auto"/>
              <w:bottom w:val="single" w:sz="4" w:space="0" w:color="auto"/>
              <w:right w:val="single" w:sz="4" w:space="0" w:color="auto"/>
            </w:tcBorders>
            <w:vAlign w:val="center"/>
          </w:tcPr>
          <w:p w14:paraId="4321F131"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7</w:t>
            </w:r>
          </w:p>
        </w:tc>
        <w:tc>
          <w:tcPr>
            <w:tcW w:w="1180" w:type="dxa"/>
            <w:tcBorders>
              <w:top w:val="single" w:sz="4" w:space="0" w:color="auto"/>
              <w:left w:val="single" w:sz="4" w:space="0" w:color="auto"/>
              <w:bottom w:val="single" w:sz="4" w:space="0" w:color="auto"/>
              <w:right w:val="single" w:sz="4" w:space="0" w:color="auto"/>
            </w:tcBorders>
            <w:vAlign w:val="center"/>
          </w:tcPr>
          <w:p w14:paraId="082EC277"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04E704A9"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trend</w:t>
            </w:r>
          </w:p>
        </w:tc>
        <w:tc>
          <w:tcPr>
            <w:tcW w:w="1181" w:type="dxa"/>
            <w:tcBorders>
              <w:top w:val="single" w:sz="4" w:space="0" w:color="auto"/>
              <w:left w:val="single" w:sz="4" w:space="0" w:color="auto"/>
              <w:bottom w:val="single" w:sz="4" w:space="0" w:color="auto"/>
              <w:right w:val="single" w:sz="4" w:space="0" w:color="auto"/>
            </w:tcBorders>
            <w:vAlign w:val="center"/>
          </w:tcPr>
          <w:p w14:paraId="2DAA6811"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7D670F24"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trend</w:t>
            </w:r>
          </w:p>
        </w:tc>
        <w:tc>
          <w:tcPr>
            <w:tcW w:w="1181" w:type="dxa"/>
            <w:tcBorders>
              <w:top w:val="single" w:sz="4" w:space="0" w:color="auto"/>
              <w:left w:val="single" w:sz="4" w:space="0" w:color="auto"/>
              <w:bottom w:val="single" w:sz="4" w:space="0" w:color="auto"/>
              <w:right w:val="single" w:sz="4" w:space="0" w:color="auto"/>
            </w:tcBorders>
            <w:vAlign w:val="center"/>
          </w:tcPr>
          <w:p w14:paraId="75BCD667"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687A3735"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trend</w:t>
            </w:r>
          </w:p>
        </w:tc>
      </w:tr>
      <w:tr w:rsidR="00345678" w:rsidRPr="001F151E" w14:paraId="3D77F8B0" w14:textId="77777777" w:rsidTr="00086262">
        <w:tc>
          <w:tcPr>
            <w:tcW w:w="3114" w:type="dxa"/>
            <w:tcBorders>
              <w:top w:val="single" w:sz="4" w:space="0" w:color="auto"/>
              <w:left w:val="single" w:sz="4" w:space="0" w:color="auto"/>
              <w:bottom w:val="single" w:sz="4" w:space="0" w:color="auto"/>
              <w:right w:val="single" w:sz="4" w:space="0" w:color="auto"/>
            </w:tcBorders>
          </w:tcPr>
          <w:p w14:paraId="59499397" w14:textId="77777777" w:rsidR="00345678" w:rsidRPr="001F151E" w:rsidRDefault="00345678" w:rsidP="00B45892">
            <w:pPr>
              <w:pStyle w:val="ListParagraph"/>
              <w:numPr>
                <w:ilvl w:val="0"/>
                <w:numId w:val="43"/>
              </w:numPr>
              <w:spacing w:line="200" w:lineRule="exact"/>
              <w:rPr>
                <w:sz w:val="16"/>
                <w:szCs w:val="16"/>
              </w:rPr>
            </w:pPr>
            <w:r w:rsidRPr="001F151E">
              <w:rPr>
                <w:sz w:val="16"/>
                <w:szCs w:val="16"/>
              </w:rPr>
              <w:t>Percentage of active internal auditors that are fully certified.</w:t>
            </w:r>
          </w:p>
        </w:tc>
        <w:tc>
          <w:tcPr>
            <w:tcW w:w="1180" w:type="dxa"/>
            <w:tcBorders>
              <w:top w:val="single" w:sz="4" w:space="0" w:color="auto"/>
              <w:left w:val="single" w:sz="4" w:space="0" w:color="auto"/>
              <w:bottom w:val="single" w:sz="4" w:space="0" w:color="auto"/>
              <w:right w:val="single" w:sz="4" w:space="0" w:color="auto"/>
            </w:tcBorders>
            <w:vAlign w:val="center"/>
          </w:tcPr>
          <w:p w14:paraId="76AFDB8C"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80%</w:t>
            </w:r>
          </w:p>
        </w:tc>
        <w:tc>
          <w:tcPr>
            <w:tcW w:w="1181" w:type="dxa"/>
            <w:tcBorders>
              <w:top w:val="single" w:sz="4" w:space="0" w:color="auto"/>
              <w:left w:val="single" w:sz="4" w:space="0" w:color="auto"/>
              <w:bottom w:val="single" w:sz="4" w:space="0" w:color="auto"/>
              <w:right w:val="single" w:sz="4" w:space="0" w:color="auto"/>
            </w:tcBorders>
            <w:vAlign w:val="center"/>
          </w:tcPr>
          <w:p w14:paraId="538685F1" w14:textId="77777777" w:rsidR="00345678" w:rsidRPr="001F151E" w:rsidRDefault="00345678" w:rsidP="00086262">
            <w:pPr>
              <w:pStyle w:val="EcorysBody"/>
              <w:spacing w:line="200" w:lineRule="exact"/>
              <w:jc w:val="center"/>
              <w:rPr>
                <w:rFonts w:ascii="Arial Narrow" w:hAnsi="Arial Narrow" w:cs="Arial"/>
                <w:sz w:val="15"/>
                <w:szCs w:val="15"/>
              </w:rPr>
            </w:pPr>
            <w:r w:rsidRPr="001F151E">
              <w:rPr>
                <w:rFonts w:ascii="Arial" w:hAnsi="Arial" w:cs="Arial"/>
                <w:sz w:val="16"/>
                <w:szCs w:val="16"/>
              </w:rPr>
              <w:t>88%</w:t>
            </w:r>
          </w:p>
        </w:tc>
        <w:tc>
          <w:tcPr>
            <w:tcW w:w="1180" w:type="dxa"/>
            <w:tcBorders>
              <w:top w:val="single" w:sz="4" w:space="0" w:color="auto"/>
              <w:left w:val="single" w:sz="4" w:space="0" w:color="auto"/>
              <w:bottom w:val="single" w:sz="4" w:space="0" w:color="auto"/>
              <w:right w:val="single" w:sz="4" w:space="0" w:color="auto"/>
            </w:tcBorders>
            <w:vAlign w:val="center"/>
          </w:tcPr>
          <w:p w14:paraId="6ACD4098"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5F340373" w14:textId="77777777" w:rsidR="00345678" w:rsidRPr="001F151E" w:rsidRDefault="00345678" w:rsidP="00086262">
            <w:pPr>
              <w:pStyle w:val="EcorysBody"/>
              <w:spacing w:line="200" w:lineRule="exact"/>
              <w:jc w:val="center"/>
              <w:rPr>
                <w:rFonts w:ascii="Arial Narrow" w:hAnsi="Arial Narrow" w:cs="Arial"/>
                <w:sz w:val="15"/>
                <w:szCs w:val="15"/>
              </w:rPr>
            </w:pPr>
            <w:r w:rsidRPr="001F151E">
              <w:rPr>
                <w:rFonts w:ascii="Arial" w:hAnsi="Arial" w:cs="Arial"/>
                <w:sz w:val="16"/>
                <w:szCs w:val="16"/>
              </w:rPr>
              <w:t>trend</w:t>
            </w:r>
          </w:p>
        </w:tc>
        <w:tc>
          <w:tcPr>
            <w:tcW w:w="1181" w:type="dxa"/>
            <w:tcBorders>
              <w:top w:val="single" w:sz="4" w:space="0" w:color="auto"/>
              <w:left w:val="single" w:sz="4" w:space="0" w:color="auto"/>
              <w:bottom w:val="single" w:sz="4" w:space="0" w:color="auto"/>
              <w:right w:val="single" w:sz="4" w:space="0" w:color="auto"/>
            </w:tcBorders>
            <w:vAlign w:val="center"/>
          </w:tcPr>
          <w:p w14:paraId="697532E8"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502EF035" w14:textId="77777777" w:rsidR="00345678" w:rsidRPr="001F151E" w:rsidRDefault="00345678" w:rsidP="00086262">
            <w:pPr>
              <w:pStyle w:val="EcorysBody"/>
              <w:spacing w:line="200" w:lineRule="exact"/>
              <w:jc w:val="center"/>
              <w:rPr>
                <w:rFonts w:ascii="Arial Narrow" w:hAnsi="Arial Narrow" w:cs="Arial"/>
                <w:sz w:val="15"/>
                <w:szCs w:val="15"/>
              </w:rPr>
            </w:pPr>
            <w:r w:rsidRPr="001F151E">
              <w:rPr>
                <w:rFonts w:ascii="Arial" w:hAnsi="Arial" w:cs="Arial"/>
                <w:sz w:val="16"/>
                <w:szCs w:val="16"/>
              </w:rPr>
              <w:t>trend</w:t>
            </w:r>
          </w:p>
        </w:tc>
        <w:tc>
          <w:tcPr>
            <w:tcW w:w="1181" w:type="dxa"/>
            <w:tcBorders>
              <w:top w:val="single" w:sz="4" w:space="0" w:color="auto"/>
              <w:left w:val="single" w:sz="4" w:space="0" w:color="auto"/>
              <w:bottom w:val="single" w:sz="4" w:space="0" w:color="auto"/>
              <w:right w:val="single" w:sz="4" w:space="0" w:color="auto"/>
            </w:tcBorders>
            <w:vAlign w:val="center"/>
          </w:tcPr>
          <w:p w14:paraId="33C1F9BF"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3396DBB8"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trend</w:t>
            </w:r>
          </w:p>
        </w:tc>
      </w:tr>
      <w:tr w:rsidR="00345678" w:rsidRPr="001F151E" w14:paraId="5FA2BA5E" w14:textId="77777777" w:rsidTr="00086262">
        <w:tc>
          <w:tcPr>
            <w:tcW w:w="3114" w:type="dxa"/>
            <w:tcBorders>
              <w:top w:val="single" w:sz="4" w:space="0" w:color="auto"/>
              <w:left w:val="single" w:sz="4" w:space="0" w:color="auto"/>
              <w:bottom w:val="single" w:sz="4" w:space="0" w:color="auto"/>
              <w:right w:val="single" w:sz="4" w:space="0" w:color="auto"/>
            </w:tcBorders>
          </w:tcPr>
          <w:p w14:paraId="3E8C3F6B" w14:textId="77777777" w:rsidR="00345678" w:rsidRPr="001F151E" w:rsidRDefault="00345678" w:rsidP="00B45892">
            <w:pPr>
              <w:pStyle w:val="ListParagraph"/>
              <w:numPr>
                <w:ilvl w:val="0"/>
                <w:numId w:val="43"/>
              </w:numPr>
              <w:spacing w:line="200" w:lineRule="exact"/>
              <w:rPr>
                <w:sz w:val="16"/>
                <w:szCs w:val="16"/>
              </w:rPr>
            </w:pPr>
            <w:r w:rsidRPr="001F151E">
              <w:rPr>
                <w:sz w:val="16"/>
                <w:szCs w:val="16"/>
              </w:rPr>
              <w:t>Percentage of internal audit units that have established and implemented QAIPs in accordance with the applicable standards.</w:t>
            </w:r>
          </w:p>
        </w:tc>
        <w:tc>
          <w:tcPr>
            <w:tcW w:w="1180" w:type="dxa"/>
            <w:tcBorders>
              <w:top w:val="single" w:sz="4" w:space="0" w:color="auto"/>
              <w:left w:val="single" w:sz="4" w:space="0" w:color="auto"/>
              <w:bottom w:val="single" w:sz="4" w:space="0" w:color="auto"/>
              <w:right w:val="single" w:sz="4" w:space="0" w:color="auto"/>
            </w:tcBorders>
            <w:vAlign w:val="center"/>
          </w:tcPr>
          <w:p w14:paraId="2569D0A7"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52%</w:t>
            </w:r>
          </w:p>
        </w:tc>
        <w:tc>
          <w:tcPr>
            <w:tcW w:w="1181" w:type="dxa"/>
            <w:tcBorders>
              <w:top w:val="single" w:sz="4" w:space="0" w:color="auto"/>
              <w:left w:val="single" w:sz="4" w:space="0" w:color="auto"/>
              <w:bottom w:val="single" w:sz="4" w:space="0" w:color="auto"/>
              <w:right w:val="single" w:sz="4" w:space="0" w:color="auto"/>
            </w:tcBorders>
            <w:vAlign w:val="center"/>
          </w:tcPr>
          <w:p w14:paraId="677655E8"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71%</w:t>
            </w:r>
          </w:p>
        </w:tc>
        <w:tc>
          <w:tcPr>
            <w:tcW w:w="1180" w:type="dxa"/>
            <w:tcBorders>
              <w:top w:val="single" w:sz="4" w:space="0" w:color="auto"/>
              <w:left w:val="single" w:sz="4" w:space="0" w:color="auto"/>
              <w:bottom w:val="single" w:sz="4" w:space="0" w:color="auto"/>
              <w:right w:val="single" w:sz="4" w:space="0" w:color="auto"/>
            </w:tcBorders>
            <w:vAlign w:val="center"/>
          </w:tcPr>
          <w:p w14:paraId="41CA8ACF"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123C05C3"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trend</w:t>
            </w:r>
          </w:p>
        </w:tc>
        <w:tc>
          <w:tcPr>
            <w:tcW w:w="1181" w:type="dxa"/>
            <w:tcBorders>
              <w:top w:val="single" w:sz="4" w:space="0" w:color="auto"/>
              <w:left w:val="single" w:sz="4" w:space="0" w:color="auto"/>
              <w:bottom w:val="single" w:sz="4" w:space="0" w:color="auto"/>
              <w:right w:val="single" w:sz="4" w:space="0" w:color="auto"/>
            </w:tcBorders>
            <w:vAlign w:val="center"/>
          </w:tcPr>
          <w:p w14:paraId="23B5C629"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0F7FCED7"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trend</w:t>
            </w:r>
          </w:p>
        </w:tc>
        <w:tc>
          <w:tcPr>
            <w:tcW w:w="1181" w:type="dxa"/>
            <w:tcBorders>
              <w:top w:val="single" w:sz="4" w:space="0" w:color="auto"/>
              <w:left w:val="single" w:sz="4" w:space="0" w:color="auto"/>
              <w:bottom w:val="single" w:sz="4" w:space="0" w:color="auto"/>
              <w:right w:val="single" w:sz="4" w:space="0" w:color="auto"/>
            </w:tcBorders>
            <w:vAlign w:val="center"/>
          </w:tcPr>
          <w:p w14:paraId="352ECD92"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 xml:space="preserve">growing </w:t>
            </w:r>
          </w:p>
          <w:p w14:paraId="5F912E1B"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trend</w:t>
            </w:r>
          </w:p>
        </w:tc>
      </w:tr>
      <w:tr w:rsidR="00345678" w:rsidRPr="001F151E" w14:paraId="7C525DB8" w14:textId="77777777" w:rsidTr="00086262">
        <w:tc>
          <w:tcPr>
            <w:tcW w:w="3114" w:type="dxa"/>
            <w:tcBorders>
              <w:top w:val="single" w:sz="4" w:space="0" w:color="auto"/>
              <w:left w:val="single" w:sz="4" w:space="0" w:color="auto"/>
              <w:bottom w:val="single" w:sz="4" w:space="0" w:color="auto"/>
              <w:right w:val="single" w:sz="4" w:space="0" w:color="auto"/>
            </w:tcBorders>
          </w:tcPr>
          <w:p w14:paraId="00D48BF5" w14:textId="77777777" w:rsidR="00345678" w:rsidRPr="001F151E" w:rsidRDefault="00345678" w:rsidP="00B45892">
            <w:pPr>
              <w:pStyle w:val="ListParagraph"/>
              <w:numPr>
                <w:ilvl w:val="0"/>
                <w:numId w:val="43"/>
              </w:numPr>
              <w:spacing w:line="200" w:lineRule="exact"/>
              <w:rPr>
                <w:sz w:val="16"/>
                <w:szCs w:val="16"/>
              </w:rPr>
            </w:pPr>
            <w:r w:rsidRPr="001F151E">
              <w:rPr>
                <w:sz w:val="16"/>
                <w:szCs w:val="16"/>
              </w:rPr>
              <w:t xml:space="preserve">Percentage of internal auditors that comply with CPD requirements </w:t>
            </w:r>
          </w:p>
        </w:tc>
        <w:tc>
          <w:tcPr>
            <w:tcW w:w="1180" w:type="dxa"/>
            <w:tcBorders>
              <w:top w:val="single" w:sz="4" w:space="0" w:color="auto"/>
              <w:left w:val="single" w:sz="4" w:space="0" w:color="auto"/>
              <w:bottom w:val="single" w:sz="4" w:space="0" w:color="auto"/>
              <w:right w:val="single" w:sz="4" w:space="0" w:color="auto"/>
            </w:tcBorders>
            <w:vAlign w:val="center"/>
          </w:tcPr>
          <w:p w14:paraId="7509E761"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100%</w:t>
            </w:r>
          </w:p>
        </w:tc>
        <w:tc>
          <w:tcPr>
            <w:tcW w:w="1181" w:type="dxa"/>
            <w:tcBorders>
              <w:top w:val="single" w:sz="4" w:space="0" w:color="auto"/>
              <w:left w:val="single" w:sz="4" w:space="0" w:color="auto"/>
              <w:bottom w:val="single" w:sz="4" w:space="0" w:color="auto"/>
              <w:right w:val="single" w:sz="4" w:space="0" w:color="auto"/>
            </w:tcBorders>
            <w:vAlign w:val="center"/>
          </w:tcPr>
          <w:p w14:paraId="17FE68FB"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100%</w:t>
            </w:r>
          </w:p>
        </w:tc>
        <w:tc>
          <w:tcPr>
            <w:tcW w:w="1180" w:type="dxa"/>
            <w:tcBorders>
              <w:top w:val="single" w:sz="4" w:space="0" w:color="auto"/>
              <w:left w:val="single" w:sz="4" w:space="0" w:color="auto"/>
              <w:bottom w:val="single" w:sz="4" w:space="0" w:color="auto"/>
              <w:right w:val="single" w:sz="4" w:space="0" w:color="auto"/>
            </w:tcBorders>
            <w:vAlign w:val="center"/>
          </w:tcPr>
          <w:p w14:paraId="160E240D"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100%</w:t>
            </w:r>
          </w:p>
        </w:tc>
        <w:tc>
          <w:tcPr>
            <w:tcW w:w="1181" w:type="dxa"/>
            <w:tcBorders>
              <w:top w:val="single" w:sz="4" w:space="0" w:color="auto"/>
              <w:left w:val="single" w:sz="4" w:space="0" w:color="auto"/>
              <w:bottom w:val="single" w:sz="4" w:space="0" w:color="auto"/>
              <w:right w:val="single" w:sz="4" w:space="0" w:color="auto"/>
            </w:tcBorders>
            <w:vAlign w:val="center"/>
          </w:tcPr>
          <w:p w14:paraId="3789C969"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100%</w:t>
            </w:r>
          </w:p>
        </w:tc>
        <w:tc>
          <w:tcPr>
            <w:tcW w:w="1181" w:type="dxa"/>
            <w:tcBorders>
              <w:top w:val="single" w:sz="4" w:space="0" w:color="auto"/>
              <w:left w:val="single" w:sz="4" w:space="0" w:color="auto"/>
              <w:bottom w:val="single" w:sz="4" w:space="0" w:color="auto"/>
              <w:right w:val="single" w:sz="4" w:space="0" w:color="auto"/>
            </w:tcBorders>
            <w:vAlign w:val="center"/>
          </w:tcPr>
          <w:p w14:paraId="3C008DF2" w14:textId="77777777" w:rsidR="00345678" w:rsidRPr="001F151E" w:rsidRDefault="00345678" w:rsidP="00086262">
            <w:pPr>
              <w:pStyle w:val="EcorysBody"/>
              <w:spacing w:line="200" w:lineRule="exact"/>
              <w:jc w:val="center"/>
              <w:rPr>
                <w:rFonts w:ascii="Arial" w:hAnsi="Arial" w:cs="Arial"/>
                <w:sz w:val="16"/>
                <w:szCs w:val="16"/>
              </w:rPr>
            </w:pPr>
            <w:r w:rsidRPr="001F151E">
              <w:rPr>
                <w:rFonts w:ascii="Arial" w:hAnsi="Arial" w:cs="Arial"/>
                <w:sz w:val="16"/>
                <w:szCs w:val="16"/>
              </w:rPr>
              <w:t>100%</w:t>
            </w:r>
          </w:p>
        </w:tc>
      </w:tr>
    </w:tbl>
    <w:p w14:paraId="7EE24FC1" w14:textId="77777777" w:rsidR="00345678" w:rsidRPr="001F151E" w:rsidRDefault="00345678" w:rsidP="00345678">
      <w:pPr>
        <w:ind w:left="360" w:hanging="360"/>
        <w:rPr>
          <w:lang w:val="en-GB"/>
        </w:rPr>
      </w:pPr>
    </w:p>
    <w:p w14:paraId="4B1A9F51" w14:textId="77777777" w:rsidR="00345678" w:rsidRPr="001F151E" w:rsidRDefault="00345678" w:rsidP="00345678">
      <w:pPr>
        <w:rPr>
          <w:lang w:val="en-GB"/>
        </w:rPr>
      </w:pPr>
    </w:p>
    <w:p w14:paraId="575EB82C" w14:textId="77777777" w:rsidR="00345678" w:rsidRPr="001F151E" w:rsidRDefault="00345678" w:rsidP="00345678">
      <w:pPr>
        <w:pStyle w:val="Heading2"/>
        <w:rPr>
          <w:lang w:val="en-GB"/>
        </w:rPr>
      </w:pPr>
      <w:bookmarkStart w:id="66" w:name="_Toc150931564"/>
      <w:bookmarkStart w:id="67" w:name="_Toc163148037"/>
      <w:bookmarkStart w:id="68" w:name="_Toc150931565"/>
      <w:r w:rsidRPr="001F151E">
        <w:rPr>
          <w:lang w:val="en-GB"/>
        </w:rPr>
        <w:t xml:space="preserve">Component 5.3 </w:t>
      </w:r>
      <w:r>
        <w:rPr>
          <w:lang w:val="en-GB"/>
        </w:rPr>
        <w:t xml:space="preserve">Public </w:t>
      </w:r>
      <w:r w:rsidRPr="001F151E">
        <w:rPr>
          <w:lang w:val="en-GB"/>
        </w:rPr>
        <w:t>Financial Inspection and Anti-Fraud Coordination Services</w:t>
      </w:r>
      <w:bookmarkEnd w:id="66"/>
      <w:bookmarkEnd w:id="67"/>
    </w:p>
    <w:p w14:paraId="67CC5057" w14:textId="77777777" w:rsidR="00345678" w:rsidRPr="001F151E" w:rsidRDefault="00345678" w:rsidP="00345678">
      <w:pPr>
        <w:rPr>
          <w:lang w:val="en-GB"/>
        </w:rPr>
      </w:pPr>
    </w:p>
    <w:p w14:paraId="24330A13" w14:textId="77777777" w:rsidR="00345678" w:rsidRPr="00345678" w:rsidRDefault="00345678" w:rsidP="00345678">
      <w:pPr>
        <w:pStyle w:val="H5"/>
        <w:rPr>
          <w:rFonts w:ascii="Calibri" w:hAnsi="Calibri" w:cs="Times New Roman"/>
          <w:sz w:val="21"/>
          <w:szCs w:val="21"/>
          <w:lang w:val="en-GB"/>
        </w:rPr>
      </w:pPr>
      <w:r w:rsidRPr="00345678">
        <w:rPr>
          <w:lang w:val="en-GB"/>
        </w:rPr>
        <w:t>Objective</w:t>
      </w:r>
    </w:p>
    <w:p w14:paraId="55164707" w14:textId="77777777" w:rsidR="00345678" w:rsidRPr="001F151E" w:rsidRDefault="00345678" w:rsidP="00345678">
      <w:pPr>
        <w:spacing w:line="276" w:lineRule="auto"/>
        <w:jc w:val="both"/>
        <w:rPr>
          <w:rFonts w:eastAsia="Times New Roman"/>
          <w:lang w:val="en-GB" w:eastAsia="en-GB"/>
        </w:rPr>
      </w:pPr>
      <w:r w:rsidRPr="00345678">
        <w:rPr>
          <w:lang w:val="en-GB"/>
        </w:rPr>
        <w:t>The goal for 2030 is to have an effective Public Financial Inspection in order to (i) t</w:t>
      </w:r>
      <w:r w:rsidRPr="00345678">
        <w:rPr>
          <w:rFonts w:eastAsia="Times New Roman"/>
          <w:lang w:val="en-GB" w:eastAsia="en-GB"/>
        </w:rPr>
        <w:t>o guarantee the compliance with the law in using public funds and to provide assistance in improving public financial</w:t>
      </w:r>
      <w:r w:rsidRPr="001F151E">
        <w:rPr>
          <w:rFonts w:eastAsia="Times New Roman"/>
          <w:lang w:val="en-GB" w:eastAsia="en-GB"/>
        </w:rPr>
        <w:t xml:space="preserve"> management </w:t>
      </w:r>
      <w:r w:rsidRPr="001F151E">
        <w:rPr>
          <w:lang w:val="en-GB"/>
        </w:rPr>
        <w:t xml:space="preserve">in accordance with professional </w:t>
      </w:r>
      <w:r w:rsidRPr="001F151E">
        <w:rPr>
          <w:rFonts w:eastAsia="Times New Roman"/>
          <w:lang w:val="en-GB" w:eastAsia="en-GB"/>
        </w:rPr>
        <w:t xml:space="preserve">standards and (ii) </w:t>
      </w:r>
      <w:r w:rsidRPr="00D52A8D">
        <w:rPr>
          <w:rFonts w:eastAsia="Times New Roman"/>
          <w:lang w:val="en-GB" w:eastAsia="en-GB"/>
        </w:rPr>
        <w:t>to coordinate</w:t>
      </w:r>
      <w:r>
        <w:rPr>
          <w:rFonts w:eastAsia="Times New Roman"/>
          <w:lang w:val="en-GB" w:eastAsia="en-GB"/>
        </w:rPr>
        <w:t xml:space="preserve"> the drafting, adoption and</w:t>
      </w:r>
      <w:r w:rsidRPr="001F151E">
        <w:rPr>
          <w:rFonts w:eastAsia="Times New Roman"/>
          <w:lang w:val="en-GB" w:eastAsia="en-GB"/>
        </w:rPr>
        <w:t xml:space="preserve"> implement</w:t>
      </w:r>
      <w:r>
        <w:rPr>
          <w:rFonts w:eastAsia="Times New Roman"/>
          <w:lang w:val="en-GB" w:eastAsia="en-GB"/>
        </w:rPr>
        <w:t>ation</w:t>
      </w:r>
      <w:r w:rsidRPr="001F151E">
        <w:rPr>
          <w:rFonts w:eastAsia="Times New Roman"/>
          <w:lang w:val="en-GB" w:eastAsia="en-GB"/>
        </w:rPr>
        <w:t xml:space="preserve"> of the National Antifraud Strategy </w:t>
      </w:r>
      <w:r>
        <w:rPr>
          <w:rFonts w:eastAsia="Times New Roman"/>
          <w:lang w:val="en-GB" w:eastAsia="en-GB"/>
        </w:rPr>
        <w:t xml:space="preserve">to better protect </w:t>
      </w:r>
      <w:r w:rsidRPr="001F151E">
        <w:rPr>
          <w:rFonts w:eastAsia="Times New Roman"/>
          <w:lang w:val="en-GB" w:eastAsia="en-GB"/>
        </w:rPr>
        <w:t>the EU financial interests and</w:t>
      </w:r>
      <w:r>
        <w:rPr>
          <w:rFonts w:eastAsia="Times New Roman"/>
          <w:lang w:val="en-GB" w:eastAsia="en-GB"/>
        </w:rPr>
        <w:t xml:space="preserve"> to monitor and further strengthen</w:t>
      </w:r>
      <w:r w:rsidRPr="001F151E">
        <w:rPr>
          <w:rFonts w:eastAsia="Times New Roman"/>
          <w:lang w:val="en-GB" w:eastAsia="en-GB"/>
        </w:rPr>
        <w:t xml:space="preserve"> the AFCOS coordination role</w:t>
      </w:r>
      <w:r>
        <w:rPr>
          <w:rFonts w:eastAsia="Times New Roman"/>
          <w:lang w:val="en-GB" w:eastAsia="en-GB"/>
        </w:rPr>
        <w:t>.</w:t>
      </w:r>
    </w:p>
    <w:p w14:paraId="52AFC65C" w14:textId="77777777" w:rsidR="00345678" w:rsidRDefault="00345678" w:rsidP="00345678">
      <w:pPr>
        <w:spacing w:line="276" w:lineRule="auto"/>
        <w:jc w:val="both"/>
        <w:rPr>
          <w:lang w:val="en-GB"/>
        </w:rPr>
      </w:pPr>
    </w:p>
    <w:p w14:paraId="1C94027E" w14:textId="77777777" w:rsidR="00A2296F" w:rsidRPr="001F151E" w:rsidRDefault="00A2296F" w:rsidP="00345678">
      <w:pPr>
        <w:spacing w:line="276" w:lineRule="auto"/>
        <w:jc w:val="both"/>
        <w:rPr>
          <w:lang w:val="en-GB"/>
        </w:rPr>
      </w:pPr>
    </w:p>
    <w:p w14:paraId="3C59AA10" w14:textId="77777777" w:rsidR="00345678" w:rsidRPr="001F151E" w:rsidRDefault="00345678" w:rsidP="00345678">
      <w:pPr>
        <w:pStyle w:val="H5"/>
        <w:spacing w:line="276" w:lineRule="auto"/>
        <w:jc w:val="both"/>
        <w:rPr>
          <w:lang w:val="en-GB"/>
        </w:rPr>
      </w:pPr>
      <w:r w:rsidRPr="001F151E">
        <w:rPr>
          <w:lang w:val="en-GB"/>
        </w:rPr>
        <w:lastRenderedPageBreak/>
        <w:t xml:space="preserve">Context </w:t>
      </w:r>
    </w:p>
    <w:p w14:paraId="56DDFE34" w14:textId="2173516F" w:rsidR="00345678" w:rsidRPr="001F151E" w:rsidRDefault="00345678" w:rsidP="00345678">
      <w:pPr>
        <w:spacing w:line="276" w:lineRule="auto"/>
        <w:jc w:val="both"/>
        <w:rPr>
          <w:lang w:val="en-GB"/>
        </w:rPr>
      </w:pPr>
      <w:r w:rsidRPr="001F151E">
        <w:rPr>
          <w:lang w:val="en-GB"/>
        </w:rPr>
        <w:t xml:space="preserve">The Government is determined to provide a control system that will prevent fraud, </w:t>
      </w:r>
      <w:r w:rsidR="009F7AD1" w:rsidRPr="001F151E">
        <w:rPr>
          <w:lang w:val="en-GB"/>
        </w:rPr>
        <w:t>irregularities,</w:t>
      </w:r>
      <w:r w:rsidRPr="001F151E">
        <w:rPr>
          <w:lang w:val="en-GB"/>
        </w:rPr>
        <w:t xml:space="preserve"> and other types of financial mismanagement of public funds in the public sector entities. Since 2015, a new Law on Public Financial Inspection</w:t>
      </w:r>
      <w:r w:rsidRPr="001F151E">
        <w:rPr>
          <w:rStyle w:val="FootnoteReference"/>
          <w:lang w:val="en-GB"/>
        </w:rPr>
        <w:footnoteReference w:id="75"/>
      </w:r>
      <w:r w:rsidRPr="001F151E">
        <w:rPr>
          <w:lang w:val="en-GB"/>
        </w:rPr>
        <w:t xml:space="preserve"> and several sub-legal acts, regulations, </w:t>
      </w:r>
      <w:r w:rsidR="009F7AD1" w:rsidRPr="001F151E">
        <w:rPr>
          <w:lang w:val="en-GB"/>
        </w:rPr>
        <w:t>guidelines,</w:t>
      </w:r>
      <w:r w:rsidRPr="001F151E">
        <w:rPr>
          <w:lang w:val="en-GB"/>
        </w:rPr>
        <w:t xml:space="preserve"> and manuals were introduced. These legislative changes were accompanied with organisational changes such as the establishment of the Department of Public Financial Inspection (DPFI) as a standalone function within the </w:t>
      </w:r>
      <w:r w:rsidR="00A660B5">
        <w:rPr>
          <w:lang w:val="en-GB"/>
        </w:rPr>
        <w:t>MoF</w:t>
      </w:r>
      <w:r w:rsidRPr="001F151E">
        <w:rPr>
          <w:lang w:val="en-GB"/>
        </w:rPr>
        <w:t>. The PFI is an ex-post activity on the regularity of transactions and other activities of public financial management, performed under the responsibility of public units and individuals, in order to (i) define the violations to normative acts and verify the suspicions for any fraud committed; (ii) detect irregularities and damage caused to the property of public units; and (iii) Identify the responsible individuals for the violations committed and ask for indemnification, disciplinary or administrative measures to be taken, according to the level or type of responsibility. Multiple capacity building activities, including trainings, coaching and study tours have contributed to the enhanced professionalism of department staff.</w:t>
      </w:r>
      <w:r w:rsidRPr="00FC489E">
        <w:rPr>
          <w:color w:val="FF0000"/>
          <w:lang w:val="en-GB"/>
        </w:rPr>
        <w:t xml:space="preserve"> </w:t>
      </w:r>
      <w:r w:rsidRPr="001F151E">
        <w:rPr>
          <w:lang w:val="en-GB"/>
        </w:rPr>
        <w:t xml:space="preserve">Following EU recommendations and regulatory requirements, the National Anti-fraud Strategy for the protection of the EU financial interests shall be developed, adopted, </w:t>
      </w:r>
      <w:r w:rsidR="005F65F3" w:rsidRPr="001F151E">
        <w:rPr>
          <w:lang w:val="en-GB"/>
        </w:rPr>
        <w:t>implemented,</w:t>
      </w:r>
      <w:r w:rsidRPr="001F151E">
        <w:rPr>
          <w:lang w:val="en-GB"/>
        </w:rPr>
        <w:t xml:space="preserve"> </w:t>
      </w:r>
      <w:r w:rsidRPr="00D52A8D">
        <w:rPr>
          <w:lang w:val="en-GB"/>
        </w:rPr>
        <w:t>and monitored.</w:t>
      </w:r>
      <w:r w:rsidRPr="001F151E">
        <w:rPr>
          <w:lang w:val="en-GB"/>
        </w:rPr>
        <w:t xml:space="preserve"> </w:t>
      </w:r>
    </w:p>
    <w:p w14:paraId="1D6DFB4B" w14:textId="77777777" w:rsidR="00345678" w:rsidRPr="001F151E" w:rsidRDefault="00345678" w:rsidP="00345678">
      <w:pPr>
        <w:spacing w:line="276" w:lineRule="auto"/>
        <w:jc w:val="both"/>
        <w:rPr>
          <w:lang w:val="en-GB"/>
        </w:rPr>
      </w:pPr>
    </w:p>
    <w:p w14:paraId="1F4E1D07" w14:textId="77777777" w:rsidR="00345678" w:rsidRPr="001F151E" w:rsidRDefault="00345678" w:rsidP="00345678">
      <w:pPr>
        <w:pStyle w:val="H5"/>
        <w:spacing w:line="276" w:lineRule="auto"/>
        <w:jc w:val="both"/>
        <w:rPr>
          <w:lang w:val="en-GB"/>
        </w:rPr>
      </w:pPr>
      <w:r w:rsidRPr="001F151E">
        <w:rPr>
          <w:lang w:val="en-GB"/>
        </w:rPr>
        <w:t>Priorities</w:t>
      </w:r>
    </w:p>
    <w:p w14:paraId="12BC528A" w14:textId="77777777" w:rsidR="00345678" w:rsidRPr="001F151E" w:rsidRDefault="00345678" w:rsidP="00345678">
      <w:pPr>
        <w:spacing w:line="276" w:lineRule="auto"/>
        <w:jc w:val="both"/>
        <w:rPr>
          <w:lang w:val="en-GB"/>
        </w:rPr>
      </w:pPr>
      <w:r w:rsidRPr="00345678">
        <w:rPr>
          <w:lang w:val="en-GB"/>
        </w:rPr>
        <w:t>The priorities for the period 2023-2026 are:</w:t>
      </w:r>
      <w:r w:rsidRPr="001F151E">
        <w:rPr>
          <w:lang w:val="en-GB"/>
        </w:rPr>
        <w:t xml:space="preserve"> </w:t>
      </w:r>
    </w:p>
    <w:p w14:paraId="5DB72610" w14:textId="77777777" w:rsidR="00345678" w:rsidRPr="001F151E" w:rsidRDefault="00345678" w:rsidP="00345678">
      <w:pPr>
        <w:pStyle w:val="ListParagraph"/>
        <w:numPr>
          <w:ilvl w:val="0"/>
          <w:numId w:val="2"/>
        </w:numPr>
        <w:spacing w:line="276" w:lineRule="auto"/>
        <w:jc w:val="both"/>
        <w:rPr>
          <w:lang w:val="en-GB"/>
        </w:rPr>
      </w:pPr>
      <w:r w:rsidRPr="00DC0AEC">
        <w:rPr>
          <w:lang w:val="en-GB"/>
        </w:rPr>
        <w:t xml:space="preserve">Enhancing </w:t>
      </w:r>
      <w:r w:rsidRPr="00DC0AEC">
        <w:t>collaboration with Internal Audit and ALSAI</w:t>
      </w:r>
      <w:r w:rsidRPr="00DC0AEC">
        <w:rPr>
          <w:lang w:val="en-GB"/>
        </w:rPr>
        <w:t>.</w:t>
      </w:r>
    </w:p>
    <w:p w14:paraId="563C1AEA" w14:textId="64E5EF59" w:rsidR="00345678" w:rsidRPr="001F151E" w:rsidRDefault="00345678" w:rsidP="00345678">
      <w:pPr>
        <w:pStyle w:val="ListParagraph"/>
        <w:numPr>
          <w:ilvl w:val="0"/>
          <w:numId w:val="2"/>
        </w:numPr>
        <w:spacing w:line="276" w:lineRule="auto"/>
        <w:jc w:val="both"/>
        <w:rPr>
          <w:lang w:val="en-GB"/>
        </w:rPr>
      </w:pPr>
      <w:r w:rsidRPr="001F151E">
        <w:rPr>
          <w:lang w:val="en-GB"/>
        </w:rPr>
        <w:t xml:space="preserve">Strengthen the Coordinating role in drafting and </w:t>
      </w:r>
      <w:r w:rsidR="007D2B4E">
        <w:rPr>
          <w:lang w:val="en-GB"/>
        </w:rPr>
        <w:t>monitoring</w:t>
      </w:r>
      <w:r w:rsidRPr="001F151E">
        <w:rPr>
          <w:lang w:val="en-GB"/>
        </w:rPr>
        <w:t xml:space="preserve"> of a National Anti-fraud Strategy for the protection of the EU financial interests.</w:t>
      </w:r>
    </w:p>
    <w:p w14:paraId="5AE15A73" w14:textId="77777777" w:rsidR="00345678" w:rsidRPr="001F151E" w:rsidRDefault="00345678" w:rsidP="00345678">
      <w:pPr>
        <w:rPr>
          <w:lang w:val="en-GB"/>
        </w:rPr>
      </w:pPr>
    </w:p>
    <w:p w14:paraId="1257C6A5" w14:textId="77777777" w:rsidR="00345678" w:rsidRPr="001F151E" w:rsidRDefault="00345678" w:rsidP="00345678">
      <w:pPr>
        <w:pStyle w:val="H5"/>
        <w:rPr>
          <w:lang w:val="en-GB"/>
        </w:rPr>
      </w:pPr>
      <w:r w:rsidRPr="001F151E">
        <w:rPr>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80"/>
        <w:gridCol w:w="3659"/>
        <w:gridCol w:w="798"/>
        <w:gridCol w:w="798"/>
        <w:gridCol w:w="1781"/>
      </w:tblGrid>
      <w:tr w:rsidR="00345678" w:rsidRPr="001F151E" w14:paraId="13E48E90" w14:textId="77777777" w:rsidTr="00086262">
        <w:trPr>
          <w:cantSplit/>
          <w:trHeight w:val="20"/>
          <w:tblHeader/>
        </w:trPr>
        <w:tc>
          <w:tcPr>
            <w:tcW w:w="1980" w:type="dxa"/>
            <w:shd w:val="clear" w:color="auto" w:fill="D9D9D9" w:themeFill="background1" w:themeFillShade="D9"/>
          </w:tcPr>
          <w:p w14:paraId="4C6C6BC0" w14:textId="77777777" w:rsidR="00345678" w:rsidRPr="001F151E" w:rsidRDefault="00345678" w:rsidP="00086262">
            <w:pPr>
              <w:pStyle w:val="T-bold"/>
            </w:pPr>
            <w:r w:rsidRPr="001F151E">
              <w:t>Measure</w:t>
            </w:r>
          </w:p>
        </w:tc>
        <w:tc>
          <w:tcPr>
            <w:tcW w:w="3659" w:type="dxa"/>
            <w:shd w:val="clear" w:color="auto" w:fill="D9D9D9" w:themeFill="background1" w:themeFillShade="D9"/>
          </w:tcPr>
          <w:p w14:paraId="766E8D59" w14:textId="77777777" w:rsidR="00345678" w:rsidRPr="001F151E" w:rsidRDefault="00345678" w:rsidP="00086262">
            <w:pPr>
              <w:pStyle w:val="T-bold"/>
            </w:pPr>
            <w:r w:rsidRPr="001F151E">
              <w:t>Activity</w:t>
            </w:r>
          </w:p>
        </w:tc>
        <w:tc>
          <w:tcPr>
            <w:tcW w:w="798" w:type="dxa"/>
            <w:shd w:val="clear" w:color="auto" w:fill="D9D9D9" w:themeFill="background1" w:themeFillShade="D9"/>
          </w:tcPr>
          <w:p w14:paraId="0A317F0E" w14:textId="77777777" w:rsidR="00345678" w:rsidRPr="001F151E" w:rsidRDefault="00345678" w:rsidP="00086262">
            <w:pPr>
              <w:pStyle w:val="T-bold"/>
              <w:jc w:val="center"/>
            </w:pPr>
            <w:r w:rsidRPr="001F151E">
              <w:t>Start</w:t>
            </w:r>
          </w:p>
        </w:tc>
        <w:tc>
          <w:tcPr>
            <w:tcW w:w="798" w:type="dxa"/>
            <w:shd w:val="clear" w:color="auto" w:fill="D9D9D9" w:themeFill="background1" w:themeFillShade="D9"/>
          </w:tcPr>
          <w:p w14:paraId="27E3E8F8" w14:textId="77777777" w:rsidR="00345678" w:rsidRPr="001F151E" w:rsidRDefault="00345678" w:rsidP="00086262">
            <w:pPr>
              <w:pStyle w:val="T-bold"/>
              <w:jc w:val="center"/>
            </w:pPr>
            <w:r w:rsidRPr="001F151E">
              <w:t>End</w:t>
            </w:r>
          </w:p>
        </w:tc>
        <w:tc>
          <w:tcPr>
            <w:tcW w:w="1781" w:type="dxa"/>
            <w:shd w:val="clear" w:color="auto" w:fill="D9D9D9" w:themeFill="background1" w:themeFillShade="D9"/>
          </w:tcPr>
          <w:p w14:paraId="6D6D445D" w14:textId="77777777" w:rsidR="00345678" w:rsidRPr="001F151E" w:rsidRDefault="00345678" w:rsidP="00086262">
            <w:pPr>
              <w:pStyle w:val="T-bold"/>
            </w:pPr>
            <w:r w:rsidRPr="001F151E">
              <w:t>Stakeholders</w:t>
            </w:r>
          </w:p>
        </w:tc>
      </w:tr>
      <w:tr w:rsidR="00345678" w:rsidRPr="001F151E" w14:paraId="0D90F4EA" w14:textId="77777777" w:rsidTr="00086262">
        <w:trPr>
          <w:trHeight w:val="20"/>
        </w:trPr>
        <w:tc>
          <w:tcPr>
            <w:tcW w:w="1980" w:type="dxa"/>
            <w:shd w:val="clear" w:color="auto" w:fill="auto"/>
            <w:vAlign w:val="center"/>
          </w:tcPr>
          <w:p w14:paraId="423DD7A5" w14:textId="77777777" w:rsidR="00345678" w:rsidRPr="00DC0AEC" w:rsidRDefault="00345678" w:rsidP="00086262">
            <w:pPr>
              <w:pStyle w:val="T-bold"/>
            </w:pPr>
            <w:r w:rsidRPr="00DC0AEC">
              <w:t>Measure 5.3.1 Enhance collaboration with Internal Audit and ALSAI</w:t>
            </w:r>
          </w:p>
        </w:tc>
        <w:tc>
          <w:tcPr>
            <w:tcW w:w="3659" w:type="dxa"/>
            <w:vAlign w:val="center"/>
          </w:tcPr>
          <w:p w14:paraId="5986AAA8" w14:textId="3F43D57E" w:rsidR="00345678" w:rsidRPr="00DC0AEC" w:rsidRDefault="00345678" w:rsidP="00B45892">
            <w:pPr>
              <w:pStyle w:val="T-number"/>
              <w:numPr>
                <w:ilvl w:val="0"/>
                <w:numId w:val="101"/>
              </w:numPr>
              <w:jc w:val="both"/>
            </w:pPr>
            <w:r w:rsidRPr="00DC0AEC">
              <w:t>Implement MoU between the Financial Inspection, ALSAI and Internal audit</w:t>
            </w:r>
            <w:r w:rsidR="00252CDC">
              <w:t>.</w:t>
            </w:r>
          </w:p>
        </w:tc>
        <w:tc>
          <w:tcPr>
            <w:tcW w:w="798" w:type="dxa"/>
            <w:vAlign w:val="center"/>
          </w:tcPr>
          <w:p w14:paraId="1E4DE772" w14:textId="77777777" w:rsidR="00345678" w:rsidRPr="001F151E" w:rsidRDefault="00345678" w:rsidP="00086262">
            <w:pPr>
              <w:jc w:val="center"/>
              <w:rPr>
                <w:sz w:val="16"/>
                <w:szCs w:val="16"/>
              </w:rPr>
            </w:pPr>
            <w:r w:rsidRPr="001F151E">
              <w:rPr>
                <w:sz w:val="16"/>
                <w:szCs w:val="16"/>
              </w:rPr>
              <w:t>Q1 2024</w:t>
            </w:r>
          </w:p>
        </w:tc>
        <w:tc>
          <w:tcPr>
            <w:tcW w:w="798" w:type="dxa"/>
            <w:vAlign w:val="center"/>
          </w:tcPr>
          <w:p w14:paraId="2DB4AFEC" w14:textId="77777777" w:rsidR="00345678" w:rsidRPr="001F151E" w:rsidRDefault="00345678" w:rsidP="00086262">
            <w:pPr>
              <w:jc w:val="center"/>
              <w:rPr>
                <w:sz w:val="16"/>
                <w:szCs w:val="16"/>
              </w:rPr>
            </w:pPr>
            <w:r w:rsidRPr="001F151E">
              <w:rPr>
                <w:sz w:val="16"/>
                <w:szCs w:val="16"/>
              </w:rPr>
              <w:t>Q4 202</w:t>
            </w:r>
            <w:r>
              <w:rPr>
                <w:sz w:val="16"/>
                <w:szCs w:val="16"/>
              </w:rPr>
              <w:t>6</w:t>
            </w:r>
          </w:p>
        </w:tc>
        <w:tc>
          <w:tcPr>
            <w:tcW w:w="1781" w:type="dxa"/>
          </w:tcPr>
          <w:p w14:paraId="07CDAA5C" w14:textId="77777777" w:rsidR="00345678" w:rsidRPr="001F151E" w:rsidRDefault="00345678" w:rsidP="00086262">
            <w:pPr>
              <w:rPr>
                <w:b/>
                <w:bCs/>
                <w:sz w:val="16"/>
                <w:szCs w:val="16"/>
              </w:rPr>
            </w:pPr>
            <w:r w:rsidRPr="001F151E">
              <w:rPr>
                <w:b/>
                <w:bCs/>
                <w:sz w:val="16"/>
                <w:szCs w:val="16"/>
              </w:rPr>
              <w:t>Responsible entity:</w:t>
            </w:r>
          </w:p>
          <w:p w14:paraId="780D32AE"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DPFI (lead).</w:t>
            </w:r>
          </w:p>
          <w:p w14:paraId="2D5E444F" w14:textId="77777777" w:rsidR="00345678" w:rsidRPr="001F151E" w:rsidRDefault="00345678" w:rsidP="00086262">
            <w:pPr>
              <w:pStyle w:val="EcorysBody"/>
              <w:rPr>
                <w:rFonts w:ascii="Arial" w:hAnsi="Arial" w:cs="Arial"/>
                <w:b/>
                <w:bCs/>
                <w:sz w:val="8"/>
                <w:szCs w:val="8"/>
              </w:rPr>
            </w:pPr>
          </w:p>
          <w:p w14:paraId="146F515C" w14:textId="77777777" w:rsidR="00345678" w:rsidRPr="001F151E" w:rsidRDefault="00345678" w:rsidP="00086262">
            <w:pPr>
              <w:pStyle w:val="EcorysBody"/>
              <w:rPr>
                <w:sz w:val="16"/>
                <w:szCs w:val="16"/>
              </w:rPr>
            </w:pPr>
          </w:p>
        </w:tc>
      </w:tr>
      <w:tr w:rsidR="00345678" w:rsidRPr="001F151E" w14:paraId="4150C53B" w14:textId="77777777" w:rsidTr="00086262">
        <w:trPr>
          <w:trHeight w:val="20"/>
        </w:trPr>
        <w:tc>
          <w:tcPr>
            <w:tcW w:w="1980" w:type="dxa"/>
            <w:vMerge w:val="restart"/>
            <w:shd w:val="clear" w:color="auto" w:fill="auto"/>
          </w:tcPr>
          <w:p w14:paraId="0D107B38" w14:textId="6D968067" w:rsidR="00345678" w:rsidRPr="00DC0AEC" w:rsidRDefault="00345678" w:rsidP="00086262">
            <w:pPr>
              <w:pStyle w:val="T-bold"/>
            </w:pPr>
            <w:r w:rsidRPr="00DC0AEC">
              <w:t xml:space="preserve">Measure 5.3.2 Coordinate the drafting and </w:t>
            </w:r>
            <w:r w:rsidR="00252CDC">
              <w:t>monitoring</w:t>
            </w:r>
            <w:r w:rsidRPr="00DC0AEC">
              <w:t xml:space="preserve"> of the National Anti-fraud Strategy for the protection of the EU financial interests</w:t>
            </w:r>
          </w:p>
        </w:tc>
        <w:tc>
          <w:tcPr>
            <w:tcW w:w="3659" w:type="dxa"/>
          </w:tcPr>
          <w:p w14:paraId="4C53CE63" w14:textId="286224B5" w:rsidR="00345678" w:rsidRPr="00DC0AEC" w:rsidRDefault="00345678" w:rsidP="00B45892">
            <w:pPr>
              <w:pStyle w:val="T-number"/>
              <w:numPr>
                <w:ilvl w:val="0"/>
                <w:numId w:val="102"/>
              </w:numPr>
              <w:jc w:val="both"/>
            </w:pPr>
            <w:r w:rsidRPr="00DC0AEC">
              <w:t>Coordinate the drafting of the National Anti-fraud strategy for the protection of the EU financial interests</w:t>
            </w:r>
            <w:r w:rsidR="00252CDC">
              <w:t>.</w:t>
            </w:r>
          </w:p>
        </w:tc>
        <w:tc>
          <w:tcPr>
            <w:tcW w:w="798" w:type="dxa"/>
            <w:vAlign w:val="center"/>
          </w:tcPr>
          <w:p w14:paraId="46218AE6" w14:textId="77777777" w:rsidR="00345678" w:rsidRPr="001F151E" w:rsidRDefault="00345678" w:rsidP="00086262">
            <w:pPr>
              <w:jc w:val="center"/>
              <w:rPr>
                <w:sz w:val="16"/>
                <w:szCs w:val="16"/>
              </w:rPr>
            </w:pPr>
            <w:r w:rsidRPr="001F151E">
              <w:rPr>
                <w:sz w:val="16"/>
                <w:szCs w:val="16"/>
              </w:rPr>
              <w:t>Q4 2023</w:t>
            </w:r>
          </w:p>
        </w:tc>
        <w:tc>
          <w:tcPr>
            <w:tcW w:w="798" w:type="dxa"/>
            <w:vAlign w:val="center"/>
          </w:tcPr>
          <w:p w14:paraId="0FDA78B8" w14:textId="561CCF97" w:rsidR="00345678" w:rsidRPr="001F151E" w:rsidRDefault="00345678" w:rsidP="00086262">
            <w:pPr>
              <w:jc w:val="center"/>
              <w:rPr>
                <w:sz w:val="16"/>
                <w:szCs w:val="16"/>
              </w:rPr>
            </w:pPr>
            <w:r w:rsidRPr="001F151E">
              <w:rPr>
                <w:sz w:val="16"/>
                <w:szCs w:val="16"/>
              </w:rPr>
              <w:t>Q</w:t>
            </w:r>
            <w:r w:rsidR="00AE4A70">
              <w:rPr>
                <w:sz w:val="16"/>
                <w:szCs w:val="16"/>
              </w:rPr>
              <w:t>4</w:t>
            </w:r>
            <w:r w:rsidRPr="001F151E">
              <w:rPr>
                <w:sz w:val="16"/>
                <w:szCs w:val="16"/>
              </w:rPr>
              <w:t xml:space="preserve"> 2024</w:t>
            </w:r>
          </w:p>
        </w:tc>
        <w:tc>
          <w:tcPr>
            <w:tcW w:w="1781" w:type="dxa"/>
            <w:vMerge w:val="restart"/>
          </w:tcPr>
          <w:p w14:paraId="4B55D22E" w14:textId="77777777" w:rsidR="00345678" w:rsidRPr="001F151E" w:rsidRDefault="00345678" w:rsidP="00086262">
            <w:pPr>
              <w:rPr>
                <w:b/>
                <w:bCs/>
                <w:sz w:val="16"/>
                <w:szCs w:val="16"/>
              </w:rPr>
            </w:pPr>
            <w:r w:rsidRPr="001F151E">
              <w:rPr>
                <w:b/>
                <w:bCs/>
                <w:sz w:val="16"/>
                <w:szCs w:val="16"/>
              </w:rPr>
              <w:t>Responsible entity:</w:t>
            </w:r>
          </w:p>
          <w:p w14:paraId="366D166A"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DPFI (lead).</w:t>
            </w:r>
          </w:p>
          <w:p w14:paraId="1201A2F9" w14:textId="77777777" w:rsidR="00345678" w:rsidRPr="001F151E" w:rsidRDefault="00345678" w:rsidP="00086262">
            <w:pPr>
              <w:pStyle w:val="EcorysBody"/>
              <w:rPr>
                <w:rFonts w:ascii="Arial" w:hAnsi="Arial" w:cs="Arial"/>
                <w:b/>
                <w:bCs/>
                <w:sz w:val="8"/>
                <w:szCs w:val="8"/>
              </w:rPr>
            </w:pPr>
          </w:p>
          <w:p w14:paraId="63D5E25A"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Partners:</w:t>
            </w:r>
          </w:p>
          <w:p w14:paraId="1F5983DE"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EU, SIGMA.</w:t>
            </w:r>
            <w:r w:rsidRPr="001F151E">
              <w:rPr>
                <w:rStyle w:val="FootnoteReference"/>
                <w:sz w:val="16"/>
                <w:szCs w:val="16"/>
              </w:rPr>
              <w:footnoteReference w:id="76"/>
            </w:r>
          </w:p>
          <w:p w14:paraId="4824A813" w14:textId="77777777" w:rsidR="00345678" w:rsidRPr="001F151E" w:rsidRDefault="00345678" w:rsidP="00086262">
            <w:pPr>
              <w:rPr>
                <w:sz w:val="16"/>
                <w:szCs w:val="16"/>
              </w:rPr>
            </w:pPr>
          </w:p>
        </w:tc>
      </w:tr>
      <w:tr w:rsidR="00345678" w:rsidRPr="001F151E" w14:paraId="607EBA6C" w14:textId="77777777" w:rsidTr="00086262">
        <w:trPr>
          <w:trHeight w:val="566"/>
        </w:trPr>
        <w:tc>
          <w:tcPr>
            <w:tcW w:w="1980" w:type="dxa"/>
            <w:vMerge/>
            <w:shd w:val="clear" w:color="auto" w:fill="auto"/>
          </w:tcPr>
          <w:p w14:paraId="52AB4A97" w14:textId="77777777" w:rsidR="00345678" w:rsidRPr="001F151E" w:rsidRDefault="00345678" w:rsidP="00086262">
            <w:pPr>
              <w:pStyle w:val="T-bold"/>
            </w:pPr>
          </w:p>
        </w:tc>
        <w:tc>
          <w:tcPr>
            <w:tcW w:w="3659" w:type="dxa"/>
          </w:tcPr>
          <w:p w14:paraId="10595AC0" w14:textId="61C92C57" w:rsidR="00345678" w:rsidRPr="001F151E" w:rsidRDefault="00345678" w:rsidP="00B45892">
            <w:pPr>
              <w:pStyle w:val="T-number"/>
              <w:numPr>
                <w:ilvl w:val="0"/>
                <w:numId w:val="102"/>
              </w:numPr>
              <w:jc w:val="both"/>
            </w:pPr>
            <w:r w:rsidRPr="00345678">
              <w:t>Monitor and report on the implementation of the National Anti-fraud strategy.</w:t>
            </w:r>
          </w:p>
        </w:tc>
        <w:tc>
          <w:tcPr>
            <w:tcW w:w="798" w:type="dxa"/>
            <w:vAlign w:val="center"/>
          </w:tcPr>
          <w:p w14:paraId="4EFB2DB3" w14:textId="0C61E54E" w:rsidR="00345678" w:rsidRPr="001F151E" w:rsidRDefault="00345678" w:rsidP="00086262">
            <w:pPr>
              <w:jc w:val="center"/>
              <w:rPr>
                <w:sz w:val="16"/>
                <w:szCs w:val="16"/>
              </w:rPr>
            </w:pPr>
            <w:r w:rsidRPr="001F151E">
              <w:rPr>
                <w:sz w:val="16"/>
                <w:szCs w:val="16"/>
              </w:rPr>
              <w:t>Q1 202</w:t>
            </w:r>
            <w:r w:rsidR="00AE4A70">
              <w:rPr>
                <w:sz w:val="16"/>
                <w:szCs w:val="16"/>
              </w:rPr>
              <w:t>5</w:t>
            </w:r>
            <w:r w:rsidRPr="001F151E">
              <w:rPr>
                <w:sz w:val="16"/>
                <w:szCs w:val="16"/>
              </w:rPr>
              <w:t xml:space="preserve"> </w:t>
            </w:r>
          </w:p>
        </w:tc>
        <w:tc>
          <w:tcPr>
            <w:tcW w:w="798" w:type="dxa"/>
            <w:vAlign w:val="center"/>
          </w:tcPr>
          <w:p w14:paraId="1514FD7A" w14:textId="77777777" w:rsidR="00345678" w:rsidRPr="001F151E" w:rsidRDefault="00345678" w:rsidP="00086262">
            <w:pPr>
              <w:jc w:val="center"/>
              <w:rPr>
                <w:sz w:val="16"/>
                <w:szCs w:val="16"/>
              </w:rPr>
            </w:pPr>
            <w:r w:rsidRPr="001F151E">
              <w:rPr>
                <w:sz w:val="16"/>
                <w:szCs w:val="16"/>
              </w:rPr>
              <w:t>Q4 2026</w:t>
            </w:r>
          </w:p>
        </w:tc>
        <w:tc>
          <w:tcPr>
            <w:tcW w:w="1781" w:type="dxa"/>
            <w:vMerge/>
          </w:tcPr>
          <w:p w14:paraId="614CF5CE" w14:textId="77777777" w:rsidR="00345678" w:rsidRPr="001F151E" w:rsidRDefault="00345678" w:rsidP="00086262">
            <w:pPr>
              <w:rPr>
                <w:sz w:val="16"/>
                <w:szCs w:val="16"/>
              </w:rPr>
            </w:pPr>
          </w:p>
        </w:tc>
      </w:tr>
    </w:tbl>
    <w:p w14:paraId="78C2B239" w14:textId="77777777" w:rsidR="00345678" w:rsidRPr="001F151E" w:rsidRDefault="00345678" w:rsidP="00345678">
      <w:pPr>
        <w:pStyle w:val="H5"/>
        <w:rPr>
          <w:lang w:val="en-GB"/>
        </w:rPr>
      </w:pPr>
    </w:p>
    <w:p w14:paraId="603C319C" w14:textId="77777777" w:rsidR="00345678" w:rsidRPr="001F151E" w:rsidRDefault="00345678" w:rsidP="00345678">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345678" w:rsidRPr="001F151E" w14:paraId="340C9A5A" w14:textId="77777777" w:rsidTr="00086262">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482616" w14:textId="77777777" w:rsidR="00345678" w:rsidRPr="001F151E" w:rsidRDefault="00345678" w:rsidP="00086262">
            <w:pPr>
              <w:pStyle w:val="T-bold"/>
              <w:spacing w:line="200" w:lineRule="exact"/>
            </w:pPr>
            <w:r>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9C97F" w14:textId="77777777" w:rsidR="00345678" w:rsidRPr="001F151E" w:rsidRDefault="00345678" w:rsidP="00086262">
            <w:pPr>
              <w:pStyle w:val="T-bold"/>
              <w:spacing w:line="200" w:lineRule="exact"/>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E3ED20" w14:textId="77777777" w:rsidR="00345678" w:rsidRPr="001F151E" w:rsidRDefault="00345678" w:rsidP="00086262">
            <w:pPr>
              <w:pStyle w:val="T-bold"/>
              <w:spacing w:line="200" w:lineRule="exact"/>
              <w:jc w:val="center"/>
            </w:pPr>
            <w:r w:rsidRPr="001F151E">
              <w:t>Target value</w:t>
            </w:r>
          </w:p>
        </w:tc>
      </w:tr>
      <w:tr w:rsidR="00345678" w:rsidRPr="001F151E" w14:paraId="04BEF13C" w14:textId="77777777" w:rsidTr="00086262">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628A2B3C" w14:textId="77777777" w:rsidR="00345678" w:rsidRPr="001F151E" w:rsidRDefault="00345678" w:rsidP="00086262">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9A99401" w14:textId="77777777" w:rsidR="00345678" w:rsidRPr="001F151E" w:rsidRDefault="00345678" w:rsidP="00086262">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FEA31" w14:textId="77777777" w:rsidR="00345678" w:rsidRPr="001F151E" w:rsidRDefault="00345678" w:rsidP="00086262">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E82EFE" w14:textId="77777777" w:rsidR="00345678" w:rsidRPr="001F151E" w:rsidRDefault="00345678" w:rsidP="00086262">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5FB445" w14:textId="77777777" w:rsidR="00345678" w:rsidRPr="001F151E" w:rsidRDefault="00345678" w:rsidP="00086262">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3876C" w14:textId="77777777" w:rsidR="00345678" w:rsidRPr="001F151E" w:rsidRDefault="00345678" w:rsidP="00086262">
            <w:pPr>
              <w:pStyle w:val="T-bold"/>
              <w:spacing w:line="200" w:lineRule="exact"/>
              <w:jc w:val="center"/>
            </w:pPr>
            <w:r w:rsidRPr="001F151E">
              <w:t>2026</w:t>
            </w:r>
          </w:p>
        </w:tc>
      </w:tr>
      <w:tr w:rsidR="00345678" w:rsidRPr="001F151E" w14:paraId="71D596B8" w14:textId="77777777" w:rsidTr="00086262">
        <w:tc>
          <w:tcPr>
            <w:tcW w:w="3114" w:type="dxa"/>
            <w:tcBorders>
              <w:top w:val="single" w:sz="4" w:space="0" w:color="auto"/>
              <w:left w:val="single" w:sz="4" w:space="0" w:color="auto"/>
              <w:bottom w:val="single" w:sz="4" w:space="0" w:color="auto"/>
              <w:right w:val="single" w:sz="4" w:space="0" w:color="auto"/>
            </w:tcBorders>
          </w:tcPr>
          <w:p w14:paraId="2C394AB6" w14:textId="432DA15F" w:rsidR="00345678" w:rsidRPr="00345678" w:rsidRDefault="00345678" w:rsidP="00B45892">
            <w:pPr>
              <w:pStyle w:val="ListParagraph"/>
              <w:numPr>
                <w:ilvl w:val="0"/>
                <w:numId w:val="44"/>
              </w:numPr>
              <w:spacing w:line="200" w:lineRule="exact"/>
              <w:rPr>
                <w:sz w:val="16"/>
                <w:szCs w:val="16"/>
              </w:rPr>
            </w:pPr>
            <w:r w:rsidRPr="00345678">
              <w:rPr>
                <w:sz w:val="16"/>
                <w:szCs w:val="16"/>
              </w:rPr>
              <w:t>National Anti-fraud strategy (NAFS) for the protection of the EU financial interests approved</w:t>
            </w:r>
            <w:r w:rsidR="00252CDC">
              <w:rPr>
                <w:sz w:val="16"/>
                <w:szCs w:val="16"/>
              </w:rPr>
              <w:t xml:space="preserve"> and monitored</w:t>
            </w:r>
            <w:r w:rsidRPr="00345678">
              <w:rPr>
                <w:sz w:val="16"/>
                <w:szCs w:val="16"/>
              </w:rPr>
              <w:t>.</w:t>
            </w:r>
          </w:p>
        </w:tc>
        <w:tc>
          <w:tcPr>
            <w:tcW w:w="1180" w:type="dxa"/>
            <w:tcBorders>
              <w:top w:val="single" w:sz="4" w:space="0" w:color="auto"/>
              <w:left w:val="single" w:sz="4" w:space="0" w:color="auto"/>
              <w:bottom w:val="single" w:sz="4" w:space="0" w:color="auto"/>
              <w:right w:val="single" w:sz="4" w:space="0" w:color="auto"/>
            </w:tcBorders>
            <w:vAlign w:val="center"/>
          </w:tcPr>
          <w:p w14:paraId="2CF3FFA3" w14:textId="77777777" w:rsidR="00345678" w:rsidRPr="00345678" w:rsidRDefault="00345678" w:rsidP="00086262">
            <w:pPr>
              <w:pStyle w:val="T-normal"/>
              <w:jc w:val="center"/>
            </w:pPr>
            <w:r w:rsidRPr="00345678">
              <w:t>-</w:t>
            </w:r>
          </w:p>
        </w:tc>
        <w:tc>
          <w:tcPr>
            <w:tcW w:w="1181" w:type="dxa"/>
            <w:tcBorders>
              <w:top w:val="single" w:sz="4" w:space="0" w:color="auto"/>
              <w:left w:val="single" w:sz="4" w:space="0" w:color="auto"/>
              <w:bottom w:val="single" w:sz="4" w:space="0" w:color="auto"/>
              <w:right w:val="single" w:sz="4" w:space="0" w:color="auto"/>
            </w:tcBorders>
            <w:vAlign w:val="center"/>
          </w:tcPr>
          <w:p w14:paraId="27A2C9B0" w14:textId="77777777" w:rsidR="00345678" w:rsidRPr="00345678" w:rsidRDefault="00345678" w:rsidP="00086262">
            <w:pPr>
              <w:pStyle w:val="T-normal"/>
              <w:jc w:val="center"/>
            </w:pPr>
            <w:r w:rsidRPr="00345678">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2B2024A1" w14:textId="77777777" w:rsidR="00345678" w:rsidRPr="00345678" w:rsidRDefault="00345678" w:rsidP="00086262">
            <w:pPr>
              <w:pStyle w:val="T-normal"/>
              <w:jc w:val="center"/>
            </w:pPr>
            <w:r w:rsidRPr="00345678">
              <w:t>NAFS Prepared/ approved</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0B29F71A" w14:textId="08D1FF67" w:rsidR="00345678" w:rsidRPr="00345678" w:rsidRDefault="00345678" w:rsidP="00086262">
            <w:pPr>
              <w:pStyle w:val="T-normal"/>
              <w:jc w:val="center"/>
            </w:pPr>
            <w:r w:rsidRPr="00345678">
              <w:t xml:space="preserve">NAFS </w:t>
            </w:r>
            <w:r w:rsidR="00252CDC">
              <w:t>reported and monitored</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63F96647" w14:textId="106B5ADA" w:rsidR="00345678" w:rsidRPr="00345678" w:rsidRDefault="00345678" w:rsidP="00086262">
            <w:pPr>
              <w:pStyle w:val="T-normal"/>
              <w:jc w:val="center"/>
            </w:pPr>
            <w:r w:rsidRPr="00345678">
              <w:t xml:space="preserve">NAFS </w:t>
            </w:r>
            <w:r w:rsidR="00252CDC">
              <w:t>reported and monitored</w:t>
            </w:r>
          </w:p>
        </w:tc>
      </w:tr>
    </w:tbl>
    <w:p w14:paraId="2A040463" w14:textId="77777777" w:rsidR="00345678" w:rsidRDefault="00345678" w:rsidP="00345678">
      <w:pPr>
        <w:spacing w:after="160" w:line="259" w:lineRule="auto"/>
        <w:rPr>
          <w:rFonts w:cstheme="majorBidi"/>
          <w:iCs/>
          <w:color w:val="0070C0"/>
          <w:sz w:val="22"/>
          <w:szCs w:val="22"/>
          <w:lang w:val="en-GB"/>
        </w:rPr>
      </w:pPr>
    </w:p>
    <w:p w14:paraId="77290109" w14:textId="77777777" w:rsidR="00345678" w:rsidRPr="001F151E" w:rsidRDefault="00345678" w:rsidP="00345678">
      <w:pPr>
        <w:pStyle w:val="Heading2"/>
        <w:rPr>
          <w:rFonts w:eastAsiaTheme="minorHAnsi"/>
          <w:lang w:val="en-GB"/>
        </w:rPr>
      </w:pPr>
      <w:bookmarkStart w:id="69" w:name="_Toc163148038"/>
      <w:r w:rsidRPr="001F151E">
        <w:rPr>
          <w:rFonts w:eastAsiaTheme="minorHAnsi"/>
          <w:lang w:val="en-GB"/>
        </w:rPr>
        <w:t>Component 5.4 Management of EU funds</w:t>
      </w:r>
      <w:bookmarkEnd w:id="68"/>
      <w:bookmarkEnd w:id="69"/>
    </w:p>
    <w:p w14:paraId="7B19A383" w14:textId="77777777" w:rsidR="00345678" w:rsidRPr="001F151E" w:rsidRDefault="00345678" w:rsidP="00345678">
      <w:pPr>
        <w:rPr>
          <w:lang w:val="en-GB"/>
        </w:rPr>
      </w:pPr>
    </w:p>
    <w:p w14:paraId="21A2D280" w14:textId="77777777" w:rsidR="00345678" w:rsidRPr="001F151E" w:rsidRDefault="00345678" w:rsidP="00345678">
      <w:pPr>
        <w:pStyle w:val="H5"/>
        <w:spacing w:line="276" w:lineRule="auto"/>
        <w:jc w:val="both"/>
        <w:rPr>
          <w:lang w:val="en-GB"/>
        </w:rPr>
      </w:pPr>
      <w:r w:rsidRPr="001F151E">
        <w:rPr>
          <w:lang w:val="en-GB"/>
        </w:rPr>
        <w:t>Objective</w:t>
      </w:r>
    </w:p>
    <w:p w14:paraId="7E72405A" w14:textId="77777777" w:rsidR="00345678" w:rsidRPr="001F151E" w:rsidRDefault="00345678" w:rsidP="00345678">
      <w:pPr>
        <w:pStyle w:val="NormalPFM1"/>
        <w:spacing w:line="276" w:lineRule="auto"/>
        <w:rPr>
          <w:rFonts w:ascii="Arial" w:hAnsi="Arial" w:cs="Arial"/>
          <w:sz w:val="18"/>
          <w:szCs w:val="18"/>
        </w:rPr>
      </w:pPr>
      <w:r w:rsidRPr="001F151E">
        <w:rPr>
          <w:rFonts w:ascii="Arial" w:hAnsi="Arial" w:cs="Arial"/>
          <w:sz w:val="18"/>
          <w:szCs w:val="18"/>
        </w:rPr>
        <w:t xml:space="preserve">The goal for 2030 is to have in place adequate PFM systems in compliance with EU requirements for sound financial management in order to effectively absorb EU funds. </w:t>
      </w:r>
    </w:p>
    <w:p w14:paraId="001BC452" w14:textId="77777777" w:rsidR="00345678" w:rsidRDefault="00345678" w:rsidP="00345678">
      <w:pPr>
        <w:pStyle w:val="NormalPFM1"/>
        <w:spacing w:line="276" w:lineRule="auto"/>
        <w:rPr>
          <w:rFonts w:ascii="Arial" w:hAnsi="Arial" w:cs="Arial"/>
          <w:sz w:val="18"/>
          <w:szCs w:val="18"/>
        </w:rPr>
      </w:pPr>
    </w:p>
    <w:p w14:paraId="75304EF2" w14:textId="77777777" w:rsidR="00A2296F" w:rsidRDefault="00A2296F" w:rsidP="00345678">
      <w:pPr>
        <w:pStyle w:val="NormalPFM1"/>
        <w:spacing w:line="276" w:lineRule="auto"/>
        <w:rPr>
          <w:rFonts w:ascii="Arial" w:hAnsi="Arial" w:cs="Arial"/>
          <w:sz w:val="18"/>
          <w:szCs w:val="18"/>
        </w:rPr>
      </w:pPr>
    </w:p>
    <w:p w14:paraId="59519C70" w14:textId="77777777" w:rsidR="00A2296F" w:rsidRPr="001F151E" w:rsidRDefault="00A2296F" w:rsidP="00345678">
      <w:pPr>
        <w:pStyle w:val="NormalPFM1"/>
        <w:spacing w:line="276" w:lineRule="auto"/>
        <w:rPr>
          <w:rFonts w:ascii="Arial" w:hAnsi="Arial" w:cs="Arial"/>
          <w:sz w:val="18"/>
          <w:szCs w:val="18"/>
        </w:rPr>
      </w:pPr>
    </w:p>
    <w:p w14:paraId="44472893" w14:textId="77777777" w:rsidR="00345678" w:rsidRPr="001F151E" w:rsidRDefault="00345678" w:rsidP="00345678">
      <w:pPr>
        <w:pStyle w:val="H5"/>
        <w:spacing w:line="276" w:lineRule="auto"/>
        <w:jc w:val="both"/>
        <w:rPr>
          <w:lang w:val="en-GB"/>
        </w:rPr>
      </w:pPr>
      <w:r w:rsidRPr="001F151E">
        <w:rPr>
          <w:lang w:val="en-GB"/>
        </w:rPr>
        <w:lastRenderedPageBreak/>
        <w:t>Context</w:t>
      </w:r>
    </w:p>
    <w:p w14:paraId="78EC5E60" w14:textId="3D8BB0FD" w:rsidR="00345678" w:rsidRPr="001F151E" w:rsidRDefault="00345678" w:rsidP="00345678">
      <w:pPr>
        <w:spacing w:line="276" w:lineRule="auto"/>
        <w:jc w:val="both"/>
        <w:rPr>
          <w:lang w:val="en-GB"/>
        </w:rPr>
      </w:pPr>
      <w:r w:rsidRPr="001F151E">
        <w:rPr>
          <w:lang w:val="en-GB"/>
        </w:rPr>
        <w:t xml:space="preserve">The first Inter-Governmental Conference on accession negotiations with Albania took place on 19 July 2022 and the ‘screening’ was launched on the same date. Albania </w:t>
      </w:r>
      <w:r w:rsidR="007B242A">
        <w:rPr>
          <w:lang w:val="en-GB"/>
        </w:rPr>
        <w:t xml:space="preserve">is </w:t>
      </w:r>
      <w:r w:rsidR="007B242A" w:rsidRPr="001F151E">
        <w:rPr>
          <w:lang w:val="en-GB"/>
        </w:rPr>
        <w:t>receiving</w:t>
      </w:r>
      <w:r w:rsidRPr="001F151E">
        <w:rPr>
          <w:lang w:val="en-GB"/>
        </w:rPr>
        <w:t xml:space="preserve"> financial assistance under IPA III where the main objective is to support the beneficiaries in adopting and implementing the political, institutional, legal, administrative, social and economic reforms required to comply with Union values. Many important milestones have been completed so far, such as the </w:t>
      </w:r>
      <w:r>
        <w:rPr>
          <w:lang w:val="en-GB"/>
        </w:rPr>
        <w:t>ratification</w:t>
      </w:r>
      <w:r w:rsidRPr="001F151E">
        <w:rPr>
          <w:lang w:val="en-GB"/>
        </w:rPr>
        <w:t xml:space="preserve"> of the “Financial Framework Partnership Agreement between the European Commission and the Republic of Albania”, </w:t>
      </w:r>
      <w:bookmarkStart w:id="70" w:name="_Hlk156995274"/>
      <w:r>
        <w:t>for IPA III</w:t>
      </w:r>
      <w:r w:rsidRPr="004B1D42">
        <w:t>”</w:t>
      </w:r>
      <w:bookmarkStart w:id="71" w:name="_Hlk157517496"/>
      <w:r>
        <w:rPr>
          <w:rStyle w:val="FootnoteReference"/>
        </w:rPr>
        <w:footnoteReference w:id="77"/>
      </w:r>
      <w:bookmarkEnd w:id="70"/>
      <w:bookmarkEnd w:id="71"/>
      <w:r>
        <w:t xml:space="preserve"> </w:t>
      </w:r>
      <w:r w:rsidRPr="001F151E">
        <w:rPr>
          <w:lang w:val="en-GB"/>
        </w:rPr>
        <w:t>and the manuals of procedures soon to be submitted to European Commission. As IPA III assistance is implemented through various methods such as direct management, indirect management and shared management, Albania will need to get ready to absorb the financing received by</w:t>
      </w:r>
      <w:r w:rsidRPr="00B74FDC">
        <w:t xml:space="preserve"> </w:t>
      </w:r>
      <w:bookmarkStart w:id="72" w:name="_Hlk156995283"/>
      <w:r>
        <w:t>establishing and</w:t>
      </w:r>
      <w:r w:rsidRPr="001F151E">
        <w:rPr>
          <w:lang w:val="en-GB"/>
        </w:rPr>
        <w:t xml:space="preserve"> </w:t>
      </w:r>
      <w:bookmarkEnd w:id="72"/>
      <w:r w:rsidRPr="001F151E">
        <w:rPr>
          <w:lang w:val="en-GB"/>
        </w:rPr>
        <w:t xml:space="preserve">strengthening administrative and institutional capacities. Adding extra resources where needed and building capacities of the staff will be one of the priorities of the structures involved in dealing with IPA III. </w:t>
      </w:r>
    </w:p>
    <w:p w14:paraId="1EED8256" w14:textId="77777777" w:rsidR="00345678" w:rsidRPr="001F151E" w:rsidRDefault="00345678" w:rsidP="00345678">
      <w:pPr>
        <w:spacing w:line="276" w:lineRule="auto"/>
        <w:jc w:val="both"/>
        <w:rPr>
          <w:highlight w:val="yellow"/>
          <w:lang w:val="en-GB"/>
        </w:rPr>
      </w:pPr>
    </w:p>
    <w:p w14:paraId="18ADE1A8" w14:textId="77777777" w:rsidR="00345678" w:rsidRPr="001F151E" w:rsidRDefault="00345678" w:rsidP="00345678">
      <w:pPr>
        <w:pStyle w:val="H5"/>
        <w:spacing w:line="276" w:lineRule="auto"/>
        <w:jc w:val="both"/>
        <w:rPr>
          <w:lang w:val="en-GB"/>
        </w:rPr>
      </w:pPr>
      <w:r w:rsidRPr="001F151E">
        <w:rPr>
          <w:lang w:val="en-GB"/>
        </w:rPr>
        <w:t>Priorities</w:t>
      </w:r>
    </w:p>
    <w:p w14:paraId="61B69749" w14:textId="77777777" w:rsidR="00345678" w:rsidRPr="001F151E" w:rsidRDefault="00345678" w:rsidP="00345678">
      <w:pPr>
        <w:spacing w:line="276" w:lineRule="auto"/>
        <w:jc w:val="both"/>
        <w:rPr>
          <w:lang w:val="en-GB"/>
        </w:rPr>
      </w:pPr>
      <w:r w:rsidRPr="00345678">
        <w:rPr>
          <w:lang w:val="en-GB"/>
        </w:rPr>
        <w:t>The priorities for the period 2023-2026 are:</w:t>
      </w:r>
      <w:r w:rsidRPr="001F151E">
        <w:rPr>
          <w:lang w:val="en-GB"/>
        </w:rPr>
        <w:t xml:space="preserve"> </w:t>
      </w:r>
    </w:p>
    <w:p w14:paraId="34D6C0A2" w14:textId="77777777" w:rsidR="00345678" w:rsidRPr="001F151E" w:rsidRDefault="00345678" w:rsidP="00345678">
      <w:pPr>
        <w:pStyle w:val="ListParagraph"/>
        <w:numPr>
          <w:ilvl w:val="0"/>
          <w:numId w:val="2"/>
        </w:numPr>
        <w:spacing w:line="276" w:lineRule="auto"/>
        <w:jc w:val="both"/>
        <w:rPr>
          <w:lang w:val="en-GB"/>
        </w:rPr>
      </w:pPr>
      <w:r w:rsidRPr="001F151E">
        <w:rPr>
          <w:lang w:val="en-GB"/>
        </w:rPr>
        <w:t>Develop and establish the IPA III institutional and regulatory framework and enhance the human resource capabilities to implement IPA III.</w:t>
      </w:r>
    </w:p>
    <w:p w14:paraId="2DA8DD05" w14:textId="77777777" w:rsidR="00345678" w:rsidRPr="001F151E" w:rsidRDefault="00345678" w:rsidP="00345678">
      <w:pPr>
        <w:pStyle w:val="ListParagraph"/>
        <w:numPr>
          <w:ilvl w:val="0"/>
          <w:numId w:val="2"/>
        </w:numPr>
        <w:spacing w:line="276" w:lineRule="auto"/>
        <w:jc w:val="both"/>
        <w:rPr>
          <w:lang w:val="en-GB"/>
        </w:rPr>
      </w:pPr>
      <w:r w:rsidRPr="001F151E">
        <w:rPr>
          <w:lang w:val="en-GB"/>
        </w:rPr>
        <w:t>Prepare for the absorption of future EU funds by identifying management options and making fund management systems fit for purpose.</w:t>
      </w:r>
    </w:p>
    <w:p w14:paraId="4233DE4F" w14:textId="77777777" w:rsidR="00345678" w:rsidRPr="001F151E" w:rsidRDefault="00345678" w:rsidP="00345678">
      <w:pPr>
        <w:pStyle w:val="EcorysBody"/>
        <w:rPr>
          <w:rFonts w:ascii="Arial" w:hAnsi="Arial" w:cs="Arial"/>
          <w:color w:val="FF0000"/>
          <w:lang w:val="en-GB"/>
        </w:rPr>
      </w:pPr>
    </w:p>
    <w:p w14:paraId="5AE46034" w14:textId="77777777" w:rsidR="00345678" w:rsidRPr="001F151E" w:rsidRDefault="00345678" w:rsidP="00345678">
      <w:pPr>
        <w:pStyle w:val="H5"/>
        <w:rPr>
          <w:lang w:val="en-GB"/>
        </w:rPr>
      </w:pPr>
      <w:r w:rsidRPr="001F151E">
        <w:rPr>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80"/>
        <w:gridCol w:w="3659"/>
        <w:gridCol w:w="798"/>
        <w:gridCol w:w="798"/>
        <w:gridCol w:w="1781"/>
      </w:tblGrid>
      <w:tr w:rsidR="00345678" w:rsidRPr="001F151E" w14:paraId="05966FA7" w14:textId="77777777" w:rsidTr="00086262">
        <w:trPr>
          <w:cantSplit/>
          <w:trHeight w:val="20"/>
          <w:tblHeader/>
        </w:trPr>
        <w:tc>
          <w:tcPr>
            <w:tcW w:w="1980" w:type="dxa"/>
            <w:shd w:val="clear" w:color="auto" w:fill="D9D9D9" w:themeFill="background1" w:themeFillShade="D9"/>
          </w:tcPr>
          <w:p w14:paraId="064B8D20" w14:textId="77777777" w:rsidR="00345678" w:rsidRPr="001F151E" w:rsidRDefault="00345678" w:rsidP="00086262">
            <w:pPr>
              <w:pStyle w:val="T-bold"/>
            </w:pPr>
            <w:r w:rsidRPr="001F151E">
              <w:t>Measure</w:t>
            </w:r>
          </w:p>
        </w:tc>
        <w:tc>
          <w:tcPr>
            <w:tcW w:w="3659" w:type="dxa"/>
            <w:shd w:val="clear" w:color="auto" w:fill="D9D9D9" w:themeFill="background1" w:themeFillShade="D9"/>
          </w:tcPr>
          <w:p w14:paraId="1B71BD20" w14:textId="77777777" w:rsidR="00345678" w:rsidRPr="001F151E" w:rsidRDefault="00345678" w:rsidP="00086262">
            <w:pPr>
              <w:pStyle w:val="T-bold"/>
            </w:pPr>
            <w:r w:rsidRPr="001F151E">
              <w:t>Activity</w:t>
            </w:r>
          </w:p>
        </w:tc>
        <w:tc>
          <w:tcPr>
            <w:tcW w:w="798" w:type="dxa"/>
            <w:shd w:val="clear" w:color="auto" w:fill="D9D9D9" w:themeFill="background1" w:themeFillShade="D9"/>
          </w:tcPr>
          <w:p w14:paraId="75712673" w14:textId="77777777" w:rsidR="00345678" w:rsidRPr="001F151E" w:rsidRDefault="00345678" w:rsidP="00086262">
            <w:pPr>
              <w:pStyle w:val="T-bold"/>
              <w:jc w:val="center"/>
            </w:pPr>
            <w:r w:rsidRPr="001F151E">
              <w:t>Start</w:t>
            </w:r>
          </w:p>
        </w:tc>
        <w:tc>
          <w:tcPr>
            <w:tcW w:w="798" w:type="dxa"/>
            <w:shd w:val="clear" w:color="auto" w:fill="D9D9D9" w:themeFill="background1" w:themeFillShade="D9"/>
          </w:tcPr>
          <w:p w14:paraId="10DD01F7" w14:textId="77777777" w:rsidR="00345678" w:rsidRPr="001F151E" w:rsidRDefault="00345678" w:rsidP="00086262">
            <w:pPr>
              <w:pStyle w:val="T-bold"/>
              <w:jc w:val="center"/>
            </w:pPr>
            <w:r w:rsidRPr="001F151E">
              <w:t>End</w:t>
            </w:r>
          </w:p>
        </w:tc>
        <w:tc>
          <w:tcPr>
            <w:tcW w:w="1781" w:type="dxa"/>
            <w:shd w:val="clear" w:color="auto" w:fill="D9D9D9" w:themeFill="background1" w:themeFillShade="D9"/>
          </w:tcPr>
          <w:p w14:paraId="09A121B2" w14:textId="77777777" w:rsidR="00345678" w:rsidRPr="001F151E" w:rsidRDefault="00345678" w:rsidP="00086262">
            <w:pPr>
              <w:pStyle w:val="T-bold"/>
            </w:pPr>
            <w:r w:rsidRPr="001F151E">
              <w:t>Stakeholders</w:t>
            </w:r>
          </w:p>
        </w:tc>
      </w:tr>
      <w:tr w:rsidR="00345678" w:rsidRPr="001F151E" w14:paraId="6505BEA1" w14:textId="77777777" w:rsidTr="00086262">
        <w:trPr>
          <w:trHeight w:val="464"/>
        </w:trPr>
        <w:tc>
          <w:tcPr>
            <w:tcW w:w="1980" w:type="dxa"/>
            <w:shd w:val="clear" w:color="auto" w:fill="auto"/>
          </w:tcPr>
          <w:p w14:paraId="7745FFCE" w14:textId="77777777" w:rsidR="00345678" w:rsidRPr="001F151E" w:rsidRDefault="00345678" w:rsidP="00086262">
            <w:pPr>
              <w:pStyle w:val="T-bold"/>
            </w:pPr>
            <w:r w:rsidRPr="001F151E">
              <w:t>Measure 5.4.1 Establishment of IPA III legal framework</w:t>
            </w:r>
          </w:p>
        </w:tc>
        <w:tc>
          <w:tcPr>
            <w:tcW w:w="3659" w:type="dxa"/>
          </w:tcPr>
          <w:p w14:paraId="53736D22" w14:textId="5F15A98C" w:rsidR="00345678" w:rsidRPr="009D4303" w:rsidRDefault="00345678" w:rsidP="00B45892">
            <w:pPr>
              <w:pStyle w:val="T-number"/>
              <w:numPr>
                <w:ilvl w:val="0"/>
                <w:numId w:val="103"/>
              </w:numPr>
              <w:jc w:val="both"/>
            </w:pPr>
            <w:r w:rsidRPr="009D4303">
              <w:t>Preparing and approving the Decision of Council of Ministers on designation of functions, responsibilities and relations between authorities and structures for indirect management of EU financial assistance under the Instrument for Pre-accession Assistance 2021 – 2027 (IPA III)</w:t>
            </w:r>
          </w:p>
        </w:tc>
        <w:tc>
          <w:tcPr>
            <w:tcW w:w="798" w:type="dxa"/>
            <w:vAlign w:val="center"/>
          </w:tcPr>
          <w:p w14:paraId="0E2E8F64" w14:textId="77777777" w:rsidR="00345678" w:rsidRPr="001F151E" w:rsidRDefault="00345678" w:rsidP="00086262">
            <w:pPr>
              <w:jc w:val="center"/>
              <w:rPr>
                <w:sz w:val="16"/>
                <w:szCs w:val="16"/>
              </w:rPr>
            </w:pPr>
            <w:r w:rsidRPr="001F151E">
              <w:rPr>
                <w:sz w:val="16"/>
                <w:szCs w:val="16"/>
              </w:rPr>
              <w:t>Q1 2023</w:t>
            </w:r>
          </w:p>
        </w:tc>
        <w:tc>
          <w:tcPr>
            <w:tcW w:w="798" w:type="dxa"/>
            <w:vAlign w:val="center"/>
          </w:tcPr>
          <w:p w14:paraId="2B3FA13B" w14:textId="77777777" w:rsidR="00345678" w:rsidRPr="001F151E" w:rsidRDefault="00345678" w:rsidP="00086262">
            <w:pPr>
              <w:jc w:val="center"/>
              <w:rPr>
                <w:sz w:val="16"/>
                <w:szCs w:val="16"/>
              </w:rPr>
            </w:pPr>
            <w:r w:rsidRPr="001F151E">
              <w:rPr>
                <w:sz w:val="16"/>
                <w:szCs w:val="16"/>
              </w:rPr>
              <w:t>Q4 2023</w:t>
            </w:r>
          </w:p>
        </w:tc>
        <w:tc>
          <w:tcPr>
            <w:tcW w:w="1781" w:type="dxa"/>
          </w:tcPr>
          <w:p w14:paraId="43192D39" w14:textId="77777777" w:rsidR="00345678" w:rsidRPr="001F151E" w:rsidRDefault="00345678" w:rsidP="00086262">
            <w:pPr>
              <w:rPr>
                <w:b/>
                <w:bCs/>
                <w:sz w:val="16"/>
                <w:szCs w:val="16"/>
              </w:rPr>
            </w:pPr>
            <w:r w:rsidRPr="001F151E">
              <w:rPr>
                <w:b/>
                <w:bCs/>
                <w:sz w:val="16"/>
                <w:szCs w:val="16"/>
              </w:rPr>
              <w:t>Responsible entity:</w:t>
            </w:r>
          </w:p>
          <w:p w14:paraId="37E8C6EA"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SASPAC (lead),</w:t>
            </w:r>
          </w:p>
          <w:p w14:paraId="0F577022" w14:textId="3E200160" w:rsidR="00345678" w:rsidRPr="001F151E" w:rsidRDefault="00345678" w:rsidP="00086262">
            <w:pPr>
              <w:pStyle w:val="EcorysBody"/>
              <w:rPr>
                <w:rFonts w:ascii="Arial" w:hAnsi="Arial" w:cs="Arial"/>
                <w:sz w:val="16"/>
                <w:szCs w:val="16"/>
              </w:rPr>
            </w:pPr>
            <w:r w:rsidRPr="001F151E">
              <w:rPr>
                <w:rFonts w:ascii="Arial" w:hAnsi="Arial" w:cs="Arial"/>
                <w:sz w:val="16"/>
                <w:szCs w:val="16"/>
              </w:rPr>
              <w:t xml:space="preserve">NAO support office, CFCU  </w:t>
            </w:r>
          </w:p>
          <w:p w14:paraId="287578D5" w14:textId="77777777" w:rsidR="00345678" w:rsidRPr="001F151E" w:rsidRDefault="00345678" w:rsidP="00086262">
            <w:pPr>
              <w:pStyle w:val="EcorysBody"/>
              <w:rPr>
                <w:rFonts w:ascii="Arial" w:hAnsi="Arial" w:cs="Arial"/>
                <w:sz w:val="16"/>
                <w:szCs w:val="16"/>
              </w:rPr>
            </w:pPr>
          </w:p>
          <w:p w14:paraId="3DA94ADC"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Partners:</w:t>
            </w:r>
          </w:p>
          <w:p w14:paraId="22A9BEB4" w14:textId="77777777" w:rsidR="00345678" w:rsidRPr="001F151E" w:rsidRDefault="00345678" w:rsidP="00086262">
            <w:pPr>
              <w:rPr>
                <w:b/>
                <w:bCs/>
                <w:sz w:val="16"/>
                <w:szCs w:val="16"/>
              </w:rPr>
            </w:pPr>
            <w:r w:rsidRPr="001F151E">
              <w:rPr>
                <w:bCs/>
                <w:sz w:val="16"/>
                <w:szCs w:val="16"/>
              </w:rPr>
              <w:t>EUD</w:t>
            </w:r>
          </w:p>
        </w:tc>
      </w:tr>
      <w:tr w:rsidR="00345678" w:rsidRPr="001F151E" w14:paraId="7D168773" w14:textId="77777777" w:rsidTr="00086262">
        <w:trPr>
          <w:trHeight w:val="1037"/>
        </w:trPr>
        <w:tc>
          <w:tcPr>
            <w:tcW w:w="1980" w:type="dxa"/>
            <w:vMerge w:val="restart"/>
            <w:shd w:val="clear" w:color="auto" w:fill="auto"/>
          </w:tcPr>
          <w:p w14:paraId="286F0C05" w14:textId="77777777" w:rsidR="00345678" w:rsidRPr="001F151E" w:rsidRDefault="00345678" w:rsidP="00086262">
            <w:pPr>
              <w:pStyle w:val="T-bold"/>
            </w:pPr>
            <w:r w:rsidRPr="001F151E">
              <w:t>Measure 5.4.2 Develop and implement regulations, procedures for IPA III management and enhance the capacities of IPA III structures</w:t>
            </w:r>
          </w:p>
        </w:tc>
        <w:tc>
          <w:tcPr>
            <w:tcW w:w="3659" w:type="dxa"/>
          </w:tcPr>
          <w:p w14:paraId="472CD403" w14:textId="60FFD38A" w:rsidR="00345678" w:rsidRPr="009D4303" w:rsidRDefault="00345678" w:rsidP="00B45892">
            <w:pPr>
              <w:pStyle w:val="T-number"/>
              <w:numPr>
                <w:ilvl w:val="0"/>
                <w:numId w:val="104"/>
              </w:numPr>
              <w:jc w:val="both"/>
            </w:pPr>
            <w:r w:rsidRPr="009D4303">
              <w:t>Approve and establish the management structures in charge for IPA III implementation and prepare the manuals and instructions to guide the IPA III implementations.</w:t>
            </w:r>
            <w:r w:rsidRPr="009D4303">
              <w:rPr>
                <w:rStyle w:val="FootnoteReference"/>
                <w:sz w:val="16"/>
                <w:szCs w:val="16"/>
              </w:rPr>
              <w:footnoteReference w:id="78"/>
            </w:r>
          </w:p>
        </w:tc>
        <w:tc>
          <w:tcPr>
            <w:tcW w:w="798" w:type="dxa"/>
            <w:vAlign w:val="center"/>
          </w:tcPr>
          <w:p w14:paraId="1DCE59C6" w14:textId="77777777" w:rsidR="00345678" w:rsidRPr="001F151E" w:rsidRDefault="00345678" w:rsidP="00086262">
            <w:pPr>
              <w:jc w:val="center"/>
              <w:rPr>
                <w:sz w:val="16"/>
                <w:szCs w:val="16"/>
              </w:rPr>
            </w:pPr>
            <w:r w:rsidRPr="001F151E">
              <w:rPr>
                <w:sz w:val="16"/>
                <w:szCs w:val="16"/>
              </w:rPr>
              <w:t>Q1 2023</w:t>
            </w:r>
          </w:p>
        </w:tc>
        <w:tc>
          <w:tcPr>
            <w:tcW w:w="798" w:type="dxa"/>
            <w:vAlign w:val="center"/>
          </w:tcPr>
          <w:p w14:paraId="1056BCE0" w14:textId="77777777" w:rsidR="00345678" w:rsidRPr="001F151E" w:rsidRDefault="00345678" w:rsidP="00086262">
            <w:pPr>
              <w:jc w:val="center"/>
              <w:rPr>
                <w:sz w:val="16"/>
                <w:szCs w:val="16"/>
              </w:rPr>
            </w:pPr>
            <w:r w:rsidRPr="001F151E">
              <w:rPr>
                <w:sz w:val="16"/>
                <w:szCs w:val="16"/>
              </w:rPr>
              <w:t>Q4 2024</w:t>
            </w:r>
          </w:p>
        </w:tc>
        <w:tc>
          <w:tcPr>
            <w:tcW w:w="1781" w:type="dxa"/>
            <w:vMerge w:val="restart"/>
          </w:tcPr>
          <w:p w14:paraId="6A989CD6" w14:textId="77777777" w:rsidR="00345678" w:rsidRPr="001F151E" w:rsidRDefault="00345678" w:rsidP="00086262">
            <w:pPr>
              <w:rPr>
                <w:b/>
                <w:bCs/>
                <w:sz w:val="16"/>
                <w:szCs w:val="16"/>
              </w:rPr>
            </w:pPr>
            <w:r w:rsidRPr="001F151E">
              <w:rPr>
                <w:b/>
                <w:bCs/>
                <w:sz w:val="16"/>
                <w:szCs w:val="16"/>
              </w:rPr>
              <w:t>Responsible entity:</w:t>
            </w:r>
          </w:p>
          <w:p w14:paraId="6B37688B" w14:textId="1D3C9E96" w:rsidR="00345678" w:rsidRPr="001F151E" w:rsidRDefault="00345678" w:rsidP="00086262">
            <w:pPr>
              <w:pStyle w:val="EcorysBody"/>
              <w:rPr>
                <w:rFonts w:ascii="Arial" w:hAnsi="Arial" w:cs="Arial"/>
                <w:sz w:val="16"/>
                <w:szCs w:val="16"/>
              </w:rPr>
            </w:pPr>
            <w:r w:rsidRPr="001F151E">
              <w:rPr>
                <w:rFonts w:ascii="Arial" w:hAnsi="Arial" w:cs="Arial"/>
                <w:sz w:val="16"/>
                <w:szCs w:val="16"/>
              </w:rPr>
              <w:t>NAO support office (lead), CFCU</w:t>
            </w:r>
            <w:r w:rsidR="007B242A">
              <w:rPr>
                <w:rFonts w:ascii="Arial" w:hAnsi="Arial" w:cs="Arial"/>
                <w:sz w:val="16"/>
                <w:szCs w:val="16"/>
              </w:rPr>
              <w:t>,</w:t>
            </w:r>
            <w:r w:rsidRPr="001F151E">
              <w:rPr>
                <w:rFonts w:ascii="Arial" w:hAnsi="Arial" w:cs="Arial"/>
                <w:sz w:val="16"/>
                <w:szCs w:val="16"/>
              </w:rPr>
              <w:t xml:space="preserve"> </w:t>
            </w:r>
          </w:p>
          <w:p w14:paraId="47B28060"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SASPAC</w:t>
            </w:r>
          </w:p>
          <w:p w14:paraId="25F3C1A9" w14:textId="77777777" w:rsidR="00345678" w:rsidRPr="001F151E" w:rsidRDefault="00345678" w:rsidP="00086262">
            <w:pPr>
              <w:pStyle w:val="EcorysBody"/>
              <w:rPr>
                <w:rFonts w:ascii="Arial" w:hAnsi="Arial" w:cs="Arial"/>
                <w:sz w:val="16"/>
                <w:szCs w:val="16"/>
              </w:rPr>
            </w:pPr>
          </w:p>
          <w:p w14:paraId="1359419F"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Partners:</w:t>
            </w:r>
          </w:p>
          <w:p w14:paraId="62372057"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EUD</w:t>
            </w:r>
          </w:p>
          <w:p w14:paraId="77E0908E" w14:textId="77777777" w:rsidR="00345678" w:rsidRPr="001F151E" w:rsidRDefault="00345678" w:rsidP="00086262">
            <w:pPr>
              <w:pStyle w:val="EcorysBody"/>
              <w:rPr>
                <w:rFonts w:ascii="Arial" w:hAnsi="Arial" w:cs="Arial"/>
                <w:sz w:val="16"/>
                <w:szCs w:val="16"/>
              </w:rPr>
            </w:pPr>
          </w:p>
        </w:tc>
      </w:tr>
      <w:tr w:rsidR="00345678" w:rsidRPr="001F151E" w14:paraId="11A973BB" w14:textId="77777777" w:rsidTr="00086262">
        <w:trPr>
          <w:trHeight w:val="270"/>
        </w:trPr>
        <w:tc>
          <w:tcPr>
            <w:tcW w:w="1980" w:type="dxa"/>
            <w:vMerge/>
          </w:tcPr>
          <w:p w14:paraId="64574E52" w14:textId="77777777" w:rsidR="00345678" w:rsidRPr="001F151E" w:rsidRDefault="00345678" w:rsidP="00086262">
            <w:pPr>
              <w:pStyle w:val="T-bold"/>
            </w:pPr>
          </w:p>
        </w:tc>
        <w:tc>
          <w:tcPr>
            <w:tcW w:w="3659" w:type="dxa"/>
          </w:tcPr>
          <w:p w14:paraId="04649043" w14:textId="7756A5BA" w:rsidR="00345678" w:rsidRPr="009D4303" w:rsidRDefault="00345678" w:rsidP="00B45892">
            <w:pPr>
              <w:pStyle w:val="T-number"/>
              <w:numPr>
                <w:ilvl w:val="0"/>
                <w:numId w:val="104"/>
              </w:numPr>
              <w:jc w:val="both"/>
            </w:pPr>
            <w:r w:rsidRPr="009D4303">
              <w:t>Assess existing human resource capacities, and skill gaps, develop a human resource capacity development plan, plan targeted training programs aligned with IPA III goals and foster international peer learning through partnerships and collaborative initiatives.</w:t>
            </w:r>
          </w:p>
        </w:tc>
        <w:tc>
          <w:tcPr>
            <w:tcW w:w="798" w:type="dxa"/>
            <w:vAlign w:val="center"/>
          </w:tcPr>
          <w:p w14:paraId="20FF001B" w14:textId="77777777" w:rsidR="00345678" w:rsidRPr="001F151E" w:rsidRDefault="00345678" w:rsidP="00086262">
            <w:pPr>
              <w:jc w:val="center"/>
              <w:rPr>
                <w:sz w:val="16"/>
                <w:szCs w:val="16"/>
              </w:rPr>
            </w:pPr>
            <w:r w:rsidRPr="001F151E">
              <w:rPr>
                <w:sz w:val="16"/>
                <w:szCs w:val="16"/>
              </w:rPr>
              <w:t>Q1 2023</w:t>
            </w:r>
          </w:p>
        </w:tc>
        <w:tc>
          <w:tcPr>
            <w:tcW w:w="798" w:type="dxa"/>
            <w:vAlign w:val="center"/>
          </w:tcPr>
          <w:p w14:paraId="71B3D443" w14:textId="77777777" w:rsidR="00345678" w:rsidRPr="001F151E" w:rsidRDefault="00345678" w:rsidP="00086262">
            <w:pPr>
              <w:jc w:val="center"/>
              <w:rPr>
                <w:sz w:val="16"/>
                <w:szCs w:val="16"/>
              </w:rPr>
            </w:pPr>
            <w:r w:rsidRPr="001F151E">
              <w:rPr>
                <w:sz w:val="16"/>
                <w:szCs w:val="16"/>
              </w:rPr>
              <w:t>Q4 2026</w:t>
            </w:r>
          </w:p>
        </w:tc>
        <w:tc>
          <w:tcPr>
            <w:tcW w:w="1781" w:type="dxa"/>
            <w:vMerge/>
          </w:tcPr>
          <w:p w14:paraId="1AE300FC" w14:textId="77777777" w:rsidR="00345678" w:rsidRPr="001F151E" w:rsidRDefault="00345678" w:rsidP="00086262">
            <w:pPr>
              <w:rPr>
                <w:sz w:val="16"/>
                <w:szCs w:val="16"/>
                <w:highlight w:val="yellow"/>
              </w:rPr>
            </w:pPr>
          </w:p>
        </w:tc>
      </w:tr>
      <w:tr w:rsidR="00345678" w:rsidRPr="001F151E" w14:paraId="2FDC822E" w14:textId="77777777" w:rsidTr="00086262">
        <w:trPr>
          <w:trHeight w:val="270"/>
        </w:trPr>
        <w:tc>
          <w:tcPr>
            <w:tcW w:w="1980" w:type="dxa"/>
            <w:vMerge w:val="restart"/>
            <w:shd w:val="clear" w:color="auto" w:fill="auto"/>
          </w:tcPr>
          <w:p w14:paraId="2CC9788B" w14:textId="77777777" w:rsidR="00345678" w:rsidRPr="001F151E" w:rsidRDefault="00345678" w:rsidP="00086262">
            <w:pPr>
              <w:pStyle w:val="T-bold"/>
            </w:pPr>
            <w:r w:rsidRPr="001F151E">
              <w:t>Measure 5.4.</w:t>
            </w:r>
            <w:r>
              <w:t>3</w:t>
            </w:r>
            <w:r w:rsidRPr="001F151E">
              <w:t xml:space="preserve"> Enhance financial adjustment and/or Recovery procedures for EU Funds in line with national and  IPA III legal requirements</w:t>
            </w:r>
          </w:p>
        </w:tc>
        <w:tc>
          <w:tcPr>
            <w:tcW w:w="3659" w:type="dxa"/>
          </w:tcPr>
          <w:p w14:paraId="48223B65" w14:textId="0780152D" w:rsidR="00345678" w:rsidRPr="001F151E" w:rsidRDefault="00345678" w:rsidP="00B45892">
            <w:pPr>
              <w:pStyle w:val="T-number"/>
              <w:numPr>
                <w:ilvl w:val="0"/>
                <w:numId w:val="105"/>
              </w:numPr>
              <w:jc w:val="both"/>
            </w:pPr>
            <w:r w:rsidRPr="001F151E">
              <w:t>Undertake a comprehensive review of the national and IPA III legal base, evaluate existing financial adjustment and recovery procedures and identify weaknesses and areas for improvement in line with legal provisions IPA III.</w:t>
            </w:r>
          </w:p>
        </w:tc>
        <w:tc>
          <w:tcPr>
            <w:tcW w:w="798" w:type="dxa"/>
            <w:vAlign w:val="center"/>
          </w:tcPr>
          <w:p w14:paraId="644D75CB" w14:textId="77777777" w:rsidR="00345678" w:rsidRPr="001F151E" w:rsidRDefault="00345678" w:rsidP="00086262">
            <w:pPr>
              <w:jc w:val="center"/>
              <w:rPr>
                <w:sz w:val="16"/>
                <w:szCs w:val="16"/>
              </w:rPr>
            </w:pPr>
            <w:r w:rsidRPr="001F151E">
              <w:rPr>
                <w:sz w:val="16"/>
                <w:szCs w:val="16"/>
              </w:rPr>
              <w:t>Q1 2023</w:t>
            </w:r>
          </w:p>
        </w:tc>
        <w:tc>
          <w:tcPr>
            <w:tcW w:w="798" w:type="dxa"/>
            <w:vAlign w:val="center"/>
          </w:tcPr>
          <w:p w14:paraId="0AACE05D" w14:textId="77777777" w:rsidR="00345678" w:rsidRPr="001F151E" w:rsidRDefault="00345678" w:rsidP="00086262">
            <w:pPr>
              <w:jc w:val="center"/>
              <w:rPr>
                <w:sz w:val="16"/>
                <w:szCs w:val="16"/>
              </w:rPr>
            </w:pPr>
            <w:r w:rsidRPr="001F151E">
              <w:rPr>
                <w:sz w:val="16"/>
                <w:szCs w:val="16"/>
              </w:rPr>
              <w:t>Q4 2024</w:t>
            </w:r>
          </w:p>
        </w:tc>
        <w:tc>
          <w:tcPr>
            <w:tcW w:w="1781" w:type="dxa"/>
            <w:vMerge w:val="restart"/>
          </w:tcPr>
          <w:p w14:paraId="25280DAE" w14:textId="77777777" w:rsidR="00345678" w:rsidRPr="001F151E" w:rsidRDefault="00345678" w:rsidP="00086262">
            <w:pPr>
              <w:rPr>
                <w:b/>
                <w:bCs/>
                <w:sz w:val="16"/>
                <w:szCs w:val="16"/>
              </w:rPr>
            </w:pPr>
            <w:r w:rsidRPr="001F151E">
              <w:rPr>
                <w:b/>
                <w:bCs/>
                <w:sz w:val="16"/>
                <w:szCs w:val="16"/>
              </w:rPr>
              <w:t>Responsible entity:</w:t>
            </w:r>
          </w:p>
          <w:p w14:paraId="0CA1810A" w14:textId="77777777" w:rsidR="00345678" w:rsidRPr="001F151E" w:rsidRDefault="00345678" w:rsidP="00086262">
            <w:pPr>
              <w:rPr>
                <w:sz w:val="16"/>
                <w:szCs w:val="16"/>
              </w:rPr>
            </w:pPr>
            <w:r w:rsidRPr="001F151E">
              <w:rPr>
                <w:sz w:val="16"/>
                <w:szCs w:val="16"/>
              </w:rPr>
              <w:t xml:space="preserve">CFCU (lead), NAO Support office </w:t>
            </w:r>
          </w:p>
          <w:p w14:paraId="2AE01248" w14:textId="77777777" w:rsidR="00345678" w:rsidRPr="001F151E" w:rsidRDefault="00345678" w:rsidP="00086262">
            <w:pPr>
              <w:rPr>
                <w:sz w:val="16"/>
                <w:szCs w:val="16"/>
              </w:rPr>
            </w:pPr>
          </w:p>
          <w:p w14:paraId="712A3017" w14:textId="77777777" w:rsidR="00345678" w:rsidRPr="001F151E" w:rsidRDefault="00345678" w:rsidP="00086262">
            <w:pPr>
              <w:rPr>
                <w:b/>
                <w:bCs/>
                <w:sz w:val="16"/>
                <w:szCs w:val="16"/>
              </w:rPr>
            </w:pPr>
            <w:r w:rsidRPr="001F151E">
              <w:rPr>
                <w:b/>
                <w:bCs/>
                <w:sz w:val="16"/>
                <w:szCs w:val="16"/>
              </w:rPr>
              <w:t>Partners:</w:t>
            </w:r>
          </w:p>
          <w:p w14:paraId="7A83DDAF" w14:textId="77777777" w:rsidR="00345678" w:rsidRPr="001F151E" w:rsidRDefault="00345678" w:rsidP="00086262">
            <w:pPr>
              <w:rPr>
                <w:sz w:val="16"/>
                <w:szCs w:val="16"/>
                <w:highlight w:val="yellow"/>
              </w:rPr>
            </w:pPr>
            <w:r w:rsidRPr="001F151E">
              <w:rPr>
                <w:sz w:val="16"/>
                <w:szCs w:val="16"/>
              </w:rPr>
              <w:t>EUD</w:t>
            </w:r>
          </w:p>
        </w:tc>
      </w:tr>
      <w:tr w:rsidR="00345678" w:rsidRPr="001F151E" w14:paraId="77C0BF59" w14:textId="77777777" w:rsidTr="00086262">
        <w:trPr>
          <w:trHeight w:val="270"/>
        </w:trPr>
        <w:tc>
          <w:tcPr>
            <w:tcW w:w="1980" w:type="dxa"/>
            <w:vMerge/>
            <w:shd w:val="clear" w:color="auto" w:fill="auto"/>
          </w:tcPr>
          <w:p w14:paraId="397ADF13" w14:textId="77777777" w:rsidR="00345678" w:rsidRPr="001F151E" w:rsidRDefault="00345678" w:rsidP="00086262">
            <w:pPr>
              <w:pStyle w:val="T-bold"/>
            </w:pPr>
          </w:p>
        </w:tc>
        <w:tc>
          <w:tcPr>
            <w:tcW w:w="3659" w:type="dxa"/>
          </w:tcPr>
          <w:p w14:paraId="39CCB6DE" w14:textId="77777777" w:rsidR="00345678" w:rsidRPr="001F151E" w:rsidRDefault="00345678" w:rsidP="00B45892">
            <w:pPr>
              <w:pStyle w:val="T-number"/>
              <w:numPr>
                <w:ilvl w:val="0"/>
                <w:numId w:val="105"/>
              </w:numPr>
              <w:jc w:val="both"/>
            </w:pPr>
            <w:r w:rsidRPr="001F151E">
              <w:t>Develop and adopt a comprehensive guide detailing the sequential steps for financial adjustments and recovery.</w:t>
            </w:r>
          </w:p>
        </w:tc>
        <w:tc>
          <w:tcPr>
            <w:tcW w:w="798" w:type="dxa"/>
            <w:vAlign w:val="center"/>
          </w:tcPr>
          <w:p w14:paraId="7D9029C1" w14:textId="77777777" w:rsidR="00345678" w:rsidRPr="001F151E" w:rsidRDefault="00345678" w:rsidP="00086262">
            <w:pPr>
              <w:jc w:val="center"/>
              <w:rPr>
                <w:sz w:val="16"/>
                <w:szCs w:val="16"/>
              </w:rPr>
            </w:pPr>
            <w:r w:rsidRPr="001F151E">
              <w:rPr>
                <w:sz w:val="16"/>
                <w:szCs w:val="16"/>
              </w:rPr>
              <w:t>Q1 2023</w:t>
            </w:r>
          </w:p>
        </w:tc>
        <w:tc>
          <w:tcPr>
            <w:tcW w:w="798" w:type="dxa"/>
            <w:vAlign w:val="center"/>
          </w:tcPr>
          <w:p w14:paraId="1E9EB96A" w14:textId="77777777" w:rsidR="00345678" w:rsidRPr="001F151E" w:rsidRDefault="00345678" w:rsidP="00086262">
            <w:pPr>
              <w:jc w:val="center"/>
              <w:rPr>
                <w:sz w:val="16"/>
                <w:szCs w:val="16"/>
              </w:rPr>
            </w:pPr>
            <w:r w:rsidRPr="001F151E">
              <w:rPr>
                <w:sz w:val="16"/>
                <w:szCs w:val="16"/>
              </w:rPr>
              <w:t>Q4 2024</w:t>
            </w:r>
          </w:p>
        </w:tc>
        <w:tc>
          <w:tcPr>
            <w:tcW w:w="1781" w:type="dxa"/>
            <w:vMerge/>
          </w:tcPr>
          <w:p w14:paraId="4A3BEB5A" w14:textId="77777777" w:rsidR="00345678" w:rsidRPr="001F151E" w:rsidRDefault="00345678" w:rsidP="00086262">
            <w:pPr>
              <w:rPr>
                <w:sz w:val="16"/>
                <w:szCs w:val="16"/>
                <w:highlight w:val="yellow"/>
              </w:rPr>
            </w:pPr>
          </w:p>
        </w:tc>
      </w:tr>
      <w:tr w:rsidR="00345678" w:rsidRPr="001F151E" w14:paraId="6F931E18" w14:textId="77777777" w:rsidTr="00086262">
        <w:trPr>
          <w:trHeight w:val="20"/>
        </w:trPr>
        <w:tc>
          <w:tcPr>
            <w:tcW w:w="1980" w:type="dxa"/>
            <w:vMerge/>
            <w:shd w:val="clear" w:color="auto" w:fill="auto"/>
          </w:tcPr>
          <w:p w14:paraId="3879A980" w14:textId="77777777" w:rsidR="00345678" w:rsidRPr="001F151E" w:rsidRDefault="00345678" w:rsidP="00086262">
            <w:pPr>
              <w:pStyle w:val="T-bold"/>
            </w:pPr>
          </w:p>
        </w:tc>
        <w:tc>
          <w:tcPr>
            <w:tcW w:w="3659" w:type="dxa"/>
          </w:tcPr>
          <w:p w14:paraId="2E686A32" w14:textId="77777777" w:rsidR="00345678" w:rsidRPr="001F151E" w:rsidRDefault="00345678" w:rsidP="00B45892">
            <w:pPr>
              <w:pStyle w:val="T-number"/>
              <w:numPr>
                <w:ilvl w:val="0"/>
                <w:numId w:val="105"/>
              </w:numPr>
              <w:jc w:val="both"/>
            </w:pPr>
            <w:r w:rsidRPr="001F151E">
              <w:t>Develop Training modules for staff involved in executing the procedures.</w:t>
            </w:r>
          </w:p>
        </w:tc>
        <w:tc>
          <w:tcPr>
            <w:tcW w:w="798" w:type="dxa"/>
            <w:vAlign w:val="center"/>
          </w:tcPr>
          <w:p w14:paraId="76BEB9B5" w14:textId="77777777" w:rsidR="00345678" w:rsidRPr="001F151E" w:rsidRDefault="00345678" w:rsidP="00086262">
            <w:pPr>
              <w:jc w:val="center"/>
              <w:rPr>
                <w:sz w:val="16"/>
                <w:szCs w:val="16"/>
              </w:rPr>
            </w:pPr>
            <w:r w:rsidRPr="001F151E">
              <w:rPr>
                <w:sz w:val="16"/>
                <w:szCs w:val="16"/>
              </w:rPr>
              <w:t>Q1 2023</w:t>
            </w:r>
          </w:p>
        </w:tc>
        <w:tc>
          <w:tcPr>
            <w:tcW w:w="798" w:type="dxa"/>
            <w:vAlign w:val="center"/>
          </w:tcPr>
          <w:p w14:paraId="0DE741C7" w14:textId="77777777" w:rsidR="00345678" w:rsidRPr="001F151E" w:rsidRDefault="00345678" w:rsidP="00086262">
            <w:pPr>
              <w:rPr>
                <w:sz w:val="16"/>
                <w:szCs w:val="16"/>
              </w:rPr>
            </w:pPr>
            <w:r w:rsidRPr="001F151E">
              <w:rPr>
                <w:sz w:val="16"/>
                <w:szCs w:val="16"/>
              </w:rPr>
              <w:t>Q4 2025</w:t>
            </w:r>
          </w:p>
        </w:tc>
        <w:tc>
          <w:tcPr>
            <w:tcW w:w="1781" w:type="dxa"/>
            <w:vMerge/>
          </w:tcPr>
          <w:p w14:paraId="7BD32DDB" w14:textId="77777777" w:rsidR="00345678" w:rsidRPr="001F151E" w:rsidRDefault="00345678" w:rsidP="00086262">
            <w:pPr>
              <w:rPr>
                <w:sz w:val="16"/>
                <w:szCs w:val="16"/>
                <w:highlight w:val="yellow"/>
              </w:rPr>
            </w:pPr>
          </w:p>
        </w:tc>
      </w:tr>
      <w:tr w:rsidR="00345678" w:rsidRPr="001F151E" w14:paraId="0C60E1F6" w14:textId="77777777" w:rsidTr="00086262">
        <w:trPr>
          <w:trHeight w:val="270"/>
        </w:trPr>
        <w:tc>
          <w:tcPr>
            <w:tcW w:w="1980" w:type="dxa"/>
            <w:vMerge w:val="restart"/>
            <w:shd w:val="clear" w:color="auto" w:fill="auto"/>
          </w:tcPr>
          <w:p w14:paraId="79F68284" w14:textId="7019456E" w:rsidR="00345678" w:rsidRPr="001F151E" w:rsidRDefault="00345678" w:rsidP="003D53BC">
            <w:pPr>
              <w:pStyle w:val="T-bold"/>
            </w:pPr>
            <w:r w:rsidRPr="001F151E">
              <w:t>Measure 5.4.</w:t>
            </w:r>
            <w:r>
              <w:t>4</w:t>
            </w:r>
            <w:r w:rsidRPr="001F151E">
              <w:t xml:space="preserve"> Take stock of future requirements for </w:t>
            </w:r>
            <w:r w:rsidRPr="001F151E">
              <w:lastRenderedPageBreak/>
              <w:t>managing EU post-accession funds and develop an action plan</w:t>
            </w:r>
            <w:r w:rsidR="003D53BC">
              <w:t>, within the framework of chapter 22,</w:t>
            </w:r>
            <w:r w:rsidRPr="001F151E">
              <w:t xml:space="preserve"> </w:t>
            </w:r>
            <w:r w:rsidR="003D53BC">
              <w:t>which will determine the needs for improving the legal framework of funds management.</w:t>
            </w:r>
          </w:p>
        </w:tc>
        <w:tc>
          <w:tcPr>
            <w:tcW w:w="3659" w:type="dxa"/>
          </w:tcPr>
          <w:p w14:paraId="00F9EF47" w14:textId="77777777" w:rsidR="00345678" w:rsidRPr="001F151E" w:rsidRDefault="00345678" w:rsidP="00B45892">
            <w:pPr>
              <w:pStyle w:val="T-number"/>
              <w:numPr>
                <w:ilvl w:val="0"/>
                <w:numId w:val="97"/>
              </w:numPr>
              <w:jc w:val="both"/>
            </w:pPr>
            <w:r w:rsidRPr="001F151E">
              <w:lastRenderedPageBreak/>
              <w:t>Stocktaking of EU fund management modalities and systems based on examples from other EU member states.</w:t>
            </w:r>
          </w:p>
        </w:tc>
        <w:tc>
          <w:tcPr>
            <w:tcW w:w="798" w:type="dxa"/>
            <w:vAlign w:val="center"/>
          </w:tcPr>
          <w:p w14:paraId="0F5D2ADF" w14:textId="77777777" w:rsidR="00345678" w:rsidRPr="001F151E" w:rsidRDefault="00345678" w:rsidP="00086262">
            <w:pPr>
              <w:jc w:val="center"/>
              <w:rPr>
                <w:sz w:val="16"/>
                <w:szCs w:val="16"/>
              </w:rPr>
            </w:pPr>
            <w:r w:rsidRPr="001F151E">
              <w:rPr>
                <w:sz w:val="16"/>
                <w:szCs w:val="16"/>
              </w:rPr>
              <w:t>Q1 2025</w:t>
            </w:r>
          </w:p>
        </w:tc>
        <w:tc>
          <w:tcPr>
            <w:tcW w:w="798" w:type="dxa"/>
            <w:vAlign w:val="center"/>
          </w:tcPr>
          <w:p w14:paraId="044269B5" w14:textId="77777777" w:rsidR="00345678" w:rsidRPr="001F151E" w:rsidRDefault="00345678" w:rsidP="00086262">
            <w:pPr>
              <w:jc w:val="center"/>
              <w:rPr>
                <w:sz w:val="16"/>
                <w:szCs w:val="16"/>
              </w:rPr>
            </w:pPr>
            <w:r w:rsidRPr="001F151E">
              <w:rPr>
                <w:sz w:val="16"/>
                <w:szCs w:val="16"/>
              </w:rPr>
              <w:t>Q4 2026</w:t>
            </w:r>
          </w:p>
        </w:tc>
        <w:tc>
          <w:tcPr>
            <w:tcW w:w="1781" w:type="dxa"/>
            <w:vMerge w:val="restart"/>
          </w:tcPr>
          <w:p w14:paraId="02DE08AE" w14:textId="77777777" w:rsidR="00345678" w:rsidRPr="001F151E" w:rsidRDefault="00345678" w:rsidP="00086262">
            <w:pPr>
              <w:rPr>
                <w:b/>
                <w:bCs/>
                <w:sz w:val="16"/>
                <w:szCs w:val="16"/>
              </w:rPr>
            </w:pPr>
            <w:r w:rsidRPr="001F151E">
              <w:rPr>
                <w:b/>
                <w:bCs/>
                <w:sz w:val="16"/>
                <w:szCs w:val="16"/>
              </w:rPr>
              <w:t>Responsible entity:</w:t>
            </w:r>
          </w:p>
          <w:p w14:paraId="1AFFB4B9" w14:textId="7942DFF5" w:rsidR="00345678" w:rsidRPr="00454DA5" w:rsidRDefault="00345678" w:rsidP="00086262">
            <w:pPr>
              <w:pStyle w:val="EcorysBody"/>
              <w:rPr>
                <w:rFonts w:ascii="Arial" w:hAnsi="Arial" w:cs="Arial"/>
                <w:sz w:val="16"/>
                <w:szCs w:val="16"/>
              </w:rPr>
            </w:pPr>
            <w:r>
              <w:rPr>
                <w:rFonts w:ascii="Arial" w:hAnsi="Arial" w:cs="Arial"/>
                <w:sz w:val="16"/>
                <w:szCs w:val="16"/>
              </w:rPr>
              <w:t>SASPAC</w:t>
            </w:r>
            <w:r w:rsidRPr="00454DA5">
              <w:rPr>
                <w:rFonts w:ascii="Arial" w:hAnsi="Arial" w:cs="Arial"/>
                <w:sz w:val="16"/>
                <w:szCs w:val="16"/>
              </w:rPr>
              <w:t xml:space="preserve"> (lead)</w:t>
            </w:r>
          </w:p>
          <w:p w14:paraId="5EC4CD33" w14:textId="77777777" w:rsidR="00345678" w:rsidRPr="001F151E" w:rsidRDefault="00345678" w:rsidP="00086262">
            <w:pPr>
              <w:pStyle w:val="EcorysBody"/>
              <w:rPr>
                <w:rFonts w:ascii="Arial" w:hAnsi="Arial" w:cs="Arial"/>
                <w:b/>
                <w:bCs/>
                <w:sz w:val="8"/>
                <w:szCs w:val="8"/>
              </w:rPr>
            </w:pPr>
          </w:p>
          <w:p w14:paraId="3F010843"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lastRenderedPageBreak/>
              <w:t>Partners:</w:t>
            </w:r>
          </w:p>
          <w:p w14:paraId="25A6D5B2" w14:textId="77777777" w:rsidR="00345678" w:rsidRPr="001F151E" w:rsidRDefault="00345678" w:rsidP="00086262">
            <w:pPr>
              <w:rPr>
                <w:sz w:val="16"/>
                <w:szCs w:val="16"/>
                <w:highlight w:val="yellow"/>
              </w:rPr>
            </w:pPr>
            <w:r w:rsidRPr="001F151E">
              <w:rPr>
                <w:sz w:val="16"/>
                <w:szCs w:val="16"/>
              </w:rPr>
              <w:t>EUD</w:t>
            </w:r>
          </w:p>
        </w:tc>
      </w:tr>
      <w:tr w:rsidR="00345678" w:rsidRPr="001F151E" w14:paraId="0CFAA283" w14:textId="77777777" w:rsidTr="00086262">
        <w:trPr>
          <w:trHeight w:val="1012"/>
        </w:trPr>
        <w:tc>
          <w:tcPr>
            <w:tcW w:w="1980" w:type="dxa"/>
            <w:vMerge/>
          </w:tcPr>
          <w:p w14:paraId="7BC95B1A" w14:textId="77777777" w:rsidR="00345678" w:rsidRPr="001F151E" w:rsidRDefault="00345678" w:rsidP="00086262">
            <w:pPr>
              <w:pStyle w:val="T-bold"/>
            </w:pPr>
          </w:p>
        </w:tc>
        <w:tc>
          <w:tcPr>
            <w:tcW w:w="3659" w:type="dxa"/>
          </w:tcPr>
          <w:p w14:paraId="76B8F23F" w14:textId="0D886114" w:rsidR="00345678" w:rsidRPr="001F151E" w:rsidRDefault="00345678" w:rsidP="00B45892">
            <w:pPr>
              <w:pStyle w:val="T-number"/>
              <w:numPr>
                <w:ilvl w:val="0"/>
                <w:numId w:val="97"/>
              </w:numPr>
              <w:jc w:val="both"/>
            </w:pPr>
            <w:r w:rsidRPr="001F151E">
              <w:t>Implement a gap analysis and develop a action plan for (accelerated) preparation and implementation of fund management modalities and required adjustment of PFM systems.</w:t>
            </w:r>
          </w:p>
        </w:tc>
        <w:tc>
          <w:tcPr>
            <w:tcW w:w="798" w:type="dxa"/>
            <w:vAlign w:val="center"/>
          </w:tcPr>
          <w:p w14:paraId="30325A31" w14:textId="77777777" w:rsidR="00345678" w:rsidRPr="001F151E" w:rsidRDefault="00345678" w:rsidP="00086262">
            <w:pPr>
              <w:jc w:val="center"/>
              <w:rPr>
                <w:sz w:val="16"/>
                <w:szCs w:val="16"/>
              </w:rPr>
            </w:pPr>
            <w:r w:rsidRPr="001F151E">
              <w:rPr>
                <w:sz w:val="16"/>
                <w:szCs w:val="16"/>
              </w:rPr>
              <w:t>Q1 2025</w:t>
            </w:r>
          </w:p>
        </w:tc>
        <w:tc>
          <w:tcPr>
            <w:tcW w:w="798" w:type="dxa"/>
            <w:vAlign w:val="center"/>
          </w:tcPr>
          <w:p w14:paraId="16BAD4A8" w14:textId="77777777" w:rsidR="00345678" w:rsidRPr="001F151E" w:rsidRDefault="00345678" w:rsidP="00086262">
            <w:pPr>
              <w:jc w:val="center"/>
              <w:rPr>
                <w:sz w:val="16"/>
                <w:szCs w:val="16"/>
              </w:rPr>
            </w:pPr>
            <w:r w:rsidRPr="001F151E">
              <w:rPr>
                <w:sz w:val="16"/>
                <w:szCs w:val="16"/>
              </w:rPr>
              <w:t>Q4 2026</w:t>
            </w:r>
          </w:p>
        </w:tc>
        <w:tc>
          <w:tcPr>
            <w:tcW w:w="1781" w:type="dxa"/>
            <w:vMerge/>
          </w:tcPr>
          <w:p w14:paraId="187CF61E" w14:textId="77777777" w:rsidR="00345678" w:rsidRPr="001F151E" w:rsidRDefault="00345678" w:rsidP="00086262">
            <w:pPr>
              <w:rPr>
                <w:sz w:val="16"/>
                <w:szCs w:val="16"/>
                <w:highlight w:val="yellow"/>
              </w:rPr>
            </w:pPr>
          </w:p>
        </w:tc>
      </w:tr>
      <w:tr w:rsidR="00090028" w:rsidRPr="001F151E" w14:paraId="74AA1F9D" w14:textId="77777777" w:rsidTr="00086262">
        <w:trPr>
          <w:trHeight w:val="1012"/>
        </w:trPr>
        <w:tc>
          <w:tcPr>
            <w:tcW w:w="1980" w:type="dxa"/>
          </w:tcPr>
          <w:p w14:paraId="0C3DCF86" w14:textId="77777777" w:rsidR="003D53BC" w:rsidRPr="003D53BC" w:rsidRDefault="003D53BC" w:rsidP="003D53BC">
            <w:pPr>
              <w:rPr>
                <w:b/>
                <w:bCs/>
                <w:sz w:val="16"/>
                <w:szCs w:val="16"/>
              </w:rPr>
            </w:pPr>
            <w:r w:rsidRPr="003D53BC">
              <w:rPr>
                <w:b/>
                <w:bCs/>
                <w:sz w:val="16"/>
                <w:szCs w:val="16"/>
              </w:rPr>
              <w:lastRenderedPageBreak/>
              <w:t>Measure 5.4.5 Development of Simplified Cost Options (SCO)</w:t>
            </w:r>
          </w:p>
          <w:p w14:paraId="71B32C6E" w14:textId="6268EB78" w:rsidR="00090028" w:rsidRPr="001F151E" w:rsidRDefault="00090028" w:rsidP="00086262">
            <w:pPr>
              <w:pStyle w:val="T-bold"/>
            </w:pPr>
          </w:p>
        </w:tc>
        <w:tc>
          <w:tcPr>
            <w:tcW w:w="3659" w:type="dxa"/>
          </w:tcPr>
          <w:p w14:paraId="01BC7552" w14:textId="05A597E9" w:rsidR="00090028" w:rsidRPr="001F151E" w:rsidRDefault="000E0F92" w:rsidP="00B45892">
            <w:pPr>
              <w:pStyle w:val="T-number"/>
              <w:numPr>
                <w:ilvl w:val="0"/>
                <w:numId w:val="109"/>
              </w:numPr>
              <w:jc w:val="both"/>
            </w:pPr>
            <w:r>
              <w:t xml:space="preserve">Defining rules for the development and implementation of simplified cost options, including legislation, standard SCOs for specific sectors, etc. </w:t>
            </w:r>
          </w:p>
        </w:tc>
        <w:tc>
          <w:tcPr>
            <w:tcW w:w="798" w:type="dxa"/>
            <w:vAlign w:val="center"/>
          </w:tcPr>
          <w:p w14:paraId="35ED79EB" w14:textId="1931721C" w:rsidR="00090028" w:rsidRPr="001F151E" w:rsidRDefault="000E0F92" w:rsidP="00086262">
            <w:pPr>
              <w:jc w:val="center"/>
              <w:rPr>
                <w:sz w:val="16"/>
                <w:szCs w:val="16"/>
              </w:rPr>
            </w:pPr>
            <w:r>
              <w:rPr>
                <w:sz w:val="16"/>
                <w:szCs w:val="16"/>
              </w:rPr>
              <w:t>Q2 2024</w:t>
            </w:r>
          </w:p>
        </w:tc>
        <w:tc>
          <w:tcPr>
            <w:tcW w:w="798" w:type="dxa"/>
            <w:vAlign w:val="center"/>
          </w:tcPr>
          <w:p w14:paraId="726B0FE0" w14:textId="4857AF95" w:rsidR="00090028" w:rsidRPr="001F151E" w:rsidRDefault="000E0F92" w:rsidP="00086262">
            <w:pPr>
              <w:jc w:val="center"/>
              <w:rPr>
                <w:sz w:val="16"/>
                <w:szCs w:val="16"/>
              </w:rPr>
            </w:pPr>
            <w:r>
              <w:rPr>
                <w:sz w:val="16"/>
                <w:szCs w:val="16"/>
              </w:rPr>
              <w:t>Q4 2025</w:t>
            </w:r>
          </w:p>
        </w:tc>
        <w:tc>
          <w:tcPr>
            <w:tcW w:w="1781" w:type="dxa"/>
          </w:tcPr>
          <w:p w14:paraId="3D2D2B5B" w14:textId="77777777" w:rsidR="000E0F92" w:rsidRPr="001F151E" w:rsidRDefault="000E0F92" w:rsidP="000E0F92">
            <w:pPr>
              <w:rPr>
                <w:b/>
                <w:bCs/>
                <w:sz w:val="16"/>
                <w:szCs w:val="16"/>
              </w:rPr>
            </w:pPr>
            <w:r w:rsidRPr="001F151E">
              <w:rPr>
                <w:b/>
                <w:bCs/>
                <w:sz w:val="16"/>
                <w:szCs w:val="16"/>
              </w:rPr>
              <w:t>Responsible entity:</w:t>
            </w:r>
          </w:p>
          <w:p w14:paraId="08E522CB" w14:textId="1D9919F8" w:rsidR="000E0F92" w:rsidRPr="00454DA5" w:rsidRDefault="000E0F92" w:rsidP="000E0F92">
            <w:pPr>
              <w:pStyle w:val="EcorysBody"/>
              <w:rPr>
                <w:rFonts w:ascii="Arial" w:hAnsi="Arial" w:cs="Arial"/>
                <w:sz w:val="16"/>
                <w:szCs w:val="16"/>
              </w:rPr>
            </w:pPr>
            <w:r>
              <w:rPr>
                <w:rFonts w:ascii="Arial" w:hAnsi="Arial" w:cs="Arial"/>
                <w:sz w:val="16"/>
                <w:szCs w:val="16"/>
              </w:rPr>
              <w:t>SASPAC</w:t>
            </w:r>
            <w:r w:rsidRPr="00454DA5">
              <w:rPr>
                <w:rFonts w:ascii="Arial" w:hAnsi="Arial" w:cs="Arial"/>
                <w:sz w:val="16"/>
                <w:szCs w:val="16"/>
              </w:rPr>
              <w:t xml:space="preserve"> (lead)</w:t>
            </w:r>
            <w:r>
              <w:rPr>
                <w:rFonts w:ascii="Arial" w:hAnsi="Arial" w:cs="Arial"/>
                <w:sz w:val="16"/>
                <w:szCs w:val="16"/>
              </w:rPr>
              <w:t>, CFCU, Managing Authorities for Operational Programs IPA III</w:t>
            </w:r>
          </w:p>
          <w:p w14:paraId="104CFD9D" w14:textId="77777777" w:rsidR="00090028" w:rsidRPr="001F151E" w:rsidRDefault="00090028" w:rsidP="00086262">
            <w:pPr>
              <w:rPr>
                <w:sz w:val="16"/>
                <w:szCs w:val="16"/>
                <w:highlight w:val="yellow"/>
              </w:rPr>
            </w:pPr>
          </w:p>
        </w:tc>
      </w:tr>
    </w:tbl>
    <w:p w14:paraId="06392541" w14:textId="77777777" w:rsidR="00345678" w:rsidRPr="001F151E" w:rsidRDefault="00345678" w:rsidP="00345678">
      <w:pPr>
        <w:pStyle w:val="H5"/>
        <w:rPr>
          <w:highlight w:val="yellow"/>
          <w:lang w:val="en-GB"/>
        </w:rPr>
      </w:pPr>
    </w:p>
    <w:p w14:paraId="5956E1CA" w14:textId="77777777" w:rsidR="00345678" w:rsidRPr="001F151E" w:rsidRDefault="00345678" w:rsidP="00345678">
      <w:pPr>
        <w:pStyle w:val="H5"/>
        <w:rPr>
          <w:lang w:val="en-GB"/>
        </w:rPr>
      </w:pPr>
      <w:r w:rsidRPr="001F151E">
        <w:rPr>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345678" w:rsidRPr="001F151E" w14:paraId="6119A6DE" w14:textId="77777777" w:rsidTr="00086262">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20DE8B" w14:textId="77777777" w:rsidR="00345678" w:rsidRPr="001F151E" w:rsidRDefault="00345678" w:rsidP="00086262">
            <w:pPr>
              <w:pStyle w:val="T-bold"/>
              <w:spacing w:line="200" w:lineRule="exact"/>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66460" w14:textId="77777777" w:rsidR="00345678" w:rsidRPr="001F151E" w:rsidRDefault="00345678" w:rsidP="00086262">
            <w:pPr>
              <w:pStyle w:val="T-bold"/>
              <w:spacing w:line="200" w:lineRule="exact"/>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55D50" w14:textId="77777777" w:rsidR="00345678" w:rsidRPr="001F151E" w:rsidRDefault="00345678" w:rsidP="00086262">
            <w:pPr>
              <w:pStyle w:val="T-bold"/>
              <w:spacing w:line="200" w:lineRule="exact"/>
              <w:jc w:val="center"/>
            </w:pPr>
            <w:r w:rsidRPr="001F151E">
              <w:t>Target value</w:t>
            </w:r>
          </w:p>
        </w:tc>
      </w:tr>
      <w:tr w:rsidR="00345678" w:rsidRPr="001F151E" w14:paraId="70946633" w14:textId="77777777" w:rsidTr="00086262">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0238690" w14:textId="77777777" w:rsidR="00345678" w:rsidRPr="001F151E" w:rsidRDefault="00345678" w:rsidP="00086262">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DEE1C13" w14:textId="77777777" w:rsidR="00345678" w:rsidRPr="001F151E" w:rsidRDefault="00345678" w:rsidP="00086262">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7F5F9" w14:textId="77777777" w:rsidR="00345678" w:rsidRPr="001F151E" w:rsidRDefault="00345678" w:rsidP="00086262">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4089B" w14:textId="77777777" w:rsidR="00345678" w:rsidRPr="001F151E" w:rsidRDefault="00345678" w:rsidP="00086262">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AAF029" w14:textId="77777777" w:rsidR="00345678" w:rsidRPr="001F151E" w:rsidRDefault="00345678" w:rsidP="00086262">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C242B" w14:textId="77777777" w:rsidR="00345678" w:rsidRPr="001F151E" w:rsidRDefault="00345678" w:rsidP="00086262">
            <w:pPr>
              <w:pStyle w:val="T-bold"/>
              <w:spacing w:line="200" w:lineRule="exact"/>
              <w:jc w:val="center"/>
            </w:pPr>
            <w:r w:rsidRPr="001F151E">
              <w:t>2026</w:t>
            </w:r>
          </w:p>
        </w:tc>
      </w:tr>
      <w:tr w:rsidR="00345678" w:rsidRPr="001F151E" w14:paraId="0BFC17F7" w14:textId="77777777" w:rsidTr="00086262">
        <w:trPr>
          <w:trHeight w:val="21"/>
        </w:trPr>
        <w:tc>
          <w:tcPr>
            <w:tcW w:w="3114" w:type="dxa"/>
            <w:tcBorders>
              <w:top w:val="single" w:sz="4" w:space="0" w:color="auto"/>
              <w:left w:val="single" w:sz="4" w:space="0" w:color="auto"/>
              <w:bottom w:val="single" w:sz="4" w:space="0" w:color="auto"/>
              <w:right w:val="single" w:sz="4" w:space="0" w:color="auto"/>
            </w:tcBorders>
          </w:tcPr>
          <w:p w14:paraId="0821B7E7" w14:textId="77777777" w:rsidR="00345678" w:rsidRPr="001F151E" w:rsidRDefault="00345678" w:rsidP="00345678">
            <w:pPr>
              <w:pStyle w:val="T-number"/>
              <w:numPr>
                <w:ilvl w:val="0"/>
                <w:numId w:val="29"/>
              </w:numPr>
            </w:pPr>
            <w:r w:rsidRPr="001F151E">
              <w:t>IPA-III entrustment package developed and approved.</w:t>
            </w:r>
          </w:p>
        </w:tc>
        <w:tc>
          <w:tcPr>
            <w:tcW w:w="1180" w:type="dxa"/>
            <w:tcBorders>
              <w:top w:val="single" w:sz="4" w:space="0" w:color="auto"/>
              <w:left w:val="single" w:sz="4" w:space="0" w:color="auto"/>
              <w:bottom w:val="single" w:sz="4" w:space="0" w:color="auto"/>
              <w:right w:val="single" w:sz="4" w:space="0" w:color="auto"/>
            </w:tcBorders>
            <w:vAlign w:val="center"/>
          </w:tcPr>
          <w:p w14:paraId="1098D8AF" w14:textId="77777777" w:rsidR="00345678" w:rsidRPr="001F151E" w:rsidRDefault="00345678" w:rsidP="00086262">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52BD7B27" w14:textId="77777777" w:rsidR="00345678" w:rsidRPr="001F151E" w:rsidRDefault="00345678" w:rsidP="00086262">
            <w:pPr>
              <w:pStyle w:val="T-normal"/>
              <w:jc w:val="center"/>
            </w:pPr>
            <w:r w:rsidRPr="001F151E">
              <w:t>IPA-III entrustment package</w:t>
            </w:r>
          </w:p>
          <w:p w14:paraId="4A2A6F3E" w14:textId="77777777" w:rsidR="00345678" w:rsidRPr="001F151E" w:rsidRDefault="00345678" w:rsidP="00086262">
            <w:pPr>
              <w:pStyle w:val="T-normal"/>
              <w:jc w:val="center"/>
            </w:pPr>
            <w:r w:rsidRPr="001F151E">
              <w:t>developed</w:t>
            </w:r>
          </w:p>
        </w:tc>
        <w:tc>
          <w:tcPr>
            <w:tcW w:w="1180" w:type="dxa"/>
            <w:tcBorders>
              <w:top w:val="single" w:sz="4" w:space="0" w:color="auto"/>
              <w:left w:val="single" w:sz="4" w:space="0" w:color="auto"/>
              <w:bottom w:val="single" w:sz="4" w:space="0" w:color="auto"/>
              <w:right w:val="single" w:sz="4" w:space="0" w:color="auto"/>
            </w:tcBorders>
            <w:vAlign w:val="center"/>
          </w:tcPr>
          <w:p w14:paraId="58FA82D3" w14:textId="77777777" w:rsidR="00345678" w:rsidRPr="001F151E" w:rsidRDefault="00345678" w:rsidP="00086262">
            <w:pPr>
              <w:pStyle w:val="T-normal"/>
              <w:jc w:val="center"/>
            </w:pPr>
            <w:r w:rsidRPr="001F151E">
              <w:t>IPA-III entrustment package</w:t>
            </w:r>
          </w:p>
          <w:p w14:paraId="1D79C8AC" w14:textId="20EA7337" w:rsidR="00345678" w:rsidRPr="001F151E" w:rsidRDefault="004005EA" w:rsidP="00086262">
            <w:pPr>
              <w:pStyle w:val="T-normal"/>
              <w:jc w:val="center"/>
            </w:pPr>
            <w:r>
              <w:t>approved</w:t>
            </w:r>
            <w:r w:rsidR="00345678">
              <w:t xml:space="preserve"> </w:t>
            </w:r>
          </w:p>
        </w:tc>
        <w:tc>
          <w:tcPr>
            <w:tcW w:w="1181" w:type="dxa"/>
            <w:tcBorders>
              <w:top w:val="single" w:sz="4" w:space="0" w:color="auto"/>
              <w:left w:val="single" w:sz="4" w:space="0" w:color="auto"/>
              <w:bottom w:val="single" w:sz="4" w:space="0" w:color="auto"/>
              <w:right w:val="single" w:sz="4" w:space="0" w:color="auto"/>
            </w:tcBorders>
            <w:vAlign w:val="center"/>
          </w:tcPr>
          <w:p w14:paraId="6414372A" w14:textId="77777777" w:rsidR="00345678" w:rsidRPr="001F151E" w:rsidRDefault="00345678" w:rsidP="00086262">
            <w:pPr>
              <w:pStyle w:val="T-normal"/>
              <w:jc w:val="center"/>
            </w:pPr>
            <w:r w:rsidRPr="001F151E">
              <w:t>IPA-III entrustment package</w:t>
            </w:r>
          </w:p>
          <w:p w14:paraId="76952770" w14:textId="77777777" w:rsidR="00345678" w:rsidRPr="001F151E" w:rsidRDefault="00345678" w:rsidP="00086262">
            <w:pPr>
              <w:pStyle w:val="T-normal"/>
              <w:jc w:val="center"/>
            </w:pPr>
            <w:r w:rsidRPr="001F151E">
              <w:t>implemented</w:t>
            </w:r>
          </w:p>
        </w:tc>
        <w:tc>
          <w:tcPr>
            <w:tcW w:w="1181" w:type="dxa"/>
            <w:tcBorders>
              <w:top w:val="single" w:sz="4" w:space="0" w:color="auto"/>
              <w:left w:val="single" w:sz="4" w:space="0" w:color="auto"/>
              <w:bottom w:val="single" w:sz="4" w:space="0" w:color="auto"/>
              <w:right w:val="single" w:sz="4" w:space="0" w:color="auto"/>
            </w:tcBorders>
            <w:vAlign w:val="center"/>
          </w:tcPr>
          <w:p w14:paraId="5316E414" w14:textId="77777777" w:rsidR="00345678" w:rsidRPr="001F151E" w:rsidRDefault="00345678" w:rsidP="00086262">
            <w:pPr>
              <w:pStyle w:val="T-normal"/>
              <w:jc w:val="center"/>
            </w:pPr>
            <w:r w:rsidRPr="001F151E">
              <w:t>IPA-III entrustment package</w:t>
            </w:r>
          </w:p>
          <w:p w14:paraId="3038BECA" w14:textId="77777777" w:rsidR="00345678" w:rsidRPr="001F151E" w:rsidRDefault="00345678" w:rsidP="00086262">
            <w:pPr>
              <w:pStyle w:val="T-normal"/>
              <w:jc w:val="center"/>
            </w:pPr>
            <w:r w:rsidRPr="001F151E">
              <w:t>implemented</w:t>
            </w:r>
          </w:p>
        </w:tc>
      </w:tr>
      <w:tr w:rsidR="00345678" w:rsidRPr="001F151E" w14:paraId="369C630F" w14:textId="77777777" w:rsidTr="00086262">
        <w:tc>
          <w:tcPr>
            <w:tcW w:w="3114" w:type="dxa"/>
            <w:tcBorders>
              <w:top w:val="single" w:sz="4" w:space="0" w:color="auto"/>
              <w:left w:val="single" w:sz="4" w:space="0" w:color="auto"/>
              <w:bottom w:val="single" w:sz="4" w:space="0" w:color="auto"/>
              <w:right w:val="single" w:sz="4" w:space="0" w:color="auto"/>
            </w:tcBorders>
          </w:tcPr>
          <w:p w14:paraId="61300445" w14:textId="77777777" w:rsidR="00345678" w:rsidRPr="001F151E" w:rsidRDefault="00345678" w:rsidP="00B45892">
            <w:pPr>
              <w:pStyle w:val="T-number"/>
              <w:numPr>
                <w:ilvl w:val="0"/>
                <w:numId w:val="97"/>
              </w:numPr>
            </w:pPr>
            <w:r w:rsidRPr="001F151E">
              <w:t>Guideline for adjustment and recovery (GAR) of EU funds introduced</w:t>
            </w:r>
          </w:p>
        </w:tc>
        <w:tc>
          <w:tcPr>
            <w:tcW w:w="1180" w:type="dxa"/>
            <w:tcBorders>
              <w:top w:val="single" w:sz="4" w:space="0" w:color="auto"/>
              <w:left w:val="single" w:sz="4" w:space="0" w:color="auto"/>
              <w:bottom w:val="single" w:sz="4" w:space="0" w:color="auto"/>
              <w:right w:val="single" w:sz="4" w:space="0" w:color="auto"/>
            </w:tcBorders>
            <w:vAlign w:val="center"/>
          </w:tcPr>
          <w:p w14:paraId="0A20A4FC" w14:textId="77777777" w:rsidR="00345678" w:rsidRPr="001F151E" w:rsidRDefault="00345678" w:rsidP="00086262">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216609D3" w14:textId="77777777" w:rsidR="00345678" w:rsidRPr="001F151E" w:rsidRDefault="00345678" w:rsidP="00086262">
            <w:pPr>
              <w:pStyle w:val="T-normal"/>
              <w:jc w:val="center"/>
              <w:rPr>
                <w:rFonts w:ascii="Arial Narrow" w:hAnsi="Arial Narrow"/>
                <w:sz w:val="15"/>
                <w:szCs w:val="15"/>
              </w:rPr>
            </w:pPr>
            <w:r w:rsidRPr="001F151E">
              <w:rPr>
                <w:rFonts w:ascii="Arial Narrow" w:hAnsi="Arial Narrow"/>
                <w:sz w:val="15"/>
                <w:szCs w:val="15"/>
              </w:rPr>
              <w:t>-</w:t>
            </w:r>
          </w:p>
        </w:tc>
        <w:tc>
          <w:tcPr>
            <w:tcW w:w="1180" w:type="dxa"/>
            <w:tcBorders>
              <w:top w:val="single" w:sz="4" w:space="0" w:color="auto"/>
              <w:left w:val="single" w:sz="4" w:space="0" w:color="auto"/>
              <w:bottom w:val="single" w:sz="4" w:space="0" w:color="auto"/>
              <w:right w:val="single" w:sz="4" w:space="0" w:color="auto"/>
            </w:tcBorders>
            <w:vAlign w:val="center"/>
          </w:tcPr>
          <w:p w14:paraId="6293B8EB" w14:textId="77777777" w:rsidR="00345678" w:rsidRPr="001F151E" w:rsidRDefault="00345678" w:rsidP="00086262">
            <w:pPr>
              <w:pStyle w:val="T-normal"/>
              <w:jc w:val="center"/>
            </w:pPr>
            <w:r w:rsidRPr="001F151E">
              <w:t xml:space="preserve">GAR </w:t>
            </w:r>
          </w:p>
          <w:p w14:paraId="582A0455" w14:textId="77777777" w:rsidR="00345678" w:rsidRPr="001F151E" w:rsidRDefault="00345678" w:rsidP="00086262">
            <w:pPr>
              <w:pStyle w:val="T-normal"/>
              <w:jc w:val="center"/>
              <w:rPr>
                <w:rFonts w:ascii="Arial Narrow" w:hAnsi="Arial Narrow"/>
                <w:sz w:val="15"/>
                <w:szCs w:val="15"/>
              </w:rPr>
            </w:pPr>
            <w:r w:rsidRPr="001F151E">
              <w:t>adopted</w:t>
            </w:r>
          </w:p>
        </w:tc>
        <w:tc>
          <w:tcPr>
            <w:tcW w:w="1181" w:type="dxa"/>
            <w:tcBorders>
              <w:top w:val="single" w:sz="4" w:space="0" w:color="auto"/>
              <w:left w:val="single" w:sz="4" w:space="0" w:color="auto"/>
              <w:bottom w:val="single" w:sz="4" w:space="0" w:color="auto"/>
              <w:right w:val="single" w:sz="4" w:space="0" w:color="auto"/>
            </w:tcBorders>
            <w:vAlign w:val="center"/>
          </w:tcPr>
          <w:p w14:paraId="5EF51F79" w14:textId="77777777" w:rsidR="00345678" w:rsidRPr="001F151E" w:rsidRDefault="00345678" w:rsidP="00086262">
            <w:pPr>
              <w:pStyle w:val="T-normal"/>
              <w:jc w:val="center"/>
              <w:rPr>
                <w:rFonts w:ascii="Arial Narrow" w:hAnsi="Arial Narrow"/>
                <w:sz w:val="15"/>
                <w:szCs w:val="15"/>
              </w:rPr>
            </w:pPr>
            <w:r w:rsidRPr="001F151E">
              <w:t>GAR implemented</w:t>
            </w:r>
          </w:p>
        </w:tc>
        <w:tc>
          <w:tcPr>
            <w:tcW w:w="1181" w:type="dxa"/>
            <w:tcBorders>
              <w:top w:val="single" w:sz="4" w:space="0" w:color="auto"/>
              <w:left w:val="single" w:sz="4" w:space="0" w:color="auto"/>
              <w:bottom w:val="single" w:sz="4" w:space="0" w:color="auto"/>
              <w:right w:val="single" w:sz="4" w:space="0" w:color="auto"/>
            </w:tcBorders>
            <w:vAlign w:val="center"/>
          </w:tcPr>
          <w:p w14:paraId="7CC542B0" w14:textId="77777777" w:rsidR="00345678" w:rsidRPr="001F151E" w:rsidRDefault="00345678" w:rsidP="00086262">
            <w:pPr>
              <w:pStyle w:val="T-normal"/>
              <w:jc w:val="center"/>
            </w:pPr>
            <w:r w:rsidRPr="001F151E">
              <w:t>GAR implemented</w:t>
            </w:r>
          </w:p>
        </w:tc>
      </w:tr>
    </w:tbl>
    <w:p w14:paraId="2890F983" w14:textId="77777777" w:rsidR="00345678" w:rsidRPr="001F151E" w:rsidRDefault="00345678" w:rsidP="00345678">
      <w:pPr>
        <w:pStyle w:val="DefaultText"/>
      </w:pPr>
    </w:p>
    <w:bookmarkEnd w:id="56"/>
    <w:p w14:paraId="5CC0DFDE" w14:textId="77777777" w:rsidR="00345678" w:rsidRPr="001F151E" w:rsidRDefault="00345678" w:rsidP="00345678">
      <w:pPr>
        <w:spacing w:after="160" w:line="259" w:lineRule="auto"/>
        <w:rPr>
          <w:rFonts w:eastAsiaTheme="majorEastAsia" w:cstheme="majorBidi"/>
          <w:b/>
          <w:bCs/>
          <w:iCs/>
          <w:color w:val="0070C0"/>
          <w:sz w:val="26"/>
          <w:szCs w:val="26"/>
          <w:lang w:val="en-GB"/>
        </w:rPr>
      </w:pPr>
      <w:r w:rsidRPr="001F151E">
        <w:rPr>
          <w:lang w:val="en-GB"/>
        </w:rPr>
        <w:br w:type="page"/>
      </w:r>
    </w:p>
    <w:p w14:paraId="6E593A36" w14:textId="77777777" w:rsidR="00345678" w:rsidRPr="001F151E" w:rsidRDefault="00345678" w:rsidP="00345678">
      <w:pPr>
        <w:pStyle w:val="Heading1"/>
        <w:rPr>
          <w:lang w:val="en-GB"/>
        </w:rPr>
      </w:pPr>
      <w:bookmarkStart w:id="73" w:name="_Toc163148039"/>
      <w:r w:rsidRPr="001F151E">
        <w:rPr>
          <w:lang w:val="en-GB"/>
        </w:rPr>
        <w:lastRenderedPageBreak/>
        <w:t>Pillar 6 External Oversight</w:t>
      </w:r>
      <w:bookmarkEnd w:id="73"/>
    </w:p>
    <w:p w14:paraId="701B1F67" w14:textId="77777777" w:rsidR="00345678" w:rsidRPr="001F151E" w:rsidRDefault="00345678" w:rsidP="00345678">
      <w:pPr>
        <w:rPr>
          <w:lang w:val="en-GB"/>
        </w:rPr>
      </w:pPr>
    </w:p>
    <w:p w14:paraId="5B90A0F0" w14:textId="77777777" w:rsidR="00345678" w:rsidRPr="001F151E" w:rsidRDefault="00345678" w:rsidP="00345678">
      <w:pPr>
        <w:rPr>
          <w:lang w:val="en-GB"/>
        </w:rPr>
      </w:pPr>
    </w:p>
    <w:p w14:paraId="567AEE07" w14:textId="77777777" w:rsidR="00345678" w:rsidRPr="001F151E" w:rsidRDefault="00345678" w:rsidP="00345678">
      <w:pPr>
        <w:pStyle w:val="Heading2"/>
        <w:rPr>
          <w:lang w:val="en-GB"/>
        </w:rPr>
      </w:pPr>
      <w:bookmarkStart w:id="74" w:name="_Toc163148040"/>
      <w:r w:rsidRPr="001F151E">
        <w:rPr>
          <w:lang w:val="en-GB"/>
        </w:rPr>
        <w:t>Introduction</w:t>
      </w:r>
      <w:bookmarkEnd w:id="74"/>
    </w:p>
    <w:p w14:paraId="450A7063" w14:textId="77777777" w:rsidR="00345678" w:rsidRPr="001F151E" w:rsidRDefault="00345678" w:rsidP="00345678">
      <w:pPr>
        <w:rPr>
          <w:lang w:val="en-GB"/>
        </w:rPr>
      </w:pPr>
    </w:p>
    <w:p w14:paraId="3C866ABE" w14:textId="77777777" w:rsidR="00345678" w:rsidRPr="00345678" w:rsidRDefault="00345678" w:rsidP="00345678">
      <w:pPr>
        <w:spacing w:line="276" w:lineRule="auto"/>
        <w:jc w:val="both"/>
        <w:rPr>
          <w:lang w:val="en-GB"/>
        </w:rPr>
      </w:pPr>
      <w:r w:rsidRPr="001F151E">
        <w:rPr>
          <w:lang w:val="en-GB"/>
        </w:rPr>
        <w:t xml:space="preserve">Specific </w:t>
      </w:r>
      <w:r w:rsidRPr="00345678">
        <w:rPr>
          <w:lang w:val="en-GB"/>
        </w:rPr>
        <w:t xml:space="preserve">Objective of the Pillar 6 is “External oversight mechanisms strengthened” and cover supreme audit and the parliamentary oversight.  </w:t>
      </w:r>
    </w:p>
    <w:p w14:paraId="0BB9E0A1" w14:textId="77777777" w:rsidR="00345678" w:rsidRPr="00345678" w:rsidRDefault="00345678" w:rsidP="00345678">
      <w:pPr>
        <w:spacing w:line="276" w:lineRule="auto"/>
        <w:jc w:val="both"/>
        <w:rPr>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9026"/>
      </w:tblGrid>
      <w:tr w:rsidR="00345678" w:rsidRPr="001F151E" w14:paraId="5E2AC5B2" w14:textId="77777777" w:rsidTr="00086262">
        <w:trPr>
          <w:trHeight w:val="2111"/>
        </w:trPr>
        <w:tc>
          <w:tcPr>
            <w:tcW w:w="9016" w:type="dxa"/>
            <w:shd w:val="clear" w:color="auto" w:fill="F2F2F2" w:themeFill="background1" w:themeFillShade="F2"/>
          </w:tcPr>
          <w:p w14:paraId="74EB3FA6" w14:textId="77777777" w:rsidR="00345678" w:rsidRPr="00345678" w:rsidRDefault="00345678" w:rsidP="00086262">
            <w:pPr>
              <w:pStyle w:val="T-bold"/>
              <w:spacing w:after="60" w:line="276" w:lineRule="auto"/>
              <w:jc w:val="both"/>
              <w:rPr>
                <w:rStyle w:val="IntenseReference"/>
                <w:i w:val="0"/>
                <w:color w:val="auto"/>
                <w:sz w:val="16"/>
                <w:szCs w:val="16"/>
              </w:rPr>
            </w:pPr>
            <w:r w:rsidRPr="00345678">
              <w:rPr>
                <w:rStyle w:val="IntenseReference"/>
                <w:i w:val="0"/>
                <w:color w:val="auto"/>
                <w:sz w:val="16"/>
                <w:szCs w:val="16"/>
              </w:rPr>
              <w:t>Component 6.1 External Audit</w:t>
            </w:r>
          </w:p>
          <w:p w14:paraId="7FF5C839" w14:textId="77777777" w:rsidR="00345678" w:rsidRPr="00345678" w:rsidRDefault="00345678" w:rsidP="00086262">
            <w:pPr>
              <w:pStyle w:val="T-normal"/>
              <w:spacing w:after="60" w:line="276" w:lineRule="auto"/>
              <w:jc w:val="both"/>
            </w:pPr>
            <w:r w:rsidRPr="00345678">
              <w:t>Goal 2030: to ensure that the Supreme Audit function operates based on the International Organization of Supreme Audit Institutions (INTOSAI) principles and in full compliance with the international Standards for Supreme Audit Institutions (ISSAIs) through further improvement of the legal, regulatory and methodological framework and the deployment of sufficient and capacitated auditors and support staff.</w:t>
            </w:r>
          </w:p>
          <w:p w14:paraId="130F3BE7" w14:textId="77777777" w:rsidR="00345678" w:rsidRPr="00345678" w:rsidRDefault="00345678" w:rsidP="00086262">
            <w:pPr>
              <w:pStyle w:val="T-normal"/>
              <w:spacing w:line="276" w:lineRule="auto"/>
              <w:jc w:val="both"/>
            </w:pPr>
            <w:r w:rsidRPr="00345678">
              <w:t>Measure 2023-2026:</w:t>
            </w:r>
          </w:p>
          <w:p w14:paraId="4A79D6DF" w14:textId="4526E5FD" w:rsidR="00345678" w:rsidRPr="00345678" w:rsidRDefault="00600BD1" w:rsidP="00086262">
            <w:pPr>
              <w:pStyle w:val="T-Bullet"/>
              <w:spacing w:line="276" w:lineRule="auto"/>
              <w:jc w:val="both"/>
            </w:pPr>
            <w:r>
              <w:t xml:space="preserve">Measure </w:t>
            </w:r>
            <w:r w:rsidR="00345678" w:rsidRPr="00345678">
              <w:t>6.1.1 Further improve legal, regulatory and agile methodological framework and expand utilisation of audit tools;</w:t>
            </w:r>
          </w:p>
          <w:p w14:paraId="3F350D91" w14:textId="572244B0" w:rsidR="00345678" w:rsidRPr="00345678" w:rsidRDefault="00600BD1" w:rsidP="00086262">
            <w:pPr>
              <w:pStyle w:val="T-Bullet"/>
              <w:spacing w:line="276" w:lineRule="auto"/>
              <w:jc w:val="both"/>
            </w:pPr>
            <w:r>
              <w:t xml:space="preserve">Measure </w:t>
            </w:r>
            <w:r w:rsidR="00345678" w:rsidRPr="00345678">
              <w:t>6.1.2 Professionalise reporting and communication in compliance with the communication strategy and relevant principles and standards.</w:t>
            </w:r>
          </w:p>
          <w:p w14:paraId="7156445F" w14:textId="77777777" w:rsidR="00345678" w:rsidRPr="00345678" w:rsidRDefault="00345678" w:rsidP="00086262">
            <w:pPr>
              <w:pStyle w:val="T-Bullet"/>
              <w:numPr>
                <w:ilvl w:val="0"/>
                <w:numId w:val="0"/>
              </w:numPr>
              <w:spacing w:line="276" w:lineRule="auto"/>
              <w:jc w:val="both"/>
              <w:rPr>
                <w:rStyle w:val="IntenseReference"/>
                <w:i w:val="0"/>
                <w:color w:val="auto"/>
                <w:sz w:val="16"/>
                <w:szCs w:val="16"/>
              </w:rPr>
            </w:pPr>
          </w:p>
          <w:p w14:paraId="1589E268" w14:textId="77777777" w:rsidR="00345678" w:rsidRPr="00345678" w:rsidRDefault="00345678" w:rsidP="00086262">
            <w:pPr>
              <w:pStyle w:val="T-bold"/>
              <w:spacing w:after="60" w:line="276" w:lineRule="auto"/>
              <w:jc w:val="both"/>
              <w:rPr>
                <w:rStyle w:val="IntenseReference"/>
                <w:i w:val="0"/>
                <w:color w:val="auto"/>
                <w:sz w:val="16"/>
                <w:szCs w:val="16"/>
              </w:rPr>
            </w:pPr>
            <w:r w:rsidRPr="00345678">
              <w:rPr>
                <w:rStyle w:val="IntenseReference"/>
                <w:i w:val="0"/>
                <w:color w:val="auto"/>
                <w:sz w:val="16"/>
                <w:szCs w:val="16"/>
              </w:rPr>
              <w:t>Component 6.2 Parliamentary Oversight</w:t>
            </w:r>
          </w:p>
          <w:p w14:paraId="65BF66DA" w14:textId="77777777" w:rsidR="00345678" w:rsidRPr="00345678" w:rsidRDefault="00345678" w:rsidP="00086262">
            <w:pPr>
              <w:pStyle w:val="T-normal"/>
              <w:spacing w:after="60" w:line="276" w:lineRule="auto"/>
              <w:jc w:val="both"/>
              <w:rPr>
                <w:iCs/>
              </w:rPr>
            </w:pPr>
            <w:r w:rsidRPr="00345678">
              <w:rPr>
                <w:iCs/>
              </w:rPr>
              <w:t>Goal 2030: to ensure that the enabling environment and supporting structure for the Committee for Economy and Finance is professionalised following EU/OECD good practices which allows the parliament to better implement its scrutiny and oversight mandate.</w:t>
            </w:r>
          </w:p>
          <w:p w14:paraId="7AD9A670" w14:textId="77777777" w:rsidR="00345678" w:rsidRPr="00345678" w:rsidRDefault="00345678" w:rsidP="00086262">
            <w:pPr>
              <w:pStyle w:val="T-normal"/>
              <w:spacing w:line="276" w:lineRule="auto"/>
              <w:jc w:val="both"/>
            </w:pPr>
            <w:r w:rsidRPr="00345678">
              <w:t>Measure 2023-2026:</w:t>
            </w:r>
          </w:p>
          <w:p w14:paraId="0AD31073" w14:textId="1F842ADC" w:rsidR="00345678" w:rsidRPr="00345678" w:rsidRDefault="00600BD1" w:rsidP="00086262">
            <w:pPr>
              <w:pStyle w:val="T-Bullet"/>
              <w:spacing w:line="276" w:lineRule="auto"/>
              <w:jc w:val="both"/>
            </w:pPr>
            <w:r>
              <w:t>Measure</w:t>
            </w:r>
            <w:r w:rsidRPr="00345678">
              <w:t xml:space="preserve"> </w:t>
            </w:r>
            <w:r>
              <w:t xml:space="preserve">6.2.1 </w:t>
            </w:r>
            <w:r w:rsidR="00345678" w:rsidRPr="00345678">
              <w:t xml:space="preserve">Further professionalise the support function of the </w:t>
            </w:r>
            <w:r w:rsidR="00395F7F">
              <w:t xml:space="preserve">Parliamentary </w:t>
            </w:r>
            <w:r w:rsidR="00345678" w:rsidRPr="00345678">
              <w:t>Committee for Economy and Finance.</w:t>
            </w:r>
          </w:p>
        </w:tc>
      </w:tr>
    </w:tbl>
    <w:p w14:paraId="29EF272A" w14:textId="77777777" w:rsidR="00345678" w:rsidRPr="001F151E" w:rsidRDefault="00345678" w:rsidP="00345678">
      <w:pPr>
        <w:rPr>
          <w:rStyle w:val="IntenseReference"/>
          <w:rFonts w:eastAsiaTheme="majorEastAsia" w:cstheme="majorBidi"/>
          <w:i w:val="0"/>
          <w:sz w:val="22"/>
          <w:szCs w:val="22"/>
          <w:lang w:val="en-GB"/>
        </w:rPr>
      </w:pPr>
    </w:p>
    <w:p w14:paraId="56BE4681" w14:textId="77777777" w:rsidR="00345678" w:rsidRPr="001F151E" w:rsidRDefault="00345678" w:rsidP="00345678">
      <w:pPr>
        <w:rPr>
          <w:rStyle w:val="IntenseReference"/>
          <w:rFonts w:eastAsiaTheme="majorEastAsia" w:cstheme="majorBidi"/>
          <w:i w:val="0"/>
          <w:sz w:val="22"/>
          <w:szCs w:val="22"/>
          <w:lang w:val="en-GB"/>
        </w:rPr>
      </w:pPr>
    </w:p>
    <w:p w14:paraId="5CA3B14E" w14:textId="77777777" w:rsidR="00345678" w:rsidRPr="001F151E" w:rsidRDefault="00345678" w:rsidP="00345678">
      <w:pPr>
        <w:pStyle w:val="Heading2"/>
        <w:rPr>
          <w:rStyle w:val="IntenseReference"/>
          <w:rFonts w:eastAsiaTheme="majorEastAsia" w:cstheme="majorBidi"/>
          <w:i w:val="0"/>
          <w:sz w:val="22"/>
          <w:szCs w:val="22"/>
          <w:lang w:val="en-GB"/>
        </w:rPr>
      </w:pPr>
      <w:bookmarkStart w:id="75" w:name="_Toc163148041"/>
      <w:r w:rsidRPr="001F151E">
        <w:rPr>
          <w:rStyle w:val="IntenseReference"/>
          <w:rFonts w:eastAsiaTheme="majorEastAsia" w:cstheme="majorBidi"/>
          <w:i w:val="0"/>
          <w:sz w:val="22"/>
          <w:szCs w:val="22"/>
          <w:lang w:val="en-GB"/>
        </w:rPr>
        <w:t>Component 6.1 External Audit</w:t>
      </w:r>
      <w:bookmarkEnd w:id="75"/>
    </w:p>
    <w:p w14:paraId="0ED5F380" w14:textId="77777777" w:rsidR="00345678" w:rsidRPr="001F151E" w:rsidRDefault="00345678" w:rsidP="00345678">
      <w:pPr>
        <w:rPr>
          <w:lang w:val="en-GB"/>
        </w:rPr>
      </w:pPr>
    </w:p>
    <w:p w14:paraId="40EB3A22" w14:textId="77777777" w:rsidR="00345678" w:rsidRPr="001F151E" w:rsidRDefault="00345678" w:rsidP="00345678">
      <w:pPr>
        <w:pStyle w:val="H5"/>
        <w:spacing w:line="276" w:lineRule="auto"/>
        <w:jc w:val="both"/>
        <w:rPr>
          <w:rStyle w:val="Strong"/>
          <w:b/>
          <w:lang w:val="en-GB"/>
        </w:rPr>
      </w:pPr>
      <w:r w:rsidRPr="001F151E">
        <w:rPr>
          <w:rStyle w:val="Strong"/>
          <w:lang w:val="en-GB"/>
        </w:rPr>
        <w:t>Objective</w:t>
      </w:r>
    </w:p>
    <w:p w14:paraId="1B2212E1" w14:textId="77777777" w:rsidR="00345678" w:rsidRPr="001F151E" w:rsidRDefault="00345678" w:rsidP="00345678">
      <w:pPr>
        <w:spacing w:line="276" w:lineRule="auto"/>
        <w:jc w:val="both"/>
        <w:rPr>
          <w:lang w:val="en-GB"/>
        </w:rPr>
      </w:pPr>
      <w:r w:rsidRPr="001F151E">
        <w:rPr>
          <w:lang w:val="en-GB"/>
        </w:rPr>
        <w:t xml:space="preserve">The goal for 2030 is to ensure that the Supreme Audit function operates </w:t>
      </w:r>
      <w:r w:rsidRPr="00345678">
        <w:rPr>
          <w:lang w:val="en-GB"/>
        </w:rPr>
        <w:t xml:space="preserve">based on </w:t>
      </w:r>
      <w:r w:rsidRPr="00345678">
        <w:t>the International Organization of Supreme Audit Institutions</w:t>
      </w:r>
      <w:r w:rsidRPr="00345678">
        <w:rPr>
          <w:lang w:val="en-GB"/>
        </w:rPr>
        <w:t xml:space="preserve"> (INTOSAI) principles and in full compliance with the international Standards for Supreme Audit Institutions (ISSAIs) through further improvement of the legal, regulatory and methodological framework and the deployment of sufficient and capacitated auditors and support staff.</w:t>
      </w:r>
      <w:r w:rsidRPr="001F151E">
        <w:rPr>
          <w:lang w:val="en-GB"/>
        </w:rPr>
        <w:t xml:space="preserve"> </w:t>
      </w:r>
    </w:p>
    <w:p w14:paraId="053B0421" w14:textId="77777777" w:rsidR="00345678" w:rsidRPr="001F151E" w:rsidRDefault="00345678" w:rsidP="00345678">
      <w:pPr>
        <w:pStyle w:val="H5"/>
        <w:spacing w:line="276" w:lineRule="auto"/>
        <w:jc w:val="both"/>
        <w:rPr>
          <w:rStyle w:val="Strong"/>
          <w:b/>
          <w:lang w:val="en-GB"/>
        </w:rPr>
      </w:pPr>
    </w:p>
    <w:p w14:paraId="441A16EB" w14:textId="77777777" w:rsidR="00345678" w:rsidRPr="001F151E" w:rsidRDefault="00345678" w:rsidP="00345678">
      <w:pPr>
        <w:pStyle w:val="H5"/>
        <w:spacing w:line="276" w:lineRule="auto"/>
        <w:jc w:val="both"/>
        <w:rPr>
          <w:lang w:val="en-GB"/>
        </w:rPr>
      </w:pPr>
      <w:r w:rsidRPr="001F151E">
        <w:rPr>
          <w:lang w:val="en-GB"/>
        </w:rPr>
        <w:t>Context</w:t>
      </w:r>
    </w:p>
    <w:p w14:paraId="37EE004D" w14:textId="77777777" w:rsidR="00345678" w:rsidRPr="00345678" w:rsidRDefault="00345678" w:rsidP="00345678">
      <w:pPr>
        <w:spacing w:line="276" w:lineRule="auto"/>
        <w:jc w:val="both"/>
        <w:rPr>
          <w:lang w:val="en-GB"/>
        </w:rPr>
      </w:pPr>
      <w:r w:rsidRPr="001F151E">
        <w:rPr>
          <w:lang w:val="en-GB"/>
        </w:rPr>
        <w:t>ALSAI’s independence and mandate is by legislation,</w:t>
      </w:r>
      <w:r w:rsidRPr="001F151E">
        <w:rPr>
          <w:rStyle w:val="FootnoteReference"/>
          <w:lang w:val="en-GB"/>
        </w:rPr>
        <w:footnoteReference w:id="79"/>
      </w:r>
      <w:r w:rsidRPr="001F151E">
        <w:rPr>
          <w:lang w:val="en-GB"/>
        </w:rPr>
        <w:t xml:space="preserve"> and over the years the international Standards for Supreme Audit Institutions (ISSAIs) s have been adopted and the regulatory framework has been aligned to it. ALSAI audits each year in accordance with its annual audit plan based on risks selected central government institutions, State </w:t>
      </w:r>
      <w:r w:rsidRPr="00345678">
        <w:rPr>
          <w:lang w:val="en-GB"/>
        </w:rPr>
        <w:t xml:space="preserve">Owned Enterprises, Public Private Partnerships, and since 2021 all 61 LGUs in accordance with the law on local government. A renewed code of ethics has been introduced in 2018. For developing the capacity of ALSAI as an institution and its individual auditing staff, it has established collaboration with INTOSAI Development Initiative, </w:t>
      </w:r>
      <w:r w:rsidRPr="00345678">
        <w:t>the European Organization of Supreme Audit Institutions</w:t>
      </w:r>
      <w:r w:rsidRPr="00345678">
        <w:rPr>
          <w:lang w:val="en-GB"/>
        </w:rPr>
        <w:t xml:space="preserve"> (EUROSAI), the European Court of Audit (internship programmes), CEF Slovenia (training programmes), SIGMA, internal audit trainings and bilateral engagements with other SAIs. ALSAI has expanded its scope of work with also auditing gender equality and achieving SDGs. For improving its audit practices, ALSAI established cooperation with development partners for piloting the external audit of PPPs and concession contracts and for introducing IT-supported audit techniques. Also, the communication and engagement with Parliament, Government, media and citizens is enhanced and is expected to further improve with the development of the new Communication Strategy 2022-2025. Steps to improve adequate follow-up of ALSAI audit recommendations – which has been a key issue - were made through a Parliamentary regulation aimed at providing a more effective mechanism for monitoring the follow-up of audit findings. More work in this area is foreseen.</w:t>
      </w:r>
    </w:p>
    <w:p w14:paraId="408E5606" w14:textId="77777777" w:rsidR="00345678" w:rsidRPr="00345678" w:rsidRDefault="00345678" w:rsidP="00345678">
      <w:pPr>
        <w:spacing w:line="276" w:lineRule="auto"/>
        <w:jc w:val="both"/>
        <w:rPr>
          <w:lang w:val="en-GB"/>
        </w:rPr>
      </w:pPr>
    </w:p>
    <w:p w14:paraId="2F870C08" w14:textId="77777777" w:rsidR="00345678" w:rsidRPr="001F151E" w:rsidRDefault="00345678" w:rsidP="00345678">
      <w:pPr>
        <w:spacing w:line="276" w:lineRule="auto"/>
        <w:jc w:val="both"/>
        <w:rPr>
          <w:lang w:val="en-GB"/>
        </w:rPr>
      </w:pPr>
      <w:r w:rsidRPr="00345678">
        <w:rPr>
          <w:lang w:val="en-GB"/>
        </w:rPr>
        <w:t>Following t</w:t>
      </w:r>
      <w:r w:rsidRPr="00345678">
        <w:t>he Supreme Audit Institutions Performance Measurement Framework</w:t>
      </w:r>
      <w:r w:rsidRPr="00345678">
        <w:rPr>
          <w:lang w:val="en-GB"/>
        </w:rPr>
        <w:t xml:space="preserve"> (SAI-PMF) assessment</w:t>
      </w:r>
      <w:bookmarkStart w:id="76" w:name="_Hlk157521133"/>
      <w:r w:rsidRPr="00345678">
        <w:rPr>
          <w:rStyle w:val="FootnoteReference"/>
          <w:lang w:val="en-GB"/>
        </w:rPr>
        <w:footnoteReference w:id="80"/>
      </w:r>
      <w:bookmarkEnd w:id="76"/>
      <w:r w:rsidRPr="00345678">
        <w:rPr>
          <w:lang w:val="en-GB"/>
        </w:rPr>
        <w:t xml:space="preserve"> implemented in 2022, ALSAI has developed and approved its Development Strategy for 2023-2027. Some highlights of the strategy include introducing specialised audits and agile audit approaches</w:t>
      </w:r>
      <w:r w:rsidRPr="001F151E">
        <w:rPr>
          <w:lang w:val="en-GB"/>
        </w:rPr>
        <w:t>, improving communication of ALSAI with the Parliament and Citizens and continuing to expand and train its audit cadre.</w:t>
      </w:r>
    </w:p>
    <w:p w14:paraId="6AE55F4D" w14:textId="77777777" w:rsidR="00345678" w:rsidRPr="001F151E" w:rsidRDefault="00345678" w:rsidP="00345678">
      <w:pPr>
        <w:spacing w:line="276" w:lineRule="auto"/>
        <w:jc w:val="both"/>
        <w:rPr>
          <w:lang w:val="en-GB"/>
        </w:rPr>
      </w:pPr>
    </w:p>
    <w:p w14:paraId="7C86095A" w14:textId="77777777" w:rsidR="00345678" w:rsidRPr="001F151E" w:rsidRDefault="00345678" w:rsidP="00345678">
      <w:pPr>
        <w:pStyle w:val="H5"/>
        <w:spacing w:line="276" w:lineRule="auto"/>
        <w:jc w:val="both"/>
        <w:rPr>
          <w:lang w:val="en-GB"/>
        </w:rPr>
      </w:pPr>
      <w:r w:rsidRPr="001F151E">
        <w:rPr>
          <w:lang w:val="en-GB"/>
        </w:rPr>
        <w:t>Priorities</w:t>
      </w:r>
    </w:p>
    <w:p w14:paraId="3D21AF9E" w14:textId="77777777" w:rsidR="00345678" w:rsidRPr="001F151E" w:rsidRDefault="00345678" w:rsidP="00345678">
      <w:pPr>
        <w:spacing w:line="276" w:lineRule="auto"/>
        <w:jc w:val="both"/>
        <w:rPr>
          <w:lang w:val="en-GB"/>
        </w:rPr>
      </w:pPr>
      <w:r w:rsidRPr="001F151E">
        <w:rPr>
          <w:lang w:val="en-GB"/>
        </w:rPr>
        <w:t>In accordance with ALSAI’s Development Strategy</w:t>
      </w:r>
      <w:r w:rsidRPr="001F151E" w:rsidDel="000E456C">
        <w:rPr>
          <w:lang w:val="en-GB"/>
        </w:rPr>
        <w:t xml:space="preserve"> </w:t>
      </w:r>
      <w:r w:rsidRPr="001F151E">
        <w:rPr>
          <w:lang w:val="en-GB"/>
        </w:rPr>
        <w:t>for 2023-2027 the priorities for 2023-2026 are:</w:t>
      </w:r>
    </w:p>
    <w:p w14:paraId="505B05DB" w14:textId="77777777" w:rsidR="00345678" w:rsidRPr="001F151E" w:rsidRDefault="00345678" w:rsidP="00345678">
      <w:pPr>
        <w:pStyle w:val="N-Bullet"/>
        <w:spacing w:line="276" w:lineRule="auto"/>
        <w:ind w:left="284" w:hanging="284"/>
        <w:jc w:val="both"/>
        <w:rPr>
          <w:lang w:val="en-GB"/>
        </w:rPr>
      </w:pPr>
      <w:r w:rsidRPr="001F151E">
        <w:rPr>
          <w:rFonts w:eastAsia="Times New Roman"/>
          <w:lang w:val="en-GB"/>
        </w:rPr>
        <w:t>Increasing</w:t>
      </w:r>
      <w:r w:rsidRPr="001F151E">
        <w:rPr>
          <w:lang w:val="en-GB"/>
        </w:rPr>
        <w:t xml:space="preserve"> and improving the role of the ALSAI as a supporter of the Parliament for effective accountability and careful and in-depth examination of entities that use public funds; </w:t>
      </w:r>
    </w:p>
    <w:p w14:paraId="4EFC8B02" w14:textId="77777777" w:rsidR="00345678" w:rsidRPr="001F151E" w:rsidRDefault="00345678" w:rsidP="00345678">
      <w:pPr>
        <w:pStyle w:val="N-Bullet"/>
        <w:spacing w:line="276" w:lineRule="auto"/>
        <w:ind w:left="284" w:hanging="284"/>
        <w:jc w:val="both"/>
        <w:rPr>
          <w:rFonts w:eastAsia="Times New Roman"/>
          <w:lang w:val="en-GB"/>
        </w:rPr>
      </w:pPr>
      <w:r w:rsidRPr="001F151E">
        <w:rPr>
          <w:rFonts w:eastAsia="Times New Roman"/>
          <w:lang w:val="en-GB"/>
        </w:rPr>
        <w:t>Increasing the impact of audit work on good governance, through improving the level of implementation of recommendations;</w:t>
      </w:r>
    </w:p>
    <w:p w14:paraId="496DAD82" w14:textId="77777777" w:rsidR="00345678" w:rsidRPr="001F151E" w:rsidRDefault="00345678" w:rsidP="00345678">
      <w:pPr>
        <w:pStyle w:val="N-Bullet"/>
        <w:spacing w:line="276" w:lineRule="auto"/>
        <w:ind w:left="284" w:hanging="284"/>
        <w:jc w:val="both"/>
        <w:rPr>
          <w:rFonts w:eastAsia="Times New Roman"/>
          <w:lang w:val="en-GB"/>
        </w:rPr>
      </w:pPr>
      <w:r w:rsidRPr="001F151E">
        <w:rPr>
          <w:rFonts w:eastAsia="Times New Roman"/>
          <w:lang w:val="en-GB"/>
        </w:rPr>
        <w:t xml:space="preserve">Optimizing professional capacities to acquire innovative knowledge in audit work. </w:t>
      </w:r>
    </w:p>
    <w:p w14:paraId="0FA62FA4" w14:textId="77777777" w:rsidR="00345678" w:rsidRPr="001F151E" w:rsidRDefault="00345678" w:rsidP="00345678">
      <w:pPr>
        <w:rPr>
          <w:lang w:val="en-GB"/>
        </w:rPr>
      </w:pPr>
    </w:p>
    <w:p w14:paraId="757E7121" w14:textId="77777777" w:rsidR="00345678" w:rsidRPr="001F151E" w:rsidRDefault="00345678" w:rsidP="00345678">
      <w:pPr>
        <w:pStyle w:val="H5"/>
        <w:rPr>
          <w:lang w:val="en-GB"/>
        </w:rPr>
      </w:pPr>
      <w:r w:rsidRPr="001F151E">
        <w:rPr>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93"/>
        <w:gridCol w:w="3634"/>
        <w:gridCol w:w="800"/>
        <w:gridCol w:w="800"/>
        <w:gridCol w:w="1789"/>
      </w:tblGrid>
      <w:tr w:rsidR="00345678" w:rsidRPr="001F151E" w14:paraId="65468A38" w14:textId="77777777" w:rsidTr="00086262">
        <w:trPr>
          <w:trHeight w:val="20"/>
          <w:tblHeader/>
        </w:trPr>
        <w:tc>
          <w:tcPr>
            <w:tcW w:w="1993" w:type="dxa"/>
            <w:shd w:val="clear" w:color="auto" w:fill="D9D9D9" w:themeFill="background1" w:themeFillShade="D9"/>
          </w:tcPr>
          <w:p w14:paraId="0EC6F4EE" w14:textId="77777777" w:rsidR="00345678" w:rsidRPr="001F151E" w:rsidRDefault="00345678" w:rsidP="00086262">
            <w:pPr>
              <w:pStyle w:val="T-bold"/>
            </w:pPr>
            <w:r w:rsidRPr="001F151E">
              <w:t>Measure</w:t>
            </w:r>
          </w:p>
        </w:tc>
        <w:tc>
          <w:tcPr>
            <w:tcW w:w="3634" w:type="dxa"/>
            <w:shd w:val="clear" w:color="auto" w:fill="D9D9D9" w:themeFill="background1" w:themeFillShade="D9"/>
          </w:tcPr>
          <w:p w14:paraId="01AEFE58" w14:textId="77777777" w:rsidR="00345678" w:rsidRPr="001F151E" w:rsidRDefault="00345678" w:rsidP="00086262">
            <w:pPr>
              <w:pStyle w:val="T-bold"/>
            </w:pPr>
            <w:r w:rsidRPr="001F151E">
              <w:t>Activity</w:t>
            </w:r>
          </w:p>
        </w:tc>
        <w:tc>
          <w:tcPr>
            <w:tcW w:w="800" w:type="dxa"/>
            <w:shd w:val="clear" w:color="auto" w:fill="D9D9D9" w:themeFill="background1" w:themeFillShade="D9"/>
          </w:tcPr>
          <w:p w14:paraId="31602C11" w14:textId="77777777" w:rsidR="00345678" w:rsidRPr="001F151E" w:rsidRDefault="00345678" w:rsidP="00086262">
            <w:pPr>
              <w:pStyle w:val="T-bold"/>
              <w:jc w:val="center"/>
            </w:pPr>
            <w:r w:rsidRPr="001F151E">
              <w:t>Start</w:t>
            </w:r>
          </w:p>
        </w:tc>
        <w:tc>
          <w:tcPr>
            <w:tcW w:w="800" w:type="dxa"/>
            <w:shd w:val="clear" w:color="auto" w:fill="D9D9D9" w:themeFill="background1" w:themeFillShade="D9"/>
          </w:tcPr>
          <w:p w14:paraId="51876790" w14:textId="77777777" w:rsidR="00345678" w:rsidRPr="001F151E" w:rsidRDefault="00345678" w:rsidP="00086262">
            <w:pPr>
              <w:pStyle w:val="T-bold"/>
              <w:jc w:val="center"/>
            </w:pPr>
            <w:r w:rsidRPr="001F151E">
              <w:t>End</w:t>
            </w:r>
          </w:p>
        </w:tc>
        <w:tc>
          <w:tcPr>
            <w:tcW w:w="1789" w:type="dxa"/>
            <w:shd w:val="clear" w:color="auto" w:fill="D9D9D9" w:themeFill="background1" w:themeFillShade="D9"/>
          </w:tcPr>
          <w:p w14:paraId="529CD28F" w14:textId="77777777" w:rsidR="00345678" w:rsidRPr="001F151E" w:rsidRDefault="00345678" w:rsidP="00086262">
            <w:pPr>
              <w:pStyle w:val="T-bold"/>
            </w:pPr>
            <w:r w:rsidRPr="001F151E">
              <w:t>Stakeholders</w:t>
            </w:r>
          </w:p>
        </w:tc>
      </w:tr>
      <w:tr w:rsidR="00345678" w:rsidRPr="001F151E" w14:paraId="61A5B711" w14:textId="77777777" w:rsidTr="00086262">
        <w:trPr>
          <w:trHeight w:val="20"/>
        </w:trPr>
        <w:tc>
          <w:tcPr>
            <w:tcW w:w="1993" w:type="dxa"/>
            <w:vMerge w:val="restart"/>
            <w:shd w:val="clear" w:color="auto" w:fill="auto"/>
          </w:tcPr>
          <w:p w14:paraId="5E31711D"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 xml:space="preserve">Measure 6.1.1 Further improve </w:t>
            </w:r>
            <w:bookmarkStart w:id="77" w:name="_Hlk153967440"/>
            <w:r w:rsidRPr="001F151E">
              <w:rPr>
                <w:rFonts w:ascii="Arial" w:hAnsi="Arial" w:cs="Arial"/>
                <w:b/>
                <w:bCs/>
                <w:sz w:val="16"/>
                <w:szCs w:val="16"/>
              </w:rPr>
              <w:t>legal, regulatory and agile methodological framework and expand utilisation of audit tools</w:t>
            </w:r>
            <w:bookmarkEnd w:id="77"/>
          </w:p>
        </w:tc>
        <w:tc>
          <w:tcPr>
            <w:tcW w:w="3634" w:type="dxa"/>
          </w:tcPr>
          <w:p w14:paraId="29CD5F85" w14:textId="77777777" w:rsidR="00345678" w:rsidRPr="001F151E" w:rsidRDefault="00345678" w:rsidP="00C92D3C">
            <w:pPr>
              <w:pStyle w:val="EcorysBody"/>
              <w:numPr>
                <w:ilvl w:val="0"/>
                <w:numId w:val="9"/>
              </w:numPr>
              <w:jc w:val="both"/>
              <w:rPr>
                <w:rFonts w:ascii="Arial" w:hAnsi="Arial" w:cs="Arial"/>
                <w:sz w:val="16"/>
                <w:szCs w:val="16"/>
              </w:rPr>
            </w:pPr>
            <w:r w:rsidRPr="001F151E">
              <w:rPr>
                <w:rFonts w:ascii="Arial" w:hAnsi="Arial" w:cs="Arial"/>
                <w:sz w:val="16"/>
                <w:szCs w:val="16"/>
              </w:rPr>
              <w:t xml:space="preserve">Continue regular peer reviews of the functioning of the ALSAI and on the basis of this update and implement ALSAI’s strategic development plan. </w:t>
            </w:r>
          </w:p>
        </w:tc>
        <w:tc>
          <w:tcPr>
            <w:tcW w:w="800" w:type="dxa"/>
            <w:vAlign w:val="center"/>
          </w:tcPr>
          <w:p w14:paraId="46D64011" w14:textId="77777777" w:rsidR="00345678" w:rsidRPr="001F151E" w:rsidRDefault="00345678" w:rsidP="00086262">
            <w:pPr>
              <w:jc w:val="center"/>
              <w:rPr>
                <w:sz w:val="16"/>
                <w:szCs w:val="16"/>
              </w:rPr>
            </w:pPr>
            <w:r w:rsidRPr="001F151E">
              <w:rPr>
                <w:sz w:val="16"/>
                <w:szCs w:val="16"/>
              </w:rPr>
              <w:t xml:space="preserve">Q1 2024 </w:t>
            </w:r>
          </w:p>
        </w:tc>
        <w:tc>
          <w:tcPr>
            <w:tcW w:w="800" w:type="dxa"/>
            <w:vAlign w:val="center"/>
          </w:tcPr>
          <w:p w14:paraId="2464A258" w14:textId="77777777" w:rsidR="00345678" w:rsidRPr="001F151E" w:rsidRDefault="00345678" w:rsidP="00086262">
            <w:pPr>
              <w:jc w:val="center"/>
              <w:rPr>
                <w:sz w:val="16"/>
                <w:szCs w:val="16"/>
              </w:rPr>
            </w:pPr>
            <w:r w:rsidRPr="001F151E">
              <w:rPr>
                <w:sz w:val="16"/>
                <w:szCs w:val="16"/>
              </w:rPr>
              <w:t>Q4 2026</w:t>
            </w:r>
          </w:p>
        </w:tc>
        <w:tc>
          <w:tcPr>
            <w:tcW w:w="1789" w:type="dxa"/>
            <w:vMerge w:val="restart"/>
          </w:tcPr>
          <w:p w14:paraId="43B4DF76" w14:textId="77777777" w:rsidR="00345678" w:rsidRPr="001F151E" w:rsidRDefault="00345678" w:rsidP="00086262">
            <w:pPr>
              <w:rPr>
                <w:b/>
                <w:bCs/>
                <w:sz w:val="16"/>
                <w:szCs w:val="16"/>
              </w:rPr>
            </w:pPr>
            <w:r w:rsidRPr="001F151E">
              <w:rPr>
                <w:b/>
                <w:bCs/>
                <w:sz w:val="16"/>
                <w:szCs w:val="16"/>
              </w:rPr>
              <w:t>Responsible entity:</w:t>
            </w:r>
          </w:p>
          <w:p w14:paraId="0CED9560"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ALSAI (lead)</w:t>
            </w:r>
          </w:p>
          <w:p w14:paraId="11883FBF" w14:textId="77777777" w:rsidR="00345678" w:rsidRPr="001F151E" w:rsidRDefault="00345678" w:rsidP="00086262">
            <w:pPr>
              <w:pStyle w:val="EcorysBody"/>
              <w:rPr>
                <w:rFonts w:ascii="Arial" w:hAnsi="Arial" w:cs="Arial"/>
                <w:b/>
                <w:bCs/>
                <w:sz w:val="16"/>
                <w:szCs w:val="16"/>
              </w:rPr>
            </w:pPr>
          </w:p>
          <w:p w14:paraId="33023AE2"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Partners:</w:t>
            </w:r>
          </w:p>
          <w:p w14:paraId="7799C84A" w14:textId="3B65A055" w:rsidR="00345678" w:rsidRPr="001F151E" w:rsidRDefault="00345678" w:rsidP="00997552">
            <w:pPr>
              <w:pStyle w:val="EcorysBody"/>
              <w:rPr>
                <w:rFonts w:ascii="Arial" w:hAnsi="Arial" w:cs="Arial"/>
                <w:sz w:val="16"/>
                <w:szCs w:val="16"/>
              </w:rPr>
            </w:pPr>
            <w:r w:rsidRPr="001F151E">
              <w:rPr>
                <w:rFonts w:ascii="Arial" w:hAnsi="Arial" w:cs="Arial"/>
                <w:sz w:val="16"/>
                <w:szCs w:val="16"/>
              </w:rPr>
              <w:t>INTOSAI-IDI</w:t>
            </w:r>
          </w:p>
        </w:tc>
      </w:tr>
      <w:tr w:rsidR="00345678" w:rsidRPr="001F151E" w14:paraId="3D0640DE" w14:textId="77777777" w:rsidTr="00086262">
        <w:trPr>
          <w:trHeight w:val="607"/>
        </w:trPr>
        <w:tc>
          <w:tcPr>
            <w:tcW w:w="1993" w:type="dxa"/>
            <w:vMerge/>
            <w:shd w:val="clear" w:color="auto" w:fill="auto"/>
          </w:tcPr>
          <w:p w14:paraId="2D6CEE81" w14:textId="77777777" w:rsidR="00345678" w:rsidRPr="001F151E" w:rsidRDefault="00345678" w:rsidP="00086262">
            <w:pPr>
              <w:pStyle w:val="EcorysBody"/>
              <w:numPr>
                <w:ilvl w:val="0"/>
                <w:numId w:val="9"/>
              </w:numPr>
              <w:rPr>
                <w:rFonts w:ascii="Arial" w:hAnsi="Arial" w:cs="Arial"/>
                <w:sz w:val="16"/>
                <w:szCs w:val="16"/>
              </w:rPr>
            </w:pPr>
          </w:p>
        </w:tc>
        <w:tc>
          <w:tcPr>
            <w:tcW w:w="3634" w:type="dxa"/>
          </w:tcPr>
          <w:p w14:paraId="470690D9" w14:textId="2FD88E5D" w:rsidR="00345678" w:rsidRPr="001F151E" w:rsidRDefault="00B15481" w:rsidP="00B15481">
            <w:pPr>
              <w:pStyle w:val="EcorysBody"/>
              <w:numPr>
                <w:ilvl w:val="0"/>
                <w:numId w:val="9"/>
              </w:numPr>
              <w:jc w:val="both"/>
              <w:rPr>
                <w:rFonts w:ascii="Arial" w:hAnsi="Arial" w:cs="Arial"/>
                <w:sz w:val="16"/>
                <w:szCs w:val="16"/>
              </w:rPr>
            </w:pPr>
            <w:r>
              <w:rPr>
                <w:rFonts w:ascii="Arial" w:hAnsi="Arial" w:cs="Arial"/>
                <w:sz w:val="16"/>
                <w:szCs w:val="16"/>
              </w:rPr>
              <w:t xml:space="preserve">Define </w:t>
            </w:r>
            <w:r w:rsidR="00345678" w:rsidRPr="001F151E">
              <w:rPr>
                <w:rFonts w:ascii="Arial" w:hAnsi="Arial" w:cs="Arial"/>
                <w:sz w:val="16"/>
                <w:szCs w:val="16"/>
              </w:rPr>
              <w:t xml:space="preserve">amendments in the </w:t>
            </w:r>
            <w:r>
              <w:rPr>
                <w:rFonts w:ascii="Arial" w:hAnsi="Arial" w:cs="Arial"/>
                <w:sz w:val="16"/>
                <w:szCs w:val="16"/>
              </w:rPr>
              <w:t>ALSAI’s Organic Law</w:t>
            </w:r>
            <w:r w:rsidR="00345678" w:rsidRPr="001F151E">
              <w:rPr>
                <w:rFonts w:ascii="Arial" w:hAnsi="Arial" w:cs="Arial"/>
                <w:sz w:val="16"/>
                <w:szCs w:val="16"/>
              </w:rPr>
              <w:t xml:space="preserve"> to further strengthen the independence and the constitutional mandate of ALSAI.</w:t>
            </w:r>
          </w:p>
        </w:tc>
        <w:tc>
          <w:tcPr>
            <w:tcW w:w="800" w:type="dxa"/>
            <w:vAlign w:val="center"/>
          </w:tcPr>
          <w:p w14:paraId="61EFA155" w14:textId="466C6781" w:rsidR="00345678" w:rsidRPr="001F151E" w:rsidRDefault="00345678" w:rsidP="00997552">
            <w:pPr>
              <w:jc w:val="center"/>
              <w:rPr>
                <w:color w:val="FF0000"/>
                <w:sz w:val="16"/>
                <w:szCs w:val="16"/>
              </w:rPr>
            </w:pPr>
            <w:r w:rsidRPr="001F151E">
              <w:rPr>
                <w:sz w:val="16"/>
                <w:szCs w:val="16"/>
              </w:rPr>
              <w:t>Q</w:t>
            </w:r>
            <w:r w:rsidR="00997552">
              <w:rPr>
                <w:sz w:val="16"/>
                <w:szCs w:val="16"/>
              </w:rPr>
              <w:t>4</w:t>
            </w:r>
            <w:r w:rsidRPr="001F151E">
              <w:rPr>
                <w:sz w:val="16"/>
                <w:szCs w:val="16"/>
              </w:rPr>
              <w:t xml:space="preserve"> 2023</w:t>
            </w:r>
          </w:p>
        </w:tc>
        <w:tc>
          <w:tcPr>
            <w:tcW w:w="800" w:type="dxa"/>
            <w:vAlign w:val="center"/>
          </w:tcPr>
          <w:p w14:paraId="410D252D" w14:textId="672AF333" w:rsidR="00345678" w:rsidRPr="001F151E" w:rsidRDefault="00345678" w:rsidP="00997552">
            <w:pPr>
              <w:jc w:val="center"/>
              <w:rPr>
                <w:color w:val="FF0000"/>
                <w:sz w:val="16"/>
                <w:szCs w:val="16"/>
              </w:rPr>
            </w:pPr>
            <w:r w:rsidRPr="001F151E">
              <w:rPr>
                <w:sz w:val="16"/>
                <w:szCs w:val="16"/>
              </w:rPr>
              <w:t>Q</w:t>
            </w:r>
            <w:r w:rsidR="00997552">
              <w:rPr>
                <w:sz w:val="16"/>
                <w:szCs w:val="16"/>
              </w:rPr>
              <w:t>4</w:t>
            </w:r>
            <w:r w:rsidRPr="001F151E">
              <w:rPr>
                <w:sz w:val="16"/>
                <w:szCs w:val="16"/>
              </w:rPr>
              <w:t xml:space="preserve"> 2024</w:t>
            </w:r>
          </w:p>
        </w:tc>
        <w:tc>
          <w:tcPr>
            <w:tcW w:w="1789" w:type="dxa"/>
            <w:vMerge/>
          </w:tcPr>
          <w:p w14:paraId="30580D62" w14:textId="77777777" w:rsidR="00345678" w:rsidRPr="001F151E" w:rsidRDefault="00345678" w:rsidP="00086262">
            <w:pPr>
              <w:rPr>
                <w:sz w:val="16"/>
                <w:szCs w:val="16"/>
              </w:rPr>
            </w:pPr>
          </w:p>
        </w:tc>
      </w:tr>
      <w:tr w:rsidR="00345678" w:rsidRPr="001F151E" w14:paraId="2F6C920A" w14:textId="77777777" w:rsidTr="00086262">
        <w:trPr>
          <w:trHeight w:val="910"/>
        </w:trPr>
        <w:tc>
          <w:tcPr>
            <w:tcW w:w="1993" w:type="dxa"/>
            <w:vMerge/>
            <w:shd w:val="clear" w:color="auto" w:fill="auto"/>
          </w:tcPr>
          <w:p w14:paraId="33F35D71" w14:textId="77777777" w:rsidR="00345678" w:rsidRPr="001F151E" w:rsidRDefault="00345678" w:rsidP="00086262">
            <w:pPr>
              <w:pStyle w:val="EcorysBody"/>
              <w:numPr>
                <w:ilvl w:val="0"/>
                <w:numId w:val="9"/>
              </w:numPr>
              <w:rPr>
                <w:rFonts w:ascii="Arial" w:hAnsi="Arial" w:cs="Arial"/>
                <w:sz w:val="16"/>
                <w:szCs w:val="16"/>
              </w:rPr>
            </w:pPr>
          </w:p>
        </w:tc>
        <w:tc>
          <w:tcPr>
            <w:tcW w:w="3634" w:type="dxa"/>
          </w:tcPr>
          <w:p w14:paraId="1A5474E5" w14:textId="5C0FCC55" w:rsidR="00345678" w:rsidRPr="001F151E" w:rsidRDefault="00345678" w:rsidP="00C92D3C">
            <w:pPr>
              <w:pStyle w:val="EcorysBody"/>
              <w:numPr>
                <w:ilvl w:val="0"/>
                <w:numId w:val="9"/>
              </w:numPr>
              <w:jc w:val="both"/>
              <w:rPr>
                <w:rFonts w:ascii="Arial" w:hAnsi="Arial" w:cs="Arial"/>
                <w:sz w:val="16"/>
                <w:szCs w:val="16"/>
              </w:rPr>
            </w:pPr>
            <w:r w:rsidRPr="001F151E">
              <w:rPr>
                <w:rFonts w:ascii="Arial" w:hAnsi="Arial" w:cs="Arial"/>
                <w:sz w:val="16"/>
                <w:szCs w:val="16"/>
              </w:rPr>
              <w:t xml:space="preserve">Develop/introduce IT applications for the use of Computer Aided Audit Techniques in some types of </w:t>
            </w:r>
            <w:r w:rsidR="00C92D3C" w:rsidRPr="001F151E">
              <w:rPr>
                <w:rFonts w:ascii="Arial" w:hAnsi="Arial" w:cs="Arial"/>
                <w:sz w:val="16"/>
                <w:szCs w:val="16"/>
              </w:rPr>
              <w:t>audits</w:t>
            </w:r>
            <w:r w:rsidRPr="001F151E">
              <w:rPr>
                <w:rFonts w:ascii="Arial" w:hAnsi="Arial" w:cs="Arial"/>
                <w:sz w:val="16"/>
                <w:szCs w:val="16"/>
              </w:rPr>
              <w:t xml:space="preserve"> (compliance, financial and performance).</w:t>
            </w:r>
          </w:p>
        </w:tc>
        <w:tc>
          <w:tcPr>
            <w:tcW w:w="800" w:type="dxa"/>
            <w:vAlign w:val="center"/>
          </w:tcPr>
          <w:p w14:paraId="35153B8D" w14:textId="77777777" w:rsidR="00345678" w:rsidRPr="001F151E" w:rsidRDefault="00345678" w:rsidP="00086262">
            <w:pPr>
              <w:jc w:val="center"/>
              <w:rPr>
                <w:sz w:val="16"/>
                <w:szCs w:val="16"/>
              </w:rPr>
            </w:pPr>
            <w:r w:rsidRPr="001F151E">
              <w:rPr>
                <w:sz w:val="16"/>
                <w:szCs w:val="16"/>
              </w:rPr>
              <w:t>Q1 2024</w:t>
            </w:r>
          </w:p>
        </w:tc>
        <w:tc>
          <w:tcPr>
            <w:tcW w:w="800" w:type="dxa"/>
            <w:vAlign w:val="center"/>
          </w:tcPr>
          <w:p w14:paraId="0A9A5935" w14:textId="77777777" w:rsidR="00345678" w:rsidRPr="001F151E" w:rsidRDefault="00345678" w:rsidP="00086262">
            <w:pPr>
              <w:jc w:val="center"/>
              <w:rPr>
                <w:sz w:val="16"/>
                <w:szCs w:val="16"/>
              </w:rPr>
            </w:pPr>
            <w:r w:rsidRPr="001F151E">
              <w:rPr>
                <w:sz w:val="16"/>
                <w:szCs w:val="16"/>
              </w:rPr>
              <w:t>Q4 2026</w:t>
            </w:r>
          </w:p>
        </w:tc>
        <w:tc>
          <w:tcPr>
            <w:tcW w:w="1789" w:type="dxa"/>
            <w:vMerge/>
          </w:tcPr>
          <w:p w14:paraId="5E5CF695" w14:textId="77777777" w:rsidR="00345678" w:rsidRPr="001F151E" w:rsidRDefault="00345678" w:rsidP="00086262">
            <w:pPr>
              <w:rPr>
                <w:sz w:val="16"/>
                <w:szCs w:val="16"/>
              </w:rPr>
            </w:pPr>
          </w:p>
        </w:tc>
      </w:tr>
      <w:tr w:rsidR="00345678" w:rsidRPr="001F151E" w14:paraId="4D971F96" w14:textId="77777777" w:rsidTr="00086262">
        <w:trPr>
          <w:trHeight w:val="20"/>
        </w:trPr>
        <w:tc>
          <w:tcPr>
            <w:tcW w:w="1993" w:type="dxa"/>
            <w:vMerge w:val="restart"/>
            <w:shd w:val="clear" w:color="auto" w:fill="auto"/>
          </w:tcPr>
          <w:p w14:paraId="732B504A"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Measure 6.1.2 Professionalise reporting and communication in compliance with the communication strategy and relevant principles and standards</w:t>
            </w:r>
          </w:p>
        </w:tc>
        <w:tc>
          <w:tcPr>
            <w:tcW w:w="3634" w:type="dxa"/>
          </w:tcPr>
          <w:p w14:paraId="5FB40BBC" w14:textId="77777777" w:rsidR="00345678" w:rsidRPr="001F151E" w:rsidRDefault="00345678" w:rsidP="00C92D3C">
            <w:pPr>
              <w:pStyle w:val="EcorysBody"/>
              <w:numPr>
                <w:ilvl w:val="0"/>
                <w:numId w:val="10"/>
              </w:numPr>
              <w:jc w:val="both"/>
              <w:rPr>
                <w:rFonts w:ascii="Arial" w:hAnsi="Arial" w:cs="Arial"/>
                <w:sz w:val="16"/>
                <w:szCs w:val="16"/>
              </w:rPr>
            </w:pPr>
            <w:r w:rsidRPr="001F151E">
              <w:rPr>
                <w:rFonts w:ascii="Arial" w:hAnsi="Arial" w:cs="Arial"/>
                <w:sz w:val="16"/>
                <w:szCs w:val="16"/>
              </w:rPr>
              <w:t>Improve the quality of the audit reports customised to the demands of its readers and expand the use of all communication tools to continuously promote the role of the ALSAI</w:t>
            </w:r>
          </w:p>
        </w:tc>
        <w:tc>
          <w:tcPr>
            <w:tcW w:w="800" w:type="dxa"/>
            <w:vAlign w:val="center"/>
          </w:tcPr>
          <w:p w14:paraId="19331805" w14:textId="77777777" w:rsidR="00345678" w:rsidRPr="001F151E" w:rsidRDefault="00345678" w:rsidP="00086262">
            <w:pPr>
              <w:jc w:val="center"/>
              <w:rPr>
                <w:sz w:val="16"/>
                <w:szCs w:val="16"/>
              </w:rPr>
            </w:pPr>
            <w:r w:rsidRPr="001F151E">
              <w:rPr>
                <w:sz w:val="16"/>
                <w:szCs w:val="16"/>
              </w:rPr>
              <w:t>Q1 2023</w:t>
            </w:r>
          </w:p>
        </w:tc>
        <w:tc>
          <w:tcPr>
            <w:tcW w:w="800" w:type="dxa"/>
            <w:vAlign w:val="center"/>
          </w:tcPr>
          <w:p w14:paraId="582D40CC" w14:textId="77777777" w:rsidR="00345678" w:rsidRPr="001F151E" w:rsidRDefault="00345678" w:rsidP="00086262">
            <w:pPr>
              <w:jc w:val="center"/>
              <w:rPr>
                <w:sz w:val="16"/>
                <w:szCs w:val="16"/>
              </w:rPr>
            </w:pPr>
            <w:r w:rsidRPr="001F151E">
              <w:rPr>
                <w:sz w:val="16"/>
                <w:szCs w:val="16"/>
              </w:rPr>
              <w:t>Q4 2024</w:t>
            </w:r>
          </w:p>
        </w:tc>
        <w:tc>
          <w:tcPr>
            <w:tcW w:w="1789" w:type="dxa"/>
            <w:vMerge w:val="restart"/>
          </w:tcPr>
          <w:p w14:paraId="5B1BA8CD" w14:textId="77777777" w:rsidR="00345678" w:rsidRPr="001F151E" w:rsidRDefault="00345678" w:rsidP="00086262">
            <w:pPr>
              <w:rPr>
                <w:b/>
                <w:bCs/>
                <w:sz w:val="16"/>
                <w:szCs w:val="16"/>
              </w:rPr>
            </w:pPr>
            <w:r w:rsidRPr="001F151E">
              <w:rPr>
                <w:b/>
                <w:bCs/>
                <w:sz w:val="16"/>
                <w:szCs w:val="16"/>
              </w:rPr>
              <w:t xml:space="preserve">Responsible entity: </w:t>
            </w:r>
          </w:p>
          <w:p w14:paraId="4F27A061" w14:textId="77777777" w:rsidR="00345678" w:rsidRPr="001F151E" w:rsidRDefault="00345678" w:rsidP="00086262">
            <w:pPr>
              <w:rPr>
                <w:sz w:val="16"/>
                <w:szCs w:val="16"/>
              </w:rPr>
            </w:pPr>
            <w:r w:rsidRPr="001F151E">
              <w:rPr>
                <w:sz w:val="16"/>
                <w:szCs w:val="16"/>
              </w:rPr>
              <w:t>ALSAI (lead)</w:t>
            </w:r>
          </w:p>
          <w:p w14:paraId="3E409642" w14:textId="77777777" w:rsidR="00345678" w:rsidRPr="001F151E" w:rsidRDefault="00345678" w:rsidP="00086262">
            <w:pPr>
              <w:pStyle w:val="EcorysBody"/>
              <w:rPr>
                <w:rFonts w:ascii="Arial" w:hAnsi="Arial" w:cs="Arial"/>
                <w:b/>
                <w:bCs/>
                <w:sz w:val="16"/>
                <w:szCs w:val="16"/>
              </w:rPr>
            </w:pPr>
          </w:p>
          <w:p w14:paraId="4ED146D4" w14:textId="77777777" w:rsidR="00345678" w:rsidRPr="001F151E" w:rsidRDefault="00345678" w:rsidP="00086262">
            <w:pPr>
              <w:pStyle w:val="EcorysBody"/>
              <w:rPr>
                <w:sz w:val="16"/>
                <w:szCs w:val="16"/>
              </w:rPr>
            </w:pPr>
          </w:p>
        </w:tc>
      </w:tr>
      <w:tr w:rsidR="00345678" w:rsidRPr="001F151E" w14:paraId="5E12C01E" w14:textId="77777777" w:rsidTr="00086262">
        <w:trPr>
          <w:trHeight w:val="20"/>
        </w:trPr>
        <w:tc>
          <w:tcPr>
            <w:tcW w:w="1993" w:type="dxa"/>
            <w:vMerge/>
            <w:shd w:val="clear" w:color="auto" w:fill="auto"/>
          </w:tcPr>
          <w:p w14:paraId="39A39EE6" w14:textId="77777777" w:rsidR="00345678" w:rsidRPr="001F151E" w:rsidRDefault="00345678" w:rsidP="00086262">
            <w:pPr>
              <w:pStyle w:val="EcorysBody"/>
              <w:numPr>
                <w:ilvl w:val="0"/>
                <w:numId w:val="10"/>
              </w:numPr>
              <w:rPr>
                <w:rFonts w:ascii="Arial" w:hAnsi="Arial" w:cs="Arial"/>
                <w:sz w:val="16"/>
                <w:szCs w:val="16"/>
              </w:rPr>
            </w:pPr>
          </w:p>
        </w:tc>
        <w:tc>
          <w:tcPr>
            <w:tcW w:w="3634" w:type="dxa"/>
          </w:tcPr>
          <w:p w14:paraId="5513BC7D" w14:textId="77777777" w:rsidR="00345678" w:rsidRPr="001F151E" w:rsidRDefault="00345678" w:rsidP="00C92D3C">
            <w:pPr>
              <w:pStyle w:val="EcorysBody"/>
              <w:numPr>
                <w:ilvl w:val="0"/>
                <w:numId w:val="10"/>
              </w:numPr>
              <w:jc w:val="both"/>
              <w:rPr>
                <w:rFonts w:ascii="Arial" w:hAnsi="Arial" w:cs="Arial"/>
                <w:sz w:val="16"/>
                <w:szCs w:val="16"/>
              </w:rPr>
            </w:pPr>
            <w:r w:rsidRPr="001F151E">
              <w:rPr>
                <w:rFonts w:ascii="Arial" w:hAnsi="Arial" w:cs="Arial"/>
                <w:sz w:val="16"/>
                <w:szCs w:val="16"/>
              </w:rPr>
              <w:t>Expand monitoring, reporting and communication on follow-up on audit recommendations by auditees.</w:t>
            </w:r>
          </w:p>
        </w:tc>
        <w:tc>
          <w:tcPr>
            <w:tcW w:w="800" w:type="dxa"/>
            <w:vAlign w:val="center"/>
          </w:tcPr>
          <w:p w14:paraId="7132E691" w14:textId="77777777" w:rsidR="00345678" w:rsidRPr="001F151E" w:rsidRDefault="00345678" w:rsidP="00086262">
            <w:pPr>
              <w:jc w:val="center"/>
              <w:rPr>
                <w:sz w:val="16"/>
                <w:szCs w:val="16"/>
              </w:rPr>
            </w:pPr>
            <w:r w:rsidRPr="001F151E">
              <w:rPr>
                <w:sz w:val="16"/>
                <w:szCs w:val="16"/>
              </w:rPr>
              <w:t>Q1 2023</w:t>
            </w:r>
          </w:p>
        </w:tc>
        <w:tc>
          <w:tcPr>
            <w:tcW w:w="800" w:type="dxa"/>
            <w:vAlign w:val="center"/>
          </w:tcPr>
          <w:p w14:paraId="48C43CBD" w14:textId="77777777" w:rsidR="00345678" w:rsidRPr="001F151E" w:rsidRDefault="00345678" w:rsidP="00086262">
            <w:pPr>
              <w:jc w:val="center"/>
              <w:rPr>
                <w:sz w:val="16"/>
                <w:szCs w:val="16"/>
              </w:rPr>
            </w:pPr>
            <w:r w:rsidRPr="001F151E">
              <w:rPr>
                <w:sz w:val="16"/>
                <w:szCs w:val="16"/>
              </w:rPr>
              <w:t>Q4 2026</w:t>
            </w:r>
          </w:p>
        </w:tc>
        <w:tc>
          <w:tcPr>
            <w:tcW w:w="1789" w:type="dxa"/>
            <w:vMerge/>
          </w:tcPr>
          <w:p w14:paraId="2B5B0670" w14:textId="77777777" w:rsidR="00345678" w:rsidRPr="001F151E" w:rsidRDefault="00345678" w:rsidP="00086262">
            <w:pPr>
              <w:rPr>
                <w:sz w:val="16"/>
                <w:szCs w:val="16"/>
              </w:rPr>
            </w:pPr>
          </w:p>
        </w:tc>
      </w:tr>
    </w:tbl>
    <w:p w14:paraId="1061190A" w14:textId="77777777" w:rsidR="00345678" w:rsidRPr="001F151E" w:rsidRDefault="00345678" w:rsidP="00345678">
      <w:pPr>
        <w:spacing w:after="160" w:line="259" w:lineRule="auto"/>
        <w:rPr>
          <w:rStyle w:val="IntenseReference"/>
          <w:b/>
          <w:bCs/>
          <w:i w:val="0"/>
          <w:lang w:val="en-GB"/>
        </w:rPr>
      </w:pPr>
    </w:p>
    <w:p w14:paraId="780A5BD0" w14:textId="77777777" w:rsidR="00345678" w:rsidRPr="001F151E" w:rsidRDefault="00345678" w:rsidP="00345678">
      <w:pPr>
        <w:pStyle w:val="H5"/>
        <w:rPr>
          <w:rStyle w:val="IntenseReference"/>
          <w:i w:val="0"/>
          <w:lang w:val="en-GB"/>
        </w:rPr>
      </w:pPr>
      <w:r w:rsidRPr="001F151E">
        <w:rPr>
          <w:rStyle w:val="IntenseReference"/>
          <w:i w:val="0"/>
          <w:lang w:val="en-GB"/>
        </w:rPr>
        <w:t>Performance indicators and milestones</w:t>
      </w:r>
    </w:p>
    <w:tbl>
      <w:tblPr>
        <w:tblStyle w:val="TableGrid"/>
        <w:tblW w:w="9017" w:type="dxa"/>
        <w:tblLayout w:type="fixed"/>
        <w:tblCellMar>
          <w:top w:w="28" w:type="dxa"/>
          <w:left w:w="57" w:type="dxa"/>
          <w:bottom w:w="28" w:type="dxa"/>
          <w:right w:w="57" w:type="dxa"/>
        </w:tblCellMar>
        <w:tblLook w:val="04A0" w:firstRow="1" w:lastRow="0" w:firstColumn="1" w:lastColumn="0" w:noHBand="0" w:noVBand="1"/>
      </w:tblPr>
      <w:tblGrid>
        <w:gridCol w:w="3114"/>
        <w:gridCol w:w="1180"/>
        <w:gridCol w:w="1181"/>
        <w:gridCol w:w="1180"/>
        <w:gridCol w:w="1181"/>
        <w:gridCol w:w="1181"/>
      </w:tblGrid>
      <w:tr w:rsidR="00345678" w:rsidRPr="001F151E" w14:paraId="32C01D7F" w14:textId="77777777" w:rsidTr="00086262">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7129D5" w14:textId="77777777" w:rsidR="00345678" w:rsidRPr="001F151E" w:rsidRDefault="00345678" w:rsidP="00086262">
            <w:pPr>
              <w:pStyle w:val="T-bold"/>
              <w:spacing w:line="200" w:lineRule="exact"/>
            </w:pPr>
            <w:r w:rsidRPr="001F151E">
              <w:t>Indicator</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5EA02D" w14:textId="77777777" w:rsidR="00345678" w:rsidRPr="001F151E" w:rsidRDefault="00345678" w:rsidP="00086262">
            <w:pPr>
              <w:pStyle w:val="T-bold"/>
              <w:spacing w:line="200" w:lineRule="exact"/>
              <w:jc w:val="center"/>
            </w:pPr>
            <w:r w:rsidRPr="001F151E">
              <w:t>Baseline value (year)</w:t>
            </w:r>
          </w:p>
        </w:tc>
        <w:tc>
          <w:tcPr>
            <w:tcW w:w="47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33C958" w14:textId="77777777" w:rsidR="00345678" w:rsidRPr="001F151E" w:rsidRDefault="00345678" w:rsidP="00086262">
            <w:pPr>
              <w:pStyle w:val="T-bold"/>
              <w:spacing w:line="200" w:lineRule="exact"/>
              <w:jc w:val="center"/>
            </w:pPr>
            <w:r w:rsidRPr="001F151E">
              <w:t>Target Value</w:t>
            </w:r>
          </w:p>
        </w:tc>
      </w:tr>
      <w:tr w:rsidR="00345678" w:rsidRPr="001F151E" w14:paraId="4EC3AA64" w14:textId="77777777" w:rsidTr="00086262">
        <w:trPr>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F385387" w14:textId="77777777" w:rsidR="00345678" w:rsidRPr="001F151E" w:rsidRDefault="00345678" w:rsidP="00086262">
            <w:pPr>
              <w:pStyle w:val="T-bold"/>
              <w:spacing w:line="200" w:lineRule="exact"/>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EE912F8" w14:textId="77777777" w:rsidR="00345678" w:rsidRPr="001F151E" w:rsidRDefault="00345678" w:rsidP="00086262">
            <w:pPr>
              <w:pStyle w:val="T-bold"/>
              <w:spacing w:line="200" w:lineRule="exact"/>
              <w:jc w:val="center"/>
            </w:pP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A562" w14:textId="77777777" w:rsidR="00345678" w:rsidRPr="001F151E" w:rsidRDefault="00345678" w:rsidP="00086262">
            <w:pPr>
              <w:pStyle w:val="T-bold"/>
              <w:spacing w:line="200" w:lineRule="exact"/>
              <w:jc w:val="center"/>
            </w:pPr>
            <w:r w:rsidRPr="001F151E">
              <w:t>2023</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A9305" w14:textId="77777777" w:rsidR="00345678" w:rsidRPr="001F151E" w:rsidRDefault="00345678" w:rsidP="00086262">
            <w:pPr>
              <w:pStyle w:val="T-bold"/>
              <w:spacing w:line="200" w:lineRule="exact"/>
              <w:jc w:val="center"/>
            </w:pPr>
            <w:r w:rsidRPr="001F151E">
              <w:t>2024</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6E84D" w14:textId="77777777" w:rsidR="00345678" w:rsidRPr="001F151E" w:rsidRDefault="00345678" w:rsidP="00086262">
            <w:pPr>
              <w:pStyle w:val="T-bold"/>
              <w:spacing w:line="200" w:lineRule="exact"/>
              <w:jc w:val="center"/>
            </w:pPr>
            <w:r w:rsidRPr="001F151E">
              <w:t>2025</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AC8BD" w14:textId="77777777" w:rsidR="00345678" w:rsidRPr="001F151E" w:rsidRDefault="00345678" w:rsidP="00086262">
            <w:pPr>
              <w:pStyle w:val="T-bold"/>
              <w:spacing w:line="200" w:lineRule="exact"/>
              <w:jc w:val="center"/>
            </w:pPr>
            <w:r w:rsidRPr="001F151E">
              <w:t>2026</w:t>
            </w:r>
          </w:p>
        </w:tc>
      </w:tr>
      <w:tr w:rsidR="00345678" w:rsidRPr="001F151E" w14:paraId="362A7D1F" w14:textId="77777777" w:rsidTr="00086262">
        <w:trPr>
          <w:trHeight w:val="21"/>
        </w:trPr>
        <w:tc>
          <w:tcPr>
            <w:tcW w:w="3114" w:type="dxa"/>
            <w:tcBorders>
              <w:top w:val="single" w:sz="4" w:space="0" w:color="auto"/>
              <w:left w:val="single" w:sz="4" w:space="0" w:color="auto"/>
              <w:bottom w:val="single" w:sz="4" w:space="0" w:color="auto"/>
              <w:right w:val="single" w:sz="4" w:space="0" w:color="auto"/>
            </w:tcBorders>
          </w:tcPr>
          <w:p w14:paraId="436C8CDA" w14:textId="77777777" w:rsidR="00345678" w:rsidRPr="001F151E" w:rsidRDefault="00345678" w:rsidP="00345678">
            <w:pPr>
              <w:pStyle w:val="T-number"/>
              <w:numPr>
                <w:ilvl w:val="0"/>
                <w:numId w:val="29"/>
              </w:numPr>
            </w:pPr>
            <w:r w:rsidRPr="001F151E">
              <w:t xml:space="preserve">PEFA Indicator 30.1 Audit coverage and standards </w:t>
            </w:r>
          </w:p>
        </w:tc>
        <w:tc>
          <w:tcPr>
            <w:tcW w:w="1180" w:type="dxa"/>
            <w:tcBorders>
              <w:top w:val="single" w:sz="4" w:space="0" w:color="auto"/>
              <w:left w:val="single" w:sz="4" w:space="0" w:color="auto"/>
              <w:bottom w:val="single" w:sz="4" w:space="0" w:color="auto"/>
              <w:right w:val="single" w:sz="4" w:space="0" w:color="auto"/>
            </w:tcBorders>
            <w:vAlign w:val="center"/>
          </w:tcPr>
          <w:p w14:paraId="36646ED2" w14:textId="77777777" w:rsidR="00345678" w:rsidRPr="001F151E" w:rsidRDefault="00345678" w:rsidP="00086262">
            <w:pPr>
              <w:pStyle w:val="T-normal"/>
              <w:jc w:val="center"/>
            </w:pPr>
            <w:r w:rsidRPr="001F151E">
              <w:rPr>
                <w:rFonts w:ascii="Arial Narrow" w:hAnsi="Arial Narrow"/>
              </w:rPr>
              <w:t>B (2017)</w:t>
            </w:r>
          </w:p>
        </w:tc>
        <w:tc>
          <w:tcPr>
            <w:tcW w:w="1181" w:type="dxa"/>
            <w:tcBorders>
              <w:top w:val="single" w:sz="4" w:space="0" w:color="auto"/>
              <w:left w:val="single" w:sz="4" w:space="0" w:color="auto"/>
              <w:bottom w:val="single" w:sz="4" w:space="0" w:color="auto"/>
              <w:right w:val="single" w:sz="4" w:space="0" w:color="auto"/>
            </w:tcBorders>
            <w:vAlign w:val="center"/>
          </w:tcPr>
          <w:p w14:paraId="45FC5025" w14:textId="77777777" w:rsidR="00345678" w:rsidRPr="001F151E" w:rsidRDefault="00345678" w:rsidP="00086262">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7B9B7DD2" w14:textId="77777777" w:rsidR="00345678" w:rsidRPr="001F151E" w:rsidRDefault="00345678" w:rsidP="00086262">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1736CE16" w14:textId="77777777" w:rsidR="00345678" w:rsidRPr="001F151E" w:rsidRDefault="00345678" w:rsidP="00086262">
            <w:pPr>
              <w:pStyle w:val="T-normal"/>
              <w:jc w:val="center"/>
            </w:pPr>
            <w:r w:rsidRPr="001F151E">
              <w:t>A</w:t>
            </w:r>
          </w:p>
        </w:tc>
        <w:tc>
          <w:tcPr>
            <w:tcW w:w="1181" w:type="dxa"/>
            <w:tcBorders>
              <w:top w:val="single" w:sz="4" w:space="0" w:color="auto"/>
              <w:left w:val="single" w:sz="4" w:space="0" w:color="auto"/>
              <w:bottom w:val="single" w:sz="4" w:space="0" w:color="auto"/>
              <w:right w:val="single" w:sz="4" w:space="0" w:color="auto"/>
            </w:tcBorders>
            <w:vAlign w:val="center"/>
          </w:tcPr>
          <w:p w14:paraId="2C8CF1F1" w14:textId="77777777" w:rsidR="00345678" w:rsidRPr="001F151E" w:rsidRDefault="00345678" w:rsidP="00086262">
            <w:pPr>
              <w:pStyle w:val="T-normal"/>
              <w:jc w:val="center"/>
            </w:pPr>
            <w:r w:rsidRPr="001F151E">
              <w:t>-</w:t>
            </w:r>
          </w:p>
        </w:tc>
      </w:tr>
      <w:tr w:rsidR="00345678" w:rsidRPr="001F151E" w14:paraId="2F576012" w14:textId="77777777" w:rsidTr="00086262">
        <w:tc>
          <w:tcPr>
            <w:tcW w:w="3114" w:type="dxa"/>
            <w:tcBorders>
              <w:top w:val="single" w:sz="4" w:space="0" w:color="auto"/>
              <w:left w:val="single" w:sz="4" w:space="0" w:color="auto"/>
              <w:bottom w:val="single" w:sz="4" w:space="0" w:color="auto"/>
              <w:right w:val="single" w:sz="4" w:space="0" w:color="auto"/>
            </w:tcBorders>
          </w:tcPr>
          <w:p w14:paraId="170EEE8C" w14:textId="77777777" w:rsidR="00345678" w:rsidRPr="001F151E" w:rsidRDefault="00345678" w:rsidP="00B45892">
            <w:pPr>
              <w:pStyle w:val="T-number"/>
              <w:numPr>
                <w:ilvl w:val="0"/>
                <w:numId w:val="97"/>
              </w:numPr>
            </w:pPr>
            <w:r w:rsidRPr="001F151E">
              <w:t xml:space="preserve">PEFA indicator 30.3 External audit follow-up </w:t>
            </w:r>
          </w:p>
        </w:tc>
        <w:tc>
          <w:tcPr>
            <w:tcW w:w="1180" w:type="dxa"/>
            <w:tcBorders>
              <w:top w:val="single" w:sz="4" w:space="0" w:color="auto"/>
              <w:left w:val="single" w:sz="4" w:space="0" w:color="auto"/>
              <w:bottom w:val="single" w:sz="4" w:space="0" w:color="auto"/>
              <w:right w:val="single" w:sz="4" w:space="0" w:color="auto"/>
            </w:tcBorders>
            <w:vAlign w:val="center"/>
          </w:tcPr>
          <w:p w14:paraId="32E233FF" w14:textId="77777777" w:rsidR="00345678" w:rsidRPr="001F151E" w:rsidRDefault="00345678" w:rsidP="00086262">
            <w:pPr>
              <w:pStyle w:val="T-normal"/>
              <w:jc w:val="center"/>
            </w:pPr>
            <w:r w:rsidRPr="001F151E">
              <w:rPr>
                <w:rFonts w:ascii="Arial Narrow" w:hAnsi="Arial Narrow"/>
              </w:rPr>
              <w:t>C (2017)</w:t>
            </w:r>
          </w:p>
        </w:tc>
        <w:tc>
          <w:tcPr>
            <w:tcW w:w="1181" w:type="dxa"/>
            <w:tcBorders>
              <w:top w:val="single" w:sz="4" w:space="0" w:color="auto"/>
              <w:left w:val="single" w:sz="4" w:space="0" w:color="auto"/>
              <w:bottom w:val="single" w:sz="4" w:space="0" w:color="auto"/>
              <w:right w:val="single" w:sz="4" w:space="0" w:color="auto"/>
            </w:tcBorders>
            <w:vAlign w:val="center"/>
          </w:tcPr>
          <w:p w14:paraId="2AF18DE3" w14:textId="77777777" w:rsidR="00345678" w:rsidRPr="001F151E" w:rsidRDefault="00345678" w:rsidP="00086262">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0FDD058D" w14:textId="77777777" w:rsidR="00345678" w:rsidRPr="001F151E" w:rsidRDefault="00345678" w:rsidP="00086262">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2D2A9BA9" w14:textId="77777777" w:rsidR="00345678" w:rsidRPr="001F151E" w:rsidRDefault="00345678" w:rsidP="00086262">
            <w:pPr>
              <w:pStyle w:val="T-normal"/>
              <w:jc w:val="center"/>
            </w:pPr>
          </w:p>
        </w:tc>
        <w:tc>
          <w:tcPr>
            <w:tcW w:w="1181" w:type="dxa"/>
            <w:tcBorders>
              <w:top w:val="single" w:sz="4" w:space="0" w:color="auto"/>
              <w:left w:val="single" w:sz="4" w:space="0" w:color="auto"/>
              <w:bottom w:val="single" w:sz="4" w:space="0" w:color="auto"/>
              <w:right w:val="single" w:sz="4" w:space="0" w:color="auto"/>
            </w:tcBorders>
            <w:vAlign w:val="center"/>
          </w:tcPr>
          <w:p w14:paraId="56A26707" w14:textId="77777777" w:rsidR="00345678" w:rsidRPr="001F151E" w:rsidRDefault="00345678" w:rsidP="00086262">
            <w:pPr>
              <w:pStyle w:val="T-normal"/>
              <w:jc w:val="center"/>
            </w:pPr>
            <w:r w:rsidRPr="001F151E">
              <w:t>A</w:t>
            </w:r>
          </w:p>
        </w:tc>
      </w:tr>
      <w:tr w:rsidR="00345678" w:rsidRPr="001F151E" w14:paraId="09377D74" w14:textId="77777777" w:rsidTr="00086262">
        <w:tc>
          <w:tcPr>
            <w:tcW w:w="3114" w:type="dxa"/>
            <w:tcBorders>
              <w:top w:val="single" w:sz="4" w:space="0" w:color="auto"/>
              <w:left w:val="single" w:sz="4" w:space="0" w:color="auto"/>
              <w:bottom w:val="single" w:sz="4" w:space="0" w:color="auto"/>
              <w:right w:val="single" w:sz="4" w:space="0" w:color="auto"/>
            </w:tcBorders>
          </w:tcPr>
          <w:p w14:paraId="460D54ED" w14:textId="77777777" w:rsidR="00345678" w:rsidRPr="001F151E" w:rsidRDefault="00345678" w:rsidP="00B45892">
            <w:pPr>
              <w:pStyle w:val="T-number"/>
              <w:numPr>
                <w:ilvl w:val="0"/>
                <w:numId w:val="97"/>
              </w:numPr>
            </w:pPr>
            <w:r w:rsidRPr="001F151E">
              <w:t>SIGMA Indicator 4.3.1.5: Effectiveness of scrutiny of public authorities by independent oversight institutions (Implementation of SAI recommendations).</w:t>
            </w:r>
          </w:p>
        </w:tc>
        <w:tc>
          <w:tcPr>
            <w:tcW w:w="1180" w:type="dxa"/>
            <w:tcBorders>
              <w:top w:val="single" w:sz="4" w:space="0" w:color="auto"/>
              <w:left w:val="single" w:sz="4" w:space="0" w:color="auto"/>
              <w:bottom w:val="single" w:sz="4" w:space="0" w:color="auto"/>
              <w:right w:val="single" w:sz="4" w:space="0" w:color="auto"/>
            </w:tcBorders>
            <w:vAlign w:val="center"/>
          </w:tcPr>
          <w:p w14:paraId="087FDF65" w14:textId="77777777" w:rsidR="00345678" w:rsidRPr="001F151E" w:rsidRDefault="00345678" w:rsidP="00086262">
            <w:pPr>
              <w:pStyle w:val="T-normal"/>
              <w:jc w:val="center"/>
              <w:rPr>
                <w:rFonts w:ascii="Arial Narrow" w:hAnsi="Arial Narrow"/>
              </w:rPr>
            </w:pPr>
            <w:r w:rsidRPr="001F151E">
              <w:rPr>
                <w:rFonts w:ascii="Arial Narrow" w:hAnsi="Arial Narrow"/>
              </w:rPr>
              <w:t>4/8</w:t>
            </w:r>
          </w:p>
        </w:tc>
        <w:tc>
          <w:tcPr>
            <w:tcW w:w="1181" w:type="dxa"/>
            <w:tcBorders>
              <w:top w:val="single" w:sz="4" w:space="0" w:color="auto"/>
              <w:left w:val="single" w:sz="4" w:space="0" w:color="auto"/>
              <w:bottom w:val="single" w:sz="4" w:space="0" w:color="auto"/>
              <w:right w:val="single" w:sz="4" w:space="0" w:color="auto"/>
            </w:tcBorders>
            <w:vAlign w:val="center"/>
          </w:tcPr>
          <w:p w14:paraId="2CA9CA42" w14:textId="77777777" w:rsidR="00345678" w:rsidRPr="001F151E" w:rsidRDefault="00345678" w:rsidP="00086262">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08C11208" w14:textId="77777777" w:rsidR="00345678" w:rsidRPr="001F151E" w:rsidRDefault="00345678" w:rsidP="00086262">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71DD7E64" w14:textId="77777777" w:rsidR="00345678" w:rsidRPr="001F151E" w:rsidRDefault="00345678" w:rsidP="00086262">
            <w:pPr>
              <w:pStyle w:val="T-normal"/>
              <w:jc w:val="center"/>
            </w:pPr>
            <w:r w:rsidRPr="001F151E">
              <w:t>5/8</w:t>
            </w:r>
          </w:p>
        </w:tc>
        <w:tc>
          <w:tcPr>
            <w:tcW w:w="1181" w:type="dxa"/>
            <w:tcBorders>
              <w:top w:val="single" w:sz="4" w:space="0" w:color="auto"/>
              <w:left w:val="single" w:sz="4" w:space="0" w:color="auto"/>
              <w:bottom w:val="single" w:sz="4" w:space="0" w:color="auto"/>
              <w:right w:val="single" w:sz="4" w:space="0" w:color="auto"/>
            </w:tcBorders>
            <w:vAlign w:val="center"/>
          </w:tcPr>
          <w:p w14:paraId="5946B917" w14:textId="77777777" w:rsidR="00345678" w:rsidRPr="001F151E" w:rsidRDefault="00345678" w:rsidP="00086262">
            <w:pPr>
              <w:pStyle w:val="T-normal"/>
              <w:jc w:val="center"/>
            </w:pPr>
            <w:r w:rsidRPr="001F151E">
              <w:t>7/8</w:t>
            </w:r>
          </w:p>
        </w:tc>
      </w:tr>
      <w:tr w:rsidR="00345678" w:rsidRPr="001F151E" w14:paraId="2E4C6E5B" w14:textId="77777777" w:rsidTr="00086262">
        <w:tc>
          <w:tcPr>
            <w:tcW w:w="3114" w:type="dxa"/>
            <w:tcBorders>
              <w:top w:val="single" w:sz="4" w:space="0" w:color="auto"/>
              <w:left w:val="single" w:sz="4" w:space="0" w:color="auto"/>
              <w:bottom w:val="single" w:sz="4" w:space="0" w:color="auto"/>
              <w:right w:val="single" w:sz="4" w:space="0" w:color="auto"/>
            </w:tcBorders>
          </w:tcPr>
          <w:p w14:paraId="30D4734E" w14:textId="77777777" w:rsidR="00345678" w:rsidRPr="001F151E" w:rsidRDefault="00345678" w:rsidP="00B45892">
            <w:pPr>
              <w:pStyle w:val="T-number"/>
              <w:numPr>
                <w:ilvl w:val="0"/>
                <w:numId w:val="97"/>
              </w:numPr>
            </w:pPr>
            <w:r w:rsidRPr="001F151E">
              <w:t>Guideline for auditing of budget institutions prepared and implemented</w:t>
            </w:r>
          </w:p>
        </w:tc>
        <w:tc>
          <w:tcPr>
            <w:tcW w:w="1180" w:type="dxa"/>
            <w:tcBorders>
              <w:top w:val="single" w:sz="4" w:space="0" w:color="auto"/>
              <w:left w:val="single" w:sz="4" w:space="0" w:color="auto"/>
              <w:bottom w:val="single" w:sz="4" w:space="0" w:color="auto"/>
              <w:right w:val="single" w:sz="4" w:space="0" w:color="auto"/>
            </w:tcBorders>
            <w:vAlign w:val="center"/>
          </w:tcPr>
          <w:p w14:paraId="61583899" w14:textId="77777777" w:rsidR="00345678" w:rsidRPr="001F151E" w:rsidRDefault="00345678" w:rsidP="00086262">
            <w:pPr>
              <w:pStyle w:val="T-normal"/>
              <w:jc w:val="center"/>
              <w:rPr>
                <w:rFonts w:ascii="Arial Narrow" w:hAnsi="Arial Narrow"/>
              </w:rPr>
            </w:pPr>
            <w:r w:rsidRPr="001F151E">
              <w:rPr>
                <w:rFonts w:ascii="Arial Narrow" w:hAnsi="Arial Narrow"/>
              </w:rPr>
              <w:t>-</w:t>
            </w:r>
          </w:p>
        </w:tc>
        <w:tc>
          <w:tcPr>
            <w:tcW w:w="1181" w:type="dxa"/>
            <w:tcBorders>
              <w:top w:val="single" w:sz="4" w:space="0" w:color="auto"/>
              <w:left w:val="single" w:sz="4" w:space="0" w:color="auto"/>
              <w:bottom w:val="single" w:sz="4" w:space="0" w:color="auto"/>
              <w:right w:val="single" w:sz="4" w:space="0" w:color="auto"/>
            </w:tcBorders>
            <w:vAlign w:val="center"/>
          </w:tcPr>
          <w:p w14:paraId="10802771" w14:textId="77777777" w:rsidR="00345678" w:rsidRPr="001F151E" w:rsidRDefault="00345678" w:rsidP="00086262">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1F75D612" w14:textId="77777777" w:rsidR="00345678" w:rsidRPr="001F151E" w:rsidRDefault="00345678" w:rsidP="00086262">
            <w:pPr>
              <w:pStyle w:val="T-normal"/>
              <w:jc w:val="center"/>
            </w:pPr>
            <w:r w:rsidRPr="001F151E">
              <w:t>Guideline approved</w:t>
            </w:r>
          </w:p>
        </w:tc>
        <w:tc>
          <w:tcPr>
            <w:tcW w:w="1181" w:type="dxa"/>
            <w:tcBorders>
              <w:top w:val="single" w:sz="4" w:space="0" w:color="auto"/>
              <w:left w:val="single" w:sz="4" w:space="0" w:color="auto"/>
              <w:bottom w:val="single" w:sz="4" w:space="0" w:color="auto"/>
              <w:right w:val="single" w:sz="4" w:space="0" w:color="auto"/>
            </w:tcBorders>
            <w:vAlign w:val="center"/>
          </w:tcPr>
          <w:p w14:paraId="06A236FA" w14:textId="77777777" w:rsidR="00345678" w:rsidRPr="001F151E" w:rsidRDefault="00345678" w:rsidP="00086262">
            <w:pPr>
              <w:pStyle w:val="T-normal"/>
              <w:jc w:val="center"/>
              <w:rPr>
                <w:highlight w:val="yellow"/>
              </w:rPr>
            </w:pPr>
            <w:r w:rsidRPr="001F151E">
              <w:t>Guideline Implemented</w:t>
            </w:r>
          </w:p>
        </w:tc>
        <w:tc>
          <w:tcPr>
            <w:tcW w:w="1181" w:type="dxa"/>
            <w:tcBorders>
              <w:top w:val="single" w:sz="4" w:space="0" w:color="auto"/>
              <w:left w:val="single" w:sz="4" w:space="0" w:color="auto"/>
              <w:bottom w:val="single" w:sz="4" w:space="0" w:color="auto"/>
              <w:right w:val="single" w:sz="4" w:space="0" w:color="auto"/>
            </w:tcBorders>
            <w:vAlign w:val="center"/>
          </w:tcPr>
          <w:p w14:paraId="1823BE69" w14:textId="77777777" w:rsidR="00345678" w:rsidRPr="001F151E" w:rsidRDefault="00345678" w:rsidP="00086262">
            <w:pPr>
              <w:pStyle w:val="T-normal"/>
              <w:jc w:val="center"/>
              <w:rPr>
                <w:highlight w:val="yellow"/>
              </w:rPr>
            </w:pPr>
            <w:r w:rsidRPr="001F151E">
              <w:t>-</w:t>
            </w:r>
          </w:p>
        </w:tc>
      </w:tr>
      <w:tr w:rsidR="00345678" w:rsidRPr="001F151E" w14:paraId="7972D31A" w14:textId="77777777" w:rsidTr="00086262">
        <w:tc>
          <w:tcPr>
            <w:tcW w:w="3114" w:type="dxa"/>
            <w:tcBorders>
              <w:top w:val="single" w:sz="4" w:space="0" w:color="auto"/>
              <w:left w:val="single" w:sz="4" w:space="0" w:color="auto"/>
              <w:bottom w:val="single" w:sz="4" w:space="0" w:color="auto"/>
              <w:right w:val="single" w:sz="4" w:space="0" w:color="auto"/>
            </w:tcBorders>
          </w:tcPr>
          <w:p w14:paraId="453252FA" w14:textId="77777777" w:rsidR="00345678" w:rsidRPr="001F151E" w:rsidRDefault="00345678" w:rsidP="00B45892">
            <w:pPr>
              <w:pStyle w:val="T-number"/>
              <w:numPr>
                <w:ilvl w:val="0"/>
                <w:numId w:val="97"/>
              </w:numPr>
            </w:pPr>
            <w:r w:rsidRPr="001F151E">
              <w:t>Computer Aided Audit Techniques (software) is in use.</w:t>
            </w:r>
          </w:p>
        </w:tc>
        <w:tc>
          <w:tcPr>
            <w:tcW w:w="1180" w:type="dxa"/>
            <w:tcBorders>
              <w:top w:val="single" w:sz="4" w:space="0" w:color="auto"/>
              <w:left w:val="single" w:sz="4" w:space="0" w:color="auto"/>
              <w:bottom w:val="single" w:sz="4" w:space="0" w:color="auto"/>
              <w:right w:val="single" w:sz="4" w:space="0" w:color="auto"/>
            </w:tcBorders>
            <w:vAlign w:val="center"/>
          </w:tcPr>
          <w:p w14:paraId="36A62A52" w14:textId="77777777" w:rsidR="00345678" w:rsidRPr="001F151E" w:rsidRDefault="00345678" w:rsidP="00086262">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1FB25C0A" w14:textId="77777777" w:rsidR="00345678" w:rsidRPr="001F151E" w:rsidRDefault="00345678" w:rsidP="00086262">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1881B3B7" w14:textId="77777777" w:rsidR="00345678" w:rsidRPr="001F151E" w:rsidRDefault="00345678" w:rsidP="00086262">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42D84347" w14:textId="77777777" w:rsidR="00345678" w:rsidRPr="001F151E" w:rsidRDefault="00345678" w:rsidP="00086262">
            <w:pPr>
              <w:pStyle w:val="T-normal"/>
              <w:jc w:val="center"/>
            </w:pPr>
            <w:r w:rsidRPr="001F151E">
              <w:t>Training provided</w:t>
            </w:r>
          </w:p>
        </w:tc>
        <w:tc>
          <w:tcPr>
            <w:tcW w:w="1181" w:type="dxa"/>
            <w:tcBorders>
              <w:top w:val="single" w:sz="4" w:space="0" w:color="auto"/>
              <w:left w:val="single" w:sz="4" w:space="0" w:color="auto"/>
              <w:bottom w:val="single" w:sz="4" w:space="0" w:color="auto"/>
              <w:right w:val="single" w:sz="4" w:space="0" w:color="auto"/>
            </w:tcBorders>
            <w:vAlign w:val="center"/>
          </w:tcPr>
          <w:p w14:paraId="7D99E5CA" w14:textId="77777777" w:rsidR="00345678" w:rsidRPr="001F151E" w:rsidRDefault="00345678" w:rsidP="00086262">
            <w:pPr>
              <w:pStyle w:val="T-normal"/>
              <w:jc w:val="center"/>
            </w:pPr>
            <w:r w:rsidRPr="001F151E">
              <w:t>Software</w:t>
            </w:r>
          </w:p>
          <w:p w14:paraId="14115EE9" w14:textId="77777777" w:rsidR="00345678" w:rsidRPr="001F151E" w:rsidRDefault="00345678" w:rsidP="00086262">
            <w:pPr>
              <w:pStyle w:val="T-normal"/>
              <w:jc w:val="center"/>
            </w:pPr>
            <w:r w:rsidRPr="001F151E">
              <w:t>in use</w:t>
            </w:r>
          </w:p>
        </w:tc>
      </w:tr>
      <w:tr w:rsidR="00345678" w:rsidRPr="001F151E" w14:paraId="049B97DE" w14:textId="77777777" w:rsidTr="00086262">
        <w:tc>
          <w:tcPr>
            <w:tcW w:w="3114" w:type="dxa"/>
            <w:tcBorders>
              <w:top w:val="single" w:sz="4" w:space="0" w:color="auto"/>
              <w:left w:val="single" w:sz="4" w:space="0" w:color="auto"/>
              <w:bottom w:val="single" w:sz="4" w:space="0" w:color="auto"/>
              <w:right w:val="single" w:sz="4" w:space="0" w:color="auto"/>
            </w:tcBorders>
          </w:tcPr>
          <w:p w14:paraId="45199112" w14:textId="77777777" w:rsidR="00345678" w:rsidRPr="001F151E" w:rsidRDefault="00345678" w:rsidP="00B45892">
            <w:pPr>
              <w:pStyle w:val="T-number"/>
              <w:numPr>
                <w:ilvl w:val="0"/>
                <w:numId w:val="97"/>
              </w:numPr>
            </w:pPr>
            <w:r w:rsidRPr="001F151E">
              <w:t>Methodology for audit of PPPs and concession institutionalised.</w:t>
            </w:r>
          </w:p>
        </w:tc>
        <w:tc>
          <w:tcPr>
            <w:tcW w:w="1180" w:type="dxa"/>
            <w:tcBorders>
              <w:top w:val="single" w:sz="4" w:space="0" w:color="auto"/>
              <w:left w:val="single" w:sz="4" w:space="0" w:color="auto"/>
              <w:bottom w:val="single" w:sz="4" w:space="0" w:color="auto"/>
              <w:right w:val="single" w:sz="4" w:space="0" w:color="auto"/>
            </w:tcBorders>
            <w:vAlign w:val="center"/>
          </w:tcPr>
          <w:p w14:paraId="00DF2680" w14:textId="77777777" w:rsidR="00345678" w:rsidRPr="001F151E" w:rsidRDefault="00345678" w:rsidP="00086262">
            <w:pPr>
              <w:pStyle w:val="T-normal"/>
              <w:jc w:val="center"/>
            </w:pPr>
            <w:r w:rsidRPr="001F151E">
              <w:t>-</w:t>
            </w:r>
          </w:p>
        </w:tc>
        <w:tc>
          <w:tcPr>
            <w:tcW w:w="1181" w:type="dxa"/>
            <w:tcBorders>
              <w:top w:val="single" w:sz="4" w:space="0" w:color="auto"/>
              <w:left w:val="single" w:sz="4" w:space="0" w:color="auto"/>
              <w:bottom w:val="single" w:sz="4" w:space="0" w:color="auto"/>
              <w:right w:val="single" w:sz="4" w:space="0" w:color="auto"/>
            </w:tcBorders>
            <w:vAlign w:val="center"/>
          </w:tcPr>
          <w:p w14:paraId="0BD4B081" w14:textId="77777777" w:rsidR="00345678" w:rsidRPr="001F151E" w:rsidRDefault="00345678" w:rsidP="00086262">
            <w:pPr>
              <w:pStyle w:val="T-normal"/>
              <w:jc w:val="center"/>
            </w:pPr>
            <w:r w:rsidRPr="001F151E">
              <w:t>-</w:t>
            </w:r>
          </w:p>
        </w:tc>
        <w:tc>
          <w:tcPr>
            <w:tcW w:w="1180" w:type="dxa"/>
            <w:tcBorders>
              <w:top w:val="single" w:sz="4" w:space="0" w:color="auto"/>
              <w:left w:val="single" w:sz="4" w:space="0" w:color="auto"/>
              <w:bottom w:val="single" w:sz="4" w:space="0" w:color="auto"/>
              <w:right w:val="single" w:sz="4" w:space="0" w:color="auto"/>
            </w:tcBorders>
            <w:vAlign w:val="center"/>
          </w:tcPr>
          <w:p w14:paraId="7983FA96" w14:textId="77777777" w:rsidR="00345678" w:rsidRPr="001F151E" w:rsidRDefault="00345678" w:rsidP="00086262">
            <w:pPr>
              <w:pStyle w:val="T-normal"/>
              <w:jc w:val="center"/>
            </w:pPr>
            <w:r w:rsidRPr="001F151E">
              <w:t>Methodology</w:t>
            </w:r>
          </w:p>
          <w:p w14:paraId="57313AE6" w14:textId="77777777" w:rsidR="00345678" w:rsidRPr="001F151E" w:rsidRDefault="00345678" w:rsidP="00086262">
            <w:pPr>
              <w:pStyle w:val="T-normal"/>
              <w:jc w:val="center"/>
            </w:pPr>
            <w:r w:rsidRPr="001F151E">
              <w:t>finalised</w:t>
            </w:r>
          </w:p>
        </w:tc>
        <w:tc>
          <w:tcPr>
            <w:tcW w:w="1181" w:type="dxa"/>
            <w:tcBorders>
              <w:top w:val="single" w:sz="4" w:space="0" w:color="auto"/>
              <w:left w:val="single" w:sz="4" w:space="0" w:color="auto"/>
              <w:bottom w:val="single" w:sz="4" w:space="0" w:color="auto"/>
              <w:right w:val="single" w:sz="4" w:space="0" w:color="auto"/>
            </w:tcBorders>
            <w:vAlign w:val="center"/>
          </w:tcPr>
          <w:p w14:paraId="16AD6917" w14:textId="77777777" w:rsidR="00345678" w:rsidRPr="001F151E" w:rsidRDefault="00345678" w:rsidP="00086262">
            <w:pPr>
              <w:pStyle w:val="T-normal"/>
              <w:jc w:val="center"/>
            </w:pPr>
            <w:r w:rsidRPr="001F151E">
              <w:t>Methodology implemented</w:t>
            </w:r>
          </w:p>
        </w:tc>
        <w:tc>
          <w:tcPr>
            <w:tcW w:w="1181" w:type="dxa"/>
            <w:tcBorders>
              <w:top w:val="single" w:sz="4" w:space="0" w:color="auto"/>
              <w:left w:val="single" w:sz="4" w:space="0" w:color="auto"/>
              <w:bottom w:val="single" w:sz="4" w:space="0" w:color="auto"/>
              <w:right w:val="single" w:sz="4" w:space="0" w:color="auto"/>
            </w:tcBorders>
            <w:vAlign w:val="center"/>
          </w:tcPr>
          <w:p w14:paraId="15A5618A" w14:textId="77777777" w:rsidR="00345678" w:rsidRPr="001F151E" w:rsidRDefault="00345678" w:rsidP="00086262">
            <w:pPr>
              <w:pStyle w:val="T-normal"/>
              <w:jc w:val="center"/>
            </w:pPr>
            <w:r w:rsidRPr="001F151E">
              <w:t>-</w:t>
            </w:r>
          </w:p>
        </w:tc>
      </w:tr>
    </w:tbl>
    <w:p w14:paraId="62E10265" w14:textId="77777777" w:rsidR="00345678" w:rsidRPr="001F151E" w:rsidRDefault="00345678" w:rsidP="00345678">
      <w:pPr>
        <w:pStyle w:val="Heading2"/>
        <w:rPr>
          <w:rStyle w:val="IntenseReference"/>
          <w:rFonts w:eastAsiaTheme="majorEastAsia" w:cstheme="majorBidi"/>
          <w:i w:val="0"/>
          <w:sz w:val="22"/>
          <w:szCs w:val="22"/>
          <w:lang w:val="en-GB"/>
        </w:rPr>
      </w:pPr>
      <w:bookmarkStart w:id="78" w:name="_Toc163148042"/>
      <w:r w:rsidRPr="001F151E">
        <w:rPr>
          <w:rStyle w:val="IntenseReference"/>
          <w:rFonts w:eastAsiaTheme="majorEastAsia" w:cstheme="majorBidi"/>
          <w:i w:val="0"/>
          <w:sz w:val="22"/>
          <w:szCs w:val="22"/>
          <w:lang w:val="en-GB"/>
        </w:rPr>
        <w:t>Component 6.2 Parliamentary Oversight</w:t>
      </w:r>
      <w:bookmarkEnd w:id="78"/>
    </w:p>
    <w:p w14:paraId="6D25D8FF" w14:textId="77777777" w:rsidR="00345678" w:rsidRPr="001F151E" w:rsidRDefault="00345678" w:rsidP="00345678">
      <w:pPr>
        <w:rPr>
          <w:lang w:val="en-GB"/>
        </w:rPr>
      </w:pPr>
    </w:p>
    <w:p w14:paraId="60029596" w14:textId="77777777" w:rsidR="00345678" w:rsidRPr="00345678" w:rsidRDefault="00345678" w:rsidP="00345678">
      <w:pPr>
        <w:pStyle w:val="H5"/>
        <w:spacing w:line="276" w:lineRule="auto"/>
        <w:jc w:val="both"/>
        <w:rPr>
          <w:rStyle w:val="Strong"/>
          <w:b/>
          <w:lang w:val="en-GB"/>
        </w:rPr>
      </w:pPr>
      <w:r w:rsidRPr="00345678">
        <w:rPr>
          <w:rStyle w:val="Strong"/>
          <w:b/>
          <w:lang w:val="en-GB"/>
        </w:rPr>
        <w:t>Objective</w:t>
      </w:r>
    </w:p>
    <w:p w14:paraId="5E318B82" w14:textId="77777777" w:rsidR="00345678" w:rsidRPr="00345678" w:rsidRDefault="00345678" w:rsidP="00345678">
      <w:pPr>
        <w:spacing w:line="276" w:lineRule="auto"/>
        <w:jc w:val="both"/>
        <w:rPr>
          <w:lang w:val="en-GB"/>
        </w:rPr>
      </w:pPr>
      <w:r w:rsidRPr="00345678">
        <w:rPr>
          <w:lang w:val="en-GB"/>
        </w:rPr>
        <w:t>The goal for 2030 is to ensure that the enabling environment and supporting structure for the Committee for Economy and Finance is professionalised following EU/OECD good practices which allows the parliament to better implement its scrutiny and oversight mandate.</w:t>
      </w:r>
    </w:p>
    <w:p w14:paraId="2DC1E946" w14:textId="77777777" w:rsidR="00345678" w:rsidRPr="00345678" w:rsidRDefault="00345678" w:rsidP="00345678">
      <w:pPr>
        <w:spacing w:line="276" w:lineRule="auto"/>
        <w:jc w:val="both"/>
        <w:rPr>
          <w:rStyle w:val="Strong"/>
          <w:lang w:val="en-GB"/>
        </w:rPr>
      </w:pPr>
    </w:p>
    <w:p w14:paraId="031EDD41" w14:textId="77777777" w:rsidR="00345678" w:rsidRPr="00345678" w:rsidRDefault="00345678" w:rsidP="00345678">
      <w:pPr>
        <w:spacing w:line="276" w:lineRule="auto"/>
        <w:jc w:val="both"/>
        <w:rPr>
          <w:rStyle w:val="Strong"/>
          <w:lang w:val="en-GB"/>
        </w:rPr>
      </w:pPr>
      <w:r w:rsidRPr="00345678">
        <w:rPr>
          <w:rStyle w:val="Strong"/>
          <w:lang w:val="en-GB"/>
        </w:rPr>
        <w:t>Context</w:t>
      </w:r>
    </w:p>
    <w:p w14:paraId="521AAA47" w14:textId="77777777" w:rsidR="00345678" w:rsidRPr="00345678" w:rsidRDefault="00345678" w:rsidP="00345678">
      <w:pPr>
        <w:spacing w:line="276" w:lineRule="auto"/>
        <w:jc w:val="both"/>
        <w:rPr>
          <w:lang w:val="en-GB"/>
        </w:rPr>
      </w:pPr>
      <w:r w:rsidRPr="00345678">
        <w:rPr>
          <w:lang w:val="en-GB"/>
        </w:rPr>
        <w:t>The mandate of the Parliament in the governance system is clearly defined and the areas of responsibility of the Committee for Economy and Finance in the PFM system cover: economic policies, the State Budget and the supervision of its implementation, privatizations and the banking system.</w:t>
      </w:r>
      <w:bookmarkStart w:id="79" w:name="_Hlk157523797"/>
      <w:r w:rsidRPr="00345678">
        <w:rPr>
          <w:rStyle w:val="FootnoteReference"/>
          <w:lang w:val="en-GB"/>
        </w:rPr>
        <w:footnoteReference w:id="81"/>
      </w:r>
      <w:bookmarkEnd w:id="79"/>
      <w:r w:rsidRPr="00345678">
        <w:rPr>
          <w:lang w:val="en-GB"/>
        </w:rPr>
        <w:t xml:space="preserve"> Recent PEFA and SIGMA assessments conclude that the Parliament – including the Committee for Economy and Finance – show a relatively solid performance but also identify space for improvement.</w:t>
      </w:r>
      <w:bookmarkStart w:id="80" w:name="_Hlk157523817"/>
      <w:r w:rsidRPr="00345678">
        <w:rPr>
          <w:rStyle w:val="FootnoteReference"/>
          <w:lang w:val="en-GB"/>
        </w:rPr>
        <w:footnoteReference w:id="82"/>
      </w:r>
      <w:bookmarkEnd w:id="80"/>
      <w:r w:rsidRPr="00345678">
        <w:rPr>
          <w:lang w:val="en-GB"/>
        </w:rPr>
        <w:t xml:space="preserve">  As a follow-up on these assessments, several recommendations have been provided, including the establishment of subcommittees. International developments suggest that stronger engagement of Parliament across the budget cycle (fiscal policy and sustainability, scrutiny of budget, and supplementary budget proposals, scrutiny of budget execution, financial and audit reports as well as oversight of financial institutions) contribute to improved PFM.</w:t>
      </w:r>
      <w:bookmarkStart w:id="81" w:name="_Hlk157523828"/>
      <w:r w:rsidRPr="00345678">
        <w:rPr>
          <w:rStyle w:val="FootnoteReference"/>
          <w:lang w:val="en-GB"/>
        </w:rPr>
        <w:footnoteReference w:id="83"/>
      </w:r>
      <w:bookmarkEnd w:id="81"/>
      <w:r w:rsidRPr="00345678">
        <w:rPr>
          <w:lang w:val="en-GB"/>
        </w:rPr>
        <w:t xml:space="preserve"> In this context, the Committee for Economy and Finance of the Parliament has expressed strong interest to further develop its role in the overall Good Governance and PFM system.</w:t>
      </w:r>
    </w:p>
    <w:p w14:paraId="64035151" w14:textId="77777777" w:rsidR="00345678" w:rsidRPr="00345678" w:rsidRDefault="00345678" w:rsidP="00345678">
      <w:pPr>
        <w:pStyle w:val="H5"/>
        <w:spacing w:line="276" w:lineRule="auto"/>
        <w:jc w:val="both"/>
        <w:rPr>
          <w:lang w:val="en-GB"/>
        </w:rPr>
      </w:pPr>
    </w:p>
    <w:p w14:paraId="6E537401" w14:textId="77777777" w:rsidR="00345678" w:rsidRPr="00345678" w:rsidRDefault="00345678" w:rsidP="00345678">
      <w:pPr>
        <w:spacing w:line="276" w:lineRule="auto"/>
        <w:jc w:val="both"/>
        <w:rPr>
          <w:rStyle w:val="Strong"/>
        </w:rPr>
      </w:pPr>
      <w:r w:rsidRPr="00345678">
        <w:rPr>
          <w:rStyle w:val="Strong"/>
        </w:rPr>
        <w:t>Priorities</w:t>
      </w:r>
    </w:p>
    <w:p w14:paraId="12963391" w14:textId="77777777" w:rsidR="00345678" w:rsidRPr="00345678" w:rsidRDefault="00345678" w:rsidP="00345678">
      <w:pPr>
        <w:spacing w:line="276" w:lineRule="auto"/>
        <w:jc w:val="both"/>
        <w:rPr>
          <w:lang w:val="en-GB"/>
        </w:rPr>
      </w:pPr>
      <w:r w:rsidRPr="00345678">
        <w:rPr>
          <w:lang w:val="en-GB"/>
        </w:rPr>
        <w:t>The priority for 2023-2026 is:</w:t>
      </w:r>
    </w:p>
    <w:p w14:paraId="2744F60D" w14:textId="77777777" w:rsidR="00345678" w:rsidRPr="001F151E" w:rsidRDefault="00345678" w:rsidP="00345678">
      <w:pPr>
        <w:pStyle w:val="N-Bullet"/>
        <w:spacing w:line="276" w:lineRule="auto"/>
        <w:jc w:val="both"/>
        <w:rPr>
          <w:lang w:val="en-GB"/>
        </w:rPr>
      </w:pPr>
      <w:r w:rsidRPr="00345678">
        <w:rPr>
          <w:lang w:val="en-GB"/>
        </w:rPr>
        <w:t>Professionalising the support structures of the Committee for Economy and Finance by preparing and commencing the implementation</w:t>
      </w:r>
      <w:r w:rsidRPr="001F151E">
        <w:rPr>
          <w:lang w:val="en-GB"/>
        </w:rPr>
        <w:t xml:space="preserve"> of a development plan.</w:t>
      </w:r>
    </w:p>
    <w:p w14:paraId="1BA0294A" w14:textId="77777777" w:rsidR="00345678" w:rsidRPr="001F151E" w:rsidRDefault="00345678" w:rsidP="00345678">
      <w:pPr>
        <w:rPr>
          <w:lang w:val="en-GB"/>
        </w:rPr>
      </w:pPr>
    </w:p>
    <w:p w14:paraId="6A5CCA2E" w14:textId="77777777" w:rsidR="00345678" w:rsidRPr="001F151E" w:rsidRDefault="00345678" w:rsidP="00345678">
      <w:pPr>
        <w:pStyle w:val="H5"/>
        <w:rPr>
          <w:rStyle w:val="Strong"/>
          <w:b/>
          <w:lang w:val="en-GB"/>
        </w:rPr>
      </w:pPr>
      <w:r w:rsidRPr="001F151E">
        <w:rPr>
          <w:rStyle w:val="Strong"/>
          <w:b/>
          <w:lang w:val="en-GB"/>
        </w:rPr>
        <w:t>Measures and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80"/>
        <w:gridCol w:w="3659"/>
        <w:gridCol w:w="798"/>
        <w:gridCol w:w="798"/>
        <w:gridCol w:w="1781"/>
      </w:tblGrid>
      <w:tr w:rsidR="00345678" w:rsidRPr="001F151E" w14:paraId="672B9F86" w14:textId="77777777" w:rsidTr="00086262">
        <w:trPr>
          <w:trHeight w:val="182"/>
          <w:tblHeader/>
        </w:trPr>
        <w:tc>
          <w:tcPr>
            <w:tcW w:w="1980" w:type="dxa"/>
            <w:shd w:val="clear" w:color="auto" w:fill="D9D9D9" w:themeFill="background1" w:themeFillShade="D9"/>
          </w:tcPr>
          <w:p w14:paraId="04C53FCD" w14:textId="77777777" w:rsidR="00345678" w:rsidRPr="001F151E" w:rsidRDefault="00345678" w:rsidP="00086262">
            <w:pPr>
              <w:pStyle w:val="T-bold"/>
            </w:pPr>
            <w:r w:rsidRPr="001F151E">
              <w:t>Measure</w:t>
            </w:r>
          </w:p>
        </w:tc>
        <w:tc>
          <w:tcPr>
            <w:tcW w:w="3659" w:type="dxa"/>
            <w:shd w:val="clear" w:color="auto" w:fill="D9D9D9" w:themeFill="background1" w:themeFillShade="D9"/>
          </w:tcPr>
          <w:p w14:paraId="1E2D3CF8" w14:textId="77777777" w:rsidR="00345678" w:rsidRPr="001F151E" w:rsidRDefault="00345678" w:rsidP="00086262">
            <w:pPr>
              <w:pStyle w:val="T-bold"/>
            </w:pPr>
            <w:r w:rsidRPr="001F151E">
              <w:t>Activity</w:t>
            </w:r>
          </w:p>
        </w:tc>
        <w:tc>
          <w:tcPr>
            <w:tcW w:w="798" w:type="dxa"/>
            <w:shd w:val="clear" w:color="auto" w:fill="D9D9D9" w:themeFill="background1" w:themeFillShade="D9"/>
          </w:tcPr>
          <w:p w14:paraId="4888B0FD" w14:textId="77777777" w:rsidR="00345678" w:rsidRPr="001F151E" w:rsidRDefault="00345678" w:rsidP="00086262">
            <w:pPr>
              <w:pStyle w:val="T-bold"/>
              <w:jc w:val="center"/>
            </w:pPr>
            <w:r w:rsidRPr="001F151E">
              <w:t>Start</w:t>
            </w:r>
          </w:p>
        </w:tc>
        <w:tc>
          <w:tcPr>
            <w:tcW w:w="798" w:type="dxa"/>
            <w:shd w:val="clear" w:color="auto" w:fill="D9D9D9" w:themeFill="background1" w:themeFillShade="D9"/>
          </w:tcPr>
          <w:p w14:paraId="3EFAAAE8" w14:textId="77777777" w:rsidR="00345678" w:rsidRPr="001F151E" w:rsidRDefault="00345678" w:rsidP="00086262">
            <w:pPr>
              <w:pStyle w:val="T-bold"/>
              <w:jc w:val="center"/>
            </w:pPr>
            <w:r w:rsidRPr="001F151E">
              <w:t>End</w:t>
            </w:r>
          </w:p>
        </w:tc>
        <w:tc>
          <w:tcPr>
            <w:tcW w:w="1781" w:type="dxa"/>
            <w:shd w:val="clear" w:color="auto" w:fill="D9D9D9" w:themeFill="background1" w:themeFillShade="D9"/>
          </w:tcPr>
          <w:p w14:paraId="317B6DAF" w14:textId="77777777" w:rsidR="00345678" w:rsidRPr="001F151E" w:rsidRDefault="00345678" w:rsidP="00086262">
            <w:pPr>
              <w:pStyle w:val="T-bold"/>
            </w:pPr>
            <w:r w:rsidRPr="001F151E">
              <w:t>Stakeholders</w:t>
            </w:r>
          </w:p>
        </w:tc>
      </w:tr>
      <w:tr w:rsidR="00345678" w:rsidRPr="001F151E" w14:paraId="24A65A1A" w14:textId="77777777" w:rsidTr="00086262">
        <w:trPr>
          <w:trHeight w:val="20"/>
        </w:trPr>
        <w:tc>
          <w:tcPr>
            <w:tcW w:w="1980" w:type="dxa"/>
            <w:vMerge w:val="restart"/>
            <w:shd w:val="clear" w:color="auto" w:fill="auto"/>
          </w:tcPr>
          <w:p w14:paraId="0F93C66D"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 xml:space="preserve">Measure 6.2.1 Further professionalise the support structures of the Committee for Economy </w:t>
            </w:r>
            <w:r w:rsidRPr="001F151E">
              <w:rPr>
                <w:rStyle w:val="T-boldChar"/>
              </w:rPr>
              <w:t>and Finance of the Parliament</w:t>
            </w:r>
          </w:p>
        </w:tc>
        <w:tc>
          <w:tcPr>
            <w:tcW w:w="3659" w:type="dxa"/>
            <w:vAlign w:val="center"/>
          </w:tcPr>
          <w:p w14:paraId="333008E8" w14:textId="77777777" w:rsidR="00345678" w:rsidRPr="00345678" w:rsidRDefault="00345678" w:rsidP="00214B30">
            <w:pPr>
              <w:pStyle w:val="EcorysBody"/>
              <w:numPr>
                <w:ilvl w:val="0"/>
                <w:numId w:val="11"/>
              </w:numPr>
              <w:jc w:val="both"/>
              <w:rPr>
                <w:rFonts w:ascii="Arial" w:hAnsi="Arial" w:cs="Arial"/>
                <w:sz w:val="16"/>
                <w:szCs w:val="16"/>
              </w:rPr>
            </w:pPr>
            <w:r w:rsidRPr="00345678">
              <w:rPr>
                <w:rFonts w:ascii="Arial" w:hAnsi="Arial" w:cs="Arial"/>
                <w:sz w:val="16"/>
                <w:szCs w:val="16"/>
              </w:rPr>
              <w:t>Undertake an institutional review of the Committee for Economy and Finance of the Parliament and its support structure based on EU/OECD good practices.</w:t>
            </w:r>
          </w:p>
        </w:tc>
        <w:tc>
          <w:tcPr>
            <w:tcW w:w="798" w:type="dxa"/>
            <w:vAlign w:val="center"/>
          </w:tcPr>
          <w:p w14:paraId="54D286CB" w14:textId="77777777" w:rsidR="00345678" w:rsidRPr="00345678" w:rsidRDefault="00345678" w:rsidP="00086262">
            <w:pPr>
              <w:jc w:val="center"/>
              <w:rPr>
                <w:sz w:val="16"/>
                <w:szCs w:val="16"/>
              </w:rPr>
            </w:pPr>
            <w:r w:rsidRPr="00345678">
              <w:rPr>
                <w:sz w:val="16"/>
                <w:szCs w:val="16"/>
              </w:rPr>
              <w:t>Q1 2024</w:t>
            </w:r>
          </w:p>
        </w:tc>
        <w:tc>
          <w:tcPr>
            <w:tcW w:w="798" w:type="dxa"/>
            <w:vAlign w:val="center"/>
          </w:tcPr>
          <w:p w14:paraId="2B8A03C5" w14:textId="77777777" w:rsidR="00345678" w:rsidRPr="001F151E" w:rsidRDefault="00345678" w:rsidP="00086262">
            <w:pPr>
              <w:jc w:val="center"/>
              <w:rPr>
                <w:sz w:val="16"/>
                <w:szCs w:val="16"/>
              </w:rPr>
            </w:pPr>
            <w:r w:rsidRPr="001F151E">
              <w:rPr>
                <w:sz w:val="16"/>
                <w:szCs w:val="16"/>
              </w:rPr>
              <w:t>Q2 2024</w:t>
            </w:r>
          </w:p>
        </w:tc>
        <w:tc>
          <w:tcPr>
            <w:tcW w:w="1781" w:type="dxa"/>
            <w:vMerge w:val="restart"/>
          </w:tcPr>
          <w:p w14:paraId="68BF773A" w14:textId="77777777" w:rsidR="00345678" w:rsidRPr="001F151E" w:rsidRDefault="00345678" w:rsidP="00086262">
            <w:pPr>
              <w:rPr>
                <w:b/>
                <w:bCs/>
                <w:sz w:val="16"/>
                <w:szCs w:val="16"/>
              </w:rPr>
            </w:pPr>
            <w:r w:rsidRPr="001F151E">
              <w:rPr>
                <w:b/>
                <w:bCs/>
                <w:sz w:val="16"/>
                <w:szCs w:val="16"/>
              </w:rPr>
              <w:t>Responsible entity:</w:t>
            </w:r>
          </w:p>
          <w:p w14:paraId="144DE409" w14:textId="77777777" w:rsidR="00345678" w:rsidRPr="001F151E" w:rsidRDefault="00345678" w:rsidP="00086262">
            <w:pPr>
              <w:pStyle w:val="EcorysBody"/>
              <w:rPr>
                <w:rFonts w:ascii="Arial" w:hAnsi="Arial" w:cs="Arial"/>
                <w:sz w:val="16"/>
                <w:szCs w:val="16"/>
              </w:rPr>
            </w:pPr>
            <w:r w:rsidRPr="001F151E">
              <w:rPr>
                <w:rFonts w:ascii="Arial" w:hAnsi="Arial" w:cs="Arial"/>
                <w:sz w:val="16"/>
                <w:szCs w:val="16"/>
              </w:rPr>
              <w:t>Committee for Economy and Finance of the Parliament</w:t>
            </w:r>
          </w:p>
          <w:p w14:paraId="0B31D955" w14:textId="77777777" w:rsidR="00345678" w:rsidRPr="001F151E" w:rsidRDefault="00345678" w:rsidP="00086262">
            <w:pPr>
              <w:pStyle w:val="EcorysBody"/>
              <w:rPr>
                <w:rFonts w:ascii="Arial" w:hAnsi="Arial" w:cs="Arial"/>
                <w:b/>
                <w:bCs/>
                <w:sz w:val="16"/>
                <w:szCs w:val="16"/>
              </w:rPr>
            </w:pPr>
          </w:p>
          <w:p w14:paraId="126B3DDD" w14:textId="77777777" w:rsidR="00345678" w:rsidRPr="001F151E" w:rsidRDefault="00345678" w:rsidP="00086262">
            <w:pPr>
              <w:pStyle w:val="EcorysBody"/>
              <w:rPr>
                <w:rFonts w:ascii="Arial" w:hAnsi="Arial" w:cs="Arial"/>
                <w:b/>
                <w:bCs/>
                <w:sz w:val="16"/>
                <w:szCs w:val="16"/>
              </w:rPr>
            </w:pPr>
            <w:r w:rsidRPr="001F151E">
              <w:rPr>
                <w:rFonts w:ascii="Arial" w:hAnsi="Arial" w:cs="Arial"/>
                <w:b/>
                <w:bCs/>
                <w:sz w:val="16"/>
                <w:szCs w:val="16"/>
              </w:rPr>
              <w:t>Partners:</w:t>
            </w:r>
          </w:p>
          <w:p w14:paraId="373112AA" w14:textId="77777777" w:rsidR="00345678" w:rsidRPr="001F151E" w:rsidRDefault="00345678" w:rsidP="00086262">
            <w:pPr>
              <w:pStyle w:val="EcorysBody"/>
              <w:rPr>
                <w:rFonts w:ascii="Arial" w:hAnsi="Arial" w:cs="Arial"/>
                <w:sz w:val="16"/>
                <w:szCs w:val="16"/>
              </w:rPr>
            </w:pPr>
            <w:r w:rsidRPr="002D42EA">
              <w:rPr>
                <w:rFonts w:ascii="Arial" w:hAnsi="Arial" w:cs="Arial"/>
                <w:sz w:val="16"/>
                <w:szCs w:val="16"/>
              </w:rPr>
              <w:t>National Democratic Institute</w:t>
            </w:r>
            <w:r>
              <w:rPr>
                <w:rFonts w:ascii="Arial" w:hAnsi="Arial" w:cs="Arial"/>
                <w:sz w:val="16"/>
                <w:szCs w:val="16"/>
              </w:rPr>
              <w:t xml:space="preserve">, </w:t>
            </w:r>
            <w:r w:rsidRPr="001F151E">
              <w:rPr>
                <w:rFonts w:ascii="Arial" w:hAnsi="Arial" w:cs="Arial"/>
                <w:sz w:val="16"/>
                <w:szCs w:val="16"/>
              </w:rPr>
              <w:t xml:space="preserve">Westminster Foundation, </w:t>
            </w:r>
            <w:r>
              <w:rPr>
                <w:rFonts w:ascii="Arial" w:hAnsi="Arial" w:cs="Arial"/>
                <w:sz w:val="16"/>
                <w:szCs w:val="16"/>
              </w:rPr>
              <w:t>EUD</w:t>
            </w:r>
            <w:r w:rsidRPr="001F151E">
              <w:rPr>
                <w:rFonts w:ascii="Arial" w:hAnsi="Arial" w:cs="Arial"/>
                <w:sz w:val="16"/>
                <w:szCs w:val="16"/>
              </w:rPr>
              <w:t>.</w:t>
            </w:r>
          </w:p>
          <w:p w14:paraId="70A5D341" w14:textId="77777777" w:rsidR="00345678" w:rsidRPr="001F151E" w:rsidRDefault="00345678" w:rsidP="00086262">
            <w:pPr>
              <w:pStyle w:val="EcorysBody"/>
              <w:rPr>
                <w:rFonts w:ascii="Arial" w:hAnsi="Arial" w:cs="Arial"/>
                <w:sz w:val="16"/>
                <w:szCs w:val="16"/>
              </w:rPr>
            </w:pPr>
          </w:p>
        </w:tc>
      </w:tr>
      <w:tr w:rsidR="00345678" w:rsidRPr="001F151E" w14:paraId="1DFA5A92" w14:textId="77777777" w:rsidTr="00086262">
        <w:trPr>
          <w:trHeight w:val="20"/>
        </w:trPr>
        <w:tc>
          <w:tcPr>
            <w:tcW w:w="1980" w:type="dxa"/>
            <w:vMerge/>
            <w:shd w:val="clear" w:color="auto" w:fill="auto"/>
          </w:tcPr>
          <w:p w14:paraId="1CDB6A18" w14:textId="77777777" w:rsidR="00345678" w:rsidRPr="001F151E" w:rsidRDefault="00345678" w:rsidP="00086262">
            <w:pPr>
              <w:pStyle w:val="EcorysBody"/>
              <w:numPr>
                <w:ilvl w:val="0"/>
                <w:numId w:val="11"/>
              </w:numPr>
              <w:rPr>
                <w:rFonts w:ascii="Arial" w:hAnsi="Arial" w:cs="Arial"/>
                <w:sz w:val="16"/>
                <w:szCs w:val="16"/>
              </w:rPr>
            </w:pPr>
          </w:p>
        </w:tc>
        <w:tc>
          <w:tcPr>
            <w:tcW w:w="3659" w:type="dxa"/>
            <w:vAlign w:val="center"/>
          </w:tcPr>
          <w:p w14:paraId="2881DB9C" w14:textId="77777777" w:rsidR="00345678" w:rsidRPr="00345678" w:rsidRDefault="00345678" w:rsidP="00214B30">
            <w:pPr>
              <w:pStyle w:val="EcorysBody"/>
              <w:numPr>
                <w:ilvl w:val="0"/>
                <w:numId w:val="11"/>
              </w:numPr>
              <w:jc w:val="both"/>
              <w:rPr>
                <w:rFonts w:ascii="Arial" w:hAnsi="Arial" w:cs="Arial"/>
                <w:sz w:val="16"/>
                <w:szCs w:val="16"/>
              </w:rPr>
            </w:pPr>
            <w:r w:rsidRPr="00345678">
              <w:rPr>
                <w:rFonts w:ascii="Arial" w:hAnsi="Arial" w:cs="Arial"/>
                <w:sz w:val="16"/>
                <w:szCs w:val="16"/>
              </w:rPr>
              <w:t>Further establish international peer-to-peer collaboration and exchanges with parliaments and their Public Accounts Committees in the EU and the region.</w:t>
            </w:r>
          </w:p>
        </w:tc>
        <w:tc>
          <w:tcPr>
            <w:tcW w:w="798" w:type="dxa"/>
            <w:vAlign w:val="center"/>
          </w:tcPr>
          <w:p w14:paraId="18D2AEB0" w14:textId="77777777" w:rsidR="00345678" w:rsidRPr="00345678" w:rsidRDefault="00345678" w:rsidP="00086262">
            <w:pPr>
              <w:jc w:val="center"/>
              <w:rPr>
                <w:sz w:val="16"/>
                <w:szCs w:val="16"/>
              </w:rPr>
            </w:pPr>
            <w:r w:rsidRPr="00345678">
              <w:rPr>
                <w:sz w:val="16"/>
                <w:szCs w:val="16"/>
              </w:rPr>
              <w:t>Q4 2023</w:t>
            </w:r>
          </w:p>
        </w:tc>
        <w:tc>
          <w:tcPr>
            <w:tcW w:w="798" w:type="dxa"/>
            <w:vAlign w:val="center"/>
          </w:tcPr>
          <w:p w14:paraId="6584668F" w14:textId="77777777" w:rsidR="00345678" w:rsidRPr="001F151E" w:rsidRDefault="00345678" w:rsidP="00086262">
            <w:pPr>
              <w:jc w:val="center"/>
              <w:rPr>
                <w:sz w:val="16"/>
                <w:szCs w:val="16"/>
              </w:rPr>
            </w:pPr>
            <w:r w:rsidRPr="001F151E">
              <w:rPr>
                <w:sz w:val="16"/>
                <w:szCs w:val="16"/>
              </w:rPr>
              <w:t>Q4 2024</w:t>
            </w:r>
          </w:p>
        </w:tc>
        <w:tc>
          <w:tcPr>
            <w:tcW w:w="1781" w:type="dxa"/>
            <w:vMerge/>
          </w:tcPr>
          <w:p w14:paraId="235F66E0" w14:textId="77777777" w:rsidR="00345678" w:rsidRPr="001F151E" w:rsidRDefault="00345678" w:rsidP="00086262">
            <w:pPr>
              <w:rPr>
                <w:sz w:val="16"/>
                <w:szCs w:val="16"/>
              </w:rPr>
            </w:pPr>
          </w:p>
        </w:tc>
      </w:tr>
      <w:tr w:rsidR="00345678" w:rsidRPr="001F151E" w14:paraId="45318F72" w14:textId="77777777" w:rsidTr="00086262">
        <w:trPr>
          <w:trHeight w:val="20"/>
        </w:trPr>
        <w:tc>
          <w:tcPr>
            <w:tcW w:w="1980" w:type="dxa"/>
            <w:vMerge/>
            <w:shd w:val="clear" w:color="auto" w:fill="auto"/>
          </w:tcPr>
          <w:p w14:paraId="2871598C" w14:textId="77777777" w:rsidR="00345678" w:rsidRPr="001F151E" w:rsidRDefault="00345678" w:rsidP="00086262">
            <w:pPr>
              <w:pStyle w:val="EcorysBody"/>
              <w:numPr>
                <w:ilvl w:val="0"/>
                <w:numId w:val="11"/>
              </w:numPr>
              <w:rPr>
                <w:rFonts w:ascii="Arial" w:hAnsi="Arial" w:cs="Arial"/>
                <w:sz w:val="16"/>
                <w:szCs w:val="16"/>
              </w:rPr>
            </w:pPr>
          </w:p>
        </w:tc>
        <w:tc>
          <w:tcPr>
            <w:tcW w:w="3659" w:type="dxa"/>
            <w:vAlign w:val="center"/>
          </w:tcPr>
          <w:p w14:paraId="1F8526C7" w14:textId="77777777" w:rsidR="00345678" w:rsidRPr="00345678" w:rsidRDefault="00345678" w:rsidP="00214B30">
            <w:pPr>
              <w:pStyle w:val="EcorysBody"/>
              <w:numPr>
                <w:ilvl w:val="0"/>
                <w:numId w:val="11"/>
              </w:numPr>
              <w:jc w:val="both"/>
              <w:rPr>
                <w:rFonts w:ascii="Arial" w:hAnsi="Arial" w:cs="Arial"/>
                <w:sz w:val="16"/>
                <w:szCs w:val="16"/>
              </w:rPr>
            </w:pPr>
            <w:r w:rsidRPr="00345678">
              <w:rPr>
                <w:rFonts w:ascii="Arial" w:hAnsi="Arial" w:cs="Arial"/>
                <w:sz w:val="16"/>
                <w:szCs w:val="16"/>
              </w:rPr>
              <w:t>Prepare and approve a development plan for the Committee for Economy and Finance of the Parliament and its support structure.</w:t>
            </w:r>
            <w:r w:rsidRPr="00345678">
              <w:rPr>
                <w:rFonts w:ascii="Arial" w:hAnsi="Arial" w:cs="Arial"/>
                <w:sz w:val="16"/>
                <w:szCs w:val="16"/>
                <w:vertAlign w:val="superscript"/>
              </w:rPr>
              <w:footnoteReference w:id="84"/>
            </w:r>
            <w:r w:rsidRPr="00345678">
              <w:rPr>
                <w:rFonts w:ascii="Arial" w:hAnsi="Arial" w:cs="Arial"/>
                <w:sz w:val="16"/>
                <w:szCs w:val="16"/>
              </w:rPr>
              <w:t xml:space="preserve"> </w:t>
            </w:r>
          </w:p>
        </w:tc>
        <w:tc>
          <w:tcPr>
            <w:tcW w:w="798" w:type="dxa"/>
            <w:vAlign w:val="center"/>
          </w:tcPr>
          <w:p w14:paraId="522D6EBE" w14:textId="77777777" w:rsidR="00345678" w:rsidRPr="00345678" w:rsidRDefault="00345678" w:rsidP="00086262">
            <w:pPr>
              <w:jc w:val="center"/>
              <w:rPr>
                <w:sz w:val="16"/>
                <w:szCs w:val="16"/>
              </w:rPr>
            </w:pPr>
            <w:r w:rsidRPr="00345678">
              <w:rPr>
                <w:sz w:val="16"/>
                <w:szCs w:val="16"/>
              </w:rPr>
              <w:t>Q3 2024</w:t>
            </w:r>
          </w:p>
        </w:tc>
        <w:tc>
          <w:tcPr>
            <w:tcW w:w="798" w:type="dxa"/>
            <w:vAlign w:val="center"/>
          </w:tcPr>
          <w:p w14:paraId="33FE4FAF" w14:textId="77777777" w:rsidR="00345678" w:rsidRPr="001F151E" w:rsidRDefault="00345678" w:rsidP="00086262">
            <w:pPr>
              <w:jc w:val="center"/>
              <w:rPr>
                <w:sz w:val="16"/>
                <w:szCs w:val="16"/>
              </w:rPr>
            </w:pPr>
            <w:r w:rsidRPr="001F151E">
              <w:rPr>
                <w:sz w:val="16"/>
                <w:szCs w:val="16"/>
              </w:rPr>
              <w:t>Q2 2025</w:t>
            </w:r>
          </w:p>
        </w:tc>
        <w:tc>
          <w:tcPr>
            <w:tcW w:w="1781" w:type="dxa"/>
            <w:vMerge/>
          </w:tcPr>
          <w:p w14:paraId="3E43AC30" w14:textId="77777777" w:rsidR="00345678" w:rsidRPr="001F151E" w:rsidRDefault="00345678" w:rsidP="00086262">
            <w:pPr>
              <w:rPr>
                <w:sz w:val="16"/>
                <w:szCs w:val="16"/>
              </w:rPr>
            </w:pPr>
          </w:p>
        </w:tc>
      </w:tr>
      <w:tr w:rsidR="00345678" w:rsidRPr="001F151E" w14:paraId="5D9228E7" w14:textId="77777777" w:rsidTr="00086262">
        <w:trPr>
          <w:trHeight w:val="20"/>
        </w:trPr>
        <w:tc>
          <w:tcPr>
            <w:tcW w:w="1980" w:type="dxa"/>
            <w:vMerge/>
            <w:shd w:val="clear" w:color="auto" w:fill="auto"/>
          </w:tcPr>
          <w:p w14:paraId="1958D25F" w14:textId="77777777" w:rsidR="00345678" w:rsidRPr="001F151E" w:rsidRDefault="00345678" w:rsidP="00086262">
            <w:pPr>
              <w:pStyle w:val="EcorysBody"/>
              <w:numPr>
                <w:ilvl w:val="0"/>
                <w:numId w:val="11"/>
              </w:numPr>
              <w:rPr>
                <w:rFonts w:ascii="Arial" w:hAnsi="Arial" w:cs="Arial"/>
                <w:sz w:val="16"/>
                <w:szCs w:val="16"/>
              </w:rPr>
            </w:pPr>
          </w:p>
        </w:tc>
        <w:tc>
          <w:tcPr>
            <w:tcW w:w="3659" w:type="dxa"/>
            <w:vAlign w:val="center"/>
          </w:tcPr>
          <w:p w14:paraId="7F8B44B3" w14:textId="77777777" w:rsidR="00345678" w:rsidRPr="001F151E" w:rsidRDefault="00345678" w:rsidP="001A00DA">
            <w:pPr>
              <w:pStyle w:val="EcorysBody"/>
              <w:numPr>
                <w:ilvl w:val="0"/>
                <w:numId w:val="11"/>
              </w:numPr>
              <w:jc w:val="both"/>
              <w:rPr>
                <w:rFonts w:ascii="Arial" w:hAnsi="Arial" w:cs="Arial"/>
                <w:sz w:val="16"/>
                <w:szCs w:val="16"/>
              </w:rPr>
            </w:pPr>
            <w:r w:rsidRPr="001F151E">
              <w:rPr>
                <w:rFonts w:ascii="Arial" w:hAnsi="Arial" w:cs="Arial"/>
                <w:sz w:val="16"/>
                <w:szCs w:val="16"/>
              </w:rPr>
              <w:t>Implement and monitor the development plan.</w:t>
            </w:r>
          </w:p>
        </w:tc>
        <w:tc>
          <w:tcPr>
            <w:tcW w:w="798" w:type="dxa"/>
            <w:vAlign w:val="center"/>
          </w:tcPr>
          <w:p w14:paraId="1CD77E17" w14:textId="77777777" w:rsidR="00345678" w:rsidRPr="001F151E" w:rsidRDefault="00345678" w:rsidP="00086262">
            <w:pPr>
              <w:jc w:val="center"/>
              <w:rPr>
                <w:sz w:val="16"/>
                <w:szCs w:val="16"/>
              </w:rPr>
            </w:pPr>
            <w:r w:rsidRPr="001F151E">
              <w:rPr>
                <w:sz w:val="16"/>
                <w:szCs w:val="16"/>
              </w:rPr>
              <w:t>Q</w:t>
            </w:r>
            <w:r>
              <w:rPr>
                <w:sz w:val="16"/>
                <w:szCs w:val="16"/>
              </w:rPr>
              <w:t>3 202</w:t>
            </w:r>
            <w:r w:rsidRPr="001F151E">
              <w:rPr>
                <w:sz w:val="16"/>
                <w:szCs w:val="16"/>
              </w:rPr>
              <w:t>5</w:t>
            </w:r>
          </w:p>
        </w:tc>
        <w:tc>
          <w:tcPr>
            <w:tcW w:w="798" w:type="dxa"/>
            <w:vAlign w:val="center"/>
          </w:tcPr>
          <w:p w14:paraId="120D03F6" w14:textId="77777777" w:rsidR="00345678" w:rsidRPr="001F151E" w:rsidRDefault="00345678" w:rsidP="00086262">
            <w:pPr>
              <w:jc w:val="center"/>
              <w:rPr>
                <w:sz w:val="16"/>
                <w:szCs w:val="16"/>
              </w:rPr>
            </w:pPr>
            <w:r w:rsidRPr="001F151E">
              <w:rPr>
                <w:sz w:val="16"/>
                <w:szCs w:val="16"/>
              </w:rPr>
              <w:t>Q4 2026</w:t>
            </w:r>
          </w:p>
        </w:tc>
        <w:tc>
          <w:tcPr>
            <w:tcW w:w="1781" w:type="dxa"/>
            <w:vMerge/>
          </w:tcPr>
          <w:p w14:paraId="185DB269" w14:textId="77777777" w:rsidR="00345678" w:rsidRPr="001F151E" w:rsidRDefault="00345678" w:rsidP="00086262">
            <w:pPr>
              <w:rPr>
                <w:sz w:val="16"/>
                <w:szCs w:val="16"/>
              </w:rPr>
            </w:pPr>
          </w:p>
        </w:tc>
      </w:tr>
      <w:tr w:rsidR="00345678" w:rsidRPr="001F151E" w14:paraId="1C0CE3C9" w14:textId="77777777" w:rsidTr="00086262">
        <w:trPr>
          <w:trHeight w:val="20"/>
        </w:trPr>
        <w:tc>
          <w:tcPr>
            <w:tcW w:w="1980" w:type="dxa"/>
            <w:vMerge/>
            <w:shd w:val="clear" w:color="auto" w:fill="auto"/>
          </w:tcPr>
          <w:p w14:paraId="4B38200D" w14:textId="77777777" w:rsidR="00345678" w:rsidRPr="001F151E" w:rsidRDefault="00345678" w:rsidP="00086262">
            <w:pPr>
              <w:pStyle w:val="EcorysBody"/>
              <w:numPr>
                <w:ilvl w:val="0"/>
                <w:numId w:val="11"/>
              </w:numPr>
              <w:rPr>
                <w:rFonts w:ascii="Arial" w:hAnsi="Arial" w:cs="Arial"/>
                <w:sz w:val="16"/>
                <w:szCs w:val="16"/>
              </w:rPr>
            </w:pPr>
          </w:p>
        </w:tc>
        <w:tc>
          <w:tcPr>
            <w:tcW w:w="3659" w:type="dxa"/>
            <w:vAlign w:val="center"/>
          </w:tcPr>
          <w:p w14:paraId="43326F69" w14:textId="5434A57E" w:rsidR="00345678" w:rsidRPr="001F151E" w:rsidRDefault="00345678" w:rsidP="001A00DA">
            <w:pPr>
              <w:pStyle w:val="EcorysBody"/>
              <w:numPr>
                <w:ilvl w:val="0"/>
                <w:numId w:val="11"/>
              </w:numPr>
              <w:jc w:val="both"/>
              <w:rPr>
                <w:rFonts w:ascii="Arial" w:hAnsi="Arial" w:cs="Arial"/>
                <w:sz w:val="16"/>
                <w:szCs w:val="16"/>
              </w:rPr>
            </w:pPr>
            <w:r w:rsidRPr="001F151E">
              <w:rPr>
                <w:rFonts w:ascii="Arial" w:hAnsi="Arial" w:cs="Arial"/>
                <w:sz w:val="16"/>
                <w:szCs w:val="16"/>
              </w:rPr>
              <w:t>Establish a special Parliamentary sub-committee for public sector audit</w:t>
            </w:r>
            <w:r w:rsidR="001A00DA">
              <w:rPr>
                <w:rFonts w:ascii="Arial" w:hAnsi="Arial" w:cs="Arial"/>
                <w:sz w:val="16"/>
                <w:szCs w:val="16"/>
              </w:rPr>
              <w:t>.</w:t>
            </w:r>
          </w:p>
        </w:tc>
        <w:tc>
          <w:tcPr>
            <w:tcW w:w="798" w:type="dxa"/>
            <w:vAlign w:val="center"/>
          </w:tcPr>
          <w:p w14:paraId="00E8DD13" w14:textId="77777777" w:rsidR="00345678" w:rsidRPr="001F151E" w:rsidRDefault="00345678" w:rsidP="00086262">
            <w:pPr>
              <w:jc w:val="center"/>
              <w:rPr>
                <w:color w:val="FF0000"/>
                <w:sz w:val="16"/>
                <w:szCs w:val="16"/>
              </w:rPr>
            </w:pPr>
            <w:r w:rsidRPr="001F151E">
              <w:rPr>
                <w:sz w:val="16"/>
                <w:szCs w:val="16"/>
              </w:rPr>
              <w:t>Q</w:t>
            </w:r>
            <w:r>
              <w:rPr>
                <w:sz w:val="16"/>
                <w:szCs w:val="16"/>
              </w:rPr>
              <w:t>1 2024</w:t>
            </w:r>
          </w:p>
        </w:tc>
        <w:tc>
          <w:tcPr>
            <w:tcW w:w="798" w:type="dxa"/>
            <w:vAlign w:val="center"/>
          </w:tcPr>
          <w:p w14:paraId="0075D1C9" w14:textId="77777777" w:rsidR="00345678" w:rsidRPr="001F151E" w:rsidRDefault="00345678" w:rsidP="00086262">
            <w:pPr>
              <w:jc w:val="center"/>
              <w:rPr>
                <w:color w:val="FF0000"/>
                <w:sz w:val="16"/>
                <w:szCs w:val="16"/>
              </w:rPr>
            </w:pPr>
            <w:r w:rsidRPr="001F151E">
              <w:rPr>
                <w:sz w:val="16"/>
                <w:szCs w:val="16"/>
              </w:rPr>
              <w:t>Q</w:t>
            </w:r>
            <w:r>
              <w:rPr>
                <w:sz w:val="16"/>
                <w:szCs w:val="16"/>
              </w:rPr>
              <w:t>2 2024</w:t>
            </w:r>
          </w:p>
        </w:tc>
        <w:tc>
          <w:tcPr>
            <w:tcW w:w="1781" w:type="dxa"/>
            <w:vMerge/>
          </w:tcPr>
          <w:p w14:paraId="42FDC21E" w14:textId="77777777" w:rsidR="00345678" w:rsidRPr="001F151E" w:rsidRDefault="00345678" w:rsidP="00086262">
            <w:pPr>
              <w:rPr>
                <w:sz w:val="16"/>
                <w:szCs w:val="16"/>
              </w:rPr>
            </w:pPr>
          </w:p>
        </w:tc>
      </w:tr>
    </w:tbl>
    <w:p w14:paraId="358B49F2" w14:textId="77777777" w:rsidR="00345678" w:rsidRDefault="00345678" w:rsidP="00345678">
      <w:pPr>
        <w:pStyle w:val="H5"/>
        <w:rPr>
          <w:rStyle w:val="Strong"/>
          <w:b/>
          <w:bCs w:val="0"/>
          <w:lang w:val="en-GB"/>
        </w:rPr>
      </w:pPr>
    </w:p>
    <w:p w14:paraId="7F36CE04" w14:textId="77777777" w:rsidR="006A4183" w:rsidRPr="001F151E" w:rsidRDefault="006A4183" w:rsidP="00345678">
      <w:pPr>
        <w:pStyle w:val="H5"/>
        <w:rPr>
          <w:rStyle w:val="Strong"/>
          <w:b/>
          <w:bCs w:val="0"/>
          <w:lang w:val="en-GB"/>
        </w:rPr>
      </w:pPr>
    </w:p>
    <w:p w14:paraId="3BA09E08" w14:textId="77777777" w:rsidR="00345678" w:rsidRPr="001F151E" w:rsidRDefault="00345678" w:rsidP="00345678">
      <w:pPr>
        <w:pStyle w:val="H5"/>
        <w:rPr>
          <w:lang w:val="en-GB"/>
        </w:rPr>
      </w:pPr>
      <w:r w:rsidRPr="001F151E">
        <w:rPr>
          <w:lang w:val="en-GB"/>
        </w:rPr>
        <w:t>Performance indicators and milestones</w:t>
      </w:r>
    </w:p>
    <w:tbl>
      <w:tblPr>
        <w:tblStyle w:val="TableGrid"/>
        <w:tblW w:w="5000" w:type="pct"/>
        <w:tblInd w:w="-1" w:type="dxa"/>
        <w:tblLayout w:type="fixed"/>
        <w:tblCellMar>
          <w:top w:w="57" w:type="dxa"/>
          <w:left w:w="28" w:type="dxa"/>
          <w:bottom w:w="57" w:type="dxa"/>
          <w:right w:w="28" w:type="dxa"/>
        </w:tblCellMar>
        <w:tblLook w:val="04A0" w:firstRow="1" w:lastRow="0" w:firstColumn="1" w:lastColumn="0" w:noHBand="0" w:noVBand="1"/>
      </w:tblPr>
      <w:tblGrid>
        <w:gridCol w:w="3540"/>
        <w:gridCol w:w="1134"/>
        <w:gridCol w:w="1085"/>
        <w:gridCol w:w="1086"/>
        <w:gridCol w:w="1085"/>
        <w:gridCol w:w="1086"/>
      </w:tblGrid>
      <w:tr w:rsidR="00345678" w:rsidRPr="001F151E" w14:paraId="1EFFD505" w14:textId="77777777" w:rsidTr="00086262">
        <w:trPr>
          <w:trHeight w:val="274"/>
        </w:trPr>
        <w:tc>
          <w:tcPr>
            <w:tcW w:w="3540" w:type="dxa"/>
            <w:vMerge w:val="restart"/>
            <w:shd w:val="clear" w:color="auto" w:fill="D9D9D9" w:themeFill="background1" w:themeFillShade="D9"/>
          </w:tcPr>
          <w:p w14:paraId="1BDB7FEF" w14:textId="77777777" w:rsidR="00345678" w:rsidRPr="001F151E" w:rsidRDefault="00345678" w:rsidP="00086262">
            <w:pPr>
              <w:pStyle w:val="T-bold"/>
            </w:pPr>
            <w:r w:rsidRPr="001F151E">
              <w:t>Indicator</w:t>
            </w:r>
          </w:p>
        </w:tc>
        <w:tc>
          <w:tcPr>
            <w:tcW w:w="1134" w:type="dxa"/>
            <w:vMerge w:val="restart"/>
            <w:shd w:val="clear" w:color="auto" w:fill="D9D9D9" w:themeFill="background1" w:themeFillShade="D9"/>
          </w:tcPr>
          <w:p w14:paraId="4EC7C44C" w14:textId="77777777" w:rsidR="00345678" w:rsidRPr="001F151E" w:rsidRDefault="00345678" w:rsidP="00086262">
            <w:pPr>
              <w:pStyle w:val="T-bold"/>
              <w:jc w:val="center"/>
            </w:pPr>
            <w:r w:rsidRPr="001F151E">
              <w:t>Baseline value (year)</w:t>
            </w:r>
          </w:p>
        </w:tc>
        <w:tc>
          <w:tcPr>
            <w:tcW w:w="4342" w:type="dxa"/>
            <w:gridSpan w:val="4"/>
            <w:shd w:val="clear" w:color="auto" w:fill="D9D9D9" w:themeFill="background1" w:themeFillShade="D9"/>
            <w:vAlign w:val="center"/>
          </w:tcPr>
          <w:p w14:paraId="60C27498" w14:textId="77777777" w:rsidR="00345678" w:rsidRPr="001F151E" w:rsidRDefault="00345678" w:rsidP="00086262">
            <w:pPr>
              <w:pStyle w:val="T-bold"/>
              <w:jc w:val="center"/>
            </w:pPr>
            <w:r w:rsidRPr="001F151E">
              <w:t>Target value</w:t>
            </w:r>
          </w:p>
        </w:tc>
      </w:tr>
      <w:tr w:rsidR="00345678" w:rsidRPr="001F151E" w14:paraId="3548B921" w14:textId="77777777" w:rsidTr="00086262">
        <w:trPr>
          <w:trHeight w:val="274"/>
        </w:trPr>
        <w:tc>
          <w:tcPr>
            <w:tcW w:w="3540" w:type="dxa"/>
            <w:vMerge/>
            <w:shd w:val="clear" w:color="auto" w:fill="D9D9D9" w:themeFill="background1" w:themeFillShade="D9"/>
          </w:tcPr>
          <w:p w14:paraId="579BE693" w14:textId="77777777" w:rsidR="00345678" w:rsidRPr="001F151E" w:rsidRDefault="00345678" w:rsidP="00086262">
            <w:pPr>
              <w:pStyle w:val="T-bold"/>
            </w:pPr>
          </w:p>
        </w:tc>
        <w:tc>
          <w:tcPr>
            <w:tcW w:w="1134" w:type="dxa"/>
            <w:vMerge/>
            <w:shd w:val="clear" w:color="auto" w:fill="D9D9D9" w:themeFill="background1" w:themeFillShade="D9"/>
          </w:tcPr>
          <w:p w14:paraId="12E9735E" w14:textId="77777777" w:rsidR="00345678" w:rsidRPr="001F151E" w:rsidRDefault="00345678" w:rsidP="00086262">
            <w:pPr>
              <w:pStyle w:val="T-bold"/>
              <w:jc w:val="center"/>
            </w:pPr>
          </w:p>
        </w:tc>
        <w:tc>
          <w:tcPr>
            <w:tcW w:w="1085" w:type="dxa"/>
            <w:shd w:val="clear" w:color="auto" w:fill="D9D9D9" w:themeFill="background1" w:themeFillShade="D9"/>
            <w:vAlign w:val="center"/>
          </w:tcPr>
          <w:p w14:paraId="20FB8816" w14:textId="77777777" w:rsidR="00345678" w:rsidRPr="001F151E" w:rsidRDefault="00345678" w:rsidP="00086262">
            <w:pPr>
              <w:pStyle w:val="T-bold"/>
              <w:jc w:val="center"/>
            </w:pPr>
            <w:r w:rsidRPr="001F151E">
              <w:t>2023</w:t>
            </w:r>
          </w:p>
        </w:tc>
        <w:tc>
          <w:tcPr>
            <w:tcW w:w="1086" w:type="dxa"/>
            <w:shd w:val="clear" w:color="auto" w:fill="D9D9D9" w:themeFill="background1" w:themeFillShade="D9"/>
            <w:vAlign w:val="center"/>
          </w:tcPr>
          <w:p w14:paraId="6CA06A8A" w14:textId="77777777" w:rsidR="00345678" w:rsidRPr="001F151E" w:rsidRDefault="00345678" w:rsidP="00086262">
            <w:pPr>
              <w:pStyle w:val="T-bold"/>
              <w:jc w:val="center"/>
            </w:pPr>
            <w:r w:rsidRPr="001F151E">
              <w:t>2024</w:t>
            </w:r>
          </w:p>
        </w:tc>
        <w:tc>
          <w:tcPr>
            <w:tcW w:w="1085" w:type="dxa"/>
            <w:shd w:val="clear" w:color="auto" w:fill="D9D9D9" w:themeFill="background1" w:themeFillShade="D9"/>
            <w:vAlign w:val="center"/>
          </w:tcPr>
          <w:p w14:paraId="612412F6" w14:textId="77777777" w:rsidR="00345678" w:rsidRPr="001F151E" w:rsidRDefault="00345678" w:rsidP="00086262">
            <w:pPr>
              <w:pStyle w:val="T-bold"/>
              <w:jc w:val="center"/>
            </w:pPr>
            <w:r w:rsidRPr="001F151E">
              <w:t>2025</w:t>
            </w:r>
          </w:p>
        </w:tc>
        <w:tc>
          <w:tcPr>
            <w:tcW w:w="1086" w:type="dxa"/>
            <w:shd w:val="clear" w:color="auto" w:fill="D9D9D9" w:themeFill="background1" w:themeFillShade="D9"/>
            <w:vAlign w:val="center"/>
          </w:tcPr>
          <w:p w14:paraId="3FF857AF" w14:textId="77777777" w:rsidR="00345678" w:rsidRPr="001F151E" w:rsidRDefault="00345678" w:rsidP="00086262">
            <w:pPr>
              <w:pStyle w:val="T-bold"/>
              <w:jc w:val="center"/>
            </w:pPr>
            <w:r w:rsidRPr="001F151E">
              <w:t>2026</w:t>
            </w:r>
          </w:p>
        </w:tc>
      </w:tr>
      <w:tr w:rsidR="00345678" w:rsidRPr="001F151E" w14:paraId="58A8422D" w14:textId="77777777" w:rsidTr="00086262">
        <w:tc>
          <w:tcPr>
            <w:tcW w:w="3540" w:type="dxa"/>
          </w:tcPr>
          <w:p w14:paraId="41F2F7B0" w14:textId="77777777" w:rsidR="00345678" w:rsidRPr="001F151E" w:rsidRDefault="00345678" w:rsidP="00086262">
            <w:pPr>
              <w:pStyle w:val="T-number"/>
              <w:numPr>
                <w:ilvl w:val="0"/>
                <w:numId w:val="29"/>
              </w:numPr>
            </w:pPr>
            <w:r w:rsidRPr="001F151E">
              <w:t>PEFA PI-31 Legislative scrutiny of audit reports.</w:t>
            </w:r>
            <w:r w:rsidRPr="001F151E">
              <w:rPr>
                <w:rStyle w:val="FootnoteReference"/>
              </w:rPr>
              <w:footnoteReference w:id="85"/>
            </w:r>
          </w:p>
        </w:tc>
        <w:tc>
          <w:tcPr>
            <w:tcW w:w="1134" w:type="dxa"/>
            <w:vAlign w:val="center"/>
          </w:tcPr>
          <w:p w14:paraId="2114E678" w14:textId="77777777" w:rsidR="00345678" w:rsidRPr="001F151E" w:rsidRDefault="00345678" w:rsidP="00086262">
            <w:pPr>
              <w:pStyle w:val="T-normal"/>
              <w:jc w:val="center"/>
            </w:pPr>
            <w:r w:rsidRPr="001F151E">
              <w:t>B</w:t>
            </w:r>
          </w:p>
          <w:p w14:paraId="39DA40AB" w14:textId="77777777" w:rsidR="00345678" w:rsidRPr="001F151E" w:rsidRDefault="00345678" w:rsidP="00086262">
            <w:pPr>
              <w:pStyle w:val="T-normal"/>
              <w:jc w:val="center"/>
            </w:pPr>
            <w:r w:rsidRPr="001F151E">
              <w:t>(2017)</w:t>
            </w:r>
          </w:p>
        </w:tc>
        <w:tc>
          <w:tcPr>
            <w:tcW w:w="1085" w:type="dxa"/>
            <w:vAlign w:val="center"/>
          </w:tcPr>
          <w:p w14:paraId="04EFA702" w14:textId="77777777" w:rsidR="00345678" w:rsidRPr="001F151E" w:rsidRDefault="00345678" w:rsidP="00086262">
            <w:pPr>
              <w:pStyle w:val="T-normal"/>
              <w:jc w:val="center"/>
            </w:pPr>
            <w:r w:rsidRPr="001F151E">
              <w:t>-</w:t>
            </w:r>
          </w:p>
        </w:tc>
        <w:tc>
          <w:tcPr>
            <w:tcW w:w="1086" w:type="dxa"/>
            <w:vAlign w:val="center"/>
          </w:tcPr>
          <w:p w14:paraId="78E6A4C1" w14:textId="77777777" w:rsidR="00345678" w:rsidRPr="001F151E" w:rsidRDefault="00345678" w:rsidP="00086262">
            <w:pPr>
              <w:pStyle w:val="T-normal"/>
              <w:jc w:val="center"/>
            </w:pPr>
            <w:r w:rsidRPr="001F151E">
              <w:t>-</w:t>
            </w:r>
          </w:p>
        </w:tc>
        <w:tc>
          <w:tcPr>
            <w:tcW w:w="1085" w:type="dxa"/>
            <w:vAlign w:val="center"/>
          </w:tcPr>
          <w:p w14:paraId="434B86AF" w14:textId="77777777" w:rsidR="00345678" w:rsidRPr="001F151E" w:rsidRDefault="00345678" w:rsidP="00086262">
            <w:pPr>
              <w:pStyle w:val="T-normal"/>
              <w:jc w:val="center"/>
            </w:pPr>
            <w:r w:rsidRPr="001F151E">
              <w:t>-</w:t>
            </w:r>
          </w:p>
        </w:tc>
        <w:tc>
          <w:tcPr>
            <w:tcW w:w="1086" w:type="dxa"/>
            <w:vAlign w:val="center"/>
          </w:tcPr>
          <w:p w14:paraId="437ACA1B" w14:textId="77777777" w:rsidR="00345678" w:rsidRPr="001F151E" w:rsidRDefault="00345678" w:rsidP="00086262">
            <w:pPr>
              <w:pStyle w:val="T-normal"/>
              <w:jc w:val="center"/>
            </w:pPr>
            <w:r w:rsidRPr="001F151E">
              <w:t>&gt; B</w:t>
            </w:r>
          </w:p>
        </w:tc>
      </w:tr>
      <w:tr w:rsidR="00345678" w:rsidRPr="001F151E" w14:paraId="00F4B2BC" w14:textId="77777777" w:rsidTr="00086262">
        <w:tc>
          <w:tcPr>
            <w:tcW w:w="3540" w:type="dxa"/>
          </w:tcPr>
          <w:p w14:paraId="49FFA66B" w14:textId="77777777" w:rsidR="00345678" w:rsidRPr="001F151E" w:rsidRDefault="00345678" w:rsidP="00B45892">
            <w:pPr>
              <w:pStyle w:val="T-number"/>
              <w:numPr>
                <w:ilvl w:val="0"/>
                <w:numId w:val="97"/>
              </w:numPr>
            </w:pPr>
            <w:r w:rsidRPr="001F151E">
              <w:t>Development plan prepared and implemented</w:t>
            </w:r>
          </w:p>
        </w:tc>
        <w:tc>
          <w:tcPr>
            <w:tcW w:w="1134" w:type="dxa"/>
            <w:vAlign w:val="center"/>
          </w:tcPr>
          <w:p w14:paraId="6FA02A30" w14:textId="77777777" w:rsidR="00345678" w:rsidRPr="001F151E" w:rsidRDefault="00345678" w:rsidP="00086262">
            <w:pPr>
              <w:pStyle w:val="T-normal"/>
              <w:jc w:val="center"/>
            </w:pPr>
            <w:r w:rsidRPr="001F151E">
              <w:t>-</w:t>
            </w:r>
          </w:p>
        </w:tc>
        <w:tc>
          <w:tcPr>
            <w:tcW w:w="1085" w:type="dxa"/>
            <w:vAlign w:val="center"/>
          </w:tcPr>
          <w:p w14:paraId="6E7F730A" w14:textId="77777777" w:rsidR="00345678" w:rsidRPr="001F151E" w:rsidRDefault="00345678" w:rsidP="00086262">
            <w:pPr>
              <w:pStyle w:val="T-normal"/>
              <w:jc w:val="center"/>
            </w:pPr>
            <w:r w:rsidRPr="001F151E">
              <w:t>-</w:t>
            </w:r>
          </w:p>
        </w:tc>
        <w:tc>
          <w:tcPr>
            <w:tcW w:w="1086" w:type="dxa"/>
            <w:vAlign w:val="center"/>
          </w:tcPr>
          <w:p w14:paraId="2A6D2D5C" w14:textId="77777777" w:rsidR="00345678" w:rsidRPr="001F151E" w:rsidRDefault="00345678" w:rsidP="00086262">
            <w:pPr>
              <w:pStyle w:val="T-normal"/>
              <w:jc w:val="center"/>
            </w:pPr>
            <w:r w:rsidRPr="001F151E">
              <w:t>-</w:t>
            </w:r>
          </w:p>
        </w:tc>
        <w:tc>
          <w:tcPr>
            <w:tcW w:w="1085" w:type="dxa"/>
            <w:vAlign w:val="center"/>
          </w:tcPr>
          <w:p w14:paraId="3971FD76" w14:textId="77777777" w:rsidR="00345678" w:rsidRPr="001F151E" w:rsidRDefault="00345678" w:rsidP="00086262">
            <w:pPr>
              <w:pStyle w:val="T-normal"/>
              <w:jc w:val="center"/>
            </w:pPr>
            <w:r w:rsidRPr="001F151E">
              <w:t>Approved</w:t>
            </w:r>
          </w:p>
        </w:tc>
        <w:tc>
          <w:tcPr>
            <w:tcW w:w="1086" w:type="dxa"/>
            <w:vAlign w:val="center"/>
          </w:tcPr>
          <w:p w14:paraId="651565F1" w14:textId="77777777" w:rsidR="00345678" w:rsidRPr="001F151E" w:rsidRDefault="00345678" w:rsidP="00086262">
            <w:pPr>
              <w:pStyle w:val="T-normal"/>
              <w:jc w:val="center"/>
            </w:pPr>
            <w:r w:rsidRPr="001F151E">
              <w:t>Implementation</w:t>
            </w:r>
          </w:p>
        </w:tc>
      </w:tr>
    </w:tbl>
    <w:p w14:paraId="46798427" w14:textId="77777777" w:rsidR="00345678" w:rsidRPr="001F151E" w:rsidRDefault="00345678" w:rsidP="00345678">
      <w:pPr>
        <w:rPr>
          <w:lang w:val="en-GB"/>
        </w:rPr>
      </w:pPr>
    </w:p>
    <w:p w14:paraId="3ECFAC4D" w14:textId="77777777" w:rsidR="00345678" w:rsidRPr="001F151E" w:rsidRDefault="00345678" w:rsidP="00345678">
      <w:pPr>
        <w:rPr>
          <w:lang w:val="en-GB"/>
        </w:rPr>
      </w:pPr>
    </w:p>
    <w:p w14:paraId="4011ED00" w14:textId="77777777" w:rsidR="00345678" w:rsidRPr="001F151E" w:rsidRDefault="00345678" w:rsidP="00345678">
      <w:pPr>
        <w:rPr>
          <w:lang w:val="en-GB"/>
        </w:rPr>
      </w:pPr>
    </w:p>
    <w:p w14:paraId="0ABDE97A" w14:textId="77777777" w:rsidR="00345678" w:rsidRPr="001F151E" w:rsidRDefault="00345678" w:rsidP="00345678">
      <w:pPr>
        <w:spacing w:after="160" w:line="259" w:lineRule="auto"/>
        <w:rPr>
          <w:rFonts w:eastAsiaTheme="majorEastAsia" w:cstheme="majorBidi"/>
          <w:b/>
          <w:bCs/>
          <w:iCs/>
          <w:color w:val="0070C0"/>
          <w:sz w:val="26"/>
          <w:szCs w:val="26"/>
          <w:lang w:val="en-GB"/>
        </w:rPr>
      </w:pPr>
      <w:r w:rsidRPr="001F151E">
        <w:rPr>
          <w:lang w:val="en-GB"/>
        </w:rPr>
        <w:br w:type="page"/>
      </w:r>
    </w:p>
    <w:p w14:paraId="32B2A3F2" w14:textId="77777777" w:rsidR="00345678" w:rsidRPr="00345678" w:rsidRDefault="00345678" w:rsidP="00345678">
      <w:pPr>
        <w:pStyle w:val="Heading1"/>
        <w:rPr>
          <w:lang w:val="en-GB"/>
        </w:rPr>
      </w:pPr>
      <w:bookmarkStart w:id="82" w:name="_Toc163148043"/>
      <w:r w:rsidRPr="00345678">
        <w:rPr>
          <w:lang w:val="en-GB"/>
        </w:rPr>
        <w:t>Monitoring and Reporting Institutional Framework</w:t>
      </w:r>
      <w:bookmarkEnd w:id="82"/>
    </w:p>
    <w:p w14:paraId="0A483E5A" w14:textId="77777777" w:rsidR="00345678" w:rsidRPr="00345678" w:rsidRDefault="00345678" w:rsidP="00345678">
      <w:pPr>
        <w:rPr>
          <w:lang w:val="en-GB"/>
        </w:rPr>
      </w:pPr>
    </w:p>
    <w:p w14:paraId="108CC875" w14:textId="77777777" w:rsidR="00345678" w:rsidRPr="00345678" w:rsidRDefault="00345678" w:rsidP="00345678">
      <w:pPr>
        <w:rPr>
          <w:lang w:val="en-GB"/>
        </w:rPr>
      </w:pPr>
    </w:p>
    <w:p w14:paraId="03F2E81B" w14:textId="34810B3A" w:rsidR="00345678" w:rsidRPr="00345678" w:rsidRDefault="00345678" w:rsidP="00345678">
      <w:pPr>
        <w:spacing w:line="276" w:lineRule="auto"/>
        <w:jc w:val="both"/>
        <w:rPr>
          <w:lang w:val="en-GB"/>
        </w:rPr>
      </w:pPr>
      <w:r w:rsidRPr="00345678">
        <w:rPr>
          <w:lang w:val="en-GB"/>
        </w:rPr>
        <w:t>The institutional framework for managing PFM reforms</w:t>
      </w:r>
      <w:r w:rsidR="00E07640">
        <w:rPr>
          <w:lang w:val="en-GB"/>
        </w:rPr>
        <w:t xml:space="preserve"> within the MoF</w:t>
      </w:r>
      <w:r w:rsidRPr="00345678">
        <w:rPr>
          <w:lang w:val="en-GB"/>
        </w:rPr>
        <w:t xml:space="preserve"> comprises a steering committee, a technical committee and the directorate for PFM reform.</w:t>
      </w:r>
      <w:r w:rsidR="00E07640">
        <w:rPr>
          <w:lang w:val="en-GB"/>
        </w:rPr>
        <w:t xml:space="preserve"> The PFM Steering Committee is part of integrated Policy Management Groups (IPMG) 1 “Democracy, Rule of Law and Good Governance”. </w:t>
      </w:r>
    </w:p>
    <w:p w14:paraId="18BEFEBF" w14:textId="77777777" w:rsidR="00345678" w:rsidRPr="00345678" w:rsidRDefault="00345678" w:rsidP="00345678">
      <w:pPr>
        <w:spacing w:line="276" w:lineRule="auto"/>
        <w:jc w:val="both"/>
        <w:rPr>
          <w:lang w:val="en-GB"/>
        </w:rPr>
      </w:pPr>
    </w:p>
    <w:p w14:paraId="723F9BEF" w14:textId="77777777" w:rsidR="00345678" w:rsidRPr="00345678" w:rsidRDefault="00345678" w:rsidP="00345678">
      <w:pPr>
        <w:spacing w:line="276" w:lineRule="auto"/>
        <w:jc w:val="both"/>
        <w:rPr>
          <w:b/>
          <w:bCs/>
          <w:lang w:val="en-GB"/>
        </w:rPr>
      </w:pPr>
      <w:r w:rsidRPr="00345678">
        <w:rPr>
          <w:b/>
          <w:bCs/>
          <w:lang w:val="en-GB"/>
        </w:rPr>
        <w:t>PFM Steering Committee</w:t>
      </w:r>
    </w:p>
    <w:p w14:paraId="0D4E02A8" w14:textId="77777777" w:rsidR="00345678" w:rsidRPr="00345678" w:rsidRDefault="00345678" w:rsidP="00345678">
      <w:pPr>
        <w:spacing w:line="276" w:lineRule="auto"/>
        <w:jc w:val="both"/>
        <w:rPr>
          <w:lang w:val="en-GB"/>
        </w:rPr>
      </w:pPr>
      <w:r w:rsidRPr="00345678">
        <w:rPr>
          <w:lang w:val="en-GB"/>
        </w:rPr>
        <w:t xml:space="preserve">The PFM Reform </w:t>
      </w:r>
      <w:r w:rsidRPr="00345678">
        <w:rPr>
          <w:b/>
          <w:lang w:val="en-GB"/>
        </w:rPr>
        <w:t>Steering Committee</w:t>
      </w:r>
      <w:r w:rsidRPr="00345678">
        <w:rPr>
          <w:lang w:val="en-GB"/>
        </w:rPr>
        <w:t xml:space="preserve"> (SC)</w:t>
      </w:r>
      <w:r w:rsidRPr="00345678">
        <w:rPr>
          <w:vertAlign w:val="superscript"/>
          <w:lang w:val="en-GB"/>
        </w:rPr>
        <w:footnoteReference w:id="86"/>
      </w:r>
      <w:r w:rsidRPr="00345678">
        <w:rPr>
          <w:lang w:val="en-GB"/>
        </w:rPr>
        <w:t xml:space="preserve"> will continue to be the oversight body with responsibility for directing and monitoring PFM reform activities, </w:t>
      </w:r>
      <w:r w:rsidRPr="00345678">
        <w:t>including engagement with Development Partners and Civil Society</w:t>
      </w:r>
      <w:r w:rsidRPr="00345678">
        <w:rPr>
          <w:lang w:val="en-GB"/>
        </w:rPr>
        <w:t xml:space="preserve">.  The SC is chaired by the Minister of Finance, and its membership are as follows: </w:t>
      </w:r>
    </w:p>
    <w:p w14:paraId="04C8B0FD" w14:textId="77777777" w:rsidR="00345678" w:rsidRPr="00345678" w:rsidRDefault="00345678" w:rsidP="00345678">
      <w:pPr>
        <w:pStyle w:val="N-Bullet"/>
        <w:spacing w:line="276" w:lineRule="auto"/>
        <w:jc w:val="both"/>
        <w:rPr>
          <w:lang w:val="en-GB"/>
        </w:rPr>
      </w:pPr>
      <w:r w:rsidRPr="00345678">
        <w:rPr>
          <w:lang w:val="en-GB"/>
        </w:rPr>
        <w:t xml:space="preserve">The Deputy Ministers for Finance; </w:t>
      </w:r>
    </w:p>
    <w:p w14:paraId="223A981A" w14:textId="77777777" w:rsidR="00345678" w:rsidRPr="00345678" w:rsidRDefault="00345678" w:rsidP="00345678">
      <w:pPr>
        <w:pStyle w:val="N-Bullet"/>
        <w:spacing w:line="276" w:lineRule="auto"/>
        <w:jc w:val="both"/>
        <w:rPr>
          <w:lang w:val="en-GB"/>
        </w:rPr>
      </w:pPr>
      <w:r w:rsidRPr="00345678">
        <w:rPr>
          <w:lang w:val="en-GB"/>
        </w:rPr>
        <w:t>The Secretary General of the Ministry of Finance;</w:t>
      </w:r>
    </w:p>
    <w:p w14:paraId="3CE9EE25" w14:textId="3C97985B" w:rsidR="00345678" w:rsidRPr="00345678" w:rsidRDefault="0067107E" w:rsidP="00345678">
      <w:pPr>
        <w:pStyle w:val="N-Bullet"/>
        <w:spacing w:line="276" w:lineRule="auto"/>
        <w:jc w:val="both"/>
        <w:rPr>
          <w:lang w:val="en-GB"/>
        </w:rPr>
      </w:pPr>
      <w:r>
        <w:rPr>
          <w:lang w:val="en-GB"/>
        </w:rPr>
        <w:t>Minister of State and Chief Negotiator</w:t>
      </w:r>
    </w:p>
    <w:p w14:paraId="7561CCF7" w14:textId="77777777" w:rsidR="00345678" w:rsidRPr="00345678" w:rsidRDefault="00345678" w:rsidP="00345678">
      <w:pPr>
        <w:pStyle w:val="N-Bullet"/>
        <w:spacing w:line="276" w:lineRule="auto"/>
        <w:jc w:val="both"/>
        <w:rPr>
          <w:lang w:val="en-GB"/>
        </w:rPr>
      </w:pPr>
      <w:r w:rsidRPr="00345678">
        <w:rPr>
          <w:lang w:val="en-GB"/>
        </w:rPr>
        <w:t>One representative from the Prime Minister’s Office;</w:t>
      </w:r>
    </w:p>
    <w:p w14:paraId="44012388" w14:textId="77777777" w:rsidR="00345678" w:rsidRPr="00345678" w:rsidRDefault="00345678" w:rsidP="00345678">
      <w:pPr>
        <w:pStyle w:val="N-Bullet"/>
        <w:spacing w:line="276" w:lineRule="auto"/>
        <w:jc w:val="both"/>
        <w:rPr>
          <w:lang w:val="en-GB"/>
        </w:rPr>
      </w:pPr>
      <w:r w:rsidRPr="00345678">
        <w:rPr>
          <w:lang w:val="en-GB"/>
        </w:rPr>
        <w:t>The Secretary General of the ALSAI;</w:t>
      </w:r>
    </w:p>
    <w:p w14:paraId="7ABCDF5C" w14:textId="060406DE" w:rsidR="00345678" w:rsidRPr="00345678" w:rsidRDefault="00345678" w:rsidP="00345678">
      <w:pPr>
        <w:pStyle w:val="N-Bullet"/>
        <w:spacing w:line="276" w:lineRule="auto"/>
        <w:jc w:val="both"/>
        <w:rPr>
          <w:lang w:val="en-GB"/>
        </w:rPr>
      </w:pPr>
      <w:r w:rsidRPr="00345678">
        <w:rPr>
          <w:lang w:val="en-GB"/>
        </w:rPr>
        <w:t>One representative from the Parliament</w:t>
      </w:r>
      <w:r w:rsidR="00395F7F">
        <w:rPr>
          <w:lang w:val="en-GB"/>
        </w:rPr>
        <w:t>ary</w:t>
      </w:r>
      <w:r w:rsidRPr="00345678">
        <w:rPr>
          <w:lang w:val="en-GB"/>
        </w:rPr>
        <w:t xml:space="preserve"> Committee for Economy and Finance;</w:t>
      </w:r>
    </w:p>
    <w:p w14:paraId="3AD1CD26" w14:textId="77777777" w:rsidR="00345678" w:rsidRPr="00345678" w:rsidRDefault="00345678" w:rsidP="00345678">
      <w:pPr>
        <w:pStyle w:val="N-Bullet"/>
        <w:spacing w:line="276" w:lineRule="auto"/>
        <w:jc w:val="both"/>
        <w:rPr>
          <w:lang w:val="en-GB"/>
        </w:rPr>
      </w:pPr>
      <w:r w:rsidRPr="00345678">
        <w:rPr>
          <w:lang w:val="en-GB"/>
        </w:rPr>
        <w:t xml:space="preserve">The Head of the Department of Public Administration; </w:t>
      </w:r>
    </w:p>
    <w:p w14:paraId="1DB8070B" w14:textId="1B63D0FD" w:rsidR="00345678" w:rsidRPr="00345678" w:rsidRDefault="00345678" w:rsidP="00345678">
      <w:pPr>
        <w:pStyle w:val="N-Bullet"/>
        <w:spacing w:line="276" w:lineRule="auto"/>
        <w:jc w:val="both"/>
        <w:rPr>
          <w:lang w:val="en-GB"/>
        </w:rPr>
      </w:pPr>
      <w:r w:rsidRPr="00345678">
        <w:rPr>
          <w:lang w:val="en-GB"/>
        </w:rPr>
        <w:t xml:space="preserve">The </w:t>
      </w:r>
      <w:r w:rsidR="0074738F">
        <w:rPr>
          <w:lang w:val="en-GB"/>
        </w:rPr>
        <w:t>General Director</w:t>
      </w:r>
      <w:r w:rsidRPr="00345678">
        <w:rPr>
          <w:lang w:val="en-GB"/>
        </w:rPr>
        <w:t xml:space="preserve"> of the Public Procurement Agency; </w:t>
      </w:r>
    </w:p>
    <w:p w14:paraId="37F2FB7A" w14:textId="77777777" w:rsidR="00345678" w:rsidRPr="00345678" w:rsidRDefault="00345678" w:rsidP="00345678">
      <w:pPr>
        <w:pStyle w:val="N-Bullet"/>
        <w:spacing w:line="276" w:lineRule="auto"/>
        <w:jc w:val="both"/>
        <w:rPr>
          <w:lang w:val="en-GB"/>
        </w:rPr>
      </w:pPr>
      <w:r w:rsidRPr="00345678">
        <w:rPr>
          <w:lang w:val="en-GB"/>
        </w:rPr>
        <w:t>The Head of Public Procurement Commission;</w:t>
      </w:r>
    </w:p>
    <w:p w14:paraId="7FA63FEC" w14:textId="77777777" w:rsidR="00345678" w:rsidRPr="00345678" w:rsidRDefault="00345678" w:rsidP="00345678">
      <w:pPr>
        <w:pStyle w:val="N-Bullet"/>
        <w:spacing w:line="276" w:lineRule="auto"/>
        <w:jc w:val="both"/>
        <w:rPr>
          <w:lang w:val="en-GB"/>
        </w:rPr>
      </w:pPr>
      <w:r w:rsidRPr="00345678">
        <w:rPr>
          <w:lang w:val="en-GB"/>
        </w:rPr>
        <w:t>The General Director of Taxation;</w:t>
      </w:r>
    </w:p>
    <w:p w14:paraId="27EF4150" w14:textId="77777777" w:rsidR="00345678" w:rsidRDefault="00345678" w:rsidP="00345678">
      <w:pPr>
        <w:pStyle w:val="N-Bullet"/>
        <w:spacing w:line="276" w:lineRule="auto"/>
        <w:jc w:val="both"/>
        <w:rPr>
          <w:lang w:val="en-GB"/>
        </w:rPr>
      </w:pPr>
      <w:r w:rsidRPr="00345678">
        <w:rPr>
          <w:lang w:val="en-GB"/>
        </w:rPr>
        <w:t xml:space="preserve">The General Director of Customs; </w:t>
      </w:r>
    </w:p>
    <w:p w14:paraId="1585F2CC" w14:textId="7FFA0818" w:rsidR="000E0F92" w:rsidRPr="00345678" w:rsidRDefault="000E0F92" w:rsidP="00345678">
      <w:pPr>
        <w:pStyle w:val="N-Bullet"/>
        <w:spacing w:line="276" w:lineRule="auto"/>
        <w:jc w:val="both"/>
        <w:rPr>
          <w:lang w:val="en-GB"/>
        </w:rPr>
      </w:pPr>
      <w:r>
        <w:rPr>
          <w:lang w:val="en-GB"/>
        </w:rPr>
        <w:t>The General Director of SASPAC</w:t>
      </w:r>
    </w:p>
    <w:p w14:paraId="20A96837" w14:textId="77777777" w:rsidR="00345678" w:rsidRPr="00345678" w:rsidRDefault="00345678" w:rsidP="00345678">
      <w:pPr>
        <w:pStyle w:val="N-Bullet"/>
        <w:spacing w:line="276" w:lineRule="auto"/>
        <w:jc w:val="both"/>
        <w:rPr>
          <w:lang w:val="en-GB"/>
        </w:rPr>
      </w:pPr>
      <w:r w:rsidRPr="00345678">
        <w:rPr>
          <w:lang w:val="en-GB"/>
        </w:rPr>
        <w:t>The Head of INSTAT;</w:t>
      </w:r>
    </w:p>
    <w:p w14:paraId="1E0FCAC4" w14:textId="77777777" w:rsidR="00345678" w:rsidRPr="00345678" w:rsidRDefault="00345678" w:rsidP="00345678">
      <w:pPr>
        <w:pStyle w:val="N-Bullet"/>
        <w:spacing w:line="276" w:lineRule="auto"/>
        <w:jc w:val="both"/>
        <w:rPr>
          <w:lang w:val="en-GB"/>
        </w:rPr>
      </w:pPr>
      <w:r w:rsidRPr="00345678">
        <w:rPr>
          <w:lang w:val="en-GB"/>
        </w:rPr>
        <w:t>Invited representatives from the DIP.</w:t>
      </w:r>
    </w:p>
    <w:p w14:paraId="5EE2914D" w14:textId="77777777" w:rsidR="00345678" w:rsidRPr="00345678" w:rsidRDefault="00345678" w:rsidP="00345678">
      <w:pPr>
        <w:spacing w:line="276" w:lineRule="auto"/>
        <w:jc w:val="both"/>
        <w:rPr>
          <w:lang w:val="en-GB"/>
        </w:rPr>
      </w:pPr>
      <w:bookmarkStart w:id="83" w:name="_Toc407032646"/>
    </w:p>
    <w:p w14:paraId="34ED177B" w14:textId="77777777" w:rsidR="00345678" w:rsidRPr="00345678" w:rsidRDefault="00345678" w:rsidP="00345678">
      <w:pPr>
        <w:spacing w:line="276" w:lineRule="auto"/>
        <w:jc w:val="both"/>
        <w:rPr>
          <w:lang w:val="en-GB"/>
        </w:rPr>
      </w:pPr>
      <w:r w:rsidRPr="00345678">
        <w:rPr>
          <w:lang w:val="en-GB"/>
        </w:rPr>
        <w:t xml:space="preserve">The Secretary General of MOF will serve as Secretary to the SC. The Committee will meet at least once a year and whenever required to review the progress of the reforms, review the risks and approve mitigating actions. The Secretary General may invite any other persons to the SC from time to time. </w:t>
      </w:r>
    </w:p>
    <w:p w14:paraId="06AAA1BA" w14:textId="77777777" w:rsidR="00345678" w:rsidRPr="00345678" w:rsidRDefault="00345678" w:rsidP="00345678">
      <w:pPr>
        <w:spacing w:line="276" w:lineRule="auto"/>
        <w:jc w:val="both"/>
        <w:rPr>
          <w:lang w:val="en-GB"/>
        </w:rPr>
      </w:pPr>
    </w:p>
    <w:p w14:paraId="5B0B2074" w14:textId="77777777" w:rsidR="00345678" w:rsidRPr="00345678" w:rsidRDefault="00345678" w:rsidP="00345678">
      <w:pPr>
        <w:spacing w:line="276" w:lineRule="auto"/>
        <w:jc w:val="both"/>
        <w:rPr>
          <w:b/>
          <w:bCs/>
          <w:lang w:val="en-GB"/>
        </w:rPr>
      </w:pPr>
      <w:r w:rsidRPr="00345678">
        <w:rPr>
          <w:b/>
          <w:bCs/>
          <w:lang w:val="en-GB"/>
        </w:rPr>
        <w:t>PFM Technical Committee</w:t>
      </w:r>
    </w:p>
    <w:p w14:paraId="54E8F1B5" w14:textId="77777777" w:rsidR="00345678" w:rsidRPr="00345678" w:rsidRDefault="00345678" w:rsidP="00345678">
      <w:pPr>
        <w:spacing w:line="276" w:lineRule="auto"/>
        <w:jc w:val="both"/>
        <w:rPr>
          <w:lang w:val="en-GB"/>
        </w:rPr>
      </w:pPr>
    </w:p>
    <w:bookmarkEnd w:id="83"/>
    <w:p w14:paraId="078D985B" w14:textId="77777777" w:rsidR="00345678" w:rsidRPr="00345678" w:rsidRDefault="00345678" w:rsidP="00345678">
      <w:pPr>
        <w:spacing w:before="120" w:after="120" w:line="276" w:lineRule="auto"/>
        <w:jc w:val="both"/>
        <w:rPr>
          <w:lang w:val="en-GB"/>
        </w:rPr>
      </w:pPr>
      <w:r w:rsidRPr="00345678">
        <w:rPr>
          <w:lang w:val="en-GB"/>
        </w:rPr>
        <w:t xml:space="preserve">A </w:t>
      </w:r>
      <w:r w:rsidRPr="00345678">
        <w:rPr>
          <w:b/>
          <w:lang w:val="en-GB"/>
        </w:rPr>
        <w:t>Technical Committee</w:t>
      </w:r>
      <w:r w:rsidRPr="00345678">
        <w:rPr>
          <w:lang w:val="en-GB"/>
        </w:rPr>
        <w:t xml:space="preserve"> (TC) that was established in 2017 will continue to have the mandate to catalyse the reform activities and to co-ordinate and monitor the implementation of the </w:t>
      </w:r>
      <w:r w:rsidRPr="00345678">
        <w:rPr>
          <w:bCs/>
          <w:lang w:val="en-GB"/>
        </w:rPr>
        <w:t>Outputs</w:t>
      </w:r>
      <w:r w:rsidRPr="00345678">
        <w:rPr>
          <w:lang w:val="en-GB"/>
        </w:rPr>
        <w:t xml:space="preserve"> under the different Components of the respective Pillars. Importantly the TC would identify risks, plan their mitigation and alert the SC to these matters accordingly. The TC is chaired by the Secretary General of MOF. The Committee shall meet at least once a year and whenever required. </w:t>
      </w:r>
    </w:p>
    <w:p w14:paraId="5E1A883D" w14:textId="77777777" w:rsidR="00345678" w:rsidRPr="00345678" w:rsidRDefault="00345678" w:rsidP="00345678">
      <w:pPr>
        <w:spacing w:line="276" w:lineRule="auto"/>
        <w:jc w:val="both"/>
        <w:rPr>
          <w:lang w:val="en-GB"/>
        </w:rPr>
      </w:pPr>
      <w:r w:rsidRPr="00345678">
        <w:rPr>
          <w:lang w:val="en-GB"/>
        </w:rPr>
        <w:t xml:space="preserve">The SC and TC will be supported by the </w:t>
      </w:r>
      <w:r w:rsidRPr="00345678">
        <w:rPr>
          <w:b/>
          <w:color w:val="000000"/>
          <w:shd w:val="clear" w:color="auto" w:fill="FFFFFF"/>
          <w:lang w:val="en-GB"/>
        </w:rPr>
        <w:t>Directorate responsible for Managing the PFM Reforms</w:t>
      </w:r>
      <w:r w:rsidRPr="00345678">
        <w:rPr>
          <w:lang w:val="en-GB"/>
        </w:rPr>
        <w:t xml:space="preserve">. The Directorate will continue to be responsible for monitoring and reporting on the PFM reforms: </w:t>
      </w:r>
    </w:p>
    <w:p w14:paraId="3AE97A4E" w14:textId="77777777" w:rsidR="00345678" w:rsidRPr="00345678" w:rsidRDefault="00345678" w:rsidP="00345678">
      <w:pPr>
        <w:pStyle w:val="N-Bullet"/>
        <w:spacing w:line="276" w:lineRule="auto"/>
        <w:jc w:val="both"/>
        <w:rPr>
          <w:lang w:val="en-GB"/>
        </w:rPr>
      </w:pPr>
      <w:r w:rsidRPr="00345678">
        <w:rPr>
          <w:lang w:val="en-GB"/>
        </w:rPr>
        <w:t xml:space="preserve">Review Pillars progress reports; </w:t>
      </w:r>
    </w:p>
    <w:p w14:paraId="2A05DCA0" w14:textId="77777777" w:rsidR="00345678" w:rsidRPr="00345678" w:rsidRDefault="00345678" w:rsidP="00345678">
      <w:pPr>
        <w:pStyle w:val="N-Bullet"/>
        <w:spacing w:line="276" w:lineRule="auto"/>
        <w:jc w:val="both"/>
        <w:rPr>
          <w:lang w:val="en-GB"/>
        </w:rPr>
      </w:pPr>
      <w:r w:rsidRPr="00345678">
        <w:rPr>
          <w:lang w:val="en-GB"/>
        </w:rPr>
        <w:t>Succinctly report on PFM progress: achievements; where progress is off-track; challenges and risks to the TC and SC, in conjunction with the Pillars' Coordinators;</w:t>
      </w:r>
    </w:p>
    <w:p w14:paraId="3DEDBB3E" w14:textId="77777777" w:rsidR="00345678" w:rsidRPr="00345678" w:rsidRDefault="00345678" w:rsidP="00345678">
      <w:pPr>
        <w:pStyle w:val="N-Bullet"/>
        <w:spacing w:line="276" w:lineRule="auto"/>
        <w:jc w:val="both"/>
        <w:rPr>
          <w:lang w:val="en-GB"/>
        </w:rPr>
      </w:pPr>
      <w:r w:rsidRPr="00345678">
        <w:rPr>
          <w:lang w:val="en-GB"/>
        </w:rPr>
        <w:t>Prepare an Annual Monitoring Report about PFM Strategy progress; and</w:t>
      </w:r>
    </w:p>
    <w:p w14:paraId="6435208C" w14:textId="77777777" w:rsidR="00345678" w:rsidRPr="00345678" w:rsidRDefault="00345678" w:rsidP="00345678">
      <w:pPr>
        <w:pStyle w:val="N-Bullet"/>
        <w:spacing w:line="276" w:lineRule="auto"/>
        <w:jc w:val="both"/>
        <w:rPr>
          <w:lang w:val="en-GB"/>
        </w:rPr>
      </w:pPr>
      <w:r w:rsidRPr="00345678">
        <w:rPr>
          <w:lang w:val="en-GB"/>
        </w:rPr>
        <w:t>The Director shall support the SC in ensuring that risks to the implementation of the Action Plan are identified and TC and SC recommendations are implemented.</w:t>
      </w:r>
    </w:p>
    <w:p w14:paraId="652E91B2" w14:textId="77777777" w:rsidR="00345678" w:rsidRPr="00345678" w:rsidRDefault="00345678" w:rsidP="00345678">
      <w:pPr>
        <w:spacing w:line="276" w:lineRule="auto"/>
        <w:jc w:val="both"/>
        <w:rPr>
          <w:lang w:val="en-GB"/>
        </w:rPr>
      </w:pPr>
    </w:p>
    <w:p w14:paraId="469836A6" w14:textId="77777777" w:rsidR="00345678" w:rsidRPr="00345678" w:rsidRDefault="00345678" w:rsidP="00345678">
      <w:pPr>
        <w:spacing w:line="276" w:lineRule="auto"/>
        <w:jc w:val="both"/>
        <w:rPr>
          <w:lang w:val="en-GB"/>
        </w:rPr>
      </w:pPr>
      <w:r w:rsidRPr="00345678">
        <w:rPr>
          <w:lang w:val="en-GB"/>
        </w:rPr>
        <w:t xml:space="preserve">The PFM SC will be used as a forum for dialogue and feedback from Albania’s external partners on the PFM Strategy and its implementation. Meetings dedicated to the PFM reforms will be held on at least an annual basis. </w:t>
      </w:r>
    </w:p>
    <w:p w14:paraId="5875681A" w14:textId="77777777" w:rsidR="00345678" w:rsidRDefault="00345678" w:rsidP="00345678">
      <w:pPr>
        <w:spacing w:line="276" w:lineRule="auto"/>
        <w:jc w:val="both"/>
        <w:rPr>
          <w:lang w:val="en-GB"/>
        </w:rPr>
      </w:pPr>
    </w:p>
    <w:p w14:paraId="189B3A5C" w14:textId="77777777" w:rsidR="00F22823" w:rsidRDefault="00F22823" w:rsidP="00345678">
      <w:pPr>
        <w:spacing w:line="276" w:lineRule="auto"/>
        <w:jc w:val="both"/>
        <w:rPr>
          <w:lang w:val="en-GB"/>
        </w:rPr>
      </w:pPr>
    </w:p>
    <w:p w14:paraId="4C2F2BB6" w14:textId="77777777" w:rsidR="00F22823" w:rsidRPr="00345678" w:rsidRDefault="00F22823" w:rsidP="00345678">
      <w:pPr>
        <w:spacing w:line="276" w:lineRule="auto"/>
        <w:jc w:val="both"/>
        <w:rPr>
          <w:lang w:val="en-GB"/>
        </w:rPr>
      </w:pPr>
    </w:p>
    <w:p w14:paraId="2B279992" w14:textId="77777777" w:rsidR="00345678" w:rsidRPr="00345678" w:rsidRDefault="00345678" w:rsidP="00345678">
      <w:pPr>
        <w:pStyle w:val="Heading1"/>
        <w:spacing w:line="276" w:lineRule="auto"/>
        <w:jc w:val="both"/>
        <w:rPr>
          <w:lang w:val="en-GB"/>
        </w:rPr>
      </w:pPr>
      <w:bookmarkStart w:id="84" w:name="_Toc163148044"/>
      <w:r w:rsidRPr="00345678">
        <w:rPr>
          <w:lang w:val="en-GB"/>
        </w:rPr>
        <w:t>Risks and mitigation plan</w:t>
      </w:r>
      <w:bookmarkEnd w:id="84"/>
    </w:p>
    <w:p w14:paraId="293B2DA3" w14:textId="77777777" w:rsidR="00345678" w:rsidRPr="00345678" w:rsidRDefault="00345678" w:rsidP="00345678">
      <w:pPr>
        <w:spacing w:line="276" w:lineRule="auto"/>
        <w:jc w:val="both"/>
        <w:rPr>
          <w:lang w:val="en-GB"/>
        </w:rPr>
      </w:pPr>
    </w:p>
    <w:p w14:paraId="5E529783" w14:textId="77777777" w:rsidR="00345678" w:rsidRPr="001F151E" w:rsidRDefault="00345678" w:rsidP="00345678">
      <w:pPr>
        <w:spacing w:line="276" w:lineRule="auto"/>
        <w:jc w:val="both"/>
        <w:rPr>
          <w:lang w:val="en-GB"/>
        </w:rPr>
      </w:pPr>
      <w:r w:rsidRPr="00345678">
        <w:rPr>
          <w:lang w:val="en-GB"/>
        </w:rPr>
        <w:t>To ensure the effective management of reforms, drawing from the experience gained between 2014 and 2022, a more proactive approach to risk management is imperative. This involves not only addressing risks associated with the implementation of activities but also considering potential risks to the overarching objectives of the Pillars and</w:t>
      </w:r>
      <w:r w:rsidRPr="001F151E">
        <w:rPr>
          <w:lang w:val="en-GB"/>
        </w:rPr>
        <w:t xml:space="preserve"> their respective Components. Thus, heightened attention will be directed towards the Risk and Mitigation Plan, which is to be a dynamic document forming an integral part of the regular reporting framework outlined in the governance arrangements mentioned earlier.</w:t>
      </w:r>
    </w:p>
    <w:p w14:paraId="218B5981" w14:textId="77777777" w:rsidR="00345678" w:rsidRPr="001F151E" w:rsidRDefault="00345678" w:rsidP="00345678">
      <w:pPr>
        <w:spacing w:line="276" w:lineRule="auto"/>
        <w:jc w:val="both"/>
        <w:rPr>
          <w:lang w:val="en-GB"/>
        </w:rPr>
      </w:pPr>
    </w:p>
    <w:p w14:paraId="79F56654" w14:textId="77777777" w:rsidR="00345678" w:rsidRPr="001F151E" w:rsidRDefault="00345678" w:rsidP="00345678">
      <w:pPr>
        <w:spacing w:line="276" w:lineRule="auto"/>
        <w:jc w:val="both"/>
        <w:rPr>
          <w:lang w:val="en-GB"/>
        </w:rPr>
      </w:pPr>
      <w:r w:rsidRPr="00345678">
        <w:rPr>
          <w:lang w:val="en-GB"/>
        </w:rPr>
        <w:t>The Pillars/Component</w:t>
      </w:r>
      <w:r w:rsidRPr="001F151E">
        <w:rPr>
          <w:lang w:val="en-GB"/>
        </w:rPr>
        <w:t xml:space="preserve"> leaders are tasked with the ongoing monitoring of the execution of the Strategy's Action Plan, with a particular focus on proposing mitigating actions whenever identified risks materialize. The paragraphs below highlights key risks associated with the implementation of the PFM Strategy, accompanied by insights into how these challenges can be effectively mitigated.</w:t>
      </w:r>
    </w:p>
    <w:p w14:paraId="566394C2" w14:textId="77777777" w:rsidR="00345678" w:rsidRPr="001F151E" w:rsidRDefault="00345678" w:rsidP="00345678">
      <w:pPr>
        <w:spacing w:line="276" w:lineRule="auto"/>
        <w:jc w:val="both"/>
        <w:rPr>
          <w:lang w:val="en-GB"/>
        </w:rPr>
      </w:pPr>
    </w:p>
    <w:p w14:paraId="454EB436" w14:textId="77777777" w:rsidR="00345678" w:rsidRPr="001F151E" w:rsidRDefault="00345678" w:rsidP="00345678">
      <w:pPr>
        <w:spacing w:line="276" w:lineRule="auto"/>
        <w:jc w:val="both"/>
        <w:rPr>
          <w:lang w:val="en-GB"/>
        </w:rPr>
      </w:pPr>
      <w:r w:rsidRPr="001F151E">
        <w:rPr>
          <w:bCs/>
          <w:lang w:val="en-GB"/>
        </w:rPr>
        <w:t xml:space="preserve">Political Risk - </w:t>
      </w:r>
      <w:r w:rsidRPr="001F151E">
        <w:rPr>
          <w:lang w:val="en-GB"/>
        </w:rPr>
        <w:t>Political transitions, changes in leadership, or shifting priorities can result in a faltering commitment to the reform agenda. To mitigate this risk:</w:t>
      </w:r>
    </w:p>
    <w:p w14:paraId="77645E5F" w14:textId="77777777" w:rsidR="00345678" w:rsidRPr="001F151E" w:rsidRDefault="00345678" w:rsidP="00345678">
      <w:pPr>
        <w:pStyle w:val="N-Bullet"/>
        <w:spacing w:line="276" w:lineRule="auto"/>
        <w:jc w:val="both"/>
        <w:rPr>
          <w:lang w:val="en-GB"/>
        </w:rPr>
      </w:pPr>
      <w:r w:rsidRPr="001F151E">
        <w:rPr>
          <w:lang w:val="en-GB"/>
        </w:rPr>
        <w:t>Increase awareness among political leaders and key decision-makers regarding the importance and benefits of PFM reforms;</w:t>
      </w:r>
    </w:p>
    <w:p w14:paraId="60854BC9" w14:textId="77777777" w:rsidR="00345678" w:rsidRPr="001F151E" w:rsidRDefault="00345678" w:rsidP="00345678">
      <w:pPr>
        <w:pStyle w:val="N-Bullet"/>
        <w:spacing w:line="276" w:lineRule="auto"/>
        <w:jc w:val="both"/>
        <w:rPr>
          <w:lang w:val="en-GB"/>
        </w:rPr>
      </w:pPr>
      <w:r w:rsidRPr="001F151E">
        <w:rPr>
          <w:lang w:val="en-GB"/>
        </w:rPr>
        <w:t>Ensure integration of PFM reforms into broader government plans and strategies;</w:t>
      </w:r>
    </w:p>
    <w:p w14:paraId="74B93FCC" w14:textId="77777777" w:rsidR="00345678" w:rsidRPr="001F151E" w:rsidRDefault="00345678" w:rsidP="00345678">
      <w:pPr>
        <w:pStyle w:val="N-Bullet"/>
        <w:spacing w:line="276" w:lineRule="auto"/>
        <w:jc w:val="both"/>
        <w:rPr>
          <w:lang w:val="en-GB"/>
        </w:rPr>
      </w:pPr>
      <w:r w:rsidRPr="001F151E">
        <w:rPr>
          <w:lang w:val="en-GB"/>
        </w:rPr>
        <w:t>Conduct public awareness campaigns to enlighten citizens on the significance of PFM reforms, leveraging public support to influence political prioritization and sustainability.</w:t>
      </w:r>
    </w:p>
    <w:p w14:paraId="01D176E4" w14:textId="77777777" w:rsidR="00345678" w:rsidRPr="001F151E" w:rsidRDefault="00345678" w:rsidP="00345678">
      <w:pPr>
        <w:spacing w:line="276" w:lineRule="auto"/>
        <w:jc w:val="both"/>
        <w:rPr>
          <w:bCs/>
          <w:lang w:val="en-GB"/>
        </w:rPr>
      </w:pPr>
    </w:p>
    <w:p w14:paraId="5BCAAD04" w14:textId="77777777" w:rsidR="00345678" w:rsidRPr="001F151E" w:rsidRDefault="00345678" w:rsidP="00345678">
      <w:pPr>
        <w:spacing w:line="276" w:lineRule="auto"/>
        <w:jc w:val="both"/>
        <w:rPr>
          <w:lang w:val="en-GB"/>
        </w:rPr>
      </w:pPr>
      <w:r w:rsidRPr="001F151E">
        <w:rPr>
          <w:bCs/>
          <w:lang w:val="en-GB"/>
        </w:rPr>
        <w:t>Institutional Risks -</w:t>
      </w:r>
      <w:r w:rsidRPr="001F151E">
        <w:rPr>
          <w:lang w:val="en-GB"/>
        </w:rPr>
        <w:t xml:space="preserve"> Insufficient capacity and capabilities within government institutions pose significant risks to PFM reforms. To mitigate this risk:</w:t>
      </w:r>
    </w:p>
    <w:p w14:paraId="095C6865" w14:textId="359AEFD1" w:rsidR="00345678" w:rsidRPr="001F151E" w:rsidRDefault="00345678" w:rsidP="00345678">
      <w:pPr>
        <w:pStyle w:val="N-Bullet"/>
        <w:spacing w:line="276" w:lineRule="auto"/>
        <w:jc w:val="both"/>
        <w:rPr>
          <w:lang w:val="en-GB"/>
        </w:rPr>
      </w:pPr>
      <w:r w:rsidRPr="001F151E">
        <w:rPr>
          <w:lang w:val="en-GB"/>
        </w:rPr>
        <w:t xml:space="preserve">The </w:t>
      </w:r>
      <w:r w:rsidR="00A660B5">
        <w:rPr>
          <w:lang w:val="en-GB"/>
        </w:rPr>
        <w:t>MoF</w:t>
      </w:r>
      <w:r w:rsidRPr="001F151E">
        <w:rPr>
          <w:lang w:val="en-GB"/>
        </w:rPr>
        <w:t xml:space="preserve"> and other involved institutions are committed to investing in a comprehensive training needs assessment and the development of tailored training programs;</w:t>
      </w:r>
    </w:p>
    <w:p w14:paraId="391DB16D" w14:textId="77777777" w:rsidR="00345678" w:rsidRPr="001F151E" w:rsidRDefault="00345678" w:rsidP="00345678">
      <w:pPr>
        <w:pStyle w:val="N-Bullet"/>
        <w:spacing w:line="276" w:lineRule="auto"/>
        <w:jc w:val="both"/>
        <w:rPr>
          <w:lang w:val="en-GB"/>
        </w:rPr>
      </w:pPr>
      <w:r w:rsidRPr="001F151E">
        <w:rPr>
          <w:lang w:val="en-GB"/>
        </w:rPr>
        <w:t>Strengthen collaboration with ASPA and international organizations for additional support;</w:t>
      </w:r>
    </w:p>
    <w:p w14:paraId="432C680E" w14:textId="77777777" w:rsidR="00345678" w:rsidRPr="001F151E" w:rsidRDefault="00345678" w:rsidP="00345678">
      <w:pPr>
        <w:pStyle w:val="N-Bullet"/>
        <w:spacing w:line="276" w:lineRule="auto"/>
        <w:jc w:val="both"/>
        <w:rPr>
          <w:lang w:val="en-GB"/>
        </w:rPr>
      </w:pPr>
      <w:r w:rsidRPr="001F151E">
        <w:rPr>
          <w:lang w:val="en-GB"/>
        </w:rPr>
        <w:t>Sustain continuous engagement in human capital investment, recognizing it as essential for sustaining positive outcomes.</w:t>
      </w:r>
    </w:p>
    <w:p w14:paraId="19A0C98A" w14:textId="77777777" w:rsidR="00345678" w:rsidRPr="001F151E" w:rsidRDefault="00345678" w:rsidP="00345678">
      <w:pPr>
        <w:spacing w:line="276" w:lineRule="auto"/>
        <w:jc w:val="both"/>
        <w:rPr>
          <w:rFonts w:eastAsia="Times New Roman"/>
          <w:lang w:val="en-GB"/>
        </w:rPr>
      </w:pPr>
    </w:p>
    <w:p w14:paraId="48606E8D" w14:textId="77777777" w:rsidR="00345678" w:rsidRPr="001F151E" w:rsidRDefault="00345678" w:rsidP="00345678">
      <w:pPr>
        <w:spacing w:line="276" w:lineRule="auto"/>
        <w:jc w:val="both"/>
        <w:rPr>
          <w:rFonts w:eastAsia="Times New Roman"/>
          <w:lang w:val="en-GB"/>
        </w:rPr>
      </w:pPr>
      <w:r w:rsidRPr="001F151E">
        <w:rPr>
          <w:rFonts w:eastAsia="Times New Roman"/>
          <w:lang w:val="en-GB"/>
        </w:rPr>
        <w:t>Legal risk – regulatory changes planned are delayed. To mitigate this risk:</w:t>
      </w:r>
    </w:p>
    <w:p w14:paraId="367DF2A3" w14:textId="77777777" w:rsidR="00345678" w:rsidRPr="001F151E" w:rsidRDefault="00345678" w:rsidP="00345678">
      <w:pPr>
        <w:pStyle w:val="N-Bullet"/>
        <w:spacing w:line="276" w:lineRule="auto"/>
        <w:jc w:val="both"/>
        <w:rPr>
          <w:lang w:val="en-GB"/>
        </w:rPr>
      </w:pPr>
      <w:r w:rsidRPr="001F151E">
        <w:rPr>
          <w:lang w:val="en-GB"/>
        </w:rPr>
        <w:t>Establish regular communication channels with relevant regulatory bodies involved in PFM reform;</w:t>
      </w:r>
    </w:p>
    <w:p w14:paraId="18D221C5" w14:textId="77777777" w:rsidR="00345678" w:rsidRPr="001F151E" w:rsidRDefault="00345678" w:rsidP="00345678">
      <w:pPr>
        <w:pStyle w:val="N-Bullet"/>
        <w:spacing w:line="276" w:lineRule="auto"/>
        <w:jc w:val="both"/>
        <w:rPr>
          <w:lang w:val="en-GB"/>
        </w:rPr>
      </w:pPr>
      <w:r w:rsidRPr="001F151E">
        <w:rPr>
          <w:lang w:val="en-GB"/>
        </w:rPr>
        <w:t>Seek support from political leaders and key institutions to prioritize and facilitate the implementation of regulatory changes;</w:t>
      </w:r>
    </w:p>
    <w:p w14:paraId="50665224" w14:textId="77777777" w:rsidR="00345678" w:rsidRPr="001F151E" w:rsidRDefault="00345678" w:rsidP="00345678">
      <w:pPr>
        <w:pStyle w:val="N-Bullet"/>
        <w:spacing w:line="276" w:lineRule="auto"/>
        <w:jc w:val="both"/>
        <w:rPr>
          <w:lang w:val="en-GB"/>
        </w:rPr>
      </w:pPr>
      <w:r w:rsidRPr="001F151E">
        <w:rPr>
          <w:lang w:val="en-GB"/>
        </w:rPr>
        <w:t>Advocate for the importance of timely regulatory reforms to achieve the broader objectives of PFM reform.</w:t>
      </w:r>
    </w:p>
    <w:p w14:paraId="006A052D" w14:textId="77777777" w:rsidR="00345678" w:rsidRPr="001F151E" w:rsidRDefault="00345678" w:rsidP="00345678">
      <w:pPr>
        <w:spacing w:line="276" w:lineRule="auto"/>
        <w:jc w:val="both"/>
        <w:rPr>
          <w:bCs/>
          <w:lang w:val="en-GB"/>
        </w:rPr>
      </w:pPr>
    </w:p>
    <w:p w14:paraId="7E553781" w14:textId="77777777" w:rsidR="00345678" w:rsidRPr="001F151E" w:rsidRDefault="00345678" w:rsidP="00345678">
      <w:pPr>
        <w:spacing w:line="276" w:lineRule="auto"/>
        <w:jc w:val="both"/>
        <w:rPr>
          <w:lang w:val="en-GB"/>
        </w:rPr>
      </w:pPr>
      <w:r w:rsidRPr="001F151E">
        <w:rPr>
          <w:bCs/>
          <w:lang w:val="en-GB"/>
        </w:rPr>
        <w:t xml:space="preserve">Financial Risks - </w:t>
      </w:r>
      <w:r w:rsidRPr="001F151E">
        <w:rPr>
          <w:lang w:val="en-GB"/>
        </w:rPr>
        <w:t>Limited financial resources can hinder the implementation of comprehensive PFM reforms. To mitigate this risk:</w:t>
      </w:r>
    </w:p>
    <w:p w14:paraId="263F5DDB" w14:textId="77777777" w:rsidR="00345678" w:rsidRPr="001F151E" w:rsidRDefault="00345678" w:rsidP="00345678">
      <w:pPr>
        <w:pStyle w:val="N-Bullet"/>
        <w:spacing w:line="276" w:lineRule="auto"/>
        <w:jc w:val="both"/>
        <w:rPr>
          <w:lang w:val="en-GB"/>
        </w:rPr>
      </w:pPr>
      <w:r w:rsidRPr="001F151E">
        <w:rPr>
          <w:lang w:val="en-GB"/>
        </w:rPr>
        <w:t>Conduct a thorough review of the resources needed for its implementation;</w:t>
      </w:r>
    </w:p>
    <w:p w14:paraId="68006483" w14:textId="77777777" w:rsidR="00345678" w:rsidRPr="001F151E" w:rsidRDefault="00345678" w:rsidP="00345678">
      <w:pPr>
        <w:pStyle w:val="N-Bullet"/>
        <w:spacing w:line="276" w:lineRule="auto"/>
        <w:jc w:val="both"/>
        <w:rPr>
          <w:lang w:val="en-GB"/>
        </w:rPr>
      </w:pPr>
      <w:r w:rsidRPr="001F151E">
        <w:rPr>
          <w:lang w:val="en-GB"/>
        </w:rPr>
        <w:t>Consider a phased implementation approach if necessary;</w:t>
      </w:r>
    </w:p>
    <w:p w14:paraId="721CDA24" w14:textId="77777777" w:rsidR="00345678" w:rsidRPr="001F151E" w:rsidRDefault="00345678" w:rsidP="00345678">
      <w:pPr>
        <w:pStyle w:val="N-Bullet"/>
        <w:spacing w:line="276" w:lineRule="auto"/>
        <w:jc w:val="both"/>
        <w:rPr>
          <w:lang w:val="en-GB"/>
        </w:rPr>
      </w:pPr>
      <w:r w:rsidRPr="001F151E">
        <w:rPr>
          <w:lang w:val="en-GB"/>
        </w:rPr>
        <w:t>Explore alternative sources of funding, including international donor funding.</w:t>
      </w:r>
    </w:p>
    <w:p w14:paraId="57E98E23" w14:textId="77777777" w:rsidR="00345678" w:rsidRPr="001F151E" w:rsidRDefault="00345678" w:rsidP="00345678">
      <w:pPr>
        <w:spacing w:line="276" w:lineRule="auto"/>
        <w:jc w:val="both"/>
        <w:rPr>
          <w:bCs/>
          <w:lang w:val="en-GB"/>
        </w:rPr>
      </w:pPr>
    </w:p>
    <w:p w14:paraId="35FEC6AF" w14:textId="77777777" w:rsidR="00345678" w:rsidRPr="001F151E" w:rsidRDefault="00345678" w:rsidP="00345678">
      <w:pPr>
        <w:spacing w:line="276" w:lineRule="auto"/>
        <w:jc w:val="both"/>
        <w:rPr>
          <w:lang w:val="en-GB"/>
        </w:rPr>
      </w:pPr>
      <w:r w:rsidRPr="001F151E">
        <w:rPr>
          <w:bCs/>
          <w:lang w:val="en-GB"/>
        </w:rPr>
        <w:t xml:space="preserve">Technological Risk - </w:t>
      </w:r>
      <w:r w:rsidRPr="001F151E">
        <w:rPr>
          <w:lang w:val="en-GB"/>
        </w:rPr>
        <w:t>As PFM reforms increasingly rely on technology, the risk of cybersecurity threats rises. To mitigate this risk:</w:t>
      </w:r>
    </w:p>
    <w:p w14:paraId="0A18E59E" w14:textId="77777777" w:rsidR="00345678" w:rsidRPr="001F151E" w:rsidRDefault="00345678" w:rsidP="00345678">
      <w:pPr>
        <w:pStyle w:val="N-Bullet"/>
        <w:spacing w:line="276" w:lineRule="auto"/>
        <w:jc w:val="both"/>
        <w:rPr>
          <w:rFonts w:eastAsia="Times New Roman"/>
          <w:lang w:val="en-GB"/>
        </w:rPr>
      </w:pPr>
      <w:r w:rsidRPr="001F151E">
        <w:rPr>
          <w:lang w:val="en-GB"/>
        </w:rPr>
        <w:t xml:space="preserve">Formulate a comprehensive cybersecurity policy that outlines standards, protocols, and guidelines for protecting information systems; </w:t>
      </w:r>
    </w:p>
    <w:p w14:paraId="782DA128" w14:textId="77777777" w:rsidR="00345678" w:rsidRPr="00345678" w:rsidRDefault="00345678" w:rsidP="00345678">
      <w:pPr>
        <w:pStyle w:val="N-Bullet"/>
        <w:spacing w:line="276" w:lineRule="auto"/>
        <w:jc w:val="both"/>
        <w:rPr>
          <w:rFonts w:eastAsia="Times New Roman"/>
          <w:lang w:val="en-GB"/>
        </w:rPr>
      </w:pPr>
      <w:r w:rsidRPr="001F151E">
        <w:rPr>
          <w:rFonts w:eastAsia="Times New Roman"/>
          <w:lang w:val="en-GB"/>
        </w:rPr>
        <w:t xml:space="preserve">Emphasize continuous monitoring and adaptability to evolving threats as crucial components of a successful </w:t>
      </w:r>
      <w:r w:rsidRPr="00345678">
        <w:rPr>
          <w:rFonts w:eastAsia="Times New Roman"/>
          <w:lang w:val="en-GB"/>
        </w:rPr>
        <w:t>cybersecurity plan.</w:t>
      </w:r>
      <w:r w:rsidRPr="00345678">
        <w:rPr>
          <w:rFonts w:ascii="Segoe UI" w:hAnsi="Segoe UI" w:cs="Segoe UI"/>
          <w:color w:val="374151"/>
          <w:lang w:val="en-GB"/>
        </w:rPr>
        <w:t xml:space="preserve"> </w:t>
      </w:r>
    </w:p>
    <w:p w14:paraId="098C75AB" w14:textId="77777777" w:rsidR="00345678" w:rsidRPr="00345678" w:rsidRDefault="00345678" w:rsidP="00345678">
      <w:pPr>
        <w:spacing w:line="276" w:lineRule="auto"/>
        <w:jc w:val="both"/>
        <w:rPr>
          <w:bCs/>
          <w:lang w:val="en-GB"/>
        </w:rPr>
      </w:pPr>
    </w:p>
    <w:p w14:paraId="6C8AD797" w14:textId="77777777" w:rsidR="00345678" w:rsidRPr="00345678" w:rsidRDefault="00345678" w:rsidP="00345678">
      <w:pPr>
        <w:spacing w:line="276" w:lineRule="auto"/>
        <w:jc w:val="both"/>
        <w:rPr>
          <w:lang w:val="en-GB"/>
        </w:rPr>
      </w:pPr>
      <w:r w:rsidRPr="00345678">
        <w:rPr>
          <w:bCs/>
          <w:lang w:val="en-GB"/>
        </w:rPr>
        <w:t xml:space="preserve">Social Risks - </w:t>
      </w:r>
      <w:r w:rsidRPr="00345678">
        <w:rPr>
          <w:lang w:val="en-GB"/>
        </w:rPr>
        <w:t>Inadequate consultation and communication with key stakeholders can lead to social resistance or misunderstandings. To mitigate this risk:</w:t>
      </w:r>
    </w:p>
    <w:p w14:paraId="257DBE15" w14:textId="77777777" w:rsidR="00345678" w:rsidRPr="00345678" w:rsidRDefault="00345678" w:rsidP="00345678">
      <w:pPr>
        <w:pStyle w:val="N-Bullet"/>
        <w:spacing w:line="276" w:lineRule="auto"/>
        <w:jc w:val="both"/>
        <w:rPr>
          <w:lang w:val="en-GB"/>
        </w:rPr>
      </w:pPr>
      <w:r w:rsidRPr="00345678">
        <w:rPr>
          <w:lang w:val="en-GB"/>
        </w:rPr>
        <w:t>Engage stakeholders extensively during the PFM Strategy preparation process and its monitoring.</w:t>
      </w:r>
    </w:p>
    <w:p w14:paraId="63F1F9C7" w14:textId="77777777" w:rsidR="00345678" w:rsidRPr="00345678" w:rsidRDefault="00345678" w:rsidP="00345678">
      <w:pPr>
        <w:pStyle w:val="N-Bullet"/>
        <w:spacing w:line="276" w:lineRule="auto"/>
        <w:jc w:val="both"/>
        <w:rPr>
          <w:lang w:val="en-GB"/>
        </w:rPr>
      </w:pPr>
      <w:r w:rsidRPr="00345678">
        <w:rPr>
          <w:lang w:val="en-GB"/>
        </w:rPr>
        <w:t>Make all monitoring reports available to the public to ensure transparency and foster trust.</w:t>
      </w:r>
    </w:p>
    <w:p w14:paraId="55083271" w14:textId="77777777" w:rsidR="00345678" w:rsidRPr="00345678" w:rsidRDefault="00345678" w:rsidP="00345678">
      <w:pPr>
        <w:spacing w:after="120" w:line="276" w:lineRule="auto"/>
        <w:jc w:val="both"/>
        <w:rPr>
          <w:lang w:val="en-GB"/>
        </w:rPr>
      </w:pPr>
    </w:p>
    <w:p w14:paraId="3683E926" w14:textId="77777777" w:rsidR="00345678" w:rsidRPr="001F151E" w:rsidRDefault="00345678" w:rsidP="00345678">
      <w:pPr>
        <w:spacing w:line="276" w:lineRule="auto"/>
        <w:jc w:val="both"/>
        <w:rPr>
          <w:lang w:val="en-GB"/>
        </w:rPr>
      </w:pPr>
      <w:r w:rsidRPr="00345678">
        <w:rPr>
          <w:lang w:val="en-GB"/>
        </w:rPr>
        <w:t>The table below highlights potential risks envisaged at the Strategy preparation stage and will form the basis for monitoring the risks. Pillars leaders will support the SC for ensuring that risks are monitored and mitigating actions are reported.</w:t>
      </w:r>
    </w:p>
    <w:p w14:paraId="7D94374F" w14:textId="77777777" w:rsidR="00345678" w:rsidRPr="001F151E" w:rsidRDefault="00345678" w:rsidP="00345678">
      <w:pPr>
        <w:rPr>
          <w:lang w:val="en-GB"/>
        </w:rPr>
      </w:pPr>
    </w:p>
    <w:p w14:paraId="3A1AD01B" w14:textId="77777777" w:rsidR="00345678" w:rsidRPr="001F151E" w:rsidRDefault="00345678" w:rsidP="00345678">
      <w:pPr>
        <w:pStyle w:val="T-normal"/>
        <w:rPr>
          <w:i/>
          <w:iCs/>
          <w:lang w:val="en-GB"/>
        </w:rPr>
      </w:pPr>
      <w:r w:rsidRPr="001F151E">
        <w:rPr>
          <w:i/>
          <w:iCs/>
          <w:lang w:val="en-GB"/>
        </w:rPr>
        <w:t>Table 3: Key potential risks</w:t>
      </w:r>
    </w:p>
    <w:tbl>
      <w:tblPr>
        <w:tblStyle w:val="TableGrid"/>
        <w:tblW w:w="5000" w:type="pct"/>
        <w:jc w:val="center"/>
        <w:tblLayout w:type="fixed"/>
        <w:tblCellMar>
          <w:top w:w="28" w:type="dxa"/>
          <w:left w:w="85" w:type="dxa"/>
          <w:bottom w:w="28" w:type="dxa"/>
          <w:right w:w="85" w:type="dxa"/>
        </w:tblCellMar>
        <w:tblLook w:val="04A0" w:firstRow="1" w:lastRow="0" w:firstColumn="1" w:lastColumn="0" w:noHBand="0" w:noVBand="1"/>
      </w:tblPr>
      <w:tblGrid>
        <w:gridCol w:w="4673"/>
        <w:gridCol w:w="620"/>
        <w:gridCol w:w="620"/>
        <w:gridCol w:w="621"/>
        <w:gridCol w:w="620"/>
        <w:gridCol w:w="621"/>
        <w:gridCol w:w="620"/>
        <w:gridCol w:w="621"/>
      </w:tblGrid>
      <w:tr w:rsidR="00345678" w:rsidRPr="001F151E" w14:paraId="02747702" w14:textId="77777777" w:rsidTr="00086262">
        <w:trPr>
          <w:cantSplit/>
          <w:trHeight w:val="53"/>
          <w:tblHeader/>
          <w:jc w:val="center"/>
        </w:trPr>
        <w:tc>
          <w:tcPr>
            <w:tcW w:w="4673" w:type="dxa"/>
            <w:vMerge w:val="restart"/>
            <w:tcBorders>
              <w:top w:val="single" w:sz="4" w:space="0" w:color="auto"/>
              <w:left w:val="single" w:sz="4" w:space="0" w:color="auto"/>
              <w:bottom w:val="single" w:sz="4" w:space="0" w:color="auto"/>
              <w:right w:val="single" w:sz="4" w:space="0" w:color="auto"/>
            </w:tcBorders>
            <w:vAlign w:val="center"/>
          </w:tcPr>
          <w:p w14:paraId="31AE5FC5" w14:textId="77777777" w:rsidR="00345678" w:rsidRPr="001F151E" w:rsidRDefault="00345678" w:rsidP="00086262">
            <w:pPr>
              <w:pStyle w:val="T-normal"/>
            </w:pPr>
            <w:r w:rsidRPr="001F151E">
              <w:t>Risk assessment (probability and impact):</w:t>
            </w:r>
          </w:p>
          <w:p w14:paraId="099CD8BE" w14:textId="77777777" w:rsidR="00345678" w:rsidRPr="001F151E" w:rsidRDefault="00345678" w:rsidP="00086262">
            <w:pPr>
              <w:pStyle w:val="T-normal"/>
            </w:pPr>
            <w:r w:rsidRPr="001F151E">
              <w:t>H = High</w:t>
            </w:r>
          </w:p>
          <w:p w14:paraId="6133B222" w14:textId="77777777" w:rsidR="00345678" w:rsidRPr="001F151E" w:rsidRDefault="00345678" w:rsidP="00086262">
            <w:pPr>
              <w:pStyle w:val="T-normal"/>
            </w:pPr>
            <w:r w:rsidRPr="001F151E">
              <w:t>M = Moderate</w:t>
            </w:r>
          </w:p>
          <w:p w14:paraId="1745BCA3" w14:textId="77777777" w:rsidR="00345678" w:rsidRPr="001F151E" w:rsidRDefault="00345678" w:rsidP="00086262">
            <w:pPr>
              <w:pStyle w:val="T-normal"/>
            </w:pPr>
            <w:r w:rsidRPr="001F151E">
              <w:t>L = Low</w:t>
            </w:r>
          </w:p>
        </w:tc>
        <w:tc>
          <w:tcPr>
            <w:tcW w:w="4343" w:type="dxa"/>
            <w:gridSpan w:val="7"/>
            <w:tcBorders>
              <w:top w:val="single" w:sz="4" w:space="0" w:color="auto"/>
              <w:left w:val="single" w:sz="4" w:space="0" w:color="auto"/>
              <w:bottom w:val="single" w:sz="4" w:space="0" w:color="auto"/>
              <w:right w:val="single" w:sz="4" w:space="0" w:color="auto"/>
            </w:tcBorders>
            <w:vAlign w:val="center"/>
          </w:tcPr>
          <w:p w14:paraId="69627D79" w14:textId="77777777" w:rsidR="00345678" w:rsidRPr="001F151E" w:rsidRDefault="00345678" w:rsidP="00086262">
            <w:pPr>
              <w:pStyle w:val="T-normal"/>
              <w:jc w:val="center"/>
            </w:pPr>
            <w:r w:rsidRPr="001F151E">
              <w:t>Main Risk Factors</w:t>
            </w:r>
          </w:p>
        </w:tc>
      </w:tr>
      <w:tr w:rsidR="00345678" w:rsidRPr="001F151E" w14:paraId="7A16333A" w14:textId="77777777" w:rsidTr="00086262">
        <w:trPr>
          <w:cantSplit/>
          <w:trHeight w:val="1982"/>
          <w:tblHeader/>
          <w:jc w:val="center"/>
        </w:trPr>
        <w:tc>
          <w:tcPr>
            <w:tcW w:w="4673" w:type="dxa"/>
            <w:vMerge/>
            <w:tcBorders>
              <w:top w:val="single" w:sz="4" w:space="0" w:color="auto"/>
              <w:left w:val="single" w:sz="4" w:space="0" w:color="auto"/>
              <w:bottom w:val="single" w:sz="4" w:space="0" w:color="auto"/>
              <w:right w:val="single" w:sz="4" w:space="0" w:color="auto"/>
            </w:tcBorders>
            <w:vAlign w:val="center"/>
            <w:hideMark/>
          </w:tcPr>
          <w:p w14:paraId="4906385B" w14:textId="77777777" w:rsidR="00345678" w:rsidRPr="001F151E" w:rsidRDefault="00345678" w:rsidP="00086262">
            <w:pPr>
              <w:pStyle w:val="T-normal"/>
            </w:pPr>
          </w:p>
        </w:tc>
        <w:tc>
          <w:tcPr>
            <w:tcW w:w="620" w:type="dxa"/>
            <w:tcBorders>
              <w:top w:val="single" w:sz="4" w:space="0" w:color="auto"/>
              <w:left w:val="single" w:sz="4" w:space="0" w:color="auto"/>
              <w:bottom w:val="single" w:sz="4" w:space="0" w:color="auto"/>
              <w:right w:val="single" w:sz="4" w:space="0" w:color="auto"/>
            </w:tcBorders>
            <w:textDirection w:val="btLr"/>
            <w:vAlign w:val="center"/>
            <w:hideMark/>
          </w:tcPr>
          <w:p w14:paraId="0EACD07C" w14:textId="77777777" w:rsidR="00345678" w:rsidRPr="001F151E" w:rsidRDefault="00345678" w:rsidP="00086262">
            <w:pPr>
              <w:pStyle w:val="T-normal"/>
              <w:rPr>
                <w:rFonts w:ascii="Arial Narrow" w:hAnsi="Arial Narrow"/>
              </w:rPr>
            </w:pPr>
            <w:r w:rsidRPr="001F151E">
              <w:rPr>
                <w:rFonts w:ascii="Arial Narrow" w:hAnsi="Arial Narrow"/>
              </w:rPr>
              <w:t>Delayed legal/ Regulatory changes</w:t>
            </w:r>
          </w:p>
        </w:tc>
        <w:tc>
          <w:tcPr>
            <w:tcW w:w="620" w:type="dxa"/>
            <w:tcBorders>
              <w:top w:val="single" w:sz="4" w:space="0" w:color="auto"/>
              <w:left w:val="single" w:sz="4" w:space="0" w:color="auto"/>
              <w:bottom w:val="single" w:sz="4" w:space="0" w:color="auto"/>
              <w:right w:val="single" w:sz="4" w:space="0" w:color="auto"/>
            </w:tcBorders>
            <w:textDirection w:val="btLr"/>
            <w:vAlign w:val="center"/>
            <w:hideMark/>
          </w:tcPr>
          <w:p w14:paraId="16C6CBDD" w14:textId="77777777" w:rsidR="00345678" w:rsidRPr="001F151E" w:rsidRDefault="00345678" w:rsidP="00086262">
            <w:pPr>
              <w:pStyle w:val="T-normal"/>
              <w:rPr>
                <w:rFonts w:ascii="Arial Narrow" w:hAnsi="Arial Narrow"/>
              </w:rPr>
            </w:pPr>
            <w:r w:rsidRPr="001F151E">
              <w:rPr>
                <w:rFonts w:ascii="Arial Narrow" w:hAnsi="Arial Narrow"/>
              </w:rPr>
              <w:t>Inadequate Financial provision</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14:paraId="63879435" w14:textId="77777777" w:rsidR="00345678" w:rsidRPr="001F151E" w:rsidRDefault="00345678" w:rsidP="00086262">
            <w:pPr>
              <w:pStyle w:val="T-normal"/>
              <w:rPr>
                <w:rFonts w:ascii="Arial Narrow" w:hAnsi="Arial Narrow"/>
              </w:rPr>
            </w:pPr>
            <w:r w:rsidRPr="001F151E">
              <w:rPr>
                <w:rFonts w:ascii="Arial Narrow" w:hAnsi="Arial Narrow"/>
              </w:rPr>
              <w:t>Non-sustainable human resource capacity development</w:t>
            </w:r>
          </w:p>
        </w:tc>
        <w:tc>
          <w:tcPr>
            <w:tcW w:w="620" w:type="dxa"/>
            <w:tcBorders>
              <w:top w:val="single" w:sz="4" w:space="0" w:color="auto"/>
              <w:left w:val="single" w:sz="4" w:space="0" w:color="auto"/>
              <w:bottom w:val="single" w:sz="4" w:space="0" w:color="auto"/>
              <w:right w:val="single" w:sz="4" w:space="0" w:color="auto"/>
            </w:tcBorders>
            <w:textDirection w:val="btLr"/>
            <w:vAlign w:val="center"/>
            <w:hideMark/>
          </w:tcPr>
          <w:p w14:paraId="634D9490" w14:textId="77777777" w:rsidR="00345678" w:rsidRPr="001F151E" w:rsidRDefault="00345678" w:rsidP="00086262">
            <w:pPr>
              <w:pStyle w:val="T-normal"/>
              <w:rPr>
                <w:rFonts w:ascii="Arial Narrow" w:hAnsi="Arial Narrow"/>
              </w:rPr>
            </w:pPr>
            <w:r w:rsidRPr="001F151E">
              <w:rPr>
                <w:rFonts w:ascii="Arial Narrow" w:hAnsi="Arial Narrow"/>
              </w:rPr>
              <w:t>Inadequate availability of Human  Resources</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14:paraId="324933F3" w14:textId="77777777" w:rsidR="00345678" w:rsidRPr="001F151E" w:rsidRDefault="00345678" w:rsidP="00086262">
            <w:pPr>
              <w:pStyle w:val="T-normal"/>
              <w:rPr>
                <w:rFonts w:ascii="Arial Narrow" w:hAnsi="Arial Narrow"/>
              </w:rPr>
            </w:pPr>
            <w:r w:rsidRPr="001F151E">
              <w:rPr>
                <w:rFonts w:ascii="Arial Narrow" w:hAnsi="Arial Narrow"/>
              </w:rPr>
              <w:t>IT development or procurement challenges</w:t>
            </w:r>
          </w:p>
        </w:tc>
        <w:tc>
          <w:tcPr>
            <w:tcW w:w="620" w:type="dxa"/>
            <w:tcBorders>
              <w:top w:val="single" w:sz="4" w:space="0" w:color="auto"/>
              <w:left w:val="single" w:sz="4" w:space="0" w:color="auto"/>
              <w:bottom w:val="single" w:sz="4" w:space="0" w:color="auto"/>
              <w:right w:val="single" w:sz="4" w:space="0" w:color="auto"/>
            </w:tcBorders>
            <w:textDirection w:val="btLr"/>
            <w:vAlign w:val="center"/>
            <w:hideMark/>
          </w:tcPr>
          <w:p w14:paraId="3D5AD0BD" w14:textId="77777777" w:rsidR="00345678" w:rsidRPr="001F151E" w:rsidRDefault="00345678" w:rsidP="00086262">
            <w:pPr>
              <w:pStyle w:val="T-normal"/>
              <w:rPr>
                <w:rFonts w:ascii="Arial Narrow" w:hAnsi="Arial Narrow"/>
              </w:rPr>
            </w:pPr>
            <w:r w:rsidRPr="001F151E">
              <w:rPr>
                <w:rFonts w:ascii="Arial Narrow" w:hAnsi="Arial Narrow"/>
              </w:rPr>
              <w:t>Timely availability of TA / support</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14:paraId="6006A5DF" w14:textId="77777777" w:rsidR="00345678" w:rsidRPr="001F151E" w:rsidRDefault="00345678" w:rsidP="00086262">
            <w:pPr>
              <w:pStyle w:val="T-normal"/>
              <w:rPr>
                <w:rFonts w:ascii="Arial Narrow" w:hAnsi="Arial Narrow"/>
              </w:rPr>
            </w:pPr>
            <w:r w:rsidRPr="001F151E">
              <w:rPr>
                <w:rFonts w:ascii="Arial Narrow" w:hAnsi="Arial Narrow"/>
              </w:rPr>
              <w:t>Inadequate coordination</w:t>
            </w:r>
          </w:p>
        </w:tc>
      </w:tr>
      <w:tr w:rsidR="00345678" w:rsidRPr="001F151E" w14:paraId="730C4CF0" w14:textId="77777777" w:rsidTr="00086262">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B82265" w14:textId="185D1C09" w:rsidR="00345678" w:rsidRPr="001F151E" w:rsidRDefault="00345678" w:rsidP="00086262">
            <w:pPr>
              <w:pStyle w:val="T-normal"/>
            </w:pPr>
            <w:r w:rsidRPr="001F151E">
              <w:t xml:space="preserve">Pillar 1 </w:t>
            </w:r>
            <w:r w:rsidR="00637F25" w:rsidRPr="00637F25">
              <w:t xml:space="preserve">Macroeconomic </w:t>
            </w:r>
            <w:r w:rsidR="00022F54">
              <w:t>P</w:t>
            </w:r>
            <w:r w:rsidR="00637F25" w:rsidRPr="00637F25">
              <w:t>rogramming and Risk Monitoring</w:t>
            </w:r>
          </w:p>
        </w:tc>
      </w:tr>
      <w:tr w:rsidR="00345678" w:rsidRPr="001F151E" w14:paraId="3C967214"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39F081A2" w14:textId="71CCCF12" w:rsidR="00345678" w:rsidRPr="001F151E" w:rsidRDefault="00345678" w:rsidP="00086262">
            <w:pPr>
              <w:pStyle w:val="T-normal"/>
            </w:pPr>
            <w:r w:rsidRPr="001F151E">
              <w:t xml:space="preserve">1.1 Prudent and realistic macro-economic </w:t>
            </w:r>
            <w:r w:rsidR="00637F25">
              <w:t>programming</w:t>
            </w:r>
          </w:p>
        </w:tc>
        <w:tc>
          <w:tcPr>
            <w:tcW w:w="620" w:type="dxa"/>
            <w:tcBorders>
              <w:top w:val="single" w:sz="4" w:space="0" w:color="auto"/>
              <w:left w:val="single" w:sz="4" w:space="0" w:color="auto"/>
              <w:bottom w:val="single" w:sz="4" w:space="0" w:color="auto"/>
              <w:right w:val="single" w:sz="4" w:space="0" w:color="auto"/>
            </w:tcBorders>
          </w:tcPr>
          <w:p w14:paraId="5AA9F3CC"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44FAD20B"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tcPr>
          <w:p w14:paraId="6558D047"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hideMark/>
          </w:tcPr>
          <w:p w14:paraId="1B3B1D4B" w14:textId="77777777" w:rsidR="00345678" w:rsidRPr="001F151E" w:rsidRDefault="00345678" w:rsidP="00086262">
            <w:pPr>
              <w:pStyle w:val="T-normal"/>
              <w:jc w:val="center"/>
            </w:pPr>
            <w:r>
              <w:t>M</w:t>
            </w:r>
          </w:p>
        </w:tc>
        <w:tc>
          <w:tcPr>
            <w:tcW w:w="621" w:type="dxa"/>
            <w:tcBorders>
              <w:top w:val="single" w:sz="4" w:space="0" w:color="auto"/>
              <w:left w:val="single" w:sz="4" w:space="0" w:color="auto"/>
              <w:bottom w:val="single" w:sz="4" w:space="0" w:color="auto"/>
              <w:right w:val="single" w:sz="4" w:space="0" w:color="auto"/>
            </w:tcBorders>
            <w:hideMark/>
          </w:tcPr>
          <w:p w14:paraId="45DF967F"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2D9D4E38"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06CE8A25" w14:textId="77777777" w:rsidR="00345678" w:rsidRPr="001F151E" w:rsidRDefault="00345678" w:rsidP="00086262">
            <w:pPr>
              <w:pStyle w:val="T-normal"/>
              <w:jc w:val="center"/>
            </w:pPr>
            <w:r w:rsidRPr="001F151E">
              <w:t>L</w:t>
            </w:r>
          </w:p>
        </w:tc>
      </w:tr>
      <w:tr w:rsidR="00345678" w:rsidRPr="001F151E" w14:paraId="0C9DDB82"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tcPr>
          <w:p w14:paraId="72A32B6D" w14:textId="47094C14" w:rsidR="00345678" w:rsidRPr="001F151E" w:rsidRDefault="00345678" w:rsidP="00022F54">
            <w:pPr>
              <w:pStyle w:val="T-normal"/>
            </w:pPr>
            <w:r>
              <w:t xml:space="preserve">1.2 </w:t>
            </w:r>
            <w:r w:rsidR="00637F25" w:rsidRPr="00637F25">
              <w:t>Establishing a comprehensive Debt Sustainability Analysis</w:t>
            </w:r>
          </w:p>
        </w:tc>
        <w:tc>
          <w:tcPr>
            <w:tcW w:w="620" w:type="dxa"/>
            <w:tcBorders>
              <w:top w:val="single" w:sz="4" w:space="0" w:color="auto"/>
              <w:left w:val="single" w:sz="4" w:space="0" w:color="auto"/>
              <w:bottom w:val="single" w:sz="4" w:space="0" w:color="auto"/>
              <w:right w:val="single" w:sz="4" w:space="0" w:color="auto"/>
            </w:tcBorders>
          </w:tcPr>
          <w:p w14:paraId="78C5DD58" w14:textId="77777777" w:rsidR="00345678" w:rsidRPr="001F151E" w:rsidRDefault="00345678" w:rsidP="00086262">
            <w:pPr>
              <w:pStyle w:val="T-normal"/>
              <w:jc w:val="center"/>
            </w:pPr>
            <w:r>
              <w:t>L</w:t>
            </w:r>
          </w:p>
        </w:tc>
        <w:tc>
          <w:tcPr>
            <w:tcW w:w="620" w:type="dxa"/>
            <w:tcBorders>
              <w:top w:val="single" w:sz="4" w:space="0" w:color="auto"/>
              <w:left w:val="single" w:sz="4" w:space="0" w:color="auto"/>
              <w:bottom w:val="single" w:sz="4" w:space="0" w:color="auto"/>
              <w:right w:val="single" w:sz="4" w:space="0" w:color="auto"/>
            </w:tcBorders>
          </w:tcPr>
          <w:p w14:paraId="59C976C6" w14:textId="77777777" w:rsidR="00345678" w:rsidRPr="001F151E" w:rsidRDefault="00345678" w:rsidP="00086262">
            <w:pPr>
              <w:pStyle w:val="T-normal"/>
              <w:jc w:val="center"/>
            </w:pPr>
            <w:r>
              <w:t>M</w:t>
            </w:r>
          </w:p>
        </w:tc>
        <w:tc>
          <w:tcPr>
            <w:tcW w:w="621" w:type="dxa"/>
            <w:tcBorders>
              <w:top w:val="single" w:sz="4" w:space="0" w:color="auto"/>
              <w:left w:val="single" w:sz="4" w:space="0" w:color="auto"/>
              <w:bottom w:val="single" w:sz="4" w:space="0" w:color="auto"/>
              <w:right w:val="single" w:sz="4" w:space="0" w:color="auto"/>
            </w:tcBorders>
          </w:tcPr>
          <w:p w14:paraId="20DE62DF" w14:textId="77777777" w:rsidR="00345678" w:rsidRPr="001F151E" w:rsidRDefault="00345678" w:rsidP="00086262">
            <w:pPr>
              <w:pStyle w:val="T-normal"/>
              <w:jc w:val="center"/>
            </w:pPr>
            <w:r>
              <w:t>M</w:t>
            </w:r>
          </w:p>
        </w:tc>
        <w:tc>
          <w:tcPr>
            <w:tcW w:w="620" w:type="dxa"/>
            <w:tcBorders>
              <w:top w:val="single" w:sz="4" w:space="0" w:color="auto"/>
              <w:left w:val="single" w:sz="4" w:space="0" w:color="auto"/>
              <w:bottom w:val="single" w:sz="4" w:space="0" w:color="auto"/>
              <w:right w:val="single" w:sz="4" w:space="0" w:color="auto"/>
            </w:tcBorders>
          </w:tcPr>
          <w:p w14:paraId="0E83CFCB" w14:textId="77777777" w:rsidR="00345678" w:rsidRPr="001F151E" w:rsidRDefault="00345678" w:rsidP="00086262">
            <w:pPr>
              <w:pStyle w:val="T-normal"/>
              <w:jc w:val="center"/>
            </w:pPr>
            <w:r>
              <w:t>M</w:t>
            </w:r>
          </w:p>
        </w:tc>
        <w:tc>
          <w:tcPr>
            <w:tcW w:w="621" w:type="dxa"/>
            <w:tcBorders>
              <w:top w:val="single" w:sz="4" w:space="0" w:color="auto"/>
              <w:left w:val="single" w:sz="4" w:space="0" w:color="auto"/>
              <w:bottom w:val="single" w:sz="4" w:space="0" w:color="auto"/>
              <w:right w:val="single" w:sz="4" w:space="0" w:color="auto"/>
            </w:tcBorders>
          </w:tcPr>
          <w:p w14:paraId="71C75CDC" w14:textId="77777777" w:rsidR="00345678" w:rsidRPr="001F151E" w:rsidRDefault="00345678" w:rsidP="00086262">
            <w:pPr>
              <w:pStyle w:val="T-normal"/>
              <w:jc w:val="center"/>
            </w:pPr>
            <w:r>
              <w:t>L</w:t>
            </w:r>
          </w:p>
        </w:tc>
        <w:tc>
          <w:tcPr>
            <w:tcW w:w="620" w:type="dxa"/>
            <w:tcBorders>
              <w:top w:val="single" w:sz="4" w:space="0" w:color="auto"/>
              <w:left w:val="single" w:sz="4" w:space="0" w:color="auto"/>
              <w:bottom w:val="single" w:sz="4" w:space="0" w:color="auto"/>
              <w:right w:val="single" w:sz="4" w:space="0" w:color="auto"/>
            </w:tcBorders>
          </w:tcPr>
          <w:p w14:paraId="08425405" w14:textId="77777777" w:rsidR="00345678" w:rsidRPr="001F151E" w:rsidRDefault="00345678" w:rsidP="00086262">
            <w:pPr>
              <w:pStyle w:val="T-normal"/>
              <w:jc w:val="center"/>
            </w:pPr>
            <w:r>
              <w:t>L</w:t>
            </w:r>
          </w:p>
        </w:tc>
        <w:tc>
          <w:tcPr>
            <w:tcW w:w="621" w:type="dxa"/>
            <w:tcBorders>
              <w:top w:val="single" w:sz="4" w:space="0" w:color="auto"/>
              <w:left w:val="single" w:sz="4" w:space="0" w:color="auto"/>
              <w:bottom w:val="single" w:sz="4" w:space="0" w:color="auto"/>
              <w:right w:val="single" w:sz="4" w:space="0" w:color="auto"/>
            </w:tcBorders>
          </w:tcPr>
          <w:p w14:paraId="739DED19" w14:textId="77777777" w:rsidR="00345678" w:rsidRPr="001F151E" w:rsidRDefault="00345678" w:rsidP="00086262">
            <w:pPr>
              <w:pStyle w:val="T-normal"/>
              <w:jc w:val="center"/>
            </w:pPr>
            <w:r>
              <w:t>L</w:t>
            </w:r>
          </w:p>
        </w:tc>
      </w:tr>
      <w:tr w:rsidR="00345678" w:rsidRPr="001F151E" w14:paraId="0C434E8B"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tcPr>
          <w:p w14:paraId="1EFAD4C8" w14:textId="77777777" w:rsidR="00345678" w:rsidRPr="001F151E" w:rsidRDefault="00345678" w:rsidP="00086262">
            <w:pPr>
              <w:pStyle w:val="T-normal"/>
            </w:pPr>
            <w:r w:rsidRPr="001F151E">
              <w:t>1.</w:t>
            </w:r>
            <w:r>
              <w:t>3</w:t>
            </w:r>
            <w:r w:rsidRPr="001F151E">
              <w:t xml:space="preserve"> Fiscal Risk Management</w:t>
            </w:r>
          </w:p>
        </w:tc>
        <w:tc>
          <w:tcPr>
            <w:tcW w:w="620" w:type="dxa"/>
            <w:tcBorders>
              <w:top w:val="single" w:sz="4" w:space="0" w:color="auto"/>
              <w:left w:val="single" w:sz="4" w:space="0" w:color="auto"/>
              <w:bottom w:val="single" w:sz="4" w:space="0" w:color="auto"/>
              <w:right w:val="single" w:sz="4" w:space="0" w:color="auto"/>
            </w:tcBorders>
          </w:tcPr>
          <w:p w14:paraId="17C1CC3C" w14:textId="15B34017" w:rsidR="00345678" w:rsidRPr="001F151E" w:rsidRDefault="0087324A" w:rsidP="00086262">
            <w:pPr>
              <w:pStyle w:val="T-normal"/>
              <w:jc w:val="center"/>
            </w:pPr>
            <w:r>
              <w:t>L</w:t>
            </w:r>
          </w:p>
        </w:tc>
        <w:tc>
          <w:tcPr>
            <w:tcW w:w="620" w:type="dxa"/>
            <w:tcBorders>
              <w:top w:val="single" w:sz="4" w:space="0" w:color="auto"/>
              <w:left w:val="single" w:sz="4" w:space="0" w:color="auto"/>
              <w:bottom w:val="single" w:sz="4" w:space="0" w:color="auto"/>
              <w:right w:val="single" w:sz="4" w:space="0" w:color="auto"/>
            </w:tcBorders>
          </w:tcPr>
          <w:p w14:paraId="00C4C988"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tcPr>
          <w:p w14:paraId="18740E92"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375FB84E"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6E2E4F54"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01A63A83"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tcPr>
          <w:p w14:paraId="611F63C4" w14:textId="77777777" w:rsidR="00345678" w:rsidRPr="001F151E" w:rsidRDefault="00345678" w:rsidP="00086262">
            <w:pPr>
              <w:pStyle w:val="T-normal"/>
              <w:jc w:val="center"/>
            </w:pPr>
            <w:r w:rsidRPr="001F151E">
              <w:t>M</w:t>
            </w:r>
          </w:p>
        </w:tc>
      </w:tr>
      <w:tr w:rsidR="00345678" w:rsidRPr="001F151E" w14:paraId="2D23BE9C"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tcPr>
          <w:p w14:paraId="0D28DE80" w14:textId="77777777" w:rsidR="00345678" w:rsidRPr="001F151E" w:rsidRDefault="00345678" w:rsidP="00086262">
            <w:pPr>
              <w:pStyle w:val="T-normal"/>
            </w:pPr>
            <w:r w:rsidRPr="001F151E">
              <w:t>1.</w:t>
            </w:r>
            <w:r>
              <w:t>4</w:t>
            </w:r>
            <w:r w:rsidRPr="001F151E">
              <w:t xml:space="preserve"> Fiscal </w:t>
            </w:r>
            <w:r>
              <w:t>Council</w:t>
            </w:r>
          </w:p>
        </w:tc>
        <w:tc>
          <w:tcPr>
            <w:tcW w:w="620" w:type="dxa"/>
            <w:tcBorders>
              <w:top w:val="single" w:sz="4" w:space="0" w:color="auto"/>
              <w:left w:val="single" w:sz="4" w:space="0" w:color="auto"/>
              <w:bottom w:val="single" w:sz="4" w:space="0" w:color="auto"/>
              <w:right w:val="single" w:sz="4" w:space="0" w:color="auto"/>
            </w:tcBorders>
          </w:tcPr>
          <w:p w14:paraId="73EC8A39" w14:textId="77777777" w:rsidR="00345678" w:rsidRPr="001F151E" w:rsidRDefault="00345678" w:rsidP="00086262">
            <w:pPr>
              <w:pStyle w:val="T-normal"/>
              <w:jc w:val="center"/>
            </w:pPr>
            <w:r w:rsidRPr="001F151E">
              <w:t>H</w:t>
            </w:r>
          </w:p>
        </w:tc>
        <w:tc>
          <w:tcPr>
            <w:tcW w:w="620" w:type="dxa"/>
            <w:tcBorders>
              <w:top w:val="single" w:sz="4" w:space="0" w:color="auto"/>
              <w:left w:val="single" w:sz="4" w:space="0" w:color="auto"/>
              <w:bottom w:val="single" w:sz="4" w:space="0" w:color="auto"/>
              <w:right w:val="single" w:sz="4" w:space="0" w:color="auto"/>
            </w:tcBorders>
          </w:tcPr>
          <w:p w14:paraId="547F8F9D"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3CB54AE2"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12069992" w14:textId="77777777" w:rsidR="00345678" w:rsidRPr="001F151E" w:rsidRDefault="00345678" w:rsidP="00086262">
            <w:pPr>
              <w:pStyle w:val="T-normal"/>
              <w:jc w:val="center"/>
            </w:pPr>
            <w:r w:rsidRPr="001F151E">
              <w:t>H</w:t>
            </w:r>
          </w:p>
        </w:tc>
        <w:tc>
          <w:tcPr>
            <w:tcW w:w="621" w:type="dxa"/>
            <w:tcBorders>
              <w:top w:val="single" w:sz="4" w:space="0" w:color="auto"/>
              <w:left w:val="single" w:sz="4" w:space="0" w:color="auto"/>
              <w:bottom w:val="single" w:sz="4" w:space="0" w:color="auto"/>
              <w:right w:val="single" w:sz="4" w:space="0" w:color="auto"/>
            </w:tcBorders>
          </w:tcPr>
          <w:p w14:paraId="223E24DF"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451946A5"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75B7F44A" w14:textId="77777777" w:rsidR="00345678" w:rsidRPr="001F151E" w:rsidRDefault="00345678" w:rsidP="00086262">
            <w:pPr>
              <w:pStyle w:val="T-normal"/>
              <w:jc w:val="center"/>
            </w:pPr>
            <w:r w:rsidRPr="001F151E">
              <w:t>M</w:t>
            </w:r>
          </w:p>
        </w:tc>
      </w:tr>
      <w:tr w:rsidR="00345678" w:rsidRPr="001F151E" w14:paraId="6A5EDFBF" w14:textId="77777777" w:rsidTr="00086262">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F5426BC" w14:textId="512FC1A7" w:rsidR="00345678" w:rsidRPr="001F151E" w:rsidRDefault="00345678" w:rsidP="00086262">
            <w:pPr>
              <w:pStyle w:val="T-normal"/>
            </w:pPr>
            <w:r w:rsidRPr="001F151E">
              <w:t xml:space="preserve">Pillar 2: </w:t>
            </w:r>
            <w:r w:rsidR="00637F25" w:rsidRPr="00637F25">
              <w:t xml:space="preserve">Integrated </w:t>
            </w:r>
            <w:r w:rsidR="00022F54">
              <w:t>S</w:t>
            </w:r>
            <w:r w:rsidR="00637F25" w:rsidRPr="00637F25">
              <w:t xml:space="preserve">trategic and </w:t>
            </w:r>
            <w:r w:rsidR="00022F54">
              <w:t>B</w:t>
            </w:r>
            <w:r w:rsidR="00637F25" w:rsidRPr="00637F25">
              <w:t xml:space="preserve">udget </w:t>
            </w:r>
            <w:r w:rsidR="00022F54">
              <w:t>P</w:t>
            </w:r>
            <w:r w:rsidR="00637F25" w:rsidRPr="00637F25">
              <w:t xml:space="preserve">lanning, </w:t>
            </w:r>
            <w:r w:rsidR="00022F54">
              <w:t>M</w:t>
            </w:r>
            <w:r w:rsidR="00637F25" w:rsidRPr="00637F25">
              <w:t xml:space="preserve">onitoring, and </w:t>
            </w:r>
            <w:r w:rsidR="00022F54">
              <w:t>T</w:t>
            </w:r>
            <w:r w:rsidR="00637F25" w:rsidRPr="00637F25">
              <w:t xml:space="preserve">ransparent </w:t>
            </w:r>
            <w:r w:rsidR="00022F54">
              <w:t>R</w:t>
            </w:r>
            <w:r w:rsidR="00637F25" w:rsidRPr="00637F25">
              <w:t>eporting</w:t>
            </w:r>
          </w:p>
        </w:tc>
      </w:tr>
      <w:tr w:rsidR="00345678" w:rsidRPr="001F151E" w14:paraId="67479933"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54BAA057" w14:textId="77777777" w:rsidR="00345678" w:rsidRPr="001F151E" w:rsidRDefault="00345678" w:rsidP="00086262">
            <w:pPr>
              <w:pStyle w:val="T-normal"/>
            </w:pPr>
            <w:r w:rsidRPr="001F151E">
              <w:t>2.1 Integrated Strategic Planning</w:t>
            </w:r>
          </w:p>
        </w:tc>
        <w:tc>
          <w:tcPr>
            <w:tcW w:w="620" w:type="dxa"/>
            <w:tcBorders>
              <w:top w:val="single" w:sz="4" w:space="0" w:color="auto"/>
              <w:left w:val="single" w:sz="4" w:space="0" w:color="auto"/>
              <w:bottom w:val="single" w:sz="4" w:space="0" w:color="auto"/>
              <w:right w:val="single" w:sz="4" w:space="0" w:color="auto"/>
            </w:tcBorders>
            <w:hideMark/>
          </w:tcPr>
          <w:p w14:paraId="16A61069"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7BD047B6"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tcPr>
          <w:p w14:paraId="005BFA78"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63A4900E"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hideMark/>
          </w:tcPr>
          <w:p w14:paraId="3B374759" w14:textId="77777777" w:rsidR="00345678" w:rsidRPr="001F151E" w:rsidRDefault="00345678" w:rsidP="00086262">
            <w:pPr>
              <w:pStyle w:val="T-normal"/>
              <w:jc w:val="center"/>
            </w:pPr>
            <w:r w:rsidRPr="001F151E">
              <w:t>H</w:t>
            </w:r>
          </w:p>
        </w:tc>
        <w:tc>
          <w:tcPr>
            <w:tcW w:w="620" w:type="dxa"/>
            <w:tcBorders>
              <w:top w:val="single" w:sz="4" w:space="0" w:color="auto"/>
              <w:left w:val="single" w:sz="4" w:space="0" w:color="auto"/>
              <w:bottom w:val="single" w:sz="4" w:space="0" w:color="auto"/>
              <w:right w:val="single" w:sz="4" w:space="0" w:color="auto"/>
            </w:tcBorders>
          </w:tcPr>
          <w:p w14:paraId="52B8F686"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hideMark/>
          </w:tcPr>
          <w:p w14:paraId="1CD660AD" w14:textId="77777777" w:rsidR="00345678" w:rsidRPr="001F151E" w:rsidRDefault="00345678" w:rsidP="00086262">
            <w:pPr>
              <w:pStyle w:val="T-normal"/>
              <w:jc w:val="center"/>
            </w:pPr>
            <w:r w:rsidRPr="001F151E">
              <w:t>H</w:t>
            </w:r>
          </w:p>
        </w:tc>
      </w:tr>
      <w:tr w:rsidR="00345678" w:rsidRPr="001F151E" w14:paraId="4E17730A"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40CD16E3" w14:textId="77777777" w:rsidR="00345678" w:rsidRPr="001F151E" w:rsidRDefault="00345678" w:rsidP="00086262">
            <w:pPr>
              <w:pStyle w:val="T-normal"/>
            </w:pPr>
            <w:r w:rsidRPr="001F151E">
              <w:t>2.2 Medium Term Budget Planning</w:t>
            </w:r>
          </w:p>
        </w:tc>
        <w:tc>
          <w:tcPr>
            <w:tcW w:w="620" w:type="dxa"/>
            <w:tcBorders>
              <w:top w:val="single" w:sz="4" w:space="0" w:color="auto"/>
              <w:left w:val="single" w:sz="4" w:space="0" w:color="auto"/>
              <w:bottom w:val="single" w:sz="4" w:space="0" w:color="auto"/>
              <w:right w:val="single" w:sz="4" w:space="0" w:color="auto"/>
            </w:tcBorders>
          </w:tcPr>
          <w:p w14:paraId="16F3E8BF"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2634988B"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4ACCC5F7"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2CD37AC9"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hideMark/>
          </w:tcPr>
          <w:p w14:paraId="481A33A1"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hideMark/>
          </w:tcPr>
          <w:p w14:paraId="303B93B0"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tcPr>
          <w:p w14:paraId="789D8580" w14:textId="77777777" w:rsidR="00345678" w:rsidRPr="001F151E" w:rsidRDefault="00345678" w:rsidP="00086262">
            <w:pPr>
              <w:pStyle w:val="T-normal"/>
              <w:jc w:val="center"/>
            </w:pPr>
            <w:r w:rsidRPr="001F151E">
              <w:t>M</w:t>
            </w:r>
          </w:p>
        </w:tc>
      </w:tr>
      <w:tr w:rsidR="00345678" w:rsidRPr="001F151E" w14:paraId="5E562208"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74A52411" w14:textId="25B06E5A" w:rsidR="00345678" w:rsidRPr="001F151E" w:rsidRDefault="00345678" w:rsidP="00086262">
            <w:pPr>
              <w:pStyle w:val="T-normal"/>
            </w:pPr>
            <w:r w:rsidRPr="001F151E">
              <w:t xml:space="preserve">2.3 Public Investment </w:t>
            </w:r>
            <w:r w:rsidR="00637F25">
              <w:t>Management</w:t>
            </w:r>
          </w:p>
        </w:tc>
        <w:tc>
          <w:tcPr>
            <w:tcW w:w="620" w:type="dxa"/>
            <w:tcBorders>
              <w:top w:val="single" w:sz="4" w:space="0" w:color="auto"/>
              <w:left w:val="single" w:sz="4" w:space="0" w:color="auto"/>
              <w:bottom w:val="single" w:sz="4" w:space="0" w:color="auto"/>
              <w:right w:val="single" w:sz="4" w:space="0" w:color="auto"/>
            </w:tcBorders>
            <w:hideMark/>
          </w:tcPr>
          <w:p w14:paraId="7E658D6B"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18EF3BC8" w14:textId="77777777" w:rsidR="00345678" w:rsidRPr="001F151E" w:rsidRDefault="00345678" w:rsidP="00086262">
            <w:pPr>
              <w:pStyle w:val="T-normal"/>
              <w:jc w:val="center"/>
            </w:pPr>
            <w:r w:rsidRPr="001F151E">
              <w:t>H</w:t>
            </w:r>
          </w:p>
        </w:tc>
        <w:tc>
          <w:tcPr>
            <w:tcW w:w="621" w:type="dxa"/>
            <w:tcBorders>
              <w:top w:val="single" w:sz="4" w:space="0" w:color="auto"/>
              <w:left w:val="single" w:sz="4" w:space="0" w:color="auto"/>
              <w:bottom w:val="single" w:sz="4" w:space="0" w:color="auto"/>
              <w:right w:val="single" w:sz="4" w:space="0" w:color="auto"/>
            </w:tcBorders>
          </w:tcPr>
          <w:p w14:paraId="2CD52F84" w14:textId="77777777" w:rsidR="00345678" w:rsidRPr="001F151E" w:rsidRDefault="00345678" w:rsidP="00086262">
            <w:pPr>
              <w:pStyle w:val="T-normal"/>
              <w:jc w:val="center"/>
            </w:pPr>
            <w:r w:rsidRPr="001F151E">
              <w:t>H</w:t>
            </w:r>
          </w:p>
        </w:tc>
        <w:tc>
          <w:tcPr>
            <w:tcW w:w="620" w:type="dxa"/>
            <w:tcBorders>
              <w:top w:val="single" w:sz="4" w:space="0" w:color="auto"/>
              <w:left w:val="single" w:sz="4" w:space="0" w:color="auto"/>
              <w:bottom w:val="single" w:sz="4" w:space="0" w:color="auto"/>
              <w:right w:val="single" w:sz="4" w:space="0" w:color="auto"/>
            </w:tcBorders>
          </w:tcPr>
          <w:p w14:paraId="098C95DA" w14:textId="1E90C370" w:rsidR="00345678" w:rsidRPr="001F151E" w:rsidRDefault="00DA579E" w:rsidP="00086262">
            <w:pPr>
              <w:pStyle w:val="T-normal"/>
              <w:jc w:val="center"/>
            </w:pPr>
            <w:r>
              <w:t>M</w:t>
            </w:r>
          </w:p>
        </w:tc>
        <w:tc>
          <w:tcPr>
            <w:tcW w:w="621" w:type="dxa"/>
            <w:tcBorders>
              <w:top w:val="single" w:sz="4" w:space="0" w:color="auto"/>
              <w:left w:val="single" w:sz="4" w:space="0" w:color="auto"/>
              <w:bottom w:val="single" w:sz="4" w:space="0" w:color="auto"/>
              <w:right w:val="single" w:sz="4" w:space="0" w:color="auto"/>
            </w:tcBorders>
          </w:tcPr>
          <w:p w14:paraId="715D76D4"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29A48A6B"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285EF7D3" w14:textId="353B1C9E" w:rsidR="00345678" w:rsidRPr="001F151E" w:rsidRDefault="00DA579E" w:rsidP="00086262">
            <w:pPr>
              <w:pStyle w:val="T-normal"/>
              <w:jc w:val="center"/>
            </w:pPr>
            <w:r>
              <w:t>M</w:t>
            </w:r>
          </w:p>
        </w:tc>
      </w:tr>
      <w:tr w:rsidR="00345678" w:rsidRPr="001F151E" w14:paraId="2CA52E6E"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29647894" w14:textId="77777777" w:rsidR="00345678" w:rsidRPr="001F151E" w:rsidRDefault="00345678" w:rsidP="00086262">
            <w:pPr>
              <w:pStyle w:val="T-normal"/>
            </w:pPr>
            <w:r w:rsidRPr="001F151E">
              <w:t>2.4 Local Finance</w:t>
            </w:r>
          </w:p>
        </w:tc>
        <w:tc>
          <w:tcPr>
            <w:tcW w:w="620" w:type="dxa"/>
            <w:tcBorders>
              <w:top w:val="single" w:sz="4" w:space="0" w:color="auto"/>
              <w:left w:val="single" w:sz="4" w:space="0" w:color="auto"/>
              <w:bottom w:val="single" w:sz="4" w:space="0" w:color="auto"/>
              <w:right w:val="single" w:sz="4" w:space="0" w:color="auto"/>
            </w:tcBorders>
          </w:tcPr>
          <w:p w14:paraId="0E72A048"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5E7BADD1"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49C80597" w14:textId="77777777" w:rsidR="00345678" w:rsidRPr="001F151E" w:rsidRDefault="00345678" w:rsidP="00086262">
            <w:pPr>
              <w:pStyle w:val="T-normal"/>
              <w:jc w:val="center"/>
            </w:pPr>
            <w:r w:rsidRPr="001F151E">
              <w:t>H</w:t>
            </w:r>
          </w:p>
        </w:tc>
        <w:tc>
          <w:tcPr>
            <w:tcW w:w="620" w:type="dxa"/>
            <w:tcBorders>
              <w:top w:val="single" w:sz="4" w:space="0" w:color="auto"/>
              <w:left w:val="single" w:sz="4" w:space="0" w:color="auto"/>
              <w:bottom w:val="single" w:sz="4" w:space="0" w:color="auto"/>
              <w:right w:val="single" w:sz="4" w:space="0" w:color="auto"/>
            </w:tcBorders>
          </w:tcPr>
          <w:p w14:paraId="198B4374" w14:textId="77777777" w:rsidR="00345678" w:rsidRPr="001F151E" w:rsidRDefault="00345678" w:rsidP="00086262">
            <w:pPr>
              <w:pStyle w:val="T-normal"/>
              <w:jc w:val="center"/>
            </w:pPr>
            <w:r>
              <w:t>M</w:t>
            </w:r>
          </w:p>
        </w:tc>
        <w:tc>
          <w:tcPr>
            <w:tcW w:w="621" w:type="dxa"/>
            <w:tcBorders>
              <w:top w:val="single" w:sz="4" w:space="0" w:color="auto"/>
              <w:left w:val="single" w:sz="4" w:space="0" w:color="auto"/>
              <w:bottom w:val="single" w:sz="4" w:space="0" w:color="auto"/>
              <w:right w:val="single" w:sz="4" w:space="0" w:color="auto"/>
            </w:tcBorders>
            <w:hideMark/>
          </w:tcPr>
          <w:p w14:paraId="0EA78B91"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4CA1E5A9"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79F44FC5" w14:textId="77777777" w:rsidR="00345678" w:rsidRPr="001F151E" w:rsidRDefault="00345678" w:rsidP="00086262">
            <w:pPr>
              <w:pStyle w:val="T-normal"/>
              <w:jc w:val="center"/>
            </w:pPr>
            <w:r w:rsidRPr="001F151E">
              <w:t>H</w:t>
            </w:r>
          </w:p>
        </w:tc>
      </w:tr>
      <w:tr w:rsidR="00345678" w:rsidRPr="001F151E" w14:paraId="4A25B000"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tcPr>
          <w:p w14:paraId="57F30129" w14:textId="773BA525" w:rsidR="00345678" w:rsidRPr="001F151E" w:rsidRDefault="00345678" w:rsidP="00086262">
            <w:pPr>
              <w:pStyle w:val="T-normal"/>
            </w:pPr>
            <w:r w:rsidRPr="001F151E">
              <w:t xml:space="preserve">2.5 Budget </w:t>
            </w:r>
            <w:r w:rsidR="00022F54">
              <w:t>E</w:t>
            </w:r>
            <w:r w:rsidRPr="001F151E">
              <w:t xml:space="preserve">xecution </w:t>
            </w:r>
            <w:r w:rsidR="00022F54">
              <w:t>M</w:t>
            </w:r>
            <w:r w:rsidRPr="001F151E">
              <w:t xml:space="preserve">onitoring and </w:t>
            </w:r>
            <w:r w:rsidR="00022F54">
              <w:t>R</w:t>
            </w:r>
            <w:r w:rsidRPr="001F151E">
              <w:t>eporting</w:t>
            </w:r>
          </w:p>
        </w:tc>
        <w:tc>
          <w:tcPr>
            <w:tcW w:w="620" w:type="dxa"/>
            <w:tcBorders>
              <w:top w:val="single" w:sz="4" w:space="0" w:color="auto"/>
              <w:left w:val="single" w:sz="4" w:space="0" w:color="auto"/>
              <w:bottom w:val="single" w:sz="4" w:space="0" w:color="auto"/>
              <w:right w:val="single" w:sz="4" w:space="0" w:color="auto"/>
            </w:tcBorders>
          </w:tcPr>
          <w:p w14:paraId="20805B83"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77436D5B"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70C721CF" w14:textId="77777777" w:rsidR="00345678" w:rsidRPr="001F151E" w:rsidRDefault="00345678" w:rsidP="00086262">
            <w:pPr>
              <w:pStyle w:val="T-normal"/>
              <w:jc w:val="center"/>
            </w:pPr>
            <w:r w:rsidRPr="001F151E">
              <w:t>H</w:t>
            </w:r>
          </w:p>
        </w:tc>
        <w:tc>
          <w:tcPr>
            <w:tcW w:w="620" w:type="dxa"/>
            <w:tcBorders>
              <w:top w:val="single" w:sz="4" w:space="0" w:color="auto"/>
              <w:left w:val="single" w:sz="4" w:space="0" w:color="auto"/>
              <w:bottom w:val="single" w:sz="4" w:space="0" w:color="auto"/>
              <w:right w:val="single" w:sz="4" w:space="0" w:color="auto"/>
            </w:tcBorders>
          </w:tcPr>
          <w:p w14:paraId="2268F5D1" w14:textId="77777777" w:rsidR="00345678" w:rsidRPr="001F151E" w:rsidRDefault="00345678" w:rsidP="00086262">
            <w:pPr>
              <w:pStyle w:val="T-normal"/>
              <w:jc w:val="center"/>
            </w:pPr>
            <w:r>
              <w:t>M</w:t>
            </w:r>
          </w:p>
        </w:tc>
        <w:tc>
          <w:tcPr>
            <w:tcW w:w="621" w:type="dxa"/>
            <w:tcBorders>
              <w:top w:val="single" w:sz="4" w:space="0" w:color="auto"/>
              <w:left w:val="single" w:sz="4" w:space="0" w:color="auto"/>
              <w:bottom w:val="single" w:sz="4" w:space="0" w:color="auto"/>
              <w:right w:val="single" w:sz="4" w:space="0" w:color="auto"/>
            </w:tcBorders>
          </w:tcPr>
          <w:p w14:paraId="2FAB10E5"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50B3DCFC"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tcPr>
          <w:p w14:paraId="1F318771" w14:textId="77777777" w:rsidR="00345678" w:rsidRPr="001F151E" w:rsidRDefault="00345678" w:rsidP="00086262">
            <w:pPr>
              <w:pStyle w:val="T-normal"/>
              <w:jc w:val="center"/>
            </w:pPr>
            <w:r w:rsidRPr="001F151E">
              <w:t>M</w:t>
            </w:r>
          </w:p>
        </w:tc>
      </w:tr>
      <w:tr w:rsidR="00345678" w:rsidRPr="001F151E" w14:paraId="30531D43" w14:textId="77777777" w:rsidTr="00086262">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DDC173" w14:textId="50363E4F" w:rsidR="00345678" w:rsidRPr="001F151E" w:rsidRDefault="00345678" w:rsidP="00086262">
            <w:pPr>
              <w:pStyle w:val="T-normal"/>
            </w:pPr>
            <w:r w:rsidRPr="001F151E">
              <w:t xml:space="preserve">Pillar 3: </w:t>
            </w:r>
            <w:r w:rsidR="00637F25" w:rsidRPr="00637F25">
              <w:t>Revenue mobilization and management</w:t>
            </w:r>
          </w:p>
        </w:tc>
      </w:tr>
      <w:tr w:rsidR="00345678" w:rsidRPr="001F151E" w14:paraId="12633856"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7F966DED" w14:textId="7C5A8B7B" w:rsidR="00345678" w:rsidRPr="001F151E" w:rsidRDefault="00345678" w:rsidP="00086262">
            <w:pPr>
              <w:pStyle w:val="T-normal"/>
            </w:pPr>
            <w:r w:rsidRPr="001F151E">
              <w:t xml:space="preserve">3.1 Tax </w:t>
            </w:r>
            <w:r w:rsidR="00022F54">
              <w:t>M</w:t>
            </w:r>
            <w:r w:rsidRPr="001F151E">
              <w:t>anagement</w:t>
            </w:r>
          </w:p>
        </w:tc>
        <w:tc>
          <w:tcPr>
            <w:tcW w:w="620" w:type="dxa"/>
            <w:tcBorders>
              <w:top w:val="single" w:sz="4" w:space="0" w:color="auto"/>
              <w:left w:val="single" w:sz="4" w:space="0" w:color="auto"/>
              <w:bottom w:val="single" w:sz="4" w:space="0" w:color="auto"/>
              <w:right w:val="single" w:sz="4" w:space="0" w:color="auto"/>
            </w:tcBorders>
            <w:vAlign w:val="center"/>
          </w:tcPr>
          <w:p w14:paraId="49040E17"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vAlign w:val="center"/>
          </w:tcPr>
          <w:p w14:paraId="3B9D5EE6" w14:textId="77777777" w:rsidR="00345678" w:rsidRPr="001F151E" w:rsidRDefault="00345678" w:rsidP="00086262">
            <w:pPr>
              <w:pStyle w:val="T-normal"/>
              <w:jc w:val="center"/>
            </w:pPr>
            <w:r w:rsidRPr="001F151E">
              <w:t>H</w:t>
            </w:r>
          </w:p>
        </w:tc>
        <w:tc>
          <w:tcPr>
            <w:tcW w:w="621" w:type="dxa"/>
            <w:tcBorders>
              <w:top w:val="single" w:sz="4" w:space="0" w:color="auto"/>
              <w:left w:val="single" w:sz="4" w:space="0" w:color="auto"/>
              <w:bottom w:val="single" w:sz="4" w:space="0" w:color="auto"/>
              <w:right w:val="single" w:sz="4" w:space="0" w:color="auto"/>
            </w:tcBorders>
            <w:vAlign w:val="center"/>
          </w:tcPr>
          <w:p w14:paraId="1F4E6F87"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vAlign w:val="center"/>
          </w:tcPr>
          <w:p w14:paraId="1F195CF2" w14:textId="77777777" w:rsidR="00345678" w:rsidRPr="001F151E" w:rsidRDefault="00345678" w:rsidP="00086262">
            <w:pPr>
              <w:pStyle w:val="T-normal"/>
              <w:jc w:val="center"/>
            </w:pPr>
            <w:r w:rsidRPr="001F151E">
              <w:t>H</w:t>
            </w:r>
          </w:p>
        </w:tc>
        <w:tc>
          <w:tcPr>
            <w:tcW w:w="621" w:type="dxa"/>
            <w:tcBorders>
              <w:top w:val="single" w:sz="4" w:space="0" w:color="auto"/>
              <w:left w:val="single" w:sz="4" w:space="0" w:color="auto"/>
              <w:bottom w:val="single" w:sz="4" w:space="0" w:color="auto"/>
              <w:right w:val="single" w:sz="4" w:space="0" w:color="auto"/>
            </w:tcBorders>
            <w:vAlign w:val="center"/>
          </w:tcPr>
          <w:p w14:paraId="2B0F6DA8" w14:textId="77777777" w:rsidR="00345678" w:rsidRPr="001F151E" w:rsidRDefault="00345678" w:rsidP="00086262">
            <w:pPr>
              <w:pStyle w:val="T-normal"/>
              <w:jc w:val="center"/>
            </w:pPr>
            <w:r w:rsidRPr="001F151E">
              <w:t>H</w:t>
            </w:r>
          </w:p>
        </w:tc>
        <w:tc>
          <w:tcPr>
            <w:tcW w:w="620" w:type="dxa"/>
            <w:tcBorders>
              <w:top w:val="single" w:sz="4" w:space="0" w:color="auto"/>
              <w:left w:val="single" w:sz="4" w:space="0" w:color="auto"/>
              <w:bottom w:val="single" w:sz="4" w:space="0" w:color="auto"/>
              <w:right w:val="single" w:sz="4" w:space="0" w:color="auto"/>
            </w:tcBorders>
            <w:vAlign w:val="center"/>
          </w:tcPr>
          <w:p w14:paraId="09EE9349"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vAlign w:val="center"/>
          </w:tcPr>
          <w:p w14:paraId="2095156A" w14:textId="77777777" w:rsidR="00345678" w:rsidRPr="001F151E" w:rsidRDefault="00345678" w:rsidP="00086262">
            <w:pPr>
              <w:pStyle w:val="T-normal"/>
              <w:jc w:val="center"/>
            </w:pPr>
            <w:r w:rsidRPr="001F151E">
              <w:t>M</w:t>
            </w:r>
          </w:p>
        </w:tc>
      </w:tr>
      <w:tr w:rsidR="00345678" w:rsidRPr="001F151E" w14:paraId="0AEF2AB8"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0374F0E5" w14:textId="50D7ACE2" w:rsidR="00345678" w:rsidRPr="001F151E" w:rsidRDefault="00345678" w:rsidP="00086262">
            <w:pPr>
              <w:pStyle w:val="T-normal"/>
            </w:pPr>
            <w:r w:rsidRPr="001F151E">
              <w:t xml:space="preserve">3.2 Property Tax </w:t>
            </w:r>
            <w:r w:rsidR="00022F54">
              <w:t>M</w:t>
            </w:r>
            <w:r w:rsidRPr="001F151E">
              <w:t>anagement</w:t>
            </w:r>
          </w:p>
        </w:tc>
        <w:tc>
          <w:tcPr>
            <w:tcW w:w="620" w:type="dxa"/>
            <w:tcBorders>
              <w:top w:val="single" w:sz="4" w:space="0" w:color="auto"/>
              <w:left w:val="single" w:sz="4" w:space="0" w:color="auto"/>
              <w:bottom w:val="single" w:sz="4" w:space="0" w:color="auto"/>
              <w:right w:val="single" w:sz="4" w:space="0" w:color="auto"/>
            </w:tcBorders>
            <w:vAlign w:val="center"/>
          </w:tcPr>
          <w:p w14:paraId="384A36C4"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vAlign w:val="center"/>
          </w:tcPr>
          <w:p w14:paraId="1223D22D" w14:textId="77777777" w:rsidR="00345678" w:rsidRPr="001F151E" w:rsidRDefault="00345678" w:rsidP="00086262">
            <w:pPr>
              <w:pStyle w:val="T-normal"/>
              <w:jc w:val="center"/>
            </w:pPr>
            <w:r w:rsidRPr="001F151E">
              <w:t>H</w:t>
            </w:r>
          </w:p>
        </w:tc>
        <w:tc>
          <w:tcPr>
            <w:tcW w:w="621" w:type="dxa"/>
            <w:tcBorders>
              <w:top w:val="single" w:sz="4" w:space="0" w:color="auto"/>
              <w:left w:val="single" w:sz="4" w:space="0" w:color="auto"/>
              <w:bottom w:val="single" w:sz="4" w:space="0" w:color="auto"/>
              <w:right w:val="single" w:sz="4" w:space="0" w:color="auto"/>
            </w:tcBorders>
            <w:vAlign w:val="center"/>
          </w:tcPr>
          <w:p w14:paraId="0342BB14"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vAlign w:val="center"/>
          </w:tcPr>
          <w:p w14:paraId="320FA09E" w14:textId="77777777" w:rsidR="00345678" w:rsidRPr="001F151E" w:rsidRDefault="00345678" w:rsidP="00086262">
            <w:pPr>
              <w:pStyle w:val="T-normal"/>
              <w:jc w:val="center"/>
            </w:pPr>
            <w:r w:rsidRPr="001F151E">
              <w:t>H</w:t>
            </w:r>
          </w:p>
        </w:tc>
        <w:tc>
          <w:tcPr>
            <w:tcW w:w="621" w:type="dxa"/>
            <w:tcBorders>
              <w:top w:val="single" w:sz="4" w:space="0" w:color="auto"/>
              <w:left w:val="single" w:sz="4" w:space="0" w:color="auto"/>
              <w:bottom w:val="single" w:sz="4" w:space="0" w:color="auto"/>
              <w:right w:val="single" w:sz="4" w:space="0" w:color="auto"/>
            </w:tcBorders>
            <w:vAlign w:val="center"/>
          </w:tcPr>
          <w:p w14:paraId="1C91A9A4" w14:textId="77777777" w:rsidR="00345678" w:rsidRPr="001F151E" w:rsidRDefault="00345678" w:rsidP="00086262">
            <w:pPr>
              <w:pStyle w:val="T-normal"/>
              <w:jc w:val="center"/>
            </w:pPr>
            <w:r w:rsidRPr="001F151E">
              <w:t>H</w:t>
            </w:r>
          </w:p>
        </w:tc>
        <w:tc>
          <w:tcPr>
            <w:tcW w:w="620" w:type="dxa"/>
            <w:tcBorders>
              <w:top w:val="single" w:sz="4" w:space="0" w:color="auto"/>
              <w:left w:val="single" w:sz="4" w:space="0" w:color="auto"/>
              <w:bottom w:val="single" w:sz="4" w:space="0" w:color="auto"/>
              <w:right w:val="single" w:sz="4" w:space="0" w:color="auto"/>
            </w:tcBorders>
            <w:vAlign w:val="center"/>
          </w:tcPr>
          <w:p w14:paraId="1B25B3B3"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vAlign w:val="center"/>
          </w:tcPr>
          <w:p w14:paraId="106B9992" w14:textId="77777777" w:rsidR="00345678" w:rsidRPr="001F151E" w:rsidRDefault="00345678" w:rsidP="00086262">
            <w:pPr>
              <w:pStyle w:val="T-normal"/>
              <w:jc w:val="center"/>
            </w:pPr>
            <w:r w:rsidRPr="001F151E">
              <w:t>H</w:t>
            </w:r>
          </w:p>
        </w:tc>
      </w:tr>
      <w:tr w:rsidR="00345678" w:rsidRPr="001F151E" w14:paraId="0DB51542"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14467C8F" w14:textId="73014692" w:rsidR="00345678" w:rsidRPr="001F151E" w:rsidRDefault="00345678" w:rsidP="00086262">
            <w:pPr>
              <w:pStyle w:val="T-normal"/>
            </w:pPr>
            <w:r w:rsidRPr="001F151E">
              <w:t xml:space="preserve">3.3 Customs </w:t>
            </w:r>
            <w:r w:rsidR="00022F54">
              <w:t>M</w:t>
            </w:r>
            <w:r w:rsidRPr="001F151E">
              <w:t>anagement</w:t>
            </w:r>
          </w:p>
        </w:tc>
        <w:tc>
          <w:tcPr>
            <w:tcW w:w="620" w:type="dxa"/>
            <w:tcBorders>
              <w:top w:val="single" w:sz="4" w:space="0" w:color="auto"/>
              <w:left w:val="single" w:sz="4" w:space="0" w:color="auto"/>
              <w:bottom w:val="single" w:sz="4" w:space="0" w:color="auto"/>
              <w:right w:val="single" w:sz="4" w:space="0" w:color="auto"/>
            </w:tcBorders>
            <w:vAlign w:val="center"/>
          </w:tcPr>
          <w:p w14:paraId="6F2537C3"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vAlign w:val="center"/>
          </w:tcPr>
          <w:p w14:paraId="01D92E6D" w14:textId="77777777" w:rsidR="00345678" w:rsidRPr="001F151E" w:rsidRDefault="00345678" w:rsidP="00086262">
            <w:pPr>
              <w:pStyle w:val="T-normal"/>
              <w:jc w:val="center"/>
            </w:pPr>
            <w:r w:rsidRPr="001F151E">
              <w:t>H</w:t>
            </w:r>
          </w:p>
        </w:tc>
        <w:tc>
          <w:tcPr>
            <w:tcW w:w="621" w:type="dxa"/>
            <w:tcBorders>
              <w:top w:val="single" w:sz="4" w:space="0" w:color="auto"/>
              <w:left w:val="single" w:sz="4" w:space="0" w:color="auto"/>
              <w:bottom w:val="single" w:sz="4" w:space="0" w:color="auto"/>
              <w:right w:val="single" w:sz="4" w:space="0" w:color="auto"/>
            </w:tcBorders>
            <w:vAlign w:val="center"/>
          </w:tcPr>
          <w:p w14:paraId="03D6C55F"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vAlign w:val="center"/>
          </w:tcPr>
          <w:p w14:paraId="615E82B6" w14:textId="77777777" w:rsidR="00345678" w:rsidRPr="001F151E" w:rsidRDefault="00345678" w:rsidP="00086262">
            <w:pPr>
              <w:pStyle w:val="T-normal"/>
              <w:jc w:val="center"/>
            </w:pPr>
            <w:r w:rsidRPr="001F151E">
              <w:t>H</w:t>
            </w:r>
          </w:p>
        </w:tc>
        <w:tc>
          <w:tcPr>
            <w:tcW w:w="621" w:type="dxa"/>
            <w:tcBorders>
              <w:top w:val="single" w:sz="4" w:space="0" w:color="auto"/>
              <w:left w:val="single" w:sz="4" w:space="0" w:color="auto"/>
              <w:bottom w:val="single" w:sz="4" w:space="0" w:color="auto"/>
              <w:right w:val="single" w:sz="4" w:space="0" w:color="auto"/>
            </w:tcBorders>
            <w:vAlign w:val="center"/>
          </w:tcPr>
          <w:p w14:paraId="01C96F9B" w14:textId="77777777" w:rsidR="00345678" w:rsidRPr="001F151E" w:rsidRDefault="00345678" w:rsidP="00086262">
            <w:pPr>
              <w:pStyle w:val="T-normal"/>
              <w:jc w:val="center"/>
            </w:pPr>
            <w:r w:rsidRPr="001F151E">
              <w:t>H</w:t>
            </w:r>
          </w:p>
        </w:tc>
        <w:tc>
          <w:tcPr>
            <w:tcW w:w="620" w:type="dxa"/>
            <w:tcBorders>
              <w:top w:val="single" w:sz="4" w:space="0" w:color="auto"/>
              <w:left w:val="single" w:sz="4" w:space="0" w:color="auto"/>
              <w:bottom w:val="single" w:sz="4" w:space="0" w:color="auto"/>
              <w:right w:val="single" w:sz="4" w:space="0" w:color="auto"/>
            </w:tcBorders>
            <w:vAlign w:val="center"/>
          </w:tcPr>
          <w:p w14:paraId="27CB3C4A"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vAlign w:val="center"/>
          </w:tcPr>
          <w:p w14:paraId="3AD4B874" w14:textId="77777777" w:rsidR="00345678" w:rsidRPr="001F151E" w:rsidRDefault="00345678" w:rsidP="00086262">
            <w:pPr>
              <w:pStyle w:val="T-normal"/>
              <w:jc w:val="center"/>
            </w:pPr>
            <w:r w:rsidRPr="001F151E">
              <w:t>M</w:t>
            </w:r>
          </w:p>
        </w:tc>
      </w:tr>
      <w:tr w:rsidR="00345678" w:rsidRPr="001F151E" w14:paraId="6AB39416" w14:textId="77777777" w:rsidTr="00086262">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FD33A7" w14:textId="3F9763CD" w:rsidR="00345678" w:rsidRPr="001F151E" w:rsidRDefault="00345678" w:rsidP="00086262">
            <w:pPr>
              <w:pStyle w:val="T-normal"/>
            </w:pPr>
            <w:r w:rsidRPr="001F151E">
              <w:t xml:space="preserve">Pillar 4: </w:t>
            </w:r>
            <w:r w:rsidR="00637F25" w:rsidRPr="00637F25">
              <w:t>Accounting and Budget Execution Management</w:t>
            </w:r>
          </w:p>
        </w:tc>
      </w:tr>
      <w:tr w:rsidR="00345678" w:rsidRPr="001F151E" w14:paraId="5BD9199E"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tcPr>
          <w:p w14:paraId="06450B1A" w14:textId="77777777" w:rsidR="00345678" w:rsidRPr="001F151E" w:rsidRDefault="00345678" w:rsidP="00086262">
            <w:pPr>
              <w:pStyle w:val="T-normal"/>
            </w:pPr>
            <w:r>
              <w:t>4.1</w:t>
            </w:r>
            <w:r w:rsidRPr="001F151E">
              <w:t xml:space="preserve"> National Government Accounts</w:t>
            </w:r>
          </w:p>
        </w:tc>
        <w:tc>
          <w:tcPr>
            <w:tcW w:w="620" w:type="dxa"/>
            <w:tcBorders>
              <w:top w:val="single" w:sz="4" w:space="0" w:color="auto"/>
              <w:left w:val="single" w:sz="4" w:space="0" w:color="auto"/>
              <w:bottom w:val="single" w:sz="4" w:space="0" w:color="auto"/>
              <w:right w:val="single" w:sz="4" w:space="0" w:color="auto"/>
            </w:tcBorders>
          </w:tcPr>
          <w:p w14:paraId="21C7A8A2"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039D0D92"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tcPr>
          <w:p w14:paraId="3B1E4ECA"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14C1706E"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5C02E5A8"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7631329F"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tcPr>
          <w:p w14:paraId="587000BC" w14:textId="77777777" w:rsidR="00345678" w:rsidRPr="001F151E" w:rsidRDefault="00345678" w:rsidP="00086262">
            <w:pPr>
              <w:pStyle w:val="T-normal"/>
              <w:jc w:val="center"/>
            </w:pPr>
            <w:r w:rsidRPr="001F151E">
              <w:t>M</w:t>
            </w:r>
          </w:p>
        </w:tc>
      </w:tr>
      <w:tr w:rsidR="00345678" w:rsidRPr="001F151E" w14:paraId="76B7C75F"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32B89CC3" w14:textId="77777777" w:rsidR="00345678" w:rsidRPr="001F151E" w:rsidRDefault="00345678" w:rsidP="00086262">
            <w:pPr>
              <w:pStyle w:val="T-normal"/>
            </w:pPr>
            <w:r w:rsidRPr="001F151E">
              <w:t>4.</w:t>
            </w:r>
            <w:r>
              <w:t>2</w:t>
            </w:r>
            <w:r w:rsidRPr="001F151E">
              <w:t xml:space="preserve"> Accounting</w:t>
            </w:r>
          </w:p>
        </w:tc>
        <w:tc>
          <w:tcPr>
            <w:tcW w:w="620" w:type="dxa"/>
            <w:tcBorders>
              <w:top w:val="single" w:sz="4" w:space="0" w:color="auto"/>
              <w:left w:val="single" w:sz="4" w:space="0" w:color="auto"/>
              <w:bottom w:val="single" w:sz="4" w:space="0" w:color="auto"/>
              <w:right w:val="single" w:sz="4" w:space="0" w:color="auto"/>
            </w:tcBorders>
          </w:tcPr>
          <w:p w14:paraId="6F62C0ED"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3A902701"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47352236"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5C6E4B15"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0E4339D3" w14:textId="77777777" w:rsidR="00345678" w:rsidRPr="001F151E" w:rsidRDefault="00345678" w:rsidP="00086262">
            <w:pPr>
              <w:pStyle w:val="T-normal"/>
              <w:jc w:val="center"/>
            </w:pPr>
            <w:r w:rsidRPr="001F151E">
              <w:t>H</w:t>
            </w:r>
          </w:p>
        </w:tc>
        <w:tc>
          <w:tcPr>
            <w:tcW w:w="620" w:type="dxa"/>
            <w:tcBorders>
              <w:top w:val="single" w:sz="4" w:space="0" w:color="auto"/>
              <w:left w:val="single" w:sz="4" w:space="0" w:color="auto"/>
              <w:bottom w:val="single" w:sz="4" w:space="0" w:color="auto"/>
              <w:right w:val="single" w:sz="4" w:space="0" w:color="auto"/>
            </w:tcBorders>
          </w:tcPr>
          <w:p w14:paraId="440E1B49"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6C398BDE" w14:textId="77777777" w:rsidR="00345678" w:rsidRPr="001F151E" w:rsidRDefault="00345678" w:rsidP="00086262">
            <w:pPr>
              <w:pStyle w:val="T-normal"/>
              <w:jc w:val="center"/>
            </w:pPr>
            <w:r w:rsidRPr="001F151E">
              <w:t>L</w:t>
            </w:r>
          </w:p>
        </w:tc>
      </w:tr>
      <w:tr w:rsidR="00345678" w:rsidRPr="001F151E" w14:paraId="4A5B7744"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03686DF1" w14:textId="77777777" w:rsidR="00345678" w:rsidRPr="001F151E" w:rsidRDefault="00345678" w:rsidP="00086262">
            <w:pPr>
              <w:pStyle w:val="T-normal"/>
            </w:pPr>
            <w:r w:rsidRPr="001F151E">
              <w:t>4.</w:t>
            </w:r>
            <w:r>
              <w:t>3</w:t>
            </w:r>
            <w:r w:rsidRPr="001F151E">
              <w:t xml:space="preserve"> Public Procurement</w:t>
            </w:r>
          </w:p>
        </w:tc>
        <w:tc>
          <w:tcPr>
            <w:tcW w:w="620" w:type="dxa"/>
            <w:tcBorders>
              <w:top w:val="single" w:sz="4" w:space="0" w:color="auto"/>
              <w:left w:val="single" w:sz="4" w:space="0" w:color="auto"/>
              <w:bottom w:val="single" w:sz="4" w:space="0" w:color="auto"/>
              <w:right w:val="single" w:sz="4" w:space="0" w:color="auto"/>
            </w:tcBorders>
          </w:tcPr>
          <w:p w14:paraId="584E75B7" w14:textId="59A0BD30" w:rsidR="00345678" w:rsidRPr="001F151E" w:rsidRDefault="00003CDB" w:rsidP="00086262">
            <w:pPr>
              <w:pStyle w:val="T-normal"/>
              <w:jc w:val="center"/>
            </w:pPr>
            <w:r>
              <w:t>M</w:t>
            </w:r>
          </w:p>
        </w:tc>
        <w:tc>
          <w:tcPr>
            <w:tcW w:w="620" w:type="dxa"/>
            <w:tcBorders>
              <w:top w:val="single" w:sz="4" w:space="0" w:color="auto"/>
              <w:left w:val="single" w:sz="4" w:space="0" w:color="auto"/>
              <w:bottom w:val="single" w:sz="4" w:space="0" w:color="auto"/>
              <w:right w:val="single" w:sz="4" w:space="0" w:color="auto"/>
            </w:tcBorders>
          </w:tcPr>
          <w:p w14:paraId="5506CC0A"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00CE7E51"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0CD0A55F"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3B64ECFA"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29E41265"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2DA26723" w14:textId="77777777" w:rsidR="00345678" w:rsidRPr="001F151E" w:rsidRDefault="00345678" w:rsidP="00086262">
            <w:pPr>
              <w:pStyle w:val="T-normal"/>
              <w:jc w:val="center"/>
            </w:pPr>
            <w:r w:rsidRPr="001F151E">
              <w:t>M</w:t>
            </w:r>
          </w:p>
        </w:tc>
      </w:tr>
      <w:tr w:rsidR="00345678" w:rsidRPr="001F151E" w14:paraId="3E96CD36"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31FB4578" w14:textId="77777777" w:rsidR="00345678" w:rsidRPr="001F151E" w:rsidRDefault="00345678" w:rsidP="00086262">
            <w:pPr>
              <w:pStyle w:val="T-normal"/>
            </w:pPr>
            <w:r w:rsidRPr="001F151E">
              <w:t>4.</w:t>
            </w:r>
            <w:r>
              <w:t>4</w:t>
            </w:r>
            <w:r w:rsidRPr="001F151E">
              <w:t xml:space="preserve"> Debt Management</w:t>
            </w:r>
          </w:p>
        </w:tc>
        <w:tc>
          <w:tcPr>
            <w:tcW w:w="620" w:type="dxa"/>
            <w:tcBorders>
              <w:top w:val="single" w:sz="4" w:space="0" w:color="auto"/>
              <w:left w:val="single" w:sz="4" w:space="0" w:color="auto"/>
              <w:bottom w:val="single" w:sz="4" w:space="0" w:color="auto"/>
              <w:right w:val="single" w:sz="4" w:space="0" w:color="auto"/>
            </w:tcBorders>
          </w:tcPr>
          <w:p w14:paraId="0FA4D74D"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41E45C1F"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70AEDF1C"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7FB22ACE"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712127EE"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2005C27C"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1802CD9D" w14:textId="77777777" w:rsidR="00345678" w:rsidRPr="001F151E" w:rsidRDefault="00345678" w:rsidP="00086262">
            <w:pPr>
              <w:pStyle w:val="T-normal"/>
              <w:jc w:val="center"/>
            </w:pPr>
            <w:r w:rsidRPr="001F151E">
              <w:t>L</w:t>
            </w:r>
          </w:p>
        </w:tc>
      </w:tr>
      <w:tr w:rsidR="00345678" w:rsidRPr="001F151E" w14:paraId="100FFD9E"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3A4B6DE7" w14:textId="77777777" w:rsidR="00345678" w:rsidRPr="001F151E" w:rsidRDefault="00345678" w:rsidP="00086262">
            <w:pPr>
              <w:pStyle w:val="T-normal"/>
            </w:pPr>
            <w:r w:rsidRPr="001F151E">
              <w:t>4.</w:t>
            </w:r>
            <w:r>
              <w:t>5</w:t>
            </w:r>
            <w:r w:rsidRPr="001F151E">
              <w:t xml:space="preserve"> Cash Management</w:t>
            </w:r>
          </w:p>
        </w:tc>
        <w:tc>
          <w:tcPr>
            <w:tcW w:w="620" w:type="dxa"/>
            <w:tcBorders>
              <w:top w:val="single" w:sz="4" w:space="0" w:color="auto"/>
              <w:left w:val="single" w:sz="4" w:space="0" w:color="auto"/>
              <w:bottom w:val="single" w:sz="4" w:space="0" w:color="auto"/>
              <w:right w:val="single" w:sz="4" w:space="0" w:color="auto"/>
            </w:tcBorders>
          </w:tcPr>
          <w:p w14:paraId="7AC41639"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4F958AB5"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36F7214A"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41C4DE10"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3887DEE9"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4F7F54FB"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62EBEDD5" w14:textId="77777777" w:rsidR="00345678" w:rsidRPr="001F151E" w:rsidRDefault="00345678" w:rsidP="00086262">
            <w:pPr>
              <w:pStyle w:val="T-normal"/>
              <w:jc w:val="center"/>
            </w:pPr>
            <w:r w:rsidRPr="001F151E">
              <w:t>L</w:t>
            </w:r>
          </w:p>
        </w:tc>
      </w:tr>
      <w:tr w:rsidR="00345678" w:rsidRPr="001F151E" w14:paraId="50F6C15E"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hideMark/>
          </w:tcPr>
          <w:p w14:paraId="508145D4" w14:textId="77777777" w:rsidR="00345678" w:rsidRPr="001F151E" w:rsidRDefault="00345678" w:rsidP="00086262">
            <w:pPr>
              <w:pStyle w:val="T-normal"/>
            </w:pPr>
            <w:r w:rsidRPr="001F151E">
              <w:t>4.</w:t>
            </w:r>
            <w:r>
              <w:t>6</w:t>
            </w:r>
            <w:r w:rsidRPr="001F151E">
              <w:t xml:space="preserve"> Asset Management</w:t>
            </w:r>
          </w:p>
        </w:tc>
        <w:tc>
          <w:tcPr>
            <w:tcW w:w="620" w:type="dxa"/>
            <w:tcBorders>
              <w:top w:val="single" w:sz="4" w:space="0" w:color="auto"/>
              <w:left w:val="single" w:sz="4" w:space="0" w:color="auto"/>
              <w:bottom w:val="single" w:sz="4" w:space="0" w:color="auto"/>
              <w:right w:val="single" w:sz="4" w:space="0" w:color="auto"/>
            </w:tcBorders>
          </w:tcPr>
          <w:p w14:paraId="0A60AF09"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3A2797A7"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1BF1C207"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24AD50A6"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27FBBC6F"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7F78B6C7"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5508E2EF" w14:textId="77777777" w:rsidR="00345678" w:rsidRPr="001F151E" w:rsidRDefault="00345678" w:rsidP="00086262">
            <w:pPr>
              <w:pStyle w:val="T-normal"/>
              <w:jc w:val="center"/>
            </w:pPr>
            <w:r w:rsidRPr="001F151E">
              <w:t>L</w:t>
            </w:r>
          </w:p>
        </w:tc>
      </w:tr>
      <w:tr w:rsidR="00345678" w:rsidRPr="001F151E" w14:paraId="2F82452A" w14:textId="77777777" w:rsidTr="00086262">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565051F" w14:textId="77777777" w:rsidR="00345678" w:rsidRPr="001F151E" w:rsidRDefault="00345678" w:rsidP="00086262">
            <w:pPr>
              <w:pStyle w:val="T-normal"/>
            </w:pPr>
            <w:r w:rsidRPr="001F151E">
              <w:t>Pillar 5: Public Internal Financial Control</w:t>
            </w:r>
          </w:p>
        </w:tc>
      </w:tr>
      <w:tr w:rsidR="00345678" w:rsidRPr="001F151E" w14:paraId="22331B55"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tcPr>
          <w:p w14:paraId="33A41A00" w14:textId="77777777" w:rsidR="00345678" w:rsidRPr="001F151E" w:rsidRDefault="00345678" w:rsidP="00086262">
            <w:pPr>
              <w:pStyle w:val="T-normal"/>
            </w:pPr>
            <w:r w:rsidRPr="001F151E">
              <w:t>5.1 Financial Management and Control</w:t>
            </w:r>
          </w:p>
        </w:tc>
        <w:tc>
          <w:tcPr>
            <w:tcW w:w="620" w:type="dxa"/>
            <w:tcBorders>
              <w:top w:val="single" w:sz="4" w:space="0" w:color="auto"/>
              <w:left w:val="single" w:sz="4" w:space="0" w:color="auto"/>
              <w:bottom w:val="single" w:sz="4" w:space="0" w:color="auto"/>
              <w:right w:val="single" w:sz="4" w:space="0" w:color="auto"/>
            </w:tcBorders>
          </w:tcPr>
          <w:p w14:paraId="39863F40"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6E355E80"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1077560E"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4D2D0CCF"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5451441B"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4CAE90A8"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tcPr>
          <w:p w14:paraId="5FF0567E" w14:textId="77777777" w:rsidR="00345678" w:rsidRPr="001F151E" w:rsidRDefault="00345678" w:rsidP="00086262">
            <w:pPr>
              <w:pStyle w:val="T-normal"/>
              <w:jc w:val="center"/>
            </w:pPr>
            <w:r w:rsidRPr="001F151E">
              <w:t>M</w:t>
            </w:r>
          </w:p>
        </w:tc>
      </w:tr>
      <w:tr w:rsidR="00345678" w:rsidRPr="001F151E" w14:paraId="297EC23B"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tcPr>
          <w:p w14:paraId="1DAC5383" w14:textId="77777777" w:rsidR="00345678" w:rsidRPr="001F151E" w:rsidRDefault="00345678" w:rsidP="00086262">
            <w:pPr>
              <w:pStyle w:val="T-normal"/>
            </w:pPr>
            <w:r w:rsidRPr="001F151E">
              <w:t>5.2 Internal Audit</w:t>
            </w:r>
          </w:p>
        </w:tc>
        <w:tc>
          <w:tcPr>
            <w:tcW w:w="620" w:type="dxa"/>
            <w:tcBorders>
              <w:top w:val="single" w:sz="4" w:space="0" w:color="auto"/>
              <w:left w:val="single" w:sz="4" w:space="0" w:color="auto"/>
              <w:bottom w:val="single" w:sz="4" w:space="0" w:color="auto"/>
              <w:right w:val="single" w:sz="4" w:space="0" w:color="auto"/>
            </w:tcBorders>
          </w:tcPr>
          <w:p w14:paraId="770C94F0"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38BABEEA"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6F3AD712"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3F59B2FE" w14:textId="77777777" w:rsidR="00345678" w:rsidRPr="001F151E" w:rsidRDefault="00345678" w:rsidP="00086262">
            <w:pPr>
              <w:pStyle w:val="T-normal"/>
              <w:jc w:val="center"/>
            </w:pPr>
            <w:r w:rsidRPr="001F151E">
              <w:t>H</w:t>
            </w:r>
          </w:p>
        </w:tc>
        <w:tc>
          <w:tcPr>
            <w:tcW w:w="621" w:type="dxa"/>
            <w:tcBorders>
              <w:top w:val="single" w:sz="4" w:space="0" w:color="auto"/>
              <w:left w:val="single" w:sz="4" w:space="0" w:color="auto"/>
              <w:bottom w:val="single" w:sz="4" w:space="0" w:color="auto"/>
              <w:right w:val="single" w:sz="4" w:space="0" w:color="auto"/>
            </w:tcBorders>
          </w:tcPr>
          <w:p w14:paraId="6F349203"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4ED271D4"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tcPr>
          <w:p w14:paraId="7A65ABDA" w14:textId="77777777" w:rsidR="00345678" w:rsidRPr="001F151E" w:rsidRDefault="00345678" w:rsidP="00086262">
            <w:pPr>
              <w:pStyle w:val="T-normal"/>
              <w:jc w:val="center"/>
            </w:pPr>
            <w:r w:rsidRPr="001F151E">
              <w:t>M</w:t>
            </w:r>
          </w:p>
        </w:tc>
      </w:tr>
      <w:tr w:rsidR="00345678" w:rsidRPr="001F151E" w14:paraId="5062F4B7"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tcPr>
          <w:p w14:paraId="7EEE2AF8" w14:textId="707A395C" w:rsidR="00345678" w:rsidRPr="001F151E" w:rsidRDefault="00345678" w:rsidP="00086262">
            <w:pPr>
              <w:pStyle w:val="T-normal"/>
            </w:pPr>
            <w:r w:rsidRPr="001F151E">
              <w:t xml:space="preserve">5.3 </w:t>
            </w:r>
            <w:r w:rsidR="00637F25" w:rsidRPr="00637F25">
              <w:t>Public Financial Inspection and Anti-Fraud Coordination Services</w:t>
            </w:r>
          </w:p>
        </w:tc>
        <w:tc>
          <w:tcPr>
            <w:tcW w:w="620" w:type="dxa"/>
            <w:tcBorders>
              <w:top w:val="single" w:sz="4" w:space="0" w:color="auto"/>
              <w:left w:val="single" w:sz="4" w:space="0" w:color="auto"/>
              <w:bottom w:val="single" w:sz="4" w:space="0" w:color="auto"/>
              <w:right w:val="single" w:sz="4" w:space="0" w:color="auto"/>
            </w:tcBorders>
          </w:tcPr>
          <w:p w14:paraId="11F36E9F"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42E78D6C"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482942E6"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tcPr>
          <w:p w14:paraId="71F84326"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tcPr>
          <w:p w14:paraId="5C350196"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tcPr>
          <w:p w14:paraId="788AD033"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tcPr>
          <w:p w14:paraId="00622646" w14:textId="77777777" w:rsidR="00345678" w:rsidRPr="001F151E" w:rsidRDefault="00345678" w:rsidP="00086262">
            <w:pPr>
              <w:pStyle w:val="T-normal"/>
              <w:jc w:val="center"/>
            </w:pPr>
            <w:r w:rsidRPr="001F151E">
              <w:t>M</w:t>
            </w:r>
          </w:p>
        </w:tc>
      </w:tr>
      <w:tr w:rsidR="00345678" w:rsidRPr="001F151E" w14:paraId="39D85CB1"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7F52ED8A" w14:textId="77777777" w:rsidR="00345678" w:rsidRPr="001F151E" w:rsidRDefault="00345678" w:rsidP="00086262">
            <w:pPr>
              <w:pStyle w:val="T-normal"/>
            </w:pPr>
            <w:r w:rsidRPr="001F151E">
              <w:t>5.4 Management of EU funds</w:t>
            </w:r>
          </w:p>
        </w:tc>
        <w:tc>
          <w:tcPr>
            <w:tcW w:w="620" w:type="dxa"/>
            <w:tcBorders>
              <w:top w:val="single" w:sz="4" w:space="0" w:color="auto"/>
              <w:left w:val="single" w:sz="4" w:space="0" w:color="auto"/>
              <w:right w:val="single" w:sz="4" w:space="0" w:color="auto"/>
            </w:tcBorders>
            <w:shd w:val="clear" w:color="auto" w:fill="auto"/>
          </w:tcPr>
          <w:p w14:paraId="2B6FC64A"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right w:val="single" w:sz="4" w:space="0" w:color="auto"/>
            </w:tcBorders>
            <w:shd w:val="clear" w:color="auto" w:fill="auto"/>
          </w:tcPr>
          <w:p w14:paraId="7A16C1CC"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right w:val="single" w:sz="4" w:space="0" w:color="auto"/>
            </w:tcBorders>
            <w:shd w:val="clear" w:color="auto" w:fill="auto"/>
          </w:tcPr>
          <w:p w14:paraId="5615A2CC"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right w:val="single" w:sz="4" w:space="0" w:color="auto"/>
            </w:tcBorders>
            <w:shd w:val="clear" w:color="auto" w:fill="auto"/>
          </w:tcPr>
          <w:p w14:paraId="17135756"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right w:val="single" w:sz="4" w:space="0" w:color="auto"/>
            </w:tcBorders>
            <w:shd w:val="clear" w:color="auto" w:fill="auto"/>
          </w:tcPr>
          <w:p w14:paraId="5C0A2EF2"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right w:val="single" w:sz="4" w:space="0" w:color="auto"/>
            </w:tcBorders>
            <w:shd w:val="clear" w:color="auto" w:fill="auto"/>
          </w:tcPr>
          <w:p w14:paraId="0DB7D64E"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right w:val="single" w:sz="4" w:space="0" w:color="auto"/>
            </w:tcBorders>
            <w:shd w:val="clear" w:color="auto" w:fill="auto"/>
          </w:tcPr>
          <w:p w14:paraId="60A52063" w14:textId="77777777" w:rsidR="00345678" w:rsidRPr="001F151E" w:rsidRDefault="00345678" w:rsidP="00086262">
            <w:pPr>
              <w:pStyle w:val="T-normal"/>
              <w:jc w:val="center"/>
            </w:pPr>
            <w:r w:rsidRPr="001F151E">
              <w:t>M</w:t>
            </w:r>
          </w:p>
        </w:tc>
      </w:tr>
      <w:tr w:rsidR="00345678" w:rsidRPr="001F151E" w14:paraId="1B9770D0" w14:textId="77777777" w:rsidTr="00086262">
        <w:trPr>
          <w:jc w:val="center"/>
        </w:trPr>
        <w:tc>
          <w:tcPr>
            <w:tcW w:w="9016"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68CD44" w14:textId="77777777" w:rsidR="00345678" w:rsidRPr="001F151E" w:rsidRDefault="00345678" w:rsidP="00086262">
            <w:pPr>
              <w:pStyle w:val="T-normal"/>
            </w:pPr>
            <w:r w:rsidRPr="001F151E">
              <w:t>Pillar 6: External Oversight</w:t>
            </w:r>
          </w:p>
        </w:tc>
      </w:tr>
      <w:tr w:rsidR="00345678" w:rsidRPr="001F151E" w14:paraId="61684010"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BCF9D80" w14:textId="77777777" w:rsidR="00345678" w:rsidRPr="001F151E" w:rsidRDefault="00345678" w:rsidP="00086262">
            <w:pPr>
              <w:pStyle w:val="T-normal"/>
            </w:pPr>
            <w:r w:rsidRPr="001F151E">
              <w:t>6.1 External Audit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6DA0B59"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75F2129F"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shd w:val="clear" w:color="auto" w:fill="auto"/>
          </w:tcPr>
          <w:p w14:paraId="62C14DED"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CD77A28"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shd w:val="clear" w:color="auto" w:fill="auto"/>
          </w:tcPr>
          <w:p w14:paraId="61760A13" w14:textId="4EF58CEE" w:rsidR="00345678" w:rsidRPr="001F151E" w:rsidRDefault="00B15481" w:rsidP="00086262">
            <w:pPr>
              <w:pStyle w:val="T-normal"/>
              <w:jc w:val="center"/>
            </w:pPr>
            <w:r>
              <w:t>M</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86D67ED" w14:textId="77777777" w:rsidR="00345678" w:rsidRPr="001F151E" w:rsidRDefault="00345678" w:rsidP="00086262">
            <w:pPr>
              <w:pStyle w:val="T-normal"/>
              <w:jc w:val="center"/>
            </w:pPr>
            <w:r w:rsidRPr="001F151E">
              <w:t>L</w:t>
            </w:r>
          </w:p>
        </w:tc>
        <w:tc>
          <w:tcPr>
            <w:tcW w:w="621" w:type="dxa"/>
            <w:tcBorders>
              <w:top w:val="single" w:sz="4" w:space="0" w:color="auto"/>
              <w:left w:val="single" w:sz="4" w:space="0" w:color="auto"/>
              <w:bottom w:val="single" w:sz="4" w:space="0" w:color="auto"/>
              <w:right w:val="single" w:sz="4" w:space="0" w:color="auto"/>
            </w:tcBorders>
            <w:shd w:val="clear" w:color="auto" w:fill="auto"/>
          </w:tcPr>
          <w:p w14:paraId="6838AD96" w14:textId="77777777" w:rsidR="00345678" w:rsidRPr="001F151E" w:rsidRDefault="00345678" w:rsidP="00086262">
            <w:pPr>
              <w:pStyle w:val="T-normal"/>
              <w:jc w:val="center"/>
            </w:pPr>
            <w:r w:rsidRPr="001F151E">
              <w:t>L</w:t>
            </w:r>
          </w:p>
        </w:tc>
      </w:tr>
      <w:tr w:rsidR="00345678" w:rsidRPr="001F151E" w14:paraId="78085E2F" w14:textId="77777777" w:rsidTr="00086262">
        <w:trPr>
          <w:jc w:val="center"/>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776E8737" w14:textId="77777777" w:rsidR="00345678" w:rsidRPr="001F151E" w:rsidRDefault="00345678" w:rsidP="00086262">
            <w:pPr>
              <w:pStyle w:val="T-normal"/>
            </w:pPr>
            <w:r w:rsidRPr="001F151E">
              <w:t>6.2 Parliamentary Oversight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66464E47"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3235D907"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shd w:val="clear" w:color="auto" w:fill="auto"/>
          </w:tcPr>
          <w:p w14:paraId="56D3B636" w14:textId="77777777" w:rsidR="00345678" w:rsidRPr="001F151E" w:rsidRDefault="00345678" w:rsidP="00086262">
            <w:pPr>
              <w:pStyle w:val="T-normal"/>
              <w:jc w:val="center"/>
            </w:pPr>
            <w:r w:rsidRPr="001F151E">
              <w:t>M</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3021933" w14:textId="77777777" w:rsidR="00345678" w:rsidRPr="001F151E" w:rsidRDefault="00345678" w:rsidP="00086262">
            <w:pPr>
              <w:pStyle w:val="T-normal"/>
              <w:jc w:val="center"/>
            </w:pPr>
            <w:r w:rsidRPr="001F151E">
              <w:t>H</w:t>
            </w:r>
          </w:p>
        </w:tc>
        <w:tc>
          <w:tcPr>
            <w:tcW w:w="621" w:type="dxa"/>
            <w:tcBorders>
              <w:top w:val="single" w:sz="4" w:space="0" w:color="auto"/>
              <w:left w:val="single" w:sz="4" w:space="0" w:color="auto"/>
              <w:bottom w:val="single" w:sz="4" w:space="0" w:color="auto"/>
              <w:right w:val="single" w:sz="4" w:space="0" w:color="auto"/>
            </w:tcBorders>
            <w:shd w:val="clear" w:color="auto" w:fill="auto"/>
          </w:tcPr>
          <w:p w14:paraId="528D7C5D" w14:textId="77777777" w:rsidR="00345678" w:rsidRPr="001F151E" w:rsidRDefault="00345678" w:rsidP="00086262">
            <w:pPr>
              <w:pStyle w:val="T-normal"/>
              <w:jc w:val="center"/>
            </w:pPr>
            <w:r w:rsidRPr="001F151E">
              <w:t>L</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18E8D687" w14:textId="77777777" w:rsidR="00345678" w:rsidRPr="001F151E" w:rsidRDefault="00345678" w:rsidP="00086262">
            <w:pPr>
              <w:pStyle w:val="T-normal"/>
              <w:jc w:val="center"/>
            </w:pPr>
            <w:r w:rsidRPr="001F151E">
              <w:t>M</w:t>
            </w:r>
          </w:p>
        </w:tc>
        <w:tc>
          <w:tcPr>
            <w:tcW w:w="621" w:type="dxa"/>
            <w:tcBorders>
              <w:top w:val="single" w:sz="4" w:space="0" w:color="auto"/>
              <w:left w:val="single" w:sz="4" w:space="0" w:color="auto"/>
              <w:bottom w:val="single" w:sz="4" w:space="0" w:color="auto"/>
              <w:right w:val="single" w:sz="4" w:space="0" w:color="auto"/>
            </w:tcBorders>
            <w:shd w:val="clear" w:color="auto" w:fill="auto"/>
          </w:tcPr>
          <w:p w14:paraId="377AAB3F" w14:textId="77777777" w:rsidR="00345678" w:rsidRPr="001F151E" w:rsidRDefault="00345678" w:rsidP="00086262">
            <w:pPr>
              <w:pStyle w:val="T-normal"/>
              <w:jc w:val="center"/>
            </w:pPr>
            <w:r w:rsidRPr="001F151E">
              <w:t>L</w:t>
            </w:r>
          </w:p>
        </w:tc>
      </w:tr>
    </w:tbl>
    <w:p w14:paraId="1EC847CA" w14:textId="77777777" w:rsidR="00345678" w:rsidRDefault="00345678" w:rsidP="00345678">
      <w:pPr>
        <w:rPr>
          <w:lang w:val="en-GB"/>
        </w:rPr>
      </w:pPr>
    </w:p>
    <w:p w14:paraId="3C7C37BF" w14:textId="77777777" w:rsidR="00022F54" w:rsidRDefault="00022F54" w:rsidP="00345678">
      <w:pPr>
        <w:rPr>
          <w:lang w:val="en-GB"/>
        </w:rPr>
      </w:pPr>
    </w:p>
    <w:p w14:paraId="5BF3EA1A" w14:textId="77777777" w:rsidR="00022F54" w:rsidRDefault="00022F54" w:rsidP="00345678">
      <w:pPr>
        <w:rPr>
          <w:lang w:val="en-GB"/>
        </w:rPr>
      </w:pPr>
    </w:p>
    <w:p w14:paraId="4D49AB76" w14:textId="77777777" w:rsidR="00022F54" w:rsidRDefault="00022F54" w:rsidP="00345678">
      <w:pPr>
        <w:rPr>
          <w:lang w:val="en-GB"/>
        </w:rPr>
      </w:pPr>
    </w:p>
    <w:p w14:paraId="60242877" w14:textId="77777777" w:rsidR="00345678" w:rsidRPr="001F151E" w:rsidRDefault="00345678" w:rsidP="00345678">
      <w:pPr>
        <w:rPr>
          <w:lang w:val="en-GB"/>
        </w:rPr>
      </w:pPr>
    </w:p>
    <w:p w14:paraId="7D73773F" w14:textId="2E94F9D1" w:rsidR="006525DC" w:rsidRDefault="006525DC" w:rsidP="00345678">
      <w:pPr>
        <w:pStyle w:val="Heading1"/>
        <w:numPr>
          <w:ilvl w:val="0"/>
          <w:numId w:val="0"/>
        </w:numPr>
        <w:ind w:left="432" w:hanging="432"/>
        <w:rPr>
          <w:lang w:val="en-GB"/>
        </w:rPr>
      </w:pPr>
      <w:bookmarkStart w:id="85" w:name="_Toc163148045"/>
      <w:r>
        <w:rPr>
          <w:lang w:val="en-GB"/>
        </w:rPr>
        <w:t>10 Estimated Cost and Financing</w:t>
      </w:r>
      <w:bookmarkEnd w:id="85"/>
      <w:r>
        <w:rPr>
          <w:lang w:val="en-GB"/>
        </w:rPr>
        <w:t xml:space="preserve"> </w:t>
      </w:r>
    </w:p>
    <w:p w14:paraId="4E2ACF6D" w14:textId="77777777" w:rsidR="006525DC" w:rsidRDefault="006525DC" w:rsidP="00345678">
      <w:pPr>
        <w:pStyle w:val="Heading1"/>
        <w:numPr>
          <w:ilvl w:val="0"/>
          <w:numId w:val="0"/>
        </w:numPr>
        <w:ind w:left="432" w:hanging="432"/>
        <w:rPr>
          <w:rFonts w:eastAsiaTheme="minorHAnsi" w:cs="Arial"/>
          <w:b w:val="0"/>
          <w:bCs w:val="0"/>
          <w:iCs w:val="0"/>
          <w:color w:val="auto"/>
          <w:sz w:val="18"/>
          <w:szCs w:val="18"/>
          <w:lang w:val="en-GB"/>
        </w:rPr>
      </w:pPr>
    </w:p>
    <w:p w14:paraId="36C81E34" w14:textId="77777777" w:rsidR="009C2AA3" w:rsidRDefault="006525DC" w:rsidP="0031298C">
      <w:pPr>
        <w:pStyle w:val="T-normal"/>
        <w:jc w:val="both"/>
        <w:rPr>
          <w:sz w:val="18"/>
          <w:szCs w:val="18"/>
          <w:lang w:val="en-GB"/>
        </w:rPr>
      </w:pPr>
      <w:r w:rsidRPr="0031298C">
        <w:rPr>
          <w:sz w:val="18"/>
          <w:szCs w:val="18"/>
          <w:lang w:val="en-GB"/>
        </w:rPr>
        <w:t>The majority of the reforms included in this strategy</w:t>
      </w:r>
      <w:r w:rsidR="0031298C" w:rsidRPr="0031298C">
        <w:rPr>
          <w:sz w:val="18"/>
          <w:szCs w:val="18"/>
          <w:lang w:val="en-GB"/>
        </w:rPr>
        <w:t xml:space="preserve"> are policy reforms. The work of formalizing these reforms in the form of </w:t>
      </w:r>
      <w:r w:rsidR="0031298C">
        <w:rPr>
          <w:sz w:val="18"/>
          <w:szCs w:val="18"/>
          <w:lang w:val="en-GB"/>
        </w:rPr>
        <w:t>new and</w:t>
      </w:r>
      <w:r w:rsidR="009C2AA3">
        <w:rPr>
          <w:sz w:val="18"/>
          <w:szCs w:val="18"/>
          <w:lang w:val="en-GB"/>
        </w:rPr>
        <w:t xml:space="preserve">/or modified legislation and regulations will not require additional financial resources. Existing staff of the institutions involved in the implementation of the reforms will be responsible for taking necessary steps to bring the measures envisaged under this strategy document to successful fruition. </w:t>
      </w:r>
    </w:p>
    <w:p w14:paraId="24C49F6D" w14:textId="77777777" w:rsidR="009C2AA3" w:rsidRDefault="009C2AA3" w:rsidP="0031298C">
      <w:pPr>
        <w:pStyle w:val="T-normal"/>
        <w:jc w:val="both"/>
        <w:rPr>
          <w:sz w:val="18"/>
          <w:szCs w:val="18"/>
          <w:lang w:val="en-GB"/>
        </w:rPr>
      </w:pPr>
    </w:p>
    <w:p w14:paraId="19DBB82C" w14:textId="1A145448" w:rsidR="00695E1C" w:rsidRDefault="009C2AA3" w:rsidP="0031298C">
      <w:pPr>
        <w:pStyle w:val="T-normal"/>
        <w:jc w:val="both"/>
        <w:rPr>
          <w:sz w:val="18"/>
          <w:szCs w:val="18"/>
          <w:lang w:val="en-GB"/>
        </w:rPr>
      </w:pPr>
      <w:r>
        <w:rPr>
          <w:sz w:val="18"/>
          <w:szCs w:val="18"/>
          <w:lang w:val="en-GB"/>
        </w:rPr>
        <w:t xml:space="preserve">The approach used to measure the scope of resources employed to implement the PFM strategy is </w:t>
      </w:r>
      <w:r w:rsidR="0002411C">
        <w:rPr>
          <w:sz w:val="18"/>
          <w:szCs w:val="18"/>
          <w:lang w:val="en-GB"/>
        </w:rPr>
        <w:t>only extra costs, excluding administrative costs in the cost table. The PFM strategy includes some activities for which the source of f</w:t>
      </w:r>
      <w:r w:rsidR="002654CA">
        <w:rPr>
          <w:sz w:val="18"/>
          <w:szCs w:val="18"/>
          <w:lang w:val="en-GB"/>
        </w:rPr>
        <w:t>inancing</w:t>
      </w:r>
      <w:r w:rsidR="0002411C">
        <w:rPr>
          <w:sz w:val="18"/>
          <w:szCs w:val="18"/>
          <w:lang w:val="en-GB"/>
        </w:rPr>
        <w:t xml:space="preserve"> is known, but the amount that will be financed to cover </w:t>
      </w:r>
      <w:r w:rsidR="00695E1C">
        <w:rPr>
          <w:sz w:val="18"/>
          <w:szCs w:val="18"/>
          <w:lang w:val="en-GB"/>
        </w:rPr>
        <w:t xml:space="preserve">expenses or activities for which the source of funding has not yet been agreed upon remains to be decided. </w:t>
      </w:r>
    </w:p>
    <w:p w14:paraId="1C5603C1" w14:textId="77777777" w:rsidR="00695E1C" w:rsidRDefault="00695E1C" w:rsidP="0031298C">
      <w:pPr>
        <w:pStyle w:val="T-normal"/>
        <w:jc w:val="both"/>
        <w:rPr>
          <w:sz w:val="18"/>
          <w:szCs w:val="18"/>
          <w:lang w:val="en-GB"/>
        </w:rPr>
      </w:pPr>
    </w:p>
    <w:p w14:paraId="0CFCFFB7" w14:textId="0A255124" w:rsidR="00695E1C" w:rsidRDefault="00695E1C" w:rsidP="0031298C">
      <w:pPr>
        <w:pStyle w:val="T-normal"/>
        <w:jc w:val="both"/>
        <w:rPr>
          <w:sz w:val="18"/>
          <w:szCs w:val="18"/>
          <w:lang w:val="en-GB"/>
        </w:rPr>
      </w:pPr>
      <w:r>
        <w:rPr>
          <w:sz w:val="18"/>
          <w:szCs w:val="18"/>
          <w:lang w:val="en-GB"/>
        </w:rPr>
        <w:t>The G</w:t>
      </w:r>
      <w:r w:rsidR="002654CA">
        <w:rPr>
          <w:sz w:val="18"/>
          <w:szCs w:val="18"/>
          <w:lang w:val="en-GB"/>
        </w:rPr>
        <w:t>overnment will seek financing</w:t>
      </w:r>
      <w:r>
        <w:rPr>
          <w:sz w:val="18"/>
          <w:szCs w:val="18"/>
          <w:lang w:val="en-GB"/>
        </w:rPr>
        <w:t xml:space="preserve"> from External Development and Integration Partners to finance activities and cover costs related to implementation and capacity building. Also, the Government remains committed to providing f</w:t>
      </w:r>
      <w:r w:rsidR="002654CA">
        <w:rPr>
          <w:sz w:val="18"/>
          <w:szCs w:val="18"/>
          <w:lang w:val="en-GB"/>
        </w:rPr>
        <w:t>inancing</w:t>
      </w:r>
      <w:r>
        <w:rPr>
          <w:sz w:val="18"/>
          <w:szCs w:val="18"/>
          <w:lang w:val="en-GB"/>
        </w:rPr>
        <w:t xml:space="preserve"> for activities to allow the implementation of reforms. </w:t>
      </w:r>
    </w:p>
    <w:p w14:paraId="2806F108" w14:textId="77777777" w:rsidR="00695E1C" w:rsidRDefault="00695E1C" w:rsidP="0031298C">
      <w:pPr>
        <w:pStyle w:val="T-normal"/>
        <w:jc w:val="both"/>
        <w:rPr>
          <w:sz w:val="18"/>
          <w:szCs w:val="18"/>
          <w:lang w:val="en-GB"/>
        </w:rPr>
      </w:pPr>
    </w:p>
    <w:p w14:paraId="51B2AF63" w14:textId="24A39176" w:rsidR="006525DC" w:rsidRPr="0031298C" w:rsidRDefault="00695E1C" w:rsidP="0031298C">
      <w:pPr>
        <w:pStyle w:val="T-normal"/>
        <w:jc w:val="both"/>
        <w:rPr>
          <w:sz w:val="18"/>
          <w:szCs w:val="18"/>
          <w:lang w:val="en-GB"/>
        </w:rPr>
      </w:pPr>
      <w:r>
        <w:rPr>
          <w:sz w:val="18"/>
          <w:szCs w:val="18"/>
          <w:lang w:val="en-GB"/>
        </w:rPr>
        <w:t xml:space="preserve">The table below presents information on the indicative cost of the PFM strategy at the pillar level. Further details on costing by specific objectives (components) can be found in Annex 3.  </w:t>
      </w:r>
      <w:r w:rsidR="0031298C">
        <w:rPr>
          <w:sz w:val="18"/>
          <w:szCs w:val="18"/>
          <w:lang w:val="en-GB"/>
        </w:rPr>
        <w:t xml:space="preserve"> </w:t>
      </w:r>
    </w:p>
    <w:p w14:paraId="4EFF3A69" w14:textId="77777777" w:rsidR="006525DC" w:rsidRDefault="006525DC" w:rsidP="00345678">
      <w:pPr>
        <w:pStyle w:val="Heading1"/>
        <w:numPr>
          <w:ilvl w:val="0"/>
          <w:numId w:val="0"/>
        </w:numPr>
        <w:ind w:left="432" w:hanging="432"/>
        <w:rPr>
          <w:lang w:val="en-GB"/>
        </w:rPr>
      </w:pPr>
    </w:p>
    <w:p w14:paraId="3070B8FE" w14:textId="1EB2716B" w:rsidR="006525DC" w:rsidRDefault="00650869" w:rsidP="00650869">
      <w:pPr>
        <w:jc w:val="center"/>
        <w:rPr>
          <w:lang w:val="en-GB"/>
        </w:rPr>
      </w:pPr>
      <w:r w:rsidRPr="00650869">
        <w:rPr>
          <w:noProof/>
        </w:rPr>
        <w:drawing>
          <wp:inline distT="0" distB="0" distL="0" distR="0" wp14:anchorId="324A54E9" wp14:editId="3C972B8A">
            <wp:extent cx="5334000" cy="3743087"/>
            <wp:effectExtent l="19050" t="19050" r="1905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5556" cy="3744179"/>
                    </a:xfrm>
                    <a:prstGeom prst="rect">
                      <a:avLst/>
                    </a:prstGeom>
                    <a:noFill/>
                    <a:ln w="12700">
                      <a:solidFill>
                        <a:schemeClr val="accent6">
                          <a:lumMod val="50000"/>
                        </a:schemeClr>
                      </a:solidFill>
                    </a:ln>
                  </pic:spPr>
                </pic:pic>
              </a:graphicData>
            </a:graphic>
          </wp:inline>
        </w:drawing>
      </w:r>
    </w:p>
    <w:p w14:paraId="6F75C2DC" w14:textId="77777777" w:rsidR="006525DC" w:rsidRDefault="006525DC" w:rsidP="00345678">
      <w:pPr>
        <w:pStyle w:val="Heading1"/>
        <w:numPr>
          <w:ilvl w:val="0"/>
          <w:numId w:val="0"/>
        </w:numPr>
        <w:ind w:left="432" w:hanging="432"/>
        <w:rPr>
          <w:lang w:val="en-GB"/>
        </w:rPr>
      </w:pPr>
    </w:p>
    <w:p w14:paraId="13C162EB" w14:textId="77777777" w:rsidR="006525DC" w:rsidRDefault="006525DC" w:rsidP="00345678">
      <w:pPr>
        <w:pStyle w:val="Heading1"/>
        <w:numPr>
          <w:ilvl w:val="0"/>
          <w:numId w:val="0"/>
        </w:numPr>
        <w:ind w:left="432" w:hanging="432"/>
        <w:rPr>
          <w:lang w:val="en-GB"/>
        </w:rPr>
      </w:pPr>
    </w:p>
    <w:p w14:paraId="7CFC818C" w14:textId="77777777" w:rsidR="006525DC" w:rsidRDefault="006525DC" w:rsidP="00345678">
      <w:pPr>
        <w:pStyle w:val="Heading1"/>
        <w:numPr>
          <w:ilvl w:val="0"/>
          <w:numId w:val="0"/>
        </w:numPr>
        <w:ind w:left="432" w:hanging="432"/>
        <w:rPr>
          <w:lang w:val="en-GB"/>
        </w:rPr>
      </w:pPr>
    </w:p>
    <w:p w14:paraId="7E02D031" w14:textId="77777777" w:rsidR="006525DC" w:rsidRDefault="006525DC" w:rsidP="00345678">
      <w:pPr>
        <w:pStyle w:val="Heading1"/>
        <w:numPr>
          <w:ilvl w:val="0"/>
          <w:numId w:val="0"/>
        </w:numPr>
        <w:ind w:left="432" w:hanging="432"/>
        <w:rPr>
          <w:lang w:val="en-GB"/>
        </w:rPr>
      </w:pPr>
    </w:p>
    <w:p w14:paraId="4CF9DD37" w14:textId="77777777" w:rsidR="006525DC" w:rsidRDefault="006525DC" w:rsidP="00345678">
      <w:pPr>
        <w:pStyle w:val="Heading1"/>
        <w:numPr>
          <w:ilvl w:val="0"/>
          <w:numId w:val="0"/>
        </w:numPr>
        <w:ind w:left="432" w:hanging="432"/>
        <w:rPr>
          <w:lang w:val="en-GB"/>
        </w:rPr>
      </w:pPr>
    </w:p>
    <w:p w14:paraId="6C7BD84F" w14:textId="77777777" w:rsidR="006525DC" w:rsidRDefault="006525DC" w:rsidP="00650869">
      <w:pPr>
        <w:pStyle w:val="Heading1"/>
        <w:numPr>
          <w:ilvl w:val="0"/>
          <w:numId w:val="0"/>
        </w:numPr>
        <w:rPr>
          <w:lang w:val="en-GB"/>
        </w:rPr>
      </w:pPr>
    </w:p>
    <w:p w14:paraId="46EB81F2" w14:textId="77777777" w:rsidR="00650869" w:rsidRPr="00650869" w:rsidRDefault="00650869" w:rsidP="00650869">
      <w:pPr>
        <w:rPr>
          <w:lang w:val="en-GB"/>
        </w:rPr>
      </w:pPr>
    </w:p>
    <w:p w14:paraId="66314527" w14:textId="77777777" w:rsidR="00345678" w:rsidRPr="001F151E" w:rsidRDefault="00345678" w:rsidP="00345678">
      <w:pPr>
        <w:pStyle w:val="Heading1"/>
        <w:numPr>
          <w:ilvl w:val="0"/>
          <w:numId w:val="0"/>
        </w:numPr>
        <w:ind w:left="432" w:hanging="432"/>
        <w:rPr>
          <w:lang w:val="en-GB"/>
        </w:rPr>
      </w:pPr>
      <w:bookmarkStart w:id="86" w:name="_Toc163148046"/>
      <w:r w:rsidRPr="001F151E">
        <w:rPr>
          <w:lang w:val="en-GB"/>
        </w:rPr>
        <w:t>Annex 1 Stakeholders for PFM Reform</w:t>
      </w:r>
      <w:bookmarkEnd w:id="86"/>
    </w:p>
    <w:p w14:paraId="0B36E6E7" w14:textId="77777777" w:rsidR="00345678" w:rsidRPr="001F151E" w:rsidRDefault="00345678" w:rsidP="00345678">
      <w:pPr>
        <w:rPr>
          <w:lang w:val="en-GB"/>
        </w:rPr>
      </w:pPr>
    </w:p>
    <w:tbl>
      <w:tblPr>
        <w:tblStyle w:val="TableGrid"/>
        <w:tblW w:w="0" w:type="auto"/>
        <w:tblCellMar>
          <w:top w:w="28" w:type="dxa"/>
          <w:left w:w="57" w:type="dxa"/>
          <w:bottom w:w="28" w:type="dxa"/>
          <w:right w:w="57" w:type="dxa"/>
        </w:tblCellMar>
        <w:tblLook w:val="04A0" w:firstRow="1" w:lastRow="0" w:firstColumn="1" w:lastColumn="0" w:noHBand="0" w:noVBand="1"/>
      </w:tblPr>
      <w:tblGrid>
        <w:gridCol w:w="1271"/>
        <w:gridCol w:w="7745"/>
      </w:tblGrid>
      <w:tr w:rsidR="00345678" w:rsidRPr="00345678" w14:paraId="700A4512" w14:textId="77777777" w:rsidTr="00086262">
        <w:tc>
          <w:tcPr>
            <w:tcW w:w="9016" w:type="dxa"/>
            <w:gridSpan w:val="2"/>
            <w:tcBorders>
              <w:top w:val="nil"/>
              <w:left w:val="nil"/>
              <w:bottom w:val="nil"/>
              <w:right w:val="nil"/>
            </w:tcBorders>
          </w:tcPr>
          <w:p w14:paraId="5444D773" w14:textId="77777777" w:rsidR="00345678" w:rsidRPr="00345678" w:rsidRDefault="00345678" w:rsidP="00086262">
            <w:pPr>
              <w:rPr>
                <w:b/>
                <w:bCs/>
              </w:rPr>
            </w:pPr>
            <w:r w:rsidRPr="00345678">
              <w:rPr>
                <w:b/>
                <w:bCs/>
              </w:rPr>
              <w:t>Ministry of Finance</w:t>
            </w:r>
          </w:p>
        </w:tc>
      </w:tr>
      <w:tr w:rsidR="00345678" w:rsidRPr="00345678" w14:paraId="7AFA05E9" w14:textId="77777777" w:rsidTr="00086262">
        <w:tc>
          <w:tcPr>
            <w:tcW w:w="1271" w:type="dxa"/>
            <w:tcBorders>
              <w:top w:val="nil"/>
              <w:left w:val="nil"/>
              <w:bottom w:val="nil"/>
              <w:right w:val="nil"/>
            </w:tcBorders>
          </w:tcPr>
          <w:p w14:paraId="5508ABC3" w14:textId="77777777" w:rsidR="00345678" w:rsidRPr="00345678" w:rsidRDefault="00345678" w:rsidP="00086262">
            <w:r w:rsidRPr="00345678">
              <w:t>MoF</w:t>
            </w:r>
          </w:p>
        </w:tc>
        <w:tc>
          <w:tcPr>
            <w:tcW w:w="7745" w:type="dxa"/>
            <w:tcBorders>
              <w:top w:val="nil"/>
              <w:left w:val="nil"/>
              <w:bottom w:val="nil"/>
              <w:right w:val="nil"/>
            </w:tcBorders>
          </w:tcPr>
          <w:p w14:paraId="48B24B27" w14:textId="77777777" w:rsidR="00345678" w:rsidRPr="00345678" w:rsidRDefault="00345678" w:rsidP="00086262">
            <w:r w:rsidRPr="00345678">
              <w:t>Ministry of Finance</w:t>
            </w:r>
          </w:p>
        </w:tc>
      </w:tr>
      <w:tr w:rsidR="00345678" w:rsidRPr="00345678" w14:paraId="562CC915" w14:textId="77777777" w:rsidTr="00086262">
        <w:tc>
          <w:tcPr>
            <w:tcW w:w="1271" w:type="dxa"/>
            <w:tcBorders>
              <w:top w:val="nil"/>
              <w:left w:val="nil"/>
              <w:bottom w:val="nil"/>
              <w:right w:val="nil"/>
            </w:tcBorders>
          </w:tcPr>
          <w:p w14:paraId="64C1A751" w14:textId="77777777" w:rsidR="00345678" w:rsidRPr="00345678" w:rsidRDefault="00345678" w:rsidP="00086262">
            <w:r w:rsidRPr="00345678">
              <w:t>GDFP</w:t>
            </w:r>
          </w:p>
        </w:tc>
        <w:tc>
          <w:tcPr>
            <w:tcW w:w="7745" w:type="dxa"/>
            <w:tcBorders>
              <w:top w:val="nil"/>
              <w:left w:val="nil"/>
              <w:bottom w:val="nil"/>
              <w:right w:val="nil"/>
            </w:tcBorders>
          </w:tcPr>
          <w:p w14:paraId="743CA903" w14:textId="77777777" w:rsidR="00345678" w:rsidRPr="00345678" w:rsidRDefault="00345678" w:rsidP="00086262">
            <w:r w:rsidRPr="00345678">
              <w:rPr>
                <w:rFonts w:eastAsia="Times New Roman"/>
              </w:rPr>
              <w:t>General Directorate of  Fiscal Policies (under MoF)</w:t>
            </w:r>
          </w:p>
        </w:tc>
      </w:tr>
      <w:tr w:rsidR="00345678" w:rsidRPr="00345678" w14:paraId="3A5573E7" w14:textId="77777777" w:rsidTr="00086262">
        <w:tc>
          <w:tcPr>
            <w:tcW w:w="1271" w:type="dxa"/>
            <w:tcBorders>
              <w:top w:val="nil"/>
              <w:left w:val="nil"/>
              <w:bottom w:val="nil"/>
              <w:right w:val="nil"/>
            </w:tcBorders>
          </w:tcPr>
          <w:p w14:paraId="0F2B012D" w14:textId="77777777" w:rsidR="00345678" w:rsidRPr="00345678" w:rsidRDefault="00345678" w:rsidP="00086262">
            <w:r w:rsidRPr="00345678">
              <w:t>DFH</w:t>
            </w:r>
          </w:p>
        </w:tc>
        <w:tc>
          <w:tcPr>
            <w:tcW w:w="7745" w:type="dxa"/>
            <w:tcBorders>
              <w:top w:val="nil"/>
              <w:left w:val="nil"/>
              <w:bottom w:val="nil"/>
              <w:right w:val="nil"/>
            </w:tcBorders>
          </w:tcPr>
          <w:p w14:paraId="7FD8C6F4" w14:textId="5199A36B" w:rsidR="00345678" w:rsidRPr="00345678" w:rsidRDefault="00345678" w:rsidP="00086262">
            <w:pPr>
              <w:rPr>
                <w:rFonts w:eastAsia="Times New Roman"/>
              </w:rPr>
            </w:pPr>
            <w:r w:rsidRPr="00345678">
              <w:rPr>
                <w:rFonts w:eastAsia="Times New Roman"/>
              </w:rPr>
              <w:t xml:space="preserve">Directorate of Fiscal Harmonization (under </w:t>
            </w:r>
            <w:r w:rsidR="00A660B5">
              <w:rPr>
                <w:rFonts w:eastAsia="Times New Roman"/>
              </w:rPr>
              <w:t>MoF</w:t>
            </w:r>
            <w:r w:rsidRPr="00345678">
              <w:rPr>
                <w:rFonts w:eastAsia="Times New Roman"/>
              </w:rPr>
              <w:t xml:space="preserve"> GDFP)</w:t>
            </w:r>
          </w:p>
        </w:tc>
      </w:tr>
      <w:tr w:rsidR="00345678" w:rsidRPr="00345678" w14:paraId="720A576F" w14:textId="77777777" w:rsidTr="00086262">
        <w:tc>
          <w:tcPr>
            <w:tcW w:w="1271" w:type="dxa"/>
            <w:tcBorders>
              <w:top w:val="nil"/>
              <w:left w:val="nil"/>
              <w:bottom w:val="nil"/>
              <w:right w:val="nil"/>
            </w:tcBorders>
          </w:tcPr>
          <w:p w14:paraId="68BB415E" w14:textId="77777777" w:rsidR="00345678" w:rsidRPr="00345678" w:rsidRDefault="00345678" w:rsidP="00086262">
            <w:r w:rsidRPr="00345678">
              <w:t>GDMP</w:t>
            </w:r>
          </w:p>
        </w:tc>
        <w:tc>
          <w:tcPr>
            <w:tcW w:w="7745" w:type="dxa"/>
            <w:tcBorders>
              <w:top w:val="nil"/>
              <w:left w:val="nil"/>
              <w:bottom w:val="nil"/>
              <w:right w:val="nil"/>
            </w:tcBorders>
          </w:tcPr>
          <w:p w14:paraId="72C7B226" w14:textId="77777777" w:rsidR="00345678" w:rsidRPr="00345678" w:rsidRDefault="00345678" w:rsidP="00086262">
            <w:pPr>
              <w:rPr>
                <w:rFonts w:eastAsia="Times New Roman"/>
              </w:rPr>
            </w:pPr>
            <w:r w:rsidRPr="00345678">
              <w:rPr>
                <w:rFonts w:eastAsia="Times New Roman"/>
              </w:rPr>
              <w:t>General Directorate of Macroeconomic Programming (under MoF)</w:t>
            </w:r>
          </w:p>
        </w:tc>
      </w:tr>
      <w:tr w:rsidR="00345678" w:rsidRPr="00345678" w14:paraId="29492EED" w14:textId="77777777" w:rsidTr="00086262">
        <w:tc>
          <w:tcPr>
            <w:tcW w:w="1271" w:type="dxa"/>
            <w:tcBorders>
              <w:top w:val="nil"/>
              <w:left w:val="nil"/>
              <w:bottom w:val="nil"/>
              <w:right w:val="nil"/>
            </w:tcBorders>
          </w:tcPr>
          <w:p w14:paraId="11C93271" w14:textId="77777777" w:rsidR="00345678" w:rsidRPr="00345678" w:rsidRDefault="00345678" w:rsidP="00086262">
            <w:r w:rsidRPr="00345678">
              <w:t>GDHPIFC</w:t>
            </w:r>
          </w:p>
        </w:tc>
        <w:tc>
          <w:tcPr>
            <w:tcW w:w="7745" w:type="dxa"/>
            <w:tcBorders>
              <w:top w:val="nil"/>
              <w:left w:val="nil"/>
              <w:bottom w:val="nil"/>
              <w:right w:val="nil"/>
            </w:tcBorders>
          </w:tcPr>
          <w:p w14:paraId="6EA0C8ED" w14:textId="77777777" w:rsidR="00345678" w:rsidRPr="00345678" w:rsidRDefault="00345678" w:rsidP="00086262">
            <w:pPr>
              <w:rPr>
                <w:rFonts w:eastAsia="Times New Roman"/>
              </w:rPr>
            </w:pPr>
            <w:r w:rsidRPr="00345678">
              <w:rPr>
                <w:rFonts w:eastAsia="Times New Roman"/>
              </w:rPr>
              <w:t>General Directorate of Harmonization of Public Internal Financial Control (CHU, under MoF)</w:t>
            </w:r>
          </w:p>
        </w:tc>
      </w:tr>
      <w:tr w:rsidR="00345678" w:rsidRPr="00345678" w14:paraId="3EAA0C22" w14:textId="77777777" w:rsidTr="00086262">
        <w:tc>
          <w:tcPr>
            <w:tcW w:w="1271" w:type="dxa"/>
            <w:tcBorders>
              <w:top w:val="nil"/>
              <w:left w:val="nil"/>
              <w:bottom w:val="nil"/>
              <w:right w:val="nil"/>
            </w:tcBorders>
          </w:tcPr>
          <w:p w14:paraId="7799F344" w14:textId="77777777" w:rsidR="00345678" w:rsidRPr="00345678" w:rsidRDefault="00345678" w:rsidP="00086262">
            <w:r w:rsidRPr="00345678">
              <w:t>DHIA</w:t>
            </w:r>
          </w:p>
        </w:tc>
        <w:tc>
          <w:tcPr>
            <w:tcW w:w="7745" w:type="dxa"/>
            <w:tcBorders>
              <w:top w:val="nil"/>
              <w:left w:val="nil"/>
              <w:bottom w:val="nil"/>
              <w:right w:val="nil"/>
            </w:tcBorders>
          </w:tcPr>
          <w:p w14:paraId="6816683E" w14:textId="77777777" w:rsidR="00345678" w:rsidRPr="00345678" w:rsidRDefault="00345678" w:rsidP="00086262">
            <w:pPr>
              <w:rPr>
                <w:rFonts w:eastAsia="Times New Roman"/>
              </w:rPr>
            </w:pPr>
            <w:r w:rsidRPr="00345678">
              <w:rPr>
                <w:rFonts w:eastAsia="Times New Roman"/>
              </w:rPr>
              <w:t>Directorate of Harmonization of Internal Audit (under MoF GDHPIFC)</w:t>
            </w:r>
          </w:p>
        </w:tc>
      </w:tr>
      <w:tr w:rsidR="00345678" w:rsidRPr="00345678" w14:paraId="73335763" w14:textId="77777777" w:rsidTr="00086262">
        <w:tc>
          <w:tcPr>
            <w:tcW w:w="1271" w:type="dxa"/>
            <w:tcBorders>
              <w:top w:val="nil"/>
              <w:left w:val="nil"/>
              <w:bottom w:val="nil"/>
              <w:right w:val="nil"/>
            </w:tcBorders>
          </w:tcPr>
          <w:p w14:paraId="1CA046A0" w14:textId="77777777" w:rsidR="00345678" w:rsidRPr="00345678" w:rsidRDefault="00345678" w:rsidP="00086262">
            <w:r w:rsidRPr="00345678">
              <w:t>DHFMCA</w:t>
            </w:r>
          </w:p>
        </w:tc>
        <w:tc>
          <w:tcPr>
            <w:tcW w:w="7745" w:type="dxa"/>
            <w:tcBorders>
              <w:top w:val="nil"/>
              <w:left w:val="nil"/>
              <w:bottom w:val="nil"/>
              <w:right w:val="nil"/>
            </w:tcBorders>
          </w:tcPr>
          <w:p w14:paraId="4BC22C89" w14:textId="77777777" w:rsidR="00345678" w:rsidRPr="00345678" w:rsidRDefault="00345678" w:rsidP="00086262">
            <w:pPr>
              <w:rPr>
                <w:rFonts w:eastAsia="Times New Roman"/>
              </w:rPr>
            </w:pPr>
            <w:r w:rsidRPr="00345678">
              <w:rPr>
                <w:rFonts w:eastAsia="Times New Roman"/>
              </w:rPr>
              <w:t>Directorate of Harmonization of Financial Management, Control and Accounting (under MoF GDHPIFC)</w:t>
            </w:r>
          </w:p>
        </w:tc>
      </w:tr>
      <w:tr w:rsidR="00345678" w:rsidRPr="00345678" w14:paraId="1D28CEB1" w14:textId="77777777" w:rsidTr="00086262">
        <w:tc>
          <w:tcPr>
            <w:tcW w:w="1271" w:type="dxa"/>
            <w:tcBorders>
              <w:top w:val="nil"/>
              <w:left w:val="nil"/>
              <w:bottom w:val="nil"/>
              <w:right w:val="nil"/>
            </w:tcBorders>
          </w:tcPr>
          <w:p w14:paraId="13AC6615" w14:textId="77777777" w:rsidR="00345678" w:rsidRPr="00345678" w:rsidRDefault="00345678" w:rsidP="00086262">
            <w:r w:rsidRPr="00345678">
              <w:t>GDB</w:t>
            </w:r>
          </w:p>
        </w:tc>
        <w:tc>
          <w:tcPr>
            <w:tcW w:w="7745" w:type="dxa"/>
            <w:tcBorders>
              <w:top w:val="nil"/>
              <w:left w:val="nil"/>
              <w:bottom w:val="nil"/>
              <w:right w:val="nil"/>
            </w:tcBorders>
          </w:tcPr>
          <w:p w14:paraId="57D4E382" w14:textId="77777777" w:rsidR="00345678" w:rsidRPr="00345678" w:rsidRDefault="00345678" w:rsidP="00086262">
            <w:pPr>
              <w:rPr>
                <w:rFonts w:eastAsia="Times New Roman"/>
              </w:rPr>
            </w:pPr>
            <w:r w:rsidRPr="00345678">
              <w:rPr>
                <w:rFonts w:eastAsia="Times New Roman"/>
              </w:rPr>
              <w:t>General Directorate of Budget  (under MoF)</w:t>
            </w:r>
          </w:p>
        </w:tc>
      </w:tr>
      <w:tr w:rsidR="00345678" w:rsidRPr="00345678" w14:paraId="38D87708" w14:textId="77777777" w:rsidTr="00086262">
        <w:tc>
          <w:tcPr>
            <w:tcW w:w="1271" w:type="dxa"/>
            <w:tcBorders>
              <w:top w:val="nil"/>
              <w:left w:val="nil"/>
              <w:bottom w:val="nil"/>
              <w:right w:val="nil"/>
            </w:tcBorders>
          </w:tcPr>
          <w:p w14:paraId="418E1552" w14:textId="77777777" w:rsidR="00345678" w:rsidRPr="00345678" w:rsidRDefault="00345678" w:rsidP="00086262">
            <w:r w:rsidRPr="00345678">
              <w:t>DABP</w:t>
            </w:r>
          </w:p>
        </w:tc>
        <w:tc>
          <w:tcPr>
            <w:tcW w:w="7745" w:type="dxa"/>
            <w:tcBorders>
              <w:top w:val="nil"/>
              <w:left w:val="nil"/>
              <w:bottom w:val="nil"/>
              <w:right w:val="nil"/>
            </w:tcBorders>
          </w:tcPr>
          <w:p w14:paraId="02D4CD66" w14:textId="77777777" w:rsidR="00345678" w:rsidRPr="00345678" w:rsidRDefault="00345678" w:rsidP="00086262">
            <w:pPr>
              <w:rPr>
                <w:rFonts w:eastAsia="Times New Roman"/>
              </w:rPr>
            </w:pPr>
            <w:r w:rsidRPr="00345678">
              <w:rPr>
                <w:rFonts w:eastAsia="Times New Roman"/>
              </w:rPr>
              <w:t>Directorate of Analysis and Budget programming (under MoF GDB)</w:t>
            </w:r>
          </w:p>
        </w:tc>
      </w:tr>
      <w:tr w:rsidR="00345678" w:rsidRPr="00345678" w14:paraId="12BA839D" w14:textId="77777777" w:rsidTr="00086262">
        <w:tc>
          <w:tcPr>
            <w:tcW w:w="1271" w:type="dxa"/>
            <w:tcBorders>
              <w:top w:val="nil"/>
              <w:left w:val="nil"/>
              <w:bottom w:val="nil"/>
              <w:right w:val="nil"/>
            </w:tcBorders>
          </w:tcPr>
          <w:p w14:paraId="635B317E" w14:textId="77777777" w:rsidR="00345678" w:rsidRPr="00345678" w:rsidRDefault="00345678" w:rsidP="00086262">
            <w:r w:rsidRPr="00345678">
              <w:t>DBM</w:t>
            </w:r>
          </w:p>
        </w:tc>
        <w:tc>
          <w:tcPr>
            <w:tcW w:w="7745" w:type="dxa"/>
            <w:tcBorders>
              <w:top w:val="nil"/>
              <w:left w:val="nil"/>
              <w:bottom w:val="nil"/>
              <w:right w:val="nil"/>
            </w:tcBorders>
          </w:tcPr>
          <w:p w14:paraId="3C869979" w14:textId="77777777" w:rsidR="00345678" w:rsidRPr="00345678" w:rsidRDefault="00345678" w:rsidP="00086262">
            <w:pPr>
              <w:rPr>
                <w:rFonts w:eastAsia="Times New Roman"/>
              </w:rPr>
            </w:pPr>
            <w:r w:rsidRPr="00345678">
              <w:rPr>
                <w:rFonts w:eastAsia="Times New Roman"/>
              </w:rPr>
              <w:t>Directorate of Budget Management (under MoF GDB)</w:t>
            </w:r>
          </w:p>
        </w:tc>
      </w:tr>
      <w:tr w:rsidR="00345678" w:rsidRPr="00345678" w14:paraId="189E4BE6" w14:textId="77777777" w:rsidTr="00086262">
        <w:tc>
          <w:tcPr>
            <w:tcW w:w="1271" w:type="dxa"/>
            <w:tcBorders>
              <w:top w:val="nil"/>
              <w:left w:val="nil"/>
              <w:bottom w:val="nil"/>
              <w:right w:val="nil"/>
            </w:tcBorders>
          </w:tcPr>
          <w:p w14:paraId="1857CA8C" w14:textId="77777777" w:rsidR="00345678" w:rsidRPr="00345678" w:rsidRDefault="00345678" w:rsidP="00086262">
            <w:r w:rsidRPr="00345678">
              <w:t>DPIM</w:t>
            </w:r>
          </w:p>
        </w:tc>
        <w:tc>
          <w:tcPr>
            <w:tcW w:w="7745" w:type="dxa"/>
            <w:tcBorders>
              <w:top w:val="nil"/>
              <w:left w:val="nil"/>
              <w:bottom w:val="nil"/>
              <w:right w:val="nil"/>
            </w:tcBorders>
          </w:tcPr>
          <w:p w14:paraId="7B020C49" w14:textId="77777777" w:rsidR="00345678" w:rsidRPr="00345678" w:rsidRDefault="00345678" w:rsidP="00086262">
            <w:pPr>
              <w:rPr>
                <w:rFonts w:eastAsia="Times New Roman"/>
              </w:rPr>
            </w:pPr>
            <w:r w:rsidRPr="00345678">
              <w:rPr>
                <w:rFonts w:eastAsia="Times New Roman"/>
              </w:rPr>
              <w:t>Directorate of Public Investment Management (under MoF GDB)</w:t>
            </w:r>
          </w:p>
        </w:tc>
      </w:tr>
      <w:tr w:rsidR="00345678" w:rsidRPr="00345678" w14:paraId="4168D0FC" w14:textId="77777777" w:rsidTr="00086262">
        <w:tc>
          <w:tcPr>
            <w:tcW w:w="1271" w:type="dxa"/>
            <w:tcBorders>
              <w:top w:val="nil"/>
              <w:left w:val="nil"/>
              <w:bottom w:val="nil"/>
              <w:right w:val="nil"/>
            </w:tcBorders>
          </w:tcPr>
          <w:p w14:paraId="0BD2884E" w14:textId="77777777" w:rsidR="00345678" w:rsidRPr="00345678" w:rsidRDefault="00345678" w:rsidP="00086262">
            <w:r w:rsidRPr="00345678">
              <w:t>DLF</w:t>
            </w:r>
          </w:p>
        </w:tc>
        <w:tc>
          <w:tcPr>
            <w:tcW w:w="7745" w:type="dxa"/>
            <w:tcBorders>
              <w:top w:val="nil"/>
              <w:left w:val="nil"/>
              <w:bottom w:val="nil"/>
              <w:right w:val="nil"/>
            </w:tcBorders>
          </w:tcPr>
          <w:p w14:paraId="26C3D255" w14:textId="77777777" w:rsidR="00345678" w:rsidRPr="00345678" w:rsidRDefault="00345678" w:rsidP="00086262">
            <w:pPr>
              <w:rPr>
                <w:rFonts w:eastAsia="Times New Roman"/>
              </w:rPr>
            </w:pPr>
            <w:r w:rsidRPr="00345678">
              <w:rPr>
                <w:rFonts w:eastAsia="Times New Roman"/>
              </w:rPr>
              <w:t>Directorate of Local Finance (under MoF GDB)</w:t>
            </w:r>
          </w:p>
        </w:tc>
      </w:tr>
      <w:tr w:rsidR="004F2B55" w:rsidRPr="00345678" w14:paraId="21DE16BA" w14:textId="77777777" w:rsidTr="00086262">
        <w:tc>
          <w:tcPr>
            <w:tcW w:w="1271" w:type="dxa"/>
            <w:tcBorders>
              <w:top w:val="nil"/>
              <w:left w:val="nil"/>
              <w:bottom w:val="nil"/>
              <w:right w:val="nil"/>
            </w:tcBorders>
          </w:tcPr>
          <w:p w14:paraId="16834CB2" w14:textId="073FB634" w:rsidR="004F2B55" w:rsidRPr="00345678" w:rsidRDefault="004F2B55" w:rsidP="004F2B55">
            <w:r>
              <w:t>DRF</w:t>
            </w:r>
          </w:p>
        </w:tc>
        <w:tc>
          <w:tcPr>
            <w:tcW w:w="7745" w:type="dxa"/>
            <w:tcBorders>
              <w:top w:val="nil"/>
              <w:left w:val="nil"/>
              <w:bottom w:val="nil"/>
              <w:right w:val="nil"/>
            </w:tcBorders>
          </w:tcPr>
          <w:p w14:paraId="4622031C" w14:textId="2C56FCDB" w:rsidR="004F2B55" w:rsidRPr="00345678" w:rsidRDefault="004F2B55" w:rsidP="004F2B55">
            <w:pPr>
              <w:rPr>
                <w:rFonts w:eastAsia="Times New Roman"/>
              </w:rPr>
            </w:pPr>
            <w:r>
              <w:rPr>
                <w:rFonts w:eastAsia="Times New Roman"/>
              </w:rPr>
              <w:t>Directorate of Fiscal Risk (under MoF GDB)</w:t>
            </w:r>
          </w:p>
        </w:tc>
      </w:tr>
      <w:tr w:rsidR="004F2B55" w:rsidRPr="00345678" w14:paraId="2FD794B0" w14:textId="77777777" w:rsidTr="00086262">
        <w:tc>
          <w:tcPr>
            <w:tcW w:w="1271" w:type="dxa"/>
            <w:tcBorders>
              <w:top w:val="nil"/>
              <w:left w:val="nil"/>
              <w:bottom w:val="nil"/>
              <w:right w:val="nil"/>
            </w:tcBorders>
          </w:tcPr>
          <w:p w14:paraId="6D261FAC" w14:textId="77777777" w:rsidR="004F2B55" w:rsidRPr="00345678" w:rsidRDefault="004F2B55" w:rsidP="004F2B55">
            <w:r w:rsidRPr="00345678">
              <w:t>GDT</w:t>
            </w:r>
          </w:p>
        </w:tc>
        <w:tc>
          <w:tcPr>
            <w:tcW w:w="7745" w:type="dxa"/>
            <w:tcBorders>
              <w:top w:val="nil"/>
              <w:left w:val="nil"/>
              <w:bottom w:val="nil"/>
              <w:right w:val="nil"/>
            </w:tcBorders>
          </w:tcPr>
          <w:p w14:paraId="6A99F84D" w14:textId="77777777" w:rsidR="004F2B55" w:rsidRPr="00345678" w:rsidRDefault="004F2B55" w:rsidP="004F2B55">
            <w:pPr>
              <w:rPr>
                <w:rFonts w:eastAsia="Times New Roman"/>
              </w:rPr>
            </w:pPr>
            <w:r w:rsidRPr="00345678">
              <w:rPr>
                <w:rFonts w:eastAsia="Times New Roman"/>
              </w:rPr>
              <w:t>General Directorate of Treasury (under MoF)</w:t>
            </w:r>
          </w:p>
        </w:tc>
      </w:tr>
      <w:tr w:rsidR="004F2B55" w:rsidRPr="00345678" w14:paraId="31852A0F" w14:textId="77777777" w:rsidTr="00086262">
        <w:tc>
          <w:tcPr>
            <w:tcW w:w="1271" w:type="dxa"/>
            <w:tcBorders>
              <w:top w:val="nil"/>
              <w:left w:val="nil"/>
              <w:bottom w:val="nil"/>
              <w:right w:val="nil"/>
            </w:tcBorders>
          </w:tcPr>
          <w:p w14:paraId="7C70014B" w14:textId="77777777" w:rsidR="004F2B55" w:rsidRPr="00345678" w:rsidRDefault="004F2B55" w:rsidP="004F2B55">
            <w:r w:rsidRPr="00345678">
              <w:t>DTO</w:t>
            </w:r>
          </w:p>
        </w:tc>
        <w:tc>
          <w:tcPr>
            <w:tcW w:w="7745" w:type="dxa"/>
            <w:tcBorders>
              <w:top w:val="nil"/>
              <w:left w:val="nil"/>
              <w:bottom w:val="nil"/>
              <w:right w:val="nil"/>
            </w:tcBorders>
          </w:tcPr>
          <w:p w14:paraId="6FEEA6E2" w14:textId="77777777" w:rsidR="004F2B55" w:rsidRPr="00345678" w:rsidRDefault="004F2B55" w:rsidP="004F2B55">
            <w:pPr>
              <w:rPr>
                <w:rFonts w:eastAsia="Times New Roman"/>
              </w:rPr>
            </w:pPr>
            <w:r w:rsidRPr="00345678">
              <w:rPr>
                <w:rFonts w:eastAsia="Times New Roman"/>
              </w:rPr>
              <w:t>Directorate of Treasury Operations (under MoF GDT)</w:t>
            </w:r>
          </w:p>
        </w:tc>
      </w:tr>
      <w:tr w:rsidR="004F2B55" w:rsidRPr="00345678" w14:paraId="10030CEF" w14:textId="77777777" w:rsidTr="00086262">
        <w:tc>
          <w:tcPr>
            <w:tcW w:w="1271" w:type="dxa"/>
            <w:tcBorders>
              <w:top w:val="nil"/>
              <w:left w:val="nil"/>
              <w:bottom w:val="nil"/>
              <w:right w:val="nil"/>
            </w:tcBorders>
          </w:tcPr>
          <w:p w14:paraId="5CAB41F6" w14:textId="77777777" w:rsidR="004F2B55" w:rsidRPr="00345678" w:rsidRDefault="004F2B55" w:rsidP="004F2B55">
            <w:r w:rsidRPr="00345678">
              <w:t>DBP</w:t>
            </w:r>
          </w:p>
        </w:tc>
        <w:tc>
          <w:tcPr>
            <w:tcW w:w="7745" w:type="dxa"/>
            <w:tcBorders>
              <w:top w:val="nil"/>
              <w:left w:val="nil"/>
              <w:bottom w:val="nil"/>
              <w:right w:val="nil"/>
            </w:tcBorders>
          </w:tcPr>
          <w:p w14:paraId="310E6345" w14:textId="77777777" w:rsidR="004F2B55" w:rsidRPr="00345678" w:rsidRDefault="004F2B55" w:rsidP="004F2B55">
            <w:pPr>
              <w:rPr>
                <w:rFonts w:eastAsia="Times New Roman"/>
              </w:rPr>
            </w:pPr>
            <w:r w:rsidRPr="00345678">
              <w:rPr>
                <w:rFonts w:eastAsia="Times New Roman"/>
              </w:rPr>
              <w:t>Directorate of Business Processing (under MoF GDT)</w:t>
            </w:r>
          </w:p>
        </w:tc>
      </w:tr>
      <w:tr w:rsidR="004F2B55" w:rsidRPr="00345678" w14:paraId="3E517A23" w14:textId="77777777" w:rsidTr="00086262">
        <w:tc>
          <w:tcPr>
            <w:tcW w:w="1271" w:type="dxa"/>
            <w:tcBorders>
              <w:top w:val="nil"/>
              <w:left w:val="nil"/>
              <w:bottom w:val="nil"/>
              <w:right w:val="nil"/>
            </w:tcBorders>
          </w:tcPr>
          <w:p w14:paraId="6013EF82" w14:textId="77777777" w:rsidR="004F2B55" w:rsidRPr="00345678" w:rsidRDefault="004F2B55" w:rsidP="004F2B55">
            <w:r w:rsidRPr="00345678">
              <w:t>GDSD</w:t>
            </w:r>
          </w:p>
        </w:tc>
        <w:tc>
          <w:tcPr>
            <w:tcW w:w="7745" w:type="dxa"/>
            <w:tcBorders>
              <w:top w:val="nil"/>
              <w:left w:val="nil"/>
              <w:bottom w:val="nil"/>
              <w:right w:val="nil"/>
            </w:tcBorders>
          </w:tcPr>
          <w:p w14:paraId="77D84163" w14:textId="77777777" w:rsidR="004F2B55" w:rsidRPr="00345678" w:rsidRDefault="004F2B55" w:rsidP="004F2B55">
            <w:pPr>
              <w:rPr>
                <w:rFonts w:eastAsia="Times New Roman"/>
              </w:rPr>
            </w:pPr>
            <w:r w:rsidRPr="00345678">
              <w:rPr>
                <w:rFonts w:eastAsia="Times New Roman"/>
              </w:rPr>
              <w:t>General Directorate of State Debt (under MoF)</w:t>
            </w:r>
          </w:p>
        </w:tc>
      </w:tr>
      <w:tr w:rsidR="004F2B55" w:rsidRPr="00345678" w14:paraId="52E8364C" w14:textId="77777777" w:rsidTr="00086262">
        <w:tc>
          <w:tcPr>
            <w:tcW w:w="1271" w:type="dxa"/>
            <w:tcBorders>
              <w:top w:val="nil"/>
              <w:left w:val="nil"/>
              <w:bottom w:val="nil"/>
              <w:right w:val="nil"/>
            </w:tcBorders>
          </w:tcPr>
          <w:p w14:paraId="56C75E44" w14:textId="77777777" w:rsidR="004F2B55" w:rsidRPr="00345678" w:rsidRDefault="004F2B55" w:rsidP="004F2B55">
            <w:r w:rsidRPr="00345678">
              <w:t>DB</w:t>
            </w:r>
          </w:p>
        </w:tc>
        <w:tc>
          <w:tcPr>
            <w:tcW w:w="7745" w:type="dxa"/>
            <w:tcBorders>
              <w:top w:val="nil"/>
              <w:left w:val="nil"/>
              <w:bottom w:val="nil"/>
              <w:right w:val="nil"/>
            </w:tcBorders>
          </w:tcPr>
          <w:p w14:paraId="39783078" w14:textId="77777777" w:rsidR="004F2B55" w:rsidRPr="00345678" w:rsidRDefault="004F2B55" w:rsidP="004F2B55">
            <w:pPr>
              <w:rPr>
                <w:rFonts w:eastAsia="Times New Roman"/>
              </w:rPr>
            </w:pPr>
            <w:r w:rsidRPr="00345678">
              <w:rPr>
                <w:rFonts w:eastAsia="Times New Roman"/>
              </w:rPr>
              <w:t xml:space="preserve">Directorate of Borrowing (under MoF </w:t>
            </w:r>
            <w:r w:rsidRPr="00345678">
              <w:t>GDSD</w:t>
            </w:r>
            <w:r w:rsidRPr="00345678">
              <w:rPr>
                <w:rFonts w:eastAsia="Times New Roman"/>
              </w:rPr>
              <w:t>)</w:t>
            </w:r>
          </w:p>
        </w:tc>
      </w:tr>
      <w:tr w:rsidR="004F2B55" w:rsidRPr="00345678" w14:paraId="3F3B05CF" w14:textId="77777777" w:rsidTr="00086262">
        <w:tc>
          <w:tcPr>
            <w:tcW w:w="1271" w:type="dxa"/>
            <w:tcBorders>
              <w:top w:val="nil"/>
              <w:left w:val="nil"/>
              <w:bottom w:val="nil"/>
              <w:right w:val="nil"/>
            </w:tcBorders>
          </w:tcPr>
          <w:p w14:paraId="3177DF1F" w14:textId="77777777" w:rsidR="004F2B55" w:rsidRPr="00345678" w:rsidRDefault="004F2B55" w:rsidP="004F2B55">
            <w:r w:rsidRPr="00345678">
              <w:t>DSDM</w:t>
            </w:r>
          </w:p>
        </w:tc>
        <w:tc>
          <w:tcPr>
            <w:tcW w:w="7745" w:type="dxa"/>
            <w:tcBorders>
              <w:top w:val="nil"/>
              <w:left w:val="nil"/>
              <w:bottom w:val="nil"/>
              <w:right w:val="nil"/>
            </w:tcBorders>
          </w:tcPr>
          <w:p w14:paraId="5EB7761C" w14:textId="77777777" w:rsidR="004F2B55" w:rsidRPr="00345678" w:rsidRDefault="004F2B55" w:rsidP="004F2B55">
            <w:pPr>
              <w:rPr>
                <w:rFonts w:eastAsia="Times New Roman"/>
              </w:rPr>
            </w:pPr>
            <w:r w:rsidRPr="00345678">
              <w:rPr>
                <w:rFonts w:eastAsia="Times New Roman"/>
              </w:rPr>
              <w:t xml:space="preserve">Directorate of Strategy and Debt Monitoring (under MoF </w:t>
            </w:r>
            <w:r w:rsidRPr="00345678">
              <w:t>GDSD</w:t>
            </w:r>
            <w:r w:rsidRPr="00345678">
              <w:rPr>
                <w:rFonts w:eastAsia="Times New Roman"/>
              </w:rPr>
              <w:t>)</w:t>
            </w:r>
          </w:p>
        </w:tc>
      </w:tr>
      <w:tr w:rsidR="004F2B55" w:rsidRPr="00345678" w14:paraId="653760E2" w14:textId="77777777" w:rsidTr="00086262">
        <w:tc>
          <w:tcPr>
            <w:tcW w:w="1271" w:type="dxa"/>
            <w:tcBorders>
              <w:top w:val="nil"/>
              <w:left w:val="nil"/>
              <w:bottom w:val="nil"/>
              <w:right w:val="nil"/>
            </w:tcBorders>
          </w:tcPr>
          <w:p w14:paraId="565AB6C8" w14:textId="77777777" w:rsidR="004F2B55" w:rsidRPr="00345678" w:rsidRDefault="004F2B55" w:rsidP="004F2B55">
            <w:r w:rsidRPr="00345678">
              <w:t>GDPT</w:t>
            </w:r>
          </w:p>
        </w:tc>
        <w:tc>
          <w:tcPr>
            <w:tcW w:w="7745" w:type="dxa"/>
            <w:tcBorders>
              <w:top w:val="nil"/>
              <w:left w:val="nil"/>
              <w:bottom w:val="nil"/>
              <w:right w:val="nil"/>
            </w:tcBorders>
            <w:vAlign w:val="center"/>
          </w:tcPr>
          <w:p w14:paraId="7122F5AA" w14:textId="77777777" w:rsidR="004F2B55" w:rsidRPr="00345678" w:rsidRDefault="004F2B55" w:rsidP="004F2B55">
            <w:pPr>
              <w:rPr>
                <w:rFonts w:eastAsia="Times New Roman"/>
              </w:rPr>
            </w:pPr>
            <w:r w:rsidRPr="00345678">
              <w:rPr>
                <w:rFonts w:eastAsia="Times New Roman"/>
              </w:rPr>
              <w:t>General Directorate for Property Tax (under MoF)</w:t>
            </w:r>
          </w:p>
        </w:tc>
      </w:tr>
      <w:tr w:rsidR="004F2B55" w:rsidRPr="00345678" w14:paraId="7B9E35BB" w14:textId="77777777" w:rsidTr="00086262">
        <w:trPr>
          <w:trHeight w:val="17"/>
        </w:trPr>
        <w:tc>
          <w:tcPr>
            <w:tcW w:w="1271" w:type="dxa"/>
            <w:tcBorders>
              <w:top w:val="nil"/>
              <w:left w:val="nil"/>
              <w:bottom w:val="nil"/>
              <w:right w:val="nil"/>
            </w:tcBorders>
          </w:tcPr>
          <w:p w14:paraId="188CAE1F" w14:textId="77777777" w:rsidR="004F2B55" w:rsidRPr="00345678" w:rsidRDefault="004F2B55" w:rsidP="004F2B55">
            <w:r w:rsidRPr="00345678">
              <w:t>DPFI</w:t>
            </w:r>
          </w:p>
        </w:tc>
        <w:tc>
          <w:tcPr>
            <w:tcW w:w="7745" w:type="dxa"/>
            <w:tcBorders>
              <w:top w:val="nil"/>
              <w:left w:val="nil"/>
              <w:bottom w:val="nil"/>
              <w:right w:val="nil"/>
            </w:tcBorders>
            <w:vAlign w:val="center"/>
          </w:tcPr>
          <w:p w14:paraId="6800A3F1" w14:textId="77777777" w:rsidR="004F2B55" w:rsidRPr="00345678" w:rsidRDefault="004F2B55" w:rsidP="004F2B55">
            <w:pPr>
              <w:rPr>
                <w:rFonts w:eastAsia="Times New Roman"/>
              </w:rPr>
            </w:pPr>
            <w:r w:rsidRPr="00345678">
              <w:rPr>
                <w:rFonts w:eastAsia="Times New Roman"/>
              </w:rPr>
              <w:t>Directorate of Public Financial Inspection (under MoF)</w:t>
            </w:r>
          </w:p>
        </w:tc>
      </w:tr>
      <w:tr w:rsidR="004F2B55" w:rsidRPr="00345678" w14:paraId="0424F781" w14:textId="77777777" w:rsidTr="00086262">
        <w:tc>
          <w:tcPr>
            <w:tcW w:w="1271" w:type="dxa"/>
            <w:tcBorders>
              <w:top w:val="nil"/>
              <w:left w:val="nil"/>
              <w:bottom w:val="nil"/>
              <w:right w:val="nil"/>
            </w:tcBorders>
          </w:tcPr>
          <w:p w14:paraId="7F803753" w14:textId="77777777" w:rsidR="004F2B55" w:rsidRPr="00345678" w:rsidRDefault="004F2B55" w:rsidP="004F2B55">
            <w:r w:rsidRPr="00345678">
              <w:t>DC</w:t>
            </w:r>
          </w:p>
        </w:tc>
        <w:tc>
          <w:tcPr>
            <w:tcW w:w="7745" w:type="dxa"/>
            <w:tcBorders>
              <w:top w:val="nil"/>
              <w:left w:val="nil"/>
              <w:bottom w:val="nil"/>
              <w:right w:val="nil"/>
            </w:tcBorders>
            <w:vAlign w:val="center"/>
          </w:tcPr>
          <w:p w14:paraId="74D756AC" w14:textId="77777777" w:rsidR="004F2B55" w:rsidRPr="00345678" w:rsidRDefault="004F2B55" w:rsidP="004F2B55">
            <w:pPr>
              <w:rPr>
                <w:rFonts w:eastAsia="Times New Roman"/>
              </w:rPr>
            </w:pPr>
            <w:r w:rsidRPr="00345678">
              <w:rPr>
                <w:rFonts w:eastAsia="Times New Roman"/>
              </w:rPr>
              <w:t>Directorate for Concessions (under MoF)</w:t>
            </w:r>
          </w:p>
        </w:tc>
      </w:tr>
      <w:tr w:rsidR="004F2B55" w:rsidRPr="00345678" w14:paraId="1D6F193E" w14:textId="77777777" w:rsidTr="00086262">
        <w:tc>
          <w:tcPr>
            <w:tcW w:w="1271" w:type="dxa"/>
            <w:tcBorders>
              <w:top w:val="nil"/>
              <w:left w:val="nil"/>
              <w:bottom w:val="nil"/>
              <w:right w:val="nil"/>
            </w:tcBorders>
          </w:tcPr>
          <w:p w14:paraId="1937BC73" w14:textId="77777777" w:rsidR="004F2B55" w:rsidRPr="00345678" w:rsidRDefault="004F2B55" w:rsidP="004F2B55">
            <w:r w:rsidRPr="00345678">
              <w:t>GDTax</w:t>
            </w:r>
          </w:p>
        </w:tc>
        <w:tc>
          <w:tcPr>
            <w:tcW w:w="7745" w:type="dxa"/>
            <w:tcBorders>
              <w:top w:val="nil"/>
              <w:left w:val="nil"/>
              <w:bottom w:val="nil"/>
              <w:right w:val="nil"/>
            </w:tcBorders>
            <w:vAlign w:val="center"/>
          </w:tcPr>
          <w:p w14:paraId="0A453E2E" w14:textId="77777777" w:rsidR="004F2B55" w:rsidRPr="00345678" w:rsidRDefault="004F2B55" w:rsidP="004F2B55">
            <w:r w:rsidRPr="00345678">
              <w:t xml:space="preserve">General Directorate of Taxation </w:t>
            </w:r>
            <w:r w:rsidRPr="00345678">
              <w:rPr>
                <w:rFonts w:eastAsia="Times New Roman"/>
              </w:rPr>
              <w:t>(under MoF)</w:t>
            </w:r>
          </w:p>
        </w:tc>
      </w:tr>
      <w:tr w:rsidR="004F2B55" w:rsidRPr="00345678" w14:paraId="00D1A529" w14:textId="77777777" w:rsidTr="00086262">
        <w:tc>
          <w:tcPr>
            <w:tcW w:w="1271" w:type="dxa"/>
            <w:tcBorders>
              <w:top w:val="nil"/>
              <w:left w:val="nil"/>
              <w:bottom w:val="nil"/>
              <w:right w:val="nil"/>
            </w:tcBorders>
          </w:tcPr>
          <w:p w14:paraId="4A2831A5" w14:textId="77777777" w:rsidR="004F2B55" w:rsidRPr="00345678" w:rsidRDefault="004F2B55" w:rsidP="004F2B55">
            <w:r w:rsidRPr="00345678">
              <w:t>GDC</w:t>
            </w:r>
          </w:p>
        </w:tc>
        <w:tc>
          <w:tcPr>
            <w:tcW w:w="7745" w:type="dxa"/>
            <w:tcBorders>
              <w:top w:val="nil"/>
              <w:left w:val="nil"/>
              <w:bottom w:val="nil"/>
              <w:right w:val="nil"/>
            </w:tcBorders>
            <w:vAlign w:val="center"/>
          </w:tcPr>
          <w:p w14:paraId="030563C8" w14:textId="77777777" w:rsidR="004F2B55" w:rsidRPr="00345678" w:rsidRDefault="004F2B55" w:rsidP="004F2B55">
            <w:r w:rsidRPr="00345678">
              <w:t xml:space="preserve">General Directorate of Customs </w:t>
            </w:r>
            <w:r w:rsidRPr="00345678">
              <w:rPr>
                <w:rFonts w:eastAsia="Times New Roman"/>
              </w:rPr>
              <w:t>(under MoF)</w:t>
            </w:r>
          </w:p>
        </w:tc>
      </w:tr>
      <w:tr w:rsidR="004F2B55" w:rsidRPr="00345678" w14:paraId="0B3CAF8D" w14:textId="77777777" w:rsidTr="00086262">
        <w:tc>
          <w:tcPr>
            <w:tcW w:w="1271" w:type="dxa"/>
            <w:tcBorders>
              <w:top w:val="nil"/>
              <w:left w:val="nil"/>
              <w:bottom w:val="nil"/>
              <w:right w:val="nil"/>
            </w:tcBorders>
          </w:tcPr>
          <w:p w14:paraId="05B9BD8A" w14:textId="77777777" w:rsidR="004F2B55" w:rsidRPr="00345678" w:rsidRDefault="004F2B55" w:rsidP="004F2B55">
            <w:r w:rsidRPr="00345678">
              <w:t>NAO</w:t>
            </w:r>
          </w:p>
        </w:tc>
        <w:tc>
          <w:tcPr>
            <w:tcW w:w="7745" w:type="dxa"/>
            <w:tcBorders>
              <w:top w:val="nil"/>
              <w:left w:val="nil"/>
              <w:bottom w:val="nil"/>
              <w:right w:val="nil"/>
            </w:tcBorders>
            <w:vAlign w:val="center"/>
          </w:tcPr>
          <w:p w14:paraId="41A8FE9D" w14:textId="77777777" w:rsidR="004F2B55" w:rsidRPr="00345678" w:rsidRDefault="004F2B55" w:rsidP="004F2B55">
            <w:r w:rsidRPr="00345678">
              <w:t xml:space="preserve">National Authorising Officer </w:t>
            </w:r>
            <w:r w:rsidRPr="00345678">
              <w:rPr>
                <w:rFonts w:eastAsia="Times New Roman"/>
              </w:rPr>
              <w:t>(under MoF)</w:t>
            </w:r>
          </w:p>
        </w:tc>
      </w:tr>
      <w:tr w:rsidR="004F2B55" w:rsidRPr="00345678" w14:paraId="74AE5BEA" w14:textId="77777777" w:rsidTr="00086262">
        <w:tc>
          <w:tcPr>
            <w:tcW w:w="1271" w:type="dxa"/>
            <w:tcBorders>
              <w:top w:val="nil"/>
              <w:left w:val="nil"/>
              <w:bottom w:val="nil"/>
              <w:right w:val="nil"/>
            </w:tcBorders>
          </w:tcPr>
          <w:p w14:paraId="32276A19" w14:textId="77777777" w:rsidR="004F2B55" w:rsidRPr="00345678" w:rsidRDefault="004F2B55" w:rsidP="004F2B55">
            <w:r w:rsidRPr="00345678">
              <w:t>CFCU</w:t>
            </w:r>
          </w:p>
        </w:tc>
        <w:tc>
          <w:tcPr>
            <w:tcW w:w="7745" w:type="dxa"/>
            <w:tcBorders>
              <w:top w:val="nil"/>
              <w:left w:val="nil"/>
              <w:bottom w:val="nil"/>
              <w:right w:val="nil"/>
            </w:tcBorders>
            <w:vAlign w:val="center"/>
          </w:tcPr>
          <w:p w14:paraId="2D1E0B90" w14:textId="77777777" w:rsidR="004F2B55" w:rsidRPr="00345678" w:rsidRDefault="004F2B55" w:rsidP="004F2B55">
            <w:r w:rsidRPr="00345678">
              <w:t>Central Financing and Contracting Unit</w:t>
            </w:r>
            <w:r w:rsidRPr="00345678">
              <w:rPr>
                <w:rFonts w:eastAsia="Times New Roman"/>
              </w:rPr>
              <w:t xml:space="preserve"> (under MoF)</w:t>
            </w:r>
          </w:p>
        </w:tc>
      </w:tr>
      <w:tr w:rsidR="004F2B55" w:rsidRPr="00345678" w14:paraId="3770C6BA" w14:textId="77777777" w:rsidTr="00086262">
        <w:tc>
          <w:tcPr>
            <w:tcW w:w="1271" w:type="dxa"/>
            <w:tcBorders>
              <w:top w:val="nil"/>
              <w:left w:val="nil"/>
              <w:bottom w:val="nil"/>
              <w:right w:val="nil"/>
            </w:tcBorders>
          </w:tcPr>
          <w:p w14:paraId="60092095" w14:textId="77777777" w:rsidR="004F2B55" w:rsidRPr="00345678" w:rsidRDefault="004F2B55" w:rsidP="004F2B55">
            <w:r w:rsidRPr="00345678">
              <w:t>AA</w:t>
            </w:r>
          </w:p>
        </w:tc>
        <w:tc>
          <w:tcPr>
            <w:tcW w:w="7745" w:type="dxa"/>
            <w:tcBorders>
              <w:top w:val="nil"/>
              <w:left w:val="nil"/>
              <w:bottom w:val="nil"/>
              <w:right w:val="nil"/>
            </w:tcBorders>
            <w:vAlign w:val="center"/>
          </w:tcPr>
          <w:p w14:paraId="5933E8A4" w14:textId="396F8298" w:rsidR="002A63B7" w:rsidRPr="00345678" w:rsidRDefault="004F2B55" w:rsidP="004F2B55">
            <w:r w:rsidRPr="00345678">
              <w:t xml:space="preserve">Audit Authority </w:t>
            </w:r>
          </w:p>
        </w:tc>
      </w:tr>
      <w:tr w:rsidR="002A63B7" w:rsidRPr="00345678" w14:paraId="7BE67428" w14:textId="77777777" w:rsidTr="00086262">
        <w:tc>
          <w:tcPr>
            <w:tcW w:w="1271" w:type="dxa"/>
            <w:tcBorders>
              <w:top w:val="nil"/>
              <w:left w:val="nil"/>
              <w:bottom w:val="nil"/>
              <w:right w:val="nil"/>
            </w:tcBorders>
          </w:tcPr>
          <w:p w14:paraId="48DE81AE" w14:textId="77777777" w:rsidR="002A63B7" w:rsidRPr="00345678" w:rsidRDefault="002A63B7" w:rsidP="004F2B55"/>
        </w:tc>
        <w:tc>
          <w:tcPr>
            <w:tcW w:w="7745" w:type="dxa"/>
            <w:tcBorders>
              <w:top w:val="nil"/>
              <w:left w:val="nil"/>
              <w:bottom w:val="nil"/>
              <w:right w:val="nil"/>
            </w:tcBorders>
            <w:vAlign w:val="center"/>
          </w:tcPr>
          <w:p w14:paraId="1B21D49E" w14:textId="77777777" w:rsidR="002A63B7" w:rsidRPr="00345678" w:rsidRDefault="002A63B7" w:rsidP="004F2B55"/>
        </w:tc>
      </w:tr>
      <w:tr w:rsidR="004F2B55" w:rsidRPr="00345678" w14:paraId="7E29BD87" w14:textId="77777777" w:rsidTr="00086262">
        <w:tc>
          <w:tcPr>
            <w:tcW w:w="9016" w:type="dxa"/>
            <w:gridSpan w:val="2"/>
            <w:tcBorders>
              <w:top w:val="nil"/>
              <w:left w:val="nil"/>
              <w:bottom w:val="nil"/>
              <w:right w:val="nil"/>
            </w:tcBorders>
          </w:tcPr>
          <w:tbl>
            <w:tblPr>
              <w:tblStyle w:val="TableGrid"/>
              <w:tblW w:w="0" w:type="auto"/>
              <w:tblCellMar>
                <w:top w:w="28" w:type="dxa"/>
                <w:left w:w="57" w:type="dxa"/>
                <w:bottom w:w="28" w:type="dxa"/>
                <w:right w:w="57" w:type="dxa"/>
              </w:tblCellMar>
              <w:tblLook w:val="04A0" w:firstRow="1" w:lastRow="0" w:firstColumn="1" w:lastColumn="0" w:noHBand="0" w:noVBand="1"/>
            </w:tblPr>
            <w:tblGrid>
              <w:gridCol w:w="1264"/>
              <w:gridCol w:w="7638"/>
            </w:tblGrid>
            <w:tr w:rsidR="002A63B7" w14:paraId="5F3474F5" w14:textId="77777777" w:rsidTr="002A63B7">
              <w:tc>
                <w:tcPr>
                  <w:tcW w:w="9016" w:type="dxa"/>
                  <w:gridSpan w:val="2"/>
                  <w:tcBorders>
                    <w:top w:val="nil"/>
                    <w:left w:val="nil"/>
                    <w:bottom w:val="nil"/>
                    <w:right w:val="nil"/>
                  </w:tcBorders>
                </w:tcPr>
                <w:p w14:paraId="21233852" w14:textId="61960979" w:rsidR="002A63B7" w:rsidRDefault="002A63B7" w:rsidP="002A63B7">
                  <w:pPr>
                    <w:rPr>
                      <w:b/>
                      <w:bCs/>
                      <w:lang w:val="it-IT"/>
                    </w:rPr>
                  </w:pPr>
                  <w:r>
                    <w:rPr>
                      <w:b/>
                      <w:bCs/>
                    </w:rPr>
                    <w:t>Ministry of</w:t>
                  </w:r>
                  <w:r w:rsidRPr="002A63B7">
                    <w:rPr>
                      <w:b/>
                      <w:bCs/>
                    </w:rPr>
                    <w:t xml:space="preserve"> E</w:t>
                  </w:r>
                  <w:r>
                    <w:rPr>
                      <w:b/>
                      <w:bCs/>
                    </w:rPr>
                    <w:t>conomy</w:t>
                  </w:r>
                  <w:r w:rsidRPr="002A63B7">
                    <w:rPr>
                      <w:b/>
                      <w:bCs/>
                    </w:rPr>
                    <w:t xml:space="preserve">, </w:t>
                  </w:r>
                  <w:r>
                    <w:rPr>
                      <w:b/>
                      <w:bCs/>
                    </w:rPr>
                    <w:t>Culture and Inovation</w:t>
                  </w:r>
                </w:p>
              </w:tc>
            </w:tr>
            <w:tr w:rsidR="002A63B7" w14:paraId="7EF48BB2" w14:textId="77777777" w:rsidTr="002A63B7">
              <w:tc>
                <w:tcPr>
                  <w:tcW w:w="1271" w:type="dxa"/>
                  <w:tcBorders>
                    <w:top w:val="nil"/>
                    <w:left w:val="nil"/>
                    <w:bottom w:val="nil"/>
                    <w:right w:val="nil"/>
                  </w:tcBorders>
                  <w:hideMark/>
                </w:tcPr>
                <w:p w14:paraId="7A77CCAB" w14:textId="77777777" w:rsidR="002A63B7" w:rsidRDefault="002A63B7" w:rsidP="002A63B7">
                  <w:r>
                    <w:t>ATRAKO</w:t>
                  </w:r>
                </w:p>
              </w:tc>
              <w:tc>
                <w:tcPr>
                  <w:tcW w:w="7745" w:type="dxa"/>
                  <w:tcBorders>
                    <w:top w:val="nil"/>
                    <w:left w:val="nil"/>
                    <w:bottom w:val="nil"/>
                    <w:right w:val="nil"/>
                  </w:tcBorders>
                  <w:hideMark/>
                </w:tcPr>
                <w:p w14:paraId="60F3AB03" w14:textId="1EA21914" w:rsidR="002A63B7" w:rsidRDefault="002A63B7" w:rsidP="002A63B7">
                  <w:pPr>
                    <w:rPr>
                      <w:lang w:val="it-IT"/>
                    </w:rPr>
                  </w:pPr>
                  <w:r w:rsidRPr="00345678">
                    <w:rPr>
                      <w:rFonts w:eastAsia="Times New Roman"/>
                    </w:rPr>
                    <w:t>Concessions Agency</w:t>
                  </w:r>
                </w:p>
              </w:tc>
            </w:tr>
          </w:tbl>
          <w:p w14:paraId="3F62D39C" w14:textId="77777777" w:rsidR="004F2B55" w:rsidRPr="00345678" w:rsidRDefault="004F2B55" w:rsidP="004F2B55">
            <w:pPr>
              <w:rPr>
                <w:b/>
                <w:bCs/>
              </w:rPr>
            </w:pPr>
          </w:p>
          <w:p w14:paraId="06A189A2" w14:textId="77777777" w:rsidR="004F2B55" w:rsidRPr="00345678" w:rsidRDefault="004F2B55" w:rsidP="004F2B55">
            <w:pPr>
              <w:rPr>
                <w:b/>
                <w:bCs/>
              </w:rPr>
            </w:pPr>
            <w:r w:rsidRPr="00345678">
              <w:rPr>
                <w:b/>
                <w:bCs/>
              </w:rPr>
              <w:t>Prime Minister’s Office</w:t>
            </w:r>
          </w:p>
        </w:tc>
      </w:tr>
      <w:tr w:rsidR="004F2B55" w:rsidRPr="00345678" w14:paraId="3D91D31E" w14:textId="77777777" w:rsidTr="00086262">
        <w:tc>
          <w:tcPr>
            <w:tcW w:w="1271" w:type="dxa"/>
            <w:tcBorders>
              <w:top w:val="nil"/>
              <w:left w:val="nil"/>
              <w:bottom w:val="nil"/>
              <w:right w:val="nil"/>
            </w:tcBorders>
          </w:tcPr>
          <w:p w14:paraId="2258CE4B" w14:textId="77777777" w:rsidR="004F2B55" w:rsidRPr="00345678" w:rsidRDefault="004F2B55" w:rsidP="004F2B55">
            <w:r w:rsidRPr="00345678">
              <w:t>PMO</w:t>
            </w:r>
          </w:p>
        </w:tc>
        <w:tc>
          <w:tcPr>
            <w:tcW w:w="7745" w:type="dxa"/>
            <w:tcBorders>
              <w:top w:val="nil"/>
              <w:left w:val="nil"/>
              <w:bottom w:val="nil"/>
              <w:right w:val="nil"/>
            </w:tcBorders>
            <w:vAlign w:val="center"/>
          </w:tcPr>
          <w:p w14:paraId="43EEDC9A" w14:textId="77777777" w:rsidR="004F2B55" w:rsidRPr="00345678" w:rsidRDefault="004F2B55" w:rsidP="004F2B55">
            <w:r w:rsidRPr="00345678">
              <w:t>Prime Minister’s Office</w:t>
            </w:r>
          </w:p>
        </w:tc>
      </w:tr>
      <w:tr w:rsidR="004F2B55" w:rsidRPr="00345678" w14:paraId="434EA27B" w14:textId="77777777" w:rsidTr="00086262">
        <w:tc>
          <w:tcPr>
            <w:tcW w:w="1271" w:type="dxa"/>
            <w:tcBorders>
              <w:top w:val="nil"/>
              <w:left w:val="nil"/>
              <w:bottom w:val="nil"/>
              <w:right w:val="nil"/>
            </w:tcBorders>
          </w:tcPr>
          <w:p w14:paraId="1E5CF134" w14:textId="77777777" w:rsidR="004F2B55" w:rsidRPr="00345678" w:rsidRDefault="004F2B55" w:rsidP="004F2B55">
            <w:r w:rsidRPr="00345678">
              <w:t>SASPAC</w:t>
            </w:r>
          </w:p>
        </w:tc>
        <w:tc>
          <w:tcPr>
            <w:tcW w:w="7745" w:type="dxa"/>
            <w:tcBorders>
              <w:top w:val="nil"/>
              <w:left w:val="nil"/>
              <w:bottom w:val="nil"/>
              <w:right w:val="nil"/>
            </w:tcBorders>
            <w:vAlign w:val="center"/>
          </w:tcPr>
          <w:p w14:paraId="6E9E206B" w14:textId="77777777" w:rsidR="004F2B55" w:rsidRPr="00345678" w:rsidRDefault="004F2B55" w:rsidP="004F2B55">
            <w:pPr>
              <w:rPr>
                <w:rFonts w:eastAsia="Times New Roman"/>
              </w:rPr>
            </w:pPr>
            <w:r w:rsidRPr="00345678">
              <w:rPr>
                <w:rFonts w:eastAsia="Times New Roman"/>
              </w:rPr>
              <w:t>State Agency for Strategic Programming and Aid Coordination (under PMO)</w:t>
            </w:r>
          </w:p>
        </w:tc>
      </w:tr>
      <w:tr w:rsidR="004F2B55" w:rsidRPr="00345678" w14:paraId="25813905" w14:textId="77777777" w:rsidTr="00086262">
        <w:tc>
          <w:tcPr>
            <w:tcW w:w="1271" w:type="dxa"/>
            <w:tcBorders>
              <w:top w:val="nil"/>
              <w:left w:val="nil"/>
              <w:bottom w:val="nil"/>
              <w:right w:val="nil"/>
            </w:tcBorders>
          </w:tcPr>
          <w:p w14:paraId="3ABC1B08" w14:textId="77777777" w:rsidR="004F2B55" w:rsidRPr="00345678" w:rsidRDefault="004F2B55" w:rsidP="004F2B55">
            <w:r w:rsidRPr="00345678">
              <w:t>DoPA</w:t>
            </w:r>
          </w:p>
        </w:tc>
        <w:tc>
          <w:tcPr>
            <w:tcW w:w="7745" w:type="dxa"/>
            <w:tcBorders>
              <w:top w:val="nil"/>
              <w:left w:val="nil"/>
              <w:bottom w:val="nil"/>
              <w:right w:val="nil"/>
            </w:tcBorders>
            <w:vAlign w:val="center"/>
          </w:tcPr>
          <w:p w14:paraId="5D65CD48" w14:textId="77777777" w:rsidR="004F2B55" w:rsidRPr="00345678" w:rsidRDefault="004F2B55" w:rsidP="004F2B55">
            <w:pPr>
              <w:rPr>
                <w:rFonts w:eastAsia="Times New Roman"/>
              </w:rPr>
            </w:pPr>
            <w:r w:rsidRPr="00345678">
              <w:rPr>
                <w:rFonts w:eastAsia="Times New Roman"/>
              </w:rPr>
              <w:t>Department of Public Administration (under PMO)</w:t>
            </w:r>
          </w:p>
        </w:tc>
      </w:tr>
      <w:tr w:rsidR="004F2B55" w:rsidRPr="00345678" w14:paraId="1C04306B" w14:textId="77777777" w:rsidTr="00086262">
        <w:tc>
          <w:tcPr>
            <w:tcW w:w="1271" w:type="dxa"/>
            <w:tcBorders>
              <w:top w:val="nil"/>
              <w:left w:val="nil"/>
              <w:bottom w:val="nil"/>
              <w:right w:val="nil"/>
            </w:tcBorders>
          </w:tcPr>
          <w:p w14:paraId="697543F0" w14:textId="77777777" w:rsidR="004F2B55" w:rsidRPr="00345678" w:rsidRDefault="004F2B55" w:rsidP="004F2B55">
            <w:r w:rsidRPr="00345678">
              <w:t>NAIS</w:t>
            </w:r>
          </w:p>
        </w:tc>
        <w:tc>
          <w:tcPr>
            <w:tcW w:w="7745" w:type="dxa"/>
            <w:tcBorders>
              <w:top w:val="nil"/>
              <w:left w:val="nil"/>
              <w:bottom w:val="nil"/>
              <w:right w:val="nil"/>
            </w:tcBorders>
            <w:vAlign w:val="center"/>
          </w:tcPr>
          <w:p w14:paraId="52BC4732" w14:textId="77777777" w:rsidR="004F2B55" w:rsidRPr="00345678" w:rsidRDefault="004F2B55" w:rsidP="004F2B55">
            <w:pPr>
              <w:rPr>
                <w:rFonts w:eastAsia="Times New Roman"/>
              </w:rPr>
            </w:pPr>
            <w:r w:rsidRPr="00345678">
              <w:rPr>
                <w:rFonts w:eastAsia="Times New Roman"/>
              </w:rPr>
              <w:t>National Agency for Information Systems (under PMO, also referred to as AKSHI)</w:t>
            </w:r>
          </w:p>
        </w:tc>
      </w:tr>
      <w:tr w:rsidR="004F2B55" w:rsidRPr="00345678" w14:paraId="6ABFB8C4" w14:textId="77777777" w:rsidTr="00086262">
        <w:tc>
          <w:tcPr>
            <w:tcW w:w="1271" w:type="dxa"/>
            <w:tcBorders>
              <w:top w:val="nil"/>
              <w:left w:val="nil"/>
              <w:bottom w:val="nil"/>
              <w:right w:val="nil"/>
            </w:tcBorders>
          </w:tcPr>
          <w:p w14:paraId="3A0B914F" w14:textId="059022AF" w:rsidR="004F2B55" w:rsidRPr="00345678" w:rsidRDefault="004F2B55" w:rsidP="004F2B55">
            <w:r w:rsidRPr="00345678">
              <w:rPr>
                <w:rFonts w:eastAsia="Times New Roman"/>
              </w:rPr>
              <w:t>PPA</w:t>
            </w:r>
          </w:p>
        </w:tc>
        <w:tc>
          <w:tcPr>
            <w:tcW w:w="7745" w:type="dxa"/>
            <w:tcBorders>
              <w:top w:val="nil"/>
              <w:left w:val="nil"/>
              <w:bottom w:val="nil"/>
              <w:right w:val="nil"/>
            </w:tcBorders>
            <w:vAlign w:val="center"/>
          </w:tcPr>
          <w:p w14:paraId="68D266D4" w14:textId="4D167849" w:rsidR="004F2B55" w:rsidRPr="00345678" w:rsidRDefault="004F2B55" w:rsidP="00D625BF">
            <w:pPr>
              <w:rPr>
                <w:rFonts w:eastAsia="Times New Roman"/>
              </w:rPr>
            </w:pPr>
            <w:r w:rsidRPr="00345678">
              <w:rPr>
                <w:rFonts w:eastAsia="Times New Roman"/>
              </w:rPr>
              <w:t xml:space="preserve">Public Procurement Agency </w:t>
            </w:r>
          </w:p>
        </w:tc>
      </w:tr>
      <w:tr w:rsidR="004F2B55" w:rsidRPr="00345678" w14:paraId="4497C7EC" w14:textId="77777777" w:rsidTr="00086262">
        <w:tc>
          <w:tcPr>
            <w:tcW w:w="1271" w:type="dxa"/>
            <w:tcBorders>
              <w:top w:val="nil"/>
              <w:left w:val="nil"/>
              <w:bottom w:val="nil"/>
              <w:right w:val="nil"/>
            </w:tcBorders>
          </w:tcPr>
          <w:p w14:paraId="1E508FC7" w14:textId="77777777" w:rsidR="004F2B55" w:rsidRPr="00345678" w:rsidRDefault="004F2B55" w:rsidP="004F2B55">
            <w:pPr>
              <w:rPr>
                <w:rFonts w:eastAsia="Times New Roman"/>
              </w:rPr>
            </w:pPr>
          </w:p>
        </w:tc>
        <w:tc>
          <w:tcPr>
            <w:tcW w:w="7745" w:type="dxa"/>
            <w:tcBorders>
              <w:top w:val="nil"/>
              <w:left w:val="nil"/>
              <w:bottom w:val="nil"/>
              <w:right w:val="nil"/>
            </w:tcBorders>
            <w:vAlign w:val="center"/>
          </w:tcPr>
          <w:p w14:paraId="13A88F8D" w14:textId="05501565" w:rsidR="004F2B55" w:rsidRPr="00345678" w:rsidRDefault="004F2B55" w:rsidP="004F2B55">
            <w:pPr>
              <w:rPr>
                <w:rFonts w:eastAsia="Times New Roman"/>
              </w:rPr>
            </w:pPr>
            <w:r>
              <w:rPr>
                <w:rFonts w:eastAsia="Times New Roman"/>
              </w:rPr>
              <w:t>EU Funds Audit Agency</w:t>
            </w:r>
          </w:p>
        </w:tc>
      </w:tr>
      <w:tr w:rsidR="004F2B55" w:rsidRPr="00345678" w14:paraId="51C9C6EA" w14:textId="77777777" w:rsidTr="00086262">
        <w:tc>
          <w:tcPr>
            <w:tcW w:w="9016" w:type="dxa"/>
            <w:gridSpan w:val="2"/>
            <w:tcBorders>
              <w:top w:val="nil"/>
              <w:left w:val="nil"/>
              <w:bottom w:val="nil"/>
              <w:right w:val="nil"/>
            </w:tcBorders>
          </w:tcPr>
          <w:p w14:paraId="67C237E2" w14:textId="77777777" w:rsidR="004F2B55" w:rsidRDefault="004F2B55" w:rsidP="004F2B55">
            <w:pPr>
              <w:rPr>
                <w:rFonts w:eastAsia="Times New Roman"/>
                <w:b/>
                <w:bCs/>
              </w:rPr>
            </w:pPr>
          </w:p>
          <w:p w14:paraId="53F64597" w14:textId="77777777" w:rsidR="002A63B7" w:rsidRDefault="002A63B7" w:rsidP="004F2B55">
            <w:pPr>
              <w:rPr>
                <w:rFonts w:eastAsia="Times New Roman"/>
                <w:b/>
                <w:bCs/>
              </w:rPr>
            </w:pPr>
          </w:p>
          <w:p w14:paraId="29D89B82" w14:textId="77777777" w:rsidR="002A63B7" w:rsidRPr="00345678" w:rsidRDefault="002A63B7" w:rsidP="004F2B55">
            <w:pPr>
              <w:rPr>
                <w:rFonts w:eastAsia="Times New Roman"/>
                <w:b/>
                <w:bCs/>
              </w:rPr>
            </w:pPr>
          </w:p>
          <w:p w14:paraId="20E6D017" w14:textId="77777777" w:rsidR="004F2B55" w:rsidRPr="00345678" w:rsidRDefault="004F2B55" w:rsidP="004F2B55">
            <w:pPr>
              <w:rPr>
                <w:rFonts w:eastAsia="Times New Roman"/>
                <w:b/>
                <w:bCs/>
              </w:rPr>
            </w:pPr>
            <w:r w:rsidRPr="00345678">
              <w:rPr>
                <w:rFonts w:eastAsia="Times New Roman"/>
                <w:b/>
                <w:bCs/>
              </w:rPr>
              <w:t>Independent Institutions</w:t>
            </w:r>
          </w:p>
        </w:tc>
      </w:tr>
      <w:tr w:rsidR="004F2B55" w:rsidRPr="00345678" w14:paraId="4FB29EFE" w14:textId="77777777" w:rsidTr="00086262">
        <w:tc>
          <w:tcPr>
            <w:tcW w:w="1271" w:type="dxa"/>
            <w:tcBorders>
              <w:top w:val="nil"/>
              <w:left w:val="nil"/>
              <w:bottom w:val="nil"/>
              <w:right w:val="nil"/>
            </w:tcBorders>
          </w:tcPr>
          <w:p w14:paraId="44E0E091" w14:textId="77777777" w:rsidR="004F2B55" w:rsidRPr="00345678" w:rsidRDefault="004F2B55" w:rsidP="004F2B55">
            <w:r w:rsidRPr="00345678">
              <w:t>ALSAI</w:t>
            </w:r>
          </w:p>
        </w:tc>
        <w:tc>
          <w:tcPr>
            <w:tcW w:w="7745" w:type="dxa"/>
            <w:tcBorders>
              <w:top w:val="nil"/>
              <w:left w:val="nil"/>
              <w:bottom w:val="nil"/>
              <w:right w:val="nil"/>
            </w:tcBorders>
            <w:vAlign w:val="center"/>
          </w:tcPr>
          <w:p w14:paraId="0213E130" w14:textId="77777777" w:rsidR="004F2B55" w:rsidRPr="00345678" w:rsidRDefault="004F2B55" w:rsidP="004F2B55">
            <w:pPr>
              <w:rPr>
                <w:rFonts w:eastAsia="Times New Roman"/>
              </w:rPr>
            </w:pPr>
            <w:r w:rsidRPr="00345678">
              <w:rPr>
                <w:rFonts w:eastAsia="Times New Roman"/>
              </w:rPr>
              <w:t>Albanian Supreme Audit Institution (independent institution, also referred to as High State Control)</w:t>
            </w:r>
          </w:p>
        </w:tc>
      </w:tr>
      <w:tr w:rsidR="004F2B55" w:rsidRPr="00345678" w14:paraId="611DF881" w14:textId="77777777" w:rsidTr="00086262">
        <w:tc>
          <w:tcPr>
            <w:tcW w:w="1271" w:type="dxa"/>
            <w:tcBorders>
              <w:top w:val="nil"/>
              <w:left w:val="nil"/>
              <w:bottom w:val="nil"/>
              <w:right w:val="nil"/>
            </w:tcBorders>
          </w:tcPr>
          <w:p w14:paraId="6E7FD1C7" w14:textId="77777777" w:rsidR="004F2B55" w:rsidRPr="00345678" w:rsidRDefault="004F2B55" w:rsidP="004F2B55">
            <w:r w:rsidRPr="00345678">
              <w:t>INSTAT</w:t>
            </w:r>
          </w:p>
        </w:tc>
        <w:tc>
          <w:tcPr>
            <w:tcW w:w="7745" w:type="dxa"/>
            <w:tcBorders>
              <w:top w:val="nil"/>
              <w:left w:val="nil"/>
              <w:bottom w:val="nil"/>
              <w:right w:val="nil"/>
            </w:tcBorders>
            <w:vAlign w:val="center"/>
          </w:tcPr>
          <w:p w14:paraId="389FAF89" w14:textId="77777777" w:rsidR="004F2B55" w:rsidRPr="00345678" w:rsidRDefault="004F2B55" w:rsidP="004F2B55">
            <w:pPr>
              <w:rPr>
                <w:rFonts w:eastAsia="Times New Roman"/>
              </w:rPr>
            </w:pPr>
            <w:r w:rsidRPr="00345678">
              <w:rPr>
                <w:rFonts w:eastAsia="Times New Roman"/>
              </w:rPr>
              <w:t>Institute of Statistics (independent institution)</w:t>
            </w:r>
          </w:p>
        </w:tc>
      </w:tr>
      <w:tr w:rsidR="004F2B55" w:rsidRPr="00345678" w14:paraId="3AF12D31" w14:textId="77777777" w:rsidTr="00086262">
        <w:tc>
          <w:tcPr>
            <w:tcW w:w="1271" w:type="dxa"/>
            <w:tcBorders>
              <w:top w:val="nil"/>
              <w:left w:val="nil"/>
              <w:bottom w:val="nil"/>
              <w:right w:val="nil"/>
            </w:tcBorders>
          </w:tcPr>
          <w:p w14:paraId="55D34F9E" w14:textId="5A218EAA" w:rsidR="004F2B55" w:rsidRPr="00345678" w:rsidRDefault="004F2B55" w:rsidP="004F2B55">
            <w:pPr>
              <w:rPr>
                <w:rFonts w:eastAsia="Times New Roman"/>
              </w:rPr>
            </w:pPr>
          </w:p>
        </w:tc>
        <w:tc>
          <w:tcPr>
            <w:tcW w:w="7745" w:type="dxa"/>
            <w:tcBorders>
              <w:top w:val="nil"/>
              <w:left w:val="nil"/>
              <w:bottom w:val="nil"/>
              <w:right w:val="nil"/>
            </w:tcBorders>
            <w:vAlign w:val="center"/>
          </w:tcPr>
          <w:p w14:paraId="26A249AD" w14:textId="5CC70542" w:rsidR="004F2B55" w:rsidRPr="00345678" w:rsidRDefault="004F2B55" w:rsidP="004F2B55">
            <w:pPr>
              <w:rPr>
                <w:rFonts w:eastAsia="Times New Roman"/>
              </w:rPr>
            </w:pPr>
          </w:p>
        </w:tc>
      </w:tr>
      <w:tr w:rsidR="004F2B55" w:rsidRPr="00345678" w14:paraId="63C1B383" w14:textId="77777777" w:rsidTr="00086262">
        <w:tc>
          <w:tcPr>
            <w:tcW w:w="1271" w:type="dxa"/>
            <w:tcBorders>
              <w:top w:val="nil"/>
              <w:left w:val="nil"/>
              <w:bottom w:val="nil"/>
              <w:right w:val="nil"/>
            </w:tcBorders>
          </w:tcPr>
          <w:p w14:paraId="515F853F" w14:textId="77777777" w:rsidR="004F2B55" w:rsidRPr="00345678" w:rsidRDefault="004F2B55" w:rsidP="004F2B55">
            <w:pPr>
              <w:rPr>
                <w:rFonts w:eastAsia="Times New Roman"/>
              </w:rPr>
            </w:pPr>
            <w:r w:rsidRPr="00345678">
              <w:rPr>
                <w:rFonts w:eastAsia="Times New Roman"/>
              </w:rPr>
              <w:t>PPC</w:t>
            </w:r>
          </w:p>
        </w:tc>
        <w:tc>
          <w:tcPr>
            <w:tcW w:w="7745" w:type="dxa"/>
            <w:tcBorders>
              <w:top w:val="nil"/>
              <w:left w:val="nil"/>
              <w:bottom w:val="nil"/>
              <w:right w:val="nil"/>
            </w:tcBorders>
            <w:vAlign w:val="center"/>
          </w:tcPr>
          <w:p w14:paraId="5887908F" w14:textId="77777777" w:rsidR="004F2B55" w:rsidRPr="00345678" w:rsidRDefault="004F2B55" w:rsidP="004F2B55">
            <w:pPr>
              <w:rPr>
                <w:rFonts w:eastAsia="Times New Roman"/>
              </w:rPr>
            </w:pPr>
            <w:r w:rsidRPr="00345678">
              <w:rPr>
                <w:rFonts w:eastAsia="Times New Roman"/>
              </w:rPr>
              <w:t>Public Procurement Commission (independent institution)</w:t>
            </w:r>
          </w:p>
        </w:tc>
      </w:tr>
      <w:tr w:rsidR="004F2B55" w:rsidRPr="00345678" w14:paraId="5F54ED91" w14:textId="77777777" w:rsidTr="00086262">
        <w:tc>
          <w:tcPr>
            <w:tcW w:w="9016" w:type="dxa"/>
            <w:gridSpan w:val="2"/>
            <w:tcBorders>
              <w:top w:val="nil"/>
              <w:left w:val="nil"/>
              <w:bottom w:val="nil"/>
              <w:right w:val="nil"/>
            </w:tcBorders>
          </w:tcPr>
          <w:p w14:paraId="19108235" w14:textId="77777777" w:rsidR="004F2B55" w:rsidRPr="00345678" w:rsidRDefault="004F2B55" w:rsidP="004F2B55">
            <w:pPr>
              <w:rPr>
                <w:rFonts w:eastAsia="Times New Roman"/>
                <w:b/>
                <w:bCs/>
              </w:rPr>
            </w:pPr>
          </w:p>
          <w:p w14:paraId="295FE806" w14:textId="77777777" w:rsidR="004F2B55" w:rsidRPr="00345678" w:rsidRDefault="004F2B55" w:rsidP="004F2B55">
            <w:pPr>
              <w:rPr>
                <w:rFonts w:eastAsia="Times New Roman"/>
                <w:b/>
                <w:bCs/>
              </w:rPr>
            </w:pPr>
            <w:r w:rsidRPr="00345678">
              <w:rPr>
                <w:rFonts w:eastAsia="Times New Roman"/>
                <w:b/>
                <w:bCs/>
              </w:rPr>
              <w:t>Parliament</w:t>
            </w:r>
          </w:p>
        </w:tc>
      </w:tr>
      <w:tr w:rsidR="004F2B55" w:rsidRPr="00345678" w14:paraId="6CFEB41E" w14:textId="77777777" w:rsidTr="00086262">
        <w:tc>
          <w:tcPr>
            <w:tcW w:w="1271" w:type="dxa"/>
            <w:tcBorders>
              <w:top w:val="nil"/>
              <w:left w:val="nil"/>
              <w:bottom w:val="nil"/>
              <w:right w:val="nil"/>
            </w:tcBorders>
          </w:tcPr>
          <w:p w14:paraId="582AC724" w14:textId="77777777" w:rsidR="004F2B55" w:rsidRPr="00345678" w:rsidRDefault="004F2B55" w:rsidP="004F2B55">
            <w:pPr>
              <w:rPr>
                <w:rFonts w:ascii="Calibri" w:eastAsia="Times New Roman" w:hAnsi="Calibri" w:cs="Calibri"/>
              </w:rPr>
            </w:pPr>
            <w:r w:rsidRPr="00345678">
              <w:rPr>
                <w:rFonts w:eastAsia="Times New Roman"/>
              </w:rPr>
              <w:t>PCEF</w:t>
            </w:r>
          </w:p>
        </w:tc>
        <w:tc>
          <w:tcPr>
            <w:tcW w:w="7745" w:type="dxa"/>
            <w:tcBorders>
              <w:top w:val="nil"/>
              <w:left w:val="nil"/>
              <w:bottom w:val="nil"/>
              <w:right w:val="nil"/>
            </w:tcBorders>
            <w:vAlign w:val="center"/>
          </w:tcPr>
          <w:p w14:paraId="7C268664" w14:textId="77777777" w:rsidR="004F2B55" w:rsidRPr="00345678" w:rsidRDefault="004F2B55" w:rsidP="004F2B55">
            <w:pPr>
              <w:rPr>
                <w:rFonts w:eastAsia="Times New Roman"/>
              </w:rPr>
            </w:pPr>
            <w:r w:rsidRPr="00345678">
              <w:rPr>
                <w:rFonts w:eastAsia="Times New Roman"/>
              </w:rPr>
              <w:t xml:space="preserve">Parliamentary Committee for Finance and Economy </w:t>
            </w:r>
          </w:p>
        </w:tc>
      </w:tr>
      <w:tr w:rsidR="004F2B55" w:rsidRPr="00345678" w14:paraId="6EEA33F9" w14:textId="77777777" w:rsidTr="00086262">
        <w:tc>
          <w:tcPr>
            <w:tcW w:w="9016" w:type="dxa"/>
            <w:gridSpan w:val="2"/>
            <w:tcBorders>
              <w:top w:val="nil"/>
              <w:left w:val="nil"/>
              <w:bottom w:val="nil"/>
              <w:right w:val="nil"/>
            </w:tcBorders>
          </w:tcPr>
          <w:p w14:paraId="0250E49A" w14:textId="77777777" w:rsidR="004F2B55" w:rsidRPr="00345678" w:rsidRDefault="004F2B55" w:rsidP="004F2B55">
            <w:pPr>
              <w:rPr>
                <w:rFonts w:eastAsia="Times New Roman"/>
                <w:b/>
                <w:bCs/>
              </w:rPr>
            </w:pPr>
          </w:p>
          <w:p w14:paraId="745EAB9A" w14:textId="77777777" w:rsidR="004F2B55" w:rsidRPr="00345678" w:rsidRDefault="004F2B55" w:rsidP="004F2B55">
            <w:pPr>
              <w:rPr>
                <w:rFonts w:eastAsia="Times New Roman"/>
                <w:b/>
                <w:bCs/>
              </w:rPr>
            </w:pPr>
            <w:r w:rsidRPr="00345678">
              <w:rPr>
                <w:rFonts w:eastAsia="Times New Roman"/>
                <w:b/>
                <w:bCs/>
              </w:rPr>
              <w:t>Other central government institutions</w:t>
            </w:r>
          </w:p>
        </w:tc>
      </w:tr>
      <w:tr w:rsidR="004F2B55" w:rsidRPr="00345678" w14:paraId="3A09A3C5" w14:textId="77777777" w:rsidTr="00086262">
        <w:tc>
          <w:tcPr>
            <w:tcW w:w="1271" w:type="dxa"/>
            <w:tcBorders>
              <w:top w:val="nil"/>
              <w:left w:val="nil"/>
              <w:bottom w:val="nil"/>
              <w:right w:val="nil"/>
            </w:tcBorders>
          </w:tcPr>
          <w:p w14:paraId="29D8C022" w14:textId="77777777" w:rsidR="004F2B55" w:rsidRPr="00345678" w:rsidRDefault="004F2B55" w:rsidP="004F2B55">
            <w:pPr>
              <w:rPr>
                <w:rFonts w:eastAsia="Times New Roman"/>
              </w:rPr>
            </w:pPr>
            <w:r w:rsidRPr="00345678">
              <w:rPr>
                <w:rFonts w:eastAsia="Times New Roman"/>
              </w:rPr>
              <w:t>BI</w:t>
            </w:r>
          </w:p>
        </w:tc>
        <w:tc>
          <w:tcPr>
            <w:tcW w:w="7745" w:type="dxa"/>
            <w:tcBorders>
              <w:top w:val="nil"/>
              <w:left w:val="nil"/>
              <w:bottom w:val="nil"/>
              <w:right w:val="nil"/>
            </w:tcBorders>
            <w:vAlign w:val="center"/>
          </w:tcPr>
          <w:p w14:paraId="7B4FA8BF" w14:textId="77777777" w:rsidR="004F2B55" w:rsidRPr="00345678" w:rsidRDefault="004F2B55" w:rsidP="004F2B55">
            <w:pPr>
              <w:rPr>
                <w:rFonts w:eastAsia="Times New Roman"/>
              </w:rPr>
            </w:pPr>
            <w:r w:rsidRPr="00345678">
              <w:rPr>
                <w:rFonts w:eastAsia="Times New Roman"/>
              </w:rPr>
              <w:t>Budget Institutions</w:t>
            </w:r>
          </w:p>
        </w:tc>
      </w:tr>
      <w:tr w:rsidR="004F2B55" w:rsidRPr="00345678" w14:paraId="108C7F36" w14:textId="77777777" w:rsidTr="00086262">
        <w:tc>
          <w:tcPr>
            <w:tcW w:w="9016" w:type="dxa"/>
            <w:gridSpan w:val="2"/>
            <w:tcBorders>
              <w:top w:val="nil"/>
              <w:left w:val="nil"/>
              <w:bottom w:val="nil"/>
              <w:right w:val="nil"/>
            </w:tcBorders>
          </w:tcPr>
          <w:p w14:paraId="1EDC8420" w14:textId="77777777" w:rsidR="004F2B55" w:rsidRPr="00345678" w:rsidRDefault="004F2B55" w:rsidP="004F2B55">
            <w:pPr>
              <w:rPr>
                <w:rFonts w:eastAsia="Times New Roman"/>
                <w:b/>
                <w:bCs/>
              </w:rPr>
            </w:pPr>
          </w:p>
          <w:p w14:paraId="0CC58503" w14:textId="77777777" w:rsidR="004F2B55" w:rsidRPr="00345678" w:rsidRDefault="004F2B55" w:rsidP="004F2B55">
            <w:pPr>
              <w:rPr>
                <w:rFonts w:eastAsia="Times New Roman"/>
                <w:b/>
                <w:bCs/>
              </w:rPr>
            </w:pPr>
            <w:r w:rsidRPr="00345678">
              <w:rPr>
                <w:rFonts w:eastAsia="Times New Roman"/>
                <w:b/>
                <w:bCs/>
              </w:rPr>
              <w:t>Local Government</w:t>
            </w:r>
          </w:p>
        </w:tc>
      </w:tr>
      <w:tr w:rsidR="004F2B55" w:rsidRPr="00345678" w14:paraId="0F3FCE31" w14:textId="77777777" w:rsidTr="00086262">
        <w:tc>
          <w:tcPr>
            <w:tcW w:w="1271" w:type="dxa"/>
            <w:tcBorders>
              <w:top w:val="nil"/>
              <w:left w:val="nil"/>
              <w:bottom w:val="nil"/>
              <w:right w:val="nil"/>
            </w:tcBorders>
          </w:tcPr>
          <w:p w14:paraId="78F8FA27" w14:textId="77777777" w:rsidR="004F2B55" w:rsidRPr="00345678" w:rsidRDefault="004F2B55" w:rsidP="004F2B55">
            <w:pPr>
              <w:rPr>
                <w:rFonts w:eastAsia="Times New Roman"/>
              </w:rPr>
            </w:pPr>
            <w:r w:rsidRPr="00345678">
              <w:rPr>
                <w:rFonts w:eastAsia="Times New Roman"/>
              </w:rPr>
              <w:t>LGU</w:t>
            </w:r>
          </w:p>
        </w:tc>
        <w:tc>
          <w:tcPr>
            <w:tcW w:w="7745" w:type="dxa"/>
            <w:tcBorders>
              <w:top w:val="nil"/>
              <w:left w:val="nil"/>
              <w:bottom w:val="nil"/>
              <w:right w:val="nil"/>
            </w:tcBorders>
            <w:vAlign w:val="center"/>
          </w:tcPr>
          <w:p w14:paraId="02A1AB93" w14:textId="77777777" w:rsidR="004F2B55" w:rsidRPr="00345678" w:rsidRDefault="004F2B55" w:rsidP="004F2B55">
            <w:pPr>
              <w:rPr>
                <w:rFonts w:eastAsia="Times New Roman"/>
              </w:rPr>
            </w:pPr>
            <w:r w:rsidRPr="00345678">
              <w:rPr>
                <w:rFonts w:eastAsia="Times New Roman"/>
              </w:rPr>
              <w:t>Local Self-Government Units (Municipalities)</w:t>
            </w:r>
          </w:p>
        </w:tc>
      </w:tr>
      <w:tr w:rsidR="004F2B55" w:rsidRPr="00345678" w14:paraId="2608DDA9" w14:textId="77777777" w:rsidTr="00086262">
        <w:tc>
          <w:tcPr>
            <w:tcW w:w="9016" w:type="dxa"/>
            <w:gridSpan w:val="2"/>
            <w:tcBorders>
              <w:top w:val="nil"/>
              <w:left w:val="nil"/>
              <w:bottom w:val="nil"/>
              <w:right w:val="nil"/>
            </w:tcBorders>
          </w:tcPr>
          <w:p w14:paraId="1DD5F297" w14:textId="77777777" w:rsidR="004F2B55" w:rsidRPr="00345678" w:rsidRDefault="004F2B55" w:rsidP="004F2B55">
            <w:pPr>
              <w:rPr>
                <w:rFonts w:eastAsia="Times New Roman"/>
                <w:b/>
                <w:bCs/>
              </w:rPr>
            </w:pPr>
          </w:p>
          <w:p w14:paraId="33C84B98" w14:textId="77777777" w:rsidR="004F2B55" w:rsidRPr="00345678" w:rsidRDefault="004F2B55" w:rsidP="004F2B55">
            <w:pPr>
              <w:rPr>
                <w:rFonts w:eastAsia="Times New Roman"/>
                <w:b/>
                <w:bCs/>
              </w:rPr>
            </w:pPr>
            <w:r w:rsidRPr="00345678">
              <w:rPr>
                <w:rFonts w:eastAsia="Times New Roman"/>
                <w:b/>
                <w:bCs/>
              </w:rPr>
              <w:t>Development Partners</w:t>
            </w:r>
          </w:p>
        </w:tc>
      </w:tr>
      <w:tr w:rsidR="004F2B55" w:rsidRPr="00345678" w14:paraId="7A384D67" w14:textId="77777777" w:rsidTr="00086262">
        <w:tc>
          <w:tcPr>
            <w:tcW w:w="1271" w:type="dxa"/>
            <w:tcBorders>
              <w:top w:val="nil"/>
              <w:left w:val="nil"/>
              <w:bottom w:val="nil"/>
              <w:right w:val="nil"/>
            </w:tcBorders>
          </w:tcPr>
          <w:p w14:paraId="3D2C7543" w14:textId="77777777" w:rsidR="004F2B55" w:rsidRPr="00345678" w:rsidRDefault="004F2B55" w:rsidP="004F2B55">
            <w:pPr>
              <w:rPr>
                <w:rFonts w:eastAsia="Times New Roman"/>
              </w:rPr>
            </w:pPr>
            <w:r w:rsidRPr="00345678">
              <w:rPr>
                <w:rFonts w:eastAsia="Times New Roman"/>
              </w:rPr>
              <w:t>EU</w:t>
            </w:r>
          </w:p>
        </w:tc>
        <w:tc>
          <w:tcPr>
            <w:tcW w:w="7745" w:type="dxa"/>
            <w:tcBorders>
              <w:top w:val="nil"/>
              <w:left w:val="nil"/>
              <w:bottom w:val="nil"/>
              <w:right w:val="nil"/>
            </w:tcBorders>
            <w:vAlign w:val="center"/>
          </w:tcPr>
          <w:p w14:paraId="6D9B4F26" w14:textId="77777777" w:rsidR="004F2B55" w:rsidRPr="00345678" w:rsidRDefault="004F2B55" w:rsidP="004F2B55">
            <w:pPr>
              <w:rPr>
                <w:rFonts w:eastAsia="Times New Roman"/>
              </w:rPr>
            </w:pPr>
            <w:r w:rsidRPr="00345678">
              <w:rPr>
                <w:rFonts w:eastAsia="Times New Roman"/>
              </w:rPr>
              <w:t>European Union</w:t>
            </w:r>
          </w:p>
        </w:tc>
      </w:tr>
      <w:tr w:rsidR="004F2B55" w:rsidRPr="00345678" w14:paraId="11F2F4A4" w14:textId="77777777" w:rsidTr="00086262">
        <w:tc>
          <w:tcPr>
            <w:tcW w:w="1271" w:type="dxa"/>
            <w:tcBorders>
              <w:top w:val="nil"/>
              <w:left w:val="nil"/>
              <w:bottom w:val="nil"/>
              <w:right w:val="nil"/>
            </w:tcBorders>
          </w:tcPr>
          <w:p w14:paraId="5CFE5822" w14:textId="77777777" w:rsidR="004F2B55" w:rsidRPr="00345678" w:rsidRDefault="004F2B55" w:rsidP="004F2B55">
            <w:pPr>
              <w:rPr>
                <w:rFonts w:eastAsia="Times New Roman"/>
              </w:rPr>
            </w:pPr>
            <w:r w:rsidRPr="00345678">
              <w:rPr>
                <w:rFonts w:eastAsia="Times New Roman"/>
              </w:rPr>
              <w:t>IMF</w:t>
            </w:r>
          </w:p>
        </w:tc>
        <w:tc>
          <w:tcPr>
            <w:tcW w:w="7745" w:type="dxa"/>
            <w:tcBorders>
              <w:top w:val="nil"/>
              <w:left w:val="nil"/>
              <w:bottom w:val="nil"/>
              <w:right w:val="nil"/>
            </w:tcBorders>
            <w:vAlign w:val="center"/>
          </w:tcPr>
          <w:p w14:paraId="248809F6" w14:textId="77777777" w:rsidR="004F2B55" w:rsidRPr="00345678" w:rsidRDefault="004F2B55" w:rsidP="004F2B55">
            <w:pPr>
              <w:rPr>
                <w:rFonts w:eastAsia="Times New Roman"/>
              </w:rPr>
            </w:pPr>
            <w:r w:rsidRPr="00345678">
              <w:rPr>
                <w:rFonts w:eastAsia="Times New Roman"/>
              </w:rPr>
              <w:t>International Monetary Fund</w:t>
            </w:r>
          </w:p>
        </w:tc>
      </w:tr>
      <w:tr w:rsidR="004F2B55" w:rsidRPr="00345678" w14:paraId="1388EC29" w14:textId="77777777" w:rsidTr="00086262">
        <w:tc>
          <w:tcPr>
            <w:tcW w:w="1271" w:type="dxa"/>
            <w:tcBorders>
              <w:top w:val="nil"/>
              <w:left w:val="nil"/>
              <w:bottom w:val="nil"/>
              <w:right w:val="nil"/>
            </w:tcBorders>
          </w:tcPr>
          <w:p w14:paraId="309FFBFD" w14:textId="77777777" w:rsidR="004F2B55" w:rsidRPr="00345678" w:rsidRDefault="004F2B55" w:rsidP="004F2B55">
            <w:pPr>
              <w:rPr>
                <w:rFonts w:eastAsia="Times New Roman"/>
              </w:rPr>
            </w:pPr>
            <w:r w:rsidRPr="00345678">
              <w:rPr>
                <w:rFonts w:eastAsia="Times New Roman"/>
              </w:rPr>
              <w:t>SECO</w:t>
            </w:r>
          </w:p>
        </w:tc>
        <w:tc>
          <w:tcPr>
            <w:tcW w:w="7745" w:type="dxa"/>
            <w:tcBorders>
              <w:top w:val="nil"/>
              <w:left w:val="nil"/>
              <w:bottom w:val="nil"/>
              <w:right w:val="nil"/>
            </w:tcBorders>
            <w:vAlign w:val="center"/>
          </w:tcPr>
          <w:p w14:paraId="0492EC89" w14:textId="77777777" w:rsidR="004F2B55" w:rsidRPr="00345678" w:rsidRDefault="004F2B55" w:rsidP="004F2B55">
            <w:pPr>
              <w:rPr>
                <w:rFonts w:eastAsia="Times New Roman"/>
              </w:rPr>
            </w:pPr>
            <w:r w:rsidRPr="00345678">
              <w:rPr>
                <w:rFonts w:eastAsia="Times New Roman"/>
              </w:rPr>
              <w:t>State Secretariat for Economic Affairs (Switzerland)</w:t>
            </w:r>
          </w:p>
        </w:tc>
      </w:tr>
      <w:tr w:rsidR="004F2B55" w:rsidRPr="00345678" w14:paraId="0DD1E9D3" w14:textId="77777777" w:rsidTr="00086262">
        <w:tc>
          <w:tcPr>
            <w:tcW w:w="1271" w:type="dxa"/>
            <w:tcBorders>
              <w:top w:val="nil"/>
              <w:left w:val="nil"/>
              <w:bottom w:val="nil"/>
              <w:right w:val="nil"/>
            </w:tcBorders>
          </w:tcPr>
          <w:p w14:paraId="06D890B4" w14:textId="77777777" w:rsidR="004F2B55" w:rsidRPr="00345678" w:rsidRDefault="004F2B55" w:rsidP="004F2B55">
            <w:pPr>
              <w:rPr>
                <w:rFonts w:eastAsia="Times New Roman"/>
              </w:rPr>
            </w:pPr>
            <w:r w:rsidRPr="00345678">
              <w:rPr>
                <w:rFonts w:eastAsia="Times New Roman"/>
              </w:rPr>
              <w:t>SIGMA</w:t>
            </w:r>
          </w:p>
        </w:tc>
        <w:tc>
          <w:tcPr>
            <w:tcW w:w="7745" w:type="dxa"/>
            <w:tcBorders>
              <w:top w:val="nil"/>
              <w:left w:val="nil"/>
              <w:bottom w:val="nil"/>
              <w:right w:val="nil"/>
            </w:tcBorders>
            <w:vAlign w:val="center"/>
          </w:tcPr>
          <w:p w14:paraId="3D33F885" w14:textId="77777777" w:rsidR="004F2B55" w:rsidRPr="00345678" w:rsidRDefault="004F2B55" w:rsidP="004F2B55">
            <w:pPr>
              <w:rPr>
                <w:rFonts w:eastAsia="Times New Roman"/>
                <w:color w:val="111111"/>
                <w:sz w:val="29"/>
                <w:szCs w:val="29"/>
              </w:rPr>
            </w:pPr>
            <w:r w:rsidRPr="00345678">
              <w:rPr>
                <w:rFonts w:eastAsia="Times New Roman"/>
              </w:rPr>
              <w:t>Support for Improvement in Governance and Management (OECD - EU)</w:t>
            </w:r>
          </w:p>
        </w:tc>
      </w:tr>
      <w:tr w:rsidR="004F2B55" w:rsidRPr="001F151E" w14:paraId="5CD24689" w14:textId="77777777" w:rsidTr="00086262">
        <w:tc>
          <w:tcPr>
            <w:tcW w:w="1271" w:type="dxa"/>
            <w:tcBorders>
              <w:top w:val="nil"/>
              <w:left w:val="nil"/>
              <w:bottom w:val="nil"/>
              <w:right w:val="nil"/>
            </w:tcBorders>
          </w:tcPr>
          <w:p w14:paraId="4903FF85" w14:textId="77777777" w:rsidR="004F2B55" w:rsidRPr="00345678" w:rsidRDefault="004F2B55" w:rsidP="004F2B55">
            <w:pPr>
              <w:rPr>
                <w:rFonts w:eastAsia="Times New Roman"/>
              </w:rPr>
            </w:pPr>
            <w:r w:rsidRPr="00345678">
              <w:rPr>
                <w:rFonts w:eastAsia="Times New Roman"/>
              </w:rPr>
              <w:t>WB</w:t>
            </w:r>
          </w:p>
        </w:tc>
        <w:tc>
          <w:tcPr>
            <w:tcW w:w="7745" w:type="dxa"/>
            <w:tcBorders>
              <w:top w:val="nil"/>
              <w:left w:val="nil"/>
              <w:bottom w:val="nil"/>
              <w:right w:val="nil"/>
            </w:tcBorders>
            <w:vAlign w:val="center"/>
          </w:tcPr>
          <w:p w14:paraId="396E702D" w14:textId="77777777" w:rsidR="004F2B55" w:rsidRPr="001F151E" w:rsidRDefault="004F2B55" w:rsidP="004F2B55">
            <w:pPr>
              <w:rPr>
                <w:rFonts w:eastAsia="Times New Roman"/>
              </w:rPr>
            </w:pPr>
            <w:r w:rsidRPr="00345678">
              <w:rPr>
                <w:rFonts w:eastAsia="Times New Roman"/>
              </w:rPr>
              <w:t>World Bank</w:t>
            </w:r>
          </w:p>
        </w:tc>
      </w:tr>
      <w:tr w:rsidR="002A63B7" w:rsidRPr="001F151E" w14:paraId="72B1260D" w14:textId="77777777" w:rsidTr="00086262">
        <w:tc>
          <w:tcPr>
            <w:tcW w:w="1271" w:type="dxa"/>
            <w:tcBorders>
              <w:top w:val="nil"/>
              <w:left w:val="nil"/>
              <w:bottom w:val="nil"/>
              <w:right w:val="nil"/>
            </w:tcBorders>
          </w:tcPr>
          <w:p w14:paraId="082720DD" w14:textId="54BB17C8" w:rsidR="002A63B7" w:rsidRPr="00345678" w:rsidRDefault="002A63B7" w:rsidP="004F2B55">
            <w:pPr>
              <w:rPr>
                <w:rFonts w:eastAsia="Times New Roman"/>
              </w:rPr>
            </w:pPr>
            <w:r>
              <w:rPr>
                <w:rFonts w:eastAsia="Times New Roman"/>
              </w:rPr>
              <w:t xml:space="preserve">UN </w:t>
            </w:r>
          </w:p>
        </w:tc>
        <w:tc>
          <w:tcPr>
            <w:tcW w:w="7745" w:type="dxa"/>
            <w:tcBorders>
              <w:top w:val="nil"/>
              <w:left w:val="nil"/>
              <w:bottom w:val="nil"/>
              <w:right w:val="nil"/>
            </w:tcBorders>
            <w:vAlign w:val="center"/>
          </w:tcPr>
          <w:p w14:paraId="60247BE0" w14:textId="2DCCE006" w:rsidR="002A63B7" w:rsidRPr="00345678" w:rsidRDefault="002A63B7" w:rsidP="004F2B55">
            <w:pPr>
              <w:rPr>
                <w:rFonts w:eastAsia="Times New Roman"/>
              </w:rPr>
            </w:pPr>
            <w:r>
              <w:rPr>
                <w:rFonts w:eastAsia="Times New Roman"/>
              </w:rPr>
              <w:t>United Nations</w:t>
            </w:r>
          </w:p>
        </w:tc>
      </w:tr>
    </w:tbl>
    <w:p w14:paraId="09E8EDF5" w14:textId="77777777" w:rsidR="00345678" w:rsidRPr="001F151E" w:rsidRDefault="00345678" w:rsidP="00345678">
      <w:pPr>
        <w:rPr>
          <w:lang w:val="en-GB"/>
        </w:rPr>
      </w:pPr>
    </w:p>
    <w:p w14:paraId="47FD90F7" w14:textId="77777777" w:rsidR="00345678" w:rsidRPr="001F151E" w:rsidRDefault="00345678" w:rsidP="00345678">
      <w:pPr>
        <w:rPr>
          <w:lang w:val="en-GB"/>
        </w:rPr>
      </w:pPr>
    </w:p>
    <w:p w14:paraId="2235A70F" w14:textId="1F142976" w:rsidR="00127706" w:rsidRPr="001F151E" w:rsidRDefault="00127706" w:rsidP="0065520B">
      <w:pPr>
        <w:rPr>
          <w:lang w:val="en-GB"/>
        </w:rPr>
      </w:pPr>
    </w:p>
    <w:p w14:paraId="638758A6" w14:textId="77777777" w:rsidR="00127706" w:rsidRPr="001F151E" w:rsidRDefault="00127706">
      <w:pPr>
        <w:spacing w:after="160" w:line="259" w:lineRule="auto"/>
        <w:rPr>
          <w:lang w:val="en-GB"/>
        </w:rPr>
      </w:pPr>
      <w:r w:rsidRPr="001F151E">
        <w:rPr>
          <w:lang w:val="en-GB"/>
        </w:rPr>
        <w:br w:type="page"/>
      </w:r>
    </w:p>
    <w:p w14:paraId="124C959B" w14:textId="258DB165" w:rsidR="004C6003" w:rsidRPr="001F151E" w:rsidRDefault="00127706" w:rsidP="00F22823">
      <w:pPr>
        <w:pStyle w:val="Heading1"/>
        <w:numPr>
          <w:ilvl w:val="0"/>
          <w:numId w:val="0"/>
        </w:numPr>
        <w:rPr>
          <w:lang w:val="en-GB"/>
        </w:rPr>
      </w:pPr>
      <w:bookmarkStart w:id="87" w:name="_Toc163148047"/>
      <w:r w:rsidRPr="001F151E">
        <w:rPr>
          <w:lang w:val="en-GB"/>
        </w:rPr>
        <w:t xml:space="preserve">Annex 2 Overview of ongoing and planned support </w:t>
      </w:r>
      <w:r w:rsidR="00ED6F03" w:rsidRPr="001F151E">
        <w:rPr>
          <w:lang w:val="en-GB"/>
        </w:rPr>
        <w:t>from</w:t>
      </w:r>
      <w:r w:rsidR="00F22823">
        <w:rPr>
          <w:lang w:val="en-GB"/>
        </w:rPr>
        <w:t xml:space="preserve"> development </w:t>
      </w:r>
      <w:r w:rsidRPr="001F151E">
        <w:rPr>
          <w:lang w:val="en-GB"/>
        </w:rPr>
        <w:t>partners</w:t>
      </w:r>
      <w:bookmarkEnd w:id="87"/>
      <w:r w:rsidR="00ED6F03" w:rsidRPr="001F151E">
        <w:rPr>
          <w:lang w:val="en-GB"/>
        </w:rPr>
        <w:t xml:space="preserve"> </w:t>
      </w:r>
    </w:p>
    <w:p w14:paraId="463B017E" w14:textId="77777777" w:rsidR="00127706" w:rsidRPr="001F151E" w:rsidRDefault="00127706" w:rsidP="00127706">
      <w:pPr>
        <w:rPr>
          <w:lang w:val="en-GB"/>
        </w:rPr>
      </w:pPr>
    </w:p>
    <w:p w14:paraId="1FB1A2DF" w14:textId="77777777" w:rsidR="00127706" w:rsidRPr="001F151E" w:rsidRDefault="00127706" w:rsidP="00127706">
      <w:pPr>
        <w:rPr>
          <w:lang w:val="en-GB"/>
        </w:rPr>
      </w:pPr>
    </w:p>
    <w:p w14:paraId="319A8A29" w14:textId="77777777" w:rsidR="00127706" w:rsidRPr="001F151E" w:rsidRDefault="00127706" w:rsidP="00127706">
      <w:pPr>
        <w:rPr>
          <w:lang w:val="en-GB"/>
        </w:rPr>
      </w:pPr>
    </w:p>
    <w:tbl>
      <w:tblPr>
        <w:tblStyle w:val="TableGrid"/>
        <w:tblW w:w="0" w:type="auto"/>
        <w:tblBorders>
          <w:left w:val="none" w:sz="0" w:space="0" w:color="auto"/>
          <w:right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2547"/>
        <w:gridCol w:w="6469"/>
      </w:tblGrid>
      <w:tr w:rsidR="00127706" w:rsidRPr="001F151E" w14:paraId="7A259259" w14:textId="77777777" w:rsidTr="007E497D">
        <w:tc>
          <w:tcPr>
            <w:tcW w:w="2547" w:type="dxa"/>
          </w:tcPr>
          <w:p w14:paraId="2249E4B5" w14:textId="1A9010B6" w:rsidR="00127706" w:rsidRPr="001F151E" w:rsidRDefault="00127706" w:rsidP="00B45892">
            <w:pPr>
              <w:pStyle w:val="T-number"/>
              <w:numPr>
                <w:ilvl w:val="0"/>
                <w:numId w:val="35"/>
              </w:numPr>
            </w:pPr>
            <w:r w:rsidRPr="001F151E">
              <w:t>PEFA National Level</w:t>
            </w:r>
          </w:p>
        </w:tc>
        <w:tc>
          <w:tcPr>
            <w:tcW w:w="6469" w:type="dxa"/>
          </w:tcPr>
          <w:p w14:paraId="644802A6" w14:textId="77777777" w:rsidR="00E86FBB" w:rsidRPr="001F151E" w:rsidRDefault="00E86FBB" w:rsidP="00722888">
            <w:pPr>
              <w:pStyle w:val="T-normal"/>
            </w:pPr>
            <w:r w:rsidRPr="001F151E">
              <w:t xml:space="preserve">Partner: </w:t>
            </w:r>
            <w:r w:rsidR="00127706" w:rsidRPr="001F151E">
              <w:t xml:space="preserve">EU, </w:t>
            </w:r>
          </w:p>
          <w:p w14:paraId="07D7BACA" w14:textId="7B927444" w:rsidR="00127706" w:rsidRPr="001F151E" w:rsidRDefault="00E86FBB" w:rsidP="00722888">
            <w:pPr>
              <w:pStyle w:val="T-normal"/>
            </w:pPr>
            <w:r w:rsidRPr="001F151E">
              <w:t>I</w:t>
            </w:r>
            <w:r w:rsidR="00127706" w:rsidRPr="001F151E">
              <w:t>mplementation</w:t>
            </w:r>
            <w:r w:rsidRPr="001F151E">
              <w:t xml:space="preserve"> period: </w:t>
            </w:r>
            <w:r w:rsidR="00127706" w:rsidRPr="001F151E">
              <w:t>2024</w:t>
            </w:r>
            <w:r w:rsidRPr="001F151E">
              <w:t xml:space="preserve"> (planned)</w:t>
            </w:r>
          </w:p>
        </w:tc>
      </w:tr>
      <w:tr w:rsidR="00127706" w:rsidRPr="001F151E" w14:paraId="1A8DE5EB" w14:textId="77777777" w:rsidTr="007E497D">
        <w:tc>
          <w:tcPr>
            <w:tcW w:w="2547" w:type="dxa"/>
          </w:tcPr>
          <w:p w14:paraId="0E6C5EAA" w14:textId="7CCB980B" w:rsidR="00127706" w:rsidRPr="001F151E" w:rsidRDefault="00127706" w:rsidP="00B45892">
            <w:pPr>
              <w:pStyle w:val="T-number"/>
              <w:numPr>
                <w:ilvl w:val="0"/>
                <w:numId w:val="97"/>
              </w:numPr>
            </w:pPr>
            <w:r w:rsidRPr="001F151E">
              <w:t>Subnational PEFA in five municipalities</w:t>
            </w:r>
          </w:p>
        </w:tc>
        <w:tc>
          <w:tcPr>
            <w:tcW w:w="6469" w:type="dxa"/>
          </w:tcPr>
          <w:p w14:paraId="40BE64B9" w14:textId="77777777" w:rsidR="00E86FBB" w:rsidRPr="001F151E" w:rsidRDefault="00E86FBB" w:rsidP="00722888">
            <w:pPr>
              <w:pStyle w:val="T-normal"/>
            </w:pPr>
            <w:r w:rsidRPr="001F151E">
              <w:t xml:space="preserve">Partner: </w:t>
            </w:r>
            <w:r w:rsidR="00127706" w:rsidRPr="001F151E">
              <w:t>SECO</w:t>
            </w:r>
          </w:p>
          <w:p w14:paraId="6E785CD2" w14:textId="53510025" w:rsidR="00127706" w:rsidRPr="001F151E" w:rsidRDefault="00E86FBB" w:rsidP="00722888">
            <w:pPr>
              <w:pStyle w:val="T-normal"/>
            </w:pPr>
            <w:r w:rsidRPr="001F151E">
              <w:t>I</w:t>
            </w:r>
            <w:r w:rsidR="00127706" w:rsidRPr="001F151E">
              <w:t>mplementation</w:t>
            </w:r>
            <w:r w:rsidRPr="001F151E">
              <w:t xml:space="preserve"> period: </w:t>
            </w:r>
            <w:r w:rsidR="00127706" w:rsidRPr="001F151E">
              <w:t>2024</w:t>
            </w:r>
            <w:r w:rsidRPr="001F151E">
              <w:t xml:space="preserve"> (planned)</w:t>
            </w:r>
          </w:p>
        </w:tc>
      </w:tr>
      <w:tr w:rsidR="00127706" w:rsidRPr="001F151E" w14:paraId="0C85E9B3" w14:textId="77777777" w:rsidTr="007E497D">
        <w:tc>
          <w:tcPr>
            <w:tcW w:w="2547" w:type="dxa"/>
          </w:tcPr>
          <w:p w14:paraId="50BA2523" w14:textId="49CFB54D" w:rsidR="00127706" w:rsidRPr="001F151E" w:rsidRDefault="00E86FBB" w:rsidP="00B45892">
            <w:pPr>
              <w:pStyle w:val="T-number"/>
              <w:numPr>
                <w:ilvl w:val="0"/>
                <w:numId w:val="97"/>
              </w:numPr>
            </w:pPr>
            <w:r w:rsidRPr="001F151E">
              <w:t xml:space="preserve">SIGMA </w:t>
            </w:r>
            <w:r w:rsidR="00ED6F03" w:rsidRPr="001F151E">
              <w:t>Principles of Public Administration Assessment</w:t>
            </w:r>
          </w:p>
        </w:tc>
        <w:tc>
          <w:tcPr>
            <w:tcW w:w="6469" w:type="dxa"/>
          </w:tcPr>
          <w:p w14:paraId="5CCF314E" w14:textId="77777777" w:rsidR="00E86FBB" w:rsidRPr="001F151E" w:rsidRDefault="00E86FBB" w:rsidP="00722888">
            <w:pPr>
              <w:pStyle w:val="T-normal"/>
            </w:pPr>
            <w:r w:rsidRPr="001F151E">
              <w:t>Partner: SIGMA</w:t>
            </w:r>
          </w:p>
          <w:p w14:paraId="102F9579" w14:textId="5D84A904" w:rsidR="00127706" w:rsidRPr="001F151E" w:rsidRDefault="00E86FBB" w:rsidP="00722888">
            <w:pPr>
              <w:pStyle w:val="T-normal"/>
            </w:pPr>
            <w:r w:rsidRPr="001F151E">
              <w:t>Implementation period: 2024 (planned)</w:t>
            </w:r>
          </w:p>
        </w:tc>
      </w:tr>
      <w:tr w:rsidR="00367F81" w:rsidRPr="001F151E" w14:paraId="629B06BF" w14:textId="77777777" w:rsidTr="007E497D">
        <w:tc>
          <w:tcPr>
            <w:tcW w:w="2547" w:type="dxa"/>
          </w:tcPr>
          <w:p w14:paraId="1A236D72" w14:textId="04A3C1F8" w:rsidR="00367F81" w:rsidRPr="001F151E" w:rsidRDefault="00367F81" w:rsidP="00B45892">
            <w:pPr>
              <w:pStyle w:val="T-number"/>
              <w:numPr>
                <w:ilvl w:val="0"/>
                <w:numId w:val="97"/>
              </w:numPr>
            </w:pPr>
            <w:r w:rsidRPr="001F151E">
              <w:t xml:space="preserve">EU for Good Governance </w:t>
            </w:r>
            <w:r w:rsidR="00722888" w:rsidRPr="001F151E">
              <w:t>Technical Assistance</w:t>
            </w:r>
          </w:p>
        </w:tc>
        <w:tc>
          <w:tcPr>
            <w:tcW w:w="6469" w:type="dxa"/>
          </w:tcPr>
          <w:p w14:paraId="5F76D280" w14:textId="77777777" w:rsidR="00367F81" w:rsidRPr="001F151E" w:rsidRDefault="00367F81" w:rsidP="00722888">
            <w:pPr>
              <w:pStyle w:val="T-normal"/>
            </w:pPr>
            <w:r w:rsidRPr="001F151E">
              <w:t>Partner: EU</w:t>
            </w:r>
          </w:p>
          <w:p w14:paraId="586D9EC8" w14:textId="7870D1C9" w:rsidR="00367F81" w:rsidRPr="001F151E" w:rsidRDefault="00367F81" w:rsidP="00722888">
            <w:pPr>
              <w:pStyle w:val="T-normal"/>
            </w:pPr>
            <w:r w:rsidRPr="001F151E">
              <w:t>Implementation period: 2023-2027 (ongoing)</w:t>
            </w:r>
          </w:p>
          <w:p w14:paraId="5C2A6CC1" w14:textId="5BE26005" w:rsidR="00367F81" w:rsidRPr="001F151E" w:rsidRDefault="00367F81" w:rsidP="00722888">
            <w:pPr>
              <w:pStyle w:val="T-normal"/>
            </w:pPr>
            <w:r w:rsidRPr="001F151E">
              <w:t xml:space="preserve">Scope: Support Government with reforms in Public Administration, Anti Corruption, Local Governance and Public Finance Management. </w:t>
            </w:r>
          </w:p>
        </w:tc>
      </w:tr>
      <w:tr w:rsidR="00722888" w:rsidRPr="001F151E" w14:paraId="2E524075" w14:textId="77777777" w:rsidTr="007E497D">
        <w:trPr>
          <w:trHeight w:val="1805"/>
        </w:trPr>
        <w:tc>
          <w:tcPr>
            <w:tcW w:w="2547" w:type="dxa"/>
          </w:tcPr>
          <w:p w14:paraId="727D0728" w14:textId="1B59E666" w:rsidR="00722888" w:rsidRPr="001F151E" w:rsidRDefault="00722888" w:rsidP="00B45892">
            <w:pPr>
              <w:pStyle w:val="T-number"/>
              <w:numPr>
                <w:ilvl w:val="0"/>
                <w:numId w:val="97"/>
              </w:numPr>
            </w:pPr>
            <w:r w:rsidRPr="001F151E">
              <w:t>Strengthening Fiscal Governance in the Western Balkans</w:t>
            </w:r>
          </w:p>
        </w:tc>
        <w:tc>
          <w:tcPr>
            <w:tcW w:w="6469" w:type="dxa"/>
          </w:tcPr>
          <w:p w14:paraId="2E8342F6" w14:textId="0B8DBF45" w:rsidR="00722888" w:rsidRPr="001F151E" w:rsidRDefault="00722888" w:rsidP="007E497D">
            <w:pPr>
              <w:pStyle w:val="T-normal"/>
              <w:jc w:val="both"/>
            </w:pPr>
            <w:r w:rsidRPr="001F151E">
              <w:t>Partner: World Bank (trust fund), EU (funding)</w:t>
            </w:r>
          </w:p>
          <w:p w14:paraId="3477A308" w14:textId="77777777" w:rsidR="00722888" w:rsidRPr="001F151E" w:rsidRDefault="00722888" w:rsidP="007E497D">
            <w:pPr>
              <w:pStyle w:val="T-normal"/>
              <w:jc w:val="both"/>
            </w:pPr>
            <w:r w:rsidRPr="001F151E">
              <w:t xml:space="preserve">Implementation period: </w:t>
            </w:r>
          </w:p>
          <w:p w14:paraId="41888B3B" w14:textId="407EF96D" w:rsidR="00722888" w:rsidRPr="001F151E" w:rsidRDefault="00722888" w:rsidP="007E497D">
            <w:pPr>
              <w:pStyle w:val="T-normal"/>
              <w:jc w:val="both"/>
            </w:pPr>
            <w:r w:rsidRPr="001F151E">
              <w:t>Scope: Component I focuses on strengthening fiscal responsibility frameworks through (i) improving fiscal responsibility frameworks (rules and institutions) and (ii) Macroeconomic modelling and forecasting. Component II focuses on enhancing infrastructure governance through the strengthening of public investment management (PIM) and public asset management (PAM) with a sectoral and institutional focus through (i) Supporting evidence-based and climate-resilient infrastructure governance reforms and (ii) Institutional strengthening of PIAM with a focus on infrastructure, state-owned enterprises (SOE), and subnational governments (SNG)</w:t>
            </w:r>
          </w:p>
        </w:tc>
      </w:tr>
      <w:tr w:rsidR="00367F81" w:rsidRPr="001F151E" w14:paraId="36BFA843" w14:textId="77777777" w:rsidTr="007E497D">
        <w:tc>
          <w:tcPr>
            <w:tcW w:w="2547" w:type="dxa"/>
          </w:tcPr>
          <w:p w14:paraId="6789CA8B" w14:textId="2D6DB0C9" w:rsidR="00367F81" w:rsidRPr="001F151E" w:rsidRDefault="00367F81" w:rsidP="00B45892">
            <w:pPr>
              <w:pStyle w:val="T-number"/>
              <w:numPr>
                <w:ilvl w:val="0"/>
                <w:numId w:val="97"/>
              </w:numPr>
            </w:pPr>
            <w:r w:rsidRPr="001F151E">
              <w:t>Fiscal Reform in South East Europe</w:t>
            </w:r>
          </w:p>
        </w:tc>
        <w:tc>
          <w:tcPr>
            <w:tcW w:w="6469" w:type="dxa"/>
          </w:tcPr>
          <w:p w14:paraId="4941C2AA" w14:textId="77777777" w:rsidR="00367F81" w:rsidRPr="001F151E" w:rsidRDefault="00367F81" w:rsidP="007E497D">
            <w:pPr>
              <w:pStyle w:val="T-normal"/>
              <w:jc w:val="both"/>
            </w:pPr>
            <w:r w:rsidRPr="001F151E">
              <w:t>Partner: IMF (lead), EU, SECO</w:t>
            </w:r>
          </w:p>
          <w:p w14:paraId="743BF9D4" w14:textId="63C9A58D" w:rsidR="00367F81" w:rsidRPr="001F151E" w:rsidRDefault="00367F81" w:rsidP="007E497D">
            <w:pPr>
              <w:pStyle w:val="T-normal"/>
              <w:jc w:val="both"/>
            </w:pPr>
            <w:r w:rsidRPr="001F151E">
              <w:t>Implementation period: -2026 (second phase, ongoing)</w:t>
            </w:r>
          </w:p>
          <w:p w14:paraId="2C2C337A" w14:textId="29F213D3" w:rsidR="00367F81" w:rsidRPr="001F151E" w:rsidRDefault="00367F81" w:rsidP="007E497D">
            <w:pPr>
              <w:pStyle w:val="T-normal"/>
              <w:jc w:val="both"/>
            </w:pPr>
            <w:r w:rsidRPr="001F151E">
              <w:t>Scope: Support to five Western Balkan Countries in Revenue, PFM. PFM component: Fiscal Risk Management, S</w:t>
            </w:r>
            <w:r w:rsidR="00722888" w:rsidRPr="001F151E">
              <w:t xml:space="preserve">tate Owned Enterprises and </w:t>
            </w:r>
            <w:r w:rsidRPr="001F151E">
              <w:t>Cash Forecasting</w:t>
            </w:r>
            <w:r w:rsidR="00722888" w:rsidRPr="001F151E">
              <w:t>.</w:t>
            </w:r>
          </w:p>
        </w:tc>
      </w:tr>
      <w:tr w:rsidR="00127706" w:rsidRPr="001F151E" w14:paraId="5E21814C" w14:textId="77777777" w:rsidTr="007E497D">
        <w:tc>
          <w:tcPr>
            <w:tcW w:w="2547" w:type="dxa"/>
          </w:tcPr>
          <w:p w14:paraId="086327FC" w14:textId="3766BB6A" w:rsidR="00127706" w:rsidRPr="001F151E" w:rsidRDefault="00127706" w:rsidP="00B45892">
            <w:pPr>
              <w:pStyle w:val="T-number"/>
              <w:numPr>
                <w:ilvl w:val="0"/>
                <w:numId w:val="97"/>
              </w:numPr>
            </w:pPr>
            <w:r w:rsidRPr="001F151E">
              <w:t>Government Debt Risk Management</w:t>
            </w:r>
          </w:p>
        </w:tc>
        <w:tc>
          <w:tcPr>
            <w:tcW w:w="6469" w:type="dxa"/>
          </w:tcPr>
          <w:p w14:paraId="0FD9A7E7" w14:textId="0C05EFF9" w:rsidR="00E86FBB" w:rsidRPr="001F151E" w:rsidRDefault="00E86FBB" w:rsidP="007E497D">
            <w:pPr>
              <w:pStyle w:val="T-normal"/>
              <w:jc w:val="both"/>
            </w:pPr>
            <w:r w:rsidRPr="001F151E">
              <w:t xml:space="preserve">Partner: WB (lead), SECO. </w:t>
            </w:r>
          </w:p>
          <w:p w14:paraId="28690D68" w14:textId="61341836" w:rsidR="00367F81" w:rsidRPr="001F151E" w:rsidRDefault="00E86FBB" w:rsidP="007E497D">
            <w:pPr>
              <w:pStyle w:val="T-normal"/>
              <w:jc w:val="both"/>
            </w:pPr>
            <w:r w:rsidRPr="001F151E">
              <w:t>Implementation period:</w:t>
            </w:r>
          </w:p>
          <w:p w14:paraId="5F01AB9D" w14:textId="619496E1" w:rsidR="00E86FBB" w:rsidRPr="001F151E" w:rsidRDefault="00E86FBB" w:rsidP="007E497D">
            <w:pPr>
              <w:pStyle w:val="T-normal"/>
              <w:jc w:val="both"/>
            </w:pPr>
            <w:r w:rsidRPr="001F151E">
              <w:t xml:space="preserve">Scope: </w:t>
            </w:r>
            <w:r w:rsidR="00722888" w:rsidRPr="001F151E">
              <w:t>D</w:t>
            </w:r>
            <w:r w:rsidRPr="001F151E">
              <w:t>evelopment of the financial market</w:t>
            </w:r>
            <w:r w:rsidR="00722888" w:rsidRPr="001F151E">
              <w:t xml:space="preserve"> / debt instruments</w:t>
            </w:r>
            <w:r w:rsidRPr="001F151E">
              <w:t>, Medium Term Deb Strategy, Auctions.</w:t>
            </w:r>
          </w:p>
        </w:tc>
      </w:tr>
      <w:tr w:rsidR="00127706" w:rsidRPr="001F151E" w14:paraId="7D05AED3" w14:textId="77777777" w:rsidTr="007E497D">
        <w:tc>
          <w:tcPr>
            <w:tcW w:w="2547" w:type="dxa"/>
          </w:tcPr>
          <w:p w14:paraId="466A2397" w14:textId="056F68AD" w:rsidR="00127706" w:rsidRPr="001F151E" w:rsidRDefault="00E86FBB" w:rsidP="00B45892">
            <w:pPr>
              <w:pStyle w:val="T-number"/>
              <w:numPr>
                <w:ilvl w:val="0"/>
                <w:numId w:val="97"/>
              </w:numPr>
            </w:pPr>
            <w:r w:rsidRPr="001F151E">
              <w:t>Local PFM</w:t>
            </w:r>
          </w:p>
        </w:tc>
        <w:tc>
          <w:tcPr>
            <w:tcW w:w="6469" w:type="dxa"/>
          </w:tcPr>
          <w:p w14:paraId="140D01D8" w14:textId="057F6FF1" w:rsidR="00E86FBB" w:rsidRPr="001F151E" w:rsidRDefault="00E86FBB" w:rsidP="007E497D">
            <w:pPr>
              <w:pStyle w:val="T-normal"/>
              <w:jc w:val="both"/>
            </w:pPr>
            <w:r w:rsidRPr="001F151E">
              <w:t xml:space="preserve">Partner: SECO. </w:t>
            </w:r>
          </w:p>
          <w:p w14:paraId="4B6F9A5A" w14:textId="3248CAC3" w:rsidR="00E86FBB" w:rsidRPr="001F151E" w:rsidRDefault="00E86FBB" w:rsidP="007E497D">
            <w:pPr>
              <w:pStyle w:val="T-normal"/>
              <w:jc w:val="both"/>
            </w:pPr>
            <w:r w:rsidRPr="001F151E">
              <w:t>Implementation period: 2024-2028 (second phase</w:t>
            </w:r>
            <w:r w:rsidR="00367F81" w:rsidRPr="001F151E">
              <w:t>, planned</w:t>
            </w:r>
            <w:r w:rsidRPr="001F151E">
              <w:t>)</w:t>
            </w:r>
          </w:p>
          <w:p w14:paraId="32FDBBD9" w14:textId="4B520772" w:rsidR="00E86FBB" w:rsidRPr="001F151E" w:rsidRDefault="00E86FBB" w:rsidP="007E497D">
            <w:pPr>
              <w:pStyle w:val="T-normal"/>
              <w:jc w:val="both"/>
            </w:pPr>
            <w:r w:rsidRPr="001F151E">
              <w:t>Amount:</w:t>
            </w:r>
          </w:p>
          <w:p w14:paraId="70E42FAB" w14:textId="3A6A8F76" w:rsidR="00127706" w:rsidRPr="001F151E" w:rsidRDefault="00E86FBB" w:rsidP="007E497D">
            <w:pPr>
              <w:pStyle w:val="T-normal"/>
              <w:jc w:val="both"/>
            </w:pPr>
            <w:r w:rsidRPr="001F151E">
              <w:t>Scope: Supporting municipalities with improving budget planning and execution, revenue mobilization and PIFC.</w:t>
            </w:r>
          </w:p>
        </w:tc>
      </w:tr>
      <w:tr w:rsidR="00127706" w:rsidRPr="001F151E" w14:paraId="153211D2" w14:textId="77777777" w:rsidTr="007E497D">
        <w:tc>
          <w:tcPr>
            <w:tcW w:w="2547" w:type="dxa"/>
          </w:tcPr>
          <w:p w14:paraId="5E10D0A8" w14:textId="3DB1949C" w:rsidR="00127706" w:rsidRPr="001F151E" w:rsidRDefault="00E86FBB" w:rsidP="00B45892">
            <w:pPr>
              <w:pStyle w:val="T-number"/>
              <w:numPr>
                <w:ilvl w:val="0"/>
                <w:numId w:val="97"/>
              </w:numPr>
            </w:pPr>
            <w:r w:rsidRPr="001F151E">
              <w:t>AFMIS rollout to subnational level</w:t>
            </w:r>
          </w:p>
        </w:tc>
        <w:tc>
          <w:tcPr>
            <w:tcW w:w="6469" w:type="dxa"/>
          </w:tcPr>
          <w:p w14:paraId="0F8CD09A" w14:textId="2B8F011D" w:rsidR="00127706" w:rsidRPr="001F151E" w:rsidRDefault="00E86FBB" w:rsidP="007E497D">
            <w:pPr>
              <w:pStyle w:val="T-normal"/>
              <w:jc w:val="both"/>
            </w:pPr>
            <w:r w:rsidRPr="001F151E">
              <w:t>Partners: WB (lead), SECO</w:t>
            </w:r>
          </w:p>
          <w:p w14:paraId="4621AE8C" w14:textId="27EDCB30" w:rsidR="00E86FBB" w:rsidRPr="001F151E" w:rsidRDefault="00E86FBB" w:rsidP="007E497D">
            <w:pPr>
              <w:pStyle w:val="T-normal"/>
              <w:jc w:val="both"/>
            </w:pPr>
            <w:r w:rsidRPr="001F151E">
              <w:t>Implementation period</w:t>
            </w:r>
          </w:p>
        </w:tc>
      </w:tr>
      <w:tr w:rsidR="00127706" w:rsidRPr="001F151E" w14:paraId="475E0C5C" w14:textId="77777777" w:rsidTr="007E497D">
        <w:tc>
          <w:tcPr>
            <w:tcW w:w="2547" w:type="dxa"/>
          </w:tcPr>
          <w:p w14:paraId="3CE25A6A" w14:textId="7E49C5E9" w:rsidR="00127706" w:rsidRPr="001F151E" w:rsidRDefault="00E86FBB" w:rsidP="00B45892">
            <w:pPr>
              <w:pStyle w:val="T-number"/>
              <w:numPr>
                <w:ilvl w:val="0"/>
                <w:numId w:val="97"/>
              </w:numPr>
            </w:pPr>
            <w:r w:rsidRPr="001F151E">
              <w:t>SAI PPP audit</w:t>
            </w:r>
          </w:p>
        </w:tc>
        <w:tc>
          <w:tcPr>
            <w:tcW w:w="6469" w:type="dxa"/>
          </w:tcPr>
          <w:p w14:paraId="3A3EADC9" w14:textId="77777777" w:rsidR="00127706" w:rsidRPr="001F151E" w:rsidRDefault="00E86FBB" w:rsidP="007E497D">
            <w:pPr>
              <w:pStyle w:val="T-normal"/>
              <w:jc w:val="both"/>
            </w:pPr>
            <w:r w:rsidRPr="001F151E">
              <w:t>Partner: SECO</w:t>
            </w:r>
          </w:p>
          <w:p w14:paraId="52B36607" w14:textId="7F0E4E3C" w:rsidR="00E86FBB" w:rsidRPr="001F151E" w:rsidRDefault="00E86FBB" w:rsidP="007E497D">
            <w:pPr>
              <w:pStyle w:val="T-normal"/>
              <w:jc w:val="both"/>
            </w:pPr>
          </w:p>
        </w:tc>
      </w:tr>
      <w:tr w:rsidR="00127706" w:rsidRPr="001F151E" w14:paraId="4619D279" w14:textId="77777777" w:rsidTr="007E497D">
        <w:tc>
          <w:tcPr>
            <w:tcW w:w="2547" w:type="dxa"/>
          </w:tcPr>
          <w:p w14:paraId="7E0CFBE3" w14:textId="47C1752F" w:rsidR="00127706" w:rsidRPr="001F151E" w:rsidRDefault="00E86FBB" w:rsidP="00B45892">
            <w:pPr>
              <w:pStyle w:val="T-number"/>
              <w:numPr>
                <w:ilvl w:val="0"/>
                <w:numId w:val="97"/>
              </w:numPr>
            </w:pPr>
            <w:r w:rsidRPr="001F151E">
              <w:t>Public Sector Accounting Reform</w:t>
            </w:r>
          </w:p>
        </w:tc>
        <w:tc>
          <w:tcPr>
            <w:tcW w:w="6469" w:type="dxa"/>
          </w:tcPr>
          <w:p w14:paraId="65322727" w14:textId="77777777" w:rsidR="00127706" w:rsidRPr="001F151E" w:rsidRDefault="00E86FBB" w:rsidP="007E497D">
            <w:pPr>
              <w:pStyle w:val="T-normal"/>
              <w:jc w:val="both"/>
            </w:pPr>
            <w:r w:rsidRPr="001F151E">
              <w:t>Partners: World Bank (lead), SECO</w:t>
            </w:r>
          </w:p>
          <w:p w14:paraId="532824D5" w14:textId="5C64276A" w:rsidR="00367F81" w:rsidRPr="001F151E" w:rsidRDefault="00367F81" w:rsidP="007E497D">
            <w:pPr>
              <w:pStyle w:val="T-normal"/>
              <w:jc w:val="both"/>
            </w:pPr>
            <w:r w:rsidRPr="001F151E">
              <w:t>Implementation period: 2024-2027 (second phase)</w:t>
            </w:r>
          </w:p>
        </w:tc>
      </w:tr>
      <w:tr w:rsidR="00776D09" w:rsidRPr="001F151E" w14:paraId="65DB5607" w14:textId="77777777" w:rsidTr="007E497D">
        <w:tc>
          <w:tcPr>
            <w:tcW w:w="2547" w:type="dxa"/>
          </w:tcPr>
          <w:p w14:paraId="120B1B9F" w14:textId="59E3A01D" w:rsidR="00776D09" w:rsidRPr="001F151E" w:rsidRDefault="00776D09" w:rsidP="00B45892">
            <w:pPr>
              <w:pStyle w:val="T-number"/>
              <w:numPr>
                <w:ilvl w:val="0"/>
                <w:numId w:val="97"/>
              </w:numPr>
            </w:pPr>
            <w:r w:rsidRPr="00776D09">
              <w:t>SIDA</w:t>
            </w:r>
          </w:p>
        </w:tc>
        <w:tc>
          <w:tcPr>
            <w:tcW w:w="6469" w:type="dxa"/>
          </w:tcPr>
          <w:p w14:paraId="4F2F54F7" w14:textId="1AD441A8" w:rsidR="00776D09" w:rsidRPr="001F151E" w:rsidRDefault="00776D09" w:rsidP="00722888">
            <w:pPr>
              <w:pStyle w:val="T-normal"/>
            </w:pPr>
            <w:r w:rsidRPr="001F151E">
              <w:t>ProTax Albania Project</w:t>
            </w:r>
          </w:p>
        </w:tc>
      </w:tr>
    </w:tbl>
    <w:p w14:paraId="412CD2CA" w14:textId="77777777" w:rsidR="00127706" w:rsidRDefault="00127706" w:rsidP="00127706"/>
    <w:p w14:paraId="64963078" w14:textId="77777777" w:rsidR="00115297" w:rsidRDefault="00115297" w:rsidP="00127706"/>
    <w:p w14:paraId="70CE6726" w14:textId="77777777" w:rsidR="00115297" w:rsidRDefault="00115297" w:rsidP="00127706"/>
    <w:p w14:paraId="39580ACD" w14:textId="77777777" w:rsidR="00115297" w:rsidRDefault="00115297" w:rsidP="00127706"/>
    <w:p w14:paraId="01A326D4" w14:textId="77777777" w:rsidR="00115297" w:rsidRDefault="00115297" w:rsidP="00127706"/>
    <w:p w14:paraId="6B154A03" w14:textId="77777777" w:rsidR="00115297" w:rsidRDefault="00115297" w:rsidP="00127706"/>
    <w:p w14:paraId="2AC53B5F" w14:textId="77777777" w:rsidR="00115297" w:rsidRDefault="00115297" w:rsidP="00127706"/>
    <w:p w14:paraId="6B836847" w14:textId="31700201" w:rsidR="00115297" w:rsidRPr="00F22823" w:rsidRDefault="00115297" w:rsidP="00F22823">
      <w:pPr>
        <w:pStyle w:val="Heading1"/>
        <w:numPr>
          <w:ilvl w:val="0"/>
          <w:numId w:val="0"/>
        </w:numPr>
        <w:rPr>
          <w:lang w:val="en-GB"/>
        </w:rPr>
      </w:pPr>
      <w:bookmarkStart w:id="88" w:name="_Toc163148048"/>
      <w:r>
        <w:rPr>
          <w:lang w:val="en-GB"/>
        </w:rPr>
        <w:t>Annex 3 Estimated Cost and Financing according to specific objectives (components)</w:t>
      </w:r>
      <w:bookmarkEnd w:id="88"/>
      <w:r>
        <w:rPr>
          <w:lang w:val="en-GB"/>
        </w:rPr>
        <w:t xml:space="preserve"> </w:t>
      </w:r>
    </w:p>
    <w:p w14:paraId="2B44518C" w14:textId="77777777" w:rsidR="00115297" w:rsidRDefault="00115297" w:rsidP="00127706"/>
    <w:p w14:paraId="62F18097" w14:textId="71E9979D" w:rsidR="00115297" w:rsidRDefault="00DE381E" w:rsidP="00127706">
      <w:r w:rsidRPr="00DE381E">
        <w:rPr>
          <w:noProof/>
        </w:rPr>
        <w:drawing>
          <wp:inline distT="0" distB="0" distL="0" distR="0" wp14:anchorId="6C37CE6D" wp14:editId="31665906">
            <wp:extent cx="5731510" cy="3127522"/>
            <wp:effectExtent l="19050" t="19050" r="21590" b="15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127522"/>
                    </a:xfrm>
                    <a:prstGeom prst="rect">
                      <a:avLst/>
                    </a:prstGeom>
                    <a:noFill/>
                    <a:ln w="12700">
                      <a:solidFill>
                        <a:srgbClr val="00B050"/>
                      </a:solidFill>
                    </a:ln>
                  </pic:spPr>
                </pic:pic>
              </a:graphicData>
            </a:graphic>
          </wp:inline>
        </w:drawing>
      </w:r>
    </w:p>
    <w:p w14:paraId="52B0EF84" w14:textId="77777777" w:rsidR="00DE381E" w:rsidRDefault="00DE381E" w:rsidP="00127706"/>
    <w:p w14:paraId="51F06064" w14:textId="58310F44" w:rsidR="00DE381E" w:rsidRDefault="00DE381E" w:rsidP="00127706"/>
    <w:p w14:paraId="51AB2D3F" w14:textId="083F6698" w:rsidR="00DE381E" w:rsidRDefault="00DE381E" w:rsidP="00127706">
      <w:r w:rsidRPr="00DE381E">
        <w:rPr>
          <w:noProof/>
        </w:rPr>
        <w:drawing>
          <wp:inline distT="0" distB="0" distL="0" distR="0" wp14:anchorId="25429964" wp14:editId="0762DB44">
            <wp:extent cx="5731510" cy="3592887"/>
            <wp:effectExtent l="19050" t="19050" r="21590" b="266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592887"/>
                    </a:xfrm>
                    <a:prstGeom prst="rect">
                      <a:avLst/>
                    </a:prstGeom>
                    <a:noFill/>
                    <a:ln w="12700">
                      <a:solidFill>
                        <a:srgbClr val="00B050"/>
                      </a:solidFill>
                    </a:ln>
                  </pic:spPr>
                </pic:pic>
              </a:graphicData>
            </a:graphic>
          </wp:inline>
        </w:drawing>
      </w:r>
    </w:p>
    <w:p w14:paraId="1656058E" w14:textId="77777777" w:rsidR="00DE381E" w:rsidRDefault="00DE381E" w:rsidP="00127706"/>
    <w:p w14:paraId="6A8D4468" w14:textId="0E7A97CA" w:rsidR="00DE381E" w:rsidRDefault="00DE381E" w:rsidP="00127706">
      <w:r w:rsidRPr="00DE381E">
        <w:rPr>
          <w:noProof/>
        </w:rPr>
        <w:drawing>
          <wp:inline distT="0" distB="0" distL="0" distR="0" wp14:anchorId="67582406" wp14:editId="16E3BB50">
            <wp:extent cx="5731510" cy="3586043"/>
            <wp:effectExtent l="19050" t="19050" r="21590" b="146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586043"/>
                    </a:xfrm>
                    <a:prstGeom prst="rect">
                      <a:avLst/>
                    </a:prstGeom>
                    <a:noFill/>
                    <a:ln w="12700">
                      <a:solidFill>
                        <a:srgbClr val="00B050"/>
                      </a:solidFill>
                    </a:ln>
                  </pic:spPr>
                </pic:pic>
              </a:graphicData>
            </a:graphic>
          </wp:inline>
        </w:drawing>
      </w:r>
    </w:p>
    <w:p w14:paraId="17EEEB61" w14:textId="77777777" w:rsidR="00DE381E" w:rsidRDefault="00DE381E" w:rsidP="00127706"/>
    <w:p w14:paraId="4F9E2389" w14:textId="20CF0719" w:rsidR="00DE381E" w:rsidRDefault="00DE381E" w:rsidP="00127706">
      <w:r w:rsidRPr="00DE381E">
        <w:rPr>
          <w:noProof/>
        </w:rPr>
        <w:drawing>
          <wp:inline distT="0" distB="0" distL="0" distR="0" wp14:anchorId="15B6FB5B" wp14:editId="3F127E04">
            <wp:extent cx="5731510" cy="3517607"/>
            <wp:effectExtent l="19050" t="19050" r="21590" b="260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517607"/>
                    </a:xfrm>
                    <a:prstGeom prst="rect">
                      <a:avLst/>
                    </a:prstGeom>
                    <a:noFill/>
                    <a:ln w="12700">
                      <a:solidFill>
                        <a:srgbClr val="00B050"/>
                      </a:solidFill>
                    </a:ln>
                  </pic:spPr>
                </pic:pic>
              </a:graphicData>
            </a:graphic>
          </wp:inline>
        </w:drawing>
      </w:r>
    </w:p>
    <w:p w14:paraId="26D54314" w14:textId="77777777" w:rsidR="00DE381E" w:rsidRDefault="00DE381E" w:rsidP="00127706"/>
    <w:p w14:paraId="59175C6C" w14:textId="50A0ECCC" w:rsidR="00DE381E" w:rsidRDefault="00DE381E" w:rsidP="00127706">
      <w:r w:rsidRPr="00DE381E">
        <w:rPr>
          <w:noProof/>
        </w:rPr>
        <w:drawing>
          <wp:inline distT="0" distB="0" distL="0" distR="0" wp14:anchorId="291814D7" wp14:editId="486822D8">
            <wp:extent cx="5731510" cy="2665580"/>
            <wp:effectExtent l="19050" t="19050" r="21590" b="209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665580"/>
                    </a:xfrm>
                    <a:prstGeom prst="rect">
                      <a:avLst/>
                    </a:prstGeom>
                    <a:noFill/>
                    <a:ln w="12700">
                      <a:solidFill>
                        <a:srgbClr val="00B050"/>
                      </a:solidFill>
                    </a:ln>
                  </pic:spPr>
                </pic:pic>
              </a:graphicData>
            </a:graphic>
          </wp:inline>
        </w:drawing>
      </w:r>
    </w:p>
    <w:p w14:paraId="192AD979" w14:textId="77777777" w:rsidR="00DE381E" w:rsidRDefault="00DE381E" w:rsidP="00127706"/>
    <w:p w14:paraId="13637931" w14:textId="1BC7A05E" w:rsidR="00DE381E" w:rsidRDefault="00DE381E" w:rsidP="00127706">
      <w:r w:rsidRPr="00DE381E">
        <w:rPr>
          <w:noProof/>
        </w:rPr>
        <w:drawing>
          <wp:inline distT="0" distB="0" distL="0" distR="0" wp14:anchorId="64727317" wp14:editId="6AE049E7">
            <wp:extent cx="5731510" cy="2179685"/>
            <wp:effectExtent l="19050" t="19050" r="21590"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2179685"/>
                    </a:xfrm>
                    <a:prstGeom prst="rect">
                      <a:avLst/>
                    </a:prstGeom>
                    <a:noFill/>
                    <a:ln w="12700">
                      <a:solidFill>
                        <a:srgbClr val="00B050"/>
                      </a:solidFill>
                    </a:ln>
                  </pic:spPr>
                </pic:pic>
              </a:graphicData>
            </a:graphic>
          </wp:inline>
        </w:drawing>
      </w:r>
    </w:p>
    <w:p w14:paraId="5DD67519" w14:textId="77777777" w:rsidR="00A619A7" w:rsidRDefault="00A619A7" w:rsidP="00127706"/>
    <w:p w14:paraId="7F2DA1EA" w14:textId="77777777" w:rsidR="00A619A7" w:rsidRDefault="00A619A7" w:rsidP="00127706"/>
    <w:p w14:paraId="14A99601" w14:textId="77777777" w:rsidR="00A619A7" w:rsidRDefault="00A619A7" w:rsidP="00127706"/>
    <w:p w14:paraId="48EC71EA" w14:textId="77777777" w:rsidR="00A619A7" w:rsidRDefault="00A619A7" w:rsidP="00127706"/>
    <w:p w14:paraId="31DAF7C6" w14:textId="77777777" w:rsidR="00A619A7" w:rsidRDefault="00A619A7" w:rsidP="00127706"/>
    <w:p w14:paraId="386031A2" w14:textId="77777777" w:rsidR="00A619A7" w:rsidRDefault="00A619A7" w:rsidP="00127706"/>
    <w:p w14:paraId="5D5CF15C" w14:textId="77777777" w:rsidR="00A619A7" w:rsidRDefault="00A619A7" w:rsidP="00127706"/>
    <w:p w14:paraId="51A44AA3" w14:textId="77777777" w:rsidR="00A619A7" w:rsidRDefault="00A619A7" w:rsidP="00127706"/>
    <w:p w14:paraId="26D01E7E" w14:textId="77777777" w:rsidR="00A619A7" w:rsidRDefault="00A619A7" w:rsidP="00127706"/>
    <w:p w14:paraId="192E81FF" w14:textId="77777777" w:rsidR="00A619A7" w:rsidRDefault="00A619A7" w:rsidP="00127706"/>
    <w:p w14:paraId="283DCC49" w14:textId="77777777" w:rsidR="00A619A7" w:rsidRDefault="00A619A7" w:rsidP="00127706"/>
    <w:p w14:paraId="65D2CC48" w14:textId="77777777" w:rsidR="00A619A7" w:rsidRDefault="00A619A7" w:rsidP="00127706"/>
    <w:p w14:paraId="62F3D619" w14:textId="77777777" w:rsidR="00A619A7" w:rsidRDefault="00A619A7" w:rsidP="00127706"/>
    <w:p w14:paraId="3F696528" w14:textId="77777777" w:rsidR="00A619A7" w:rsidRDefault="00A619A7" w:rsidP="00127706"/>
    <w:p w14:paraId="495A94D6" w14:textId="77777777" w:rsidR="00A619A7" w:rsidRDefault="00A619A7" w:rsidP="00127706"/>
    <w:p w14:paraId="330C9F66" w14:textId="77777777" w:rsidR="00A619A7" w:rsidRDefault="00A619A7" w:rsidP="00127706"/>
    <w:p w14:paraId="064BD4BD" w14:textId="77777777" w:rsidR="00A619A7" w:rsidRDefault="00A619A7" w:rsidP="00127706"/>
    <w:p w14:paraId="262D117B" w14:textId="77777777" w:rsidR="00A619A7" w:rsidRDefault="00A619A7" w:rsidP="00127706"/>
    <w:p w14:paraId="2A0465B7" w14:textId="77777777" w:rsidR="00A619A7" w:rsidRDefault="00A619A7" w:rsidP="00127706"/>
    <w:p w14:paraId="05BEE2A5" w14:textId="77777777" w:rsidR="00A619A7" w:rsidRDefault="00A619A7" w:rsidP="00127706"/>
    <w:p w14:paraId="07097A29" w14:textId="77777777" w:rsidR="00A619A7" w:rsidRDefault="00A619A7" w:rsidP="00127706"/>
    <w:p w14:paraId="11A01C70" w14:textId="77777777" w:rsidR="00A619A7" w:rsidRDefault="00A619A7" w:rsidP="00127706"/>
    <w:p w14:paraId="466FA83D" w14:textId="7E03585E" w:rsidR="00A619A7" w:rsidRPr="00F22823" w:rsidRDefault="005A2F2F" w:rsidP="00F22823">
      <w:pPr>
        <w:pStyle w:val="Heading1"/>
        <w:numPr>
          <w:ilvl w:val="0"/>
          <w:numId w:val="0"/>
        </w:numPr>
        <w:rPr>
          <w:lang w:val="en-GB"/>
        </w:rPr>
      </w:pPr>
      <w:bookmarkStart w:id="89" w:name="_Toc163148049"/>
      <w:r w:rsidRPr="00F22823">
        <w:rPr>
          <w:lang w:val="en-GB"/>
        </w:rPr>
        <w:t xml:space="preserve">Annex 4 </w:t>
      </w:r>
      <w:r w:rsidR="00B612BD" w:rsidRPr="00F22823">
        <w:rPr>
          <w:lang w:val="en-GB"/>
        </w:rPr>
        <w:t>Action Plan of Public Finance Management Strategy</w:t>
      </w:r>
      <w:r w:rsidR="003B7989" w:rsidRPr="00F22823">
        <w:rPr>
          <w:lang w:val="en-GB"/>
        </w:rPr>
        <w:t xml:space="preserve"> 2023-2026</w:t>
      </w:r>
      <w:bookmarkEnd w:id="89"/>
    </w:p>
    <w:p w14:paraId="10DEBF5A" w14:textId="118F1C66" w:rsidR="003B7989" w:rsidRDefault="003B7989" w:rsidP="003B7989">
      <w:r w:rsidRPr="003B7989">
        <w:rPr>
          <w:noProof/>
        </w:rPr>
        <w:drawing>
          <wp:inline distT="0" distB="0" distL="0" distR="0" wp14:anchorId="699D7BFB" wp14:editId="5EEC637C">
            <wp:extent cx="5731510" cy="4550862"/>
            <wp:effectExtent l="19050" t="19050" r="21590" b="215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550862"/>
                    </a:xfrm>
                    <a:prstGeom prst="rect">
                      <a:avLst/>
                    </a:prstGeom>
                    <a:noFill/>
                    <a:ln>
                      <a:solidFill>
                        <a:schemeClr val="accent2">
                          <a:lumMod val="75000"/>
                        </a:schemeClr>
                      </a:solidFill>
                    </a:ln>
                  </pic:spPr>
                </pic:pic>
              </a:graphicData>
            </a:graphic>
          </wp:inline>
        </w:drawing>
      </w:r>
    </w:p>
    <w:p w14:paraId="0B26D076" w14:textId="391B088F" w:rsidR="003B7989" w:rsidRDefault="00A61CBB" w:rsidP="003B7989">
      <w:r w:rsidRPr="00A61CBB">
        <w:rPr>
          <w:noProof/>
        </w:rPr>
        <w:drawing>
          <wp:inline distT="0" distB="0" distL="0" distR="0" wp14:anchorId="32AA9B8F" wp14:editId="59F2C083">
            <wp:extent cx="5731510" cy="1604608"/>
            <wp:effectExtent l="19050" t="19050" r="21590" b="152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604608"/>
                    </a:xfrm>
                    <a:prstGeom prst="rect">
                      <a:avLst/>
                    </a:prstGeom>
                    <a:noFill/>
                    <a:ln>
                      <a:solidFill>
                        <a:schemeClr val="accent2">
                          <a:lumMod val="75000"/>
                        </a:schemeClr>
                      </a:solidFill>
                    </a:ln>
                  </pic:spPr>
                </pic:pic>
              </a:graphicData>
            </a:graphic>
          </wp:inline>
        </w:drawing>
      </w:r>
    </w:p>
    <w:p w14:paraId="7EAAC241" w14:textId="77777777" w:rsidR="00A61CBB" w:rsidRDefault="00A61CBB" w:rsidP="003B7989"/>
    <w:p w14:paraId="77EB3843" w14:textId="56B01B4B" w:rsidR="00A61CBB" w:rsidRDefault="00A61CBB" w:rsidP="003B7989">
      <w:r w:rsidRPr="00A61CBB">
        <w:rPr>
          <w:noProof/>
        </w:rPr>
        <w:drawing>
          <wp:inline distT="0" distB="0" distL="0" distR="0" wp14:anchorId="65A912EE" wp14:editId="75190926">
            <wp:extent cx="5731510" cy="3338014"/>
            <wp:effectExtent l="19050" t="19050" r="21590" b="152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338014"/>
                    </a:xfrm>
                    <a:prstGeom prst="rect">
                      <a:avLst/>
                    </a:prstGeom>
                    <a:noFill/>
                    <a:ln>
                      <a:solidFill>
                        <a:schemeClr val="accent2">
                          <a:lumMod val="75000"/>
                        </a:schemeClr>
                      </a:solidFill>
                    </a:ln>
                  </pic:spPr>
                </pic:pic>
              </a:graphicData>
            </a:graphic>
          </wp:inline>
        </w:drawing>
      </w:r>
    </w:p>
    <w:p w14:paraId="40E75F9E" w14:textId="77777777" w:rsidR="00A61CBB" w:rsidRDefault="00A61CBB" w:rsidP="003B7989"/>
    <w:p w14:paraId="06BA601A" w14:textId="57A6D8A1" w:rsidR="00A61CBB" w:rsidRDefault="00A61CBB" w:rsidP="003B7989">
      <w:r w:rsidRPr="00A61CBB">
        <w:rPr>
          <w:noProof/>
        </w:rPr>
        <w:drawing>
          <wp:inline distT="0" distB="0" distL="0" distR="0" wp14:anchorId="399FEA4C" wp14:editId="410973BE">
            <wp:extent cx="5731510" cy="1744139"/>
            <wp:effectExtent l="19050" t="19050" r="21590" b="279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744139"/>
                    </a:xfrm>
                    <a:prstGeom prst="rect">
                      <a:avLst/>
                    </a:prstGeom>
                    <a:noFill/>
                    <a:ln>
                      <a:solidFill>
                        <a:schemeClr val="accent2">
                          <a:lumMod val="75000"/>
                        </a:schemeClr>
                      </a:solidFill>
                    </a:ln>
                  </pic:spPr>
                </pic:pic>
              </a:graphicData>
            </a:graphic>
          </wp:inline>
        </w:drawing>
      </w:r>
    </w:p>
    <w:p w14:paraId="580F03D8" w14:textId="77777777" w:rsidR="00A61CBB" w:rsidRDefault="00A61CBB" w:rsidP="003B7989"/>
    <w:p w14:paraId="658F2CB2" w14:textId="798CC9DB" w:rsidR="00A61CBB" w:rsidRDefault="00A61CBB" w:rsidP="003B7989">
      <w:r w:rsidRPr="00A61CBB">
        <w:rPr>
          <w:noProof/>
        </w:rPr>
        <w:drawing>
          <wp:inline distT="0" distB="0" distL="0" distR="0" wp14:anchorId="54809D4E" wp14:editId="35443BD1">
            <wp:extent cx="5691116" cy="2867025"/>
            <wp:effectExtent l="19050" t="19050" r="2413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1607" cy="2882386"/>
                    </a:xfrm>
                    <a:prstGeom prst="rect">
                      <a:avLst/>
                    </a:prstGeom>
                    <a:noFill/>
                    <a:ln w="12700">
                      <a:solidFill>
                        <a:schemeClr val="accent2">
                          <a:lumMod val="75000"/>
                        </a:schemeClr>
                      </a:solidFill>
                    </a:ln>
                  </pic:spPr>
                </pic:pic>
              </a:graphicData>
            </a:graphic>
          </wp:inline>
        </w:drawing>
      </w:r>
    </w:p>
    <w:p w14:paraId="2AEBE1EF" w14:textId="7C45B009" w:rsidR="00A61CBB" w:rsidRDefault="00A61CBB" w:rsidP="003B7989">
      <w:r w:rsidRPr="00A61CBB">
        <w:rPr>
          <w:noProof/>
        </w:rPr>
        <w:drawing>
          <wp:inline distT="0" distB="0" distL="0" distR="0" wp14:anchorId="30601C30" wp14:editId="5D08F014">
            <wp:extent cx="5731510" cy="5710044"/>
            <wp:effectExtent l="19050" t="19050" r="21590" b="2413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5710044"/>
                    </a:xfrm>
                    <a:prstGeom prst="rect">
                      <a:avLst/>
                    </a:prstGeom>
                    <a:noFill/>
                    <a:ln>
                      <a:solidFill>
                        <a:schemeClr val="accent2">
                          <a:lumMod val="75000"/>
                        </a:schemeClr>
                      </a:solidFill>
                    </a:ln>
                  </pic:spPr>
                </pic:pic>
              </a:graphicData>
            </a:graphic>
          </wp:inline>
        </w:drawing>
      </w:r>
    </w:p>
    <w:p w14:paraId="3E551EF1" w14:textId="77777777" w:rsidR="00A61CBB" w:rsidRDefault="00A61CBB" w:rsidP="003B7989"/>
    <w:p w14:paraId="62D15926" w14:textId="263F0E6D" w:rsidR="00A61CBB" w:rsidRDefault="00A61CBB" w:rsidP="003B7989">
      <w:r w:rsidRPr="00A61CBB">
        <w:rPr>
          <w:noProof/>
        </w:rPr>
        <w:drawing>
          <wp:inline distT="0" distB="0" distL="0" distR="0" wp14:anchorId="772D2698" wp14:editId="1AF04B9D">
            <wp:extent cx="5731510" cy="2726224"/>
            <wp:effectExtent l="19050" t="19050" r="21590" b="171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726224"/>
                    </a:xfrm>
                    <a:prstGeom prst="rect">
                      <a:avLst/>
                    </a:prstGeom>
                    <a:noFill/>
                    <a:ln w="12700">
                      <a:solidFill>
                        <a:schemeClr val="accent2">
                          <a:lumMod val="75000"/>
                        </a:schemeClr>
                      </a:solidFill>
                    </a:ln>
                  </pic:spPr>
                </pic:pic>
              </a:graphicData>
            </a:graphic>
          </wp:inline>
        </w:drawing>
      </w:r>
    </w:p>
    <w:p w14:paraId="69915EBE" w14:textId="76D61A76" w:rsidR="00A61CBB" w:rsidRDefault="00A61CBB" w:rsidP="003B7989">
      <w:r w:rsidRPr="00A61CBB">
        <w:rPr>
          <w:noProof/>
        </w:rPr>
        <w:drawing>
          <wp:inline distT="0" distB="0" distL="0" distR="0" wp14:anchorId="36A624FD" wp14:editId="6C4988E9">
            <wp:extent cx="5731510" cy="5210952"/>
            <wp:effectExtent l="19050" t="19050" r="21590" b="279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5210952"/>
                    </a:xfrm>
                    <a:prstGeom prst="rect">
                      <a:avLst/>
                    </a:prstGeom>
                    <a:noFill/>
                    <a:ln w="12700">
                      <a:solidFill>
                        <a:schemeClr val="accent2">
                          <a:lumMod val="75000"/>
                        </a:schemeClr>
                      </a:solidFill>
                    </a:ln>
                  </pic:spPr>
                </pic:pic>
              </a:graphicData>
            </a:graphic>
          </wp:inline>
        </w:drawing>
      </w:r>
    </w:p>
    <w:p w14:paraId="1B563CD4" w14:textId="77777777" w:rsidR="00A61CBB" w:rsidRDefault="00A61CBB" w:rsidP="003B7989"/>
    <w:p w14:paraId="129A3476" w14:textId="0FFD3231" w:rsidR="00A61CBB" w:rsidRDefault="00A61CBB" w:rsidP="003B7989">
      <w:r w:rsidRPr="00A61CBB">
        <w:rPr>
          <w:noProof/>
        </w:rPr>
        <w:drawing>
          <wp:inline distT="0" distB="0" distL="0" distR="0" wp14:anchorId="23160F7C" wp14:editId="0023EBAD">
            <wp:extent cx="5731510" cy="3364847"/>
            <wp:effectExtent l="19050" t="19050" r="21590" b="266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364847"/>
                    </a:xfrm>
                    <a:prstGeom prst="rect">
                      <a:avLst/>
                    </a:prstGeom>
                    <a:noFill/>
                    <a:ln w="12700">
                      <a:solidFill>
                        <a:schemeClr val="accent2">
                          <a:lumMod val="75000"/>
                        </a:schemeClr>
                      </a:solidFill>
                    </a:ln>
                  </pic:spPr>
                </pic:pic>
              </a:graphicData>
            </a:graphic>
          </wp:inline>
        </w:drawing>
      </w:r>
    </w:p>
    <w:p w14:paraId="5A3F5AEB" w14:textId="77777777" w:rsidR="00A61CBB" w:rsidRDefault="00A61CBB" w:rsidP="003B7989"/>
    <w:p w14:paraId="7BEBC97F" w14:textId="37988FD4" w:rsidR="00A61CBB" w:rsidRDefault="00A47CD2" w:rsidP="003B7989">
      <w:r w:rsidRPr="00A47CD2">
        <w:rPr>
          <w:noProof/>
        </w:rPr>
        <w:drawing>
          <wp:inline distT="0" distB="0" distL="0" distR="0" wp14:anchorId="4C1020B5" wp14:editId="318C86CB">
            <wp:extent cx="5731510" cy="3783441"/>
            <wp:effectExtent l="19050" t="19050" r="21590" b="266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3783441"/>
                    </a:xfrm>
                    <a:prstGeom prst="rect">
                      <a:avLst/>
                    </a:prstGeom>
                    <a:noFill/>
                    <a:ln w="12700">
                      <a:solidFill>
                        <a:schemeClr val="accent2">
                          <a:lumMod val="75000"/>
                        </a:schemeClr>
                      </a:solidFill>
                    </a:ln>
                  </pic:spPr>
                </pic:pic>
              </a:graphicData>
            </a:graphic>
          </wp:inline>
        </w:drawing>
      </w:r>
    </w:p>
    <w:p w14:paraId="2AD635A0" w14:textId="77777777" w:rsidR="00A47CD2" w:rsidRDefault="00A47CD2" w:rsidP="003B7989"/>
    <w:p w14:paraId="02A932F2" w14:textId="2B2DB770" w:rsidR="00A47CD2" w:rsidRDefault="00A47CD2" w:rsidP="003B7989">
      <w:r w:rsidRPr="00A47CD2">
        <w:rPr>
          <w:noProof/>
        </w:rPr>
        <w:drawing>
          <wp:inline distT="0" distB="0" distL="0" distR="0" wp14:anchorId="7BACE4C7" wp14:editId="06321B3C">
            <wp:extent cx="5731510" cy="4647888"/>
            <wp:effectExtent l="19050" t="19050" r="21590" b="196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4647888"/>
                    </a:xfrm>
                    <a:prstGeom prst="rect">
                      <a:avLst/>
                    </a:prstGeom>
                    <a:noFill/>
                    <a:ln w="12700">
                      <a:solidFill>
                        <a:schemeClr val="accent2">
                          <a:lumMod val="75000"/>
                        </a:schemeClr>
                      </a:solidFill>
                    </a:ln>
                  </pic:spPr>
                </pic:pic>
              </a:graphicData>
            </a:graphic>
          </wp:inline>
        </w:drawing>
      </w:r>
    </w:p>
    <w:p w14:paraId="4DED795C" w14:textId="77777777" w:rsidR="00A47CD2" w:rsidRDefault="00A47CD2" w:rsidP="003B7989"/>
    <w:p w14:paraId="24024407" w14:textId="43FFA2CF" w:rsidR="00A47CD2" w:rsidRDefault="00A47CD2" w:rsidP="003B7989">
      <w:r w:rsidRPr="00A47CD2">
        <w:rPr>
          <w:noProof/>
        </w:rPr>
        <w:drawing>
          <wp:inline distT="0" distB="0" distL="0" distR="0" wp14:anchorId="5785AE53" wp14:editId="5BC63F1D">
            <wp:extent cx="5731510" cy="3293361"/>
            <wp:effectExtent l="19050" t="19050" r="21590" b="215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3293361"/>
                    </a:xfrm>
                    <a:prstGeom prst="rect">
                      <a:avLst/>
                    </a:prstGeom>
                    <a:noFill/>
                    <a:ln w="12700">
                      <a:solidFill>
                        <a:schemeClr val="accent2">
                          <a:lumMod val="75000"/>
                        </a:schemeClr>
                      </a:solidFill>
                    </a:ln>
                  </pic:spPr>
                </pic:pic>
              </a:graphicData>
            </a:graphic>
          </wp:inline>
        </w:drawing>
      </w:r>
    </w:p>
    <w:p w14:paraId="7F884A87" w14:textId="77777777" w:rsidR="00BD311E" w:rsidRDefault="00BD311E" w:rsidP="003B7989"/>
    <w:p w14:paraId="6C5382CC" w14:textId="00549573" w:rsidR="00BD311E" w:rsidRDefault="00BD311E" w:rsidP="003B7989">
      <w:r w:rsidRPr="00BD311E">
        <w:rPr>
          <w:noProof/>
        </w:rPr>
        <w:drawing>
          <wp:inline distT="0" distB="0" distL="0" distR="0" wp14:anchorId="44427274" wp14:editId="00877AC8">
            <wp:extent cx="5731510" cy="2018511"/>
            <wp:effectExtent l="19050" t="19050" r="21590" b="203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2018511"/>
                    </a:xfrm>
                    <a:prstGeom prst="rect">
                      <a:avLst/>
                    </a:prstGeom>
                    <a:noFill/>
                    <a:ln w="12700">
                      <a:solidFill>
                        <a:schemeClr val="accent2">
                          <a:lumMod val="75000"/>
                        </a:schemeClr>
                      </a:solidFill>
                    </a:ln>
                  </pic:spPr>
                </pic:pic>
              </a:graphicData>
            </a:graphic>
          </wp:inline>
        </w:drawing>
      </w:r>
    </w:p>
    <w:p w14:paraId="38BC2D81" w14:textId="77777777" w:rsidR="00BD311E" w:rsidRDefault="00BD311E" w:rsidP="003B7989"/>
    <w:p w14:paraId="06044962" w14:textId="60E72E3C" w:rsidR="00BD311E" w:rsidRDefault="00BD311E" w:rsidP="003B7989">
      <w:r w:rsidRPr="00BD311E">
        <w:rPr>
          <w:noProof/>
        </w:rPr>
        <w:drawing>
          <wp:inline distT="0" distB="0" distL="0" distR="0" wp14:anchorId="230B668B" wp14:editId="42FFA7E8">
            <wp:extent cx="5731510" cy="4727566"/>
            <wp:effectExtent l="19050" t="19050" r="21590" b="165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4727566"/>
                    </a:xfrm>
                    <a:prstGeom prst="rect">
                      <a:avLst/>
                    </a:prstGeom>
                    <a:noFill/>
                    <a:ln w="12700">
                      <a:solidFill>
                        <a:schemeClr val="accent2">
                          <a:lumMod val="75000"/>
                        </a:schemeClr>
                      </a:solidFill>
                    </a:ln>
                  </pic:spPr>
                </pic:pic>
              </a:graphicData>
            </a:graphic>
          </wp:inline>
        </w:drawing>
      </w:r>
    </w:p>
    <w:p w14:paraId="3E07B717" w14:textId="77777777" w:rsidR="00BD311E" w:rsidRDefault="00BD311E" w:rsidP="003B7989"/>
    <w:p w14:paraId="0A405B44" w14:textId="6DCE810D" w:rsidR="00BD311E" w:rsidRDefault="00BD311E" w:rsidP="003B7989">
      <w:r w:rsidRPr="00BD311E">
        <w:rPr>
          <w:noProof/>
        </w:rPr>
        <w:drawing>
          <wp:inline distT="0" distB="0" distL="0" distR="0" wp14:anchorId="3DE3C363" wp14:editId="3D6719BC">
            <wp:extent cx="5731510" cy="4021087"/>
            <wp:effectExtent l="19050" t="19050" r="21590" b="177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4021087"/>
                    </a:xfrm>
                    <a:prstGeom prst="rect">
                      <a:avLst/>
                    </a:prstGeom>
                    <a:noFill/>
                    <a:ln w="12700">
                      <a:solidFill>
                        <a:schemeClr val="accent2">
                          <a:lumMod val="75000"/>
                        </a:schemeClr>
                      </a:solidFill>
                    </a:ln>
                  </pic:spPr>
                </pic:pic>
              </a:graphicData>
            </a:graphic>
          </wp:inline>
        </w:drawing>
      </w:r>
    </w:p>
    <w:p w14:paraId="465F6E2D" w14:textId="77777777" w:rsidR="00BD311E" w:rsidRDefault="00BD311E" w:rsidP="003B7989"/>
    <w:p w14:paraId="6D567250" w14:textId="7F90C15E" w:rsidR="00BD311E" w:rsidRDefault="00BD311E" w:rsidP="003B7989">
      <w:r w:rsidRPr="00BD311E">
        <w:rPr>
          <w:noProof/>
        </w:rPr>
        <w:drawing>
          <wp:inline distT="0" distB="0" distL="0" distR="0" wp14:anchorId="1AB7BD48" wp14:editId="7F1A3B7B">
            <wp:extent cx="5731510" cy="3346479"/>
            <wp:effectExtent l="19050" t="19050" r="21590" b="254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3346479"/>
                    </a:xfrm>
                    <a:prstGeom prst="rect">
                      <a:avLst/>
                    </a:prstGeom>
                    <a:noFill/>
                    <a:ln w="12700">
                      <a:solidFill>
                        <a:schemeClr val="accent2">
                          <a:lumMod val="75000"/>
                        </a:schemeClr>
                      </a:solidFill>
                    </a:ln>
                  </pic:spPr>
                </pic:pic>
              </a:graphicData>
            </a:graphic>
          </wp:inline>
        </w:drawing>
      </w:r>
    </w:p>
    <w:p w14:paraId="19B347B8" w14:textId="77777777" w:rsidR="00BD311E" w:rsidRDefault="00BD311E" w:rsidP="003B7989"/>
    <w:p w14:paraId="3334837F" w14:textId="4D2BDC50" w:rsidR="00BD311E" w:rsidRDefault="00BD311E" w:rsidP="003B7989">
      <w:r w:rsidRPr="00BD311E">
        <w:rPr>
          <w:noProof/>
        </w:rPr>
        <w:drawing>
          <wp:inline distT="0" distB="0" distL="0" distR="0" wp14:anchorId="66120EA4" wp14:editId="4D27250F">
            <wp:extent cx="5731510" cy="3234930"/>
            <wp:effectExtent l="19050" t="19050" r="21590" b="2286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3234930"/>
                    </a:xfrm>
                    <a:prstGeom prst="rect">
                      <a:avLst/>
                    </a:prstGeom>
                    <a:noFill/>
                    <a:ln w="12700">
                      <a:solidFill>
                        <a:schemeClr val="accent2">
                          <a:lumMod val="75000"/>
                        </a:schemeClr>
                      </a:solidFill>
                    </a:ln>
                  </pic:spPr>
                </pic:pic>
              </a:graphicData>
            </a:graphic>
          </wp:inline>
        </w:drawing>
      </w:r>
    </w:p>
    <w:p w14:paraId="06C19323" w14:textId="77777777" w:rsidR="00BD311E" w:rsidRDefault="00BD311E" w:rsidP="003B7989"/>
    <w:p w14:paraId="4426BCC4" w14:textId="239926C7" w:rsidR="00BD311E" w:rsidRDefault="00BD311E" w:rsidP="003B7989">
      <w:r w:rsidRPr="00BD311E">
        <w:rPr>
          <w:noProof/>
        </w:rPr>
        <w:drawing>
          <wp:inline distT="0" distB="0" distL="0" distR="0" wp14:anchorId="03608C45" wp14:editId="1FF167A6">
            <wp:extent cx="5731510" cy="1721047"/>
            <wp:effectExtent l="19050" t="19050" r="21590" b="127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1721047"/>
                    </a:xfrm>
                    <a:prstGeom prst="rect">
                      <a:avLst/>
                    </a:prstGeom>
                    <a:noFill/>
                    <a:ln w="12700">
                      <a:solidFill>
                        <a:schemeClr val="accent2">
                          <a:lumMod val="75000"/>
                        </a:schemeClr>
                      </a:solidFill>
                    </a:ln>
                  </pic:spPr>
                </pic:pic>
              </a:graphicData>
            </a:graphic>
          </wp:inline>
        </w:drawing>
      </w:r>
    </w:p>
    <w:p w14:paraId="314DDDBF" w14:textId="1F31260F" w:rsidR="00BD311E" w:rsidRDefault="00BD311E" w:rsidP="003B7989">
      <w:r w:rsidRPr="00BD311E">
        <w:rPr>
          <w:noProof/>
        </w:rPr>
        <w:drawing>
          <wp:inline distT="0" distB="0" distL="0" distR="0" wp14:anchorId="1E0BBAEF" wp14:editId="296C9780">
            <wp:extent cx="5731510" cy="3829860"/>
            <wp:effectExtent l="19050" t="19050" r="2159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3829860"/>
                    </a:xfrm>
                    <a:prstGeom prst="rect">
                      <a:avLst/>
                    </a:prstGeom>
                    <a:noFill/>
                    <a:ln w="12700">
                      <a:solidFill>
                        <a:schemeClr val="accent2">
                          <a:lumMod val="75000"/>
                        </a:schemeClr>
                      </a:solidFill>
                    </a:ln>
                  </pic:spPr>
                </pic:pic>
              </a:graphicData>
            </a:graphic>
          </wp:inline>
        </w:drawing>
      </w:r>
    </w:p>
    <w:p w14:paraId="725D1FF5" w14:textId="77777777" w:rsidR="00BD311E" w:rsidRDefault="00BD311E" w:rsidP="003B7989"/>
    <w:p w14:paraId="2BA5C39D" w14:textId="6D3C77E1" w:rsidR="00BD311E" w:rsidRDefault="00BD311E" w:rsidP="003B7989">
      <w:r w:rsidRPr="00BD311E">
        <w:rPr>
          <w:noProof/>
        </w:rPr>
        <w:drawing>
          <wp:inline distT="0" distB="0" distL="0" distR="0" wp14:anchorId="0AB0847F" wp14:editId="3CB5AB2E">
            <wp:extent cx="5731510" cy="4276057"/>
            <wp:effectExtent l="19050" t="19050" r="21590" b="1079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4276057"/>
                    </a:xfrm>
                    <a:prstGeom prst="rect">
                      <a:avLst/>
                    </a:prstGeom>
                    <a:noFill/>
                    <a:ln w="12700">
                      <a:solidFill>
                        <a:schemeClr val="accent2">
                          <a:lumMod val="75000"/>
                        </a:schemeClr>
                      </a:solidFill>
                    </a:ln>
                  </pic:spPr>
                </pic:pic>
              </a:graphicData>
            </a:graphic>
          </wp:inline>
        </w:drawing>
      </w:r>
    </w:p>
    <w:p w14:paraId="3E74690F" w14:textId="77777777" w:rsidR="00BD311E" w:rsidRDefault="00BD311E" w:rsidP="003B7989"/>
    <w:p w14:paraId="677F83DB" w14:textId="24D6016E" w:rsidR="00BD311E" w:rsidRDefault="00BD311E" w:rsidP="003B7989">
      <w:r w:rsidRPr="00BD311E">
        <w:rPr>
          <w:noProof/>
        </w:rPr>
        <w:drawing>
          <wp:inline distT="0" distB="0" distL="0" distR="0" wp14:anchorId="75CC4353" wp14:editId="2B4A35BD">
            <wp:extent cx="5731510" cy="1662616"/>
            <wp:effectExtent l="19050" t="19050" r="21590" b="139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1662616"/>
                    </a:xfrm>
                    <a:prstGeom prst="rect">
                      <a:avLst/>
                    </a:prstGeom>
                    <a:noFill/>
                    <a:ln w="12700">
                      <a:solidFill>
                        <a:schemeClr val="accent2">
                          <a:lumMod val="75000"/>
                        </a:schemeClr>
                      </a:solidFill>
                    </a:ln>
                  </pic:spPr>
                </pic:pic>
              </a:graphicData>
            </a:graphic>
          </wp:inline>
        </w:drawing>
      </w:r>
    </w:p>
    <w:p w14:paraId="3756EBD4" w14:textId="57027FB3" w:rsidR="00BD311E" w:rsidRDefault="00BD311E" w:rsidP="003B7989">
      <w:r w:rsidRPr="00BD311E">
        <w:rPr>
          <w:noProof/>
        </w:rPr>
        <w:drawing>
          <wp:inline distT="0" distB="0" distL="0" distR="0" wp14:anchorId="5D0B302E" wp14:editId="25C9D4F2">
            <wp:extent cx="5731510" cy="5678391"/>
            <wp:effectExtent l="19050" t="19050" r="21590" b="177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5678391"/>
                    </a:xfrm>
                    <a:prstGeom prst="rect">
                      <a:avLst/>
                    </a:prstGeom>
                    <a:noFill/>
                    <a:ln w="12700">
                      <a:solidFill>
                        <a:schemeClr val="accent2">
                          <a:lumMod val="75000"/>
                        </a:schemeClr>
                      </a:solidFill>
                    </a:ln>
                  </pic:spPr>
                </pic:pic>
              </a:graphicData>
            </a:graphic>
          </wp:inline>
        </w:drawing>
      </w:r>
    </w:p>
    <w:p w14:paraId="34245CAC" w14:textId="12032090" w:rsidR="00BD311E" w:rsidRDefault="00BD311E" w:rsidP="003B7989">
      <w:r w:rsidRPr="00BD311E">
        <w:rPr>
          <w:noProof/>
        </w:rPr>
        <w:drawing>
          <wp:inline distT="0" distB="0" distL="0" distR="0" wp14:anchorId="436C0759" wp14:editId="70BF4DD5">
            <wp:extent cx="5731510" cy="2948089"/>
            <wp:effectExtent l="19050" t="19050" r="21590" b="2413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2948089"/>
                    </a:xfrm>
                    <a:prstGeom prst="rect">
                      <a:avLst/>
                    </a:prstGeom>
                    <a:noFill/>
                    <a:ln w="12700">
                      <a:solidFill>
                        <a:schemeClr val="accent2">
                          <a:lumMod val="75000"/>
                        </a:schemeClr>
                      </a:solidFill>
                    </a:ln>
                  </pic:spPr>
                </pic:pic>
              </a:graphicData>
            </a:graphic>
          </wp:inline>
        </w:drawing>
      </w:r>
    </w:p>
    <w:p w14:paraId="290B1A25" w14:textId="77777777" w:rsidR="00BD311E" w:rsidRDefault="00BD311E" w:rsidP="003B7989"/>
    <w:p w14:paraId="48D9D886" w14:textId="00B4B388" w:rsidR="00BD311E" w:rsidRDefault="00BD311E" w:rsidP="003B7989">
      <w:r w:rsidRPr="00BD311E">
        <w:rPr>
          <w:noProof/>
        </w:rPr>
        <w:drawing>
          <wp:inline distT="0" distB="0" distL="0" distR="0" wp14:anchorId="62B13382" wp14:editId="389EEB41">
            <wp:extent cx="5731510" cy="2671872"/>
            <wp:effectExtent l="19050" t="19050" r="21590" b="146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2671872"/>
                    </a:xfrm>
                    <a:prstGeom prst="rect">
                      <a:avLst/>
                    </a:prstGeom>
                    <a:noFill/>
                    <a:ln w="12700">
                      <a:solidFill>
                        <a:schemeClr val="accent2">
                          <a:lumMod val="75000"/>
                        </a:schemeClr>
                      </a:solidFill>
                    </a:ln>
                  </pic:spPr>
                </pic:pic>
              </a:graphicData>
            </a:graphic>
          </wp:inline>
        </w:drawing>
      </w:r>
    </w:p>
    <w:p w14:paraId="4E6F607D" w14:textId="77777777" w:rsidR="00BD311E" w:rsidRDefault="00BD311E" w:rsidP="003B7989"/>
    <w:p w14:paraId="20341326" w14:textId="77777777" w:rsidR="00B612BD" w:rsidRDefault="00B612BD" w:rsidP="003B7989"/>
    <w:p w14:paraId="08CF5101" w14:textId="77777777" w:rsidR="00B612BD" w:rsidRDefault="00B612BD" w:rsidP="003B7989"/>
    <w:p w14:paraId="14634FAF" w14:textId="77777777" w:rsidR="00B612BD" w:rsidRDefault="00B612BD" w:rsidP="003B7989"/>
    <w:p w14:paraId="40F4A884" w14:textId="77777777" w:rsidR="00B612BD" w:rsidRDefault="00B612BD" w:rsidP="003B7989"/>
    <w:p w14:paraId="04F1B5C9" w14:textId="77777777" w:rsidR="00B612BD" w:rsidRDefault="00B612BD" w:rsidP="003B7989"/>
    <w:p w14:paraId="47D78DBA" w14:textId="77777777" w:rsidR="00B612BD" w:rsidRDefault="00B612BD" w:rsidP="003B7989"/>
    <w:p w14:paraId="3364EAC5" w14:textId="77777777" w:rsidR="00B612BD" w:rsidRDefault="00B612BD" w:rsidP="003B7989"/>
    <w:p w14:paraId="418F4502" w14:textId="77777777" w:rsidR="00B612BD" w:rsidRDefault="00B612BD" w:rsidP="003B7989"/>
    <w:p w14:paraId="30573578" w14:textId="77777777" w:rsidR="00B612BD" w:rsidRDefault="00B612BD" w:rsidP="003B7989"/>
    <w:p w14:paraId="1CAB0AF9" w14:textId="77777777" w:rsidR="00B612BD" w:rsidRDefault="00B612BD" w:rsidP="003B7989"/>
    <w:p w14:paraId="68D0A5C8" w14:textId="77777777" w:rsidR="00B612BD" w:rsidRDefault="00B612BD" w:rsidP="003B7989"/>
    <w:p w14:paraId="2774D3C2" w14:textId="77777777" w:rsidR="00B612BD" w:rsidRDefault="00B612BD" w:rsidP="003B7989"/>
    <w:p w14:paraId="47EC74BF" w14:textId="77777777" w:rsidR="00B612BD" w:rsidRDefault="00B612BD" w:rsidP="003B7989"/>
    <w:p w14:paraId="554790DD" w14:textId="77777777" w:rsidR="00B612BD" w:rsidRDefault="00B612BD" w:rsidP="003B7989"/>
    <w:p w14:paraId="358D4115" w14:textId="77777777" w:rsidR="00B612BD" w:rsidRDefault="00B612BD" w:rsidP="003B7989"/>
    <w:p w14:paraId="07069175" w14:textId="77777777" w:rsidR="00B612BD" w:rsidRDefault="00B612BD" w:rsidP="003B7989"/>
    <w:p w14:paraId="1F583269" w14:textId="77777777" w:rsidR="00B612BD" w:rsidRPr="00B612BD" w:rsidRDefault="00B612BD" w:rsidP="00B612BD">
      <w:pPr>
        <w:keepNext/>
        <w:keepLines/>
        <w:outlineLvl w:val="0"/>
        <w:rPr>
          <w:rFonts w:eastAsiaTheme="majorEastAsia" w:cstheme="majorBidi"/>
          <w:b/>
          <w:bCs/>
          <w:iCs/>
          <w:color w:val="0070C0"/>
          <w:sz w:val="26"/>
          <w:szCs w:val="26"/>
          <w:lang w:val="it-IT"/>
        </w:rPr>
        <w:sectPr w:rsidR="00B612BD" w:rsidRPr="00B612BD" w:rsidSect="00DA1F8C">
          <w:footerReference w:type="default" r:id="rId42"/>
          <w:pgSz w:w="11906" w:h="16838"/>
          <w:pgMar w:top="1440" w:right="1440" w:bottom="1701" w:left="1440" w:header="708" w:footer="708" w:gutter="0"/>
          <w:cols w:space="708"/>
          <w:titlePg/>
          <w:docGrid w:linePitch="360"/>
        </w:sectPr>
      </w:pPr>
    </w:p>
    <w:p w14:paraId="35752AEA" w14:textId="66699FFD" w:rsidR="00B612BD" w:rsidRPr="00F22823" w:rsidRDefault="00B612BD" w:rsidP="00F22823">
      <w:pPr>
        <w:pStyle w:val="Heading1"/>
        <w:numPr>
          <w:ilvl w:val="0"/>
          <w:numId w:val="0"/>
        </w:numPr>
        <w:rPr>
          <w:lang w:val="en-GB"/>
        </w:rPr>
      </w:pPr>
      <w:bookmarkStart w:id="90" w:name="_Toc163148050"/>
      <w:r w:rsidRPr="00F22823">
        <w:rPr>
          <w:lang w:val="en-GB"/>
        </w:rPr>
        <w:t>Annex 5 Passport of Indicators of Public Finance Management Strategy 2023-2026</w:t>
      </w:r>
      <w:bookmarkEnd w:id="90"/>
    </w:p>
    <w:p w14:paraId="6AFC3097" w14:textId="5237E738" w:rsidR="00B612BD" w:rsidRPr="00B612BD" w:rsidRDefault="00B612BD" w:rsidP="00B612BD">
      <w:pPr>
        <w:rPr>
          <w:lang w:val="it-IT"/>
        </w:rPr>
      </w:pPr>
    </w:p>
    <w:p w14:paraId="67E10C09" w14:textId="170E1FBF" w:rsidR="00B612BD" w:rsidRPr="00B612BD" w:rsidRDefault="00B612BD" w:rsidP="00B612BD">
      <w:pPr>
        <w:rPr>
          <w:lang w:val="it-IT"/>
        </w:rPr>
      </w:pPr>
    </w:p>
    <w:p w14:paraId="7EA33129" w14:textId="667323AA" w:rsidR="00B612BD" w:rsidRDefault="00B612BD" w:rsidP="003B7989">
      <w:r w:rsidRPr="00B612BD">
        <w:rPr>
          <w:noProof/>
        </w:rPr>
        <w:drawing>
          <wp:inline distT="0" distB="0" distL="0" distR="0" wp14:anchorId="5275002A" wp14:editId="324C2FEF">
            <wp:extent cx="8697595" cy="5000151"/>
            <wp:effectExtent l="19050" t="19050" r="27305" b="1016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697595" cy="5000151"/>
                    </a:xfrm>
                    <a:prstGeom prst="rect">
                      <a:avLst/>
                    </a:prstGeom>
                    <a:noFill/>
                    <a:ln w="12700">
                      <a:solidFill>
                        <a:schemeClr val="accent2">
                          <a:lumMod val="75000"/>
                        </a:schemeClr>
                      </a:solidFill>
                    </a:ln>
                  </pic:spPr>
                </pic:pic>
              </a:graphicData>
            </a:graphic>
          </wp:inline>
        </w:drawing>
      </w:r>
    </w:p>
    <w:p w14:paraId="2FD7A6A9" w14:textId="77777777" w:rsidR="00F41621" w:rsidRDefault="00F41621" w:rsidP="003B7989"/>
    <w:p w14:paraId="282A91D3" w14:textId="7819BD4F" w:rsidR="00F41621" w:rsidRDefault="00F41621" w:rsidP="003B7989">
      <w:r w:rsidRPr="00F41621">
        <w:rPr>
          <w:noProof/>
        </w:rPr>
        <w:drawing>
          <wp:inline distT="0" distB="0" distL="0" distR="0" wp14:anchorId="3A40F85C" wp14:editId="6F38D566">
            <wp:extent cx="8697595" cy="5292986"/>
            <wp:effectExtent l="19050" t="19050" r="27305" b="222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697595" cy="5292986"/>
                    </a:xfrm>
                    <a:prstGeom prst="rect">
                      <a:avLst/>
                    </a:prstGeom>
                    <a:noFill/>
                    <a:ln w="12700">
                      <a:solidFill>
                        <a:schemeClr val="accent2">
                          <a:lumMod val="75000"/>
                        </a:schemeClr>
                      </a:solidFill>
                    </a:ln>
                  </pic:spPr>
                </pic:pic>
              </a:graphicData>
            </a:graphic>
          </wp:inline>
        </w:drawing>
      </w:r>
    </w:p>
    <w:p w14:paraId="725FAA67" w14:textId="77777777" w:rsidR="00F41621" w:rsidRDefault="00F41621" w:rsidP="003B7989"/>
    <w:p w14:paraId="1603456A" w14:textId="77777777" w:rsidR="00F41621" w:rsidRDefault="00F41621" w:rsidP="003B7989"/>
    <w:p w14:paraId="168AB97E" w14:textId="4301B05A" w:rsidR="00F41621" w:rsidRDefault="00F41621" w:rsidP="003B7989">
      <w:r w:rsidRPr="00F41621">
        <w:rPr>
          <w:noProof/>
        </w:rPr>
        <w:drawing>
          <wp:inline distT="0" distB="0" distL="0" distR="0" wp14:anchorId="2A6E7681" wp14:editId="4AA03C06">
            <wp:extent cx="8697595" cy="5406459"/>
            <wp:effectExtent l="19050" t="19050" r="27305" b="2286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697595" cy="5406459"/>
                    </a:xfrm>
                    <a:prstGeom prst="rect">
                      <a:avLst/>
                    </a:prstGeom>
                    <a:noFill/>
                    <a:ln w="12700">
                      <a:solidFill>
                        <a:schemeClr val="accent2">
                          <a:lumMod val="75000"/>
                        </a:schemeClr>
                      </a:solidFill>
                    </a:ln>
                  </pic:spPr>
                </pic:pic>
              </a:graphicData>
            </a:graphic>
          </wp:inline>
        </w:drawing>
      </w:r>
    </w:p>
    <w:p w14:paraId="002B80C9" w14:textId="77777777" w:rsidR="00F41621" w:rsidRDefault="00F41621" w:rsidP="003B7989"/>
    <w:p w14:paraId="64415799" w14:textId="4BA79A94" w:rsidR="00F41621" w:rsidRDefault="00F41621" w:rsidP="003B7989">
      <w:r w:rsidRPr="00F41621">
        <w:rPr>
          <w:noProof/>
        </w:rPr>
        <w:drawing>
          <wp:inline distT="0" distB="0" distL="0" distR="0" wp14:anchorId="18B0644E" wp14:editId="6F88A4E0">
            <wp:extent cx="8697595" cy="2159249"/>
            <wp:effectExtent l="19050" t="19050" r="27305" b="1270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697595" cy="2159249"/>
                    </a:xfrm>
                    <a:prstGeom prst="rect">
                      <a:avLst/>
                    </a:prstGeom>
                    <a:noFill/>
                    <a:ln w="12700">
                      <a:solidFill>
                        <a:schemeClr val="accent2">
                          <a:lumMod val="75000"/>
                        </a:schemeClr>
                      </a:solidFill>
                    </a:ln>
                  </pic:spPr>
                </pic:pic>
              </a:graphicData>
            </a:graphic>
          </wp:inline>
        </w:drawing>
      </w:r>
    </w:p>
    <w:p w14:paraId="682A0E0C" w14:textId="77777777" w:rsidR="00F41621" w:rsidRDefault="00F41621" w:rsidP="003B7989"/>
    <w:p w14:paraId="5E5FAEDD" w14:textId="2888BE0C" w:rsidR="00F41621" w:rsidRDefault="00F41621" w:rsidP="003B7989">
      <w:r w:rsidRPr="00F41621">
        <w:rPr>
          <w:noProof/>
        </w:rPr>
        <w:drawing>
          <wp:inline distT="0" distB="0" distL="0" distR="0" wp14:anchorId="057A55EF" wp14:editId="3DC192D1">
            <wp:extent cx="8697595" cy="3570956"/>
            <wp:effectExtent l="19050" t="19050" r="27305" b="1079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697595" cy="3570956"/>
                    </a:xfrm>
                    <a:prstGeom prst="rect">
                      <a:avLst/>
                    </a:prstGeom>
                    <a:noFill/>
                    <a:ln w="12700">
                      <a:solidFill>
                        <a:schemeClr val="accent2">
                          <a:lumMod val="75000"/>
                        </a:schemeClr>
                      </a:solidFill>
                    </a:ln>
                  </pic:spPr>
                </pic:pic>
              </a:graphicData>
            </a:graphic>
          </wp:inline>
        </w:drawing>
      </w:r>
    </w:p>
    <w:p w14:paraId="462A213C" w14:textId="77777777" w:rsidR="00F41621" w:rsidRDefault="00F41621" w:rsidP="003B7989"/>
    <w:p w14:paraId="46C58C9C" w14:textId="790534D2" w:rsidR="00F41621" w:rsidRDefault="00E1727D" w:rsidP="003B7989">
      <w:r w:rsidRPr="00E1727D">
        <w:rPr>
          <w:noProof/>
        </w:rPr>
        <w:drawing>
          <wp:inline distT="0" distB="0" distL="0" distR="0" wp14:anchorId="4BC4FA6B" wp14:editId="7ACF74B6">
            <wp:extent cx="8697595" cy="5275497"/>
            <wp:effectExtent l="19050" t="19050" r="27305" b="209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697595" cy="5275497"/>
                    </a:xfrm>
                    <a:prstGeom prst="rect">
                      <a:avLst/>
                    </a:prstGeom>
                    <a:noFill/>
                    <a:ln w="12700">
                      <a:solidFill>
                        <a:schemeClr val="accent2">
                          <a:lumMod val="75000"/>
                        </a:schemeClr>
                      </a:solidFill>
                    </a:ln>
                  </pic:spPr>
                </pic:pic>
              </a:graphicData>
            </a:graphic>
          </wp:inline>
        </w:drawing>
      </w:r>
    </w:p>
    <w:p w14:paraId="03BD7676" w14:textId="77777777" w:rsidR="00E1727D" w:rsidRDefault="00E1727D" w:rsidP="003B7989"/>
    <w:p w14:paraId="621789F0" w14:textId="77777777" w:rsidR="00E1727D" w:rsidRDefault="00E1727D" w:rsidP="003B7989"/>
    <w:p w14:paraId="3C13B3A0" w14:textId="2625969A" w:rsidR="00E1727D" w:rsidRDefault="00E1727D" w:rsidP="003B7989">
      <w:r w:rsidRPr="00E1727D">
        <w:rPr>
          <w:noProof/>
        </w:rPr>
        <w:drawing>
          <wp:inline distT="0" distB="0" distL="0" distR="0" wp14:anchorId="7F743DE1" wp14:editId="60060C32">
            <wp:extent cx="8697595" cy="5721256"/>
            <wp:effectExtent l="19050" t="19050" r="27305" b="133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697595" cy="5721256"/>
                    </a:xfrm>
                    <a:prstGeom prst="rect">
                      <a:avLst/>
                    </a:prstGeom>
                    <a:noFill/>
                    <a:ln w="12700">
                      <a:solidFill>
                        <a:schemeClr val="accent2">
                          <a:lumMod val="75000"/>
                        </a:schemeClr>
                      </a:solidFill>
                    </a:ln>
                  </pic:spPr>
                </pic:pic>
              </a:graphicData>
            </a:graphic>
          </wp:inline>
        </w:drawing>
      </w:r>
    </w:p>
    <w:p w14:paraId="23B01A99" w14:textId="5370B888" w:rsidR="00F41621" w:rsidRDefault="00E1727D" w:rsidP="003B7989">
      <w:r w:rsidRPr="00E1727D">
        <w:rPr>
          <w:noProof/>
        </w:rPr>
        <w:drawing>
          <wp:inline distT="0" distB="0" distL="0" distR="0" wp14:anchorId="6B891A4C" wp14:editId="7AF0F154">
            <wp:extent cx="8697595" cy="5052617"/>
            <wp:effectExtent l="19050" t="19050" r="27305" b="152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697595" cy="5052617"/>
                    </a:xfrm>
                    <a:prstGeom prst="rect">
                      <a:avLst/>
                    </a:prstGeom>
                    <a:noFill/>
                    <a:ln w="12700">
                      <a:solidFill>
                        <a:schemeClr val="accent2">
                          <a:lumMod val="75000"/>
                        </a:schemeClr>
                      </a:solidFill>
                    </a:ln>
                  </pic:spPr>
                </pic:pic>
              </a:graphicData>
            </a:graphic>
          </wp:inline>
        </w:drawing>
      </w:r>
    </w:p>
    <w:p w14:paraId="46FBF8B6" w14:textId="32063683" w:rsidR="00E1727D" w:rsidRPr="003B7989" w:rsidRDefault="00E1727D" w:rsidP="003B7989"/>
    <w:sectPr w:rsidR="00E1727D" w:rsidRPr="003B7989" w:rsidSect="00B612BD">
      <w:footerReference w:type="default" r:id="rId51"/>
      <w:pgSz w:w="16838" w:h="11906" w:orient="landscape"/>
      <w:pgMar w:top="1440" w:right="1440" w:bottom="144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10020" w14:textId="77777777" w:rsidR="00342306" w:rsidRDefault="00342306" w:rsidP="00463C15">
      <w:pPr>
        <w:spacing w:line="240" w:lineRule="auto"/>
      </w:pPr>
      <w:r>
        <w:separator/>
      </w:r>
    </w:p>
  </w:endnote>
  <w:endnote w:type="continuationSeparator" w:id="0">
    <w:p w14:paraId="0A21CECC" w14:textId="77777777" w:rsidR="00342306" w:rsidRDefault="00342306" w:rsidP="00463C15">
      <w:pPr>
        <w:spacing w:line="240" w:lineRule="auto"/>
      </w:pPr>
      <w:r>
        <w:continuationSeparator/>
      </w:r>
    </w:p>
  </w:endnote>
  <w:endnote w:type="continuationNotice" w:id="1">
    <w:p w14:paraId="01BCFB0A" w14:textId="77777777" w:rsidR="00342306" w:rsidRDefault="003423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Light">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lbertus Extra Bold">
    <w:altName w:val="Berlin Sans FB Dem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116463"/>
      <w:docPartObj>
        <w:docPartGallery w:val="Page Numbers (Bottom of Page)"/>
        <w:docPartUnique/>
      </w:docPartObj>
    </w:sdtPr>
    <w:sdtEndPr>
      <w:rPr>
        <w:noProof/>
      </w:rPr>
    </w:sdtEndPr>
    <w:sdtContent>
      <w:p w14:paraId="22F13804" w14:textId="382397F3" w:rsidR="006A4183" w:rsidRDefault="006A4183">
        <w:pPr>
          <w:pStyle w:val="Footer"/>
          <w:jc w:val="right"/>
        </w:pPr>
        <w:r>
          <w:fldChar w:fldCharType="begin"/>
        </w:r>
        <w:r>
          <w:instrText xml:space="preserve"> PAGE   \* MERGEFORMAT </w:instrText>
        </w:r>
        <w:r>
          <w:fldChar w:fldCharType="separate"/>
        </w:r>
        <w:r w:rsidR="00AE24DA">
          <w:rPr>
            <w:noProof/>
          </w:rPr>
          <w:t>2</w:t>
        </w:r>
        <w:r>
          <w:rPr>
            <w:noProof/>
          </w:rPr>
          <w:fldChar w:fldCharType="end"/>
        </w:r>
      </w:p>
    </w:sdtContent>
  </w:sdt>
  <w:p w14:paraId="10606174" w14:textId="77777777" w:rsidR="006A4183" w:rsidRDefault="006A41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4ECF" w14:textId="50C2F624" w:rsidR="00115297" w:rsidRDefault="00115297">
    <w:pPr>
      <w:pStyle w:val="Footer"/>
    </w:pPr>
  </w:p>
  <w:p w14:paraId="1D07515D" w14:textId="77777777" w:rsidR="00115297" w:rsidRDefault="00115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F573F" w14:textId="77777777" w:rsidR="00342306" w:rsidRDefault="00342306" w:rsidP="00463C15">
      <w:pPr>
        <w:spacing w:line="240" w:lineRule="auto"/>
      </w:pPr>
      <w:r>
        <w:separator/>
      </w:r>
    </w:p>
  </w:footnote>
  <w:footnote w:type="continuationSeparator" w:id="0">
    <w:p w14:paraId="7B1C5C7E" w14:textId="77777777" w:rsidR="00342306" w:rsidRDefault="00342306" w:rsidP="00463C15">
      <w:pPr>
        <w:spacing w:line="240" w:lineRule="auto"/>
      </w:pPr>
      <w:r>
        <w:continuationSeparator/>
      </w:r>
    </w:p>
  </w:footnote>
  <w:footnote w:type="continuationNotice" w:id="1">
    <w:p w14:paraId="6D2F6F38" w14:textId="77777777" w:rsidR="00342306" w:rsidRDefault="00342306">
      <w:pPr>
        <w:spacing w:line="240" w:lineRule="auto"/>
      </w:pPr>
    </w:p>
  </w:footnote>
  <w:footnote w:id="2">
    <w:p w14:paraId="5CF685A8" w14:textId="77777777" w:rsidR="00115297" w:rsidRPr="009D2A31" w:rsidRDefault="00115297" w:rsidP="009048FA">
      <w:pPr>
        <w:pStyle w:val="N-Bullet"/>
        <w:numPr>
          <w:ilvl w:val="0"/>
          <w:numId w:val="0"/>
        </w:numPr>
        <w:spacing w:line="200" w:lineRule="exact"/>
        <w:ind w:left="284" w:hanging="284"/>
        <w:rPr>
          <w:rFonts w:eastAsiaTheme="majorEastAsia" w:cstheme="majorBidi"/>
          <w:i/>
          <w:color w:val="0070C0"/>
          <w:sz w:val="14"/>
          <w:szCs w:val="14"/>
        </w:rPr>
      </w:pPr>
      <w:r w:rsidRPr="009D2A31">
        <w:rPr>
          <w:rStyle w:val="FootnoteReference"/>
          <w:sz w:val="14"/>
        </w:rPr>
        <w:footnoteRef/>
      </w:r>
      <w:r w:rsidRPr="009D2A31">
        <w:rPr>
          <w:sz w:val="14"/>
          <w:szCs w:val="14"/>
        </w:rPr>
        <w:t xml:space="preserve"> </w:t>
      </w:r>
      <w:r>
        <w:rPr>
          <w:sz w:val="14"/>
          <w:szCs w:val="14"/>
        </w:rPr>
        <w:tab/>
      </w:r>
      <w:r w:rsidRPr="009D2A31">
        <w:rPr>
          <w:rStyle w:val="FootnoteReference"/>
          <w:sz w:val="14"/>
          <w:vertAlign w:val="baseline"/>
        </w:rPr>
        <w:t>Republic of Albania, Council of Ministers, Economic Reform Programme 2023-2025, 31 January 2023.</w:t>
      </w:r>
    </w:p>
  </w:footnote>
  <w:footnote w:id="3">
    <w:p w14:paraId="7F8CF319" w14:textId="037C6FA7" w:rsidR="00115297" w:rsidRDefault="00115297" w:rsidP="009048FA">
      <w:pPr>
        <w:pStyle w:val="FootnoteText"/>
        <w:rPr>
          <w:lang w:val="it-IT"/>
        </w:rPr>
      </w:pPr>
      <w:r w:rsidRPr="001C6BB3">
        <w:rPr>
          <w:rStyle w:val="FootnoteReference"/>
          <w:sz w:val="14"/>
        </w:rPr>
        <w:footnoteRef/>
      </w:r>
      <w:r>
        <w:rPr>
          <w:lang w:val="it-IT"/>
        </w:rPr>
        <w:t xml:space="preserve">    </w:t>
      </w:r>
      <w:r w:rsidRPr="009048FA">
        <w:rPr>
          <w:sz w:val="14"/>
          <w:szCs w:val="16"/>
        </w:rPr>
        <w:t>Republi</w:t>
      </w:r>
      <w:r>
        <w:rPr>
          <w:sz w:val="14"/>
          <w:szCs w:val="16"/>
        </w:rPr>
        <w:t>c</w:t>
      </w:r>
      <w:r w:rsidRPr="009048FA">
        <w:rPr>
          <w:sz w:val="14"/>
          <w:szCs w:val="16"/>
        </w:rPr>
        <w:t xml:space="preserve"> </w:t>
      </w:r>
      <w:r>
        <w:rPr>
          <w:sz w:val="14"/>
          <w:szCs w:val="16"/>
        </w:rPr>
        <w:t>of</w:t>
      </w:r>
      <w:r w:rsidRPr="009048FA">
        <w:rPr>
          <w:sz w:val="14"/>
          <w:szCs w:val="16"/>
        </w:rPr>
        <w:t xml:space="preserve"> </w:t>
      </w:r>
      <w:r>
        <w:rPr>
          <w:sz w:val="14"/>
          <w:szCs w:val="16"/>
        </w:rPr>
        <w:t>Albania</w:t>
      </w:r>
      <w:r w:rsidRPr="00125158">
        <w:rPr>
          <w:rStyle w:val="FootnoteReference"/>
          <w:sz w:val="14"/>
          <w:vertAlign w:val="baseline"/>
        </w:rPr>
        <w:t xml:space="preserve"> </w:t>
      </w:r>
      <w:r w:rsidRPr="009D2A31">
        <w:rPr>
          <w:rStyle w:val="FootnoteReference"/>
          <w:sz w:val="14"/>
          <w:vertAlign w:val="baseline"/>
        </w:rPr>
        <w:t xml:space="preserve">Council of Ministers, Economic Reform Programme </w:t>
      </w:r>
      <w:r>
        <w:rPr>
          <w:sz w:val="14"/>
        </w:rPr>
        <w:t xml:space="preserve"> </w:t>
      </w:r>
      <w:r w:rsidRPr="009048FA">
        <w:rPr>
          <w:sz w:val="14"/>
          <w:szCs w:val="16"/>
        </w:rPr>
        <w:t>202</w:t>
      </w:r>
      <w:r>
        <w:rPr>
          <w:sz w:val="14"/>
          <w:szCs w:val="16"/>
        </w:rPr>
        <w:t>4</w:t>
      </w:r>
      <w:r w:rsidRPr="009048FA">
        <w:rPr>
          <w:sz w:val="14"/>
          <w:szCs w:val="16"/>
        </w:rPr>
        <w:t>-202</w:t>
      </w:r>
      <w:r>
        <w:rPr>
          <w:sz w:val="14"/>
          <w:szCs w:val="16"/>
        </w:rPr>
        <w:t>6</w:t>
      </w:r>
      <w:r w:rsidRPr="009048FA">
        <w:rPr>
          <w:sz w:val="14"/>
          <w:szCs w:val="16"/>
        </w:rPr>
        <w:t xml:space="preserve">, </w:t>
      </w:r>
      <w:r>
        <w:rPr>
          <w:sz w:val="14"/>
          <w:szCs w:val="16"/>
        </w:rPr>
        <w:t>15</w:t>
      </w:r>
      <w:r w:rsidRPr="009048FA">
        <w:rPr>
          <w:sz w:val="14"/>
          <w:szCs w:val="16"/>
        </w:rPr>
        <w:t xml:space="preserve"> Januar</w:t>
      </w:r>
      <w:r>
        <w:rPr>
          <w:sz w:val="14"/>
          <w:szCs w:val="16"/>
        </w:rPr>
        <w:t>y</w:t>
      </w:r>
      <w:r w:rsidRPr="009048FA">
        <w:rPr>
          <w:sz w:val="14"/>
          <w:szCs w:val="16"/>
        </w:rPr>
        <w:t xml:space="preserve"> 202</w:t>
      </w:r>
      <w:r>
        <w:rPr>
          <w:sz w:val="14"/>
          <w:szCs w:val="16"/>
        </w:rPr>
        <w:t>4</w:t>
      </w:r>
      <w:r w:rsidRPr="009048FA">
        <w:rPr>
          <w:sz w:val="14"/>
          <w:szCs w:val="16"/>
        </w:rPr>
        <w:t>.</w:t>
      </w:r>
    </w:p>
  </w:footnote>
  <w:footnote w:id="4">
    <w:p w14:paraId="234C7EBA" w14:textId="321471D1" w:rsidR="00115297" w:rsidRPr="00200748" w:rsidRDefault="00115297" w:rsidP="00505C7E">
      <w:pPr>
        <w:spacing w:line="200" w:lineRule="exact"/>
        <w:ind w:left="284" w:hanging="284"/>
        <w:rPr>
          <w:sz w:val="14"/>
          <w:szCs w:val="14"/>
        </w:rPr>
      </w:pPr>
      <w:r w:rsidRPr="00200748">
        <w:rPr>
          <w:rStyle w:val="FootnoteReference"/>
          <w:sz w:val="14"/>
        </w:rPr>
        <w:footnoteRef/>
      </w:r>
      <w:r w:rsidRPr="00200748">
        <w:rPr>
          <w:sz w:val="14"/>
          <w:szCs w:val="14"/>
        </w:rPr>
        <w:t xml:space="preserve"> </w:t>
      </w:r>
      <w:r>
        <w:rPr>
          <w:sz w:val="14"/>
          <w:szCs w:val="14"/>
        </w:rPr>
        <w:tab/>
      </w:r>
      <w:r w:rsidRPr="00200748">
        <w:rPr>
          <w:sz w:val="14"/>
          <w:szCs w:val="14"/>
        </w:rPr>
        <w:t>Law No. 30/2022 “On the approval of the Official Statistics Program 2022-2026”</w:t>
      </w:r>
    </w:p>
    <w:p w14:paraId="334EDF4F" w14:textId="48A66782" w:rsidR="00115297" w:rsidRPr="00200748" w:rsidRDefault="00115297">
      <w:pPr>
        <w:pStyle w:val="FootnoteText"/>
      </w:pPr>
    </w:p>
  </w:footnote>
  <w:footnote w:id="5">
    <w:p w14:paraId="2A0C2315" w14:textId="27F94542" w:rsidR="00115297" w:rsidRPr="005E6EF5" w:rsidRDefault="00115297" w:rsidP="00505C7E">
      <w:pPr>
        <w:pStyle w:val="FootnoteText"/>
        <w:spacing w:line="200" w:lineRule="exact"/>
        <w:ind w:left="284" w:hanging="284"/>
        <w:rPr>
          <w:sz w:val="14"/>
          <w:szCs w:val="14"/>
        </w:rPr>
      </w:pPr>
      <w:r w:rsidRPr="00A15181">
        <w:rPr>
          <w:rStyle w:val="FootnoteReference"/>
          <w:sz w:val="14"/>
        </w:rPr>
        <w:footnoteRef/>
      </w:r>
      <w:r>
        <w:rPr>
          <w:sz w:val="14"/>
          <w:szCs w:val="14"/>
        </w:rPr>
        <w:t xml:space="preserve"> </w:t>
      </w:r>
      <w:r>
        <w:rPr>
          <w:sz w:val="14"/>
          <w:szCs w:val="14"/>
        </w:rPr>
        <w:tab/>
        <w:t>MoF Directory General of Macroeconomic Programming</w:t>
      </w:r>
    </w:p>
  </w:footnote>
  <w:footnote w:id="6">
    <w:p w14:paraId="7A16D104" w14:textId="3AFDB84E" w:rsidR="00115297" w:rsidRPr="0088380C" w:rsidRDefault="00115297" w:rsidP="000D65EC">
      <w:pPr>
        <w:pStyle w:val="FootnoteText"/>
        <w:spacing w:line="200" w:lineRule="exact"/>
        <w:ind w:left="284" w:hanging="284"/>
        <w:rPr>
          <w:sz w:val="14"/>
          <w:szCs w:val="14"/>
        </w:rPr>
      </w:pPr>
      <w:r w:rsidRPr="0088380C">
        <w:rPr>
          <w:rStyle w:val="FootnoteReference"/>
          <w:sz w:val="14"/>
        </w:rPr>
        <w:footnoteRef/>
      </w:r>
      <w:r w:rsidRPr="0088380C">
        <w:rPr>
          <w:sz w:val="14"/>
          <w:szCs w:val="14"/>
        </w:rPr>
        <w:t xml:space="preserve"> </w:t>
      </w:r>
      <w:r w:rsidRPr="0088380C">
        <w:rPr>
          <w:sz w:val="14"/>
          <w:szCs w:val="14"/>
        </w:rPr>
        <w:tab/>
        <w:t xml:space="preserve">IMF provides support through its bi-annual engagement with MoF as part </w:t>
      </w:r>
      <w:r>
        <w:rPr>
          <w:sz w:val="14"/>
          <w:szCs w:val="14"/>
        </w:rPr>
        <w:t>of the Article 4 Consultations. The technical assistance is yet to be decided from which independent international and financial institution is going to be offered.</w:t>
      </w:r>
    </w:p>
  </w:footnote>
  <w:footnote w:id="7">
    <w:p w14:paraId="36CA8679" w14:textId="77777777" w:rsidR="00115297" w:rsidRPr="0088380C" w:rsidRDefault="00115297" w:rsidP="000565DE">
      <w:pPr>
        <w:pStyle w:val="FootnoteText"/>
        <w:spacing w:line="200" w:lineRule="exact"/>
        <w:ind w:left="284" w:hanging="284"/>
        <w:rPr>
          <w:sz w:val="14"/>
          <w:szCs w:val="14"/>
        </w:rPr>
      </w:pPr>
      <w:r w:rsidRPr="0088380C">
        <w:rPr>
          <w:rStyle w:val="FootnoteReference"/>
          <w:sz w:val="14"/>
        </w:rPr>
        <w:footnoteRef/>
      </w:r>
      <w:r w:rsidRPr="0088380C">
        <w:rPr>
          <w:sz w:val="14"/>
          <w:szCs w:val="14"/>
        </w:rPr>
        <w:t xml:space="preserve"> </w:t>
      </w:r>
      <w:r w:rsidRPr="0088380C">
        <w:rPr>
          <w:sz w:val="14"/>
          <w:szCs w:val="14"/>
        </w:rPr>
        <w:tab/>
        <w:t>IMF provides support through it</w:t>
      </w:r>
      <w:r>
        <w:rPr>
          <w:sz w:val="14"/>
          <w:szCs w:val="14"/>
        </w:rPr>
        <w:t>s bi-annual engagement with MoF</w:t>
      </w:r>
      <w:r w:rsidRPr="0088380C">
        <w:rPr>
          <w:sz w:val="14"/>
          <w:szCs w:val="14"/>
        </w:rPr>
        <w:t xml:space="preserve"> as part of the Article 4 Consultations.</w:t>
      </w:r>
    </w:p>
  </w:footnote>
  <w:footnote w:id="8">
    <w:p w14:paraId="1295A468" w14:textId="77777777" w:rsidR="00115297" w:rsidRPr="00400358" w:rsidRDefault="00115297" w:rsidP="000565DE">
      <w:pPr>
        <w:pStyle w:val="EcorysBody"/>
        <w:spacing w:line="200" w:lineRule="exact"/>
        <w:ind w:left="284" w:hanging="284"/>
        <w:rPr>
          <w:rFonts w:ascii="Arial" w:hAnsi="Arial" w:cs="Arial"/>
          <w:sz w:val="14"/>
          <w:szCs w:val="14"/>
        </w:rPr>
      </w:pPr>
      <w:r w:rsidRPr="0088380C">
        <w:rPr>
          <w:rStyle w:val="FootnoteReference"/>
          <w:sz w:val="14"/>
        </w:rPr>
        <w:footnoteRef/>
      </w:r>
      <w:r w:rsidRPr="0088380C">
        <w:rPr>
          <w:rFonts w:ascii="Arial" w:hAnsi="Arial" w:cs="Arial"/>
          <w:sz w:val="14"/>
          <w:szCs w:val="14"/>
        </w:rPr>
        <w:t xml:space="preserve"> </w:t>
      </w:r>
      <w:r w:rsidRPr="0088380C">
        <w:rPr>
          <w:rFonts w:ascii="Arial" w:hAnsi="Arial" w:cs="Arial"/>
          <w:sz w:val="14"/>
          <w:szCs w:val="14"/>
        </w:rPr>
        <w:tab/>
        <w:t>IMF fiscal risk management toolkit</w:t>
      </w:r>
      <w:r>
        <w:rPr>
          <w:rFonts w:ascii="Arial" w:hAnsi="Arial" w:cs="Arial"/>
          <w:sz w:val="14"/>
          <w:szCs w:val="14"/>
        </w:rPr>
        <w:t xml:space="preserve"> (</w:t>
      </w:r>
      <w:hyperlink r:id="rId1" w:history="1">
        <w:r w:rsidRPr="0088380C">
          <w:rPr>
            <w:rFonts w:ascii="Arial" w:hAnsi="Arial" w:cs="Arial"/>
            <w:sz w:val="14"/>
            <w:szCs w:val="14"/>
          </w:rPr>
          <w:t>https://www.imf.org/en/Topics/fiscal-policies/Fiscal-Risks/Fiscal-Risks-Toolkit</w:t>
        </w:r>
      </w:hyperlink>
      <w:r>
        <w:rPr>
          <w:rFonts w:ascii="Arial" w:hAnsi="Arial" w:cs="Arial"/>
          <w:sz w:val="14"/>
          <w:szCs w:val="14"/>
        </w:rPr>
        <w:t>) may be used as guidance material</w:t>
      </w:r>
      <w:r w:rsidRPr="0088380C">
        <w:rPr>
          <w:rFonts w:ascii="Arial" w:hAnsi="Arial" w:cs="Arial"/>
          <w:sz w:val="14"/>
          <w:szCs w:val="14"/>
        </w:rPr>
        <w:t xml:space="preserve">. It </w:t>
      </w:r>
      <w:r>
        <w:rPr>
          <w:rFonts w:ascii="Arial" w:hAnsi="Arial" w:cs="Arial"/>
          <w:sz w:val="14"/>
          <w:szCs w:val="14"/>
        </w:rPr>
        <w:t xml:space="preserve">may be </w:t>
      </w:r>
      <w:r w:rsidRPr="0088380C">
        <w:rPr>
          <w:rFonts w:ascii="Arial" w:hAnsi="Arial" w:cs="Arial"/>
          <w:sz w:val="14"/>
          <w:szCs w:val="14"/>
        </w:rPr>
        <w:t>envisaged that all S</w:t>
      </w:r>
      <w:r>
        <w:rPr>
          <w:rFonts w:ascii="Arial" w:hAnsi="Arial" w:cs="Arial"/>
          <w:sz w:val="14"/>
          <w:szCs w:val="14"/>
        </w:rPr>
        <w:t xml:space="preserve">tate Owned Enterprises </w:t>
      </w:r>
      <w:r w:rsidRPr="0088380C">
        <w:rPr>
          <w:rFonts w:ascii="Arial" w:hAnsi="Arial" w:cs="Arial"/>
          <w:sz w:val="14"/>
          <w:szCs w:val="14"/>
        </w:rPr>
        <w:t>are subject to assessment, monitoring and oversight arrangements as to identify contingent liabilities</w:t>
      </w:r>
      <w:r>
        <w:rPr>
          <w:rFonts w:ascii="Arial" w:hAnsi="Arial" w:cs="Arial"/>
          <w:sz w:val="14"/>
          <w:szCs w:val="14"/>
        </w:rPr>
        <w:t xml:space="preserve"> and manage fiscal risks.</w:t>
      </w:r>
    </w:p>
  </w:footnote>
  <w:footnote w:id="9">
    <w:p w14:paraId="11D0D219" w14:textId="77777777" w:rsidR="00115297" w:rsidRPr="008F7945" w:rsidRDefault="00115297" w:rsidP="000565DE">
      <w:pPr>
        <w:pStyle w:val="FootnoteText"/>
        <w:spacing w:line="200" w:lineRule="exact"/>
        <w:ind w:left="284" w:hanging="284"/>
      </w:pPr>
      <w:r w:rsidRPr="0088380C">
        <w:rPr>
          <w:rStyle w:val="FootnoteReference"/>
          <w:sz w:val="14"/>
        </w:rPr>
        <w:footnoteRef/>
      </w:r>
      <w:r w:rsidRPr="0088380C">
        <w:rPr>
          <w:sz w:val="14"/>
          <w:szCs w:val="14"/>
        </w:rPr>
        <w:t xml:space="preserve"> </w:t>
      </w:r>
      <w:r w:rsidRPr="0088380C">
        <w:rPr>
          <w:sz w:val="14"/>
          <w:szCs w:val="14"/>
        </w:rPr>
        <w:tab/>
      </w:r>
      <w:r>
        <w:rPr>
          <w:sz w:val="14"/>
          <w:szCs w:val="14"/>
        </w:rPr>
        <w:t>TBA</w:t>
      </w:r>
    </w:p>
  </w:footnote>
  <w:footnote w:id="10">
    <w:p w14:paraId="4A21ACBF" w14:textId="24755234" w:rsidR="00115297" w:rsidRPr="00861795" w:rsidRDefault="00115297" w:rsidP="00505C7E">
      <w:pPr>
        <w:pStyle w:val="FootnoteText"/>
        <w:spacing w:line="200" w:lineRule="exact"/>
        <w:ind w:left="284" w:hanging="284"/>
      </w:pPr>
      <w:r w:rsidRPr="00861795">
        <w:rPr>
          <w:rStyle w:val="FootnoteReference"/>
          <w:sz w:val="14"/>
        </w:rPr>
        <w:footnoteRef/>
      </w:r>
      <w:r w:rsidRPr="00861795">
        <w:rPr>
          <w:rStyle w:val="FootnoteReference"/>
          <w:sz w:val="14"/>
        </w:rPr>
        <w:t xml:space="preserve"> </w:t>
      </w:r>
      <w:r>
        <w:rPr>
          <w:sz w:val="14"/>
        </w:rPr>
        <w:tab/>
      </w:r>
      <w:r w:rsidRPr="00861795">
        <w:rPr>
          <w:rStyle w:val="FootnoteReference"/>
          <w:sz w:val="14"/>
          <w:vertAlign w:val="baseline"/>
        </w:rPr>
        <w:t>The establishment of a fiscal council by the end of 2026 is suggested by the PAR roadmap</w:t>
      </w:r>
      <w:r>
        <w:rPr>
          <w:sz w:val="14"/>
        </w:rPr>
        <w:t xml:space="preserve"> 2023-2030</w:t>
      </w:r>
      <w:r w:rsidRPr="00861795">
        <w:rPr>
          <w:rStyle w:val="FootnoteReference"/>
          <w:sz w:val="14"/>
          <w:vertAlign w:val="baseline"/>
        </w:rPr>
        <w:t xml:space="preserve"> (VENDIM Nr. 737, datë 13.12.2023, PËR MIRATIMIN E UDHËRRËFYESIT PËR REFORMËN NË ADMINISTRATËN PUBLIKE 2023–2030).</w:t>
      </w:r>
    </w:p>
  </w:footnote>
  <w:footnote w:id="11">
    <w:p w14:paraId="5846A8A6" w14:textId="77777777" w:rsidR="00115297" w:rsidRPr="00A15181" w:rsidRDefault="00115297" w:rsidP="00505C7E">
      <w:pPr>
        <w:pStyle w:val="FootnoteText"/>
        <w:spacing w:line="200" w:lineRule="exact"/>
        <w:ind w:left="284" w:hanging="284"/>
        <w:rPr>
          <w:sz w:val="14"/>
          <w:szCs w:val="14"/>
        </w:rPr>
      </w:pPr>
      <w:r w:rsidRPr="00A15181">
        <w:rPr>
          <w:rStyle w:val="FootnoteReference"/>
          <w:sz w:val="14"/>
        </w:rPr>
        <w:footnoteRef/>
      </w:r>
      <w:r w:rsidRPr="00A15181">
        <w:rPr>
          <w:sz w:val="14"/>
          <w:szCs w:val="14"/>
        </w:rPr>
        <w:t xml:space="preserve"> </w:t>
      </w:r>
      <w:r w:rsidRPr="00A15181">
        <w:rPr>
          <w:sz w:val="14"/>
          <w:szCs w:val="14"/>
        </w:rPr>
        <w:tab/>
        <w:t>Council Directive 2011/85/EU of 8 November 2011 on requirements for budgetary frameworks of the Member States.</w:t>
      </w:r>
    </w:p>
  </w:footnote>
  <w:footnote w:id="12">
    <w:p w14:paraId="29C0CA8A" w14:textId="37199144" w:rsidR="00115297" w:rsidRPr="00A15181" w:rsidRDefault="00115297" w:rsidP="00505C7E">
      <w:pPr>
        <w:spacing w:line="200" w:lineRule="exact"/>
        <w:ind w:left="284" w:hanging="284"/>
        <w:rPr>
          <w:sz w:val="14"/>
          <w:szCs w:val="14"/>
        </w:rPr>
      </w:pPr>
      <w:r w:rsidRPr="00A15181">
        <w:rPr>
          <w:rStyle w:val="FootnoteReference"/>
          <w:sz w:val="14"/>
        </w:rPr>
        <w:footnoteRef/>
      </w:r>
      <w:r w:rsidRPr="00A15181">
        <w:rPr>
          <w:sz w:val="14"/>
          <w:szCs w:val="14"/>
        </w:rPr>
        <w:t xml:space="preserve"> </w:t>
      </w:r>
      <w:r w:rsidRPr="00A15181">
        <w:rPr>
          <w:sz w:val="14"/>
          <w:szCs w:val="14"/>
        </w:rPr>
        <w:tab/>
        <w:t xml:space="preserve">The EU independent fiscal institutions network (https://www.euifis.eu) </w:t>
      </w:r>
      <w:r>
        <w:rPr>
          <w:sz w:val="14"/>
          <w:szCs w:val="14"/>
        </w:rPr>
        <w:t xml:space="preserve">and OECD </w:t>
      </w:r>
      <w:r w:rsidRPr="00A15181">
        <w:rPr>
          <w:sz w:val="14"/>
          <w:szCs w:val="14"/>
        </w:rPr>
        <w:t xml:space="preserve">provide guidance materials for </w:t>
      </w:r>
      <w:r>
        <w:rPr>
          <w:sz w:val="14"/>
          <w:szCs w:val="14"/>
        </w:rPr>
        <w:t xml:space="preserve">independent </w:t>
      </w:r>
      <w:r w:rsidRPr="00A15181">
        <w:rPr>
          <w:sz w:val="14"/>
          <w:szCs w:val="14"/>
        </w:rPr>
        <w:t>fiscal institutions.</w:t>
      </w:r>
    </w:p>
  </w:footnote>
  <w:footnote w:id="13">
    <w:p w14:paraId="207D6751" w14:textId="350DB5C8" w:rsidR="00115297" w:rsidRPr="00A44817" w:rsidRDefault="00115297" w:rsidP="00505C7E">
      <w:pPr>
        <w:pStyle w:val="FootnoteText"/>
        <w:spacing w:line="200" w:lineRule="exact"/>
        <w:ind w:left="284" w:hanging="284"/>
        <w:rPr>
          <w:sz w:val="14"/>
          <w:szCs w:val="14"/>
        </w:rPr>
      </w:pPr>
      <w:r w:rsidRPr="00A44817">
        <w:rPr>
          <w:rStyle w:val="FootnoteReference"/>
          <w:sz w:val="14"/>
        </w:rPr>
        <w:footnoteRef/>
      </w:r>
      <w:r w:rsidRPr="00A44817">
        <w:rPr>
          <w:sz w:val="14"/>
          <w:szCs w:val="14"/>
        </w:rPr>
        <w:t xml:space="preserve"> </w:t>
      </w:r>
      <w:r>
        <w:rPr>
          <w:sz w:val="14"/>
          <w:szCs w:val="14"/>
        </w:rPr>
        <w:tab/>
        <w:t xml:space="preserve">SASPAC is currently in the process of procuring an upgrade of the IPSIS. Linkages between IPSIS and </w:t>
      </w:r>
      <w:r w:rsidRPr="00A44817">
        <w:rPr>
          <w:sz w:val="14"/>
          <w:szCs w:val="14"/>
        </w:rPr>
        <w:t>In particular AFMIS for the purpose of formulating the MTBP</w:t>
      </w:r>
      <w:r>
        <w:rPr>
          <w:sz w:val="14"/>
          <w:szCs w:val="14"/>
        </w:rPr>
        <w:t>, public investment management and budget performance reporting.</w:t>
      </w:r>
    </w:p>
  </w:footnote>
  <w:footnote w:id="14">
    <w:p w14:paraId="3E057A82" w14:textId="33950581" w:rsidR="00115297" w:rsidRPr="00771868" w:rsidRDefault="00115297" w:rsidP="00505C7E">
      <w:pPr>
        <w:pStyle w:val="FootnoteText"/>
        <w:spacing w:line="200" w:lineRule="exact"/>
        <w:ind w:left="284" w:hanging="284"/>
        <w:rPr>
          <w:sz w:val="14"/>
          <w:szCs w:val="14"/>
        </w:rPr>
      </w:pPr>
      <w:r w:rsidRPr="00771868">
        <w:rPr>
          <w:rStyle w:val="FootnoteReference"/>
          <w:sz w:val="14"/>
        </w:rPr>
        <w:footnoteRef/>
      </w:r>
      <w:r w:rsidRPr="00771868">
        <w:rPr>
          <w:sz w:val="14"/>
          <w:szCs w:val="14"/>
        </w:rPr>
        <w:t xml:space="preserve"> </w:t>
      </w:r>
      <w:r w:rsidRPr="00771868">
        <w:rPr>
          <w:sz w:val="14"/>
          <w:szCs w:val="14"/>
        </w:rPr>
        <w:tab/>
        <w:t xml:space="preserve">SIGMA 2021 Report </w:t>
      </w:r>
      <w:hyperlink r:id="rId2" w:history="1">
        <w:r w:rsidRPr="00982B6C">
          <w:rPr>
            <w:rStyle w:val="Hyperlink"/>
            <w:sz w:val="14"/>
            <w:szCs w:val="14"/>
          </w:rPr>
          <w:t>https://www.sigmaweb.org/publications/Monitoring-Report-2021-Albania.pdf</w:t>
        </w:r>
      </w:hyperlink>
      <w:r>
        <w:rPr>
          <w:sz w:val="14"/>
          <w:szCs w:val="14"/>
        </w:rPr>
        <w:t xml:space="preserve"> </w:t>
      </w:r>
    </w:p>
  </w:footnote>
  <w:footnote w:id="15">
    <w:p w14:paraId="7339A0FE" w14:textId="77777777" w:rsidR="00115297" w:rsidRPr="001C3C3C" w:rsidRDefault="00115297" w:rsidP="00505C7E">
      <w:pPr>
        <w:pStyle w:val="FootnoteText"/>
        <w:spacing w:line="200" w:lineRule="exact"/>
        <w:ind w:left="284" w:hanging="284"/>
        <w:rPr>
          <w:sz w:val="14"/>
          <w:szCs w:val="14"/>
        </w:rPr>
      </w:pPr>
      <w:r w:rsidRPr="001C3C3C">
        <w:rPr>
          <w:rStyle w:val="FootnoteReference"/>
          <w:sz w:val="14"/>
        </w:rPr>
        <w:footnoteRef/>
      </w:r>
      <w:r w:rsidRPr="001C3C3C">
        <w:rPr>
          <w:sz w:val="14"/>
          <w:szCs w:val="14"/>
        </w:rPr>
        <w:t xml:space="preserve"> </w:t>
      </w:r>
      <w:r>
        <w:rPr>
          <w:sz w:val="14"/>
          <w:szCs w:val="14"/>
        </w:rPr>
        <w:tab/>
      </w:r>
      <w:r w:rsidRPr="001C3C3C">
        <w:rPr>
          <w:sz w:val="14"/>
          <w:szCs w:val="14"/>
        </w:rPr>
        <w:t xml:space="preserve">Including the relation between first and second level Budget Institutions, the responsibility of executive management of Budget Institutions and mandate of (budget) programme managers.  </w:t>
      </w:r>
    </w:p>
  </w:footnote>
  <w:footnote w:id="16">
    <w:p w14:paraId="04E23354" w14:textId="77777777" w:rsidR="00115297" w:rsidRPr="001C3C3C" w:rsidRDefault="00115297" w:rsidP="00505C7E">
      <w:pPr>
        <w:pStyle w:val="FootnoteText"/>
        <w:spacing w:line="200" w:lineRule="exact"/>
        <w:ind w:left="284" w:hanging="284"/>
        <w:rPr>
          <w:sz w:val="14"/>
          <w:szCs w:val="14"/>
        </w:rPr>
      </w:pPr>
      <w:r w:rsidRPr="001C3C3C">
        <w:rPr>
          <w:rStyle w:val="FootnoteReference"/>
          <w:sz w:val="14"/>
        </w:rPr>
        <w:footnoteRef/>
      </w:r>
      <w:r w:rsidRPr="001C3C3C">
        <w:rPr>
          <w:sz w:val="14"/>
          <w:szCs w:val="14"/>
        </w:rPr>
        <w:t xml:space="preserve"> </w:t>
      </w:r>
      <w:r w:rsidRPr="001C3C3C">
        <w:rPr>
          <w:sz w:val="14"/>
          <w:szCs w:val="14"/>
        </w:rPr>
        <w:tab/>
        <w:t>E.g. system of electronic signatures</w:t>
      </w:r>
    </w:p>
  </w:footnote>
  <w:footnote w:id="17">
    <w:p w14:paraId="74D7C526" w14:textId="6ECE46C2" w:rsidR="00115297" w:rsidRPr="001C3C3C" w:rsidRDefault="00115297" w:rsidP="00505C7E">
      <w:pPr>
        <w:pStyle w:val="FootnoteText"/>
        <w:spacing w:line="200" w:lineRule="exact"/>
        <w:ind w:left="284" w:hanging="284"/>
        <w:rPr>
          <w:sz w:val="14"/>
          <w:szCs w:val="14"/>
        </w:rPr>
      </w:pPr>
      <w:r w:rsidRPr="001C3C3C">
        <w:rPr>
          <w:rStyle w:val="FootnoteReference"/>
          <w:sz w:val="14"/>
        </w:rPr>
        <w:footnoteRef/>
      </w:r>
      <w:r w:rsidRPr="001C3C3C">
        <w:rPr>
          <w:sz w:val="14"/>
          <w:szCs w:val="14"/>
        </w:rPr>
        <w:t xml:space="preserve"> </w:t>
      </w:r>
      <w:r>
        <w:rPr>
          <w:sz w:val="14"/>
          <w:szCs w:val="14"/>
        </w:rPr>
        <w:tab/>
      </w:r>
      <w:r w:rsidRPr="001C3C3C">
        <w:rPr>
          <w:sz w:val="14"/>
          <w:szCs w:val="14"/>
        </w:rPr>
        <w:t>TBA</w:t>
      </w:r>
    </w:p>
  </w:footnote>
  <w:footnote w:id="18">
    <w:p w14:paraId="14B34662" w14:textId="7A7D8566" w:rsidR="00115297" w:rsidRPr="001C3C3C" w:rsidRDefault="00115297" w:rsidP="00505C7E">
      <w:pPr>
        <w:pStyle w:val="FootnoteText"/>
        <w:spacing w:line="200" w:lineRule="exact"/>
        <w:ind w:left="284" w:hanging="284"/>
        <w:rPr>
          <w:sz w:val="14"/>
          <w:szCs w:val="14"/>
        </w:rPr>
      </w:pPr>
      <w:r w:rsidRPr="001C3C3C">
        <w:rPr>
          <w:rStyle w:val="FootnoteReference"/>
          <w:sz w:val="14"/>
        </w:rPr>
        <w:footnoteRef/>
      </w:r>
      <w:r w:rsidRPr="001C3C3C">
        <w:rPr>
          <w:sz w:val="14"/>
          <w:szCs w:val="14"/>
        </w:rPr>
        <w:t xml:space="preserve"> </w:t>
      </w:r>
      <w:r>
        <w:rPr>
          <w:sz w:val="14"/>
          <w:szCs w:val="14"/>
        </w:rPr>
        <w:tab/>
      </w:r>
      <w:r w:rsidRPr="001C3C3C">
        <w:rPr>
          <w:sz w:val="14"/>
          <w:szCs w:val="14"/>
        </w:rPr>
        <w:t>TBA</w:t>
      </w:r>
    </w:p>
  </w:footnote>
  <w:footnote w:id="19">
    <w:p w14:paraId="59EB4086" w14:textId="3C7393D0" w:rsidR="00115297" w:rsidRPr="001C3C3C" w:rsidRDefault="00115297" w:rsidP="00505C7E">
      <w:pPr>
        <w:pStyle w:val="FootnoteText"/>
        <w:spacing w:line="200" w:lineRule="exact"/>
        <w:ind w:left="284" w:hanging="284"/>
      </w:pPr>
      <w:r w:rsidRPr="001C3C3C">
        <w:rPr>
          <w:rStyle w:val="FootnoteReference"/>
          <w:sz w:val="14"/>
        </w:rPr>
        <w:footnoteRef/>
      </w:r>
      <w:r w:rsidRPr="001C3C3C">
        <w:rPr>
          <w:sz w:val="14"/>
          <w:szCs w:val="14"/>
        </w:rPr>
        <w:t xml:space="preserve"> </w:t>
      </w:r>
      <w:r>
        <w:rPr>
          <w:sz w:val="14"/>
          <w:szCs w:val="14"/>
        </w:rPr>
        <w:tab/>
      </w:r>
      <w:r w:rsidRPr="001C3C3C">
        <w:rPr>
          <w:sz w:val="14"/>
          <w:szCs w:val="14"/>
        </w:rPr>
        <w:t>TBA</w:t>
      </w:r>
    </w:p>
  </w:footnote>
  <w:footnote w:id="20">
    <w:p w14:paraId="2550EC18" w14:textId="77777777" w:rsidR="00115297" w:rsidRPr="00EA4BF3" w:rsidRDefault="00115297" w:rsidP="00F4641F">
      <w:pPr>
        <w:pStyle w:val="FootnoteText"/>
        <w:spacing w:line="200" w:lineRule="exact"/>
        <w:ind w:left="284" w:hanging="284"/>
        <w:rPr>
          <w:sz w:val="14"/>
          <w:szCs w:val="14"/>
        </w:rPr>
      </w:pPr>
      <w:r w:rsidRPr="001C3C3C">
        <w:rPr>
          <w:rStyle w:val="FootnoteReference"/>
          <w:sz w:val="14"/>
        </w:rPr>
        <w:footnoteRef/>
      </w:r>
      <w:r w:rsidRPr="001C3C3C">
        <w:rPr>
          <w:sz w:val="14"/>
          <w:szCs w:val="14"/>
        </w:rPr>
        <w:t xml:space="preserve"> </w:t>
      </w:r>
      <w:r w:rsidRPr="001C3C3C">
        <w:rPr>
          <w:sz w:val="14"/>
          <w:szCs w:val="14"/>
        </w:rPr>
        <w:tab/>
        <w:t xml:space="preserve">MoF is responsible for Public Investment Project appraisal and selection, formulation of the capital segment of the budget and monitoring and reporting on capital project implementation; SASPAC is mandated to develop national strategies and the unique list of projects of </w:t>
      </w:r>
      <w:r w:rsidRPr="00EA4BF3">
        <w:rPr>
          <w:sz w:val="14"/>
          <w:szCs w:val="14"/>
        </w:rPr>
        <w:t>national importance whereas Budget Institutions prepare capital project proposals and implement projects.</w:t>
      </w:r>
    </w:p>
  </w:footnote>
  <w:footnote w:id="21">
    <w:p w14:paraId="2C7E1C20" w14:textId="77777777" w:rsidR="00115297" w:rsidRPr="00B05174" w:rsidRDefault="00115297" w:rsidP="00F4641F">
      <w:pPr>
        <w:pStyle w:val="FootnoteText"/>
        <w:spacing w:line="288" w:lineRule="auto"/>
        <w:ind w:left="284" w:hanging="284"/>
        <w:rPr>
          <w:sz w:val="14"/>
          <w:szCs w:val="14"/>
        </w:rPr>
      </w:pPr>
      <w:r w:rsidRPr="00EA4BF3">
        <w:rPr>
          <w:rStyle w:val="FootnoteReference"/>
          <w:sz w:val="14"/>
        </w:rPr>
        <w:footnoteRef/>
      </w:r>
      <w:r w:rsidRPr="00EA4BF3">
        <w:rPr>
          <w:sz w:val="14"/>
          <w:szCs w:val="14"/>
        </w:rPr>
        <w:t xml:space="preserve"> </w:t>
      </w:r>
      <w:r w:rsidRPr="00EA4BF3">
        <w:rPr>
          <w:sz w:val="14"/>
          <w:szCs w:val="14"/>
        </w:rPr>
        <w:tab/>
        <w:t>Approved by DCM Nr. 447, dated 26/07/2023 on “Priority Policy Document 2024-2026”</w:t>
      </w:r>
    </w:p>
  </w:footnote>
  <w:footnote w:id="22">
    <w:p w14:paraId="7D09D56F" w14:textId="77777777" w:rsidR="00115297" w:rsidRPr="00B05174" w:rsidRDefault="00115297" w:rsidP="00F4641F">
      <w:pPr>
        <w:pStyle w:val="FootnoteText"/>
        <w:spacing w:line="200" w:lineRule="exact"/>
        <w:ind w:left="284" w:hanging="284"/>
        <w:rPr>
          <w:sz w:val="14"/>
          <w:szCs w:val="14"/>
        </w:rPr>
      </w:pPr>
      <w:r w:rsidRPr="00B05174">
        <w:rPr>
          <w:sz w:val="14"/>
          <w:szCs w:val="14"/>
          <w:vertAlign w:val="superscript"/>
        </w:rPr>
        <w:footnoteRef/>
      </w:r>
      <w:r w:rsidRPr="00B05174">
        <w:rPr>
          <w:sz w:val="14"/>
          <w:szCs w:val="14"/>
        </w:rPr>
        <w:t xml:space="preserve"> </w:t>
      </w:r>
      <w:r w:rsidRPr="00B05174">
        <w:rPr>
          <w:sz w:val="14"/>
          <w:szCs w:val="14"/>
        </w:rPr>
        <w:tab/>
        <w:t xml:space="preserve">At least </w:t>
      </w:r>
      <w:r>
        <w:rPr>
          <w:sz w:val="14"/>
          <w:szCs w:val="14"/>
        </w:rPr>
        <w:t>2</w:t>
      </w:r>
      <w:r w:rsidRPr="00B05174">
        <w:rPr>
          <w:sz w:val="14"/>
          <w:szCs w:val="14"/>
        </w:rPr>
        <w:t xml:space="preserve">0% in the first year, </w:t>
      </w:r>
      <w:r>
        <w:rPr>
          <w:sz w:val="14"/>
          <w:szCs w:val="14"/>
        </w:rPr>
        <w:t>30</w:t>
      </w:r>
      <w:r w:rsidRPr="00B05174">
        <w:rPr>
          <w:sz w:val="14"/>
          <w:szCs w:val="14"/>
        </w:rPr>
        <w:t xml:space="preserve">% in the second year and </w:t>
      </w:r>
      <w:r>
        <w:rPr>
          <w:sz w:val="14"/>
          <w:szCs w:val="14"/>
        </w:rPr>
        <w:t>30</w:t>
      </w:r>
      <w:r w:rsidRPr="00B05174">
        <w:rPr>
          <w:sz w:val="14"/>
          <w:szCs w:val="14"/>
        </w:rPr>
        <w:t>% in the third year.</w:t>
      </w:r>
    </w:p>
  </w:footnote>
  <w:footnote w:id="23">
    <w:p w14:paraId="7D4DED0B" w14:textId="77777777" w:rsidR="00115297" w:rsidRPr="00B05174" w:rsidRDefault="00115297" w:rsidP="00F4641F">
      <w:pPr>
        <w:spacing w:line="200" w:lineRule="exact"/>
        <w:ind w:left="284" w:hanging="284"/>
        <w:rPr>
          <w:sz w:val="14"/>
          <w:szCs w:val="14"/>
        </w:rPr>
      </w:pPr>
      <w:r w:rsidRPr="00B05174">
        <w:rPr>
          <w:rStyle w:val="FootnoteReference"/>
          <w:sz w:val="14"/>
        </w:rPr>
        <w:footnoteRef/>
      </w:r>
      <w:r w:rsidRPr="00B05174">
        <w:rPr>
          <w:sz w:val="14"/>
          <w:szCs w:val="14"/>
        </w:rPr>
        <w:t xml:space="preserve"> </w:t>
      </w:r>
      <w:r w:rsidRPr="00B05174">
        <w:rPr>
          <w:sz w:val="14"/>
          <w:szCs w:val="14"/>
        </w:rPr>
        <w:tab/>
        <w:t xml:space="preserve">Decision No. 887 dated 27.12.2022 “for public investment management procedures“; </w:t>
      </w:r>
      <w:r w:rsidRPr="00B05174">
        <w:rPr>
          <w:sz w:val="14"/>
          <w:szCs w:val="14"/>
          <w:lang w:val="sq-AL"/>
        </w:rPr>
        <w:t>Instruction No. 4 dated 20.02.2023 "For determining the financial limit of the full value of the project in accordance with the specifics of the sector, on the basis of which the method and procedure of evaluating the public investment project is determined"</w:t>
      </w:r>
      <w:r w:rsidRPr="00B05174">
        <w:rPr>
          <w:sz w:val="14"/>
          <w:szCs w:val="14"/>
        </w:rPr>
        <w:t xml:space="preserve">; Instruction no. 20 dated 22.06.2023 for an addition to instruction no. 4 </w:t>
      </w:r>
      <w:r w:rsidRPr="00B05174">
        <w:rPr>
          <w:sz w:val="14"/>
          <w:szCs w:val="14"/>
          <w:lang w:val="sq-AL"/>
        </w:rPr>
        <w:t>dated 20.02.2023 "For determining the financial limit of the full value of the project in accordance with the specifics of the sector, on the basis of which the method and procedure of evaluating the public investment project is determined"</w:t>
      </w:r>
      <w:r w:rsidRPr="00B05174">
        <w:rPr>
          <w:sz w:val="14"/>
          <w:szCs w:val="14"/>
        </w:rPr>
        <w:t>.</w:t>
      </w:r>
      <w:r>
        <w:rPr>
          <w:sz w:val="14"/>
          <w:szCs w:val="14"/>
        </w:rPr>
        <w:t xml:space="preserve"> Order No. 41, dated 25.01.2023, for “Approval of the content, methodology of filling and sending of the strategic relevance assessment form”.  </w:t>
      </w:r>
    </w:p>
  </w:footnote>
  <w:footnote w:id="24">
    <w:p w14:paraId="1D6A528D" w14:textId="63FC4757" w:rsidR="00115297" w:rsidRPr="00B05174" w:rsidRDefault="00115297" w:rsidP="00505C7E">
      <w:pPr>
        <w:pStyle w:val="FootnoteText"/>
        <w:spacing w:line="200" w:lineRule="exact"/>
        <w:ind w:left="284" w:hanging="284"/>
      </w:pPr>
      <w:r w:rsidRPr="00B05174">
        <w:rPr>
          <w:rStyle w:val="FootnoteReference"/>
          <w:sz w:val="14"/>
        </w:rPr>
        <w:footnoteRef/>
      </w:r>
      <w:r w:rsidRPr="00B05174">
        <w:rPr>
          <w:sz w:val="14"/>
          <w:szCs w:val="14"/>
        </w:rPr>
        <w:t xml:space="preserve"> </w:t>
      </w:r>
      <w:r>
        <w:rPr>
          <w:sz w:val="14"/>
          <w:szCs w:val="14"/>
        </w:rPr>
        <w:tab/>
        <w:t>TBA</w:t>
      </w:r>
    </w:p>
  </w:footnote>
  <w:footnote w:id="25">
    <w:p w14:paraId="45BFF305" w14:textId="1A70D835" w:rsidR="00115297" w:rsidRPr="00B05174" w:rsidRDefault="00115297" w:rsidP="00505C7E">
      <w:pPr>
        <w:pStyle w:val="FootnoteText"/>
        <w:spacing w:line="200" w:lineRule="exact"/>
        <w:ind w:left="284" w:hanging="284"/>
        <w:rPr>
          <w:sz w:val="14"/>
          <w:szCs w:val="14"/>
        </w:rPr>
      </w:pPr>
      <w:r w:rsidRPr="00B05174">
        <w:rPr>
          <w:rStyle w:val="FootnoteReference"/>
          <w:sz w:val="14"/>
        </w:rPr>
        <w:footnoteRef/>
      </w:r>
      <w:r w:rsidRPr="00B05174">
        <w:rPr>
          <w:sz w:val="14"/>
          <w:szCs w:val="14"/>
        </w:rPr>
        <w:t xml:space="preserve"> </w:t>
      </w:r>
      <w:r>
        <w:rPr>
          <w:sz w:val="14"/>
          <w:szCs w:val="14"/>
        </w:rPr>
        <w:tab/>
        <w:t>TBA</w:t>
      </w:r>
    </w:p>
  </w:footnote>
  <w:footnote w:id="26">
    <w:p w14:paraId="422F5B3D" w14:textId="5C82F1C2" w:rsidR="00115297" w:rsidRPr="004C43FF" w:rsidRDefault="00115297" w:rsidP="00505C7E">
      <w:pPr>
        <w:spacing w:line="200" w:lineRule="exact"/>
        <w:ind w:left="284" w:hanging="284"/>
        <w:rPr>
          <w:rStyle w:val="FootnoteReference"/>
          <w:sz w:val="14"/>
          <w:lang w:val="es-ES"/>
        </w:rPr>
      </w:pPr>
      <w:r w:rsidRPr="00C40228">
        <w:rPr>
          <w:rStyle w:val="FootnoteReference"/>
          <w:sz w:val="14"/>
        </w:rPr>
        <w:footnoteRef/>
      </w:r>
      <w:r w:rsidRPr="004C43FF">
        <w:rPr>
          <w:rStyle w:val="FootnoteReference"/>
          <w:sz w:val="14"/>
          <w:lang w:val="es-ES"/>
        </w:rPr>
        <w:t xml:space="preserve"> </w:t>
      </w:r>
      <w:r w:rsidRPr="004C43FF">
        <w:rPr>
          <w:rStyle w:val="FootnoteReference"/>
          <w:sz w:val="14"/>
          <w:lang w:val="es-ES"/>
        </w:rPr>
        <w:tab/>
      </w:r>
      <w:r w:rsidRPr="004C43FF">
        <w:rPr>
          <w:rStyle w:val="FootnoteReference"/>
          <w:sz w:val="14"/>
          <w:vertAlign w:val="baseline"/>
          <w:lang w:val="es-ES"/>
        </w:rPr>
        <w:t>Annual Report on Local Government Finance 2022 (</w:t>
      </w:r>
      <w:r>
        <w:rPr>
          <w:rStyle w:val="FootnoteReference"/>
          <w:sz w:val="14"/>
          <w:vertAlign w:val="baseline"/>
          <w:lang w:val="es-ES"/>
        </w:rPr>
        <w:t>MoF</w:t>
      </w:r>
      <w:r w:rsidRPr="004C43FF">
        <w:rPr>
          <w:rStyle w:val="FootnoteReference"/>
          <w:sz w:val="14"/>
          <w:vertAlign w:val="baseline"/>
          <w:lang w:val="es-ES"/>
        </w:rPr>
        <w:t>)</w:t>
      </w:r>
    </w:p>
  </w:footnote>
  <w:footnote w:id="27">
    <w:p w14:paraId="2DCC1492" w14:textId="532E6688" w:rsidR="00115297" w:rsidRPr="00176A48" w:rsidRDefault="00115297" w:rsidP="00505C7E">
      <w:pPr>
        <w:spacing w:line="200" w:lineRule="exact"/>
        <w:ind w:left="284" w:hanging="284"/>
        <w:rPr>
          <w:lang w:val="es-ES"/>
        </w:rPr>
      </w:pPr>
      <w:r w:rsidRPr="00C40228">
        <w:rPr>
          <w:rStyle w:val="FootnoteReference"/>
          <w:sz w:val="14"/>
        </w:rPr>
        <w:footnoteRef/>
      </w:r>
      <w:r w:rsidRPr="00176A48">
        <w:rPr>
          <w:rStyle w:val="FootnoteReference"/>
          <w:sz w:val="14"/>
          <w:lang w:val="es-ES"/>
        </w:rPr>
        <w:t xml:space="preserve"> </w:t>
      </w:r>
      <w:r w:rsidRPr="00176A48">
        <w:rPr>
          <w:rStyle w:val="FootnoteReference"/>
          <w:sz w:val="14"/>
          <w:lang w:val="es-ES"/>
        </w:rPr>
        <w:tab/>
      </w:r>
      <w:r w:rsidRPr="00176A48">
        <w:rPr>
          <w:rStyle w:val="FootnoteReference"/>
          <w:sz w:val="14"/>
          <w:vertAlign w:val="baseline"/>
          <w:lang w:val="es-ES"/>
        </w:rPr>
        <w:t>Annual Report on Local Government Finance 2022 (</w:t>
      </w:r>
      <w:r>
        <w:rPr>
          <w:rStyle w:val="FootnoteReference"/>
          <w:sz w:val="14"/>
          <w:vertAlign w:val="baseline"/>
          <w:lang w:val="es-ES"/>
        </w:rPr>
        <w:t>MoF</w:t>
      </w:r>
      <w:r w:rsidRPr="00176A48">
        <w:rPr>
          <w:rStyle w:val="FootnoteReference"/>
          <w:sz w:val="14"/>
          <w:vertAlign w:val="baseline"/>
          <w:lang w:val="es-ES"/>
        </w:rPr>
        <w:t>)</w:t>
      </w:r>
    </w:p>
  </w:footnote>
  <w:footnote w:id="28">
    <w:p w14:paraId="7B559DBB" w14:textId="77777777" w:rsidR="00115297" w:rsidRPr="00DA5CA8" w:rsidRDefault="00115297" w:rsidP="00505C7E">
      <w:pPr>
        <w:spacing w:line="200" w:lineRule="exact"/>
        <w:ind w:left="284" w:hanging="284"/>
        <w:rPr>
          <w:sz w:val="14"/>
          <w:szCs w:val="14"/>
        </w:rPr>
      </w:pPr>
      <w:r w:rsidRPr="00DA5CA8">
        <w:rPr>
          <w:rStyle w:val="FootnoteReference"/>
          <w:sz w:val="14"/>
        </w:rPr>
        <w:footnoteRef/>
      </w:r>
      <w:r w:rsidRPr="00DA5CA8">
        <w:rPr>
          <w:sz w:val="14"/>
          <w:szCs w:val="14"/>
        </w:rPr>
        <w:t xml:space="preserve"> </w:t>
      </w:r>
      <w:r w:rsidRPr="00DA5CA8">
        <w:rPr>
          <w:sz w:val="14"/>
          <w:szCs w:val="14"/>
        </w:rPr>
        <w:tab/>
        <w:t>Law No. 68/ 2017 “on Local Self-Government Finance”</w:t>
      </w:r>
    </w:p>
  </w:footnote>
  <w:footnote w:id="29">
    <w:p w14:paraId="1E90FBCF" w14:textId="77777777" w:rsidR="00115297" w:rsidRPr="00DA5CA8" w:rsidRDefault="00115297" w:rsidP="00505C7E">
      <w:pPr>
        <w:pStyle w:val="FootnoteText"/>
        <w:spacing w:line="200" w:lineRule="exact"/>
        <w:ind w:left="284" w:hanging="284"/>
        <w:rPr>
          <w:sz w:val="14"/>
          <w:szCs w:val="14"/>
        </w:rPr>
      </w:pPr>
      <w:r w:rsidRPr="00DA5CA8">
        <w:rPr>
          <w:rStyle w:val="FootnoteReference"/>
          <w:sz w:val="14"/>
        </w:rPr>
        <w:footnoteRef/>
      </w:r>
      <w:r w:rsidRPr="00DA5CA8">
        <w:rPr>
          <w:sz w:val="14"/>
          <w:szCs w:val="14"/>
        </w:rPr>
        <w:t xml:space="preserve"> </w:t>
      </w:r>
      <w:r w:rsidRPr="00DA5CA8">
        <w:rPr>
          <w:sz w:val="14"/>
          <w:szCs w:val="14"/>
        </w:rPr>
        <w:tab/>
        <w:t>Municipalities are divided 4 categories on the basis of their total level of arrears and debt as percentage of the total annual budget: &gt; 15% (category 1);  &gt; 25% (category 2;, &gt; 80% (category 3) or &gt; 130% (category 4).</w:t>
      </w:r>
    </w:p>
  </w:footnote>
  <w:footnote w:id="30">
    <w:p w14:paraId="3B18E4D4" w14:textId="123909F2" w:rsidR="00115297" w:rsidRPr="00DA5CA8" w:rsidRDefault="00115297" w:rsidP="00505C7E">
      <w:pPr>
        <w:spacing w:line="200" w:lineRule="exact"/>
        <w:ind w:left="284" w:hanging="284"/>
        <w:rPr>
          <w:sz w:val="14"/>
          <w:szCs w:val="14"/>
        </w:rPr>
      </w:pPr>
      <w:r w:rsidRPr="00DA5CA8">
        <w:rPr>
          <w:rStyle w:val="FootnoteReference"/>
          <w:sz w:val="14"/>
        </w:rPr>
        <w:footnoteRef/>
      </w:r>
      <w:r w:rsidRPr="00DA5CA8">
        <w:rPr>
          <w:sz w:val="14"/>
          <w:szCs w:val="14"/>
        </w:rPr>
        <w:t xml:space="preserve"> </w:t>
      </w:r>
      <w:r w:rsidRPr="00DA5CA8">
        <w:rPr>
          <w:sz w:val="14"/>
          <w:szCs w:val="14"/>
        </w:rPr>
        <w:tab/>
        <w:t xml:space="preserve">The Bashki te Forta Project, funded by Helvetas, supports municipalities and central government with establishing a performance management system and performance based grants as well as an academy for training of municipal officials. </w:t>
      </w:r>
      <w:r>
        <w:rPr>
          <w:sz w:val="14"/>
          <w:szCs w:val="14"/>
        </w:rPr>
        <w:t xml:space="preserve">The Local Finance Project funded by </w:t>
      </w:r>
      <w:r w:rsidRPr="00DA5CA8">
        <w:rPr>
          <w:sz w:val="14"/>
          <w:szCs w:val="14"/>
        </w:rPr>
        <w:t xml:space="preserve">SECO assists </w:t>
      </w:r>
      <w:r>
        <w:rPr>
          <w:sz w:val="14"/>
          <w:szCs w:val="14"/>
        </w:rPr>
        <w:t>MoF</w:t>
      </w:r>
      <w:r w:rsidRPr="00DA5CA8">
        <w:rPr>
          <w:sz w:val="14"/>
          <w:szCs w:val="14"/>
        </w:rPr>
        <w:t xml:space="preserve"> and municipalities with budget planning at subnational level.</w:t>
      </w:r>
    </w:p>
  </w:footnote>
  <w:footnote w:id="31">
    <w:p w14:paraId="19E45E8F" w14:textId="6438A043" w:rsidR="00115297" w:rsidRPr="009545F8" w:rsidRDefault="00115297" w:rsidP="00505C7E">
      <w:pPr>
        <w:spacing w:line="200" w:lineRule="exact"/>
        <w:ind w:left="284" w:hanging="284"/>
        <w:rPr>
          <w:sz w:val="16"/>
          <w:szCs w:val="16"/>
        </w:rPr>
      </w:pPr>
      <w:r w:rsidRPr="009545F8">
        <w:rPr>
          <w:rStyle w:val="FootnoteReference"/>
          <w:sz w:val="16"/>
          <w:szCs w:val="16"/>
        </w:rPr>
        <w:footnoteRef/>
      </w:r>
      <w:r w:rsidRPr="009545F8">
        <w:rPr>
          <w:sz w:val="16"/>
          <w:szCs w:val="16"/>
        </w:rPr>
        <w:t xml:space="preserve"> </w:t>
      </w:r>
      <w:r>
        <w:rPr>
          <w:sz w:val="16"/>
          <w:szCs w:val="16"/>
        </w:rPr>
        <w:tab/>
      </w:r>
      <w:r>
        <w:rPr>
          <w:sz w:val="14"/>
          <w:szCs w:val="14"/>
        </w:rPr>
        <w:t xml:space="preserve">The “Local Finance Project” funded by </w:t>
      </w:r>
      <w:r w:rsidRPr="00DA5CA8">
        <w:rPr>
          <w:sz w:val="14"/>
          <w:szCs w:val="14"/>
        </w:rPr>
        <w:t>SECO</w:t>
      </w:r>
      <w:r>
        <w:rPr>
          <w:sz w:val="14"/>
          <w:szCs w:val="14"/>
        </w:rPr>
        <w:t xml:space="preserve"> (2024-2028)</w:t>
      </w:r>
      <w:r w:rsidRPr="00DA5CA8">
        <w:rPr>
          <w:sz w:val="14"/>
          <w:szCs w:val="14"/>
        </w:rPr>
        <w:t xml:space="preserve"> assists </w:t>
      </w:r>
      <w:r>
        <w:rPr>
          <w:sz w:val="14"/>
          <w:szCs w:val="14"/>
        </w:rPr>
        <w:t>MoF</w:t>
      </w:r>
      <w:r w:rsidRPr="00DA5CA8">
        <w:rPr>
          <w:sz w:val="14"/>
          <w:szCs w:val="14"/>
        </w:rPr>
        <w:t xml:space="preserve"> and municipalities with budget planning</w:t>
      </w:r>
      <w:r>
        <w:rPr>
          <w:sz w:val="14"/>
          <w:szCs w:val="14"/>
        </w:rPr>
        <w:t>, revenue management and Internal Control</w:t>
      </w:r>
      <w:r w:rsidRPr="00DA5CA8">
        <w:rPr>
          <w:sz w:val="14"/>
          <w:szCs w:val="14"/>
        </w:rPr>
        <w:t xml:space="preserve"> at subnational level.</w:t>
      </w:r>
    </w:p>
  </w:footnote>
  <w:footnote w:id="32">
    <w:p w14:paraId="24B49A8F" w14:textId="1B044FAC" w:rsidR="00115297" w:rsidRPr="005802EF" w:rsidRDefault="00115297" w:rsidP="00505C7E">
      <w:pPr>
        <w:pStyle w:val="FootnoteText"/>
        <w:spacing w:line="200" w:lineRule="exact"/>
        <w:ind w:left="284" w:hanging="284"/>
        <w:rPr>
          <w:sz w:val="14"/>
          <w:szCs w:val="14"/>
        </w:rPr>
      </w:pPr>
      <w:r w:rsidRPr="005802EF">
        <w:rPr>
          <w:rStyle w:val="FootnoteReference"/>
          <w:sz w:val="14"/>
        </w:rPr>
        <w:footnoteRef/>
      </w:r>
      <w:r w:rsidRPr="005802EF">
        <w:rPr>
          <w:sz w:val="14"/>
          <w:szCs w:val="14"/>
        </w:rPr>
        <w:t xml:space="preserve"> </w:t>
      </w:r>
      <w:r w:rsidRPr="005802EF">
        <w:rPr>
          <w:sz w:val="14"/>
          <w:szCs w:val="14"/>
        </w:rPr>
        <w:tab/>
        <w:t>Source: Logframe SECO Local Finance Project phase 2</w:t>
      </w:r>
    </w:p>
  </w:footnote>
  <w:footnote w:id="33">
    <w:p w14:paraId="382FBD65" w14:textId="0F71283E" w:rsidR="00115297" w:rsidRPr="005802EF" w:rsidRDefault="00115297" w:rsidP="00505C7E">
      <w:pPr>
        <w:pStyle w:val="FootnoteText"/>
        <w:spacing w:line="200" w:lineRule="exact"/>
        <w:ind w:left="284" w:hanging="284"/>
        <w:rPr>
          <w:sz w:val="14"/>
          <w:szCs w:val="14"/>
        </w:rPr>
      </w:pPr>
      <w:r w:rsidRPr="005802EF">
        <w:rPr>
          <w:rStyle w:val="FootnoteReference"/>
          <w:sz w:val="14"/>
        </w:rPr>
        <w:footnoteRef/>
      </w:r>
      <w:r w:rsidRPr="005802EF">
        <w:rPr>
          <w:sz w:val="14"/>
          <w:szCs w:val="14"/>
        </w:rPr>
        <w:t xml:space="preserve"> </w:t>
      </w:r>
      <w:r w:rsidRPr="005802EF">
        <w:rPr>
          <w:sz w:val="14"/>
          <w:szCs w:val="14"/>
        </w:rPr>
        <w:tab/>
        <w:t>Source: Logframe SECO Local Finance Project phase 2; Indicator adapted from PEFA performance indicator 8.1</w:t>
      </w:r>
    </w:p>
  </w:footnote>
  <w:footnote w:id="34">
    <w:p w14:paraId="03117FEE" w14:textId="03219331" w:rsidR="00115297" w:rsidRPr="005802EF" w:rsidRDefault="00115297" w:rsidP="00505C7E">
      <w:pPr>
        <w:pStyle w:val="FootnoteText"/>
        <w:spacing w:line="200" w:lineRule="exact"/>
        <w:ind w:left="284" w:hanging="284"/>
        <w:rPr>
          <w:sz w:val="14"/>
          <w:szCs w:val="14"/>
        </w:rPr>
      </w:pPr>
      <w:r w:rsidRPr="005802EF">
        <w:rPr>
          <w:rStyle w:val="FootnoteReference"/>
          <w:sz w:val="14"/>
        </w:rPr>
        <w:footnoteRef/>
      </w:r>
      <w:r w:rsidRPr="005802EF">
        <w:rPr>
          <w:sz w:val="14"/>
          <w:szCs w:val="14"/>
        </w:rPr>
        <w:t xml:space="preserve"> </w:t>
      </w:r>
      <w:r w:rsidRPr="005802EF">
        <w:rPr>
          <w:sz w:val="14"/>
          <w:szCs w:val="14"/>
        </w:rPr>
        <w:tab/>
        <w:t>Source: Logframe SECO Local Finance Project phase 2; indicator adapted from PEFA performance indicator 8.2</w:t>
      </w:r>
    </w:p>
  </w:footnote>
  <w:footnote w:id="35">
    <w:p w14:paraId="65CD01F2" w14:textId="77777777" w:rsidR="00115297" w:rsidRPr="00F9443B" w:rsidRDefault="00115297" w:rsidP="00505C7E">
      <w:pPr>
        <w:pStyle w:val="FootnoteText"/>
        <w:spacing w:line="200" w:lineRule="exact"/>
        <w:ind w:left="284" w:hanging="284"/>
        <w:rPr>
          <w:sz w:val="14"/>
          <w:szCs w:val="14"/>
        </w:rPr>
      </w:pPr>
      <w:r w:rsidRPr="00F9443B">
        <w:rPr>
          <w:rStyle w:val="FootnoteReference"/>
          <w:sz w:val="14"/>
        </w:rPr>
        <w:footnoteRef/>
      </w:r>
      <w:r w:rsidRPr="00F9443B">
        <w:rPr>
          <w:sz w:val="14"/>
          <w:szCs w:val="14"/>
        </w:rPr>
        <w:t xml:space="preserve"> </w:t>
      </w:r>
      <w:r w:rsidRPr="00F9443B">
        <w:rPr>
          <w:sz w:val="14"/>
          <w:szCs w:val="14"/>
        </w:rPr>
        <w:tab/>
        <w:t>Source: Logframe SECO Local Finance Project phase 2</w:t>
      </w:r>
    </w:p>
  </w:footnote>
  <w:footnote w:id="36">
    <w:p w14:paraId="098D30D8" w14:textId="77777777" w:rsidR="00115297" w:rsidRPr="00F9443B" w:rsidRDefault="00115297" w:rsidP="00F4641F">
      <w:pPr>
        <w:pStyle w:val="FootnoteText"/>
        <w:spacing w:line="200" w:lineRule="exact"/>
        <w:ind w:left="284" w:hanging="284"/>
        <w:rPr>
          <w:sz w:val="14"/>
          <w:szCs w:val="14"/>
        </w:rPr>
      </w:pPr>
      <w:r w:rsidRPr="00F9443B">
        <w:rPr>
          <w:rStyle w:val="FootnoteReference"/>
          <w:sz w:val="14"/>
        </w:rPr>
        <w:footnoteRef/>
      </w:r>
      <w:r w:rsidRPr="00F9443B">
        <w:rPr>
          <w:sz w:val="14"/>
          <w:szCs w:val="14"/>
        </w:rPr>
        <w:t xml:space="preserve"> </w:t>
      </w:r>
      <w:r w:rsidRPr="00F9443B">
        <w:rPr>
          <w:sz w:val="14"/>
          <w:szCs w:val="14"/>
        </w:rPr>
        <w:tab/>
        <w:t xml:space="preserve">Law </w:t>
      </w:r>
      <w:r w:rsidRPr="00F9443B">
        <w:rPr>
          <w:rFonts w:eastAsia="Times New Roman"/>
          <w:bCs/>
          <w:sz w:val="14"/>
          <w:szCs w:val="14"/>
          <w:lang w:val="sq-AL"/>
        </w:rPr>
        <w:t>No. 9936, dated 26.6.2008</w:t>
      </w:r>
      <w:r w:rsidRPr="00F9443B">
        <w:rPr>
          <w:sz w:val="14"/>
          <w:szCs w:val="14"/>
        </w:rPr>
        <w:t>, as amended on 2.6.2016 “For the management of budget system</w:t>
      </w:r>
    </w:p>
  </w:footnote>
  <w:footnote w:id="37">
    <w:p w14:paraId="08978DC9" w14:textId="77777777" w:rsidR="00115297" w:rsidRPr="00F9443B" w:rsidRDefault="00115297" w:rsidP="00F4641F">
      <w:pPr>
        <w:pStyle w:val="FootnoteText"/>
        <w:spacing w:line="200" w:lineRule="exact"/>
        <w:ind w:left="284" w:hanging="284"/>
        <w:rPr>
          <w:sz w:val="14"/>
          <w:szCs w:val="14"/>
        </w:rPr>
      </w:pPr>
      <w:r w:rsidRPr="00F9443B">
        <w:rPr>
          <w:rStyle w:val="FootnoteReference"/>
          <w:sz w:val="14"/>
        </w:rPr>
        <w:footnoteRef/>
      </w:r>
      <w:r w:rsidRPr="00F9443B">
        <w:rPr>
          <w:sz w:val="14"/>
          <w:szCs w:val="14"/>
        </w:rPr>
        <w:t xml:space="preserve"> </w:t>
      </w:r>
      <w:r w:rsidRPr="00F9443B">
        <w:rPr>
          <w:sz w:val="14"/>
          <w:szCs w:val="14"/>
        </w:rPr>
        <w:tab/>
        <w:t xml:space="preserve">Guideline no.14 date 30.05.2023 “For standard budget monitoring procedures in Central Government Units” </w:t>
      </w:r>
    </w:p>
  </w:footnote>
  <w:footnote w:id="38">
    <w:p w14:paraId="62A7BA85" w14:textId="6605EFE1" w:rsidR="00115297" w:rsidRPr="00852403" w:rsidRDefault="00115297">
      <w:pPr>
        <w:pStyle w:val="FootnoteText"/>
        <w:rPr>
          <w:sz w:val="14"/>
          <w:szCs w:val="14"/>
        </w:rPr>
      </w:pPr>
      <w:r w:rsidRPr="00852403">
        <w:rPr>
          <w:rStyle w:val="FootnoteReference"/>
          <w:sz w:val="14"/>
        </w:rPr>
        <w:footnoteRef/>
      </w:r>
      <w:r w:rsidRPr="00852403">
        <w:rPr>
          <w:sz w:val="14"/>
          <w:szCs w:val="14"/>
        </w:rPr>
        <w:t xml:space="preserve"> </w:t>
      </w:r>
      <w:r>
        <w:rPr>
          <w:sz w:val="14"/>
          <w:szCs w:val="14"/>
        </w:rPr>
        <w:t xml:space="preserve">    </w:t>
      </w:r>
      <w:r w:rsidRPr="00852403">
        <w:rPr>
          <w:sz w:val="14"/>
          <w:szCs w:val="14"/>
        </w:rPr>
        <w:t>TBD</w:t>
      </w:r>
    </w:p>
  </w:footnote>
  <w:footnote w:id="39">
    <w:p w14:paraId="782ADF5C" w14:textId="3B49110D" w:rsidR="0078387E" w:rsidRPr="0078387E" w:rsidRDefault="0078387E">
      <w:pPr>
        <w:pStyle w:val="FootnoteText"/>
        <w:rPr>
          <w:sz w:val="14"/>
          <w:szCs w:val="14"/>
        </w:rPr>
      </w:pPr>
      <w:r w:rsidRPr="0078387E">
        <w:rPr>
          <w:rStyle w:val="FootnoteReference"/>
          <w:sz w:val="14"/>
        </w:rPr>
        <w:footnoteRef/>
      </w:r>
      <w:r w:rsidRPr="0078387E">
        <w:rPr>
          <w:sz w:val="14"/>
          <w:szCs w:val="14"/>
        </w:rPr>
        <w:t xml:space="preserve"> </w:t>
      </w:r>
      <w:r>
        <w:rPr>
          <w:sz w:val="14"/>
          <w:szCs w:val="14"/>
        </w:rPr>
        <w:t xml:space="preserve">    </w:t>
      </w:r>
      <w:r w:rsidRPr="0078387E">
        <w:rPr>
          <w:sz w:val="14"/>
          <w:szCs w:val="14"/>
        </w:rPr>
        <w:t>Based on PAR Roadmap</w:t>
      </w:r>
    </w:p>
  </w:footnote>
  <w:footnote w:id="40">
    <w:p w14:paraId="5A660D02" w14:textId="77777777" w:rsidR="00115297" w:rsidRPr="00B636AA" w:rsidRDefault="00115297" w:rsidP="00505C7E">
      <w:pPr>
        <w:pStyle w:val="FootnoteText"/>
        <w:spacing w:line="200" w:lineRule="exact"/>
        <w:ind w:left="284" w:hanging="284"/>
        <w:rPr>
          <w:sz w:val="14"/>
          <w:szCs w:val="14"/>
        </w:rPr>
      </w:pPr>
      <w:r w:rsidRPr="00B636AA">
        <w:rPr>
          <w:rStyle w:val="FootnoteReference"/>
          <w:sz w:val="14"/>
        </w:rPr>
        <w:footnoteRef/>
      </w:r>
      <w:r w:rsidRPr="00B636AA">
        <w:rPr>
          <w:sz w:val="14"/>
          <w:szCs w:val="14"/>
        </w:rPr>
        <w:t xml:space="preserve"> </w:t>
      </w:r>
      <w:r>
        <w:rPr>
          <w:sz w:val="14"/>
          <w:szCs w:val="14"/>
        </w:rPr>
        <w:tab/>
      </w:r>
      <w:r w:rsidRPr="00B636AA">
        <w:rPr>
          <w:sz w:val="14"/>
          <w:szCs w:val="14"/>
        </w:rPr>
        <w:t>Guideline 35 for monitoring PPPs (2019)</w:t>
      </w:r>
    </w:p>
  </w:footnote>
  <w:footnote w:id="41">
    <w:p w14:paraId="180DF2AD" w14:textId="2C60498F" w:rsidR="00115297" w:rsidRPr="00B05174" w:rsidRDefault="00115297" w:rsidP="00505C7E">
      <w:pPr>
        <w:pStyle w:val="FootnoteText"/>
        <w:spacing w:line="200" w:lineRule="exact"/>
        <w:ind w:left="284" w:hanging="284"/>
      </w:pPr>
      <w:r w:rsidRPr="00B636AA">
        <w:rPr>
          <w:rStyle w:val="FootnoteReference"/>
          <w:sz w:val="14"/>
        </w:rPr>
        <w:footnoteRef/>
      </w:r>
      <w:r w:rsidRPr="00B636AA">
        <w:rPr>
          <w:sz w:val="14"/>
          <w:szCs w:val="14"/>
        </w:rPr>
        <w:t xml:space="preserve"> </w:t>
      </w:r>
      <w:r>
        <w:rPr>
          <w:sz w:val="14"/>
          <w:szCs w:val="14"/>
        </w:rPr>
        <w:tab/>
      </w:r>
      <w:r w:rsidRPr="00B636AA">
        <w:rPr>
          <w:sz w:val="14"/>
          <w:szCs w:val="14"/>
        </w:rPr>
        <w:t xml:space="preserve">IMF is currently providing support. </w:t>
      </w:r>
      <w:r>
        <w:rPr>
          <w:sz w:val="14"/>
          <w:szCs w:val="14"/>
        </w:rPr>
        <w:t>TBA for EU support</w:t>
      </w:r>
    </w:p>
  </w:footnote>
  <w:footnote w:id="42">
    <w:p w14:paraId="4622A8FC" w14:textId="77777777" w:rsidR="00115297" w:rsidRPr="003F502F" w:rsidRDefault="00115297" w:rsidP="00481BA4">
      <w:pPr>
        <w:pStyle w:val="FootnoteText"/>
        <w:spacing w:line="288" w:lineRule="auto"/>
        <w:ind w:left="284" w:hanging="284"/>
        <w:rPr>
          <w:sz w:val="14"/>
          <w:szCs w:val="14"/>
        </w:rPr>
      </w:pPr>
      <w:r w:rsidRPr="003F502F">
        <w:rPr>
          <w:rStyle w:val="FootnoteReference"/>
          <w:sz w:val="14"/>
        </w:rPr>
        <w:footnoteRef/>
      </w:r>
      <w:r w:rsidRPr="003F502F">
        <w:rPr>
          <w:sz w:val="14"/>
          <w:szCs w:val="14"/>
        </w:rPr>
        <w:t xml:space="preserve"> </w:t>
      </w:r>
      <w:r>
        <w:rPr>
          <w:sz w:val="14"/>
          <w:szCs w:val="14"/>
        </w:rPr>
        <w:tab/>
      </w:r>
      <w:r w:rsidRPr="003F502F">
        <w:rPr>
          <w:sz w:val="14"/>
          <w:szCs w:val="14"/>
        </w:rPr>
        <w:t>Add reference. The MTRS has been prepared with support from IMF.</w:t>
      </w:r>
    </w:p>
  </w:footnote>
  <w:footnote w:id="43">
    <w:p w14:paraId="278AC885" w14:textId="77777777" w:rsidR="00115297" w:rsidRPr="008522A0" w:rsidRDefault="00115297" w:rsidP="008522A0">
      <w:pPr>
        <w:pStyle w:val="FootnoteText"/>
        <w:spacing w:line="288" w:lineRule="auto"/>
        <w:ind w:left="284" w:hanging="284"/>
        <w:rPr>
          <w:sz w:val="14"/>
          <w:szCs w:val="14"/>
        </w:rPr>
      </w:pPr>
      <w:r w:rsidRPr="008522A0">
        <w:rPr>
          <w:rStyle w:val="FootnoteReference"/>
          <w:sz w:val="14"/>
        </w:rPr>
        <w:footnoteRef/>
      </w:r>
      <w:r w:rsidRPr="008522A0">
        <w:rPr>
          <w:rStyle w:val="FootnoteReference"/>
          <w:sz w:val="14"/>
        </w:rPr>
        <w:t xml:space="preserve"> </w:t>
      </w:r>
      <w:r w:rsidRPr="008522A0">
        <w:rPr>
          <w:rStyle w:val="FootnoteReference"/>
          <w:sz w:val="14"/>
        </w:rPr>
        <w:tab/>
      </w:r>
      <w:r w:rsidRPr="008522A0">
        <w:rPr>
          <w:rStyle w:val="FootnoteReference"/>
          <w:sz w:val="14"/>
          <w:vertAlign w:val="baseline"/>
        </w:rPr>
        <w:t>Approximately 1.2 million properties are currently recorded in the system out of a total of approximately 4.5 million properties.</w:t>
      </w:r>
    </w:p>
  </w:footnote>
  <w:footnote w:id="44">
    <w:p w14:paraId="18C11142" w14:textId="340D2CE3" w:rsidR="00115297" w:rsidRPr="008F0A11" w:rsidRDefault="00115297" w:rsidP="00505C7E">
      <w:pPr>
        <w:pStyle w:val="FootnoteText"/>
        <w:spacing w:line="200" w:lineRule="exact"/>
        <w:ind w:left="284" w:hanging="284"/>
      </w:pPr>
      <w:r w:rsidRPr="008522A0">
        <w:rPr>
          <w:rStyle w:val="FootnoteReference"/>
          <w:sz w:val="14"/>
        </w:rPr>
        <w:footnoteRef/>
      </w:r>
      <w:r w:rsidRPr="008522A0">
        <w:rPr>
          <w:sz w:val="14"/>
          <w:szCs w:val="14"/>
        </w:rPr>
        <w:t xml:space="preserve"> </w:t>
      </w:r>
      <w:r w:rsidRPr="008522A0">
        <w:rPr>
          <w:sz w:val="14"/>
          <w:szCs w:val="14"/>
        </w:rPr>
        <w:tab/>
      </w:r>
      <w:r>
        <w:rPr>
          <w:sz w:val="14"/>
          <w:szCs w:val="14"/>
        </w:rPr>
        <w:t>MoF, SIDA and Swedish Tax Agency have signed respectively a Contribution Agreement and a Project Agreement for the continuation of the support of the property tax reform.</w:t>
      </w:r>
    </w:p>
  </w:footnote>
  <w:footnote w:id="45">
    <w:p w14:paraId="5045A724" w14:textId="0ED5A461" w:rsidR="00115297" w:rsidRPr="0076257F" w:rsidRDefault="00115297" w:rsidP="0076257F">
      <w:pPr>
        <w:pStyle w:val="FootnoteText"/>
        <w:spacing w:line="200" w:lineRule="exact"/>
        <w:ind w:left="284" w:hanging="284"/>
        <w:rPr>
          <w:sz w:val="14"/>
          <w:szCs w:val="14"/>
        </w:rPr>
      </w:pPr>
      <w:r w:rsidRPr="0076257F">
        <w:rPr>
          <w:rStyle w:val="FootnoteReference"/>
          <w:sz w:val="14"/>
        </w:rPr>
        <w:footnoteRef/>
      </w:r>
      <w:r w:rsidRPr="0076257F">
        <w:rPr>
          <w:sz w:val="14"/>
          <w:szCs w:val="14"/>
        </w:rPr>
        <w:t xml:space="preserve"> </w:t>
      </w:r>
      <w:r w:rsidRPr="0076257F">
        <w:rPr>
          <w:sz w:val="14"/>
          <w:szCs w:val="14"/>
        </w:rPr>
        <w:tab/>
        <w:t>Anticorruption Directorate at GDC is included in the drafting of integrity plan by order number 80 date 26.10.2023</w:t>
      </w:r>
    </w:p>
  </w:footnote>
  <w:footnote w:id="46">
    <w:p w14:paraId="69D9F404" w14:textId="77777777" w:rsidR="00115297" w:rsidRPr="00712C4E" w:rsidRDefault="00115297" w:rsidP="00345678">
      <w:pPr>
        <w:pStyle w:val="FootnoteText"/>
        <w:spacing w:line="200" w:lineRule="exact"/>
        <w:ind w:left="284" w:hanging="284"/>
        <w:rPr>
          <w:sz w:val="14"/>
          <w:szCs w:val="14"/>
        </w:rPr>
      </w:pPr>
      <w:r w:rsidRPr="00921832">
        <w:rPr>
          <w:rStyle w:val="FootnoteReference"/>
          <w:sz w:val="14"/>
        </w:rPr>
        <w:footnoteRef/>
      </w:r>
      <w:r w:rsidRPr="00921832">
        <w:rPr>
          <w:sz w:val="14"/>
          <w:szCs w:val="14"/>
        </w:rPr>
        <w:t xml:space="preserve"> </w:t>
      </w:r>
      <w:r w:rsidRPr="00921832">
        <w:rPr>
          <w:sz w:val="14"/>
          <w:szCs w:val="14"/>
        </w:rPr>
        <w:tab/>
        <w:t>2021 IMF Country Report No. 21/259, page 7.</w:t>
      </w:r>
    </w:p>
  </w:footnote>
  <w:footnote w:id="47">
    <w:p w14:paraId="697338B5" w14:textId="77777777" w:rsidR="00115297" w:rsidRPr="00A15181" w:rsidRDefault="00115297" w:rsidP="00345678">
      <w:pPr>
        <w:pStyle w:val="FootnoteText"/>
        <w:spacing w:line="200" w:lineRule="exact"/>
        <w:ind w:left="284" w:hanging="284"/>
        <w:rPr>
          <w:sz w:val="14"/>
          <w:szCs w:val="14"/>
        </w:rPr>
      </w:pPr>
      <w:r w:rsidRPr="00A15181">
        <w:rPr>
          <w:rStyle w:val="FootnoteReference"/>
          <w:sz w:val="14"/>
        </w:rPr>
        <w:footnoteRef/>
      </w:r>
      <w:r w:rsidRPr="00A15181">
        <w:rPr>
          <w:sz w:val="14"/>
          <w:szCs w:val="14"/>
        </w:rPr>
        <w:t xml:space="preserve"> </w:t>
      </w:r>
      <w:r w:rsidRPr="00A15181">
        <w:rPr>
          <w:sz w:val="14"/>
          <w:szCs w:val="14"/>
        </w:rPr>
        <w:tab/>
        <w:t>Council Regulation (EC) No 479/2009 of 25 May 2009 on the application of the Protocol on the excessive deficit procedure annexed to the Treaty establishing the European Community.</w:t>
      </w:r>
    </w:p>
  </w:footnote>
  <w:footnote w:id="48">
    <w:p w14:paraId="0453703E" w14:textId="77777777" w:rsidR="00115297" w:rsidRPr="008C4135" w:rsidRDefault="00115297" w:rsidP="00345678">
      <w:pPr>
        <w:pStyle w:val="FootnoteText"/>
        <w:spacing w:line="200" w:lineRule="exact"/>
        <w:ind w:left="284" w:hanging="284"/>
        <w:rPr>
          <w:sz w:val="14"/>
          <w:szCs w:val="14"/>
        </w:rPr>
      </w:pPr>
      <w:r w:rsidRPr="00A15181">
        <w:rPr>
          <w:rStyle w:val="FootnoteReference"/>
          <w:sz w:val="14"/>
        </w:rPr>
        <w:footnoteRef/>
      </w:r>
      <w:r w:rsidRPr="00A15181">
        <w:rPr>
          <w:sz w:val="14"/>
          <w:szCs w:val="14"/>
        </w:rPr>
        <w:t xml:space="preserve"> </w:t>
      </w:r>
      <w:r w:rsidRPr="00A15181">
        <w:rPr>
          <w:sz w:val="14"/>
          <w:szCs w:val="14"/>
        </w:rPr>
        <w:tab/>
        <w:t xml:space="preserve">Law No. 30/2022 ‘On the approval of the Official Statistics </w:t>
      </w:r>
      <w:r w:rsidRPr="00345678">
        <w:rPr>
          <w:sz w:val="14"/>
          <w:szCs w:val="14"/>
        </w:rPr>
        <w:t>Program 2022-2026’</w:t>
      </w:r>
      <w:r w:rsidRPr="00A15181">
        <w:rPr>
          <w:sz w:val="14"/>
          <w:szCs w:val="14"/>
        </w:rPr>
        <w:t>.</w:t>
      </w:r>
    </w:p>
  </w:footnote>
  <w:footnote w:id="49">
    <w:p w14:paraId="34E15618" w14:textId="76B1A8A2" w:rsidR="00115297" w:rsidRDefault="00115297" w:rsidP="00505C7E">
      <w:pPr>
        <w:pStyle w:val="FootnoteText"/>
        <w:spacing w:line="200" w:lineRule="exact"/>
        <w:ind w:left="284" w:hanging="284"/>
        <w:rPr>
          <w:sz w:val="14"/>
          <w:szCs w:val="14"/>
        </w:rPr>
      </w:pPr>
      <w:r>
        <w:rPr>
          <w:rStyle w:val="FootnoteReference"/>
        </w:rPr>
        <w:footnoteRef/>
      </w:r>
      <w:r>
        <w:rPr>
          <w:sz w:val="14"/>
          <w:szCs w:val="14"/>
        </w:rPr>
        <w:t xml:space="preserve"> </w:t>
      </w:r>
      <w:r>
        <w:rPr>
          <w:sz w:val="14"/>
          <w:szCs w:val="14"/>
        </w:rPr>
        <w:tab/>
        <w:t>The World Bank and SECO have supported accounting reforms to date.</w:t>
      </w:r>
    </w:p>
  </w:footnote>
  <w:footnote w:id="50">
    <w:p w14:paraId="44CE2FBD" w14:textId="1A4F9B45" w:rsidR="00115297" w:rsidRDefault="00115297">
      <w:pPr>
        <w:pStyle w:val="FootnoteText"/>
      </w:pPr>
      <w:r>
        <w:rPr>
          <w:rStyle w:val="FootnoteReference"/>
        </w:rPr>
        <w:footnoteRef/>
      </w:r>
      <w:r>
        <w:t xml:space="preserve"> </w:t>
      </w:r>
      <w:r>
        <w:rPr>
          <w:sz w:val="16"/>
          <w:szCs w:val="16"/>
        </w:rPr>
        <w:t>The activities related with the public sector accounting</w:t>
      </w:r>
      <w:r w:rsidRPr="00F87631">
        <w:rPr>
          <w:sz w:val="16"/>
          <w:szCs w:val="16"/>
        </w:rPr>
        <w:t xml:space="preserve"> will depend on the starting of the new WB project</w:t>
      </w:r>
    </w:p>
  </w:footnote>
  <w:footnote w:id="51">
    <w:p w14:paraId="3C17A93D" w14:textId="77777777" w:rsidR="00115297" w:rsidRPr="007277FD" w:rsidRDefault="00115297" w:rsidP="00F4641F">
      <w:pPr>
        <w:pStyle w:val="FootnoteText"/>
        <w:spacing w:line="200" w:lineRule="exact"/>
        <w:ind w:left="284" w:hanging="284"/>
        <w:rPr>
          <w:sz w:val="14"/>
          <w:szCs w:val="14"/>
        </w:rPr>
      </w:pPr>
      <w:r w:rsidRPr="007277FD">
        <w:rPr>
          <w:rStyle w:val="FootnoteReference"/>
          <w:sz w:val="14"/>
        </w:rPr>
        <w:footnoteRef/>
      </w:r>
      <w:r w:rsidRPr="007277FD">
        <w:rPr>
          <w:sz w:val="14"/>
          <w:szCs w:val="14"/>
        </w:rPr>
        <w:t xml:space="preserve"> </w:t>
      </w:r>
      <w:r w:rsidRPr="007277FD">
        <w:rPr>
          <w:sz w:val="14"/>
          <w:szCs w:val="14"/>
        </w:rPr>
        <w:tab/>
        <w:t xml:space="preserve">Law on Public Procurement </w:t>
      </w:r>
      <w:r w:rsidRPr="007277FD">
        <w:rPr>
          <w:rFonts w:eastAsia="Times New Roman"/>
          <w:sz w:val="14"/>
          <w:szCs w:val="14"/>
        </w:rPr>
        <w:t>No.162/2020</w:t>
      </w:r>
    </w:p>
  </w:footnote>
  <w:footnote w:id="52">
    <w:p w14:paraId="72C466F8" w14:textId="77777777" w:rsidR="00115297" w:rsidRPr="007277FD" w:rsidRDefault="00115297" w:rsidP="00F4641F">
      <w:pPr>
        <w:spacing w:line="200" w:lineRule="exact"/>
        <w:ind w:left="284" w:hanging="284"/>
        <w:rPr>
          <w:rFonts w:eastAsia="Times New Roman"/>
          <w:sz w:val="14"/>
          <w:szCs w:val="14"/>
        </w:rPr>
      </w:pPr>
      <w:r w:rsidRPr="007277FD">
        <w:rPr>
          <w:rStyle w:val="FootnoteReference"/>
          <w:sz w:val="14"/>
        </w:rPr>
        <w:footnoteRef/>
      </w:r>
      <w:r w:rsidRPr="007277FD">
        <w:rPr>
          <w:sz w:val="14"/>
          <w:szCs w:val="14"/>
        </w:rPr>
        <w:t xml:space="preserve"> </w:t>
      </w:r>
      <w:r w:rsidRPr="007277FD">
        <w:rPr>
          <w:sz w:val="14"/>
          <w:szCs w:val="14"/>
        </w:rPr>
        <w:tab/>
      </w:r>
      <w:r w:rsidRPr="007277FD">
        <w:rPr>
          <w:rFonts w:eastAsia="Times New Roman"/>
          <w:sz w:val="14"/>
          <w:szCs w:val="14"/>
        </w:rPr>
        <w:t>The PPC is the highest administrative body for reviewing complaints related to public procurement procedures, concessions/public private partnerships, public auctions, and competition procedures for mining permits.</w:t>
      </w:r>
    </w:p>
  </w:footnote>
  <w:footnote w:id="53">
    <w:p w14:paraId="143AA812" w14:textId="77777777" w:rsidR="00115297" w:rsidRPr="0063512B" w:rsidRDefault="00115297" w:rsidP="00505C7E">
      <w:pPr>
        <w:pStyle w:val="FootnoteText"/>
        <w:spacing w:line="200" w:lineRule="exact"/>
        <w:ind w:left="284" w:hanging="284"/>
        <w:rPr>
          <w:sz w:val="14"/>
          <w:szCs w:val="14"/>
        </w:rPr>
      </w:pPr>
      <w:r w:rsidRPr="0063512B">
        <w:rPr>
          <w:rStyle w:val="FootnoteReference"/>
          <w:sz w:val="14"/>
        </w:rPr>
        <w:footnoteRef/>
      </w:r>
      <w:r w:rsidRPr="0063512B">
        <w:rPr>
          <w:sz w:val="14"/>
          <w:szCs w:val="14"/>
        </w:rPr>
        <w:t xml:space="preserve"> </w:t>
      </w:r>
      <w:r w:rsidRPr="0063512B">
        <w:rPr>
          <w:sz w:val="14"/>
          <w:szCs w:val="14"/>
        </w:rPr>
        <w:tab/>
        <w:t>The methodology has been prepared in 2023.</w:t>
      </w:r>
    </w:p>
  </w:footnote>
  <w:footnote w:id="54">
    <w:p w14:paraId="294E80E6" w14:textId="77777777" w:rsidR="00115297" w:rsidRPr="0063512B" w:rsidRDefault="00115297" w:rsidP="00505C7E">
      <w:pPr>
        <w:pStyle w:val="FootnoteText"/>
        <w:spacing w:line="200" w:lineRule="exact"/>
        <w:ind w:left="284" w:hanging="284"/>
        <w:rPr>
          <w:sz w:val="14"/>
          <w:szCs w:val="14"/>
        </w:rPr>
      </w:pPr>
      <w:r w:rsidRPr="0063512B">
        <w:rPr>
          <w:rStyle w:val="FootnoteReference"/>
          <w:sz w:val="14"/>
        </w:rPr>
        <w:footnoteRef/>
      </w:r>
      <w:r w:rsidRPr="0063512B">
        <w:rPr>
          <w:sz w:val="14"/>
          <w:szCs w:val="14"/>
        </w:rPr>
        <w:t xml:space="preserve"> </w:t>
      </w:r>
      <w:r w:rsidRPr="0063512B">
        <w:rPr>
          <w:sz w:val="14"/>
          <w:szCs w:val="14"/>
        </w:rPr>
        <w:tab/>
        <w:t>Six vacancies.</w:t>
      </w:r>
    </w:p>
  </w:footnote>
  <w:footnote w:id="55">
    <w:p w14:paraId="43B3C089" w14:textId="77777777" w:rsidR="00115297" w:rsidRPr="0063512B" w:rsidRDefault="00115297" w:rsidP="00505C7E">
      <w:pPr>
        <w:pStyle w:val="FootnoteText"/>
        <w:spacing w:line="200" w:lineRule="exact"/>
        <w:ind w:left="284" w:hanging="284"/>
        <w:rPr>
          <w:sz w:val="14"/>
          <w:szCs w:val="14"/>
        </w:rPr>
      </w:pPr>
      <w:r w:rsidRPr="0063512B">
        <w:rPr>
          <w:rStyle w:val="FootnoteReference"/>
          <w:sz w:val="14"/>
        </w:rPr>
        <w:footnoteRef/>
      </w:r>
      <w:r w:rsidRPr="0063512B">
        <w:rPr>
          <w:sz w:val="14"/>
          <w:szCs w:val="14"/>
        </w:rPr>
        <w:t xml:space="preserve"> </w:t>
      </w:r>
      <w:r w:rsidRPr="0063512B">
        <w:rPr>
          <w:sz w:val="14"/>
          <w:szCs w:val="14"/>
        </w:rPr>
        <w:tab/>
        <w:t>Training has been provided in cooperation with University of Tirana and other national and international organizations. 15 Inspectors received 25 hours of training in 2023, and the same is foreseen for 2024.</w:t>
      </w:r>
    </w:p>
  </w:footnote>
  <w:footnote w:id="56">
    <w:p w14:paraId="61EE1E76" w14:textId="77777777" w:rsidR="00115297" w:rsidRPr="001D4656" w:rsidRDefault="00115297" w:rsidP="00505C7E">
      <w:pPr>
        <w:pStyle w:val="EcorysBody"/>
        <w:spacing w:line="200" w:lineRule="exact"/>
        <w:ind w:left="284" w:hanging="284"/>
        <w:rPr>
          <w:sz w:val="14"/>
          <w:szCs w:val="14"/>
        </w:rPr>
      </w:pPr>
      <w:r w:rsidRPr="0063512B">
        <w:rPr>
          <w:rFonts w:ascii="Arial" w:hAnsi="Arial" w:cs="Arial"/>
          <w:sz w:val="14"/>
          <w:szCs w:val="14"/>
          <w:vertAlign w:val="superscript"/>
        </w:rPr>
        <w:footnoteRef/>
      </w:r>
      <w:r w:rsidRPr="0063512B">
        <w:rPr>
          <w:rFonts w:ascii="Arial" w:hAnsi="Arial" w:cs="Arial"/>
          <w:sz w:val="14"/>
          <w:szCs w:val="14"/>
          <w:vertAlign w:val="superscript"/>
        </w:rPr>
        <w:t xml:space="preserve"> </w:t>
      </w:r>
      <w:r w:rsidRPr="0063512B">
        <w:rPr>
          <w:rFonts w:ascii="Arial" w:hAnsi="Arial" w:cs="Arial"/>
          <w:sz w:val="14"/>
          <w:szCs w:val="14"/>
        </w:rPr>
        <w:tab/>
        <w:t>ISO 37001:2016 specifies requirements and provides guidance for establishing, implementing, maintaining, reviewing and improving an anti-bribery management system.</w:t>
      </w:r>
    </w:p>
  </w:footnote>
  <w:footnote w:id="57">
    <w:p w14:paraId="2448485A" w14:textId="77777777" w:rsidR="00115297" w:rsidRPr="00505C7E" w:rsidRDefault="00115297" w:rsidP="00505C7E">
      <w:pPr>
        <w:pStyle w:val="FootnoteText"/>
        <w:spacing w:line="200" w:lineRule="exact"/>
        <w:ind w:left="284" w:hanging="284"/>
        <w:rPr>
          <w:sz w:val="14"/>
          <w:szCs w:val="14"/>
        </w:rPr>
      </w:pPr>
      <w:r w:rsidRPr="00505C7E">
        <w:rPr>
          <w:rStyle w:val="FootnoteReference"/>
          <w:sz w:val="14"/>
        </w:rPr>
        <w:footnoteRef/>
      </w:r>
      <w:r w:rsidRPr="00505C7E">
        <w:rPr>
          <w:sz w:val="14"/>
          <w:szCs w:val="14"/>
        </w:rPr>
        <w:t xml:space="preserve"> </w:t>
      </w:r>
      <w:r w:rsidRPr="00505C7E">
        <w:rPr>
          <w:sz w:val="14"/>
          <w:szCs w:val="14"/>
        </w:rPr>
        <w:tab/>
        <w:t>The annual report on the implementation of the DMS is published since 2023</w:t>
      </w:r>
    </w:p>
  </w:footnote>
  <w:footnote w:id="58">
    <w:p w14:paraId="33A28185" w14:textId="70CECCEE" w:rsidR="00115297" w:rsidRPr="000412FF" w:rsidRDefault="00115297" w:rsidP="00505C7E">
      <w:pPr>
        <w:pStyle w:val="FootnoteText"/>
        <w:spacing w:line="200" w:lineRule="exact"/>
        <w:ind w:left="284" w:hanging="284"/>
      </w:pPr>
      <w:r w:rsidRPr="00505C7E">
        <w:rPr>
          <w:rStyle w:val="FootnoteReference"/>
          <w:sz w:val="14"/>
        </w:rPr>
        <w:footnoteRef/>
      </w:r>
      <w:r w:rsidRPr="00505C7E">
        <w:rPr>
          <w:sz w:val="14"/>
          <w:szCs w:val="14"/>
        </w:rPr>
        <w:t xml:space="preserve"> </w:t>
      </w:r>
      <w:r>
        <w:rPr>
          <w:sz w:val="14"/>
          <w:szCs w:val="14"/>
        </w:rPr>
        <w:tab/>
      </w:r>
      <w:r w:rsidRPr="00505C7E">
        <w:rPr>
          <w:sz w:val="14"/>
          <w:szCs w:val="14"/>
        </w:rPr>
        <w:t xml:space="preserve">In particular </w:t>
      </w:r>
      <w:r w:rsidRPr="00505C7E">
        <w:rPr>
          <w:bCs/>
          <w:sz w:val="14"/>
          <w:szCs w:val="14"/>
        </w:rPr>
        <w:t>data on main macroeconomic developments in the country.</w:t>
      </w:r>
    </w:p>
  </w:footnote>
  <w:footnote w:id="59">
    <w:p w14:paraId="1D3B87B4" w14:textId="1E24B664" w:rsidR="00115297" w:rsidRPr="008334D9" w:rsidRDefault="00115297" w:rsidP="00505C7E">
      <w:pPr>
        <w:pStyle w:val="FootnoteText"/>
        <w:spacing w:line="200" w:lineRule="exact"/>
        <w:ind w:left="284" w:hanging="284"/>
        <w:rPr>
          <w:sz w:val="14"/>
          <w:szCs w:val="14"/>
        </w:rPr>
      </w:pPr>
      <w:r w:rsidRPr="00460F7E">
        <w:rPr>
          <w:rStyle w:val="FootnoteReference"/>
          <w:sz w:val="14"/>
        </w:rPr>
        <w:footnoteRef/>
      </w:r>
      <w:r w:rsidRPr="00460F7E">
        <w:rPr>
          <w:sz w:val="14"/>
          <w:szCs w:val="14"/>
        </w:rPr>
        <w:t xml:space="preserve"> </w:t>
      </w:r>
      <w:r w:rsidRPr="00460F7E">
        <w:rPr>
          <w:sz w:val="14"/>
          <w:szCs w:val="14"/>
        </w:rPr>
        <w:tab/>
        <w:t>CRA framework implemented on new cases of guarantee or on-lending operations</w:t>
      </w:r>
      <w:r>
        <w:rPr>
          <w:sz w:val="14"/>
          <w:szCs w:val="14"/>
        </w:rPr>
        <w:t>.</w:t>
      </w:r>
    </w:p>
  </w:footnote>
  <w:footnote w:id="60">
    <w:p w14:paraId="2C829BC7" w14:textId="77777777" w:rsidR="00115297" w:rsidRDefault="00115297" w:rsidP="00505C7E">
      <w:pPr>
        <w:pStyle w:val="FootnoteText"/>
        <w:spacing w:line="200" w:lineRule="exact"/>
        <w:ind w:left="284" w:hanging="284"/>
        <w:rPr>
          <w:sz w:val="14"/>
          <w:szCs w:val="14"/>
        </w:rPr>
      </w:pPr>
      <w:r>
        <w:rPr>
          <w:rStyle w:val="FootnoteReference"/>
          <w:sz w:val="14"/>
        </w:rPr>
        <w:footnoteRef/>
      </w:r>
      <w:r>
        <w:rPr>
          <w:sz w:val="14"/>
          <w:szCs w:val="14"/>
        </w:rPr>
        <w:t xml:space="preserve"> </w:t>
      </w:r>
      <w:r>
        <w:rPr>
          <w:sz w:val="14"/>
          <w:szCs w:val="14"/>
        </w:rPr>
        <w:tab/>
        <w:t>Suggested by World Bank Aide Memoire, September 2023</w:t>
      </w:r>
    </w:p>
  </w:footnote>
  <w:footnote w:id="61">
    <w:p w14:paraId="65AF4013" w14:textId="77777777" w:rsidR="00115297" w:rsidRDefault="00115297" w:rsidP="00345678">
      <w:pPr>
        <w:pStyle w:val="FootnoteText"/>
        <w:spacing w:line="200" w:lineRule="exact"/>
        <w:ind w:left="284" w:hanging="284"/>
        <w:rPr>
          <w:sz w:val="14"/>
          <w:szCs w:val="14"/>
        </w:rPr>
      </w:pPr>
      <w:r>
        <w:rPr>
          <w:rStyle w:val="FootnoteReference"/>
          <w:sz w:val="14"/>
        </w:rPr>
        <w:footnoteRef/>
      </w:r>
      <w:r>
        <w:rPr>
          <w:sz w:val="14"/>
          <w:szCs w:val="14"/>
        </w:rPr>
        <w:t xml:space="preserve"> </w:t>
      </w:r>
      <w:r>
        <w:rPr>
          <w:sz w:val="14"/>
          <w:szCs w:val="14"/>
        </w:rPr>
        <w:tab/>
        <w:t>Instruction nr. 40, including inventory and evaluation of public assets</w:t>
      </w:r>
    </w:p>
  </w:footnote>
  <w:footnote w:id="62">
    <w:p w14:paraId="0F3A0BC5" w14:textId="2BCE4C59" w:rsidR="00115297" w:rsidRPr="000565EF" w:rsidRDefault="00115297" w:rsidP="00345678">
      <w:pPr>
        <w:pStyle w:val="FootnoteText"/>
        <w:spacing w:line="200" w:lineRule="exact"/>
        <w:ind w:left="284" w:hanging="284"/>
        <w:rPr>
          <w:sz w:val="14"/>
          <w:szCs w:val="14"/>
        </w:rPr>
      </w:pPr>
      <w:r w:rsidRPr="000565EF">
        <w:rPr>
          <w:rStyle w:val="FootnoteReference"/>
          <w:sz w:val="14"/>
        </w:rPr>
        <w:footnoteRef/>
      </w:r>
      <w:r w:rsidRPr="000565EF">
        <w:rPr>
          <w:sz w:val="14"/>
          <w:szCs w:val="14"/>
        </w:rPr>
        <w:t xml:space="preserve"> </w:t>
      </w:r>
      <w:r w:rsidRPr="000565EF">
        <w:rPr>
          <w:sz w:val="14"/>
          <w:szCs w:val="14"/>
        </w:rPr>
        <w:tab/>
        <w:t xml:space="preserve">Law no </w:t>
      </w:r>
      <w:r w:rsidRPr="000565EF">
        <w:rPr>
          <w:bCs/>
          <w:sz w:val="14"/>
          <w:szCs w:val="14"/>
        </w:rPr>
        <w:t>110/2015 on Financial Management and Control, dated 15.10.2015</w:t>
      </w:r>
      <w:r>
        <w:rPr>
          <w:bCs/>
          <w:sz w:val="14"/>
          <w:szCs w:val="14"/>
        </w:rPr>
        <w:t>.</w:t>
      </w:r>
    </w:p>
  </w:footnote>
  <w:footnote w:id="63">
    <w:p w14:paraId="40E24980" w14:textId="77777777" w:rsidR="00115297" w:rsidRPr="000565EF" w:rsidRDefault="00115297" w:rsidP="00345678">
      <w:pPr>
        <w:pStyle w:val="FootnoteText"/>
        <w:spacing w:line="200" w:lineRule="exact"/>
        <w:ind w:left="284" w:hanging="284"/>
        <w:rPr>
          <w:sz w:val="14"/>
          <w:szCs w:val="14"/>
        </w:rPr>
      </w:pPr>
      <w:r w:rsidRPr="000565EF">
        <w:rPr>
          <w:rStyle w:val="FootnoteReference"/>
          <w:sz w:val="14"/>
        </w:rPr>
        <w:footnoteRef/>
      </w:r>
      <w:r w:rsidRPr="000565EF">
        <w:rPr>
          <w:sz w:val="14"/>
          <w:szCs w:val="14"/>
        </w:rPr>
        <w:t xml:space="preserve"> </w:t>
      </w:r>
      <w:r w:rsidRPr="000565EF">
        <w:rPr>
          <w:sz w:val="14"/>
          <w:szCs w:val="14"/>
        </w:rPr>
        <w:tab/>
        <w:t>https://financa.gov.al/wp-content/uploads/2018/06/Manuali_i_MFK_2016_1.pdf</w:t>
      </w:r>
    </w:p>
  </w:footnote>
  <w:footnote w:id="64">
    <w:p w14:paraId="442A9189" w14:textId="77777777" w:rsidR="00115297" w:rsidRPr="000565EF" w:rsidRDefault="00115297" w:rsidP="00345678">
      <w:pPr>
        <w:pStyle w:val="FootnoteText"/>
        <w:spacing w:line="200" w:lineRule="exact"/>
        <w:ind w:left="284" w:hanging="284"/>
        <w:rPr>
          <w:sz w:val="14"/>
          <w:szCs w:val="14"/>
        </w:rPr>
      </w:pPr>
      <w:r w:rsidRPr="000565EF">
        <w:rPr>
          <w:rStyle w:val="FootnoteReference"/>
          <w:sz w:val="14"/>
        </w:rPr>
        <w:footnoteRef/>
      </w:r>
      <w:r w:rsidRPr="000565EF">
        <w:rPr>
          <w:sz w:val="14"/>
          <w:szCs w:val="14"/>
        </w:rPr>
        <w:t xml:space="preserve"> </w:t>
      </w:r>
      <w:r w:rsidRPr="000565EF">
        <w:rPr>
          <w:sz w:val="14"/>
          <w:szCs w:val="14"/>
        </w:rPr>
        <w:tab/>
        <w:t>https://financa.gov.al/pyetesori-i-vetevleresimit-per-vitin-2018-per-komponentet-e-menaxhimit-financiar-dhe-kontrollit/.</w:t>
      </w:r>
    </w:p>
  </w:footnote>
  <w:footnote w:id="65">
    <w:p w14:paraId="301E0D09" w14:textId="77777777" w:rsidR="00115297" w:rsidRPr="000565EF" w:rsidRDefault="00115297" w:rsidP="00345678">
      <w:pPr>
        <w:pStyle w:val="FootnoteText"/>
        <w:spacing w:line="200" w:lineRule="exact"/>
        <w:ind w:left="284" w:hanging="284"/>
        <w:rPr>
          <w:sz w:val="14"/>
          <w:szCs w:val="14"/>
          <w:lang w:val="en-GB"/>
        </w:rPr>
      </w:pPr>
      <w:r w:rsidRPr="000565EF">
        <w:rPr>
          <w:rStyle w:val="FootnoteReference"/>
          <w:sz w:val="14"/>
        </w:rPr>
        <w:footnoteRef/>
      </w:r>
      <w:r w:rsidRPr="000565EF">
        <w:rPr>
          <w:sz w:val="14"/>
          <w:szCs w:val="14"/>
        </w:rPr>
        <w:t xml:space="preserve"> </w:t>
      </w:r>
      <w:r w:rsidRPr="000565EF">
        <w:rPr>
          <w:sz w:val="14"/>
          <w:szCs w:val="14"/>
        </w:rPr>
        <w:tab/>
        <w:t>SIGMA Albania Progress report</w:t>
      </w:r>
      <w:r w:rsidRPr="000565EF">
        <w:rPr>
          <w:sz w:val="14"/>
          <w:szCs w:val="14"/>
          <w:lang w:val="en-GB"/>
        </w:rPr>
        <w:t>.</w:t>
      </w:r>
    </w:p>
  </w:footnote>
  <w:footnote w:id="66">
    <w:p w14:paraId="0BE6EB10" w14:textId="47F52816" w:rsidR="00115297" w:rsidRPr="000565EF" w:rsidRDefault="00115297" w:rsidP="00345678">
      <w:pPr>
        <w:pStyle w:val="FootnoteText"/>
        <w:spacing w:line="200" w:lineRule="exact"/>
        <w:ind w:left="284" w:hanging="284"/>
        <w:rPr>
          <w:sz w:val="14"/>
          <w:szCs w:val="14"/>
        </w:rPr>
      </w:pPr>
      <w:r w:rsidRPr="000565EF">
        <w:rPr>
          <w:rStyle w:val="FootnoteReference"/>
          <w:sz w:val="14"/>
        </w:rPr>
        <w:footnoteRef/>
      </w:r>
      <w:r w:rsidRPr="000565EF">
        <w:rPr>
          <w:sz w:val="14"/>
          <w:szCs w:val="14"/>
        </w:rPr>
        <w:t xml:space="preserve"> </w:t>
      </w:r>
      <w:r w:rsidRPr="000565EF">
        <w:rPr>
          <w:sz w:val="14"/>
          <w:szCs w:val="14"/>
        </w:rPr>
        <w:tab/>
      </w:r>
      <w:r>
        <w:rPr>
          <w:sz w:val="14"/>
          <w:szCs w:val="14"/>
        </w:rPr>
        <w:t>TBD</w:t>
      </w:r>
      <w:r w:rsidRPr="000565EF">
        <w:rPr>
          <w:sz w:val="14"/>
          <w:szCs w:val="14"/>
        </w:rPr>
        <w:t>.</w:t>
      </w:r>
      <w:r>
        <w:rPr>
          <w:sz w:val="14"/>
          <w:szCs w:val="14"/>
        </w:rPr>
        <w:t xml:space="preserve"> </w:t>
      </w:r>
      <w:r w:rsidRPr="000565EF">
        <w:rPr>
          <w:sz w:val="14"/>
          <w:szCs w:val="14"/>
        </w:rPr>
        <w:t xml:space="preserve">The SECO funded project for Local Finance also provides support in this domain. </w:t>
      </w:r>
    </w:p>
  </w:footnote>
  <w:footnote w:id="67">
    <w:p w14:paraId="34D481A8" w14:textId="77777777" w:rsidR="00115297" w:rsidRPr="000565EF" w:rsidRDefault="00115297" w:rsidP="00345678">
      <w:pPr>
        <w:pStyle w:val="FootnoteText"/>
        <w:spacing w:line="200" w:lineRule="exact"/>
        <w:ind w:left="284" w:hanging="284"/>
        <w:rPr>
          <w:sz w:val="14"/>
          <w:szCs w:val="14"/>
        </w:rPr>
      </w:pPr>
      <w:r w:rsidRPr="000565EF">
        <w:rPr>
          <w:rStyle w:val="FootnoteReference"/>
          <w:sz w:val="14"/>
        </w:rPr>
        <w:footnoteRef/>
      </w:r>
      <w:r w:rsidRPr="000565EF">
        <w:rPr>
          <w:sz w:val="14"/>
          <w:szCs w:val="14"/>
        </w:rPr>
        <w:t xml:space="preserve"> </w:t>
      </w:r>
      <w:r w:rsidRPr="000565EF">
        <w:rPr>
          <w:sz w:val="14"/>
          <w:szCs w:val="14"/>
        </w:rPr>
        <w:tab/>
        <w:t>Instruction no. 4 dated 29.01.2020 on “The delegation of rights and duties in general government units”.</w:t>
      </w:r>
    </w:p>
  </w:footnote>
  <w:footnote w:id="68">
    <w:p w14:paraId="577ED063" w14:textId="230F9F5F" w:rsidR="00115297" w:rsidRPr="00C97B38" w:rsidRDefault="00115297" w:rsidP="00345678">
      <w:pPr>
        <w:pStyle w:val="FootnoteText"/>
        <w:spacing w:line="200" w:lineRule="exact"/>
        <w:ind w:left="284" w:hanging="284"/>
        <w:rPr>
          <w:sz w:val="14"/>
          <w:szCs w:val="14"/>
        </w:rPr>
      </w:pPr>
      <w:r w:rsidRPr="000565EF">
        <w:rPr>
          <w:rStyle w:val="FootnoteReference"/>
          <w:sz w:val="14"/>
        </w:rPr>
        <w:footnoteRef/>
      </w:r>
      <w:r w:rsidRPr="000565EF">
        <w:rPr>
          <w:sz w:val="14"/>
          <w:szCs w:val="14"/>
        </w:rPr>
        <w:t xml:space="preserve"> </w:t>
      </w:r>
      <w:r w:rsidRPr="000565EF">
        <w:rPr>
          <w:sz w:val="14"/>
          <w:szCs w:val="14"/>
        </w:rPr>
        <w:tab/>
        <w:t>EU has planned support in collaboration with SIGMA.</w:t>
      </w:r>
      <w:r>
        <w:rPr>
          <w:sz w:val="14"/>
          <w:szCs w:val="14"/>
        </w:rPr>
        <w:t xml:space="preserve"> </w:t>
      </w:r>
      <w:r w:rsidRPr="000565EF">
        <w:rPr>
          <w:sz w:val="14"/>
          <w:szCs w:val="14"/>
        </w:rPr>
        <w:t>The SECO funded project for Local Finance also provides support in this domain.</w:t>
      </w:r>
      <w:r>
        <w:rPr>
          <w:sz w:val="14"/>
          <w:szCs w:val="14"/>
        </w:rPr>
        <w:t xml:space="preserve"> </w:t>
      </w:r>
    </w:p>
  </w:footnote>
  <w:footnote w:id="69">
    <w:p w14:paraId="370D554F" w14:textId="77777777" w:rsidR="00115297" w:rsidRPr="00C97B38" w:rsidRDefault="00115297" w:rsidP="00345678">
      <w:pPr>
        <w:pStyle w:val="FootnoteText"/>
        <w:spacing w:line="200" w:lineRule="exact"/>
        <w:ind w:left="284" w:hanging="284"/>
        <w:rPr>
          <w:sz w:val="14"/>
          <w:szCs w:val="14"/>
        </w:rPr>
      </w:pPr>
      <w:r w:rsidRPr="007A7037">
        <w:rPr>
          <w:rStyle w:val="FootnoteReference"/>
        </w:rPr>
        <w:footnoteRef/>
      </w:r>
      <w:r w:rsidRPr="007A7037">
        <w:rPr>
          <w:sz w:val="14"/>
          <w:szCs w:val="14"/>
        </w:rPr>
        <w:t xml:space="preserve"> </w:t>
      </w:r>
      <w:r w:rsidRPr="007A7037">
        <w:rPr>
          <w:sz w:val="14"/>
          <w:szCs w:val="14"/>
        </w:rPr>
        <w:tab/>
      </w:r>
      <w:r>
        <w:rPr>
          <w:sz w:val="14"/>
          <w:szCs w:val="14"/>
        </w:rPr>
        <w:t xml:space="preserve">The SECO funded project for Local Finance also provides support in this domain. </w:t>
      </w:r>
    </w:p>
  </w:footnote>
  <w:footnote w:id="70">
    <w:p w14:paraId="158E8E65" w14:textId="3186C573" w:rsidR="00115297" w:rsidRPr="00B82D22" w:rsidRDefault="00115297" w:rsidP="00345678">
      <w:pPr>
        <w:pStyle w:val="FootnoteText"/>
        <w:rPr>
          <w:sz w:val="14"/>
          <w:szCs w:val="14"/>
        </w:rPr>
      </w:pPr>
      <w:r>
        <w:rPr>
          <w:rStyle w:val="FootnoteReference"/>
        </w:rPr>
        <w:footnoteRef/>
      </w:r>
      <w:r>
        <w:t xml:space="preserve"> </w:t>
      </w:r>
      <w:r w:rsidRPr="00B82D22">
        <w:rPr>
          <w:sz w:val="14"/>
          <w:szCs w:val="14"/>
        </w:rPr>
        <w:t>Review the effectiveness of the FMC law as well as required harmonization with other legislation and prepare amendments if needed</w:t>
      </w:r>
      <w:r>
        <w:rPr>
          <w:sz w:val="14"/>
          <w:szCs w:val="14"/>
        </w:rPr>
        <w:t>.</w:t>
      </w:r>
    </w:p>
  </w:footnote>
  <w:footnote w:id="71">
    <w:p w14:paraId="18F9723D" w14:textId="2C8603DC" w:rsidR="00115297" w:rsidRPr="005F511E" w:rsidRDefault="00115297" w:rsidP="00345678">
      <w:pPr>
        <w:pStyle w:val="FootnoteText"/>
        <w:spacing w:line="200" w:lineRule="exact"/>
        <w:ind w:left="284" w:hanging="284"/>
        <w:rPr>
          <w:sz w:val="14"/>
          <w:szCs w:val="14"/>
        </w:rPr>
      </w:pPr>
      <w:r w:rsidRPr="005F511E">
        <w:rPr>
          <w:rStyle w:val="FootnoteReference"/>
          <w:sz w:val="14"/>
        </w:rPr>
        <w:footnoteRef/>
      </w:r>
      <w:r w:rsidRPr="005F511E">
        <w:rPr>
          <w:sz w:val="14"/>
          <w:szCs w:val="14"/>
        </w:rPr>
        <w:t xml:space="preserve"> </w:t>
      </w:r>
      <w:r w:rsidRPr="005F511E">
        <w:rPr>
          <w:sz w:val="14"/>
          <w:szCs w:val="14"/>
        </w:rPr>
        <w:tab/>
      </w:r>
      <w:r>
        <w:rPr>
          <w:sz w:val="14"/>
          <w:szCs w:val="14"/>
        </w:rPr>
        <w:t>TBD</w:t>
      </w:r>
      <w:r w:rsidRPr="005F511E">
        <w:rPr>
          <w:sz w:val="14"/>
          <w:szCs w:val="14"/>
        </w:rPr>
        <w:t>.</w:t>
      </w:r>
    </w:p>
  </w:footnote>
  <w:footnote w:id="72">
    <w:p w14:paraId="34A054D2" w14:textId="77777777" w:rsidR="00115297" w:rsidRPr="005F511E" w:rsidRDefault="00115297" w:rsidP="00345678">
      <w:pPr>
        <w:pStyle w:val="FootnoteText"/>
        <w:spacing w:line="200" w:lineRule="exact"/>
        <w:ind w:left="284" w:hanging="284"/>
        <w:rPr>
          <w:sz w:val="14"/>
          <w:szCs w:val="14"/>
          <w:lang w:val="en-GB"/>
        </w:rPr>
      </w:pPr>
      <w:r w:rsidRPr="005F511E">
        <w:rPr>
          <w:rStyle w:val="FootnoteReference"/>
          <w:sz w:val="14"/>
        </w:rPr>
        <w:footnoteRef/>
      </w:r>
      <w:r w:rsidRPr="005F511E">
        <w:rPr>
          <w:sz w:val="14"/>
          <w:szCs w:val="14"/>
        </w:rPr>
        <w:t xml:space="preserve"> </w:t>
      </w:r>
      <w:r>
        <w:rPr>
          <w:sz w:val="14"/>
          <w:szCs w:val="14"/>
        </w:rPr>
        <w:tab/>
      </w:r>
      <w:r w:rsidRPr="005F511E">
        <w:rPr>
          <w:sz w:val="14"/>
          <w:szCs w:val="14"/>
          <w:lang w:val="en-GB"/>
        </w:rPr>
        <w:t xml:space="preserve">New IIA standards are </w:t>
      </w:r>
      <w:r w:rsidRPr="005F511E">
        <w:rPr>
          <w:sz w:val="14"/>
          <w:szCs w:val="14"/>
        </w:rPr>
        <w:t>to be published in January 2024 and entering into force January 2025</w:t>
      </w:r>
      <w:r w:rsidRPr="005F511E">
        <w:rPr>
          <w:sz w:val="14"/>
          <w:szCs w:val="14"/>
          <w:lang w:val="en-GB"/>
        </w:rPr>
        <w:t>.</w:t>
      </w:r>
    </w:p>
  </w:footnote>
  <w:footnote w:id="73">
    <w:p w14:paraId="05E2BAC8" w14:textId="1522CFBF" w:rsidR="00115297" w:rsidRPr="005F511E" w:rsidRDefault="00115297" w:rsidP="00345678">
      <w:pPr>
        <w:pStyle w:val="FootnoteText"/>
        <w:spacing w:line="200" w:lineRule="exact"/>
        <w:ind w:left="284" w:hanging="284"/>
        <w:rPr>
          <w:sz w:val="14"/>
          <w:szCs w:val="14"/>
        </w:rPr>
      </w:pPr>
      <w:r w:rsidRPr="005F511E">
        <w:rPr>
          <w:rStyle w:val="FootnoteReference"/>
          <w:sz w:val="14"/>
        </w:rPr>
        <w:footnoteRef/>
      </w:r>
      <w:r w:rsidRPr="005F511E">
        <w:rPr>
          <w:sz w:val="14"/>
          <w:szCs w:val="14"/>
        </w:rPr>
        <w:t xml:space="preserve"> </w:t>
      </w:r>
      <w:r w:rsidRPr="005F511E">
        <w:rPr>
          <w:sz w:val="14"/>
          <w:szCs w:val="14"/>
        </w:rPr>
        <w:tab/>
      </w:r>
      <w:r>
        <w:rPr>
          <w:sz w:val="14"/>
          <w:szCs w:val="14"/>
        </w:rPr>
        <w:t>TBD</w:t>
      </w:r>
      <w:r w:rsidRPr="005F511E">
        <w:rPr>
          <w:sz w:val="14"/>
          <w:szCs w:val="14"/>
        </w:rPr>
        <w:t>; SIGMA is providing training in the field of basic IT audit</w:t>
      </w:r>
      <w:r>
        <w:rPr>
          <w:sz w:val="14"/>
          <w:szCs w:val="14"/>
        </w:rPr>
        <w:t>.</w:t>
      </w:r>
    </w:p>
  </w:footnote>
  <w:footnote w:id="74">
    <w:p w14:paraId="66C12912" w14:textId="77777777" w:rsidR="00115297" w:rsidRPr="00AA4E7F" w:rsidRDefault="00115297" w:rsidP="002866F3">
      <w:pPr>
        <w:pStyle w:val="FootnoteText"/>
        <w:spacing w:line="200" w:lineRule="exact"/>
        <w:ind w:left="284" w:hanging="284"/>
        <w:rPr>
          <w:sz w:val="16"/>
          <w:szCs w:val="16"/>
        </w:rPr>
      </w:pPr>
      <w:r w:rsidRPr="005F511E">
        <w:rPr>
          <w:rStyle w:val="FootnoteReference"/>
          <w:sz w:val="14"/>
        </w:rPr>
        <w:footnoteRef/>
      </w:r>
      <w:r w:rsidRPr="005F511E">
        <w:rPr>
          <w:sz w:val="14"/>
          <w:szCs w:val="14"/>
        </w:rPr>
        <w:t xml:space="preserve"> </w:t>
      </w:r>
      <w:r w:rsidRPr="005F511E">
        <w:rPr>
          <w:sz w:val="14"/>
          <w:szCs w:val="14"/>
        </w:rPr>
        <w:tab/>
        <w:t>Currently, the following training topics have been identified: performance audit, basic IT audit, project audit. The Introduction of comprehensive IT audits for public entities operating in a complex IT environment has also been identified as a need and is foreseen for the period 2027-2030.</w:t>
      </w:r>
    </w:p>
  </w:footnote>
  <w:footnote w:id="75">
    <w:p w14:paraId="1A3F0FB2" w14:textId="48E63538" w:rsidR="00115297" w:rsidRPr="009B41E5" w:rsidRDefault="00115297" w:rsidP="00345678">
      <w:pPr>
        <w:pStyle w:val="FootnoteText"/>
        <w:spacing w:line="200" w:lineRule="exact"/>
        <w:ind w:left="284" w:hanging="284"/>
        <w:rPr>
          <w:sz w:val="14"/>
          <w:szCs w:val="14"/>
        </w:rPr>
      </w:pPr>
      <w:r w:rsidRPr="009B41E5">
        <w:rPr>
          <w:sz w:val="14"/>
          <w:szCs w:val="14"/>
          <w:vertAlign w:val="superscript"/>
        </w:rPr>
        <w:footnoteRef/>
      </w:r>
      <w:r w:rsidRPr="009B41E5">
        <w:rPr>
          <w:sz w:val="14"/>
          <w:szCs w:val="14"/>
        </w:rPr>
        <w:t xml:space="preserve"> </w:t>
      </w:r>
      <w:r w:rsidRPr="009B41E5">
        <w:rPr>
          <w:sz w:val="14"/>
          <w:szCs w:val="14"/>
        </w:rPr>
        <w:tab/>
        <w:t>Law no 112/2015 dated 15.10.2015 “On the Financial Inspection”</w:t>
      </w:r>
      <w:r>
        <w:rPr>
          <w:sz w:val="14"/>
          <w:szCs w:val="14"/>
        </w:rPr>
        <w:t>.</w:t>
      </w:r>
    </w:p>
  </w:footnote>
  <w:footnote w:id="76">
    <w:p w14:paraId="0049D83D" w14:textId="1085A26E" w:rsidR="00115297" w:rsidRPr="00F44A41" w:rsidRDefault="00115297" w:rsidP="00345678">
      <w:pPr>
        <w:pStyle w:val="FootnoteText"/>
        <w:spacing w:line="200" w:lineRule="exact"/>
        <w:ind w:left="284" w:hanging="284"/>
        <w:rPr>
          <w:sz w:val="14"/>
          <w:szCs w:val="14"/>
        </w:rPr>
      </w:pPr>
      <w:r w:rsidRPr="00F44A41">
        <w:rPr>
          <w:rStyle w:val="FootnoteReference"/>
          <w:sz w:val="14"/>
        </w:rPr>
        <w:footnoteRef/>
      </w:r>
      <w:r w:rsidRPr="00F44A41">
        <w:rPr>
          <w:sz w:val="14"/>
          <w:szCs w:val="14"/>
        </w:rPr>
        <w:t xml:space="preserve"> </w:t>
      </w:r>
      <w:r w:rsidRPr="00F44A41">
        <w:rPr>
          <w:sz w:val="14"/>
          <w:szCs w:val="14"/>
        </w:rPr>
        <w:tab/>
      </w:r>
      <w:r>
        <w:rPr>
          <w:sz w:val="14"/>
          <w:szCs w:val="14"/>
        </w:rPr>
        <w:t>TBD</w:t>
      </w:r>
      <w:r w:rsidRPr="00F44A41">
        <w:rPr>
          <w:sz w:val="14"/>
          <w:szCs w:val="14"/>
        </w:rPr>
        <w:t xml:space="preserve">. OLAF may provide support to strengthen the AFCOS coordination function through its regular engagement with the </w:t>
      </w:r>
      <w:r>
        <w:rPr>
          <w:sz w:val="14"/>
          <w:szCs w:val="14"/>
        </w:rPr>
        <w:t>MoF</w:t>
      </w:r>
      <w:r w:rsidRPr="00F44A41">
        <w:rPr>
          <w:sz w:val="14"/>
          <w:szCs w:val="14"/>
        </w:rPr>
        <w:t>-DPFI.</w:t>
      </w:r>
    </w:p>
  </w:footnote>
  <w:footnote w:id="77">
    <w:p w14:paraId="2BF954F5" w14:textId="77777777" w:rsidR="00115297" w:rsidRPr="00144B28" w:rsidRDefault="00115297" w:rsidP="00345678">
      <w:pPr>
        <w:pStyle w:val="FootnoteText"/>
        <w:spacing w:line="200" w:lineRule="exact"/>
        <w:ind w:left="284" w:hanging="284"/>
        <w:rPr>
          <w:sz w:val="14"/>
          <w:szCs w:val="14"/>
        </w:rPr>
      </w:pPr>
      <w:r w:rsidRPr="00144B28">
        <w:rPr>
          <w:rStyle w:val="FootnoteReference"/>
          <w:sz w:val="14"/>
        </w:rPr>
        <w:footnoteRef/>
      </w:r>
      <w:r w:rsidRPr="00144B28">
        <w:rPr>
          <w:sz w:val="14"/>
          <w:szCs w:val="14"/>
        </w:rPr>
        <w:t xml:space="preserve">    Law 65/2022 </w:t>
      </w:r>
    </w:p>
  </w:footnote>
  <w:footnote w:id="78">
    <w:p w14:paraId="173D08B5" w14:textId="3396C527" w:rsidR="00115297" w:rsidRPr="00AF2331" w:rsidRDefault="00115297" w:rsidP="00345678">
      <w:pPr>
        <w:pStyle w:val="FootnoteText"/>
        <w:spacing w:line="200" w:lineRule="exact"/>
        <w:ind w:left="284" w:hanging="284"/>
        <w:rPr>
          <w:sz w:val="14"/>
          <w:szCs w:val="14"/>
        </w:rPr>
      </w:pPr>
      <w:r w:rsidRPr="00144B28">
        <w:rPr>
          <w:rStyle w:val="FootnoteReference"/>
          <w:sz w:val="14"/>
        </w:rPr>
        <w:footnoteRef/>
      </w:r>
      <w:r w:rsidRPr="00144B28">
        <w:rPr>
          <w:sz w:val="14"/>
          <w:szCs w:val="14"/>
        </w:rPr>
        <w:t xml:space="preserve"> </w:t>
      </w:r>
      <w:r w:rsidRPr="00144B28">
        <w:rPr>
          <w:sz w:val="14"/>
          <w:szCs w:val="14"/>
        </w:rPr>
        <w:tab/>
        <w:t xml:space="preserve">In accordance with the </w:t>
      </w:r>
      <w:r w:rsidRPr="00144B28">
        <w:rPr>
          <w:sz w:val="14"/>
          <w:szCs w:val="14"/>
          <w:lang w:val="en-GB"/>
        </w:rPr>
        <w:t>F</w:t>
      </w:r>
      <w:r w:rsidRPr="00144B28">
        <w:rPr>
          <w:sz w:val="14"/>
          <w:szCs w:val="14"/>
        </w:rPr>
        <w:t xml:space="preserve">inancial </w:t>
      </w:r>
      <w:r w:rsidRPr="00144B28">
        <w:rPr>
          <w:sz w:val="14"/>
          <w:szCs w:val="14"/>
          <w:lang w:val="en-GB"/>
        </w:rPr>
        <w:t>F</w:t>
      </w:r>
      <w:r w:rsidRPr="00144B28">
        <w:rPr>
          <w:sz w:val="14"/>
          <w:szCs w:val="14"/>
        </w:rPr>
        <w:t xml:space="preserve">ramework </w:t>
      </w:r>
      <w:r w:rsidRPr="00144B28">
        <w:rPr>
          <w:sz w:val="14"/>
          <w:szCs w:val="14"/>
          <w:lang w:val="en-GB"/>
        </w:rPr>
        <w:t>P</w:t>
      </w:r>
      <w:r w:rsidRPr="00144B28">
        <w:rPr>
          <w:sz w:val="14"/>
          <w:szCs w:val="14"/>
        </w:rPr>
        <w:t xml:space="preserve">artnership </w:t>
      </w:r>
      <w:r w:rsidRPr="00144B28">
        <w:rPr>
          <w:sz w:val="14"/>
          <w:szCs w:val="14"/>
          <w:lang w:val="en-GB"/>
        </w:rPr>
        <w:t>A</w:t>
      </w:r>
      <w:r w:rsidRPr="00144B28">
        <w:rPr>
          <w:sz w:val="14"/>
          <w:szCs w:val="14"/>
        </w:rPr>
        <w:t xml:space="preserve">greement between the </w:t>
      </w:r>
      <w:r w:rsidRPr="00144B28">
        <w:rPr>
          <w:sz w:val="14"/>
          <w:szCs w:val="14"/>
          <w:lang w:val="en-GB"/>
        </w:rPr>
        <w:t>E</w:t>
      </w:r>
      <w:r w:rsidRPr="00144B28">
        <w:rPr>
          <w:sz w:val="14"/>
          <w:szCs w:val="14"/>
        </w:rPr>
        <w:t xml:space="preserve">uropean </w:t>
      </w:r>
      <w:r w:rsidRPr="00144B28">
        <w:rPr>
          <w:sz w:val="14"/>
          <w:szCs w:val="14"/>
          <w:lang w:val="en-GB"/>
        </w:rPr>
        <w:t>C</w:t>
      </w:r>
      <w:r w:rsidRPr="00144B28">
        <w:rPr>
          <w:sz w:val="14"/>
          <w:szCs w:val="14"/>
        </w:rPr>
        <w:t xml:space="preserve">ommission and the </w:t>
      </w:r>
      <w:r w:rsidRPr="00144B28">
        <w:rPr>
          <w:sz w:val="14"/>
          <w:szCs w:val="14"/>
          <w:lang w:val="en-GB"/>
        </w:rPr>
        <w:t>R</w:t>
      </w:r>
      <w:r w:rsidRPr="00144B28">
        <w:rPr>
          <w:sz w:val="14"/>
          <w:szCs w:val="14"/>
        </w:rPr>
        <w:t xml:space="preserve">epublic of </w:t>
      </w:r>
      <w:r w:rsidRPr="00144B28">
        <w:rPr>
          <w:sz w:val="14"/>
          <w:szCs w:val="14"/>
          <w:lang w:val="en-GB"/>
        </w:rPr>
        <w:t>A</w:t>
      </w:r>
      <w:r w:rsidRPr="00144B28">
        <w:rPr>
          <w:sz w:val="14"/>
          <w:szCs w:val="14"/>
        </w:rPr>
        <w:t>lbania</w:t>
      </w:r>
      <w:r w:rsidRPr="00144B28">
        <w:rPr>
          <w:sz w:val="14"/>
          <w:szCs w:val="14"/>
          <w:lang w:val="en-GB"/>
        </w:rPr>
        <w:t>”.</w:t>
      </w:r>
    </w:p>
  </w:footnote>
  <w:footnote w:id="79">
    <w:p w14:paraId="1B83D77B" w14:textId="77777777" w:rsidR="00115297" w:rsidRPr="008075DF" w:rsidRDefault="00115297" w:rsidP="00345678">
      <w:pPr>
        <w:pStyle w:val="FootnoteText"/>
        <w:ind w:left="284" w:hanging="284"/>
        <w:rPr>
          <w:sz w:val="14"/>
          <w:szCs w:val="14"/>
        </w:rPr>
      </w:pPr>
      <w:r w:rsidRPr="0021164F">
        <w:rPr>
          <w:rStyle w:val="FootnoteReference"/>
        </w:rPr>
        <w:footnoteRef/>
      </w:r>
      <w:r>
        <w:rPr>
          <w:sz w:val="14"/>
          <w:szCs w:val="14"/>
        </w:rPr>
        <w:t xml:space="preserve"> </w:t>
      </w:r>
      <w:r>
        <w:rPr>
          <w:sz w:val="14"/>
          <w:szCs w:val="14"/>
        </w:rPr>
        <w:tab/>
      </w:r>
      <w:r w:rsidRPr="0021164F">
        <w:rPr>
          <w:sz w:val="14"/>
          <w:szCs w:val="14"/>
        </w:rPr>
        <w:t>Law “On the Organization and functioning of the High State Control”</w:t>
      </w:r>
      <w:r>
        <w:rPr>
          <w:sz w:val="14"/>
          <w:szCs w:val="14"/>
        </w:rPr>
        <w:t xml:space="preserve">, </w:t>
      </w:r>
      <w:r w:rsidRPr="0021164F">
        <w:rPr>
          <w:sz w:val="14"/>
          <w:szCs w:val="14"/>
        </w:rPr>
        <w:t>approved in 2014</w:t>
      </w:r>
      <w:r>
        <w:rPr>
          <w:sz w:val="14"/>
          <w:szCs w:val="14"/>
        </w:rPr>
        <w:t>.</w:t>
      </w:r>
    </w:p>
  </w:footnote>
  <w:footnote w:id="80">
    <w:p w14:paraId="2BEE475A" w14:textId="77777777" w:rsidR="00115297" w:rsidRPr="003A4B23" w:rsidRDefault="00115297" w:rsidP="00345678">
      <w:pPr>
        <w:pStyle w:val="FootnoteText"/>
        <w:spacing w:line="200" w:lineRule="exact"/>
        <w:ind w:left="284" w:hanging="284"/>
        <w:rPr>
          <w:sz w:val="14"/>
          <w:szCs w:val="14"/>
        </w:rPr>
      </w:pPr>
      <w:r w:rsidRPr="003A4B23">
        <w:rPr>
          <w:rStyle w:val="FootnoteReference"/>
          <w:sz w:val="14"/>
        </w:rPr>
        <w:footnoteRef/>
      </w:r>
      <w:r w:rsidRPr="003A4B23">
        <w:rPr>
          <w:sz w:val="14"/>
          <w:szCs w:val="14"/>
        </w:rPr>
        <w:t xml:space="preserve"> </w:t>
      </w:r>
      <w:r w:rsidRPr="003A4B23">
        <w:rPr>
          <w:sz w:val="14"/>
          <w:szCs w:val="14"/>
        </w:rPr>
        <w:tab/>
      </w:r>
      <w:r w:rsidRPr="00345678">
        <w:rPr>
          <w:sz w:val="14"/>
          <w:szCs w:val="14"/>
        </w:rPr>
        <w:t>Albania Supreme Audit Institution performance report, approved</w:t>
      </w:r>
      <w:r w:rsidRPr="003A4B23">
        <w:rPr>
          <w:sz w:val="14"/>
          <w:szCs w:val="14"/>
        </w:rPr>
        <w:t xml:space="preserve"> with the Decision of the ALSAI Chairman no. 225, date 02.12.2022.</w:t>
      </w:r>
    </w:p>
  </w:footnote>
  <w:footnote w:id="81">
    <w:p w14:paraId="3B091832" w14:textId="77777777" w:rsidR="00115297" w:rsidRPr="00B73DD8" w:rsidRDefault="00115297" w:rsidP="00345678">
      <w:pPr>
        <w:spacing w:line="200" w:lineRule="exact"/>
        <w:ind w:left="284" w:hanging="284"/>
        <w:jc w:val="both"/>
        <w:rPr>
          <w:sz w:val="14"/>
          <w:szCs w:val="14"/>
        </w:rPr>
      </w:pPr>
      <w:r w:rsidRPr="00B73DD8">
        <w:rPr>
          <w:rStyle w:val="FootnoteReference"/>
          <w:sz w:val="14"/>
        </w:rPr>
        <w:footnoteRef/>
      </w:r>
      <w:r w:rsidRPr="00B73DD8">
        <w:rPr>
          <w:sz w:val="14"/>
          <w:szCs w:val="14"/>
        </w:rPr>
        <w:t xml:space="preserve"> </w:t>
      </w:r>
      <w:r w:rsidRPr="00B73DD8">
        <w:rPr>
          <w:sz w:val="14"/>
          <w:szCs w:val="14"/>
        </w:rPr>
        <w:tab/>
        <w:t>https://staging.parlament.al/</w:t>
      </w:r>
    </w:p>
  </w:footnote>
  <w:footnote w:id="82">
    <w:p w14:paraId="66F2110D" w14:textId="77777777" w:rsidR="00115297" w:rsidRPr="00B73DD8" w:rsidRDefault="00115297" w:rsidP="00345678">
      <w:pPr>
        <w:spacing w:line="200" w:lineRule="exact"/>
        <w:ind w:left="284" w:hanging="284"/>
        <w:jc w:val="both"/>
        <w:rPr>
          <w:sz w:val="14"/>
          <w:szCs w:val="14"/>
        </w:rPr>
      </w:pPr>
      <w:r w:rsidRPr="00B73DD8">
        <w:rPr>
          <w:rStyle w:val="FootnoteReference"/>
          <w:sz w:val="14"/>
        </w:rPr>
        <w:footnoteRef/>
      </w:r>
      <w:r w:rsidRPr="00B73DD8">
        <w:rPr>
          <w:sz w:val="14"/>
          <w:szCs w:val="14"/>
        </w:rPr>
        <w:t xml:space="preserve"> </w:t>
      </w:r>
      <w:r w:rsidRPr="00B73DD8">
        <w:rPr>
          <w:sz w:val="14"/>
          <w:szCs w:val="14"/>
        </w:rPr>
        <w:tab/>
        <w:t>PEFA indicator 31 Legislative scrutiny of audit reports: score B on a scale of A to D (source: PEFA 2017) and SIGMA indicator 2.7.1 Parliamentary scrutiny of government policy making: score 4 out of 5 (source: SIGMA 2021).</w:t>
      </w:r>
    </w:p>
  </w:footnote>
  <w:footnote w:id="83">
    <w:p w14:paraId="6F850639" w14:textId="77777777" w:rsidR="00115297" w:rsidRPr="00DA55DB" w:rsidRDefault="00115297" w:rsidP="00345678">
      <w:pPr>
        <w:spacing w:line="200" w:lineRule="exact"/>
        <w:ind w:left="284" w:hanging="284"/>
        <w:jc w:val="both"/>
      </w:pPr>
      <w:r w:rsidRPr="00B73DD8">
        <w:rPr>
          <w:rStyle w:val="FootnoteReference"/>
          <w:sz w:val="14"/>
        </w:rPr>
        <w:footnoteRef/>
      </w:r>
      <w:r w:rsidRPr="00B73DD8">
        <w:rPr>
          <w:sz w:val="14"/>
          <w:szCs w:val="14"/>
        </w:rPr>
        <w:t xml:space="preserve"> </w:t>
      </w:r>
      <w:r w:rsidRPr="00B73DD8">
        <w:rPr>
          <w:sz w:val="14"/>
          <w:szCs w:val="14"/>
        </w:rPr>
        <w:tab/>
        <w:t>OECD (2019), Budgeting and Public Expenditures in OECD Countries 2019, Chapter 5 Parliament’s role in budgeting.</w:t>
      </w:r>
    </w:p>
  </w:footnote>
  <w:footnote w:id="84">
    <w:p w14:paraId="5D4CA520" w14:textId="77777777" w:rsidR="00115297" w:rsidRPr="00FF57F9" w:rsidRDefault="00115297" w:rsidP="00345678">
      <w:pPr>
        <w:pStyle w:val="FootnoteText"/>
        <w:spacing w:line="200" w:lineRule="exact"/>
        <w:ind w:left="284" w:hanging="284"/>
        <w:jc w:val="both"/>
        <w:rPr>
          <w:sz w:val="14"/>
          <w:szCs w:val="14"/>
        </w:rPr>
      </w:pPr>
      <w:r w:rsidRPr="00FF57F9">
        <w:rPr>
          <w:rStyle w:val="FootnoteReference"/>
          <w:sz w:val="14"/>
        </w:rPr>
        <w:footnoteRef/>
      </w:r>
      <w:r w:rsidRPr="00FF57F9">
        <w:rPr>
          <w:sz w:val="14"/>
          <w:szCs w:val="14"/>
        </w:rPr>
        <w:t xml:space="preserve"> </w:t>
      </w:r>
      <w:r w:rsidRPr="00FF57F9">
        <w:rPr>
          <w:sz w:val="14"/>
          <w:szCs w:val="14"/>
        </w:rPr>
        <w:tab/>
        <w:t xml:space="preserve">The scope of the development plan may include the mandate, sub-committee structure, collaboration with partners such as ALSAI, the Independent Fiscal Institution / Fiscal Council (to be established) and the National Bank of Albania; required research and support services, staffing requirements, capacity development needs, communication, transparency and public participation.  </w:t>
      </w:r>
    </w:p>
  </w:footnote>
  <w:footnote w:id="85">
    <w:p w14:paraId="6067B688" w14:textId="77777777" w:rsidR="00115297" w:rsidRPr="00FF57F9" w:rsidRDefault="00115297" w:rsidP="00345678">
      <w:pPr>
        <w:pStyle w:val="FootnoteText"/>
        <w:spacing w:line="200" w:lineRule="exact"/>
        <w:ind w:left="284" w:hanging="284"/>
        <w:rPr>
          <w:sz w:val="14"/>
          <w:szCs w:val="14"/>
        </w:rPr>
      </w:pPr>
      <w:r w:rsidRPr="00FF57F9">
        <w:rPr>
          <w:rStyle w:val="FootnoteReference"/>
          <w:sz w:val="14"/>
        </w:rPr>
        <w:footnoteRef/>
      </w:r>
      <w:r w:rsidRPr="00FF57F9">
        <w:rPr>
          <w:rStyle w:val="FootnoteReference"/>
          <w:sz w:val="14"/>
        </w:rPr>
        <w:t xml:space="preserve"> </w:t>
      </w:r>
      <w:r w:rsidRPr="00FF57F9">
        <w:rPr>
          <w:sz w:val="14"/>
          <w:szCs w:val="14"/>
        </w:rPr>
        <w:tab/>
      </w:r>
      <w:r w:rsidRPr="00FF57F9">
        <w:rPr>
          <w:rStyle w:val="FootnoteReference"/>
          <w:sz w:val="14"/>
          <w:vertAlign w:val="baseline"/>
        </w:rPr>
        <w:t xml:space="preserve">The PEFA sub-indicators PI 31.2 Hearings on audit findings (score C in 2017) and PI 31.3 Recommendations on audit by legislature (score C in 2017) </w:t>
      </w:r>
      <w:r>
        <w:rPr>
          <w:rStyle w:val="FootnoteReference"/>
          <w:sz w:val="14"/>
          <w:vertAlign w:val="baseline"/>
        </w:rPr>
        <w:t>h</w:t>
      </w:r>
      <w:r>
        <w:rPr>
          <w:sz w:val="14"/>
        </w:rPr>
        <w:t xml:space="preserve">ave improved </w:t>
      </w:r>
      <w:r w:rsidRPr="00FF57F9">
        <w:rPr>
          <w:rStyle w:val="FootnoteReference"/>
          <w:sz w:val="14"/>
          <w:vertAlign w:val="baseline"/>
        </w:rPr>
        <w:t xml:space="preserve">at a score </w:t>
      </w:r>
      <w:r w:rsidRPr="00FF57F9">
        <w:rPr>
          <w:sz w:val="14"/>
          <w:szCs w:val="14"/>
        </w:rPr>
        <w:t xml:space="preserve">higher than </w:t>
      </w:r>
      <w:r w:rsidRPr="00FF57F9">
        <w:rPr>
          <w:rStyle w:val="FootnoteReference"/>
          <w:sz w:val="14"/>
          <w:vertAlign w:val="baseline"/>
        </w:rPr>
        <w:t>B</w:t>
      </w:r>
      <w:r w:rsidRPr="00FF57F9">
        <w:rPr>
          <w:sz w:val="14"/>
          <w:szCs w:val="14"/>
        </w:rPr>
        <w:t>.</w:t>
      </w:r>
    </w:p>
  </w:footnote>
  <w:footnote w:id="86">
    <w:p w14:paraId="05D26D8E" w14:textId="77777777" w:rsidR="00115297" w:rsidRPr="001C3FEC" w:rsidRDefault="00115297" w:rsidP="00345678">
      <w:pPr>
        <w:pStyle w:val="FootnoteText"/>
        <w:spacing w:line="200" w:lineRule="exact"/>
        <w:ind w:left="284" w:hanging="284"/>
        <w:rPr>
          <w:sz w:val="14"/>
          <w:szCs w:val="14"/>
        </w:rPr>
      </w:pPr>
      <w:r w:rsidRPr="001C3FEC">
        <w:rPr>
          <w:rStyle w:val="FootnoteReference"/>
          <w:sz w:val="14"/>
        </w:rPr>
        <w:footnoteRef/>
      </w:r>
      <w:r w:rsidRPr="001C3FEC">
        <w:rPr>
          <w:sz w:val="14"/>
          <w:szCs w:val="14"/>
        </w:rPr>
        <w:t xml:space="preserve"> </w:t>
      </w:r>
      <w:r>
        <w:rPr>
          <w:sz w:val="14"/>
          <w:szCs w:val="14"/>
        </w:rPr>
        <w:tab/>
      </w:r>
      <w:r w:rsidRPr="001C3FEC">
        <w:rPr>
          <w:sz w:val="14"/>
          <w:szCs w:val="14"/>
        </w:rPr>
        <w:t>To ensure the effective implementation of the reform Strategy and to facilitate coordination of efforts, a steering committee was established by the Prime Minister Order No. 202 dated 25.08.2014.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676E"/>
    <w:multiLevelType w:val="hybridMultilevel"/>
    <w:tmpl w:val="958826B6"/>
    <w:lvl w:ilvl="0" w:tplc="FFFFFFFF">
      <w:start w:val="1"/>
      <w:numFmt w:val="decimal"/>
      <w:lvlText w:val="%1."/>
      <w:lvlJc w:val="left"/>
      <w:pPr>
        <w:ind w:left="360" w:hanging="360"/>
      </w:pPr>
      <w:rPr>
        <w:b w:val="0"/>
        <w:i w:val="0"/>
        <w:color w:val="auto"/>
        <w:sz w:val="16"/>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nsid w:val="049E48D3"/>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6157C52"/>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7476DE2"/>
    <w:multiLevelType w:val="hybridMultilevel"/>
    <w:tmpl w:val="E8663B32"/>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
    <w:nsid w:val="0A894D57"/>
    <w:multiLevelType w:val="hybridMultilevel"/>
    <w:tmpl w:val="72A8F4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0C8D40B0"/>
    <w:multiLevelType w:val="hybridMultilevel"/>
    <w:tmpl w:val="F910837A"/>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
    <w:nsid w:val="0E3E0F56"/>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0E46565F"/>
    <w:multiLevelType w:val="hybridMultilevel"/>
    <w:tmpl w:val="E690BF64"/>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0E97691B"/>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2D76E0C"/>
    <w:multiLevelType w:val="hybridMultilevel"/>
    <w:tmpl w:val="1FF2DD64"/>
    <w:lvl w:ilvl="0" w:tplc="C87CC902">
      <w:start w:val="1"/>
      <w:numFmt w:val="bullet"/>
      <w:lvlText w:val=""/>
      <w:lvlJc w:val="left"/>
      <w:pPr>
        <w:ind w:left="360" w:hanging="360"/>
      </w:pPr>
      <w:rPr>
        <w:rFonts w:ascii="Symbol" w:hAnsi="Symbol" w:hint="default"/>
        <w:b w:val="0"/>
        <w:i w:val="0"/>
        <w:color w:val="0070C0"/>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163178F7"/>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17CE0067"/>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1879118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18A361F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1AE32811"/>
    <w:multiLevelType w:val="hybridMultilevel"/>
    <w:tmpl w:val="907A16A8"/>
    <w:lvl w:ilvl="0" w:tplc="21541C12">
      <w:start w:val="3"/>
      <w:numFmt w:val="decimal"/>
      <w:lvlText w:val="%1."/>
      <w:lvlJc w:val="left"/>
      <w:pPr>
        <w:ind w:left="360" w:hanging="360"/>
      </w:pPr>
      <w:rPr>
        <w:rFonts w:hint="default"/>
        <w:b w:val="0"/>
        <w:i w:val="0"/>
        <w:color w:val="auto"/>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0B3580"/>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1CE07704"/>
    <w:multiLevelType w:val="hybridMultilevel"/>
    <w:tmpl w:val="FE745768"/>
    <w:lvl w:ilvl="0" w:tplc="FFFFFFFF">
      <w:start w:val="1"/>
      <w:numFmt w:val="decimal"/>
      <w:lvlText w:val="%1."/>
      <w:lvlJc w:val="left"/>
      <w:pPr>
        <w:ind w:left="360" w:hanging="360"/>
      </w:pPr>
      <w:rPr>
        <w:rFonts w:ascii="Arial" w:hAnsi="Arial" w:hint="default"/>
        <w:b w:val="0"/>
        <w:i w:val="0"/>
        <w:color w:val="auto"/>
        <w:sz w:val="18"/>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1E001F7C"/>
    <w:multiLevelType w:val="hybridMultilevel"/>
    <w:tmpl w:val="FB989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FC50AF4"/>
    <w:multiLevelType w:val="hybridMultilevel"/>
    <w:tmpl w:val="A72E31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21016A0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270475B6"/>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27B63736"/>
    <w:multiLevelType w:val="hybridMultilevel"/>
    <w:tmpl w:val="A72E31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299A4583"/>
    <w:multiLevelType w:val="hybridMultilevel"/>
    <w:tmpl w:val="2A8C8C8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29BE13BF"/>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2A803DAC"/>
    <w:multiLevelType w:val="hybridMultilevel"/>
    <w:tmpl w:val="E63C2D30"/>
    <w:lvl w:ilvl="0" w:tplc="C87CC902">
      <w:start w:val="1"/>
      <w:numFmt w:val="bullet"/>
      <w:lvlText w:val=""/>
      <w:lvlJc w:val="left"/>
      <w:pPr>
        <w:ind w:left="360" w:hanging="360"/>
      </w:pPr>
      <w:rPr>
        <w:rFonts w:ascii="Symbol" w:hAnsi="Symbo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nsid w:val="2B021E05"/>
    <w:multiLevelType w:val="hybridMultilevel"/>
    <w:tmpl w:val="7B7475AC"/>
    <w:lvl w:ilvl="0" w:tplc="1B1454EE">
      <w:start w:val="1"/>
      <w:numFmt w:val="bullet"/>
      <w:pStyle w:val="T-Bullet"/>
      <w:lvlText w:val=""/>
      <w:lvlJc w:val="left"/>
      <w:pPr>
        <w:ind w:left="360" w:hanging="360"/>
      </w:pPr>
      <w:rPr>
        <w:rFonts w:ascii="Symbol" w:hAnsi="Symbol" w:hint="default"/>
        <w:b w:val="0"/>
        <w:i w:val="0"/>
        <w:color w:val="0070C0"/>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2C7F3C6E"/>
    <w:multiLevelType w:val="hybridMultilevel"/>
    <w:tmpl w:val="B1BC23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2C9207CB"/>
    <w:multiLevelType w:val="hybridMultilevel"/>
    <w:tmpl w:val="7DACD706"/>
    <w:lvl w:ilvl="0" w:tplc="19C640D0">
      <w:start w:val="1"/>
      <w:numFmt w:val="bullet"/>
      <w:lvlText w:val=""/>
      <w:lvlJc w:val="left"/>
      <w:pPr>
        <w:ind w:left="360" w:hanging="360"/>
      </w:pPr>
      <w:rPr>
        <w:rFonts w:ascii="Symbol" w:hAnsi="Symbol" w:hint="default"/>
        <w:color w:val="0070C0"/>
        <w:sz w:val="18"/>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nsid w:val="2E7D3BAA"/>
    <w:multiLevelType w:val="hybridMultilevel"/>
    <w:tmpl w:val="2D3A8A26"/>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9">
    <w:nsid w:val="2F0211BC"/>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3060021B"/>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30B3081E"/>
    <w:multiLevelType w:val="hybridMultilevel"/>
    <w:tmpl w:val="37005B6C"/>
    <w:lvl w:ilvl="0" w:tplc="35DE14A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F4463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nsid w:val="37130980"/>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nsid w:val="3787763C"/>
    <w:multiLevelType w:val="hybridMultilevel"/>
    <w:tmpl w:val="4A46EF82"/>
    <w:lvl w:ilvl="0" w:tplc="C87CC902">
      <w:start w:val="1"/>
      <w:numFmt w:val="bullet"/>
      <w:lvlText w:val=""/>
      <w:lvlJc w:val="left"/>
      <w:pPr>
        <w:ind w:left="360" w:hanging="360"/>
      </w:pPr>
      <w:rPr>
        <w:rFonts w:ascii="Symbol" w:hAnsi="Symbol" w:hint="default"/>
        <w:color w:val="0070C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nsid w:val="380A1515"/>
    <w:multiLevelType w:val="hybridMultilevel"/>
    <w:tmpl w:val="72A8F4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38846B51"/>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nsid w:val="3C956560"/>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3E0334B1"/>
    <w:multiLevelType w:val="hybridMultilevel"/>
    <w:tmpl w:val="FE745768"/>
    <w:lvl w:ilvl="0" w:tplc="FFFFFFFF">
      <w:start w:val="1"/>
      <w:numFmt w:val="decimal"/>
      <w:lvlText w:val="%1."/>
      <w:lvlJc w:val="left"/>
      <w:pPr>
        <w:ind w:left="360" w:hanging="360"/>
      </w:pPr>
      <w:rPr>
        <w:rFonts w:ascii="Arial" w:hAnsi="Arial" w:hint="default"/>
        <w:b w:val="0"/>
        <w:i w:val="0"/>
        <w:color w:val="auto"/>
        <w:sz w:val="18"/>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nsid w:val="3E934F49"/>
    <w:multiLevelType w:val="hybridMultilevel"/>
    <w:tmpl w:val="6538B0C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nsid w:val="3F2375C9"/>
    <w:multiLevelType w:val="hybridMultilevel"/>
    <w:tmpl w:val="0FAEC284"/>
    <w:lvl w:ilvl="0" w:tplc="D6343FD8">
      <w:start w:val="1"/>
      <w:numFmt w:val="bullet"/>
      <w:pStyle w:val="T-bullet0"/>
      <w:lvlText w:val=""/>
      <w:lvlJc w:val="left"/>
      <w:pPr>
        <w:ind w:left="360" w:hanging="360"/>
      </w:pPr>
      <w:rPr>
        <w:rFonts w:ascii="Symbol" w:hAnsi="Symbol" w:hint="default"/>
        <w:color w:val="0070C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nsid w:val="427551CD"/>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nsid w:val="429B0788"/>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nsid w:val="42EA4754"/>
    <w:multiLevelType w:val="hybridMultilevel"/>
    <w:tmpl w:val="EDEE74D4"/>
    <w:lvl w:ilvl="0" w:tplc="8DCEC092">
      <w:start w:val="1"/>
      <w:numFmt w:val="decimal"/>
      <w:pStyle w:val="N-Number"/>
      <w:lvlText w:val="%1."/>
      <w:lvlJc w:val="left"/>
      <w:pPr>
        <w:ind w:left="360" w:hanging="360"/>
      </w:pPr>
      <w:rPr>
        <w:rFonts w:hint="default"/>
        <w:b w:val="0"/>
        <w:i w:val="0"/>
        <w:color w:val="auto"/>
        <w:sz w:val="18"/>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4">
    <w:nsid w:val="43DA382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nsid w:val="449C532D"/>
    <w:multiLevelType w:val="hybridMultilevel"/>
    <w:tmpl w:val="FE745768"/>
    <w:lvl w:ilvl="0" w:tplc="1DEAF428">
      <w:start w:val="1"/>
      <w:numFmt w:val="decimal"/>
      <w:lvlText w:val="%1."/>
      <w:lvlJc w:val="left"/>
      <w:pPr>
        <w:ind w:left="360" w:hanging="360"/>
      </w:pPr>
      <w:rPr>
        <w:rFonts w:ascii="Arial" w:hAnsi="Arial" w:hint="default"/>
        <w:b w:val="0"/>
        <w:i w:val="0"/>
        <w:color w:val="auto"/>
        <w:sz w:val="18"/>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nsid w:val="45190CA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458C4315"/>
    <w:multiLevelType w:val="hybridMultilevel"/>
    <w:tmpl w:val="77A4468C"/>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8">
    <w:nsid w:val="4622573F"/>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nsid w:val="46F56F14"/>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nsid w:val="47FB1F4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nsid w:val="4B98571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nsid w:val="4C397CA3"/>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nsid w:val="4C3C4D15"/>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nsid w:val="4D377654"/>
    <w:multiLevelType w:val="hybridMultilevel"/>
    <w:tmpl w:val="855C7FEC"/>
    <w:lvl w:ilvl="0" w:tplc="4EA8F86A">
      <w:start w:val="1"/>
      <w:numFmt w:val="decimal"/>
      <w:pStyle w:val="T-number"/>
      <w:lvlText w:val="%1."/>
      <w:lvlJc w:val="left"/>
      <w:pPr>
        <w:ind w:left="360" w:hanging="360"/>
      </w:pPr>
      <w:rPr>
        <w:rFonts w:ascii="Arial" w:hAnsi="Arial"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nsid w:val="4D475D8A"/>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nsid w:val="4EFF47C6"/>
    <w:multiLevelType w:val="hybridMultilevel"/>
    <w:tmpl w:val="84CCEDAE"/>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7">
    <w:nsid w:val="4F1405CB"/>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nsid w:val="4F177B3C"/>
    <w:multiLevelType w:val="hybridMultilevel"/>
    <w:tmpl w:val="82A0CA2C"/>
    <w:lvl w:ilvl="0" w:tplc="0409000F">
      <w:start w:val="1"/>
      <w:numFmt w:val="decimal"/>
      <w:lvlText w:val="%1."/>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nsid w:val="50F33953"/>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nsid w:val="5251377B"/>
    <w:multiLevelType w:val="hybridMultilevel"/>
    <w:tmpl w:val="D3FAC7D6"/>
    <w:lvl w:ilvl="0" w:tplc="C87CC902">
      <w:start w:val="1"/>
      <w:numFmt w:val="bullet"/>
      <w:lvlText w:val=""/>
      <w:lvlJc w:val="left"/>
      <w:pPr>
        <w:ind w:left="360" w:hanging="360"/>
      </w:pPr>
      <w:rPr>
        <w:rFonts w:ascii="Symbol" w:hAnsi="Symbol" w:hint="default"/>
        <w:color w:val="0070C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1">
    <w:nsid w:val="531F09C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nsid w:val="535361B8"/>
    <w:multiLevelType w:val="hybridMultilevel"/>
    <w:tmpl w:val="194CC72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nsid w:val="54D83B1E"/>
    <w:multiLevelType w:val="hybridMultilevel"/>
    <w:tmpl w:val="F6BAE85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nsid w:val="556E1DC9"/>
    <w:multiLevelType w:val="hybridMultilevel"/>
    <w:tmpl w:val="C9928FCC"/>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5">
    <w:nsid w:val="5A53782B"/>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nsid w:val="5B3078D7"/>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nsid w:val="5B661FC3"/>
    <w:multiLevelType w:val="hybridMultilevel"/>
    <w:tmpl w:val="82A0CA2C"/>
    <w:lvl w:ilvl="0" w:tplc="0409000F">
      <w:start w:val="1"/>
      <w:numFmt w:val="decimal"/>
      <w:lvlText w:val="%1."/>
      <w:lvlJc w:val="left"/>
      <w:pPr>
        <w:ind w:left="360" w:hanging="360"/>
      </w:pPr>
      <w:rPr>
        <w:rFonts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nsid w:val="5B7157CE"/>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nsid w:val="5DF677BE"/>
    <w:multiLevelType w:val="hybridMultilevel"/>
    <w:tmpl w:val="A40E416E"/>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0">
    <w:nsid w:val="61C7521B"/>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nsid w:val="64CF277F"/>
    <w:multiLevelType w:val="hybridMultilevel"/>
    <w:tmpl w:val="72A8F4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nsid w:val="64D74AD7"/>
    <w:multiLevelType w:val="hybridMultilevel"/>
    <w:tmpl w:val="A72E31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nsid w:val="68FF4AF8"/>
    <w:multiLevelType w:val="hybridMultilevel"/>
    <w:tmpl w:val="F0C2C48A"/>
    <w:lvl w:ilvl="0" w:tplc="CB3C606C">
      <w:start w:val="1"/>
      <w:numFmt w:val="bullet"/>
      <w:pStyle w:val="N-Bullet"/>
      <w:lvlText w:val=""/>
      <w:lvlJc w:val="left"/>
      <w:pPr>
        <w:ind w:left="360" w:hanging="360"/>
      </w:pPr>
      <w:rPr>
        <w:rFonts w:ascii="Symbol" w:hAnsi="Symbol"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nsid w:val="6BC65D33"/>
    <w:multiLevelType w:val="hybridMultilevel"/>
    <w:tmpl w:val="CFBC1C16"/>
    <w:lvl w:ilvl="0" w:tplc="C87CC902">
      <w:start w:val="1"/>
      <w:numFmt w:val="bullet"/>
      <w:lvlText w:val=""/>
      <w:lvlJc w:val="left"/>
      <w:pPr>
        <w:ind w:left="360" w:hanging="360"/>
      </w:pPr>
      <w:rPr>
        <w:rFonts w:ascii="Symbol" w:hAnsi="Symbol" w:hint="default"/>
        <w:color w:val="0070C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5">
    <w:nsid w:val="6D1E6CDA"/>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nsid w:val="6F387E2F"/>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nsid w:val="6FD638BA"/>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nsid w:val="71DC5991"/>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nsid w:val="72C07F3B"/>
    <w:multiLevelType w:val="hybridMultilevel"/>
    <w:tmpl w:val="CB12EA9E"/>
    <w:lvl w:ilvl="0" w:tplc="FFFFFFFF">
      <w:start w:val="1"/>
      <w:numFmt w:val="decimal"/>
      <w:lvlText w:val="%1."/>
      <w:lvlJc w:val="left"/>
      <w:pPr>
        <w:ind w:left="360" w:hanging="360"/>
      </w:pPr>
      <w:rPr>
        <w:b w:val="0"/>
        <w:i w:val="0"/>
        <w:color w:val="auto"/>
        <w:sz w:val="16"/>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0">
    <w:nsid w:val="73B37B21"/>
    <w:multiLevelType w:val="multilevel"/>
    <w:tmpl w:val="01383A04"/>
    <w:lvl w:ilvl="0">
      <w:start w:val="1"/>
      <w:numFmt w:val="decimal"/>
      <w:pStyle w:val="Heading1"/>
      <w:lvlText w:val="%1"/>
      <w:lvlJc w:val="left"/>
      <w:pPr>
        <w:ind w:left="432" w:hanging="432"/>
      </w:pPr>
    </w:lvl>
    <w:lvl w:ilvl="1">
      <w:start w:val="1"/>
      <w:numFmt w:val="decimal"/>
      <w:pStyle w:val="Heading2"/>
      <w:lvlText w:val="%1.%2"/>
      <w:lvlJc w:val="left"/>
      <w:pPr>
        <w:ind w:left="327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1">
    <w:nsid w:val="73BB0E5D"/>
    <w:multiLevelType w:val="hybridMultilevel"/>
    <w:tmpl w:val="29F2B320"/>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nsid w:val="759C314F"/>
    <w:multiLevelType w:val="hybridMultilevel"/>
    <w:tmpl w:val="FDEE15F2"/>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3">
    <w:nsid w:val="759C3CC3"/>
    <w:multiLevelType w:val="hybridMultilevel"/>
    <w:tmpl w:val="A72E311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nsid w:val="789E0D52"/>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nsid w:val="793006D6"/>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nsid w:val="79690527"/>
    <w:multiLevelType w:val="hybridMultilevel"/>
    <w:tmpl w:val="AE661D56"/>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nsid w:val="7BC57A3B"/>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nsid w:val="7C813DAE"/>
    <w:multiLevelType w:val="hybridMultilevel"/>
    <w:tmpl w:val="CB12EA9E"/>
    <w:lvl w:ilvl="0" w:tplc="FFFFFFFF">
      <w:start w:val="1"/>
      <w:numFmt w:val="decimal"/>
      <w:lvlText w:val="%1."/>
      <w:lvlJc w:val="left"/>
      <w:pPr>
        <w:ind w:left="360" w:hanging="360"/>
      </w:pPr>
      <w:rPr>
        <w:rFonts w:hint="default"/>
        <w:b w:val="0"/>
        <w:i w:val="0"/>
        <w:color w:val="auto"/>
        <w:sz w:val="16"/>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nsid w:val="7F7452B9"/>
    <w:multiLevelType w:val="hybridMultilevel"/>
    <w:tmpl w:val="FE745768"/>
    <w:lvl w:ilvl="0" w:tplc="FFFFFFFF">
      <w:start w:val="1"/>
      <w:numFmt w:val="decimal"/>
      <w:lvlText w:val="%1."/>
      <w:lvlJc w:val="left"/>
      <w:pPr>
        <w:ind w:left="360" w:hanging="360"/>
      </w:pPr>
      <w:rPr>
        <w:rFonts w:ascii="Arial" w:hAnsi="Arial" w:hint="default"/>
        <w:b w:val="0"/>
        <w:i w:val="0"/>
        <w:color w:val="auto"/>
        <w:sz w:val="18"/>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74"/>
  </w:num>
  <w:num w:numId="2">
    <w:abstractNumId w:val="24"/>
  </w:num>
  <w:num w:numId="3">
    <w:abstractNumId w:val="34"/>
  </w:num>
  <w:num w:numId="4">
    <w:abstractNumId w:val="43"/>
  </w:num>
  <w:num w:numId="5">
    <w:abstractNumId w:val="54"/>
  </w:num>
  <w:num w:numId="6">
    <w:abstractNumId w:val="76"/>
  </w:num>
  <w:num w:numId="7">
    <w:abstractNumId w:val="46"/>
  </w:num>
  <w:num w:numId="8">
    <w:abstractNumId w:val="70"/>
  </w:num>
  <w:num w:numId="9">
    <w:abstractNumId w:val="49"/>
  </w:num>
  <w:num w:numId="10">
    <w:abstractNumId w:val="36"/>
  </w:num>
  <w:num w:numId="11">
    <w:abstractNumId w:val="59"/>
  </w:num>
  <w:num w:numId="12">
    <w:abstractNumId w:val="53"/>
  </w:num>
  <w:num w:numId="13">
    <w:abstractNumId w:val="7"/>
  </w:num>
  <w:num w:numId="14">
    <w:abstractNumId w:val="20"/>
  </w:num>
  <w:num w:numId="15">
    <w:abstractNumId w:val="32"/>
  </w:num>
  <w:num w:numId="16">
    <w:abstractNumId w:val="41"/>
  </w:num>
  <w:num w:numId="17">
    <w:abstractNumId w:val="37"/>
  </w:num>
  <w:num w:numId="18">
    <w:abstractNumId w:val="10"/>
  </w:num>
  <w:num w:numId="19">
    <w:abstractNumId w:val="27"/>
  </w:num>
  <w:num w:numId="20">
    <w:abstractNumId w:val="60"/>
  </w:num>
  <w:num w:numId="21">
    <w:abstractNumId w:val="83"/>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num>
  <w:num w:numId="30">
    <w:abstractNumId w:val="80"/>
  </w:num>
  <w:num w:numId="31">
    <w:abstractNumId w:val="40"/>
  </w:num>
  <w:num w:numId="32">
    <w:abstractNumId w:val="25"/>
  </w:num>
  <w:num w:numId="33">
    <w:abstractNumId w:val="4"/>
  </w:num>
  <w:num w:numId="34">
    <w:abstractNumId w:val="65"/>
  </w:num>
  <w:num w:numId="35">
    <w:abstractNumId w:val="54"/>
    <w:lvlOverride w:ilvl="0">
      <w:startOverride w:val="1"/>
    </w:lvlOverride>
  </w:num>
  <w:num w:numId="36">
    <w:abstractNumId w:val="23"/>
  </w:num>
  <w:num w:numId="37">
    <w:abstractNumId w:val="15"/>
  </w:num>
  <w:num w:numId="38">
    <w:abstractNumId w:val="75"/>
  </w:num>
  <w:num w:numId="39">
    <w:abstractNumId w:val="30"/>
  </w:num>
  <w:num w:numId="40">
    <w:abstractNumId w:val="33"/>
  </w:num>
  <w:num w:numId="41">
    <w:abstractNumId w:val="21"/>
  </w:num>
  <w:num w:numId="42">
    <w:abstractNumId w:val="62"/>
  </w:num>
  <w:num w:numId="43">
    <w:abstractNumId w:val="86"/>
  </w:num>
  <w:num w:numId="44">
    <w:abstractNumId w:val="84"/>
  </w:num>
  <w:num w:numId="45">
    <w:abstractNumId w:val="57"/>
  </w:num>
  <w:num w:numId="46">
    <w:abstractNumId w:val="54"/>
    <w:lvlOverride w:ilvl="0">
      <w:startOverride w:val="1"/>
    </w:lvlOverride>
  </w:num>
  <w:num w:numId="47">
    <w:abstractNumId w:val="54"/>
    <w:lvlOverride w:ilvl="0">
      <w:startOverride w:val="1"/>
    </w:lvlOverride>
  </w:num>
  <w:num w:numId="48">
    <w:abstractNumId w:val="6"/>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27"/>
  </w:num>
  <w:num w:numId="5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3"/>
  </w:num>
  <w:num w:numId="57">
    <w:abstractNumId w:val="0"/>
  </w:num>
  <w:num w:numId="5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num>
  <w:num w:numId="64">
    <w:abstractNumId w:val="18"/>
  </w:num>
  <w:num w:numId="65">
    <w:abstractNumId w:val="12"/>
  </w:num>
  <w:num w:numId="66">
    <w:abstractNumId w:val="45"/>
  </w:num>
  <w:num w:numId="67">
    <w:abstractNumId w:val="89"/>
  </w:num>
  <w:num w:numId="68">
    <w:abstractNumId w:val="16"/>
  </w:num>
  <w:num w:numId="69">
    <w:abstractNumId w:val="38"/>
  </w:num>
  <w:num w:numId="70">
    <w:abstractNumId w:val="73"/>
  </w:num>
  <w:num w:numId="71">
    <w:abstractNumId w:val="22"/>
  </w:num>
  <w:num w:numId="72">
    <w:abstractNumId w:val="87"/>
  </w:num>
  <w:num w:numId="73">
    <w:abstractNumId w:val="50"/>
  </w:num>
  <w:num w:numId="74">
    <w:abstractNumId w:val="67"/>
  </w:num>
  <w:num w:numId="75">
    <w:abstractNumId w:val="54"/>
    <w:lvlOverride w:ilvl="0">
      <w:startOverride w:val="1"/>
    </w:lvlOverride>
  </w:num>
  <w:num w:numId="76">
    <w:abstractNumId w:val="8"/>
  </w:num>
  <w:num w:numId="77">
    <w:abstractNumId w:val="54"/>
    <w:lvlOverride w:ilvl="0">
      <w:startOverride w:val="1"/>
    </w:lvlOverride>
  </w:num>
  <w:num w:numId="78">
    <w:abstractNumId w:val="29"/>
  </w:num>
  <w:num w:numId="79">
    <w:abstractNumId w:val="72"/>
  </w:num>
  <w:num w:numId="80">
    <w:abstractNumId w:val="77"/>
  </w:num>
  <w:num w:numId="81">
    <w:abstractNumId w:val="54"/>
    <w:lvlOverride w:ilvl="0">
      <w:startOverride w:val="1"/>
    </w:lvlOverride>
  </w:num>
  <w:num w:numId="82">
    <w:abstractNumId w:val="44"/>
  </w:num>
  <w:num w:numId="83">
    <w:abstractNumId w:val="54"/>
    <w:lvlOverride w:ilvl="0">
      <w:startOverride w:val="1"/>
    </w:lvlOverride>
  </w:num>
  <w:num w:numId="84">
    <w:abstractNumId w:val="81"/>
  </w:num>
  <w:num w:numId="85">
    <w:abstractNumId w:val="54"/>
    <w:lvlOverride w:ilvl="0">
      <w:startOverride w:val="1"/>
    </w:lvlOverride>
  </w:num>
  <w:num w:numId="86">
    <w:abstractNumId w:val="54"/>
    <w:lvlOverride w:ilvl="0">
      <w:startOverride w:val="1"/>
    </w:lvlOverride>
  </w:num>
  <w:num w:numId="87">
    <w:abstractNumId w:val="54"/>
    <w:lvlOverride w:ilvl="0">
      <w:startOverride w:val="1"/>
    </w:lvlOverride>
  </w:num>
  <w:num w:numId="88">
    <w:abstractNumId w:val="54"/>
    <w:lvlOverride w:ilvl="0">
      <w:startOverride w:val="1"/>
    </w:lvlOverride>
  </w:num>
  <w:num w:numId="89">
    <w:abstractNumId w:val="54"/>
    <w:lvlOverride w:ilvl="0">
      <w:startOverride w:val="1"/>
    </w:lvlOverride>
  </w:num>
  <w:num w:numId="90">
    <w:abstractNumId w:val="71"/>
  </w:num>
  <w:num w:numId="91">
    <w:abstractNumId w:val="66"/>
  </w:num>
  <w:num w:numId="92">
    <w:abstractNumId w:val="26"/>
  </w:num>
  <w:num w:numId="93">
    <w:abstractNumId w:val="61"/>
  </w:num>
  <w:num w:numId="94">
    <w:abstractNumId w:val="31"/>
  </w:num>
  <w:num w:numId="95">
    <w:abstractNumId w:val="14"/>
  </w:num>
  <w:num w:numId="96">
    <w:abstractNumId w:val="35"/>
  </w:num>
  <w:num w:numId="97">
    <w:abstractNumId w:val="54"/>
    <w:lvlOverride w:ilvl="0">
      <w:startOverride w:val="1"/>
    </w:lvlOverride>
  </w:num>
  <w:num w:numId="98">
    <w:abstractNumId w:val="47"/>
  </w:num>
  <w:num w:numId="99">
    <w:abstractNumId w:val="28"/>
  </w:num>
  <w:num w:numId="100">
    <w:abstractNumId w:val="56"/>
  </w:num>
  <w:num w:numId="101">
    <w:abstractNumId w:val="64"/>
  </w:num>
  <w:num w:numId="102">
    <w:abstractNumId w:val="82"/>
  </w:num>
  <w:num w:numId="103">
    <w:abstractNumId w:val="5"/>
  </w:num>
  <w:num w:numId="104">
    <w:abstractNumId w:val="3"/>
  </w:num>
  <w:num w:numId="105">
    <w:abstractNumId w:val="69"/>
  </w:num>
  <w:num w:numId="106">
    <w:abstractNumId w:val="58"/>
  </w:num>
  <w:num w:numId="107">
    <w:abstractNumId w:val="17"/>
  </w:num>
  <w:num w:numId="108">
    <w:abstractNumId w:val="11"/>
  </w:num>
  <w:num w:numId="109">
    <w:abstractNumId w:val="3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84"/>
    <w:rsid w:val="000007CB"/>
    <w:rsid w:val="00000A74"/>
    <w:rsid w:val="00001D58"/>
    <w:rsid w:val="00003CDB"/>
    <w:rsid w:val="00004B3F"/>
    <w:rsid w:val="000063B8"/>
    <w:rsid w:val="00006592"/>
    <w:rsid w:val="00006826"/>
    <w:rsid w:val="0000728D"/>
    <w:rsid w:val="00010871"/>
    <w:rsid w:val="000112A6"/>
    <w:rsid w:val="00012A4F"/>
    <w:rsid w:val="0001307D"/>
    <w:rsid w:val="00013422"/>
    <w:rsid w:val="00013985"/>
    <w:rsid w:val="00014788"/>
    <w:rsid w:val="00014B8E"/>
    <w:rsid w:val="00015AC9"/>
    <w:rsid w:val="00015E3F"/>
    <w:rsid w:val="00017164"/>
    <w:rsid w:val="00020B30"/>
    <w:rsid w:val="000214B2"/>
    <w:rsid w:val="000219CB"/>
    <w:rsid w:val="00022467"/>
    <w:rsid w:val="00022F54"/>
    <w:rsid w:val="00022FCF"/>
    <w:rsid w:val="00023A79"/>
    <w:rsid w:val="0002411C"/>
    <w:rsid w:val="0002521D"/>
    <w:rsid w:val="000256ED"/>
    <w:rsid w:val="000259E0"/>
    <w:rsid w:val="00025C2F"/>
    <w:rsid w:val="00026043"/>
    <w:rsid w:val="000261A6"/>
    <w:rsid w:val="00026AB9"/>
    <w:rsid w:val="00026EC6"/>
    <w:rsid w:val="000276A8"/>
    <w:rsid w:val="00030760"/>
    <w:rsid w:val="00030D1C"/>
    <w:rsid w:val="000321FA"/>
    <w:rsid w:val="00032813"/>
    <w:rsid w:val="00034585"/>
    <w:rsid w:val="000361A5"/>
    <w:rsid w:val="000412FF"/>
    <w:rsid w:val="00041EF8"/>
    <w:rsid w:val="00044162"/>
    <w:rsid w:val="000446F1"/>
    <w:rsid w:val="00044717"/>
    <w:rsid w:val="00045E7F"/>
    <w:rsid w:val="0004759B"/>
    <w:rsid w:val="00047DF4"/>
    <w:rsid w:val="000530C5"/>
    <w:rsid w:val="00053AE1"/>
    <w:rsid w:val="00055716"/>
    <w:rsid w:val="000565DE"/>
    <w:rsid w:val="000565EF"/>
    <w:rsid w:val="00056B52"/>
    <w:rsid w:val="000578B7"/>
    <w:rsid w:val="00060175"/>
    <w:rsid w:val="00061B73"/>
    <w:rsid w:val="000622F4"/>
    <w:rsid w:val="00062486"/>
    <w:rsid w:val="00062F7C"/>
    <w:rsid w:val="00063522"/>
    <w:rsid w:val="00063F0E"/>
    <w:rsid w:val="00064563"/>
    <w:rsid w:val="00064BEF"/>
    <w:rsid w:val="00064DF3"/>
    <w:rsid w:val="00064E31"/>
    <w:rsid w:val="00065626"/>
    <w:rsid w:val="00065F51"/>
    <w:rsid w:val="00067DCA"/>
    <w:rsid w:val="00070505"/>
    <w:rsid w:val="0007088C"/>
    <w:rsid w:val="000708BD"/>
    <w:rsid w:val="0007092A"/>
    <w:rsid w:val="00070A5A"/>
    <w:rsid w:val="0007140E"/>
    <w:rsid w:val="000718D0"/>
    <w:rsid w:val="000726F7"/>
    <w:rsid w:val="00072E7A"/>
    <w:rsid w:val="000766DC"/>
    <w:rsid w:val="0008019D"/>
    <w:rsid w:val="0008076E"/>
    <w:rsid w:val="000817EA"/>
    <w:rsid w:val="00081B09"/>
    <w:rsid w:val="0008206C"/>
    <w:rsid w:val="000833C2"/>
    <w:rsid w:val="00083B05"/>
    <w:rsid w:val="00085934"/>
    <w:rsid w:val="00086262"/>
    <w:rsid w:val="000863B2"/>
    <w:rsid w:val="000865F3"/>
    <w:rsid w:val="00087FF9"/>
    <w:rsid w:val="00090028"/>
    <w:rsid w:val="00090695"/>
    <w:rsid w:val="000909BA"/>
    <w:rsid w:val="00090AC4"/>
    <w:rsid w:val="00090B4D"/>
    <w:rsid w:val="000920A5"/>
    <w:rsid w:val="000923FF"/>
    <w:rsid w:val="000927FD"/>
    <w:rsid w:val="00092BFA"/>
    <w:rsid w:val="000936D2"/>
    <w:rsid w:val="000947C1"/>
    <w:rsid w:val="000951F5"/>
    <w:rsid w:val="00095564"/>
    <w:rsid w:val="0009595F"/>
    <w:rsid w:val="00095EB1"/>
    <w:rsid w:val="00096951"/>
    <w:rsid w:val="00096B2B"/>
    <w:rsid w:val="00097142"/>
    <w:rsid w:val="00097914"/>
    <w:rsid w:val="00097E88"/>
    <w:rsid w:val="000A0255"/>
    <w:rsid w:val="000A0489"/>
    <w:rsid w:val="000A0CCC"/>
    <w:rsid w:val="000A0EDA"/>
    <w:rsid w:val="000A1205"/>
    <w:rsid w:val="000A3D69"/>
    <w:rsid w:val="000A48E9"/>
    <w:rsid w:val="000A4A76"/>
    <w:rsid w:val="000A5494"/>
    <w:rsid w:val="000A5B3A"/>
    <w:rsid w:val="000A690E"/>
    <w:rsid w:val="000A7539"/>
    <w:rsid w:val="000B1DEB"/>
    <w:rsid w:val="000B235A"/>
    <w:rsid w:val="000B3881"/>
    <w:rsid w:val="000B38B0"/>
    <w:rsid w:val="000B3C47"/>
    <w:rsid w:val="000B6AD4"/>
    <w:rsid w:val="000B71C3"/>
    <w:rsid w:val="000B72FA"/>
    <w:rsid w:val="000C033D"/>
    <w:rsid w:val="000C0837"/>
    <w:rsid w:val="000C0B77"/>
    <w:rsid w:val="000C10C6"/>
    <w:rsid w:val="000C1D3B"/>
    <w:rsid w:val="000C3AF7"/>
    <w:rsid w:val="000C4318"/>
    <w:rsid w:val="000C5D50"/>
    <w:rsid w:val="000C6039"/>
    <w:rsid w:val="000C61EF"/>
    <w:rsid w:val="000C7935"/>
    <w:rsid w:val="000D0374"/>
    <w:rsid w:val="000D0C4E"/>
    <w:rsid w:val="000D116D"/>
    <w:rsid w:val="000D12BE"/>
    <w:rsid w:val="000D2715"/>
    <w:rsid w:val="000D3295"/>
    <w:rsid w:val="000D3C72"/>
    <w:rsid w:val="000D48F2"/>
    <w:rsid w:val="000D4CD4"/>
    <w:rsid w:val="000D5132"/>
    <w:rsid w:val="000D5413"/>
    <w:rsid w:val="000D54CB"/>
    <w:rsid w:val="000D5D6B"/>
    <w:rsid w:val="000D626D"/>
    <w:rsid w:val="000D65EC"/>
    <w:rsid w:val="000D6A91"/>
    <w:rsid w:val="000D7D69"/>
    <w:rsid w:val="000E0598"/>
    <w:rsid w:val="000E0683"/>
    <w:rsid w:val="000E09EC"/>
    <w:rsid w:val="000E0F92"/>
    <w:rsid w:val="000E11C3"/>
    <w:rsid w:val="000E2177"/>
    <w:rsid w:val="000E2E2F"/>
    <w:rsid w:val="000E357C"/>
    <w:rsid w:val="000E40BA"/>
    <w:rsid w:val="000E41E2"/>
    <w:rsid w:val="000E71C4"/>
    <w:rsid w:val="000E7E32"/>
    <w:rsid w:val="000F04A5"/>
    <w:rsid w:val="000F1BF5"/>
    <w:rsid w:val="000F2385"/>
    <w:rsid w:val="000F2535"/>
    <w:rsid w:val="000F2EDF"/>
    <w:rsid w:val="000F3340"/>
    <w:rsid w:val="000F48FE"/>
    <w:rsid w:val="000F5DF3"/>
    <w:rsid w:val="000F6E4A"/>
    <w:rsid w:val="000F76F1"/>
    <w:rsid w:val="0010107A"/>
    <w:rsid w:val="001010FF"/>
    <w:rsid w:val="00101C28"/>
    <w:rsid w:val="0010393B"/>
    <w:rsid w:val="00103EA2"/>
    <w:rsid w:val="001065CC"/>
    <w:rsid w:val="00106778"/>
    <w:rsid w:val="001073F6"/>
    <w:rsid w:val="00107A56"/>
    <w:rsid w:val="00110E07"/>
    <w:rsid w:val="001110D2"/>
    <w:rsid w:val="00112B9B"/>
    <w:rsid w:val="00113384"/>
    <w:rsid w:val="001135E8"/>
    <w:rsid w:val="0011391C"/>
    <w:rsid w:val="001139A4"/>
    <w:rsid w:val="0011407A"/>
    <w:rsid w:val="00114CF9"/>
    <w:rsid w:val="0011523A"/>
    <w:rsid w:val="00115297"/>
    <w:rsid w:val="0011538B"/>
    <w:rsid w:val="0011588E"/>
    <w:rsid w:val="00115B03"/>
    <w:rsid w:val="00115B07"/>
    <w:rsid w:val="00115BAB"/>
    <w:rsid w:val="00115CA3"/>
    <w:rsid w:val="00116A18"/>
    <w:rsid w:val="001173B5"/>
    <w:rsid w:val="001243B5"/>
    <w:rsid w:val="001246B2"/>
    <w:rsid w:val="00124E09"/>
    <w:rsid w:val="00125158"/>
    <w:rsid w:val="00125E37"/>
    <w:rsid w:val="00125FD5"/>
    <w:rsid w:val="00127706"/>
    <w:rsid w:val="00130DEF"/>
    <w:rsid w:val="00130E7B"/>
    <w:rsid w:val="00132089"/>
    <w:rsid w:val="00133078"/>
    <w:rsid w:val="001363CB"/>
    <w:rsid w:val="001366D3"/>
    <w:rsid w:val="001374BF"/>
    <w:rsid w:val="00137510"/>
    <w:rsid w:val="0013763D"/>
    <w:rsid w:val="00137B8D"/>
    <w:rsid w:val="0014024E"/>
    <w:rsid w:val="001414AB"/>
    <w:rsid w:val="00141B05"/>
    <w:rsid w:val="00141D9A"/>
    <w:rsid w:val="00142C50"/>
    <w:rsid w:val="0014387E"/>
    <w:rsid w:val="0014405E"/>
    <w:rsid w:val="001442F8"/>
    <w:rsid w:val="001444AF"/>
    <w:rsid w:val="001446C9"/>
    <w:rsid w:val="00144B28"/>
    <w:rsid w:val="00145189"/>
    <w:rsid w:val="001458DE"/>
    <w:rsid w:val="00145F29"/>
    <w:rsid w:val="0014684B"/>
    <w:rsid w:val="00146E4C"/>
    <w:rsid w:val="00147134"/>
    <w:rsid w:val="00147B3D"/>
    <w:rsid w:val="00147F8F"/>
    <w:rsid w:val="00150395"/>
    <w:rsid w:val="00150AD5"/>
    <w:rsid w:val="0015103C"/>
    <w:rsid w:val="001514A3"/>
    <w:rsid w:val="001521A7"/>
    <w:rsid w:val="00152317"/>
    <w:rsid w:val="00153168"/>
    <w:rsid w:val="00153874"/>
    <w:rsid w:val="0015388B"/>
    <w:rsid w:val="00153EA9"/>
    <w:rsid w:val="001553B4"/>
    <w:rsid w:val="00155494"/>
    <w:rsid w:val="00156072"/>
    <w:rsid w:val="001561C8"/>
    <w:rsid w:val="00156916"/>
    <w:rsid w:val="00157593"/>
    <w:rsid w:val="001600D8"/>
    <w:rsid w:val="00160179"/>
    <w:rsid w:val="00160474"/>
    <w:rsid w:val="001606AC"/>
    <w:rsid w:val="001607F7"/>
    <w:rsid w:val="0016109D"/>
    <w:rsid w:val="001627CE"/>
    <w:rsid w:val="001630D7"/>
    <w:rsid w:val="00163909"/>
    <w:rsid w:val="001646B2"/>
    <w:rsid w:val="00164793"/>
    <w:rsid w:val="0016565B"/>
    <w:rsid w:val="001658A7"/>
    <w:rsid w:val="00165B35"/>
    <w:rsid w:val="00166085"/>
    <w:rsid w:val="00166763"/>
    <w:rsid w:val="00170D57"/>
    <w:rsid w:val="00171500"/>
    <w:rsid w:val="00171845"/>
    <w:rsid w:val="0017221A"/>
    <w:rsid w:val="00172723"/>
    <w:rsid w:val="00173DF2"/>
    <w:rsid w:val="00174ECA"/>
    <w:rsid w:val="0017688F"/>
    <w:rsid w:val="00176A48"/>
    <w:rsid w:val="00176D18"/>
    <w:rsid w:val="001774EB"/>
    <w:rsid w:val="0018056A"/>
    <w:rsid w:val="00180E48"/>
    <w:rsid w:val="00181EAA"/>
    <w:rsid w:val="00181FA6"/>
    <w:rsid w:val="00182219"/>
    <w:rsid w:val="0018255E"/>
    <w:rsid w:val="00182D40"/>
    <w:rsid w:val="001841A3"/>
    <w:rsid w:val="00184AB2"/>
    <w:rsid w:val="0018568A"/>
    <w:rsid w:val="00185825"/>
    <w:rsid w:val="00185983"/>
    <w:rsid w:val="00185DB4"/>
    <w:rsid w:val="00185E25"/>
    <w:rsid w:val="00186690"/>
    <w:rsid w:val="001869FC"/>
    <w:rsid w:val="00186D8D"/>
    <w:rsid w:val="00187941"/>
    <w:rsid w:val="00187DE6"/>
    <w:rsid w:val="00190447"/>
    <w:rsid w:val="001909ED"/>
    <w:rsid w:val="00190F13"/>
    <w:rsid w:val="00192A14"/>
    <w:rsid w:val="00192B16"/>
    <w:rsid w:val="001931A7"/>
    <w:rsid w:val="00194972"/>
    <w:rsid w:val="00195D09"/>
    <w:rsid w:val="001964BA"/>
    <w:rsid w:val="001A00DA"/>
    <w:rsid w:val="001A014E"/>
    <w:rsid w:val="001A06B9"/>
    <w:rsid w:val="001A16F6"/>
    <w:rsid w:val="001A1A0F"/>
    <w:rsid w:val="001A2AD4"/>
    <w:rsid w:val="001A385D"/>
    <w:rsid w:val="001A5BBD"/>
    <w:rsid w:val="001A7192"/>
    <w:rsid w:val="001A7235"/>
    <w:rsid w:val="001B1BE7"/>
    <w:rsid w:val="001B1CF3"/>
    <w:rsid w:val="001B2BA0"/>
    <w:rsid w:val="001B43C4"/>
    <w:rsid w:val="001B4BE9"/>
    <w:rsid w:val="001B5525"/>
    <w:rsid w:val="001B6E85"/>
    <w:rsid w:val="001B79F3"/>
    <w:rsid w:val="001B7C0D"/>
    <w:rsid w:val="001B7EFD"/>
    <w:rsid w:val="001C0673"/>
    <w:rsid w:val="001C0872"/>
    <w:rsid w:val="001C1C58"/>
    <w:rsid w:val="001C1EF3"/>
    <w:rsid w:val="001C245E"/>
    <w:rsid w:val="001C2764"/>
    <w:rsid w:val="001C2ADF"/>
    <w:rsid w:val="001C3325"/>
    <w:rsid w:val="001C3411"/>
    <w:rsid w:val="001C3B41"/>
    <w:rsid w:val="001C3C3C"/>
    <w:rsid w:val="001C3FEC"/>
    <w:rsid w:val="001C49E4"/>
    <w:rsid w:val="001C4C08"/>
    <w:rsid w:val="001C4CB8"/>
    <w:rsid w:val="001C50FD"/>
    <w:rsid w:val="001C5913"/>
    <w:rsid w:val="001C6BB3"/>
    <w:rsid w:val="001C7EF8"/>
    <w:rsid w:val="001D0848"/>
    <w:rsid w:val="001D1A66"/>
    <w:rsid w:val="001D21AB"/>
    <w:rsid w:val="001D248C"/>
    <w:rsid w:val="001D365D"/>
    <w:rsid w:val="001D38E5"/>
    <w:rsid w:val="001D393A"/>
    <w:rsid w:val="001D3DB0"/>
    <w:rsid w:val="001D4316"/>
    <w:rsid w:val="001D4656"/>
    <w:rsid w:val="001D50FA"/>
    <w:rsid w:val="001D5366"/>
    <w:rsid w:val="001D541D"/>
    <w:rsid w:val="001D6BCF"/>
    <w:rsid w:val="001D6EF0"/>
    <w:rsid w:val="001E0DF6"/>
    <w:rsid w:val="001E0F08"/>
    <w:rsid w:val="001E1163"/>
    <w:rsid w:val="001E161C"/>
    <w:rsid w:val="001E1691"/>
    <w:rsid w:val="001E1C4C"/>
    <w:rsid w:val="001E1D0D"/>
    <w:rsid w:val="001E2211"/>
    <w:rsid w:val="001E27C8"/>
    <w:rsid w:val="001E3094"/>
    <w:rsid w:val="001E3580"/>
    <w:rsid w:val="001E6E04"/>
    <w:rsid w:val="001E76E2"/>
    <w:rsid w:val="001F0826"/>
    <w:rsid w:val="001F151E"/>
    <w:rsid w:val="001F15F7"/>
    <w:rsid w:val="001F284A"/>
    <w:rsid w:val="001F2FD5"/>
    <w:rsid w:val="001F32B8"/>
    <w:rsid w:val="001F3368"/>
    <w:rsid w:val="001F3CFC"/>
    <w:rsid w:val="001F49CE"/>
    <w:rsid w:val="001F51EB"/>
    <w:rsid w:val="001F52B2"/>
    <w:rsid w:val="001F5C66"/>
    <w:rsid w:val="001F5FDE"/>
    <w:rsid w:val="001F61B4"/>
    <w:rsid w:val="001F75E7"/>
    <w:rsid w:val="001F75EF"/>
    <w:rsid w:val="001F7DA4"/>
    <w:rsid w:val="00200748"/>
    <w:rsid w:val="0020118B"/>
    <w:rsid w:val="00201F27"/>
    <w:rsid w:val="00201FCE"/>
    <w:rsid w:val="0020288C"/>
    <w:rsid w:val="00204C24"/>
    <w:rsid w:val="002050C0"/>
    <w:rsid w:val="00205366"/>
    <w:rsid w:val="00205BB5"/>
    <w:rsid w:val="00205C5C"/>
    <w:rsid w:val="00205ED7"/>
    <w:rsid w:val="00206BE1"/>
    <w:rsid w:val="002077B0"/>
    <w:rsid w:val="00207887"/>
    <w:rsid w:val="0021164F"/>
    <w:rsid w:val="0021242B"/>
    <w:rsid w:val="002124C3"/>
    <w:rsid w:val="002124FC"/>
    <w:rsid w:val="00214392"/>
    <w:rsid w:val="00214581"/>
    <w:rsid w:val="00214B30"/>
    <w:rsid w:val="00215963"/>
    <w:rsid w:val="0021636B"/>
    <w:rsid w:val="00216535"/>
    <w:rsid w:val="002202A1"/>
    <w:rsid w:val="00220470"/>
    <w:rsid w:val="0022112F"/>
    <w:rsid w:val="00221780"/>
    <w:rsid w:val="00221FBC"/>
    <w:rsid w:val="002221C1"/>
    <w:rsid w:val="002223C0"/>
    <w:rsid w:val="00222BA8"/>
    <w:rsid w:val="002246C0"/>
    <w:rsid w:val="002253FB"/>
    <w:rsid w:val="002264E4"/>
    <w:rsid w:val="0022696F"/>
    <w:rsid w:val="00226BDD"/>
    <w:rsid w:val="00226F49"/>
    <w:rsid w:val="00227B9A"/>
    <w:rsid w:val="0023004F"/>
    <w:rsid w:val="0023028D"/>
    <w:rsid w:val="00230360"/>
    <w:rsid w:val="00230A07"/>
    <w:rsid w:val="00230A33"/>
    <w:rsid w:val="00231085"/>
    <w:rsid w:val="00233A5D"/>
    <w:rsid w:val="00234206"/>
    <w:rsid w:val="002343B1"/>
    <w:rsid w:val="002349C1"/>
    <w:rsid w:val="0023679A"/>
    <w:rsid w:val="00236EF4"/>
    <w:rsid w:val="00237223"/>
    <w:rsid w:val="00237BF6"/>
    <w:rsid w:val="0024092C"/>
    <w:rsid w:val="002409B1"/>
    <w:rsid w:val="00241701"/>
    <w:rsid w:val="00243BE1"/>
    <w:rsid w:val="00244D30"/>
    <w:rsid w:val="00246DC2"/>
    <w:rsid w:val="002477D9"/>
    <w:rsid w:val="00250287"/>
    <w:rsid w:val="002502EF"/>
    <w:rsid w:val="00250C71"/>
    <w:rsid w:val="002516A8"/>
    <w:rsid w:val="00251B70"/>
    <w:rsid w:val="00251E68"/>
    <w:rsid w:val="0025207B"/>
    <w:rsid w:val="00252CDC"/>
    <w:rsid w:val="00253E4F"/>
    <w:rsid w:val="00254074"/>
    <w:rsid w:val="002542C5"/>
    <w:rsid w:val="002565CB"/>
    <w:rsid w:val="00257005"/>
    <w:rsid w:val="00257166"/>
    <w:rsid w:val="00260773"/>
    <w:rsid w:val="002616FA"/>
    <w:rsid w:val="00261B5B"/>
    <w:rsid w:val="002625D9"/>
    <w:rsid w:val="002628DF"/>
    <w:rsid w:val="00262D35"/>
    <w:rsid w:val="00263D2F"/>
    <w:rsid w:val="0026404F"/>
    <w:rsid w:val="002650E4"/>
    <w:rsid w:val="002654CA"/>
    <w:rsid w:val="00265A50"/>
    <w:rsid w:val="00265AD7"/>
    <w:rsid w:val="00265E22"/>
    <w:rsid w:val="00267FD5"/>
    <w:rsid w:val="00270882"/>
    <w:rsid w:val="00271B24"/>
    <w:rsid w:val="00272B11"/>
    <w:rsid w:val="00272B75"/>
    <w:rsid w:val="0027355C"/>
    <w:rsid w:val="00275A6F"/>
    <w:rsid w:val="00276126"/>
    <w:rsid w:val="002761A0"/>
    <w:rsid w:val="0027745F"/>
    <w:rsid w:val="00277D3B"/>
    <w:rsid w:val="002806B6"/>
    <w:rsid w:val="00280A72"/>
    <w:rsid w:val="0028111D"/>
    <w:rsid w:val="00284E31"/>
    <w:rsid w:val="002855E9"/>
    <w:rsid w:val="0028650F"/>
    <w:rsid w:val="002866F3"/>
    <w:rsid w:val="00286D9D"/>
    <w:rsid w:val="002870D2"/>
    <w:rsid w:val="002905D1"/>
    <w:rsid w:val="00290A9E"/>
    <w:rsid w:val="00291E4C"/>
    <w:rsid w:val="00292101"/>
    <w:rsid w:val="00292900"/>
    <w:rsid w:val="00292B00"/>
    <w:rsid w:val="00293628"/>
    <w:rsid w:val="00295664"/>
    <w:rsid w:val="00297283"/>
    <w:rsid w:val="002A00E2"/>
    <w:rsid w:val="002A0965"/>
    <w:rsid w:val="002A14AF"/>
    <w:rsid w:val="002A2FF6"/>
    <w:rsid w:val="002A3130"/>
    <w:rsid w:val="002A33B4"/>
    <w:rsid w:val="002A3BC9"/>
    <w:rsid w:val="002A3CA2"/>
    <w:rsid w:val="002A3D61"/>
    <w:rsid w:val="002A3E65"/>
    <w:rsid w:val="002A41D2"/>
    <w:rsid w:val="002A4D70"/>
    <w:rsid w:val="002A56CF"/>
    <w:rsid w:val="002A5CD2"/>
    <w:rsid w:val="002A5D87"/>
    <w:rsid w:val="002A6272"/>
    <w:rsid w:val="002A63B7"/>
    <w:rsid w:val="002A644E"/>
    <w:rsid w:val="002A75EC"/>
    <w:rsid w:val="002A77AC"/>
    <w:rsid w:val="002A78C1"/>
    <w:rsid w:val="002B027F"/>
    <w:rsid w:val="002B1D9C"/>
    <w:rsid w:val="002B2CA4"/>
    <w:rsid w:val="002B34B8"/>
    <w:rsid w:val="002B3805"/>
    <w:rsid w:val="002B437E"/>
    <w:rsid w:val="002B481F"/>
    <w:rsid w:val="002B52AD"/>
    <w:rsid w:val="002B5837"/>
    <w:rsid w:val="002B5C02"/>
    <w:rsid w:val="002B6CCE"/>
    <w:rsid w:val="002B78A3"/>
    <w:rsid w:val="002B7C79"/>
    <w:rsid w:val="002B7FF8"/>
    <w:rsid w:val="002C15AE"/>
    <w:rsid w:val="002C1A3C"/>
    <w:rsid w:val="002C1BED"/>
    <w:rsid w:val="002C1EA7"/>
    <w:rsid w:val="002C2E42"/>
    <w:rsid w:val="002C37E5"/>
    <w:rsid w:val="002C43EF"/>
    <w:rsid w:val="002C447B"/>
    <w:rsid w:val="002C4B92"/>
    <w:rsid w:val="002C6E40"/>
    <w:rsid w:val="002C765F"/>
    <w:rsid w:val="002C7747"/>
    <w:rsid w:val="002C7FEF"/>
    <w:rsid w:val="002D1561"/>
    <w:rsid w:val="002D1627"/>
    <w:rsid w:val="002D25CF"/>
    <w:rsid w:val="002D42EA"/>
    <w:rsid w:val="002D4D5C"/>
    <w:rsid w:val="002D568D"/>
    <w:rsid w:val="002D5F0C"/>
    <w:rsid w:val="002D6679"/>
    <w:rsid w:val="002D6AC5"/>
    <w:rsid w:val="002D6DF5"/>
    <w:rsid w:val="002D6ED5"/>
    <w:rsid w:val="002E0237"/>
    <w:rsid w:val="002E110F"/>
    <w:rsid w:val="002E1ACD"/>
    <w:rsid w:val="002E3163"/>
    <w:rsid w:val="002E3406"/>
    <w:rsid w:val="002E3D90"/>
    <w:rsid w:val="002E43C2"/>
    <w:rsid w:val="002E4923"/>
    <w:rsid w:val="002E4D89"/>
    <w:rsid w:val="002E5E86"/>
    <w:rsid w:val="002E5EEA"/>
    <w:rsid w:val="002E61CE"/>
    <w:rsid w:val="002E684C"/>
    <w:rsid w:val="002E6AB5"/>
    <w:rsid w:val="002E7709"/>
    <w:rsid w:val="002F0418"/>
    <w:rsid w:val="002F05AF"/>
    <w:rsid w:val="002F0E28"/>
    <w:rsid w:val="002F1F99"/>
    <w:rsid w:val="002F2816"/>
    <w:rsid w:val="002F372B"/>
    <w:rsid w:val="002F38D2"/>
    <w:rsid w:val="002F4D96"/>
    <w:rsid w:val="002F7737"/>
    <w:rsid w:val="00300B42"/>
    <w:rsid w:val="003016E9"/>
    <w:rsid w:val="00303413"/>
    <w:rsid w:val="00303BED"/>
    <w:rsid w:val="00303FA1"/>
    <w:rsid w:val="00304204"/>
    <w:rsid w:val="0030448F"/>
    <w:rsid w:val="00304E7B"/>
    <w:rsid w:val="00307906"/>
    <w:rsid w:val="00307CF6"/>
    <w:rsid w:val="00311EAD"/>
    <w:rsid w:val="0031298C"/>
    <w:rsid w:val="00313817"/>
    <w:rsid w:val="00314FAB"/>
    <w:rsid w:val="00315936"/>
    <w:rsid w:val="003174BA"/>
    <w:rsid w:val="00317E12"/>
    <w:rsid w:val="00317F9F"/>
    <w:rsid w:val="00320D7E"/>
    <w:rsid w:val="00321EC0"/>
    <w:rsid w:val="00321FC5"/>
    <w:rsid w:val="003225E4"/>
    <w:rsid w:val="00322893"/>
    <w:rsid w:val="00322D0B"/>
    <w:rsid w:val="00322DB9"/>
    <w:rsid w:val="00323FE2"/>
    <w:rsid w:val="00324926"/>
    <w:rsid w:val="0032548E"/>
    <w:rsid w:val="003256E3"/>
    <w:rsid w:val="00326119"/>
    <w:rsid w:val="003262BC"/>
    <w:rsid w:val="003262E7"/>
    <w:rsid w:val="00326759"/>
    <w:rsid w:val="003272C2"/>
    <w:rsid w:val="003272DA"/>
    <w:rsid w:val="003303FB"/>
    <w:rsid w:val="00331503"/>
    <w:rsid w:val="00331D30"/>
    <w:rsid w:val="00331F97"/>
    <w:rsid w:val="0033231B"/>
    <w:rsid w:val="00332586"/>
    <w:rsid w:val="00332965"/>
    <w:rsid w:val="003333EE"/>
    <w:rsid w:val="0033496F"/>
    <w:rsid w:val="00335121"/>
    <w:rsid w:val="00335F97"/>
    <w:rsid w:val="00336720"/>
    <w:rsid w:val="00336DEF"/>
    <w:rsid w:val="0033727C"/>
    <w:rsid w:val="00340317"/>
    <w:rsid w:val="00341546"/>
    <w:rsid w:val="00341633"/>
    <w:rsid w:val="00341A64"/>
    <w:rsid w:val="00341CB3"/>
    <w:rsid w:val="00341FDE"/>
    <w:rsid w:val="003421EA"/>
    <w:rsid w:val="00342306"/>
    <w:rsid w:val="003431D4"/>
    <w:rsid w:val="0034396D"/>
    <w:rsid w:val="003447A8"/>
    <w:rsid w:val="00344874"/>
    <w:rsid w:val="003449CA"/>
    <w:rsid w:val="00345678"/>
    <w:rsid w:val="003457F7"/>
    <w:rsid w:val="00345B28"/>
    <w:rsid w:val="00345F2D"/>
    <w:rsid w:val="00345FDF"/>
    <w:rsid w:val="0034670C"/>
    <w:rsid w:val="0034677B"/>
    <w:rsid w:val="003472DA"/>
    <w:rsid w:val="00347C35"/>
    <w:rsid w:val="0035099E"/>
    <w:rsid w:val="00351518"/>
    <w:rsid w:val="003541AC"/>
    <w:rsid w:val="003541D0"/>
    <w:rsid w:val="00354A5B"/>
    <w:rsid w:val="00354DA1"/>
    <w:rsid w:val="0035558B"/>
    <w:rsid w:val="0035788B"/>
    <w:rsid w:val="00357AC0"/>
    <w:rsid w:val="00360063"/>
    <w:rsid w:val="00360F26"/>
    <w:rsid w:val="00361521"/>
    <w:rsid w:val="00363B2D"/>
    <w:rsid w:val="003642CD"/>
    <w:rsid w:val="00364D97"/>
    <w:rsid w:val="00365AB1"/>
    <w:rsid w:val="00366513"/>
    <w:rsid w:val="00367F81"/>
    <w:rsid w:val="00370043"/>
    <w:rsid w:val="00373070"/>
    <w:rsid w:val="00373CA8"/>
    <w:rsid w:val="00375486"/>
    <w:rsid w:val="00377253"/>
    <w:rsid w:val="0037754F"/>
    <w:rsid w:val="003779B6"/>
    <w:rsid w:val="0038013E"/>
    <w:rsid w:val="003817E2"/>
    <w:rsid w:val="00381838"/>
    <w:rsid w:val="0038217F"/>
    <w:rsid w:val="003824B9"/>
    <w:rsid w:val="00383B38"/>
    <w:rsid w:val="00384348"/>
    <w:rsid w:val="00385948"/>
    <w:rsid w:val="0038666B"/>
    <w:rsid w:val="0038759D"/>
    <w:rsid w:val="003878C2"/>
    <w:rsid w:val="00392798"/>
    <w:rsid w:val="003934B2"/>
    <w:rsid w:val="00393880"/>
    <w:rsid w:val="003956A4"/>
    <w:rsid w:val="00395F7F"/>
    <w:rsid w:val="0039627E"/>
    <w:rsid w:val="003969CE"/>
    <w:rsid w:val="00396FEA"/>
    <w:rsid w:val="003974AD"/>
    <w:rsid w:val="003974DE"/>
    <w:rsid w:val="003A003B"/>
    <w:rsid w:val="003A1528"/>
    <w:rsid w:val="003A217D"/>
    <w:rsid w:val="003A218D"/>
    <w:rsid w:val="003A2690"/>
    <w:rsid w:val="003A3D2C"/>
    <w:rsid w:val="003A421F"/>
    <w:rsid w:val="003A4B23"/>
    <w:rsid w:val="003A6088"/>
    <w:rsid w:val="003A68CB"/>
    <w:rsid w:val="003A6986"/>
    <w:rsid w:val="003B0051"/>
    <w:rsid w:val="003B02E2"/>
    <w:rsid w:val="003B15D2"/>
    <w:rsid w:val="003B3D00"/>
    <w:rsid w:val="003B41C2"/>
    <w:rsid w:val="003B594C"/>
    <w:rsid w:val="003B5E65"/>
    <w:rsid w:val="003B65DC"/>
    <w:rsid w:val="003B6630"/>
    <w:rsid w:val="003B6632"/>
    <w:rsid w:val="003B67F0"/>
    <w:rsid w:val="003B7799"/>
    <w:rsid w:val="003B7989"/>
    <w:rsid w:val="003B7E8F"/>
    <w:rsid w:val="003C016D"/>
    <w:rsid w:val="003C04E6"/>
    <w:rsid w:val="003C0D87"/>
    <w:rsid w:val="003C19FE"/>
    <w:rsid w:val="003C1B7A"/>
    <w:rsid w:val="003C2195"/>
    <w:rsid w:val="003C2B24"/>
    <w:rsid w:val="003C2F64"/>
    <w:rsid w:val="003C3288"/>
    <w:rsid w:val="003C38BA"/>
    <w:rsid w:val="003C5B28"/>
    <w:rsid w:val="003D0471"/>
    <w:rsid w:val="003D0CF5"/>
    <w:rsid w:val="003D149C"/>
    <w:rsid w:val="003D1C5D"/>
    <w:rsid w:val="003D1F2A"/>
    <w:rsid w:val="003D2094"/>
    <w:rsid w:val="003D2964"/>
    <w:rsid w:val="003D2A51"/>
    <w:rsid w:val="003D3156"/>
    <w:rsid w:val="003D3410"/>
    <w:rsid w:val="003D458B"/>
    <w:rsid w:val="003D4676"/>
    <w:rsid w:val="003D4762"/>
    <w:rsid w:val="003D53BC"/>
    <w:rsid w:val="003D566B"/>
    <w:rsid w:val="003D6BF1"/>
    <w:rsid w:val="003D7C84"/>
    <w:rsid w:val="003D7E5B"/>
    <w:rsid w:val="003E0A56"/>
    <w:rsid w:val="003E1FC3"/>
    <w:rsid w:val="003E22EC"/>
    <w:rsid w:val="003E2450"/>
    <w:rsid w:val="003E2D4A"/>
    <w:rsid w:val="003E41E0"/>
    <w:rsid w:val="003E5A62"/>
    <w:rsid w:val="003E5F43"/>
    <w:rsid w:val="003E6030"/>
    <w:rsid w:val="003E6F0E"/>
    <w:rsid w:val="003E76C9"/>
    <w:rsid w:val="003F0120"/>
    <w:rsid w:val="003F05EC"/>
    <w:rsid w:val="003F0C46"/>
    <w:rsid w:val="003F0EC0"/>
    <w:rsid w:val="003F1532"/>
    <w:rsid w:val="003F2FAC"/>
    <w:rsid w:val="003F471B"/>
    <w:rsid w:val="003F4763"/>
    <w:rsid w:val="003F4DB2"/>
    <w:rsid w:val="003F502F"/>
    <w:rsid w:val="003F639E"/>
    <w:rsid w:val="003F6E76"/>
    <w:rsid w:val="003F7704"/>
    <w:rsid w:val="003F7863"/>
    <w:rsid w:val="003F7BCA"/>
    <w:rsid w:val="003F7ED0"/>
    <w:rsid w:val="00400358"/>
    <w:rsid w:val="004004F7"/>
    <w:rsid w:val="004005EA"/>
    <w:rsid w:val="00400C02"/>
    <w:rsid w:val="0040101F"/>
    <w:rsid w:val="00402903"/>
    <w:rsid w:val="00402D1B"/>
    <w:rsid w:val="004037F1"/>
    <w:rsid w:val="00403B28"/>
    <w:rsid w:val="00405DD0"/>
    <w:rsid w:val="00407998"/>
    <w:rsid w:val="00410016"/>
    <w:rsid w:val="004106F8"/>
    <w:rsid w:val="0041072E"/>
    <w:rsid w:val="004107EB"/>
    <w:rsid w:val="004107EC"/>
    <w:rsid w:val="00414164"/>
    <w:rsid w:val="004142F1"/>
    <w:rsid w:val="004157D4"/>
    <w:rsid w:val="00417466"/>
    <w:rsid w:val="00417E0B"/>
    <w:rsid w:val="00420362"/>
    <w:rsid w:val="004203CF"/>
    <w:rsid w:val="00421A92"/>
    <w:rsid w:val="004238C5"/>
    <w:rsid w:val="00424A72"/>
    <w:rsid w:val="004265ED"/>
    <w:rsid w:val="00427065"/>
    <w:rsid w:val="0043003F"/>
    <w:rsid w:val="00430B42"/>
    <w:rsid w:val="00431E4D"/>
    <w:rsid w:val="00432771"/>
    <w:rsid w:val="00432889"/>
    <w:rsid w:val="00432BC6"/>
    <w:rsid w:val="00434E2E"/>
    <w:rsid w:val="004358B4"/>
    <w:rsid w:val="0044138E"/>
    <w:rsid w:val="00442BA9"/>
    <w:rsid w:val="004434AB"/>
    <w:rsid w:val="00443623"/>
    <w:rsid w:val="00443A84"/>
    <w:rsid w:val="00444056"/>
    <w:rsid w:val="0044515F"/>
    <w:rsid w:val="00445164"/>
    <w:rsid w:val="00445F80"/>
    <w:rsid w:val="004470EF"/>
    <w:rsid w:val="00447891"/>
    <w:rsid w:val="00447ED0"/>
    <w:rsid w:val="00450451"/>
    <w:rsid w:val="004511E9"/>
    <w:rsid w:val="004514BC"/>
    <w:rsid w:val="00451560"/>
    <w:rsid w:val="0045261F"/>
    <w:rsid w:val="00452BD4"/>
    <w:rsid w:val="00452F6A"/>
    <w:rsid w:val="0045377E"/>
    <w:rsid w:val="004539DD"/>
    <w:rsid w:val="00453A13"/>
    <w:rsid w:val="00453AD4"/>
    <w:rsid w:val="00453FE9"/>
    <w:rsid w:val="0045411F"/>
    <w:rsid w:val="00454DA5"/>
    <w:rsid w:val="00455102"/>
    <w:rsid w:val="0045776A"/>
    <w:rsid w:val="004578DB"/>
    <w:rsid w:val="004605CF"/>
    <w:rsid w:val="00460C0F"/>
    <w:rsid w:val="00460F7E"/>
    <w:rsid w:val="0046312A"/>
    <w:rsid w:val="004635FB"/>
    <w:rsid w:val="00463C15"/>
    <w:rsid w:val="00463DF7"/>
    <w:rsid w:val="004649C9"/>
    <w:rsid w:val="00464F15"/>
    <w:rsid w:val="00465913"/>
    <w:rsid w:val="00466574"/>
    <w:rsid w:val="004671CA"/>
    <w:rsid w:val="00470513"/>
    <w:rsid w:val="00470EF6"/>
    <w:rsid w:val="00471B5A"/>
    <w:rsid w:val="0047243D"/>
    <w:rsid w:val="00472EDA"/>
    <w:rsid w:val="00472F7C"/>
    <w:rsid w:val="00472F8A"/>
    <w:rsid w:val="00475396"/>
    <w:rsid w:val="00476151"/>
    <w:rsid w:val="004761E6"/>
    <w:rsid w:val="00476390"/>
    <w:rsid w:val="00477E53"/>
    <w:rsid w:val="0048012B"/>
    <w:rsid w:val="00481BA4"/>
    <w:rsid w:val="00482477"/>
    <w:rsid w:val="00482C7A"/>
    <w:rsid w:val="004840A2"/>
    <w:rsid w:val="0048419A"/>
    <w:rsid w:val="0048455A"/>
    <w:rsid w:val="00484C08"/>
    <w:rsid w:val="00484E44"/>
    <w:rsid w:val="004850A9"/>
    <w:rsid w:val="004850AC"/>
    <w:rsid w:val="00485478"/>
    <w:rsid w:val="00486017"/>
    <w:rsid w:val="004861B8"/>
    <w:rsid w:val="00486CB3"/>
    <w:rsid w:val="00487774"/>
    <w:rsid w:val="004900E5"/>
    <w:rsid w:val="00490C38"/>
    <w:rsid w:val="0049145A"/>
    <w:rsid w:val="004927FD"/>
    <w:rsid w:val="00494DB3"/>
    <w:rsid w:val="004951D6"/>
    <w:rsid w:val="004974A9"/>
    <w:rsid w:val="00497553"/>
    <w:rsid w:val="004A2297"/>
    <w:rsid w:val="004A347F"/>
    <w:rsid w:val="004A34BD"/>
    <w:rsid w:val="004A3CD4"/>
    <w:rsid w:val="004A3E20"/>
    <w:rsid w:val="004A45A1"/>
    <w:rsid w:val="004A6D77"/>
    <w:rsid w:val="004B05DD"/>
    <w:rsid w:val="004B0755"/>
    <w:rsid w:val="004B0C4C"/>
    <w:rsid w:val="004B0F2C"/>
    <w:rsid w:val="004B1ABF"/>
    <w:rsid w:val="004B2FF6"/>
    <w:rsid w:val="004B350B"/>
    <w:rsid w:val="004B35BE"/>
    <w:rsid w:val="004B3E22"/>
    <w:rsid w:val="004B45C0"/>
    <w:rsid w:val="004B48FE"/>
    <w:rsid w:val="004B5FE4"/>
    <w:rsid w:val="004B71F4"/>
    <w:rsid w:val="004B755A"/>
    <w:rsid w:val="004C197C"/>
    <w:rsid w:val="004C3526"/>
    <w:rsid w:val="004C43FF"/>
    <w:rsid w:val="004C57A6"/>
    <w:rsid w:val="004C57C8"/>
    <w:rsid w:val="004C59B8"/>
    <w:rsid w:val="004C5A17"/>
    <w:rsid w:val="004C6003"/>
    <w:rsid w:val="004C772C"/>
    <w:rsid w:val="004C7A5C"/>
    <w:rsid w:val="004D14F0"/>
    <w:rsid w:val="004D182B"/>
    <w:rsid w:val="004D263D"/>
    <w:rsid w:val="004D31BF"/>
    <w:rsid w:val="004D4B0A"/>
    <w:rsid w:val="004D4FDB"/>
    <w:rsid w:val="004D5A91"/>
    <w:rsid w:val="004D62D0"/>
    <w:rsid w:val="004D6ADA"/>
    <w:rsid w:val="004D7973"/>
    <w:rsid w:val="004D7BDA"/>
    <w:rsid w:val="004E01D2"/>
    <w:rsid w:val="004E07A7"/>
    <w:rsid w:val="004E0B1B"/>
    <w:rsid w:val="004E1AB8"/>
    <w:rsid w:val="004E1B7D"/>
    <w:rsid w:val="004E21CF"/>
    <w:rsid w:val="004E3C9D"/>
    <w:rsid w:val="004E49C5"/>
    <w:rsid w:val="004E545A"/>
    <w:rsid w:val="004E5DDE"/>
    <w:rsid w:val="004E5F4C"/>
    <w:rsid w:val="004E6703"/>
    <w:rsid w:val="004E7056"/>
    <w:rsid w:val="004E74DA"/>
    <w:rsid w:val="004E7788"/>
    <w:rsid w:val="004E7A22"/>
    <w:rsid w:val="004F097F"/>
    <w:rsid w:val="004F0E62"/>
    <w:rsid w:val="004F1194"/>
    <w:rsid w:val="004F14AD"/>
    <w:rsid w:val="004F168C"/>
    <w:rsid w:val="004F2B55"/>
    <w:rsid w:val="004F2ED4"/>
    <w:rsid w:val="004F380A"/>
    <w:rsid w:val="004F3811"/>
    <w:rsid w:val="004F4AD5"/>
    <w:rsid w:val="004F4FAC"/>
    <w:rsid w:val="004F5292"/>
    <w:rsid w:val="004F55BC"/>
    <w:rsid w:val="004F594D"/>
    <w:rsid w:val="004F59FB"/>
    <w:rsid w:val="004F6BF1"/>
    <w:rsid w:val="004F6FE3"/>
    <w:rsid w:val="0050122A"/>
    <w:rsid w:val="005014F0"/>
    <w:rsid w:val="00501935"/>
    <w:rsid w:val="00501A83"/>
    <w:rsid w:val="00501F29"/>
    <w:rsid w:val="005026DB"/>
    <w:rsid w:val="005041A4"/>
    <w:rsid w:val="00505C7E"/>
    <w:rsid w:val="005071A9"/>
    <w:rsid w:val="005074FD"/>
    <w:rsid w:val="0050770B"/>
    <w:rsid w:val="005078EE"/>
    <w:rsid w:val="005110F0"/>
    <w:rsid w:val="005116C9"/>
    <w:rsid w:val="00511CE5"/>
    <w:rsid w:val="0051348C"/>
    <w:rsid w:val="00513E23"/>
    <w:rsid w:val="0051564D"/>
    <w:rsid w:val="00515E7A"/>
    <w:rsid w:val="0051654C"/>
    <w:rsid w:val="00516C0B"/>
    <w:rsid w:val="00516EB3"/>
    <w:rsid w:val="00521825"/>
    <w:rsid w:val="005220D8"/>
    <w:rsid w:val="005222BD"/>
    <w:rsid w:val="005225E1"/>
    <w:rsid w:val="00522A3C"/>
    <w:rsid w:val="00523BF7"/>
    <w:rsid w:val="00527425"/>
    <w:rsid w:val="00527768"/>
    <w:rsid w:val="00527D59"/>
    <w:rsid w:val="00531036"/>
    <w:rsid w:val="005314BF"/>
    <w:rsid w:val="005315B4"/>
    <w:rsid w:val="005316FB"/>
    <w:rsid w:val="005322F1"/>
    <w:rsid w:val="00532C61"/>
    <w:rsid w:val="00532D68"/>
    <w:rsid w:val="0053343D"/>
    <w:rsid w:val="00533806"/>
    <w:rsid w:val="00535266"/>
    <w:rsid w:val="00535C68"/>
    <w:rsid w:val="005362A2"/>
    <w:rsid w:val="0053761E"/>
    <w:rsid w:val="0053787F"/>
    <w:rsid w:val="00537CF5"/>
    <w:rsid w:val="00537D15"/>
    <w:rsid w:val="00537DE7"/>
    <w:rsid w:val="0054169C"/>
    <w:rsid w:val="00541A3A"/>
    <w:rsid w:val="005420AA"/>
    <w:rsid w:val="00542897"/>
    <w:rsid w:val="005433CA"/>
    <w:rsid w:val="00544C68"/>
    <w:rsid w:val="0054531E"/>
    <w:rsid w:val="005507D8"/>
    <w:rsid w:val="00550BE6"/>
    <w:rsid w:val="005510AD"/>
    <w:rsid w:val="005523B8"/>
    <w:rsid w:val="00552705"/>
    <w:rsid w:val="00554B25"/>
    <w:rsid w:val="00555584"/>
    <w:rsid w:val="005558D1"/>
    <w:rsid w:val="00555958"/>
    <w:rsid w:val="00556A69"/>
    <w:rsid w:val="005571BF"/>
    <w:rsid w:val="0055720C"/>
    <w:rsid w:val="00557421"/>
    <w:rsid w:val="00557BF5"/>
    <w:rsid w:val="00561681"/>
    <w:rsid w:val="005616E8"/>
    <w:rsid w:val="005618CF"/>
    <w:rsid w:val="005625C3"/>
    <w:rsid w:val="005640B5"/>
    <w:rsid w:val="0056521C"/>
    <w:rsid w:val="00566544"/>
    <w:rsid w:val="00566852"/>
    <w:rsid w:val="00566BE5"/>
    <w:rsid w:val="00570B4E"/>
    <w:rsid w:val="00571B5B"/>
    <w:rsid w:val="00571CF9"/>
    <w:rsid w:val="00572327"/>
    <w:rsid w:val="005731E8"/>
    <w:rsid w:val="005738F7"/>
    <w:rsid w:val="00573925"/>
    <w:rsid w:val="00575958"/>
    <w:rsid w:val="0057628B"/>
    <w:rsid w:val="00576475"/>
    <w:rsid w:val="00580252"/>
    <w:rsid w:val="005802A1"/>
    <w:rsid w:val="005802EF"/>
    <w:rsid w:val="005804DD"/>
    <w:rsid w:val="00581B22"/>
    <w:rsid w:val="00581F7E"/>
    <w:rsid w:val="00583DCF"/>
    <w:rsid w:val="005862F6"/>
    <w:rsid w:val="0058692F"/>
    <w:rsid w:val="005901C8"/>
    <w:rsid w:val="00590A39"/>
    <w:rsid w:val="00590FF3"/>
    <w:rsid w:val="005911A2"/>
    <w:rsid w:val="00591F5E"/>
    <w:rsid w:val="00592E72"/>
    <w:rsid w:val="005938E4"/>
    <w:rsid w:val="0059469A"/>
    <w:rsid w:val="00595A0D"/>
    <w:rsid w:val="00595DC8"/>
    <w:rsid w:val="005963B6"/>
    <w:rsid w:val="005A0B1A"/>
    <w:rsid w:val="005A0D5D"/>
    <w:rsid w:val="005A26C9"/>
    <w:rsid w:val="005A2A15"/>
    <w:rsid w:val="005A2F2F"/>
    <w:rsid w:val="005A370E"/>
    <w:rsid w:val="005A41D9"/>
    <w:rsid w:val="005A48C0"/>
    <w:rsid w:val="005A52DB"/>
    <w:rsid w:val="005A58AB"/>
    <w:rsid w:val="005A6908"/>
    <w:rsid w:val="005A6EEE"/>
    <w:rsid w:val="005B002B"/>
    <w:rsid w:val="005B01B8"/>
    <w:rsid w:val="005B0591"/>
    <w:rsid w:val="005B07B5"/>
    <w:rsid w:val="005B097F"/>
    <w:rsid w:val="005B1210"/>
    <w:rsid w:val="005B13D2"/>
    <w:rsid w:val="005B2602"/>
    <w:rsid w:val="005B318D"/>
    <w:rsid w:val="005B3357"/>
    <w:rsid w:val="005B54A4"/>
    <w:rsid w:val="005B5670"/>
    <w:rsid w:val="005B56CB"/>
    <w:rsid w:val="005B6931"/>
    <w:rsid w:val="005B7FB2"/>
    <w:rsid w:val="005C00DB"/>
    <w:rsid w:val="005C070C"/>
    <w:rsid w:val="005C0A30"/>
    <w:rsid w:val="005C2359"/>
    <w:rsid w:val="005C2368"/>
    <w:rsid w:val="005C2803"/>
    <w:rsid w:val="005C3AA5"/>
    <w:rsid w:val="005C43C6"/>
    <w:rsid w:val="005C4A59"/>
    <w:rsid w:val="005C4F16"/>
    <w:rsid w:val="005C58B0"/>
    <w:rsid w:val="005C62BA"/>
    <w:rsid w:val="005C6BA5"/>
    <w:rsid w:val="005C6F54"/>
    <w:rsid w:val="005C70A3"/>
    <w:rsid w:val="005C733E"/>
    <w:rsid w:val="005D09E4"/>
    <w:rsid w:val="005D408C"/>
    <w:rsid w:val="005D5098"/>
    <w:rsid w:val="005D6432"/>
    <w:rsid w:val="005D646E"/>
    <w:rsid w:val="005D66C7"/>
    <w:rsid w:val="005D72CC"/>
    <w:rsid w:val="005D7DF3"/>
    <w:rsid w:val="005D7EC3"/>
    <w:rsid w:val="005E0D61"/>
    <w:rsid w:val="005E16CF"/>
    <w:rsid w:val="005E19ED"/>
    <w:rsid w:val="005E1E73"/>
    <w:rsid w:val="005E1F05"/>
    <w:rsid w:val="005E2621"/>
    <w:rsid w:val="005E2725"/>
    <w:rsid w:val="005E3B02"/>
    <w:rsid w:val="005E3D8B"/>
    <w:rsid w:val="005E6143"/>
    <w:rsid w:val="005E6EF5"/>
    <w:rsid w:val="005F10B3"/>
    <w:rsid w:val="005F1271"/>
    <w:rsid w:val="005F2DDF"/>
    <w:rsid w:val="005F42A6"/>
    <w:rsid w:val="005F504D"/>
    <w:rsid w:val="005F511E"/>
    <w:rsid w:val="005F5D73"/>
    <w:rsid w:val="005F65F3"/>
    <w:rsid w:val="0060082D"/>
    <w:rsid w:val="00600BD1"/>
    <w:rsid w:val="0060110C"/>
    <w:rsid w:val="00601C4A"/>
    <w:rsid w:val="0060231D"/>
    <w:rsid w:val="0060296A"/>
    <w:rsid w:val="00603471"/>
    <w:rsid w:val="0060355E"/>
    <w:rsid w:val="00603906"/>
    <w:rsid w:val="00603B8D"/>
    <w:rsid w:val="006044AD"/>
    <w:rsid w:val="00604FE8"/>
    <w:rsid w:val="00605167"/>
    <w:rsid w:val="0061147C"/>
    <w:rsid w:val="006115DB"/>
    <w:rsid w:val="00611D69"/>
    <w:rsid w:val="006121D7"/>
    <w:rsid w:val="00612618"/>
    <w:rsid w:val="00615CEF"/>
    <w:rsid w:val="00617FB3"/>
    <w:rsid w:val="00620BEE"/>
    <w:rsid w:val="006215A1"/>
    <w:rsid w:val="006222DD"/>
    <w:rsid w:val="0062257E"/>
    <w:rsid w:val="006226F9"/>
    <w:rsid w:val="00622EC3"/>
    <w:rsid w:val="00622EF6"/>
    <w:rsid w:val="0062370B"/>
    <w:rsid w:val="00623D12"/>
    <w:rsid w:val="006252CF"/>
    <w:rsid w:val="00625E13"/>
    <w:rsid w:val="00630747"/>
    <w:rsid w:val="00630947"/>
    <w:rsid w:val="00630DC5"/>
    <w:rsid w:val="00630FD2"/>
    <w:rsid w:val="006312B8"/>
    <w:rsid w:val="00631BAE"/>
    <w:rsid w:val="00632C7E"/>
    <w:rsid w:val="0063312E"/>
    <w:rsid w:val="00633174"/>
    <w:rsid w:val="00633190"/>
    <w:rsid w:val="006341E8"/>
    <w:rsid w:val="00634BB2"/>
    <w:rsid w:val="00634E17"/>
    <w:rsid w:val="0063512B"/>
    <w:rsid w:val="006359AA"/>
    <w:rsid w:val="00636840"/>
    <w:rsid w:val="00637B13"/>
    <w:rsid w:val="00637F25"/>
    <w:rsid w:val="00640283"/>
    <w:rsid w:val="0064035A"/>
    <w:rsid w:val="00640760"/>
    <w:rsid w:val="00640866"/>
    <w:rsid w:val="00641AB4"/>
    <w:rsid w:val="00642794"/>
    <w:rsid w:val="0064345E"/>
    <w:rsid w:val="006437AE"/>
    <w:rsid w:val="00643A6D"/>
    <w:rsid w:val="006449EC"/>
    <w:rsid w:val="0064534A"/>
    <w:rsid w:val="00646DF8"/>
    <w:rsid w:val="00647AF1"/>
    <w:rsid w:val="00647F93"/>
    <w:rsid w:val="00650869"/>
    <w:rsid w:val="00650907"/>
    <w:rsid w:val="00651015"/>
    <w:rsid w:val="006525DC"/>
    <w:rsid w:val="00653602"/>
    <w:rsid w:val="00653822"/>
    <w:rsid w:val="00653943"/>
    <w:rsid w:val="00653E6F"/>
    <w:rsid w:val="006541AC"/>
    <w:rsid w:val="00654625"/>
    <w:rsid w:val="00654AB9"/>
    <w:rsid w:val="0065520B"/>
    <w:rsid w:val="00655F64"/>
    <w:rsid w:val="00656012"/>
    <w:rsid w:val="006564C8"/>
    <w:rsid w:val="006571DC"/>
    <w:rsid w:val="00657B93"/>
    <w:rsid w:val="00657CC7"/>
    <w:rsid w:val="0066002F"/>
    <w:rsid w:val="0066076A"/>
    <w:rsid w:val="00660E59"/>
    <w:rsid w:val="0066186C"/>
    <w:rsid w:val="00662038"/>
    <w:rsid w:val="006627AD"/>
    <w:rsid w:val="00664631"/>
    <w:rsid w:val="006651A9"/>
    <w:rsid w:val="00665BD9"/>
    <w:rsid w:val="00666537"/>
    <w:rsid w:val="00666FB2"/>
    <w:rsid w:val="0067107E"/>
    <w:rsid w:val="0067160E"/>
    <w:rsid w:val="00672086"/>
    <w:rsid w:val="00673216"/>
    <w:rsid w:val="00673517"/>
    <w:rsid w:val="00673549"/>
    <w:rsid w:val="00673F40"/>
    <w:rsid w:val="0067448D"/>
    <w:rsid w:val="00674E7E"/>
    <w:rsid w:val="00675B47"/>
    <w:rsid w:val="00675CA0"/>
    <w:rsid w:val="0067604E"/>
    <w:rsid w:val="00676188"/>
    <w:rsid w:val="006763E5"/>
    <w:rsid w:val="00676534"/>
    <w:rsid w:val="00677411"/>
    <w:rsid w:val="00680227"/>
    <w:rsid w:val="00680668"/>
    <w:rsid w:val="00680929"/>
    <w:rsid w:val="00680D6C"/>
    <w:rsid w:val="00680F2A"/>
    <w:rsid w:val="006810FE"/>
    <w:rsid w:val="00681D96"/>
    <w:rsid w:val="00683128"/>
    <w:rsid w:val="006832BF"/>
    <w:rsid w:val="006836F0"/>
    <w:rsid w:val="00683D5B"/>
    <w:rsid w:val="00684785"/>
    <w:rsid w:val="00684A82"/>
    <w:rsid w:val="006867B7"/>
    <w:rsid w:val="006875C0"/>
    <w:rsid w:val="00687AD4"/>
    <w:rsid w:val="00690210"/>
    <w:rsid w:val="00690A60"/>
    <w:rsid w:val="00690C13"/>
    <w:rsid w:val="006932D6"/>
    <w:rsid w:val="00693CC5"/>
    <w:rsid w:val="00695DBA"/>
    <w:rsid w:val="00695E1C"/>
    <w:rsid w:val="006962DE"/>
    <w:rsid w:val="00697245"/>
    <w:rsid w:val="006A06D0"/>
    <w:rsid w:val="006A1484"/>
    <w:rsid w:val="006A338B"/>
    <w:rsid w:val="006A36C5"/>
    <w:rsid w:val="006A3A9D"/>
    <w:rsid w:val="006A4183"/>
    <w:rsid w:val="006A4AB9"/>
    <w:rsid w:val="006A4BED"/>
    <w:rsid w:val="006A52D3"/>
    <w:rsid w:val="006A6057"/>
    <w:rsid w:val="006A6147"/>
    <w:rsid w:val="006A6329"/>
    <w:rsid w:val="006A67E2"/>
    <w:rsid w:val="006A7BE8"/>
    <w:rsid w:val="006B0ACD"/>
    <w:rsid w:val="006B147D"/>
    <w:rsid w:val="006B1D56"/>
    <w:rsid w:val="006B27FC"/>
    <w:rsid w:val="006B3169"/>
    <w:rsid w:val="006B39A1"/>
    <w:rsid w:val="006B4C1A"/>
    <w:rsid w:val="006B50E5"/>
    <w:rsid w:val="006B6FF0"/>
    <w:rsid w:val="006B72EA"/>
    <w:rsid w:val="006B7880"/>
    <w:rsid w:val="006B7AA6"/>
    <w:rsid w:val="006C03F6"/>
    <w:rsid w:val="006C0FD6"/>
    <w:rsid w:val="006C13F4"/>
    <w:rsid w:val="006C193B"/>
    <w:rsid w:val="006C1B79"/>
    <w:rsid w:val="006C1B8F"/>
    <w:rsid w:val="006C1F58"/>
    <w:rsid w:val="006C205F"/>
    <w:rsid w:val="006C279F"/>
    <w:rsid w:val="006C33C7"/>
    <w:rsid w:val="006C3D5F"/>
    <w:rsid w:val="006C3F55"/>
    <w:rsid w:val="006C5609"/>
    <w:rsid w:val="006C7843"/>
    <w:rsid w:val="006D0D9D"/>
    <w:rsid w:val="006D24DB"/>
    <w:rsid w:val="006D5C7E"/>
    <w:rsid w:val="006D717E"/>
    <w:rsid w:val="006D748B"/>
    <w:rsid w:val="006D79D0"/>
    <w:rsid w:val="006D7E48"/>
    <w:rsid w:val="006E0EA5"/>
    <w:rsid w:val="006E1161"/>
    <w:rsid w:val="006E117A"/>
    <w:rsid w:val="006E1496"/>
    <w:rsid w:val="006E576E"/>
    <w:rsid w:val="006E5EBB"/>
    <w:rsid w:val="006E7A78"/>
    <w:rsid w:val="006F031A"/>
    <w:rsid w:val="006F0963"/>
    <w:rsid w:val="006F09FB"/>
    <w:rsid w:val="006F0C90"/>
    <w:rsid w:val="006F0FC0"/>
    <w:rsid w:val="006F1382"/>
    <w:rsid w:val="006F368A"/>
    <w:rsid w:val="006F3AC9"/>
    <w:rsid w:val="006F485F"/>
    <w:rsid w:val="006F4FB5"/>
    <w:rsid w:val="006F5393"/>
    <w:rsid w:val="006F5818"/>
    <w:rsid w:val="006F5FCC"/>
    <w:rsid w:val="006F7855"/>
    <w:rsid w:val="00700179"/>
    <w:rsid w:val="0070039E"/>
    <w:rsid w:val="00704C83"/>
    <w:rsid w:val="00705543"/>
    <w:rsid w:val="007063DB"/>
    <w:rsid w:val="007065B0"/>
    <w:rsid w:val="0070729C"/>
    <w:rsid w:val="0071064B"/>
    <w:rsid w:val="00711339"/>
    <w:rsid w:val="00711D3E"/>
    <w:rsid w:val="0071269B"/>
    <w:rsid w:val="00712C03"/>
    <w:rsid w:val="00712C4E"/>
    <w:rsid w:val="007133C0"/>
    <w:rsid w:val="0071381E"/>
    <w:rsid w:val="00713A95"/>
    <w:rsid w:val="0071429D"/>
    <w:rsid w:val="0071458A"/>
    <w:rsid w:val="00714D13"/>
    <w:rsid w:val="00714F5C"/>
    <w:rsid w:val="0071648F"/>
    <w:rsid w:val="00716713"/>
    <w:rsid w:val="00717408"/>
    <w:rsid w:val="00717EC6"/>
    <w:rsid w:val="00720238"/>
    <w:rsid w:val="00720E1A"/>
    <w:rsid w:val="00720E31"/>
    <w:rsid w:val="0072161F"/>
    <w:rsid w:val="007217DB"/>
    <w:rsid w:val="00722002"/>
    <w:rsid w:val="007221B8"/>
    <w:rsid w:val="0072261C"/>
    <w:rsid w:val="00722888"/>
    <w:rsid w:val="00723162"/>
    <w:rsid w:val="0072330A"/>
    <w:rsid w:val="00725155"/>
    <w:rsid w:val="00725E50"/>
    <w:rsid w:val="00726541"/>
    <w:rsid w:val="007277FD"/>
    <w:rsid w:val="00727886"/>
    <w:rsid w:val="00732907"/>
    <w:rsid w:val="00732F61"/>
    <w:rsid w:val="007331DE"/>
    <w:rsid w:val="00733B9C"/>
    <w:rsid w:val="007350ED"/>
    <w:rsid w:val="00735176"/>
    <w:rsid w:val="00735C5E"/>
    <w:rsid w:val="00736DCC"/>
    <w:rsid w:val="00736F38"/>
    <w:rsid w:val="00742DF7"/>
    <w:rsid w:val="00742E49"/>
    <w:rsid w:val="00742EF7"/>
    <w:rsid w:val="00743558"/>
    <w:rsid w:val="00744D8C"/>
    <w:rsid w:val="007457D8"/>
    <w:rsid w:val="00745DB5"/>
    <w:rsid w:val="007460DF"/>
    <w:rsid w:val="0074640A"/>
    <w:rsid w:val="00746608"/>
    <w:rsid w:val="0074738F"/>
    <w:rsid w:val="007477DC"/>
    <w:rsid w:val="00747BBB"/>
    <w:rsid w:val="0075056A"/>
    <w:rsid w:val="0075063C"/>
    <w:rsid w:val="007508EE"/>
    <w:rsid w:val="00751F5F"/>
    <w:rsid w:val="007529AB"/>
    <w:rsid w:val="00754436"/>
    <w:rsid w:val="00754B48"/>
    <w:rsid w:val="00756AFE"/>
    <w:rsid w:val="00756C18"/>
    <w:rsid w:val="007576C5"/>
    <w:rsid w:val="00760797"/>
    <w:rsid w:val="007610C7"/>
    <w:rsid w:val="00761505"/>
    <w:rsid w:val="00761CCA"/>
    <w:rsid w:val="0076257F"/>
    <w:rsid w:val="00762733"/>
    <w:rsid w:val="00762797"/>
    <w:rsid w:val="00762D3C"/>
    <w:rsid w:val="00762F07"/>
    <w:rsid w:val="00763552"/>
    <w:rsid w:val="00763721"/>
    <w:rsid w:val="00763FFE"/>
    <w:rsid w:val="007649EF"/>
    <w:rsid w:val="007670B9"/>
    <w:rsid w:val="00770B9F"/>
    <w:rsid w:val="00771868"/>
    <w:rsid w:val="00771AA2"/>
    <w:rsid w:val="00772A7D"/>
    <w:rsid w:val="00774A76"/>
    <w:rsid w:val="00775887"/>
    <w:rsid w:val="00775E29"/>
    <w:rsid w:val="00776D09"/>
    <w:rsid w:val="007808CC"/>
    <w:rsid w:val="00781384"/>
    <w:rsid w:val="007817D6"/>
    <w:rsid w:val="00781E3E"/>
    <w:rsid w:val="0078387E"/>
    <w:rsid w:val="007845C5"/>
    <w:rsid w:val="00786AC9"/>
    <w:rsid w:val="007873F8"/>
    <w:rsid w:val="00790001"/>
    <w:rsid w:val="00790B31"/>
    <w:rsid w:val="00790D4C"/>
    <w:rsid w:val="00790D77"/>
    <w:rsid w:val="00791005"/>
    <w:rsid w:val="00792BB9"/>
    <w:rsid w:val="00793335"/>
    <w:rsid w:val="007934DE"/>
    <w:rsid w:val="00793644"/>
    <w:rsid w:val="00793F36"/>
    <w:rsid w:val="00795400"/>
    <w:rsid w:val="007961EF"/>
    <w:rsid w:val="007964A5"/>
    <w:rsid w:val="00796A01"/>
    <w:rsid w:val="007A0C34"/>
    <w:rsid w:val="007A13D0"/>
    <w:rsid w:val="007A14B3"/>
    <w:rsid w:val="007A186B"/>
    <w:rsid w:val="007A224C"/>
    <w:rsid w:val="007A289E"/>
    <w:rsid w:val="007A2BBF"/>
    <w:rsid w:val="007A45C9"/>
    <w:rsid w:val="007A4BC1"/>
    <w:rsid w:val="007A51F8"/>
    <w:rsid w:val="007A6D94"/>
    <w:rsid w:val="007A7037"/>
    <w:rsid w:val="007A742A"/>
    <w:rsid w:val="007B0BA4"/>
    <w:rsid w:val="007B0E29"/>
    <w:rsid w:val="007B134B"/>
    <w:rsid w:val="007B14B7"/>
    <w:rsid w:val="007B242A"/>
    <w:rsid w:val="007B2E53"/>
    <w:rsid w:val="007B3012"/>
    <w:rsid w:val="007B3FDC"/>
    <w:rsid w:val="007B4662"/>
    <w:rsid w:val="007B5630"/>
    <w:rsid w:val="007B6988"/>
    <w:rsid w:val="007B7E21"/>
    <w:rsid w:val="007C1726"/>
    <w:rsid w:val="007C1F19"/>
    <w:rsid w:val="007C348C"/>
    <w:rsid w:val="007C4226"/>
    <w:rsid w:val="007C5912"/>
    <w:rsid w:val="007C660B"/>
    <w:rsid w:val="007C7822"/>
    <w:rsid w:val="007C7891"/>
    <w:rsid w:val="007C7C5A"/>
    <w:rsid w:val="007D0346"/>
    <w:rsid w:val="007D1940"/>
    <w:rsid w:val="007D1BA6"/>
    <w:rsid w:val="007D1E8C"/>
    <w:rsid w:val="007D20E6"/>
    <w:rsid w:val="007D242D"/>
    <w:rsid w:val="007D2B4E"/>
    <w:rsid w:val="007D3713"/>
    <w:rsid w:val="007D4335"/>
    <w:rsid w:val="007D5B2D"/>
    <w:rsid w:val="007D5DEF"/>
    <w:rsid w:val="007D63D8"/>
    <w:rsid w:val="007D6BDE"/>
    <w:rsid w:val="007E0059"/>
    <w:rsid w:val="007E065F"/>
    <w:rsid w:val="007E120C"/>
    <w:rsid w:val="007E1313"/>
    <w:rsid w:val="007E1AD5"/>
    <w:rsid w:val="007E2464"/>
    <w:rsid w:val="007E24C8"/>
    <w:rsid w:val="007E2958"/>
    <w:rsid w:val="007E2B4E"/>
    <w:rsid w:val="007E43B0"/>
    <w:rsid w:val="007E497D"/>
    <w:rsid w:val="007E4A43"/>
    <w:rsid w:val="007E6BB4"/>
    <w:rsid w:val="007E7870"/>
    <w:rsid w:val="007E7A2A"/>
    <w:rsid w:val="007E7FB6"/>
    <w:rsid w:val="007F1DD9"/>
    <w:rsid w:val="007F2B9C"/>
    <w:rsid w:val="007F2D1E"/>
    <w:rsid w:val="007F2D52"/>
    <w:rsid w:val="007F2F10"/>
    <w:rsid w:val="007F3190"/>
    <w:rsid w:val="007F3A19"/>
    <w:rsid w:val="007F494D"/>
    <w:rsid w:val="007F5689"/>
    <w:rsid w:val="007F5ADE"/>
    <w:rsid w:val="007F78ED"/>
    <w:rsid w:val="007F7F4C"/>
    <w:rsid w:val="00800314"/>
    <w:rsid w:val="00801FD9"/>
    <w:rsid w:val="00802776"/>
    <w:rsid w:val="00802D7A"/>
    <w:rsid w:val="008034F1"/>
    <w:rsid w:val="00803A0B"/>
    <w:rsid w:val="00805696"/>
    <w:rsid w:val="00806BCE"/>
    <w:rsid w:val="008075DF"/>
    <w:rsid w:val="008102CF"/>
    <w:rsid w:val="00810B0C"/>
    <w:rsid w:val="0081147A"/>
    <w:rsid w:val="00811658"/>
    <w:rsid w:val="008118ED"/>
    <w:rsid w:val="00813771"/>
    <w:rsid w:val="008137DF"/>
    <w:rsid w:val="00814665"/>
    <w:rsid w:val="0081555C"/>
    <w:rsid w:val="00816BDC"/>
    <w:rsid w:val="00816E86"/>
    <w:rsid w:val="00817159"/>
    <w:rsid w:val="00817CC5"/>
    <w:rsid w:val="00817CD1"/>
    <w:rsid w:val="0082002E"/>
    <w:rsid w:val="008213F0"/>
    <w:rsid w:val="00822CB3"/>
    <w:rsid w:val="008233C5"/>
    <w:rsid w:val="008236D1"/>
    <w:rsid w:val="00823E0E"/>
    <w:rsid w:val="0082490E"/>
    <w:rsid w:val="00824C78"/>
    <w:rsid w:val="00825FE5"/>
    <w:rsid w:val="00826493"/>
    <w:rsid w:val="0082652B"/>
    <w:rsid w:val="0082720E"/>
    <w:rsid w:val="0082781E"/>
    <w:rsid w:val="00827A2C"/>
    <w:rsid w:val="00827D48"/>
    <w:rsid w:val="0083003D"/>
    <w:rsid w:val="00830244"/>
    <w:rsid w:val="008306B8"/>
    <w:rsid w:val="00830CDB"/>
    <w:rsid w:val="00830DA2"/>
    <w:rsid w:val="00832FDB"/>
    <w:rsid w:val="008334D9"/>
    <w:rsid w:val="00834E93"/>
    <w:rsid w:val="0083517C"/>
    <w:rsid w:val="00835771"/>
    <w:rsid w:val="00837454"/>
    <w:rsid w:val="00840371"/>
    <w:rsid w:val="008404F8"/>
    <w:rsid w:val="008418E4"/>
    <w:rsid w:val="00841A8C"/>
    <w:rsid w:val="008442F2"/>
    <w:rsid w:val="00844B57"/>
    <w:rsid w:val="00844C91"/>
    <w:rsid w:val="0084664A"/>
    <w:rsid w:val="008476F3"/>
    <w:rsid w:val="0085017D"/>
    <w:rsid w:val="0085027A"/>
    <w:rsid w:val="00850978"/>
    <w:rsid w:val="00850F4C"/>
    <w:rsid w:val="00851572"/>
    <w:rsid w:val="00851644"/>
    <w:rsid w:val="008522A0"/>
    <w:rsid w:val="00852403"/>
    <w:rsid w:val="00852FCB"/>
    <w:rsid w:val="00853212"/>
    <w:rsid w:val="0085614B"/>
    <w:rsid w:val="008571A1"/>
    <w:rsid w:val="00857317"/>
    <w:rsid w:val="008575E4"/>
    <w:rsid w:val="00861397"/>
    <w:rsid w:val="0086174B"/>
    <w:rsid w:val="00861795"/>
    <w:rsid w:val="00861D30"/>
    <w:rsid w:val="00861E05"/>
    <w:rsid w:val="00862499"/>
    <w:rsid w:val="00864B62"/>
    <w:rsid w:val="00865683"/>
    <w:rsid w:val="00867C09"/>
    <w:rsid w:val="00870DCB"/>
    <w:rsid w:val="00870E7A"/>
    <w:rsid w:val="008712A0"/>
    <w:rsid w:val="008713A5"/>
    <w:rsid w:val="008722B5"/>
    <w:rsid w:val="0087263E"/>
    <w:rsid w:val="00872B65"/>
    <w:rsid w:val="0087324A"/>
    <w:rsid w:val="00874635"/>
    <w:rsid w:val="0087465D"/>
    <w:rsid w:val="008758FF"/>
    <w:rsid w:val="00875E4E"/>
    <w:rsid w:val="008768D2"/>
    <w:rsid w:val="00876FBC"/>
    <w:rsid w:val="0087716B"/>
    <w:rsid w:val="00877248"/>
    <w:rsid w:val="0087744F"/>
    <w:rsid w:val="008812D8"/>
    <w:rsid w:val="00881446"/>
    <w:rsid w:val="00881621"/>
    <w:rsid w:val="00882361"/>
    <w:rsid w:val="00882437"/>
    <w:rsid w:val="0088380C"/>
    <w:rsid w:val="00883B97"/>
    <w:rsid w:val="00884018"/>
    <w:rsid w:val="0088417B"/>
    <w:rsid w:val="008843B7"/>
    <w:rsid w:val="0088500F"/>
    <w:rsid w:val="00885FA3"/>
    <w:rsid w:val="008913EC"/>
    <w:rsid w:val="008919F3"/>
    <w:rsid w:val="00891C5D"/>
    <w:rsid w:val="00892285"/>
    <w:rsid w:val="0089258B"/>
    <w:rsid w:val="0089424A"/>
    <w:rsid w:val="00894513"/>
    <w:rsid w:val="00894B3E"/>
    <w:rsid w:val="00894FFE"/>
    <w:rsid w:val="0089602D"/>
    <w:rsid w:val="0089646D"/>
    <w:rsid w:val="0089662A"/>
    <w:rsid w:val="00896C29"/>
    <w:rsid w:val="00896FEA"/>
    <w:rsid w:val="00897DDC"/>
    <w:rsid w:val="008A0D2B"/>
    <w:rsid w:val="008A15CF"/>
    <w:rsid w:val="008A1D31"/>
    <w:rsid w:val="008A1EB6"/>
    <w:rsid w:val="008A3FB0"/>
    <w:rsid w:val="008A4305"/>
    <w:rsid w:val="008A43FB"/>
    <w:rsid w:val="008A44DF"/>
    <w:rsid w:val="008A55DC"/>
    <w:rsid w:val="008A5FB3"/>
    <w:rsid w:val="008B0008"/>
    <w:rsid w:val="008B09FD"/>
    <w:rsid w:val="008B1B2D"/>
    <w:rsid w:val="008B2197"/>
    <w:rsid w:val="008B29E0"/>
    <w:rsid w:val="008B3C92"/>
    <w:rsid w:val="008B5844"/>
    <w:rsid w:val="008B6308"/>
    <w:rsid w:val="008B691D"/>
    <w:rsid w:val="008C1191"/>
    <w:rsid w:val="008C1723"/>
    <w:rsid w:val="008C25FA"/>
    <w:rsid w:val="008C4135"/>
    <w:rsid w:val="008C4AE8"/>
    <w:rsid w:val="008C636D"/>
    <w:rsid w:val="008C6A3A"/>
    <w:rsid w:val="008D02B6"/>
    <w:rsid w:val="008D0BCE"/>
    <w:rsid w:val="008D0D5D"/>
    <w:rsid w:val="008D2701"/>
    <w:rsid w:val="008D2DF2"/>
    <w:rsid w:val="008D39EF"/>
    <w:rsid w:val="008D411E"/>
    <w:rsid w:val="008D5260"/>
    <w:rsid w:val="008D573A"/>
    <w:rsid w:val="008D5D25"/>
    <w:rsid w:val="008D6588"/>
    <w:rsid w:val="008D6AFD"/>
    <w:rsid w:val="008D71D0"/>
    <w:rsid w:val="008E03E2"/>
    <w:rsid w:val="008E046E"/>
    <w:rsid w:val="008E0A93"/>
    <w:rsid w:val="008E1E50"/>
    <w:rsid w:val="008E43B0"/>
    <w:rsid w:val="008E43E2"/>
    <w:rsid w:val="008E51B6"/>
    <w:rsid w:val="008E5377"/>
    <w:rsid w:val="008E5386"/>
    <w:rsid w:val="008E581E"/>
    <w:rsid w:val="008E59F7"/>
    <w:rsid w:val="008E627F"/>
    <w:rsid w:val="008E637C"/>
    <w:rsid w:val="008F0A11"/>
    <w:rsid w:val="008F0E52"/>
    <w:rsid w:val="008F1AB1"/>
    <w:rsid w:val="008F3D1A"/>
    <w:rsid w:val="008F3EED"/>
    <w:rsid w:val="008F454F"/>
    <w:rsid w:val="008F5C35"/>
    <w:rsid w:val="008F6F42"/>
    <w:rsid w:val="008F71EE"/>
    <w:rsid w:val="00900A19"/>
    <w:rsid w:val="0090120C"/>
    <w:rsid w:val="00901F9B"/>
    <w:rsid w:val="009020DA"/>
    <w:rsid w:val="0090215B"/>
    <w:rsid w:val="00902D5E"/>
    <w:rsid w:val="00902F3B"/>
    <w:rsid w:val="00903404"/>
    <w:rsid w:val="00903BCA"/>
    <w:rsid w:val="009048FA"/>
    <w:rsid w:val="00904B85"/>
    <w:rsid w:val="00904EAA"/>
    <w:rsid w:val="00905291"/>
    <w:rsid w:val="009055AF"/>
    <w:rsid w:val="00910C4C"/>
    <w:rsid w:val="0091100E"/>
    <w:rsid w:val="009111FF"/>
    <w:rsid w:val="009131D1"/>
    <w:rsid w:val="009136A2"/>
    <w:rsid w:val="00914A5D"/>
    <w:rsid w:val="00916D3C"/>
    <w:rsid w:val="00916E02"/>
    <w:rsid w:val="0091726D"/>
    <w:rsid w:val="00917386"/>
    <w:rsid w:val="00917B8D"/>
    <w:rsid w:val="009216EC"/>
    <w:rsid w:val="00921832"/>
    <w:rsid w:val="00922B15"/>
    <w:rsid w:val="009242A3"/>
    <w:rsid w:val="009243D3"/>
    <w:rsid w:val="009244F0"/>
    <w:rsid w:val="0092546F"/>
    <w:rsid w:val="009254F4"/>
    <w:rsid w:val="009273E6"/>
    <w:rsid w:val="00927AAF"/>
    <w:rsid w:val="00931621"/>
    <w:rsid w:val="00931E6B"/>
    <w:rsid w:val="00931FA2"/>
    <w:rsid w:val="0093269F"/>
    <w:rsid w:val="00932C54"/>
    <w:rsid w:val="00933F53"/>
    <w:rsid w:val="00934413"/>
    <w:rsid w:val="00934C05"/>
    <w:rsid w:val="00935899"/>
    <w:rsid w:val="00936A88"/>
    <w:rsid w:val="00940D8E"/>
    <w:rsid w:val="00941938"/>
    <w:rsid w:val="00942225"/>
    <w:rsid w:val="00942755"/>
    <w:rsid w:val="009436EF"/>
    <w:rsid w:val="00944D22"/>
    <w:rsid w:val="0094530F"/>
    <w:rsid w:val="0094582E"/>
    <w:rsid w:val="00945BF6"/>
    <w:rsid w:val="00946404"/>
    <w:rsid w:val="0094664C"/>
    <w:rsid w:val="009466AD"/>
    <w:rsid w:val="0094702C"/>
    <w:rsid w:val="00947627"/>
    <w:rsid w:val="00951641"/>
    <w:rsid w:val="00952F7C"/>
    <w:rsid w:val="009539BF"/>
    <w:rsid w:val="00954365"/>
    <w:rsid w:val="009545F8"/>
    <w:rsid w:val="0095470D"/>
    <w:rsid w:val="00954884"/>
    <w:rsid w:val="00954F84"/>
    <w:rsid w:val="00955C6D"/>
    <w:rsid w:val="00961735"/>
    <w:rsid w:val="0096177C"/>
    <w:rsid w:val="009624A3"/>
    <w:rsid w:val="009632B6"/>
    <w:rsid w:val="00964932"/>
    <w:rsid w:val="009649B2"/>
    <w:rsid w:val="00964BF6"/>
    <w:rsid w:val="009654A3"/>
    <w:rsid w:val="00966023"/>
    <w:rsid w:val="009670CA"/>
    <w:rsid w:val="00967AAC"/>
    <w:rsid w:val="0097043D"/>
    <w:rsid w:val="009711AB"/>
    <w:rsid w:val="00971A81"/>
    <w:rsid w:val="00971C4C"/>
    <w:rsid w:val="00972264"/>
    <w:rsid w:val="00972410"/>
    <w:rsid w:val="009737BD"/>
    <w:rsid w:val="00974A27"/>
    <w:rsid w:val="00975B84"/>
    <w:rsid w:val="00976160"/>
    <w:rsid w:val="009763F7"/>
    <w:rsid w:val="009765B0"/>
    <w:rsid w:val="00976AE0"/>
    <w:rsid w:val="00977308"/>
    <w:rsid w:val="00977FE3"/>
    <w:rsid w:val="00980117"/>
    <w:rsid w:val="0098035B"/>
    <w:rsid w:val="009816F6"/>
    <w:rsid w:val="0098192B"/>
    <w:rsid w:val="009838F6"/>
    <w:rsid w:val="00984CDA"/>
    <w:rsid w:val="009859E6"/>
    <w:rsid w:val="00985F35"/>
    <w:rsid w:val="00985FCD"/>
    <w:rsid w:val="00987362"/>
    <w:rsid w:val="00987F57"/>
    <w:rsid w:val="00990B8A"/>
    <w:rsid w:val="009912E9"/>
    <w:rsid w:val="009915D7"/>
    <w:rsid w:val="00991D18"/>
    <w:rsid w:val="00992301"/>
    <w:rsid w:val="00992B52"/>
    <w:rsid w:val="009939FF"/>
    <w:rsid w:val="0099549B"/>
    <w:rsid w:val="00995DB7"/>
    <w:rsid w:val="00996399"/>
    <w:rsid w:val="00997552"/>
    <w:rsid w:val="009A057A"/>
    <w:rsid w:val="009A1526"/>
    <w:rsid w:val="009A1BD5"/>
    <w:rsid w:val="009A35BA"/>
    <w:rsid w:val="009A39C4"/>
    <w:rsid w:val="009A3B76"/>
    <w:rsid w:val="009A66D6"/>
    <w:rsid w:val="009A6DD7"/>
    <w:rsid w:val="009A71C2"/>
    <w:rsid w:val="009A725B"/>
    <w:rsid w:val="009A77C3"/>
    <w:rsid w:val="009A7BFB"/>
    <w:rsid w:val="009B057B"/>
    <w:rsid w:val="009B1421"/>
    <w:rsid w:val="009B197C"/>
    <w:rsid w:val="009B1B5F"/>
    <w:rsid w:val="009B2DE3"/>
    <w:rsid w:val="009B41E5"/>
    <w:rsid w:val="009B48FA"/>
    <w:rsid w:val="009B52ED"/>
    <w:rsid w:val="009B6A5D"/>
    <w:rsid w:val="009B72DD"/>
    <w:rsid w:val="009B7DAC"/>
    <w:rsid w:val="009C2A94"/>
    <w:rsid w:val="009C2AA3"/>
    <w:rsid w:val="009C2B7E"/>
    <w:rsid w:val="009C31DD"/>
    <w:rsid w:val="009C35E5"/>
    <w:rsid w:val="009C3A40"/>
    <w:rsid w:val="009C4D93"/>
    <w:rsid w:val="009C72C5"/>
    <w:rsid w:val="009C7AE2"/>
    <w:rsid w:val="009D02D1"/>
    <w:rsid w:val="009D07B9"/>
    <w:rsid w:val="009D113D"/>
    <w:rsid w:val="009D1C93"/>
    <w:rsid w:val="009D2A31"/>
    <w:rsid w:val="009D2BC8"/>
    <w:rsid w:val="009D3AD8"/>
    <w:rsid w:val="009D4303"/>
    <w:rsid w:val="009D6243"/>
    <w:rsid w:val="009D6A8E"/>
    <w:rsid w:val="009D6C0F"/>
    <w:rsid w:val="009D7159"/>
    <w:rsid w:val="009D7AFD"/>
    <w:rsid w:val="009E05DF"/>
    <w:rsid w:val="009E069F"/>
    <w:rsid w:val="009E1102"/>
    <w:rsid w:val="009E11F8"/>
    <w:rsid w:val="009E3282"/>
    <w:rsid w:val="009E3FE4"/>
    <w:rsid w:val="009E43E6"/>
    <w:rsid w:val="009E5071"/>
    <w:rsid w:val="009E5422"/>
    <w:rsid w:val="009E5DC7"/>
    <w:rsid w:val="009E64BA"/>
    <w:rsid w:val="009F03CD"/>
    <w:rsid w:val="009F2F83"/>
    <w:rsid w:val="009F3791"/>
    <w:rsid w:val="009F466E"/>
    <w:rsid w:val="009F4767"/>
    <w:rsid w:val="009F5B6A"/>
    <w:rsid w:val="009F5B9F"/>
    <w:rsid w:val="009F5D50"/>
    <w:rsid w:val="009F7123"/>
    <w:rsid w:val="009F762C"/>
    <w:rsid w:val="009F78CA"/>
    <w:rsid w:val="009F7AD1"/>
    <w:rsid w:val="009F7BFD"/>
    <w:rsid w:val="00A00F0C"/>
    <w:rsid w:val="00A03279"/>
    <w:rsid w:val="00A03485"/>
    <w:rsid w:val="00A03768"/>
    <w:rsid w:val="00A038A6"/>
    <w:rsid w:val="00A03BCF"/>
    <w:rsid w:val="00A040CC"/>
    <w:rsid w:val="00A0665A"/>
    <w:rsid w:val="00A07044"/>
    <w:rsid w:val="00A074F8"/>
    <w:rsid w:val="00A075A4"/>
    <w:rsid w:val="00A10CA3"/>
    <w:rsid w:val="00A10D7B"/>
    <w:rsid w:val="00A11132"/>
    <w:rsid w:val="00A1116A"/>
    <w:rsid w:val="00A1227A"/>
    <w:rsid w:val="00A1270A"/>
    <w:rsid w:val="00A128BB"/>
    <w:rsid w:val="00A135F5"/>
    <w:rsid w:val="00A13C1D"/>
    <w:rsid w:val="00A143BC"/>
    <w:rsid w:val="00A15181"/>
    <w:rsid w:val="00A15D5A"/>
    <w:rsid w:val="00A16D92"/>
    <w:rsid w:val="00A17A7F"/>
    <w:rsid w:val="00A17F93"/>
    <w:rsid w:val="00A2141F"/>
    <w:rsid w:val="00A214BF"/>
    <w:rsid w:val="00A21C38"/>
    <w:rsid w:val="00A224EE"/>
    <w:rsid w:val="00A2296F"/>
    <w:rsid w:val="00A2352E"/>
    <w:rsid w:val="00A238EC"/>
    <w:rsid w:val="00A23AFD"/>
    <w:rsid w:val="00A23FA6"/>
    <w:rsid w:val="00A24392"/>
    <w:rsid w:val="00A24FBD"/>
    <w:rsid w:val="00A2516C"/>
    <w:rsid w:val="00A25723"/>
    <w:rsid w:val="00A26086"/>
    <w:rsid w:val="00A263BE"/>
    <w:rsid w:val="00A26849"/>
    <w:rsid w:val="00A2720C"/>
    <w:rsid w:val="00A308F3"/>
    <w:rsid w:val="00A311F2"/>
    <w:rsid w:val="00A31EFE"/>
    <w:rsid w:val="00A31FA1"/>
    <w:rsid w:val="00A32B40"/>
    <w:rsid w:val="00A32CEB"/>
    <w:rsid w:val="00A36784"/>
    <w:rsid w:val="00A373FC"/>
    <w:rsid w:val="00A37995"/>
    <w:rsid w:val="00A37C63"/>
    <w:rsid w:val="00A37F74"/>
    <w:rsid w:val="00A40085"/>
    <w:rsid w:val="00A40A41"/>
    <w:rsid w:val="00A40D97"/>
    <w:rsid w:val="00A42001"/>
    <w:rsid w:val="00A4250E"/>
    <w:rsid w:val="00A42D44"/>
    <w:rsid w:val="00A44817"/>
    <w:rsid w:val="00A44FB6"/>
    <w:rsid w:val="00A45CB4"/>
    <w:rsid w:val="00A46A9C"/>
    <w:rsid w:val="00A470C7"/>
    <w:rsid w:val="00A47CD2"/>
    <w:rsid w:val="00A50751"/>
    <w:rsid w:val="00A50815"/>
    <w:rsid w:val="00A51C00"/>
    <w:rsid w:val="00A5332F"/>
    <w:rsid w:val="00A53FC2"/>
    <w:rsid w:val="00A54599"/>
    <w:rsid w:val="00A5560E"/>
    <w:rsid w:val="00A55A74"/>
    <w:rsid w:val="00A56158"/>
    <w:rsid w:val="00A56A53"/>
    <w:rsid w:val="00A6174F"/>
    <w:rsid w:val="00A619A7"/>
    <w:rsid w:val="00A61CBB"/>
    <w:rsid w:val="00A6261F"/>
    <w:rsid w:val="00A63F39"/>
    <w:rsid w:val="00A63F66"/>
    <w:rsid w:val="00A6413C"/>
    <w:rsid w:val="00A65766"/>
    <w:rsid w:val="00A658BF"/>
    <w:rsid w:val="00A660B5"/>
    <w:rsid w:val="00A673D3"/>
    <w:rsid w:val="00A67FA8"/>
    <w:rsid w:val="00A70BEF"/>
    <w:rsid w:val="00A70C46"/>
    <w:rsid w:val="00A70CCE"/>
    <w:rsid w:val="00A70F71"/>
    <w:rsid w:val="00A72981"/>
    <w:rsid w:val="00A734E4"/>
    <w:rsid w:val="00A7456A"/>
    <w:rsid w:val="00A74819"/>
    <w:rsid w:val="00A764DD"/>
    <w:rsid w:val="00A766BC"/>
    <w:rsid w:val="00A770BA"/>
    <w:rsid w:val="00A77EC2"/>
    <w:rsid w:val="00A80536"/>
    <w:rsid w:val="00A81448"/>
    <w:rsid w:val="00A81AA1"/>
    <w:rsid w:val="00A81BC4"/>
    <w:rsid w:val="00A8391F"/>
    <w:rsid w:val="00A83F53"/>
    <w:rsid w:val="00A846BA"/>
    <w:rsid w:val="00A852F3"/>
    <w:rsid w:val="00A857E3"/>
    <w:rsid w:val="00A86002"/>
    <w:rsid w:val="00A86118"/>
    <w:rsid w:val="00A8649A"/>
    <w:rsid w:val="00A87AEE"/>
    <w:rsid w:val="00A901B5"/>
    <w:rsid w:val="00A9061C"/>
    <w:rsid w:val="00A915F7"/>
    <w:rsid w:val="00A92FD5"/>
    <w:rsid w:val="00A932F7"/>
    <w:rsid w:val="00A9686C"/>
    <w:rsid w:val="00A96FA6"/>
    <w:rsid w:val="00A97898"/>
    <w:rsid w:val="00A97DF3"/>
    <w:rsid w:val="00AA037D"/>
    <w:rsid w:val="00AA09F9"/>
    <w:rsid w:val="00AA137F"/>
    <w:rsid w:val="00AA13C0"/>
    <w:rsid w:val="00AA2A41"/>
    <w:rsid w:val="00AA2A9C"/>
    <w:rsid w:val="00AA348F"/>
    <w:rsid w:val="00AA34A6"/>
    <w:rsid w:val="00AA4E7F"/>
    <w:rsid w:val="00AA4F2D"/>
    <w:rsid w:val="00AA640A"/>
    <w:rsid w:val="00AA6744"/>
    <w:rsid w:val="00AA67D8"/>
    <w:rsid w:val="00AA7DA1"/>
    <w:rsid w:val="00AB1CF6"/>
    <w:rsid w:val="00AB2643"/>
    <w:rsid w:val="00AB340C"/>
    <w:rsid w:val="00AB4082"/>
    <w:rsid w:val="00AB440F"/>
    <w:rsid w:val="00AB4BEA"/>
    <w:rsid w:val="00AB5373"/>
    <w:rsid w:val="00AB5E11"/>
    <w:rsid w:val="00AB6533"/>
    <w:rsid w:val="00AB73F1"/>
    <w:rsid w:val="00AC002C"/>
    <w:rsid w:val="00AC0118"/>
    <w:rsid w:val="00AC082E"/>
    <w:rsid w:val="00AC0D4F"/>
    <w:rsid w:val="00AC1160"/>
    <w:rsid w:val="00AC285A"/>
    <w:rsid w:val="00AC2E0F"/>
    <w:rsid w:val="00AC3065"/>
    <w:rsid w:val="00AC42C5"/>
    <w:rsid w:val="00AC4BF0"/>
    <w:rsid w:val="00AC5107"/>
    <w:rsid w:val="00AC589A"/>
    <w:rsid w:val="00AC6B04"/>
    <w:rsid w:val="00AC776A"/>
    <w:rsid w:val="00AD027B"/>
    <w:rsid w:val="00AD2570"/>
    <w:rsid w:val="00AD3655"/>
    <w:rsid w:val="00AD50A8"/>
    <w:rsid w:val="00AD5107"/>
    <w:rsid w:val="00AD58D4"/>
    <w:rsid w:val="00AD5D4F"/>
    <w:rsid w:val="00AD719A"/>
    <w:rsid w:val="00AE20F5"/>
    <w:rsid w:val="00AE24DA"/>
    <w:rsid w:val="00AE3CC1"/>
    <w:rsid w:val="00AE4642"/>
    <w:rsid w:val="00AE4A0A"/>
    <w:rsid w:val="00AE4A70"/>
    <w:rsid w:val="00AE4EA3"/>
    <w:rsid w:val="00AE594B"/>
    <w:rsid w:val="00AE60FC"/>
    <w:rsid w:val="00AE6597"/>
    <w:rsid w:val="00AE7612"/>
    <w:rsid w:val="00AF13E4"/>
    <w:rsid w:val="00AF2331"/>
    <w:rsid w:val="00AF2C39"/>
    <w:rsid w:val="00AF3A92"/>
    <w:rsid w:val="00AF43D0"/>
    <w:rsid w:val="00AF4755"/>
    <w:rsid w:val="00AF49E1"/>
    <w:rsid w:val="00AF4A55"/>
    <w:rsid w:val="00AF4BF5"/>
    <w:rsid w:val="00AF5666"/>
    <w:rsid w:val="00AF694B"/>
    <w:rsid w:val="00AF6A3A"/>
    <w:rsid w:val="00AF6A82"/>
    <w:rsid w:val="00AF70D4"/>
    <w:rsid w:val="00B0135F"/>
    <w:rsid w:val="00B02738"/>
    <w:rsid w:val="00B03B35"/>
    <w:rsid w:val="00B04488"/>
    <w:rsid w:val="00B04F7B"/>
    <w:rsid w:val="00B05174"/>
    <w:rsid w:val="00B058D3"/>
    <w:rsid w:val="00B05D33"/>
    <w:rsid w:val="00B05FC3"/>
    <w:rsid w:val="00B07B86"/>
    <w:rsid w:val="00B127C1"/>
    <w:rsid w:val="00B12C52"/>
    <w:rsid w:val="00B12E6A"/>
    <w:rsid w:val="00B13E9F"/>
    <w:rsid w:val="00B1480D"/>
    <w:rsid w:val="00B15481"/>
    <w:rsid w:val="00B15A86"/>
    <w:rsid w:val="00B15F85"/>
    <w:rsid w:val="00B20225"/>
    <w:rsid w:val="00B2055E"/>
    <w:rsid w:val="00B216D7"/>
    <w:rsid w:val="00B218FB"/>
    <w:rsid w:val="00B21DD8"/>
    <w:rsid w:val="00B22C2D"/>
    <w:rsid w:val="00B244AC"/>
    <w:rsid w:val="00B24B6D"/>
    <w:rsid w:val="00B24FD1"/>
    <w:rsid w:val="00B25379"/>
    <w:rsid w:val="00B25B73"/>
    <w:rsid w:val="00B25E33"/>
    <w:rsid w:val="00B2672C"/>
    <w:rsid w:val="00B26FB9"/>
    <w:rsid w:val="00B26FDD"/>
    <w:rsid w:val="00B272E6"/>
    <w:rsid w:val="00B275A0"/>
    <w:rsid w:val="00B301C6"/>
    <w:rsid w:val="00B306B2"/>
    <w:rsid w:val="00B3235B"/>
    <w:rsid w:val="00B324EF"/>
    <w:rsid w:val="00B32C22"/>
    <w:rsid w:val="00B33188"/>
    <w:rsid w:val="00B33933"/>
    <w:rsid w:val="00B3466C"/>
    <w:rsid w:val="00B34815"/>
    <w:rsid w:val="00B34BFC"/>
    <w:rsid w:val="00B350E7"/>
    <w:rsid w:val="00B36403"/>
    <w:rsid w:val="00B3699F"/>
    <w:rsid w:val="00B37423"/>
    <w:rsid w:val="00B37873"/>
    <w:rsid w:val="00B37FE4"/>
    <w:rsid w:val="00B402B7"/>
    <w:rsid w:val="00B4118E"/>
    <w:rsid w:val="00B42586"/>
    <w:rsid w:val="00B43E8C"/>
    <w:rsid w:val="00B445B8"/>
    <w:rsid w:val="00B447FE"/>
    <w:rsid w:val="00B44AC6"/>
    <w:rsid w:val="00B45892"/>
    <w:rsid w:val="00B45BEB"/>
    <w:rsid w:val="00B46A72"/>
    <w:rsid w:val="00B4700A"/>
    <w:rsid w:val="00B501F9"/>
    <w:rsid w:val="00B5052F"/>
    <w:rsid w:val="00B50F78"/>
    <w:rsid w:val="00B515C9"/>
    <w:rsid w:val="00B518CF"/>
    <w:rsid w:val="00B51989"/>
    <w:rsid w:val="00B52BBD"/>
    <w:rsid w:val="00B53A83"/>
    <w:rsid w:val="00B53BE8"/>
    <w:rsid w:val="00B554F2"/>
    <w:rsid w:val="00B5569A"/>
    <w:rsid w:val="00B55F37"/>
    <w:rsid w:val="00B566C8"/>
    <w:rsid w:val="00B57842"/>
    <w:rsid w:val="00B608E7"/>
    <w:rsid w:val="00B612BD"/>
    <w:rsid w:val="00B628BF"/>
    <w:rsid w:val="00B636AA"/>
    <w:rsid w:val="00B63B03"/>
    <w:rsid w:val="00B64843"/>
    <w:rsid w:val="00B64988"/>
    <w:rsid w:val="00B66134"/>
    <w:rsid w:val="00B66CB9"/>
    <w:rsid w:val="00B66F41"/>
    <w:rsid w:val="00B71606"/>
    <w:rsid w:val="00B7199F"/>
    <w:rsid w:val="00B72761"/>
    <w:rsid w:val="00B7359B"/>
    <w:rsid w:val="00B73DD8"/>
    <w:rsid w:val="00B7429B"/>
    <w:rsid w:val="00B745D1"/>
    <w:rsid w:val="00B74F42"/>
    <w:rsid w:val="00B74FDC"/>
    <w:rsid w:val="00B76369"/>
    <w:rsid w:val="00B814B7"/>
    <w:rsid w:val="00B82325"/>
    <w:rsid w:val="00B82965"/>
    <w:rsid w:val="00B82CC4"/>
    <w:rsid w:val="00B82D22"/>
    <w:rsid w:val="00B82E01"/>
    <w:rsid w:val="00B8453E"/>
    <w:rsid w:val="00B84611"/>
    <w:rsid w:val="00B85D4F"/>
    <w:rsid w:val="00B8679A"/>
    <w:rsid w:val="00B86D28"/>
    <w:rsid w:val="00B87173"/>
    <w:rsid w:val="00B910D2"/>
    <w:rsid w:val="00B9199D"/>
    <w:rsid w:val="00B93BB0"/>
    <w:rsid w:val="00B940B7"/>
    <w:rsid w:val="00B94A24"/>
    <w:rsid w:val="00B94FF0"/>
    <w:rsid w:val="00B95643"/>
    <w:rsid w:val="00B9576D"/>
    <w:rsid w:val="00B95C20"/>
    <w:rsid w:val="00B9650C"/>
    <w:rsid w:val="00B96AA6"/>
    <w:rsid w:val="00B96B39"/>
    <w:rsid w:val="00B97E15"/>
    <w:rsid w:val="00BA041A"/>
    <w:rsid w:val="00BA1A2F"/>
    <w:rsid w:val="00BA25FE"/>
    <w:rsid w:val="00BA451D"/>
    <w:rsid w:val="00BA49AE"/>
    <w:rsid w:val="00BA6F74"/>
    <w:rsid w:val="00BA761C"/>
    <w:rsid w:val="00BB08AE"/>
    <w:rsid w:val="00BB0915"/>
    <w:rsid w:val="00BB184E"/>
    <w:rsid w:val="00BB2BD0"/>
    <w:rsid w:val="00BB46B9"/>
    <w:rsid w:val="00BB52A0"/>
    <w:rsid w:val="00BB5775"/>
    <w:rsid w:val="00BB61BA"/>
    <w:rsid w:val="00BB657C"/>
    <w:rsid w:val="00BB6730"/>
    <w:rsid w:val="00BB762B"/>
    <w:rsid w:val="00BB773C"/>
    <w:rsid w:val="00BB783A"/>
    <w:rsid w:val="00BB78BD"/>
    <w:rsid w:val="00BC0007"/>
    <w:rsid w:val="00BC0842"/>
    <w:rsid w:val="00BC0CAA"/>
    <w:rsid w:val="00BC0EA3"/>
    <w:rsid w:val="00BC1653"/>
    <w:rsid w:val="00BC2831"/>
    <w:rsid w:val="00BC2955"/>
    <w:rsid w:val="00BC2F5A"/>
    <w:rsid w:val="00BC3554"/>
    <w:rsid w:val="00BC7243"/>
    <w:rsid w:val="00BD0546"/>
    <w:rsid w:val="00BD11FF"/>
    <w:rsid w:val="00BD311E"/>
    <w:rsid w:val="00BD3CD1"/>
    <w:rsid w:val="00BD53BA"/>
    <w:rsid w:val="00BD5E35"/>
    <w:rsid w:val="00BD649A"/>
    <w:rsid w:val="00BD6740"/>
    <w:rsid w:val="00BD7D16"/>
    <w:rsid w:val="00BE087E"/>
    <w:rsid w:val="00BE0881"/>
    <w:rsid w:val="00BE1BC7"/>
    <w:rsid w:val="00BE215C"/>
    <w:rsid w:val="00BE254F"/>
    <w:rsid w:val="00BE2AA9"/>
    <w:rsid w:val="00BE2EFC"/>
    <w:rsid w:val="00BE42CC"/>
    <w:rsid w:val="00BE5A1D"/>
    <w:rsid w:val="00BE5CE0"/>
    <w:rsid w:val="00BE5DC4"/>
    <w:rsid w:val="00BE5FC7"/>
    <w:rsid w:val="00BE64A2"/>
    <w:rsid w:val="00BE78AF"/>
    <w:rsid w:val="00BF18B2"/>
    <w:rsid w:val="00BF1BB0"/>
    <w:rsid w:val="00BF1F1E"/>
    <w:rsid w:val="00BF20E6"/>
    <w:rsid w:val="00BF3AAD"/>
    <w:rsid w:val="00BF471A"/>
    <w:rsid w:val="00BF50AE"/>
    <w:rsid w:val="00BF53D6"/>
    <w:rsid w:val="00BF631B"/>
    <w:rsid w:val="00BF676B"/>
    <w:rsid w:val="00BF6C08"/>
    <w:rsid w:val="00BF7807"/>
    <w:rsid w:val="00C0155B"/>
    <w:rsid w:val="00C025A0"/>
    <w:rsid w:val="00C030E5"/>
    <w:rsid w:val="00C034F0"/>
    <w:rsid w:val="00C03A0D"/>
    <w:rsid w:val="00C03E68"/>
    <w:rsid w:val="00C0485A"/>
    <w:rsid w:val="00C04C3F"/>
    <w:rsid w:val="00C0555F"/>
    <w:rsid w:val="00C06381"/>
    <w:rsid w:val="00C068BA"/>
    <w:rsid w:val="00C10D48"/>
    <w:rsid w:val="00C1156E"/>
    <w:rsid w:val="00C12180"/>
    <w:rsid w:val="00C12EF2"/>
    <w:rsid w:val="00C132DD"/>
    <w:rsid w:val="00C14C16"/>
    <w:rsid w:val="00C1528F"/>
    <w:rsid w:val="00C157D5"/>
    <w:rsid w:val="00C16349"/>
    <w:rsid w:val="00C16473"/>
    <w:rsid w:val="00C1692A"/>
    <w:rsid w:val="00C1765A"/>
    <w:rsid w:val="00C179A3"/>
    <w:rsid w:val="00C2001F"/>
    <w:rsid w:val="00C20460"/>
    <w:rsid w:val="00C20B8F"/>
    <w:rsid w:val="00C21780"/>
    <w:rsid w:val="00C22304"/>
    <w:rsid w:val="00C229B5"/>
    <w:rsid w:val="00C22A7A"/>
    <w:rsid w:val="00C22D5D"/>
    <w:rsid w:val="00C24103"/>
    <w:rsid w:val="00C244A0"/>
    <w:rsid w:val="00C259A1"/>
    <w:rsid w:val="00C2700B"/>
    <w:rsid w:val="00C275F9"/>
    <w:rsid w:val="00C30665"/>
    <w:rsid w:val="00C30785"/>
    <w:rsid w:val="00C314C1"/>
    <w:rsid w:val="00C31BA7"/>
    <w:rsid w:val="00C3204B"/>
    <w:rsid w:val="00C320A0"/>
    <w:rsid w:val="00C3214E"/>
    <w:rsid w:val="00C32320"/>
    <w:rsid w:val="00C33800"/>
    <w:rsid w:val="00C34322"/>
    <w:rsid w:val="00C350C0"/>
    <w:rsid w:val="00C350D2"/>
    <w:rsid w:val="00C35277"/>
    <w:rsid w:val="00C352A6"/>
    <w:rsid w:val="00C35586"/>
    <w:rsid w:val="00C37312"/>
    <w:rsid w:val="00C377C2"/>
    <w:rsid w:val="00C37EBB"/>
    <w:rsid w:val="00C40228"/>
    <w:rsid w:val="00C405CE"/>
    <w:rsid w:val="00C40972"/>
    <w:rsid w:val="00C40AB7"/>
    <w:rsid w:val="00C4144F"/>
    <w:rsid w:val="00C414BE"/>
    <w:rsid w:val="00C43F23"/>
    <w:rsid w:val="00C451DA"/>
    <w:rsid w:val="00C46F16"/>
    <w:rsid w:val="00C47040"/>
    <w:rsid w:val="00C47E3C"/>
    <w:rsid w:val="00C50822"/>
    <w:rsid w:val="00C50962"/>
    <w:rsid w:val="00C509E6"/>
    <w:rsid w:val="00C524C0"/>
    <w:rsid w:val="00C53148"/>
    <w:rsid w:val="00C5324C"/>
    <w:rsid w:val="00C5515A"/>
    <w:rsid w:val="00C56395"/>
    <w:rsid w:val="00C5682D"/>
    <w:rsid w:val="00C600D0"/>
    <w:rsid w:val="00C60230"/>
    <w:rsid w:val="00C60541"/>
    <w:rsid w:val="00C60D44"/>
    <w:rsid w:val="00C61361"/>
    <w:rsid w:val="00C613E7"/>
    <w:rsid w:val="00C617E4"/>
    <w:rsid w:val="00C619A6"/>
    <w:rsid w:val="00C62995"/>
    <w:rsid w:val="00C63DFF"/>
    <w:rsid w:val="00C6425D"/>
    <w:rsid w:val="00C648BE"/>
    <w:rsid w:val="00C64A4D"/>
    <w:rsid w:val="00C64AAD"/>
    <w:rsid w:val="00C64AFD"/>
    <w:rsid w:val="00C64ECD"/>
    <w:rsid w:val="00C65028"/>
    <w:rsid w:val="00C654D0"/>
    <w:rsid w:val="00C65E6A"/>
    <w:rsid w:val="00C66EB4"/>
    <w:rsid w:val="00C702B9"/>
    <w:rsid w:val="00C70F40"/>
    <w:rsid w:val="00C71B37"/>
    <w:rsid w:val="00C72D0A"/>
    <w:rsid w:val="00C73FCF"/>
    <w:rsid w:val="00C74389"/>
    <w:rsid w:val="00C75317"/>
    <w:rsid w:val="00C75612"/>
    <w:rsid w:val="00C75A23"/>
    <w:rsid w:val="00C768A1"/>
    <w:rsid w:val="00C80A89"/>
    <w:rsid w:val="00C80B1D"/>
    <w:rsid w:val="00C80C74"/>
    <w:rsid w:val="00C80D16"/>
    <w:rsid w:val="00C8160A"/>
    <w:rsid w:val="00C81923"/>
    <w:rsid w:val="00C81BD9"/>
    <w:rsid w:val="00C82BF0"/>
    <w:rsid w:val="00C82FB9"/>
    <w:rsid w:val="00C835CD"/>
    <w:rsid w:val="00C85333"/>
    <w:rsid w:val="00C8741D"/>
    <w:rsid w:val="00C92D3C"/>
    <w:rsid w:val="00C9363D"/>
    <w:rsid w:val="00C93772"/>
    <w:rsid w:val="00C94B3B"/>
    <w:rsid w:val="00C96708"/>
    <w:rsid w:val="00C97346"/>
    <w:rsid w:val="00C97B38"/>
    <w:rsid w:val="00C97C76"/>
    <w:rsid w:val="00CA05F9"/>
    <w:rsid w:val="00CA0ACC"/>
    <w:rsid w:val="00CA0AEB"/>
    <w:rsid w:val="00CA124E"/>
    <w:rsid w:val="00CA2299"/>
    <w:rsid w:val="00CA256C"/>
    <w:rsid w:val="00CA336D"/>
    <w:rsid w:val="00CA42AE"/>
    <w:rsid w:val="00CA4B2A"/>
    <w:rsid w:val="00CA58C5"/>
    <w:rsid w:val="00CA58C9"/>
    <w:rsid w:val="00CA5B30"/>
    <w:rsid w:val="00CA61CB"/>
    <w:rsid w:val="00CA65A6"/>
    <w:rsid w:val="00CA6F66"/>
    <w:rsid w:val="00CA74C4"/>
    <w:rsid w:val="00CA7742"/>
    <w:rsid w:val="00CB04FE"/>
    <w:rsid w:val="00CB0E82"/>
    <w:rsid w:val="00CB1074"/>
    <w:rsid w:val="00CB335F"/>
    <w:rsid w:val="00CB3C01"/>
    <w:rsid w:val="00CB4232"/>
    <w:rsid w:val="00CB5A07"/>
    <w:rsid w:val="00CB5F44"/>
    <w:rsid w:val="00CB685A"/>
    <w:rsid w:val="00CB6B75"/>
    <w:rsid w:val="00CB729E"/>
    <w:rsid w:val="00CB741D"/>
    <w:rsid w:val="00CC1470"/>
    <w:rsid w:val="00CC23C1"/>
    <w:rsid w:val="00CC23F3"/>
    <w:rsid w:val="00CC3B6B"/>
    <w:rsid w:val="00CC4008"/>
    <w:rsid w:val="00CC5C5B"/>
    <w:rsid w:val="00CC75DE"/>
    <w:rsid w:val="00CC7876"/>
    <w:rsid w:val="00CD0A4D"/>
    <w:rsid w:val="00CD0EFE"/>
    <w:rsid w:val="00CD156A"/>
    <w:rsid w:val="00CD16C9"/>
    <w:rsid w:val="00CD1FB7"/>
    <w:rsid w:val="00CD24A0"/>
    <w:rsid w:val="00CD3A51"/>
    <w:rsid w:val="00CD4BAE"/>
    <w:rsid w:val="00CD53F2"/>
    <w:rsid w:val="00CD5C68"/>
    <w:rsid w:val="00CE0F27"/>
    <w:rsid w:val="00CE1709"/>
    <w:rsid w:val="00CE1F00"/>
    <w:rsid w:val="00CE23D6"/>
    <w:rsid w:val="00CE27F3"/>
    <w:rsid w:val="00CE2F23"/>
    <w:rsid w:val="00CE3110"/>
    <w:rsid w:val="00CE3396"/>
    <w:rsid w:val="00CE623A"/>
    <w:rsid w:val="00CE6F33"/>
    <w:rsid w:val="00CE6F6D"/>
    <w:rsid w:val="00CE7C26"/>
    <w:rsid w:val="00CF06F3"/>
    <w:rsid w:val="00CF09A4"/>
    <w:rsid w:val="00CF0EB0"/>
    <w:rsid w:val="00CF1B47"/>
    <w:rsid w:val="00CF21B5"/>
    <w:rsid w:val="00CF355B"/>
    <w:rsid w:val="00CF3A57"/>
    <w:rsid w:val="00CF3EF9"/>
    <w:rsid w:val="00CF4C18"/>
    <w:rsid w:val="00CF53CD"/>
    <w:rsid w:val="00CF6749"/>
    <w:rsid w:val="00CF6D54"/>
    <w:rsid w:val="00CF72C8"/>
    <w:rsid w:val="00CF7AAC"/>
    <w:rsid w:val="00D0207E"/>
    <w:rsid w:val="00D0230B"/>
    <w:rsid w:val="00D02757"/>
    <w:rsid w:val="00D02E70"/>
    <w:rsid w:val="00D03B9A"/>
    <w:rsid w:val="00D03F90"/>
    <w:rsid w:val="00D0401A"/>
    <w:rsid w:val="00D0425D"/>
    <w:rsid w:val="00D042DE"/>
    <w:rsid w:val="00D05E44"/>
    <w:rsid w:val="00D05EB1"/>
    <w:rsid w:val="00D07266"/>
    <w:rsid w:val="00D07294"/>
    <w:rsid w:val="00D0738D"/>
    <w:rsid w:val="00D1368D"/>
    <w:rsid w:val="00D13B58"/>
    <w:rsid w:val="00D144E7"/>
    <w:rsid w:val="00D1517A"/>
    <w:rsid w:val="00D177CA"/>
    <w:rsid w:val="00D200D4"/>
    <w:rsid w:val="00D209D0"/>
    <w:rsid w:val="00D21928"/>
    <w:rsid w:val="00D21969"/>
    <w:rsid w:val="00D21BC0"/>
    <w:rsid w:val="00D21BC7"/>
    <w:rsid w:val="00D21E37"/>
    <w:rsid w:val="00D21F93"/>
    <w:rsid w:val="00D2267A"/>
    <w:rsid w:val="00D233DB"/>
    <w:rsid w:val="00D2391F"/>
    <w:rsid w:val="00D24CCA"/>
    <w:rsid w:val="00D25C34"/>
    <w:rsid w:val="00D2779F"/>
    <w:rsid w:val="00D27D34"/>
    <w:rsid w:val="00D27D65"/>
    <w:rsid w:val="00D3071D"/>
    <w:rsid w:val="00D30922"/>
    <w:rsid w:val="00D31DDF"/>
    <w:rsid w:val="00D327DA"/>
    <w:rsid w:val="00D3430B"/>
    <w:rsid w:val="00D34DAB"/>
    <w:rsid w:val="00D35E10"/>
    <w:rsid w:val="00D36E62"/>
    <w:rsid w:val="00D37A90"/>
    <w:rsid w:val="00D37C8A"/>
    <w:rsid w:val="00D40184"/>
    <w:rsid w:val="00D40379"/>
    <w:rsid w:val="00D404F0"/>
    <w:rsid w:val="00D4087D"/>
    <w:rsid w:val="00D4138D"/>
    <w:rsid w:val="00D41DCE"/>
    <w:rsid w:val="00D4206F"/>
    <w:rsid w:val="00D425A6"/>
    <w:rsid w:val="00D433AA"/>
    <w:rsid w:val="00D460DF"/>
    <w:rsid w:val="00D4627D"/>
    <w:rsid w:val="00D469E9"/>
    <w:rsid w:val="00D4718F"/>
    <w:rsid w:val="00D475EE"/>
    <w:rsid w:val="00D51AE1"/>
    <w:rsid w:val="00D52A8D"/>
    <w:rsid w:val="00D52C5E"/>
    <w:rsid w:val="00D53A2D"/>
    <w:rsid w:val="00D5597A"/>
    <w:rsid w:val="00D55E9F"/>
    <w:rsid w:val="00D56114"/>
    <w:rsid w:val="00D5668A"/>
    <w:rsid w:val="00D56CC5"/>
    <w:rsid w:val="00D57890"/>
    <w:rsid w:val="00D57928"/>
    <w:rsid w:val="00D57CD7"/>
    <w:rsid w:val="00D60018"/>
    <w:rsid w:val="00D612A8"/>
    <w:rsid w:val="00D625BF"/>
    <w:rsid w:val="00D62DD7"/>
    <w:rsid w:val="00D62E09"/>
    <w:rsid w:val="00D634A3"/>
    <w:rsid w:val="00D6364E"/>
    <w:rsid w:val="00D637C9"/>
    <w:rsid w:val="00D6632D"/>
    <w:rsid w:val="00D66D3E"/>
    <w:rsid w:val="00D66DF6"/>
    <w:rsid w:val="00D67823"/>
    <w:rsid w:val="00D715BA"/>
    <w:rsid w:val="00D72208"/>
    <w:rsid w:val="00D72D28"/>
    <w:rsid w:val="00D73233"/>
    <w:rsid w:val="00D737BB"/>
    <w:rsid w:val="00D73F07"/>
    <w:rsid w:val="00D745A8"/>
    <w:rsid w:val="00D747CE"/>
    <w:rsid w:val="00D751F6"/>
    <w:rsid w:val="00D75C41"/>
    <w:rsid w:val="00D76696"/>
    <w:rsid w:val="00D76775"/>
    <w:rsid w:val="00D76FB2"/>
    <w:rsid w:val="00D770E9"/>
    <w:rsid w:val="00D80D62"/>
    <w:rsid w:val="00D832EF"/>
    <w:rsid w:val="00D84DF8"/>
    <w:rsid w:val="00D85378"/>
    <w:rsid w:val="00D8564F"/>
    <w:rsid w:val="00D85A01"/>
    <w:rsid w:val="00D85C0D"/>
    <w:rsid w:val="00D860CE"/>
    <w:rsid w:val="00D87729"/>
    <w:rsid w:val="00D87E01"/>
    <w:rsid w:val="00D902D3"/>
    <w:rsid w:val="00D90780"/>
    <w:rsid w:val="00D9120D"/>
    <w:rsid w:val="00D91AAE"/>
    <w:rsid w:val="00D9228A"/>
    <w:rsid w:val="00D92B8A"/>
    <w:rsid w:val="00D9312D"/>
    <w:rsid w:val="00D947AF"/>
    <w:rsid w:val="00D952FF"/>
    <w:rsid w:val="00D95AF5"/>
    <w:rsid w:val="00D96D74"/>
    <w:rsid w:val="00D9773C"/>
    <w:rsid w:val="00D97830"/>
    <w:rsid w:val="00DA0E3B"/>
    <w:rsid w:val="00DA103C"/>
    <w:rsid w:val="00DA11C4"/>
    <w:rsid w:val="00DA154A"/>
    <w:rsid w:val="00DA174E"/>
    <w:rsid w:val="00DA1D61"/>
    <w:rsid w:val="00DA4056"/>
    <w:rsid w:val="00DA55DB"/>
    <w:rsid w:val="00DA579E"/>
    <w:rsid w:val="00DA5CA8"/>
    <w:rsid w:val="00DA708B"/>
    <w:rsid w:val="00DA7793"/>
    <w:rsid w:val="00DB06A7"/>
    <w:rsid w:val="00DB0905"/>
    <w:rsid w:val="00DB096D"/>
    <w:rsid w:val="00DB130E"/>
    <w:rsid w:val="00DB2067"/>
    <w:rsid w:val="00DB329D"/>
    <w:rsid w:val="00DB4266"/>
    <w:rsid w:val="00DB54C3"/>
    <w:rsid w:val="00DC021D"/>
    <w:rsid w:val="00DC0AEC"/>
    <w:rsid w:val="00DC18A2"/>
    <w:rsid w:val="00DC1DDA"/>
    <w:rsid w:val="00DC395C"/>
    <w:rsid w:val="00DC5678"/>
    <w:rsid w:val="00DC568F"/>
    <w:rsid w:val="00DC7F75"/>
    <w:rsid w:val="00DD1B39"/>
    <w:rsid w:val="00DD3C92"/>
    <w:rsid w:val="00DD4170"/>
    <w:rsid w:val="00DD4A13"/>
    <w:rsid w:val="00DD4FB4"/>
    <w:rsid w:val="00DD54A2"/>
    <w:rsid w:val="00DD557B"/>
    <w:rsid w:val="00DD6854"/>
    <w:rsid w:val="00DE0355"/>
    <w:rsid w:val="00DE1019"/>
    <w:rsid w:val="00DE1D70"/>
    <w:rsid w:val="00DE2131"/>
    <w:rsid w:val="00DE2195"/>
    <w:rsid w:val="00DE219A"/>
    <w:rsid w:val="00DE3581"/>
    <w:rsid w:val="00DE36B9"/>
    <w:rsid w:val="00DE381E"/>
    <w:rsid w:val="00DE6BAC"/>
    <w:rsid w:val="00DE70E8"/>
    <w:rsid w:val="00DE790D"/>
    <w:rsid w:val="00DE7C38"/>
    <w:rsid w:val="00DE7E4C"/>
    <w:rsid w:val="00DF1589"/>
    <w:rsid w:val="00DF1A78"/>
    <w:rsid w:val="00DF1FFA"/>
    <w:rsid w:val="00DF2E07"/>
    <w:rsid w:val="00DF3971"/>
    <w:rsid w:val="00DF4BF9"/>
    <w:rsid w:val="00DF628E"/>
    <w:rsid w:val="00DF652A"/>
    <w:rsid w:val="00DF663B"/>
    <w:rsid w:val="00DF755C"/>
    <w:rsid w:val="00E00E8B"/>
    <w:rsid w:val="00E01E6A"/>
    <w:rsid w:val="00E0233F"/>
    <w:rsid w:val="00E04A36"/>
    <w:rsid w:val="00E06DE6"/>
    <w:rsid w:val="00E07632"/>
    <w:rsid w:val="00E07640"/>
    <w:rsid w:val="00E0788D"/>
    <w:rsid w:val="00E07EC0"/>
    <w:rsid w:val="00E11486"/>
    <w:rsid w:val="00E11567"/>
    <w:rsid w:val="00E1165C"/>
    <w:rsid w:val="00E122F2"/>
    <w:rsid w:val="00E12BBE"/>
    <w:rsid w:val="00E1321E"/>
    <w:rsid w:val="00E138EF"/>
    <w:rsid w:val="00E13C90"/>
    <w:rsid w:val="00E14B0F"/>
    <w:rsid w:val="00E151A8"/>
    <w:rsid w:val="00E155E1"/>
    <w:rsid w:val="00E16637"/>
    <w:rsid w:val="00E1727D"/>
    <w:rsid w:val="00E20220"/>
    <w:rsid w:val="00E20D24"/>
    <w:rsid w:val="00E20EDA"/>
    <w:rsid w:val="00E2105C"/>
    <w:rsid w:val="00E21C85"/>
    <w:rsid w:val="00E22213"/>
    <w:rsid w:val="00E234AD"/>
    <w:rsid w:val="00E246BE"/>
    <w:rsid w:val="00E24B2C"/>
    <w:rsid w:val="00E24D63"/>
    <w:rsid w:val="00E25111"/>
    <w:rsid w:val="00E25EFE"/>
    <w:rsid w:val="00E262A0"/>
    <w:rsid w:val="00E27C17"/>
    <w:rsid w:val="00E307C4"/>
    <w:rsid w:val="00E3098C"/>
    <w:rsid w:val="00E32A68"/>
    <w:rsid w:val="00E32B6C"/>
    <w:rsid w:val="00E32F88"/>
    <w:rsid w:val="00E3376A"/>
    <w:rsid w:val="00E33AFA"/>
    <w:rsid w:val="00E33FB8"/>
    <w:rsid w:val="00E3524D"/>
    <w:rsid w:val="00E35F14"/>
    <w:rsid w:val="00E36313"/>
    <w:rsid w:val="00E36553"/>
    <w:rsid w:val="00E36B58"/>
    <w:rsid w:val="00E370D4"/>
    <w:rsid w:val="00E37B2C"/>
    <w:rsid w:val="00E413B8"/>
    <w:rsid w:val="00E424A5"/>
    <w:rsid w:val="00E4257F"/>
    <w:rsid w:val="00E42A34"/>
    <w:rsid w:val="00E42CE6"/>
    <w:rsid w:val="00E43D25"/>
    <w:rsid w:val="00E44A05"/>
    <w:rsid w:val="00E450C3"/>
    <w:rsid w:val="00E46076"/>
    <w:rsid w:val="00E4768D"/>
    <w:rsid w:val="00E5063A"/>
    <w:rsid w:val="00E50D41"/>
    <w:rsid w:val="00E51B20"/>
    <w:rsid w:val="00E52123"/>
    <w:rsid w:val="00E5296E"/>
    <w:rsid w:val="00E53B4B"/>
    <w:rsid w:val="00E54061"/>
    <w:rsid w:val="00E54768"/>
    <w:rsid w:val="00E55406"/>
    <w:rsid w:val="00E556F4"/>
    <w:rsid w:val="00E55D4D"/>
    <w:rsid w:val="00E57593"/>
    <w:rsid w:val="00E57F07"/>
    <w:rsid w:val="00E603A8"/>
    <w:rsid w:val="00E603AC"/>
    <w:rsid w:val="00E61FE0"/>
    <w:rsid w:val="00E631F6"/>
    <w:rsid w:val="00E63A44"/>
    <w:rsid w:val="00E63BA3"/>
    <w:rsid w:val="00E651C6"/>
    <w:rsid w:val="00E65CA5"/>
    <w:rsid w:val="00E660B7"/>
    <w:rsid w:val="00E70002"/>
    <w:rsid w:val="00E70036"/>
    <w:rsid w:val="00E70193"/>
    <w:rsid w:val="00E70B8A"/>
    <w:rsid w:val="00E70CB5"/>
    <w:rsid w:val="00E711FB"/>
    <w:rsid w:val="00E714F8"/>
    <w:rsid w:val="00E71CB7"/>
    <w:rsid w:val="00E71E81"/>
    <w:rsid w:val="00E722AC"/>
    <w:rsid w:val="00E72448"/>
    <w:rsid w:val="00E73AA9"/>
    <w:rsid w:val="00E73DC8"/>
    <w:rsid w:val="00E74613"/>
    <w:rsid w:val="00E7485F"/>
    <w:rsid w:val="00E76A31"/>
    <w:rsid w:val="00E76AB1"/>
    <w:rsid w:val="00E77BE7"/>
    <w:rsid w:val="00E804E0"/>
    <w:rsid w:val="00E8145A"/>
    <w:rsid w:val="00E81A87"/>
    <w:rsid w:val="00E82DD1"/>
    <w:rsid w:val="00E834AC"/>
    <w:rsid w:val="00E8358E"/>
    <w:rsid w:val="00E839BB"/>
    <w:rsid w:val="00E84FF7"/>
    <w:rsid w:val="00E85633"/>
    <w:rsid w:val="00E858C2"/>
    <w:rsid w:val="00E86FBB"/>
    <w:rsid w:val="00E91470"/>
    <w:rsid w:val="00E93E22"/>
    <w:rsid w:val="00E93FDF"/>
    <w:rsid w:val="00E94AC6"/>
    <w:rsid w:val="00E94DAB"/>
    <w:rsid w:val="00E95A4E"/>
    <w:rsid w:val="00E96077"/>
    <w:rsid w:val="00EA0A6F"/>
    <w:rsid w:val="00EA1194"/>
    <w:rsid w:val="00EA11B7"/>
    <w:rsid w:val="00EA3152"/>
    <w:rsid w:val="00EA3B0B"/>
    <w:rsid w:val="00EA42D8"/>
    <w:rsid w:val="00EA47E0"/>
    <w:rsid w:val="00EA4BA0"/>
    <w:rsid w:val="00EA4BF3"/>
    <w:rsid w:val="00EA5967"/>
    <w:rsid w:val="00EA66B9"/>
    <w:rsid w:val="00EA6F1D"/>
    <w:rsid w:val="00EB0F8D"/>
    <w:rsid w:val="00EB132F"/>
    <w:rsid w:val="00EB1BF0"/>
    <w:rsid w:val="00EB245B"/>
    <w:rsid w:val="00EB32D8"/>
    <w:rsid w:val="00EB3F57"/>
    <w:rsid w:val="00EB4052"/>
    <w:rsid w:val="00EB5F4E"/>
    <w:rsid w:val="00EB793A"/>
    <w:rsid w:val="00EB7B9F"/>
    <w:rsid w:val="00EC00A8"/>
    <w:rsid w:val="00EC05D8"/>
    <w:rsid w:val="00EC0EE0"/>
    <w:rsid w:val="00EC21E2"/>
    <w:rsid w:val="00EC3B19"/>
    <w:rsid w:val="00EC41D4"/>
    <w:rsid w:val="00EC4206"/>
    <w:rsid w:val="00EC43EB"/>
    <w:rsid w:val="00EC4547"/>
    <w:rsid w:val="00EC493E"/>
    <w:rsid w:val="00EC552F"/>
    <w:rsid w:val="00EC5FAC"/>
    <w:rsid w:val="00EC717C"/>
    <w:rsid w:val="00EC772A"/>
    <w:rsid w:val="00EC7DC2"/>
    <w:rsid w:val="00ED178D"/>
    <w:rsid w:val="00ED24CD"/>
    <w:rsid w:val="00ED2F2D"/>
    <w:rsid w:val="00ED3000"/>
    <w:rsid w:val="00ED5B00"/>
    <w:rsid w:val="00ED6F03"/>
    <w:rsid w:val="00ED7017"/>
    <w:rsid w:val="00ED7819"/>
    <w:rsid w:val="00EE1031"/>
    <w:rsid w:val="00EE1E9A"/>
    <w:rsid w:val="00EE1F10"/>
    <w:rsid w:val="00EE34DD"/>
    <w:rsid w:val="00EE3E56"/>
    <w:rsid w:val="00EE4746"/>
    <w:rsid w:val="00EE481A"/>
    <w:rsid w:val="00EE4879"/>
    <w:rsid w:val="00EE5117"/>
    <w:rsid w:val="00EE570D"/>
    <w:rsid w:val="00EE5C4F"/>
    <w:rsid w:val="00EE7E0C"/>
    <w:rsid w:val="00EE7FA1"/>
    <w:rsid w:val="00EF0963"/>
    <w:rsid w:val="00EF2CB7"/>
    <w:rsid w:val="00EF2EDA"/>
    <w:rsid w:val="00EF3E00"/>
    <w:rsid w:val="00EF474F"/>
    <w:rsid w:val="00EF5EF1"/>
    <w:rsid w:val="00EF5FA4"/>
    <w:rsid w:val="00EF787B"/>
    <w:rsid w:val="00F00EC1"/>
    <w:rsid w:val="00F01CBB"/>
    <w:rsid w:val="00F044FD"/>
    <w:rsid w:val="00F0487E"/>
    <w:rsid w:val="00F04E9E"/>
    <w:rsid w:val="00F04FBC"/>
    <w:rsid w:val="00F0594F"/>
    <w:rsid w:val="00F05D95"/>
    <w:rsid w:val="00F06550"/>
    <w:rsid w:val="00F06C77"/>
    <w:rsid w:val="00F10798"/>
    <w:rsid w:val="00F11589"/>
    <w:rsid w:val="00F12460"/>
    <w:rsid w:val="00F124D1"/>
    <w:rsid w:val="00F12823"/>
    <w:rsid w:val="00F13023"/>
    <w:rsid w:val="00F13082"/>
    <w:rsid w:val="00F132BD"/>
    <w:rsid w:val="00F14154"/>
    <w:rsid w:val="00F171D2"/>
    <w:rsid w:val="00F17D3F"/>
    <w:rsid w:val="00F20E96"/>
    <w:rsid w:val="00F22697"/>
    <w:rsid w:val="00F22823"/>
    <w:rsid w:val="00F239EA"/>
    <w:rsid w:val="00F23EC4"/>
    <w:rsid w:val="00F246BE"/>
    <w:rsid w:val="00F2698F"/>
    <w:rsid w:val="00F269CF"/>
    <w:rsid w:val="00F2746F"/>
    <w:rsid w:val="00F30031"/>
    <w:rsid w:val="00F300B3"/>
    <w:rsid w:val="00F30C52"/>
    <w:rsid w:val="00F30CA2"/>
    <w:rsid w:val="00F31AAE"/>
    <w:rsid w:val="00F32621"/>
    <w:rsid w:val="00F32CBE"/>
    <w:rsid w:val="00F34C7B"/>
    <w:rsid w:val="00F357B8"/>
    <w:rsid w:val="00F35FCD"/>
    <w:rsid w:val="00F3608B"/>
    <w:rsid w:val="00F37C0B"/>
    <w:rsid w:val="00F41621"/>
    <w:rsid w:val="00F41CAC"/>
    <w:rsid w:val="00F42A46"/>
    <w:rsid w:val="00F436AD"/>
    <w:rsid w:val="00F439C4"/>
    <w:rsid w:val="00F44A41"/>
    <w:rsid w:val="00F459F5"/>
    <w:rsid w:val="00F45BF0"/>
    <w:rsid w:val="00F45F0B"/>
    <w:rsid w:val="00F46162"/>
    <w:rsid w:val="00F46411"/>
    <w:rsid w:val="00F4641F"/>
    <w:rsid w:val="00F469AC"/>
    <w:rsid w:val="00F46EF0"/>
    <w:rsid w:val="00F5046F"/>
    <w:rsid w:val="00F5083E"/>
    <w:rsid w:val="00F51716"/>
    <w:rsid w:val="00F52C71"/>
    <w:rsid w:val="00F5467D"/>
    <w:rsid w:val="00F548BD"/>
    <w:rsid w:val="00F5596B"/>
    <w:rsid w:val="00F55D50"/>
    <w:rsid w:val="00F562EA"/>
    <w:rsid w:val="00F579BB"/>
    <w:rsid w:val="00F57BC6"/>
    <w:rsid w:val="00F617C1"/>
    <w:rsid w:val="00F62511"/>
    <w:rsid w:val="00F62765"/>
    <w:rsid w:val="00F62C3D"/>
    <w:rsid w:val="00F63210"/>
    <w:rsid w:val="00F63BDF"/>
    <w:rsid w:val="00F63CDD"/>
    <w:rsid w:val="00F663A1"/>
    <w:rsid w:val="00F6682C"/>
    <w:rsid w:val="00F66E0D"/>
    <w:rsid w:val="00F66EB0"/>
    <w:rsid w:val="00F67AA3"/>
    <w:rsid w:val="00F67AD5"/>
    <w:rsid w:val="00F67DCF"/>
    <w:rsid w:val="00F70861"/>
    <w:rsid w:val="00F721B3"/>
    <w:rsid w:val="00F7256F"/>
    <w:rsid w:val="00F727E7"/>
    <w:rsid w:val="00F745F7"/>
    <w:rsid w:val="00F74BAB"/>
    <w:rsid w:val="00F74F0A"/>
    <w:rsid w:val="00F755C0"/>
    <w:rsid w:val="00F75A43"/>
    <w:rsid w:val="00F75C8C"/>
    <w:rsid w:val="00F763CA"/>
    <w:rsid w:val="00F777EF"/>
    <w:rsid w:val="00F8073F"/>
    <w:rsid w:val="00F80FDB"/>
    <w:rsid w:val="00F8127F"/>
    <w:rsid w:val="00F81641"/>
    <w:rsid w:val="00F81FAB"/>
    <w:rsid w:val="00F82FC2"/>
    <w:rsid w:val="00F833F4"/>
    <w:rsid w:val="00F835C7"/>
    <w:rsid w:val="00F837D1"/>
    <w:rsid w:val="00F83AC4"/>
    <w:rsid w:val="00F84F4C"/>
    <w:rsid w:val="00F86439"/>
    <w:rsid w:val="00F87631"/>
    <w:rsid w:val="00F9029E"/>
    <w:rsid w:val="00F90754"/>
    <w:rsid w:val="00F90BB2"/>
    <w:rsid w:val="00F90BCB"/>
    <w:rsid w:val="00F915E9"/>
    <w:rsid w:val="00F9256D"/>
    <w:rsid w:val="00F928CF"/>
    <w:rsid w:val="00F92DDC"/>
    <w:rsid w:val="00F93F05"/>
    <w:rsid w:val="00F9443B"/>
    <w:rsid w:val="00F94749"/>
    <w:rsid w:val="00F9503E"/>
    <w:rsid w:val="00F9696B"/>
    <w:rsid w:val="00F96B47"/>
    <w:rsid w:val="00F96F1A"/>
    <w:rsid w:val="00FA1898"/>
    <w:rsid w:val="00FA1D88"/>
    <w:rsid w:val="00FA2382"/>
    <w:rsid w:val="00FA2D01"/>
    <w:rsid w:val="00FA36CD"/>
    <w:rsid w:val="00FA37CC"/>
    <w:rsid w:val="00FA3B00"/>
    <w:rsid w:val="00FA73D4"/>
    <w:rsid w:val="00FB0537"/>
    <w:rsid w:val="00FB0D31"/>
    <w:rsid w:val="00FB2C4B"/>
    <w:rsid w:val="00FB3BBE"/>
    <w:rsid w:val="00FB3F9A"/>
    <w:rsid w:val="00FB554F"/>
    <w:rsid w:val="00FB5BD5"/>
    <w:rsid w:val="00FB6A07"/>
    <w:rsid w:val="00FB6C41"/>
    <w:rsid w:val="00FB761D"/>
    <w:rsid w:val="00FC046B"/>
    <w:rsid w:val="00FC0677"/>
    <w:rsid w:val="00FC0C06"/>
    <w:rsid w:val="00FC2C24"/>
    <w:rsid w:val="00FC33E4"/>
    <w:rsid w:val="00FC354F"/>
    <w:rsid w:val="00FC42F6"/>
    <w:rsid w:val="00FC48D9"/>
    <w:rsid w:val="00FC581E"/>
    <w:rsid w:val="00FD0E8B"/>
    <w:rsid w:val="00FD17A7"/>
    <w:rsid w:val="00FD298A"/>
    <w:rsid w:val="00FD33D1"/>
    <w:rsid w:val="00FD38FB"/>
    <w:rsid w:val="00FD3A78"/>
    <w:rsid w:val="00FD3ABF"/>
    <w:rsid w:val="00FD420A"/>
    <w:rsid w:val="00FD55E7"/>
    <w:rsid w:val="00FD57CD"/>
    <w:rsid w:val="00FD6073"/>
    <w:rsid w:val="00FD612C"/>
    <w:rsid w:val="00FD7142"/>
    <w:rsid w:val="00FD7286"/>
    <w:rsid w:val="00FD7528"/>
    <w:rsid w:val="00FD78B3"/>
    <w:rsid w:val="00FE00E6"/>
    <w:rsid w:val="00FE066E"/>
    <w:rsid w:val="00FE162A"/>
    <w:rsid w:val="00FE255B"/>
    <w:rsid w:val="00FE3259"/>
    <w:rsid w:val="00FE4337"/>
    <w:rsid w:val="00FE4428"/>
    <w:rsid w:val="00FE5286"/>
    <w:rsid w:val="00FE65EB"/>
    <w:rsid w:val="00FE6816"/>
    <w:rsid w:val="00FE7FDF"/>
    <w:rsid w:val="00FF0926"/>
    <w:rsid w:val="00FF11AA"/>
    <w:rsid w:val="00FF1552"/>
    <w:rsid w:val="00FF30F0"/>
    <w:rsid w:val="00FF31C3"/>
    <w:rsid w:val="00FF45A2"/>
    <w:rsid w:val="00FF4FE5"/>
    <w:rsid w:val="00FF5620"/>
    <w:rsid w:val="00FF57F9"/>
    <w:rsid w:val="00FF6822"/>
    <w:rsid w:val="00FF71BB"/>
    <w:rsid w:val="00FF7642"/>
    <w:rsid w:val="00FF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D0FF1"/>
  <w15:docId w15:val="{5C8B033C-ABE7-42B3-8116-8B5F595E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04"/>
    <w:pPr>
      <w:spacing w:after="0" w:line="288" w:lineRule="auto"/>
    </w:pPr>
    <w:rPr>
      <w:rFonts w:ascii="Arial" w:hAnsi="Arial" w:cs="Arial"/>
      <w:sz w:val="18"/>
      <w:szCs w:val="18"/>
    </w:rPr>
  </w:style>
  <w:style w:type="paragraph" w:styleId="Heading1">
    <w:name w:val="heading 1"/>
    <w:basedOn w:val="Normal"/>
    <w:next w:val="Normal"/>
    <w:link w:val="Heading1Char"/>
    <w:uiPriority w:val="9"/>
    <w:qFormat/>
    <w:rsid w:val="003D4676"/>
    <w:pPr>
      <w:keepNext/>
      <w:keepLines/>
      <w:numPr>
        <w:numId w:val="30"/>
      </w:numPr>
      <w:outlineLvl w:val="0"/>
    </w:pPr>
    <w:rPr>
      <w:rFonts w:eastAsiaTheme="majorEastAsia" w:cstheme="majorBidi"/>
      <w:b/>
      <w:bCs/>
      <w:iCs/>
      <w:color w:val="0070C0"/>
      <w:sz w:val="26"/>
      <w:szCs w:val="26"/>
    </w:rPr>
  </w:style>
  <w:style w:type="paragraph" w:styleId="Heading2">
    <w:name w:val="heading 2"/>
    <w:basedOn w:val="Normal"/>
    <w:next w:val="Normal"/>
    <w:link w:val="Heading2Char"/>
    <w:uiPriority w:val="9"/>
    <w:unhideWhenUsed/>
    <w:qFormat/>
    <w:rsid w:val="00C96708"/>
    <w:pPr>
      <w:keepNext/>
      <w:keepLines/>
      <w:numPr>
        <w:ilvl w:val="1"/>
        <w:numId w:val="30"/>
      </w:numPr>
      <w:ind w:left="567"/>
      <w:outlineLvl w:val="1"/>
    </w:pPr>
    <w:rPr>
      <w:rFonts w:eastAsiaTheme="majorEastAsia" w:cstheme="majorBidi"/>
      <w:iCs/>
      <w:color w:val="0070C0"/>
      <w:sz w:val="22"/>
      <w:szCs w:val="22"/>
    </w:rPr>
  </w:style>
  <w:style w:type="paragraph" w:styleId="Heading3">
    <w:name w:val="heading 3"/>
    <w:basedOn w:val="Normal"/>
    <w:next w:val="Normal"/>
    <w:link w:val="Heading3Char"/>
    <w:uiPriority w:val="9"/>
    <w:unhideWhenUsed/>
    <w:qFormat/>
    <w:rsid w:val="00096B2B"/>
    <w:pPr>
      <w:keepNext/>
      <w:keepLines/>
      <w:numPr>
        <w:ilvl w:val="2"/>
        <w:numId w:val="30"/>
      </w:numPr>
      <w:spacing w:before="40"/>
      <w:outlineLvl w:val="2"/>
    </w:pPr>
    <w:rPr>
      <w:rFonts w:eastAsiaTheme="majorEastAsia"/>
      <w:b/>
      <w:bCs/>
      <w:color w:val="0070C0"/>
    </w:rPr>
  </w:style>
  <w:style w:type="paragraph" w:styleId="Heading4">
    <w:name w:val="heading 4"/>
    <w:basedOn w:val="Normal"/>
    <w:next w:val="Normal"/>
    <w:link w:val="Heading4Char"/>
    <w:unhideWhenUsed/>
    <w:rsid w:val="00714F5C"/>
    <w:pPr>
      <w:keepNext/>
      <w:keepLines/>
      <w:numPr>
        <w:ilvl w:val="3"/>
        <w:numId w:val="30"/>
      </w:numPr>
      <w:jc w:val="both"/>
      <w:outlineLvl w:val="3"/>
    </w:pPr>
    <w:rPr>
      <w:rFonts w:eastAsia="Times New Roman" w:cs="Times New Roman"/>
      <w:b/>
      <w:bCs/>
      <w:iCs/>
      <w:color w:val="0070C0"/>
      <w:szCs w:val="21"/>
      <w:lang w:val="en-GB"/>
    </w:rPr>
  </w:style>
  <w:style w:type="paragraph" w:styleId="Heading5">
    <w:name w:val="heading 5"/>
    <w:basedOn w:val="Normal"/>
    <w:next w:val="Normal"/>
    <w:link w:val="Heading5Char"/>
    <w:uiPriority w:val="9"/>
    <w:semiHidden/>
    <w:unhideWhenUsed/>
    <w:rsid w:val="00AC589A"/>
    <w:pPr>
      <w:keepNext/>
      <w:keepLines/>
      <w:numPr>
        <w:ilvl w:val="4"/>
        <w:numId w:val="3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C589A"/>
    <w:pPr>
      <w:keepNext/>
      <w:keepLines/>
      <w:numPr>
        <w:ilvl w:val="5"/>
        <w:numId w:val="3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C589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C589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589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1,Bullet1,List Paragraph (numbered (a)),Normal 1,List Paragraph 1,Bullets,NumberedParas,Dot pt,F5 List Paragraph,List Paragraph Char Char Char,Indicator Text,Numbered Para 1,Bullet 1,Bullet Points,heading 4"/>
    <w:basedOn w:val="Normal"/>
    <w:link w:val="ListParagraphChar"/>
    <w:uiPriority w:val="34"/>
    <w:qFormat/>
    <w:rsid w:val="00443A84"/>
    <w:pPr>
      <w:ind w:left="720"/>
      <w:contextualSpacing/>
    </w:pPr>
  </w:style>
  <w:style w:type="character" w:customStyle="1" w:styleId="ListParagraphChar">
    <w:name w:val="List Paragraph Char"/>
    <w:aliases w:val="Akapit z listą BS Char,List Paragraph1 Char,Bullet1 Char,List Paragraph (numbered (a)) Char,Normal 1 Char,List Paragraph 1 Char,Bullets Char,NumberedParas Char,Dot pt Char,F5 List Paragraph Char,List Paragraph Char Char Char Char"/>
    <w:link w:val="ListParagraph"/>
    <w:uiPriority w:val="34"/>
    <w:qFormat/>
    <w:locked/>
    <w:rsid w:val="00443A84"/>
  </w:style>
  <w:style w:type="character" w:customStyle="1" w:styleId="Heading4Char">
    <w:name w:val="Heading 4 Char"/>
    <w:basedOn w:val="DefaultParagraphFont"/>
    <w:link w:val="Heading4"/>
    <w:rsid w:val="00714F5C"/>
    <w:rPr>
      <w:rFonts w:ascii="Arial" w:eastAsia="Times New Roman" w:hAnsi="Arial" w:cs="Times New Roman"/>
      <w:b/>
      <w:bCs/>
      <w:iCs/>
      <w:color w:val="0070C0"/>
      <w:sz w:val="18"/>
      <w:szCs w:val="21"/>
      <w:lang w:val="en-GB"/>
    </w:rPr>
  </w:style>
  <w:style w:type="paragraph" w:styleId="CommentText">
    <w:name w:val="annotation text"/>
    <w:basedOn w:val="Normal"/>
    <w:link w:val="CommentTextChar"/>
    <w:uiPriority w:val="99"/>
    <w:unhideWhenUsed/>
    <w:rsid w:val="003F7704"/>
    <w:pPr>
      <w:spacing w:after="120" w:line="240" w:lineRule="auto"/>
      <w:jc w:val="both"/>
    </w:pPr>
    <w:rPr>
      <w:rFonts w:ascii="Calibri" w:hAnsi="Calibri" w:cs="Times New Roman"/>
      <w:sz w:val="20"/>
      <w:szCs w:val="20"/>
      <w:lang w:val="en-GB"/>
    </w:rPr>
  </w:style>
  <w:style w:type="character" w:customStyle="1" w:styleId="CommentTextChar">
    <w:name w:val="Comment Text Char"/>
    <w:basedOn w:val="DefaultParagraphFont"/>
    <w:link w:val="CommentText"/>
    <w:uiPriority w:val="99"/>
    <w:rsid w:val="003F7704"/>
    <w:rPr>
      <w:rFonts w:ascii="Calibri" w:hAnsi="Calibri" w:cs="Times New Roman"/>
      <w:sz w:val="20"/>
      <w:szCs w:val="20"/>
      <w:lang w:val="en-GB"/>
    </w:rPr>
  </w:style>
  <w:style w:type="paragraph" w:customStyle="1" w:styleId="normalPFM-bullet">
    <w:name w:val="normal PFM -bullet"/>
    <w:basedOn w:val="Normal"/>
    <w:uiPriority w:val="99"/>
    <w:rsid w:val="003F7704"/>
    <w:pPr>
      <w:spacing w:before="20" w:after="20" w:line="252" w:lineRule="auto"/>
      <w:jc w:val="both"/>
    </w:pPr>
    <w:rPr>
      <w:rFonts w:ascii="Calibri" w:hAnsi="Calibri" w:cs="Times New Roman"/>
      <w:b/>
      <w:sz w:val="21"/>
      <w:szCs w:val="21"/>
      <w:lang w:val="en-GB"/>
    </w:rPr>
  </w:style>
  <w:style w:type="character" w:customStyle="1" w:styleId="EcorysBodyChar">
    <w:name w:val="Ecorys Body Char"/>
    <w:basedOn w:val="DefaultParagraphFont"/>
    <w:link w:val="EcorysBody"/>
    <w:locked/>
    <w:rsid w:val="003F7704"/>
    <w:rPr>
      <w:rFonts w:ascii="Open Sans Light" w:hAnsi="Open Sans Light" w:cs="Open Sans Light"/>
      <w:sz w:val="18"/>
      <w:szCs w:val="20"/>
    </w:rPr>
  </w:style>
  <w:style w:type="paragraph" w:customStyle="1" w:styleId="EcorysBody">
    <w:name w:val="Ecorys Body"/>
    <w:link w:val="EcorysBodyChar"/>
    <w:rsid w:val="003F7704"/>
    <w:pPr>
      <w:spacing w:after="0" w:line="264" w:lineRule="auto"/>
    </w:pPr>
    <w:rPr>
      <w:rFonts w:ascii="Open Sans Light" w:hAnsi="Open Sans Light" w:cs="Open Sans Light"/>
      <w:sz w:val="18"/>
      <w:szCs w:val="20"/>
    </w:rPr>
  </w:style>
  <w:style w:type="character" w:styleId="CommentReference">
    <w:name w:val="annotation reference"/>
    <w:basedOn w:val="DefaultParagraphFont"/>
    <w:uiPriority w:val="99"/>
    <w:semiHidden/>
    <w:unhideWhenUsed/>
    <w:rsid w:val="003F7704"/>
    <w:rPr>
      <w:sz w:val="16"/>
      <w:szCs w:val="16"/>
    </w:rPr>
  </w:style>
  <w:style w:type="table" w:styleId="TableGrid">
    <w:name w:val="Table Grid"/>
    <w:aliases w:val="Table Grid_russell,TabelEcorys,HTG,Table Grid IDEA"/>
    <w:basedOn w:val="TableNormal"/>
    <w:uiPriority w:val="39"/>
    <w:rsid w:val="003F770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uiPriority w:val="32"/>
    <w:qFormat/>
    <w:rsid w:val="003F7704"/>
    <w:rPr>
      <w:rFonts w:ascii="Arial" w:eastAsiaTheme="minorHAnsi" w:hAnsi="Arial" w:cs="Arial"/>
      <w:i/>
      <w:color w:val="0070C0"/>
      <w:sz w:val="18"/>
      <w:szCs w:val="18"/>
    </w:rPr>
  </w:style>
  <w:style w:type="character" w:customStyle="1" w:styleId="Heading2Char">
    <w:name w:val="Heading 2 Char"/>
    <w:basedOn w:val="DefaultParagraphFont"/>
    <w:link w:val="Heading2"/>
    <w:uiPriority w:val="9"/>
    <w:rsid w:val="00C96708"/>
    <w:rPr>
      <w:rFonts w:ascii="Arial" w:eastAsiaTheme="majorEastAsia" w:hAnsi="Arial" w:cstheme="majorBidi"/>
      <w:iCs/>
      <w:color w:val="0070C0"/>
    </w:rPr>
  </w:style>
  <w:style w:type="character" w:customStyle="1" w:styleId="Heading1Char">
    <w:name w:val="Heading 1 Char"/>
    <w:basedOn w:val="DefaultParagraphFont"/>
    <w:link w:val="Heading1"/>
    <w:uiPriority w:val="9"/>
    <w:rsid w:val="003D4676"/>
    <w:rPr>
      <w:rFonts w:ascii="Arial" w:eastAsiaTheme="majorEastAsia" w:hAnsi="Arial" w:cstheme="majorBidi"/>
      <w:b/>
      <w:bCs/>
      <w:iCs/>
      <w:color w:val="0070C0"/>
      <w:sz w:val="26"/>
      <w:szCs w:val="26"/>
    </w:rPr>
  </w:style>
  <w:style w:type="paragraph" w:styleId="CommentSubject">
    <w:name w:val="annotation subject"/>
    <w:basedOn w:val="CommentText"/>
    <w:next w:val="CommentText"/>
    <w:link w:val="CommentSubjectChar"/>
    <w:uiPriority w:val="99"/>
    <w:semiHidden/>
    <w:unhideWhenUsed/>
    <w:rsid w:val="00A50751"/>
    <w:pPr>
      <w:spacing w:after="0"/>
      <w:jc w:val="left"/>
    </w:pPr>
    <w:rPr>
      <w:rFonts w:ascii="Arial" w:hAnsi="Arial" w:cs="Arial"/>
      <w:b/>
      <w:bCs/>
    </w:rPr>
  </w:style>
  <w:style w:type="character" w:customStyle="1" w:styleId="CommentSubjectChar">
    <w:name w:val="Comment Subject Char"/>
    <w:basedOn w:val="CommentTextChar"/>
    <w:link w:val="CommentSubject"/>
    <w:uiPriority w:val="99"/>
    <w:semiHidden/>
    <w:rsid w:val="00A50751"/>
    <w:rPr>
      <w:rFonts w:ascii="Arial" w:hAnsi="Arial" w:cs="Arial"/>
      <w:b/>
      <w:bCs/>
      <w:sz w:val="20"/>
      <w:szCs w:val="20"/>
      <w:lang w:val="en-GB"/>
    </w:rPr>
  </w:style>
  <w:style w:type="character" w:customStyle="1" w:styleId="Heading3Char">
    <w:name w:val="Heading 3 Char"/>
    <w:basedOn w:val="DefaultParagraphFont"/>
    <w:link w:val="Heading3"/>
    <w:uiPriority w:val="9"/>
    <w:rsid w:val="00096B2B"/>
    <w:rPr>
      <w:rFonts w:ascii="Arial" w:eastAsiaTheme="majorEastAsia" w:hAnsi="Arial" w:cs="Arial"/>
      <w:b/>
      <w:bCs/>
      <w:color w:val="0070C0"/>
      <w:sz w:val="18"/>
      <w:szCs w:val="18"/>
    </w:rPr>
  </w:style>
  <w:style w:type="character" w:styleId="Hyperlink">
    <w:name w:val="Hyperlink"/>
    <w:basedOn w:val="DefaultParagraphFont"/>
    <w:uiPriority w:val="99"/>
    <w:unhideWhenUsed/>
    <w:rsid w:val="005D7DF3"/>
    <w:rPr>
      <w:color w:val="0563C1" w:themeColor="hyperlink"/>
      <w:u w:val="single"/>
    </w:rPr>
  </w:style>
  <w:style w:type="character" w:customStyle="1" w:styleId="UnresolvedMention1">
    <w:name w:val="Unresolved Mention1"/>
    <w:basedOn w:val="DefaultParagraphFont"/>
    <w:uiPriority w:val="99"/>
    <w:semiHidden/>
    <w:unhideWhenUsed/>
    <w:rsid w:val="005D7DF3"/>
    <w:rPr>
      <w:color w:val="605E5C"/>
      <w:shd w:val="clear" w:color="auto" w:fill="E1DFDD"/>
    </w:rPr>
  </w:style>
  <w:style w:type="character" w:styleId="SubtleReference">
    <w:name w:val="Subtle Reference"/>
    <w:basedOn w:val="DefaultParagraphFont"/>
    <w:uiPriority w:val="31"/>
    <w:rsid w:val="00A075A4"/>
    <w:rPr>
      <w:smallCaps/>
      <w:color w:val="5A5A5A" w:themeColor="text1" w:themeTint="A5"/>
    </w:rPr>
  </w:style>
  <w:style w:type="paragraph" w:styleId="FootnoteText">
    <w:name w:val="footnote text"/>
    <w:aliases w:val="single space,footnote text,fn,ALTS FOOTNOTE,ADB,ft,Footnote Text Char1,Footnote Text Char Char,FOOTNOTES,Footnote Text Char Car Char,single space1,footnote text1,fn1,Footnote Text Char2 Char,WB-Fußnotentext,Footnote,f,AD,Fußnote, Char,FN"/>
    <w:basedOn w:val="Normal"/>
    <w:link w:val="FootnoteTextChar"/>
    <w:uiPriority w:val="99"/>
    <w:unhideWhenUsed/>
    <w:qFormat/>
    <w:rsid w:val="00463C15"/>
    <w:pPr>
      <w:spacing w:line="240" w:lineRule="auto"/>
    </w:pPr>
    <w:rPr>
      <w:sz w:val="20"/>
      <w:szCs w:val="20"/>
    </w:rPr>
  </w:style>
  <w:style w:type="character" w:customStyle="1" w:styleId="FootnoteTextChar">
    <w:name w:val="Footnote Text Char"/>
    <w:aliases w:val="single space Char1,footnote text Char1,fn Char1,ALTS FOOTNOTE Char1,ADB Char1,ft Char1,Footnote Text Char1 Char1,Footnote Text Char Char Char1,FOOTNOTES Char1,Footnote Text Char Car Char Char1,single space1 Char1,footnote text1 Char1"/>
    <w:basedOn w:val="DefaultParagraphFont"/>
    <w:link w:val="FootnoteText"/>
    <w:uiPriority w:val="99"/>
    <w:rsid w:val="00463C15"/>
    <w:rPr>
      <w:rFonts w:ascii="Arial" w:hAnsi="Arial" w:cs="Arial"/>
      <w:sz w:val="20"/>
      <w:szCs w:val="20"/>
    </w:rPr>
  </w:style>
  <w:style w:type="character" w:styleId="FootnoteReference">
    <w:name w:val="footnote reference"/>
    <w:aliases w:val="ftref,Char Char,BVI fnr,ftref Char,BVI fnr Char,BVI fnr Car Char,Char Char Car Char,Char Char Char Char Char Char Char Char Char Char Char Char Char Char Char Char Char Char Char Char Car Char,16 Point Char,fr,R,16 Point,sobrescrito"/>
    <w:basedOn w:val="DefaultParagraphFont"/>
    <w:link w:val="BVIfnrCarCarCarCarChar"/>
    <w:uiPriority w:val="99"/>
    <w:unhideWhenUsed/>
    <w:qFormat/>
    <w:rsid w:val="000817EA"/>
    <w:rPr>
      <w:rFonts w:ascii="Arial" w:hAnsi="Arial"/>
      <w:sz w:val="18"/>
      <w:szCs w:val="14"/>
      <w:vertAlign w:val="superscript"/>
    </w:rPr>
  </w:style>
  <w:style w:type="character" w:customStyle="1" w:styleId="NormalPFM1Char">
    <w:name w:val="Normal PFM 1 Char"/>
    <w:link w:val="NormalPFM1"/>
    <w:locked/>
    <w:rsid w:val="000F2385"/>
    <w:rPr>
      <w:rFonts w:ascii="Calibri" w:hAnsi="Calibri" w:cs="Times New Roman"/>
      <w:sz w:val="21"/>
      <w:szCs w:val="21"/>
      <w:lang w:val="en-GB"/>
    </w:rPr>
  </w:style>
  <w:style w:type="paragraph" w:customStyle="1" w:styleId="NormalPFM1">
    <w:name w:val="Normal PFM 1"/>
    <w:basedOn w:val="Normal"/>
    <w:link w:val="NormalPFM1Char"/>
    <w:rsid w:val="000F2385"/>
    <w:pPr>
      <w:spacing w:before="80" w:after="80" w:line="252" w:lineRule="auto"/>
      <w:jc w:val="both"/>
    </w:pPr>
    <w:rPr>
      <w:rFonts w:ascii="Calibri" w:hAnsi="Calibri" w:cs="Times New Roman"/>
      <w:sz w:val="21"/>
      <w:szCs w:val="21"/>
      <w:lang w:val="en-GB"/>
    </w:rPr>
  </w:style>
  <w:style w:type="paragraph" w:styleId="NormalWeb">
    <w:name w:val="Normal (Web)"/>
    <w:basedOn w:val="Normal"/>
    <w:uiPriority w:val="99"/>
    <w:unhideWhenUsed/>
    <w:rsid w:val="00443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lqj4b">
    <w:name w:val="jlqj4b"/>
    <w:basedOn w:val="DefaultParagraphFont"/>
    <w:rsid w:val="004B0F2C"/>
  </w:style>
  <w:style w:type="character" w:customStyle="1" w:styleId="markedcontent">
    <w:name w:val="markedcontent"/>
    <w:basedOn w:val="DefaultParagraphFont"/>
    <w:rsid w:val="004B0F2C"/>
  </w:style>
  <w:style w:type="paragraph" w:customStyle="1" w:styleId="title-doc-first">
    <w:name w:val="title-doc-first"/>
    <w:basedOn w:val="Normal"/>
    <w:rsid w:val="003843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last">
    <w:name w:val="title-doc-last"/>
    <w:basedOn w:val="Normal"/>
    <w:rsid w:val="003843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2">
    <w:name w:val="Footnote Text Char2"/>
    <w:aliases w:val="single space Char,footnote text Char,fn Char,ALTS FOOTNOTE Char,ADB Char,ft Char,Footnote Text Char1 Char,Footnote Text Char Char Char,FOOTNOTES Char,Footnote Text Char Car Char Char,single space1 Char,footnote text1 Char,fn1 Char"/>
    <w:uiPriority w:val="99"/>
    <w:semiHidden/>
    <w:locked/>
    <w:rsid w:val="003A68CB"/>
    <w:rPr>
      <w:rFonts w:ascii="Calibri" w:hAnsi="Calibri" w:cs="Times New Roman"/>
      <w:sz w:val="21"/>
      <w:szCs w:val="21"/>
      <w:lang w:val="en-GB"/>
    </w:rPr>
  </w:style>
  <w:style w:type="paragraph" w:customStyle="1" w:styleId="BVIfnrCarCarCarCarChar">
    <w:name w:val="BVI fnr Car Car Car Car Char"/>
    <w:basedOn w:val="Normal"/>
    <w:link w:val="FootnoteReference"/>
    <w:uiPriority w:val="99"/>
    <w:rsid w:val="000817EA"/>
    <w:pPr>
      <w:ind w:left="284" w:hanging="284"/>
      <w:jc w:val="both"/>
    </w:pPr>
    <w:rPr>
      <w:rFonts w:cstheme="minorBidi"/>
      <w:szCs w:val="14"/>
      <w:vertAlign w:val="superscript"/>
    </w:rPr>
  </w:style>
  <w:style w:type="character" w:styleId="Strong">
    <w:name w:val="Strong"/>
    <w:aliases w:val="H4"/>
    <w:basedOn w:val="DefaultParagraphFont"/>
    <w:uiPriority w:val="22"/>
    <w:qFormat/>
    <w:rsid w:val="00216535"/>
    <w:rPr>
      <w:rFonts w:ascii="Arial" w:hAnsi="Arial"/>
      <w:b/>
      <w:color w:val="0070C0"/>
      <w:sz w:val="18"/>
    </w:rPr>
  </w:style>
  <w:style w:type="paragraph" w:customStyle="1" w:styleId="H5">
    <w:name w:val="H5"/>
    <w:basedOn w:val="Normal"/>
    <w:link w:val="H5Char"/>
    <w:qFormat/>
    <w:rsid w:val="009763F7"/>
    <w:pPr>
      <w:spacing w:after="60"/>
    </w:pPr>
    <w:rPr>
      <w:b/>
      <w:bCs/>
      <w:color w:val="0070C0"/>
    </w:rPr>
  </w:style>
  <w:style w:type="character" w:customStyle="1" w:styleId="H5Char">
    <w:name w:val="H5 Char"/>
    <w:basedOn w:val="DefaultParagraphFont"/>
    <w:link w:val="H5"/>
    <w:rsid w:val="009763F7"/>
    <w:rPr>
      <w:rFonts w:ascii="Arial" w:hAnsi="Arial" w:cs="Arial"/>
      <w:b/>
      <w:bCs/>
      <w:color w:val="0070C0"/>
      <w:sz w:val="18"/>
      <w:szCs w:val="18"/>
    </w:rPr>
  </w:style>
  <w:style w:type="paragraph" w:customStyle="1" w:styleId="N-Bullet">
    <w:name w:val="N-Bullet"/>
    <w:basedOn w:val="ListParagraph"/>
    <w:link w:val="N-BulletChar"/>
    <w:qFormat/>
    <w:rsid w:val="00612618"/>
    <w:pPr>
      <w:numPr>
        <w:numId w:val="70"/>
      </w:numPr>
    </w:pPr>
  </w:style>
  <w:style w:type="character" w:customStyle="1" w:styleId="N-BulletChar">
    <w:name w:val="N-Bullet Char"/>
    <w:basedOn w:val="ListParagraphChar"/>
    <w:link w:val="N-Bullet"/>
    <w:rsid w:val="00276126"/>
    <w:rPr>
      <w:rFonts w:ascii="Arial" w:hAnsi="Arial" w:cs="Arial"/>
      <w:sz w:val="18"/>
      <w:szCs w:val="18"/>
    </w:rPr>
  </w:style>
  <w:style w:type="paragraph" w:customStyle="1" w:styleId="N-Number">
    <w:name w:val="N-Number"/>
    <w:basedOn w:val="ListParagraph"/>
    <w:link w:val="N-NumberChar"/>
    <w:qFormat/>
    <w:rsid w:val="00276126"/>
    <w:pPr>
      <w:numPr>
        <w:numId w:val="4"/>
      </w:numPr>
    </w:pPr>
  </w:style>
  <w:style w:type="character" w:customStyle="1" w:styleId="N-NumberChar">
    <w:name w:val="N-Number Char"/>
    <w:basedOn w:val="ListParagraphChar"/>
    <w:link w:val="N-Number"/>
    <w:rsid w:val="00276126"/>
    <w:rPr>
      <w:rFonts w:ascii="Arial" w:hAnsi="Arial" w:cs="Arial"/>
      <w:sz w:val="18"/>
      <w:szCs w:val="18"/>
    </w:rPr>
  </w:style>
  <w:style w:type="paragraph" w:customStyle="1" w:styleId="T-number">
    <w:name w:val="T-number"/>
    <w:basedOn w:val="EcorysBody"/>
    <w:link w:val="T-numberChar"/>
    <w:qFormat/>
    <w:rsid w:val="00304204"/>
    <w:pPr>
      <w:numPr>
        <w:numId w:val="5"/>
      </w:numPr>
    </w:pPr>
    <w:rPr>
      <w:rFonts w:ascii="Arial" w:hAnsi="Arial" w:cs="Arial"/>
      <w:sz w:val="16"/>
      <w:szCs w:val="16"/>
      <w:lang w:val="en-GB"/>
    </w:rPr>
  </w:style>
  <w:style w:type="character" w:customStyle="1" w:styleId="T-numberChar">
    <w:name w:val="T-number Char"/>
    <w:basedOn w:val="EcorysBodyChar"/>
    <w:link w:val="T-number"/>
    <w:rsid w:val="00304204"/>
    <w:rPr>
      <w:rFonts w:ascii="Arial" w:hAnsi="Arial" w:cs="Arial"/>
      <w:sz w:val="16"/>
      <w:szCs w:val="16"/>
      <w:lang w:val="en-GB"/>
    </w:rPr>
  </w:style>
  <w:style w:type="paragraph" w:customStyle="1" w:styleId="T-bold">
    <w:name w:val="T-bold"/>
    <w:basedOn w:val="EcorysBody"/>
    <w:link w:val="T-boldChar"/>
    <w:qFormat/>
    <w:rsid w:val="00315936"/>
    <w:rPr>
      <w:rFonts w:ascii="Arial" w:hAnsi="Arial" w:cs="Arial"/>
      <w:b/>
      <w:bCs/>
      <w:sz w:val="16"/>
      <w:szCs w:val="16"/>
    </w:rPr>
  </w:style>
  <w:style w:type="character" w:customStyle="1" w:styleId="T-boldChar">
    <w:name w:val="T-bold Char"/>
    <w:basedOn w:val="EcorysBodyChar"/>
    <w:link w:val="T-bold"/>
    <w:rsid w:val="00315936"/>
    <w:rPr>
      <w:rFonts w:ascii="Arial" w:hAnsi="Arial" w:cs="Arial"/>
      <w:b/>
      <w:bCs/>
      <w:sz w:val="16"/>
      <w:szCs w:val="16"/>
    </w:rPr>
  </w:style>
  <w:style w:type="paragraph" w:styleId="Header">
    <w:name w:val="header"/>
    <w:basedOn w:val="Normal"/>
    <w:link w:val="HeaderChar"/>
    <w:uiPriority w:val="99"/>
    <w:unhideWhenUsed/>
    <w:rsid w:val="008F1AB1"/>
    <w:pPr>
      <w:tabs>
        <w:tab w:val="center" w:pos="4513"/>
        <w:tab w:val="right" w:pos="9026"/>
      </w:tabs>
      <w:spacing w:line="240" w:lineRule="auto"/>
    </w:pPr>
  </w:style>
  <w:style w:type="character" w:customStyle="1" w:styleId="HeaderChar">
    <w:name w:val="Header Char"/>
    <w:basedOn w:val="DefaultParagraphFont"/>
    <w:link w:val="Header"/>
    <w:uiPriority w:val="99"/>
    <w:rsid w:val="008F1AB1"/>
    <w:rPr>
      <w:rFonts w:ascii="Arial" w:hAnsi="Arial" w:cs="Arial"/>
      <w:sz w:val="18"/>
      <w:szCs w:val="18"/>
    </w:rPr>
  </w:style>
  <w:style w:type="paragraph" w:styleId="Footer">
    <w:name w:val="footer"/>
    <w:basedOn w:val="Normal"/>
    <w:link w:val="FooterChar"/>
    <w:uiPriority w:val="99"/>
    <w:unhideWhenUsed/>
    <w:rsid w:val="008F1AB1"/>
    <w:pPr>
      <w:tabs>
        <w:tab w:val="center" w:pos="4513"/>
        <w:tab w:val="right" w:pos="9026"/>
      </w:tabs>
      <w:spacing w:line="240" w:lineRule="auto"/>
    </w:pPr>
  </w:style>
  <w:style w:type="character" w:customStyle="1" w:styleId="FooterChar">
    <w:name w:val="Footer Char"/>
    <w:basedOn w:val="DefaultParagraphFont"/>
    <w:link w:val="Footer"/>
    <w:uiPriority w:val="99"/>
    <w:rsid w:val="008F1AB1"/>
    <w:rPr>
      <w:rFonts w:ascii="Arial" w:hAnsi="Arial" w:cs="Arial"/>
      <w:sz w:val="18"/>
      <w:szCs w:val="18"/>
    </w:rPr>
  </w:style>
  <w:style w:type="paragraph" w:customStyle="1" w:styleId="DefaultText">
    <w:name w:val="Default Text"/>
    <w:basedOn w:val="Normal"/>
    <w:link w:val="DefaultTextChar"/>
    <w:rsid w:val="004649C9"/>
    <w:pPr>
      <w:spacing w:line="280" w:lineRule="atLeast"/>
    </w:pPr>
    <w:rPr>
      <w:rFonts w:eastAsia="Times New Roman" w:cs="Times New Roman"/>
      <w:szCs w:val="24"/>
      <w:lang w:val="en-GB" w:eastAsia="nl-NL"/>
    </w:rPr>
  </w:style>
  <w:style w:type="character" w:customStyle="1" w:styleId="DefaultTextChar">
    <w:name w:val="Default Text Char"/>
    <w:basedOn w:val="DefaultParagraphFont"/>
    <w:link w:val="DefaultText"/>
    <w:rsid w:val="004649C9"/>
    <w:rPr>
      <w:rFonts w:ascii="Arial" w:eastAsia="Times New Roman" w:hAnsi="Arial" w:cs="Times New Roman"/>
      <w:sz w:val="18"/>
      <w:szCs w:val="24"/>
      <w:lang w:val="en-GB" w:eastAsia="nl-NL"/>
    </w:rPr>
  </w:style>
  <w:style w:type="paragraph" w:customStyle="1" w:styleId="gmail-msolistparagraph">
    <w:name w:val="gmail-msolistparagraph"/>
    <w:basedOn w:val="Normal"/>
    <w:rsid w:val="004649C9"/>
    <w:pPr>
      <w:spacing w:before="100" w:beforeAutospacing="1" w:after="100" w:afterAutospacing="1" w:line="240" w:lineRule="auto"/>
    </w:pPr>
    <w:rPr>
      <w:rFonts w:ascii="Calibri" w:hAnsi="Calibri" w:cs="Calibri"/>
      <w:sz w:val="22"/>
      <w:szCs w:val="22"/>
    </w:rPr>
  </w:style>
  <w:style w:type="paragraph" w:customStyle="1" w:styleId="H-titel">
    <w:name w:val="H-titel"/>
    <w:basedOn w:val="Normal"/>
    <w:link w:val="H-titelChar"/>
    <w:qFormat/>
    <w:rsid w:val="00C81923"/>
    <w:pPr>
      <w:tabs>
        <w:tab w:val="right" w:pos="810"/>
      </w:tabs>
      <w:spacing w:before="120" w:after="60"/>
      <w:jc w:val="both"/>
    </w:pPr>
    <w:rPr>
      <w:rFonts w:eastAsiaTheme="majorEastAsia" w:cstheme="majorBidi"/>
      <w:color w:val="0070C0"/>
      <w:sz w:val="32"/>
      <w:szCs w:val="32"/>
      <w:lang w:eastAsia="lv-LV"/>
    </w:rPr>
  </w:style>
  <w:style w:type="character" w:customStyle="1" w:styleId="H-titelChar">
    <w:name w:val="H-titel Char"/>
    <w:basedOn w:val="DefaultParagraphFont"/>
    <w:link w:val="H-titel"/>
    <w:rsid w:val="00C81923"/>
    <w:rPr>
      <w:rFonts w:ascii="Arial" w:eastAsiaTheme="majorEastAsia" w:hAnsi="Arial" w:cstheme="majorBidi"/>
      <w:color w:val="0070C0"/>
      <w:sz w:val="32"/>
      <w:szCs w:val="32"/>
      <w:lang w:eastAsia="lv-LV"/>
    </w:rPr>
  </w:style>
  <w:style w:type="paragraph" w:customStyle="1" w:styleId="Default">
    <w:name w:val="Default"/>
    <w:rsid w:val="002C447B"/>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Titel">
    <w:name w:val="Titel"/>
    <w:basedOn w:val="Heading1"/>
    <w:link w:val="TitelChar"/>
    <w:qFormat/>
    <w:rsid w:val="00C81923"/>
  </w:style>
  <w:style w:type="character" w:customStyle="1" w:styleId="TitelChar">
    <w:name w:val="Titel Char"/>
    <w:basedOn w:val="Heading1Char"/>
    <w:link w:val="Titel"/>
    <w:rsid w:val="00C81923"/>
    <w:rPr>
      <w:rFonts w:ascii="Arial" w:eastAsiaTheme="majorEastAsia" w:hAnsi="Arial" w:cstheme="majorBidi"/>
      <w:b/>
      <w:bCs/>
      <w:iCs/>
      <w:color w:val="0070C0"/>
      <w:sz w:val="26"/>
      <w:szCs w:val="26"/>
    </w:rPr>
  </w:style>
  <w:style w:type="paragraph" w:styleId="TOCHeading">
    <w:name w:val="TOC Heading"/>
    <w:basedOn w:val="Heading1"/>
    <w:next w:val="Normal"/>
    <w:uiPriority w:val="39"/>
    <w:unhideWhenUsed/>
    <w:rsid w:val="00C81923"/>
    <w:pPr>
      <w:spacing w:before="240" w:line="259" w:lineRule="auto"/>
      <w:outlineLvl w:val="9"/>
    </w:pPr>
    <w:rPr>
      <w:rFonts w:asciiTheme="majorHAnsi" w:hAnsiTheme="majorHAnsi"/>
      <w:b w:val="0"/>
      <w:bCs w:val="0"/>
      <w:iCs w:val="0"/>
      <w:color w:val="2F5496" w:themeColor="accent1" w:themeShade="BF"/>
      <w:sz w:val="32"/>
      <w:szCs w:val="32"/>
    </w:rPr>
  </w:style>
  <w:style w:type="paragraph" w:styleId="TOC1">
    <w:name w:val="toc 1"/>
    <w:basedOn w:val="Normal"/>
    <w:next w:val="Normal"/>
    <w:autoRedefine/>
    <w:uiPriority w:val="39"/>
    <w:unhideWhenUsed/>
    <w:rsid w:val="004D182B"/>
    <w:pPr>
      <w:tabs>
        <w:tab w:val="left" w:pos="480"/>
        <w:tab w:val="right" w:leader="dot" w:pos="9016"/>
      </w:tabs>
      <w:spacing w:after="100"/>
    </w:pPr>
  </w:style>
  <w:style w:type="paragraph" w:styleId="TOC2">
    <w:name w:val="toc 2"/>
    <w:basedOn w:val="Normal"/>
    <w:next w:val="Normal"/>
    <w:autoRedefine/>
    <w:uiPriority w:val="39"/>
    <w:unhideWhenUsed/>
    <w:rsid w:val="004D182B"/>
    <w:pPr>
      <w:tabs>
        <w:tab w:val="left" w:pos="720"/>
        <w:tab w:val="right" w:leader="dot" w:pos="9016"/>
      </w:tabs>
      <w:spacing w:after="100"/>
      <w:ind w:left="180"/>
    </w:pPr>
  </w:style>
  <w:style w:type="character" w:customStyle="1" w:styleId="Heading5Char">
    <w:name w:val="Heading 5 Char"/>
    <w:basedOn w:val="DefaultParagraphFont"/>
    <w:link w:val="Heading5"/>
    <w:uiPriority w:val="9"/>
    <w:semiHidden/>
    <w:rsid w:val="00AC589A"/>
    <w:rPr>
      <w:rFonts w:asciiTheme="majorHAnsi" w:eastAsiaTheme="majorEastAsia" w:hAnsiTheme="majorHAnsi" w:cstheme="majorBidi"/>
      <w:color w:val="2F5496" w:themeColor="accent1" w:themeShade="BF"/>
      <w:sz w:val="18"/>
      <w:szCs w:val="18"/>
    </w:rPr>
  </w:style>
  <w:style w:type="character" w:customStyle="1" w:styleId="Heading6Char">
    <w:name w:val="Heading 6 Char"/>
    <w:basedOn w:val="DefaultParagraphFont"/>
    <w:link w:val="Heading6"/>
    <w:uiPriority w:val="9"/>
    <w:semiHidden/>
    <w:rsid w:val="00AC589A"/>
    <w:rPr>
      <w:rFonts w:asciiTheme="majorHAnsi" w:eastAsiaTheme="majorEastAsia" w:hAnsiTheme="majorHAnsi" w:cstheme="majorBidi"/>
      <w:color w:val="1F3763" w:themeColor="accent1" w:themeShade="7F"/>
      <w:sz w:val="18"/>
      <w:szCs w:val="18"/>
    </w:rPr>
  </w:style>
  <w:style w:type="character" w:customStyle="1" w:styleId="Heading7Char">
    <w:name w:val="Heading 7 Char"/>
    <w:basedOn w:val="DefaultParagraphFont"/>
    <w:link w:val="Heading7"/>
    <w:uiPriority w:val="9"/>
    <w:semiHidden/>
    <w:rsid w:val="00AC589A"/>
    <w:rPr>
      <w:rFonts w:asciiTheme="majorHAnsi" w:eastAsiaTheme="majorEastAsia" w:hAnsiTheme="majorHAnsi" w:cstheme="majorBidi"/>
      <w:i/>
      <w:iCs/>
      <w:color w:val="1F3763" w:themeColor="accent1" w:themeShade="7F"/>
      <w:sz w:val="18"/>
      <w:szCs w:val="18"/>
    </w:rPr>
  </w:style>
  <w:style w:type="character" w:customStyle="1" w:styleId="Heading8Char">
    <w:name w:val="Heading 8 Char"/>
    <w:basedOn w:val="DefaultParagraphFont"/>
    <w:link w:val="Heading8"/>
    <w:uiPriority w:val="9"/>
    <w:semiHidden/>
    <w:rsid w:val="00AC58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589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4387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4387E"/>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2349C1"/>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2349C1"/>
    <w:rPr>
      <w:rFonts w:ascii="Arial" w:eastAsia="Times New Roman" w:hAnsi="Arial" w:cs="Arial"/>
      <w:vanish/>
      <w:sz w:val="16"/>
      <w:szCs w:val="16"/>
      <w:lang w:val="en-US"/>
    </w:rPr>
  </w:style>
  <w:style w:type="paragraph" w:styleId="Revision">
    <w:name w:val="Revision"/>
    <w:hidden/>
    <w:uiPriority w:val="99"/>
    <w:semiHidden/>
    <w:rsid w:val="009F5B6A"/>
    <w:pPr>
      <w:spacing w:after="0" w:line="240" w:lineRule="auto"/>
    </w:pPr>
    <w:rPr>
      <w:rFonts w:ascii="Arial" w:hAnsi="Arial" w:cs="Arial"/>
      <w:sz w:val="18"/>
      <w:szCs w:val="18"/>
    </w:rPr>
  </w:style>
  <w:style w:type="character" w:customStyle="1" w:styleId="fontstyle01">
    <w:name w:val="fontstyle01"/>
    <w:basedOn w:val="DefaultParagraphFont"/>
    <w:rsid w:val="00BB2BD0"/>
    <w:rPr>
      <w:rFonts w:ascii="Times New Roman" w:hAnsi="Times New Roman" w:cs="Times New Roman" w:hint="default"/>
      <w:b w:val="0"/>
      <w:bCs w:val="0"/>
      <w:i w:val="0"/>
      <w:iCs w:val="0"/>
      <w:color w:val="0D0D0D"/>
      <w:sz w:val="24"/>
      <w:szCs w:val="24"/>
    </w:rPr>
  </w:style>
  <w:style w:type="character" w:customStyle="1" w:styleId="fontstyle21">
    <w:name w:val="fontstyle21"/>
    <w:basedOn w:val="DefaultParagraphFont"/>
    <w:rsid w:val="00BB2BD0"/>
    <w:rPr>
      <w:rFonts w:ascii="Times New Roman" w:hAnsi="Times New Roman" w:cs="Times New Roman" w:hint="default"/>
      <w:b w:val="0"/>
      <w:bCs w:val="0"/>
      <w:i/>
      <w:iCs/>
      <w:color w:val="0D0D0D"/>
      <w:sz w:val="24"/>
      <w:szCs w:val="24"/>
    </w:rPr>
  </w:style>
  <w:style w:type="paragraph" w:customStyle="1" w:styleId="T-normal">
    <w:name w:val="T-normal"/>
    <w:basedOn w:val="Normal"/>
    <w:link w:val="T-normalChar"/>
    <w:qFormat/>
    <w:rsid w:val="00F46411"/>
    <w:rPr>
      <w:sz w:val="16"/>
      <w:szCs w:val="16"/>
    </w:rPr>
  </w:style>
  <w:style w:type="character" w:customStyle="1" w:styleId="T-normalChar">
    <w:name w:val="T-normal Char"/>
    <w:basedOn w:val="DefaultParagraphFont"/>
    <w:link w:val="T-normal"/>
    <w:rsid w:val="00F46411"/>
    <w:rPr>
      <w:rFonts w:ascii="Arial" w:hAnsi="Arial" w:cs="Arial"/>
      <w:sz w:val="16"/>
      <w:szCs w:val="16"/>
    </w:rPr>
  </w:style>
  <w:style w:type="paragraph" w:customStyle="1" w:styleId="T-bullet0">
    <w:name w:val="T-bullet"/>
    <w:basedOn w:val="T-normal"/>
    <w:link w:val="T-bulletChar"/>
    <w:qFormat/>
    <w:rsid w:val="00F46411"/>
    <w:pPr>
      <w:numPr>
        <w:numId w:val="31"/>
      </w:numPr>
    </w:pPr>
  </w:style>
  <w:style w:type="character" w:customStyle="1" w:styleId="T-bulletChar">
    <w:name w:val="T-bullet Char"/>
    <w:basedOn w:val="T-normalChar"/>
    <w:link w:val="T-bullet0"/>
    <w:rsid w:val="00F46411"/>
    <w:rPr>
      <w:rFonts w:ascii="Arial" w:hAnsi="Arial" w:cs="Arial"/>
      <w:sz w:val="16"/>
      <w:szCs w:val="16"/>
    </w:rPr>
  </w:style>
  <w:style w:type="paragraph" w:customStyle="1" w:styleId="T-Bullet">
    <w:name w:val="T-Bullet"/>
    <w:basedOn w:val="T-number"/>
    <w:link w:val="T-BulletChar0"/>
    <w:qFormat/>
    <w:rsid w:val="00641AB4"/>
    <w:pPr>
      <w:numPr>
        <w:numId w:val="32"/>
      </w:numPr>
      <w:tabs>
        <w:tab w:val="num" w:pos="360"/>
      </w:tabs>
    </w:pPr>
    <w:rPr>
      <w:kern w:val="2"/>
      <w14:ligatures w14:val="standardContextual"/>
    </w:rPr>
  </w:style>
  <w:style w:type="character" w:customStyle="1" w:styleId="T-BulletChar0">
    <w:name w:val="T-Bullet Char"/>
    <w:basedOn w:val="T-numberChar"/>
    <w:link w:val="T-Bullet"/>
    <w:rsid w:val="00641AB4"/>
    <w:rPr>
      <w:rFonts w:ascii="Arial" w:hAnsi="Arial" w:cs="Arial"/>
      <w:kern w:val="2"/>
      <w:sz w:val="16"/>
      <w:szCs w:val="16"/>
      <w:lang w:val="en-GB"/>
      <w14:ligatures w14:val="standardContextual"/>
    </w:rPr>
  </w:style>
  <w:style w:type="paragraph" w:customStyle="1" w:styleId="goal-text">
    <w:name w:val="goal-text"/>
    <w:basedOn w:val="Normal"/>
    <w:rsid w:val="00354D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Bold">
    <w:name w:val="N-Bold"/>
    <w:basedOn w:val="Normal"/>
    <w:link w:val="N-BoldChar"/>
    <w:qFormat/>
    <w:rsid w:val="00826493"/>
    <w:rPr>
      <w:rFonts w:eastAsiaTheme="majorEastAsia" w:cstheme="majorBidi"/>
      <w:b/>
      <w:bCs/>
      <w:iCs/>
      <w:szCs w:val="22"/>
    </w:rPr>
  </w:style>
  <w:style w:type="character" w:customStyle="1" w:styleId="N-BoldChar">
    <w:name w:val="N-Bold Char"/>
    <w:basedOn w:val="DefaultParagraphFont"/>
    <w:link w:val="N-Bold"/>
    <w:rsid w:val="00826493"/>
    <w:rPr>
      <w:rFonts w:ascii="Arial" w:eastAsiaTheme="majorEastAsia" w:hAnsi="Arial" w:cstheme="majorBidi"/>
      <w:b/>
      <w:bCs/>
      <w:iCs/>
      <w:sz w:val="18"/>
    </w:rPr>
  </w:style>
  <w:style w:type="character" w:styleId="IntenseEmphasis">
    <w:name w:val="Intense Emphasis"/>
    <w:basedOn w:val="DefaultParagraphFont"/>
    <w:uiPriority w:val="21"/>
    <w:rsid w:val="00AE6597"/>
    <w:rPr>
      <w:b/>
      <w:bCs/>
      <w:i/>
      <w:iCs/>
      <w:color w:val="4472C4" w:themeColor="accent1"/>
    </w:rPr>
  </w:style>
  <w:style w:type="character" w:customStyle="1" w:styleId="rynqvb">
    <w:name w:val="rynqvb"/>
    <w:basedOn w:val="DefaultParagraphFont"/>
    <w:rsid w:val="00630FD2"/>
  </w:style>
  <w:style w:type="character" w:customStyle="1" w:styleId="cf01">
    <w:name w:val="cf01"/>
    <w:basedOn w:val="DefaultParagraphFont"/>
    <w:rsid w:val="0007140E"/>
    <w:rPr>
      <w:rFonts w:ascii="Segoe UI" w:hAnsi="Segoe UI" w:cs="Segoe UI" w:hint="default"/>
      <w:i/>
      <w:iCs/>
      <w:sz w:val="18"/>
      <w:szCs w:val="18"/>
    </w:rPr>
  </w:style>
  <w:style w:type="character" w:styleId="Emphasis">
    <w:name w:val="Emphasis"/>
    <w:basedOn w:val="DefaultParagraphFont"/>
    <w:uiPriority w:val="20"/>
    <w:qFormat/>
    <w:rsid w:val="004C7A5C"/>
    <w:rPr>
      <w:i/>
      <w:iCs/>
    </w:rPr>
  </w:style>
  <w:style w:type="character" w:styleId="FollowedHyperlink">
    <w:name w:val="FollowedHyperlink"/>
    <w:basedOn w:val="DefaultParagraphFont"/>
    <w:uiPriority w:val="99"/>
    <w:semiHidden/>
    <w:unhideWhenUsed/>
    <w:rsid w:val="00E076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986">
      <w:bodyDiv w:val="1"/>
      <w:marLeft w:val="0"/>
      <w:marRight w:val="0"/>
      <w:marTop w:val="0"/>
      <w:marBottom w:val="0"/>
      <w:divBdr>
        <w:top w:val="none" w:sz="0" w:space="0" w:color="auto"/>
        <w:left w:val="none" w:sz="0" w:space="0" w:color="auto"/>
        <w:bottom w:val="none" w:sz="0" w:space="0" w:color="auto"/>
        <w:right w:val="none" w:sz="0" w:space="0" w:color="auto"/>
      </w:divBdr>
    </w:div>
    <w:div w:id="56050797">
      <w:bodyDiv w:val="1"/>
      <w:marLeft w:val="0"/>
      <w:marRight w:val="0"/>
      <w:marTop w:val="0"/>
      <w:marBottom w:val="0"/>
      <w:divBdr>
        <w:top w:val="none" w:sz="0" w:space="0" w:color="auto"/>
        <w:left w:val="none" w:sz="0" w:space="0" w:color="auto"/>
        <w:bottom w:val="none" w:sz="0" w:space="0" w:color="auto"/>
        <w:right w:val="none" w:sz="0" w:space="0" w:color="auto"/>
      </w:divBdr>
    </w:div>
    <w:div w:id="233469466">
      <w:bodyDiv w:val="1"/>
      <w:marLeft w:val="0"/>
      <w:marRight w:val="0"/>
      <w:marTop w:val="0"/>
      <w:marBottom w:val="0"/>
      <w:divBdr>
        <w:top w:val="none" w:sz="0" w:space="0" w:color="auto"/>
        <w:left w:val="none" w:sz="0" w:space="0" w:color="auto"/>
        <w:bottom w:val="none" w:sz="0" w:space="0" w:color="auto"/>
        <w:right w:val="none" w:sz="0" w:space="0" w:color="auto"/>
      </w:divBdr>
    </w:div>
    <w:div w:id="251476495">
      <w:bodyDiv w:val="1"/>
      <w:marLeft w:val="0"/>
      <w:marRight w:val="0"/>
      <w:marTop w:val="0"/>
      <w:marBottom w:val="0"/>
      <w:divBdr>
        <w:top w:val="none" w:sz="0" w:space="0" w:color="auto"/>
        <w:left w:val="none" w:sz="0" w:space="0" w:color="auto"/>
        <w:bottom w:val="none" w:sz="0" w:space="0" w:color="auto"/>
        <w:right w:val="none" w:sz="0" w:space="0" w:color="auto"/>
      </w:divBdr>
    </w:div>
    <w:div w:id="271909769">
      <w:bodyDiv w:val="1"/>
      <w:marLeft w:val="0"/>
      <w:marRight w:val="0"/>
      <w:marTop w:val="0"/>
      <w:marBottom w:val="0"/>
      <w:divBdr>
        <w:top w:val="none" w:sz="0" w:space="0" w:color="auto"/>
        <w:left w:val="none" w:sz="0" w:space="0" w:color="auto"/>
        <w:bottom w:val="none" w:sz="0" w:space="0" w:color="auto"/>
        <w:right w:val="none" w:sz="0" w:space="0" w:color="auto"/>
      </w:divBdr>
    </w:div>
    <w:div w:id="274335209">
      <w:bodyDiv w:val="1"/>
      <w:marLeft w:val="0"/>
      <w:marRight w:val="0"/>
      <w:marTop w:val="0"/>
      <w:marBottom w:val="0"/>
      <w:divBdr>
        <w:top w:val="none" w:sz="0" w:space="0" w:color="auto"/>
        <w:left w:val="none" w:sz="0" w:space="0" w:color="auto"/>
        <w:bottom w:val="none" w:sz="0" w:space="0" w:color="auto"/>
        <w:right w:val="none" w:sz="0" w:space="0" w:color="auto"/>
      </w:divBdr>
    </w:div>
    <w:div w:id="279648965">
      <w:bodyDiv w:val="1"/>
      <w:marLeft w:val="0"/>
      <w:marRight w:val="0"/>
      <w:marTop w:val="0"/>
      <w:marBottom w:val="0"/>
      <w:divBdr>
        <w:top w:val="none" w:sz="0" w:space="0" w:color="auto"/>
        <w:left w:val="none" w:sz="0" w:space="0" w:color="auto"/>
        <w:bottom w:val="none" w:sz="0" w:space="0" w:color="auto"/>
        <w:right w:val="none" w:sz="0" w:space="0" w:color="auto"/>
      </w:divBdr>
    </w:div>
    <w:div w:id="485514593">
      <w:bodyDiv w:val="1"/>
      <w:marLeft w:val="0"/>
      <w:marRight w:val="0"/>
      <w:marTop w:val="0"/>
      <w:marBottom w:val="0"/>
      <w:divBdr>
        <w:top w:val="none" w:sz="0" w:space="0" w:color="auto"/>
        <w:left w:val="none" w:sz="0" w:space="0" w:color="auto"/>
        <w:bottom w:val="none" w:sz="0" w:space="0" w:color="auto"/>
        <w:right w:val="none" w:sz="0" w:space="0" w:color="auto"/>
      </w:divBdr>
    </w:div>
    <w:div w:id="490298364">
      <w:bodyDiv w:val="1"/>
      <w:marLeft w:val="0"/>
      <w:marRight w:val="0"/>
      <w:marTop w:val="0"/>
      <w:marBottom w:val="0"/>
      <w:divBdr>
        <w:top w:val="none" w:sz="0" w:space="0" w:color="auto"/>
        <w:left w:val="none" w:sz="0" w:space="0" w:color="auto"/>
        <w:bottom w:val="none" w:sz="0" w:space="0" w:color="auto"/>
        <w:right w:val="none" w:sz="0" w:space="0" w:color="auto"/>
      </w:divBdr>
    </w:div>
    <w:div w:id="571277532">
      <w:bodyDiv w:val="1"/>
      <w:marLeft w:val="0"/>
      <w:marRight w:val="0"/>
      <w:marTop w:val="0"/>
      <w:marBottom w:val="0"/>
      <w:divBdr>
        <w:top w:val="none" w:sz="0" w:space="0" w:color="auto"/>
        <w:left w:val="none" w:sz="0" w:space="0" w:color="auto"/>
        <w:bottom w:val="none" w:sz="0" w:space="0" w:color="auto"/>
        <w:right w:val="none" w:sz="0" w:space="0" w:color="auto"/>
      </w:divBdr>
    </w:div>
    <w:div w:id="598562991">
      <w:bodyDiv w:val="1"/>
      <w:marLeft w:val="0"/>
      <w:marRight w:val="0"/>
      <w:marTop w:val="0"/>
      <w:marBottom w:val="0"/>
      <w:divBdr>
        <w:top w:val="none" w:sz="0" w:space="0" w:color="auto"/>
        <w:left w:val="none" w:sz="0" w:space="0" w:color="auto"/>
        <w:bottom w:val="none" w:sz="0" w:space="0" w:color="auto"/>
        <w:right w:val="none" w:sz="0" w:space="0" w:color="auto"/>
      </w:divBdr>
      <w:divsChild>
        <w:div w:id="517280683">
          <w:marLeft w:val="0"/>
          <w:marRight w:val="0"/>
          <w:marTop w:val="0"/>
          <w:marBottom w:val="0"/>
          <w:divBdr>
            <w:top w:val="none" w:sz="0" w:space="0" w:color="auto"/>
            <w:left w:val="none" w:sz="0" w:space="0" w:color="auto"/>
            <w:bottom w:val="none" w:sz="0" w:space="0" w:color="auto"/>
            <w:right w:val="none" w:sz="0" w:space="0" w:color="auto"/>
          </w:divBdr>
        </w:div>
      </w:divsChild>
    </w:div>
    <w:div w:id="599752097">
      <w:bodyDiv w:val="1"/>
      <w:marLeft w:val="0"/>
      <w:marRight w:val="0"/>
      <w:marTop w:val="0"/>
      <w:marBottom w:val="0"/>
      <w:divBdr>
        <w:top w:val="none" w:sz="0" w:space="0" w:color="auto"/>
        <w:left w:val="none" w:sz="0" w:space="0" w:color="auto"/>
        <w:bottom w:val="none" w:sz="0" w:space="0" w:color="auto"/>
        <w:right w:val="none" w:sz="0" w:space="0" w:color="auto"/>
      </w:divBdr>
    </w:div>
    <w:div w:id="602956424">
      <w:bodyDiv w:val="1"/>
      <w:marLeft w:val="0"/>
      <w:marRight w:val="0"/>
      <w:marTop w:val="0"/>
      <w:marBottom w:val="0"/>
      <w:divBdr>
        <w:top w:val="none" w:sz="0" w:space="0" w:color="auto"/>
        <w:left w:val="none" w:sz="0" w:space="0" w:color="auto"/>
        <w:bottom w:val="none" w:sz="0" w:space="0" w:color="auto"/>
        <w:right w:val="none" w:sz="0" w:space="0" w:color="auto"/>
      </w:divBdr>
    </w:div>
    <w:div w:id="760494540">
      <w:bodyDiv w:val="1"/>
      <w:marLeft w:val="0"/>
      <w:marRight w:val="0"/>
      <w:marTop w:val="0"/>
      <w:marBottom w:val="0"/>
      <w:divBdr>
        <w:top w:val="none" w:sz="0" w:space="0" w:color="auto"/>
        <w:left w:val="none" w:sz="0" w:space="0" w:color="auto"/>
        <w:bottom w:val="none" w:sz="0" w:space="0" w:color="auto"/>
        <w:right w:val="none" w:sz="0" w:space="0" w:color="auto"/>
      </w:divBdr>
    </w:div>
    <w:div w:id="886649586">
      <w:bodyDiv w:val="1"/>
      <w:marLeft w:val="0"/>
      <w:marRight w:val="0"/>
      <w:marTop w:val="0"/>
      <w:marBottom w:val="0"/>
      <w:divBdr>
        <w:top w:val="none" w:sz="0" w:space="0" w:color="auto"/>
        <w:left w:val="none" w:sz="0" w:space="0" w:color="auto"/>
        <w:bottom w:val="none" w:sz="0" w:space="0" w:color="auto"/>
        <w:right w:val="none" w:sz="0" w:space="0" w:color="auto"/>
      </w:divBdr>
    </w:div>
    <w:div w:id="905145551">
      <w:bodyDiv w:val="1"/>
      <w:marLeft w:val="0"/>
      <w:marRight w:val="0"/>
      <w:marTop w:val="0"/>
      <w:marBottom w:val="0"/>
      <w:divBdr>
        <w:top w:val="none" w:sz="0" w:space="0" w:color="auto"/>
        <w:left w:val="none" w:sz="0" w:space="0" w:color="auto"/>
        <w:bottom w:val="none" w:sz="0" w:space="0" w:color="auto"/>
        <w:right w:val="none" w:sz="0" w:space="0" w:color="auto"/>
      </w:divBdr>
    </w:div>
    <w:div w:id="934047044">
      <w:bodyDiv w:val="1"/>
      <w:marLeft w:val="0"/>
      <w:marRight w:val="0"/>
      <w:marTop w:val="0"/>
      <w:marBottom w:val="0"/>
      <w:divBdr>
        <w:top w:val="none" w:sz="0" w:space="0" w:color="auto"/>
        <w:left w:val="none" w:sz="0" w:space="0" w:color="auto"/>
        <w:bottom w:val="none" w:sz="0" w:space="0" w:color="auto"/>
        <w:right w:val="none" w:sz="0" w:space="0" w:color="auto"/>
      </w:divBdr>
      <w:divsChild>
        <w:div w:id="15233203">
          <w:marLeft w:val="0"/>
          <w:marRight w:val="0"/>
          <w:marTop w:val="0"/>
          <w:marBottom w:val="0"/>
          <w:divBdr>
            <w:top w:val="none" w:sz="0" w:space="0" w:color="auto"/>
            <w:left w:val="none" w:sz="0" w:space="0" w:color="auto"/>
            <w:bottom w:val="none" w:sz="0" w:space="0" w:color="auto"/>
            <w:right w:val="none" w:sz="0" w:space="0" w:color="auto"/>
          </w:divBdr>
        </w:div>
        <w:div w:id="826020276">
          <w:marLeft w:val="0"/>
          <w:marRight w:val="0"/>
          <w:marTop w:val="0"/>
          <w:marBottom w:val="0"/>
          <w:divBdr>
            <w:top w:val="single" w:sz="2" w:space="0" w:color="D9D9E3"/>
            <w:left w:val="single" w:sz="2" w:space="0" w:color="D9D9E3"/>
            <w:bottom w:val="single" w:sz="2" w:space="0" w:color="D9D9E3"/>
            <w:right w:val="single" w:sz="2" w:space="0" w:color="D9D9E3"/>
          </w:divBdr>
          <w:divsChild>
            <w:div w:id="801730712">
              <w:marLeft w:val="0"/>
              <w:marRight w:val="0"/>
              <w:marTop w:val="0"/>
              <w:marBottom w:val="0"/>
              <w:divBdr>
                <w:top w:val="single" w:sz="2" w:space="0" w:color="D9D9E3"/>
                <w:left w:val="single" w:sz="2" w:space="0" w:color="D9D9E3"/>
                <w:bottom w:val="single" w:sz="2" w:space="0" w:color="D9D9E3"/>
                <w:right w:val="single" w:sz="2" w:space="0" w:color="D9D9E3"/>
              </w:divBdr>
              <w:divsChild>
                <w:div w:id="2082292361">
                  <w:marLeft w:val="0"/>
                  <w:marRight w:val="0"/>
                  <w:marTop w:val="0"/>
                  <w:marBottom w:val="0"/>
                  <w:divBdr>
                    <w:top w:val="single" w:sz="2" w:space="0" w:color="D9D9E3"/>
                    <w:left w:val="single" w:sz="2" w:space="0" w:color="D9D9E3"/>
                    <w:bottom w:val="single" w:sz="2" w:space="0" w:color="D9D9E3"/>
                    <w:right w:val="single" w:sz="2" w:space="0" w:color="D9D9E3"/>
                  </w:divBdr>
                  <w:divsChild>
                    <w:div w:id="1514297303">
                      <w:marLeft w:val="0"/>
                      <w:marRight w:val="0"/>
                      <w:marTop w:val="0"/>
                      <w:marBottom w:val="0"/>
                      <w:divBdr>
                        <w:top w:val="single" w:sz="2" w:space="0" w:color="D9D9E3"/>
                        <w:left w:val="single" w:sz="2" w:space="0" w:color="D9D9E3"/>
                        <w:bottom w:val="single" w:sz="2" w:space="0" w:color="D9D9E3"/>
                        <w:right w:val="single" w:sz="2" w:space="0" w:color="D9D9E3"/>
                      </w:divBdr>
                      <w:divsChild>
                        <w:div w:id="779762122">
                          <w:marLeft w:val="0"/>
                          <w:marRight w:val="0"/>
                          <w:marTop w:val="0"/>
                          <w:marBottom w:val="0"/>
                          <w:divBdr>
                            <w:top w:val="single" w:sz="2" w:space="0" w:color="auto"/>
                            <w:left w:val="single" w:sz="2" w:space="0" w:color="auto"/>
                            <w:bottom w:val="single" w:sz="6" w:space="0" w:color="auto"/>
                            <w:right w:val="single" w:sz="2" w:space="0" w:color="auto"/>
                          </w:divBdr>
                          <w:divsChild>
                            <w:div w:id="8014574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68382200">
                                  <w:marLeft w:val="0"/>
                                  <w:marRight w:val="0"/>
                                  <w:marTop w:val="0"/>
                                  <w:marBottom w:val="0"/>
                                  <w:divBdr>
                                    <w:top w:val="single" w:sz="2" w:space="0" w:color="D9D9E3"/>
                                    <w:left w:val="single" w:sz="2" w:space="0" w:color="D9D9E3"/>
                                    <w:bottom w:val="single" w:sz="2" w:space="0" w:color="D9D9E3"/>
                                    <w:right w:val="single" w:sz="2" w:space="0" w:color="D9D9E3"/>
                                  </w:divBdr>
                                  <w:divsChild>
                                    <w:div w:id="119039645">
                                      <w:marLeft w:val="0"/>
                                      <w:marRight w:val="0"/>
                                      <w:marTop w:val="0"/>
                                      <w:marBottom w:val="0"/>
                                      <w:divBdr>
                                        <w:top w:val="single" w:sz="2" w:space="0" w:color="D9D9E3"/>
                                        <w:left w:val="single" w:sz="2" w:space="0" w:color="D9D9E3"/>
                                        <w:bottom w:val="single" w:sz="2" w:space="0" w:color="D9D9E3"/>
                                        <w:right w:val="single" w:sz="2" w:space="0" w:color="D9D9E3"/>
                                      </w:divBdr>
                                      <w:divsChild>
                                        <w:div w:id="1053039858">
                                          <w:marLeft w:val="0"/>
                                          <w:marRight w:val="0"/>
                                          <w:marTop w:val="0"/>
                                          <w:marBottom w:val="0"/>
                                          <w:divBdr>
                                            <w:top w:val="single" w:sz="2" w:space="0" w:color="D9D9E3"/>
                                            <w:left w:val="single" w:sz="2" w:space="0" w:color="D9D9E3"/>
                                            <w:bottom w:val="single" w:sz="2" w:space="0" w:color="D9D9E3"/>
                                            <w:right w:val="single" w:sz="2" w:space="0" w:color="D9D9E3"/>
                                          </w:divBdr>
                                          <w:divsChild>
                                            <w:div w:id="863055433">
                                              <w:marLeft w:val="0"/>
                                              <w:marRight w:val="0"/>
                                              <w:marTop w:val="0"/>
                                              <w:marBottom w:val="0"/>
                                              <w:divBdr>
                                                <w:top w:val="single" w:sz="2" w:space="0" w:color="D9D9E3"/>
                                                <w:left w:val="single" w:sz="2" w:space="0" w:color="D9D9E3"/>
                                                <w:bottom w:val="single" w:sz="2" w:space="0" w:color="D9D9E3"/>
                                                <w:right w:val="single" w:sz="2" w:space="0" w:color="D9D9E3"/>
                                              </w:divBdr>
                                              <w:divsChild>
                                                <w:div w:id="1009451126">
                                                  <w:marLeft w:val="0"/>
                                                  <w:marRight w:val="0"/>
                                                  <w:marTop w:val="0"/>
                                                  <w:marBottom w:val="0"/>
                                                  <w:divBdr>
                                                    <w:top w:val="single" w:sz="2" w:space="0" w:color="D9D9E3"/>
                                                    <w:left w:val="single" w:sz="2" w:space="0" w:color="D9D9E3"/>
                                                    <w:bottom w:val="single" w:sz="2" w:space="0" w:color="D9D9E3"/>
                                                    <w:right w:val="single" w:sz="2" w:space="0" w:color="D9D9E3"/>
                                                  </w:divBdr>
                                                  <w:divsChild>
                                                    <w:div w:id="1337221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91611945">
                          <w:marLeft w:val="0"/>
                          <w:marRight w:val="0"/>
                          <w:marTop w:val="0"/>
                          <w:marBottom w:val="0"/>
                          <w:divBdr>
                            <w:top w:val="single" w:sz="2" w:space="0" w:color="D9D9E3"/>
                            <w:left w:val="single" w:sz="2" w:space="0" w:color="D9D9E3"/>
                            <w:bottom w:val="single" w:sz="2" w:space="0" w:color="D9D9E3"/>
                            <w:right w:val="single" w:sz="2" w:space="0" w:color="D9D9E3"/>
                          </w:divBdr>
                          <w:divsChild>
                            <w:div w:id="1314718959">
                              <w:marLeft w:val="0"/>
                              <w:marRight w:val="0"/>
                              <w:marTop w:val="0"/>
                              <w:marBottom w:val="0"/>
                              <w:divBdr>
                                <w:top w:val="single" w:sz="2" w:space="0" w:color="D9D9E3"/>
                                <w:left w:val="single" w:sz="2" w:space="0" w:color="D9D9E3"/>
                                <w:bottom w:val="single" w:sz="2" w:space="0" w:color="D9D9E3"/>
                                <w:right w:val="single" w:sz="2" w:space="0" w:color="D9D9E3"/>
                              </w:divBdr>
                              <w:divsChild>
                                <w:div w:id="148399627">
                                  <w:marLeft w:val="0"/>
                                  <w:marRight w:val="0"/>
                                  <w:marTop w:val="0"/>
                                  <w:marBottom w:val="0"/>
                                  <w:divBdr>
                                    <w:top w:val="single" w:sz="6" w:space="0" w:color="auto"/>
                                    <w:left w:val="single" w:sz="6" w:space="0" w:color="auto"/>
                                    <w:bottom w:val="single" w:sz="6" w:space="0" w:color="auto"/>
                                    <w:right w:val="single" w:sz="6" w:space="0" w:color="auto"/>
                                  </w:divBdr>
                                  <w:divsChild>
                                    <w:div w:id="300884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36446567">
      <w:bodyDiv w:val="1"/>
      <w:marLeft w:val="0"/>
      <w:marRight w:val="0"/>
      <w:marTop w:val="0"/>
      <w:marBottom w:val="0"/>
      <w:divBdr>
        <w:top w:val="none" w:sz="0" w:space="0" w:color="auto"/>
        <w:left w:val="none" w:sz="0" w:space="0" w:color="auto"/>
        <w:bottom w:val="none" w:sz="0" w:space="0" w:color="auto"/>
        <w:right w:val="none" w:sz="0" w:space="0" w:color="auto"/>
      </w:divBdr>
    </w:div>
    <w:div w:id="1073115012">
      <w:bodyDiv w:val="1"/>
      <w:marLeft w:val="0"/>
      <w:marRight w:val="0"/>
      <w:marTop w:val="0"/>
      <w:marBottom w:val="0"/>
      <w:divBdr>
        <w:top w:val="none" w:sz="0" w:space="0" w:color="auto"/>
        <w:left w:val="none" w:sz="0" w:space="0" w:color="auto"/>
        <w:bottom w:val="none" w:sz="0" w:space="0" w:color="auto"/>
        <w:right w:val="none" w:sz="0" w:space="0" w:color="auto"/>
      </w:divBdr>
    </w:div>
    <w:div w:id="1195533683">
      <w:bodyDiv w:val="1"/>
      <w:marLeft w:val="0"/>
      <w:marRight w:val="0"/>
      <w:marTop w:val="0"/>
      <w:marBottom w:val="0"/>
      <w:divBdr>
        <w:top w:val="none" w:sz="0" w:space="0" w:color="auto"/>
        <w:left w:val="none" w:sz="0" w:space="0" w:color="auto"/>
        <w:bottom w:val="none" w:sz="0" w:space="0" w:color="auto"/>
        <w:right w:val="none" w:sz="0" w:space="0" w:color="auto"/>
      </w:divBdr>
    </w:div>
    <w:div w:id="1203204204">
      <w:bodyDiv w:val="1"/>
      <w:marLeft w:val="0"/>
      <w:marRight w:val="0"/>
      <w:marTop w:val="0"/>
      <w:marBottom w:val="0"/>
      <w:divBdr>
        <w:top w:val="none" w:sz="0" w:space="0" w:color="auto"/>
        <w:left w:val="none" w:sz="0" w:space="0" w:color="auto"/>
        <w:bottom w:val="none" w:sz="0" w:space="0" w:color="auto"/>
        <w:right w:val="none" w:sz="0" w:space="0" w:color="auto"/>
      </w:divBdr>
    </w:div>
    <w:div w:id="1223831152">
      <w:bodyDiv w:val="1"/>
      <w:marLeft w:val="0"/>
      <w:marRight w:val="0"/>
      <w:marTop w:val="0"/>
      <w:marBottom w:val="0"/>
      <w:divBdr>
        <w:top w:val="none" w:sz="0" w:space="0" w:color="auto"/>
        <w:left w:val="none" w:sz="0" w:space="0" w:color="auto"/>
        <w:bottom w:val="none" w:sz="0" w:space="0" w:color="auto"/>
        <w:right w:val="none" w:sz="0" w:space="0" w:color="auto"/>
      </w:divBdr>
    </w:div>
    <w:div w:id="1238592179">
      <w:bodyDiv w:val="1"/>
      <w:marLeft w:val="0"/>
      <w:marRight w:val="0"/>
      <w:marTop w:val="0"/>
      <w:marBottom w:val="0"/>
      <w:divBdr>
        <w:top w:val="none" w:sz="0" w:space="0" w:color="auto"/>
        <w:left w:val="none" w:sz="0" w:space="0" w:color="auto"/>
        <w:bottom w:val="none" w:sz="0" w:space="0" w:color="auto"/>
        <w:right w:val="none" w:sz="0" w:space="0" w:color="auto"/>
      </w:divBdr>
    </w:div>
    <w:div w:id="1241135207">
      <w:bodyDiv w:val="1"/>
      <w:marLeft w:val="0"/>
      <w:marRight w:val="0"/>
      <w:marTop w:val="0"/>
      <w:marBottom w:val="0"/>
      <w:divBdr>
        <w:top w:val="none" w:sz="0" w:space="0" w:color="auto"/>
        <w:left w:val="none" w:sz="0" w:space="0" w:color="auto"/>
        <w:bottom w:val="none" w:sz="0" w:space="0" w:color="auto"/>
        <w:right w:val="none" w:sz="0" w:space="0" w:color="auto"/>
      </w:divBdr>
    </w:div>
    <w:div w:id="1275943764">
      <w:bodyDiv w:val="1"/>
      <w:marLeft w:val="0"/>
      <w:marRight w:val="0"/>
      <w:marTop w:val="0"/>
      <w:marBottom w:val="0"/>
      <w:divBdr>
        <w:top w:val="none" w:sz="0" w:space="0" w:color="auto"/>
        <w:left w:val="none" w:sz="0" w:space="0" w:color="auto"/>
        <w:bottom w:val="none" w:sz="0" w:space="0" w:color="auto"/>
        <w:right w:val="none" w:sz="0" w:space="0" w:color="auto"/>
      </w:divBdr>
    </w:div>
    <w:div w:id="1301501519">
      <w:bodyDiv w:val="1"/>
      <w:marLeft w:val="0"/>
      <w:marRight w:val="0"/>
      <w:marTop w:val="0"/>
      <w:marBottom w:val="0"/>
      <w:divBdr>
        <w:top w:val="none" w:sz="0" w:space="0" w:color="auto"/>
        <w:left w:val="none" w:sz="0" w:space="0" w:color="auto"/>
        <w:bottom w:val="none" w:sz="0" w:space="0" w:color="auto"/>
        <w:right w:val="none" w:sz="0" w:space="0" w:color="auto"/>
      </w:divBdr>
    </w:div>
    <w:div w:id="1324623690">
      <w:bodyDiv w:val="1"/>
      <w:marLeft w:val="0"/>
      <w:marRight w:val="0"/>
      <w:marTop w:val="0"/>
      <w:marBottom w:val="0"/>
      <w:divBdr>
        <w:top w:val="none" w:sz="0" w:space="0" w:color="auto"/>
        <w:left w:val="none" w:sz="0" w:space="0" w:color="auto"/>
        <w:bottom w:val="none" w:sz="0" w:space="0" w:color="auto"/>
        <w:right w:val="none" w:sz="0" w:space="0" w:color="auto"/>
      </w:divBdr>
    </w:div>
    <w:div w:id="1346396629">
      <w:bodyDiv w:val="1"/>
      <w:marLeft w:val="0"/>
      <w:marRight w:val="0"/>
      <w:marTop w:val="0"/>
      <w:marBottom w:val="0"/>
      <w:divBdr>
        <w:top w:val="none" w:sz="0" w:space="0" w:color="auto"/>
        <w:left w:val="none" w:sz="0" w:space="0" w:color="auto"/>
        <w:bottom w:val="none" w:sz="0" w:space="0" w:color="auto"/>
        <w:right w:val="none" w:sz="0" w:space="0" w:color="auto"/>
      </w:divBdr>
    </w:div>
    <w:div w:id="1361079983">
      <w:bodyDiv w:val="1"/>
      <w:marLeft w:val="0"/>
      <w:marRight w:val="0"/>
      <w:marTop w:val="0"/>
      <w:marBottom w:val="0"/>
      <w:divBdr>
        <w:top w:val="none" w:sz="0" w:space="0" w:color="auto"/>
        <w:left w:val="none" w:sz="0" w:space="0" w:color="auto"/>
        <w:bottom w:val="none" w:sz="0" w:space="0" w:color="auto"/>
        <w:right w:val="none" w:sz="0" w:space="0" w:color="auto"/>
      </w:divBdr>
    </w:div>
    <w:div w:id="1425225470">
      <w:bodyDiv w:val="1"/>
      <w:marLeft w:val="0"/>
      <w:marRight w:val="0"/>
      <w:marTop w:val="0"/>
      <w:marBottom w:val="0"/>
      <w:divBdr>
        <w:top w:val="none" w:sz="0" w:space="0" w:color="auto"/>
        <w:left w:val="none" w:sz="0" w:space="0" w:color="auto"/>
        <w:bottom w:val="none" w:sz="0" w:space="0" w:color="auto"/>
        <w:right w:val="none" w:sz="0" w:space="0" w:color="auto"/>
      </w:divBdr>
    </w:div>
    <w:div w:id="1430782285">
      <w:bodyDiv w:val="1"/>
      <w:marLeft w:val="0"/>
      <w:marRight w:val="0"/>
      <w:marTop w:val="0"/>
      <w:marBottom w:val="0"/>
      <w:divBdr>
        <w:top w:val="none" w:sz="0" w:space="0" w:color="auto"/>
        <w:left w:val="none" w:sz="0" w:space="0" w:color="auto"/>
        <w:bottom w:val="none" w:sz="0" w:space="0" w:color="auto"/>
        <w:right w:val="none" w:sz="0" w:space="0" w:color="auto"/>
      </w:divBdr>
    </w:div>
    <w:div w:id="1524006287">
      <w:bodyDiv w:val="1"/>
      <w:marLeft w:val="0"/>
      <w:marRight w:val="0"/>
      <w:marTop w:val="0"/>
      <w:marBottom w:val="0"/>
      <w:divBdr>
        <w:top w:val="none" w:sz="0" w:space="0" w:color="auto"/>
        <w:left w:val="none" w:sz="0" w:space="0" w:color="auto"/>
        <w:bottom w:val="none" w:sz="0" w:space="0" w:color="auto"/>
        <w:right w:val="none" w:sz="0" w:space="0" w:color="auto"/>
      </w:divBdr>
    </w:div>
    <w:div w:id="1654217290">
      <w:bodyDiv w:val="1"/>
      <w:marLeft w:val="0"/>
      <w:marRight w:val="0"/>
      <w:marTop w:val="0"/>
      <w:marBottom w:val="0"/>
      <w:divBdr>
        <w:top w:val="none" w:sz="0" w:space="0" w:color="auto"/>
        <w:left w:val="none" w:sz="0" w:space="0" w:color="auto"/>
        <w:bottom w:val="none" w:sz="0" w:space="0" w:color="auto"/>
        <w:right w:val="none" w:sz="0" w:space="0" w:color="auto"/>
      </w:divBdr>
    </w:div>
    <w:div w:id="1704944758">
      <w:bodyDiv w:val="1"/>
      <w:marLeft w:val="0"/>
      <w:marRight w:val="0"/>
      <w:marTop w:val="0"/>
      <w:marBottom w:val="0"/>
      <w:divBdr>
        <w:top w:val="none" w:sz="0" w:space="0" w:color="auto"/>
        <w:left w:val="none" w:sz="0" w:space="0" w:color="auto"/>
        <w:bottom w:val="none" w:sz="0" w:space="0" w:color="auto"/>
        <w:right w:val="none" w:sz="0" w:space="0" w:color="auto"/>
      </w:divBdr>
    </w:div>
    <w:div w:id="1707095605">
      <w:bodyDiv w:val="1"/>
      <w:marLeft w:val="0"/>
      <w:marRight w:val="0"/>
      <w:marTop w:val="0"/>
      <w:marBottom w:val="0"/>
      <w:divBdr>
        <w:top w:val="none" w:sz="0" w:space="0" w:color="auto"/>
        <w:left w:val="none" w:sz="0" w:space="0" w:color="auto"/>
        <w:bottom w:val="none" w:sz="0" w:space="0" w:color="auto"/>
        <w:right w:val="none" w:sz="0" w:space="0" w:color="auto"/>
      </w:divBdr>
    </w:div>
    <w:div w:id="1712684572">
      <w:bodyDiv w:val="1"/>
      <w:marLeft w:val="0"/>
      <w:marRight w:val="0"/>
      <w:marTop w:val="0"/>
      <w:marBottom w:val="0"/>
      <w:divBdr>
        <w:top w:val="none" w:sz="0" w:space="0" w:color="auto"/>
        <w:left w:val="none" w:sz="0" w:space="0" w:color="auto"/>
        <w:bottom w:val="none" w:sz="0" w:space="0" w:color="auto"/>
        <w:right w:val="none" w:sz="0" w:space="0" w:color="auto"/>
      </w:divBdr>
    </w:div>
    <w:div w:id="1734082937">
      <w:bodyDiv w:val="1"/>
      <w:marLeft w:val="0"/>
      <w:marRight w:val="0"/>
      <w:marTop w:val="0"/>
      <w:marBottom w:val="0"/>
      <w:divBdr>
        <w:top w:val="none" w:sz="0" w:space="0" w:color="auto"/>
        <w:left w:val="none" w:sz="0" w:space="0" w:color="auto"/>
        <w:bottom w:val="none" w:sz="0" w:space="0" w:color="auto"/>
        <w:right w:val="none" w:sz="0" w:space="0" w:color="auto"/>
      </w:divBdr>
    </w:div>
    <w:div w:id="1745950289">
      <w:bodyDiv w:val="1"/>
      <w:marLeft w:val="0"/>
      <w:marRight w:val="0"/>
      <w:marTop w:val="0"/>
      <w:marBottom w:val="0"/>
      <w:divBdr>
        <w:top w:val="none" w:sz="0" w:space="0" w:color="auto"/>
        <w:left w:val="none" w:sz="0" w:space="0" w:color="auto"/>
        <w:bottom w:val="none" w:sz="0" w:space="0" w:color="auto"/>
        <w:right w:val="none" w:sz="0" w:space="0" w:color="auto"/>
      </w:divBdr>
    </w:div>
    <w:div w:id="1785463314">
      <w:bodyDiv w:val="1"/>
      <w:marLeft w:val="0"/>
      <w:marRight w:val="0"/>
      <w:marTop w:val="0"/>
      <w:marBottom w:val="0"/>
      <w:divBdr>
        <w:top w:val="none" w:sz="0" w:space="0" w:color="auto"/>
        <w:left w:val="none" w:sz="0" w:space="0" w:color="auto"/>
        <w:bottom w:val="none" w:sz="0" w:space="0" w:color="auto"/>
        <w:right w:val="none" w:sz="0" w:space="0" w:color="auto"/>
      </w:divBdr>
    </w:div>
    <w:div w:id="1868443030">
      <w:bodyDiv w:val="1"/>
      <w:marLeft w:val="0"/>
      <w:marRight w:val="0"/>
      <w:marTop w:val="0"/>
      <w:marBottom w:val="0"/>
      <w:divBdr>
        <w:top w:val="none" w:sz="0" w:space="0" w:color="auto"/>
        <w:left w:val="none" w:sz="0" w:space="0" w:color="auto"/>
        <w:bottom w:val="none" w:sz="0" w:space="0" w:color="auto"/>
        <w:right w:val="none" w:sz="0" w:space="0" w:color="auto"/>
      </w:divBdr>
    </w:div>
    <w:div w:id="1875119183">
      <w:bodyDiv w:val="1"/>
      <w:marLeft w:val="0"/>
      <w:marRight w:val="0"/>
      <w:marTop w:val="0"/>
      <w:marBottom w:val="0"/>
      <w:divBdr>
        <w:top w:val="none" w:sz="0" w:space="0" w:color="auto"/>
        <w:left w:val="none" w:sz="0" w:space="0" w:color="auto"/>
        <w:bottom w:val="none" w:sz="0" w:space="0" w:color="auto"/>
        <w:right w:val="none" w:sz="0" w:space="0" w:color="auto"/>
      </w:divBdr>
    </w:div>
    <w:div w:id="1888368851">
      <w:bodyDiv w:val="1"/>
      <w:marLeft w:val="0"/>
      <w:marRight w:val="0"/>
      <w:marTop w:val="0"/>
      <w:marBottom w:val="0"/>
      <w:divBdr>
        <w:top w:val="none" w:sz="0" w:space="0" w:color="auto"/>
        <w:left w:val="none" w:sz="0" w:space="0" w:color="auto"/>
        <w:bottom w:val="none" w:sz="0" w:space="0" w:color="auto"/>
        <w:right w:val="none" w:sz="0" w:space="0" w:color="auto"/>
      </w:divBdr>
    </w:div>
    <w:div w:id="1918787126">
      <w:bodyDiv w:val="1"/>
      <w:marLeft w:val="0"/>
      <w:marRight w:val="0"/>
      <w:marTop w:val="0"/>
      <w:marBottom w:val="0"/>
      <w:divBdr>
        <w:top w:val="none" w:sz="0" w:space="0" w:color="auto"/>
        <w:left w:val="none" w:sz="0" w:space="0" w:color="auto"/>
        <w:bottom w:val="none" w:sz="0" w:space="0" w:color="auto"/>
        <w:right w:val="none" w:sz="0" w:space="0" w:color="auto"/>
      </w:divBdr>
    </w:div>
    <w:div w:id="1932158713">
      <w:bodyDiv w:val="1"/>
      <w:marLeft w:val="0"/>
      <w:marRight w:val="0"/>
      <w:marTop w:val="0"/>
      <w:marBottom w:val="0"/>
      <w:divBdr>
        <w:top w:val="none" w:sz="0" w:space="0" w:color="auto"/>
        <w:left w:val="none" w:sz="0" w:space="0" w:color="auto"/>
        <w:bottom w:val="none" w:sz="0" w:space="0" w:color="auto"/>
        <w:right w:val="none" w:sz="0" w:space="0" w:color="auto"/>
      </w:divBdr>
    </w:div>
    <w:div w:id="2000883577">
      <w:bodyDiv w:val="1"/>
      <w:marLeft w:val="0"/>
      <w:marRight w:val="0"/>
      <w:marTop w:val="0"/>
      <w:marBottom w:val="0"/>
      <w:divBdr>
        <w:top w:val="none" w:sz="0" w:space="0" w:color="auto"/>
        <w:left w:val="none" w:sz="0" w:space="0" w:color="auto"/>
        <w:bottom w:val="none" w:sz="0" w:space="0" w:color="auto"/>
        <w:right w:val="none" w:sz="0" w:space="0" w:color="auto"/>
      </w:divBdr>
    </w:div>
    <w:div w:id="204433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footer" Target="footer1.xml"/><Relationship Id="rId47" Type="http://schemas.openxmlformats.org/officeDocument/2006/relationships/image" Target="media/image36.emf"/><Relationship Id="rId50" Type="http://schemas.openxmlformats.org/officeDocument/2006/relationships/image" Target="media/image39.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4.emf"/><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image" Target="media/image33.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2.emf"/><Relationship Id="rId48" Type="http://schemas.openxmlformats.org/officeDocument/2006/relationships/image" Target="media/image37.emf"/><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5.emf"/><Relationship Id="rId20" Type="http://schemas.openxmlformats.org/officeDocument/2006/relationships/image" Target="media/image10.emf"/><Relationship Id="rId41" Type="http://schemas.openxmlformats.org/officeDocument/2006/relationships/image" Target="media/image31.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8.emf"/></Relationships>
</file>

<file path=word/_rels/footnotes.xml.rels><?xml version="1.0" encoding="UTF-8" standalone="yes"?>
<Relationships xmlns="http://schemas.openxmlformats.org/package/2006/relationships"><Relationship Id="rId2" Type="http://schemas.openxmlformats.org/officeDocument/2006/relationships/hyperlink" Target="https://www.sigmaweb.org/publications/Monitoring-Report-2021-Albania.pdf" TargetMode="External"/><Relationship Id="rId1" Type="http://schemas.openxmlformats.org/officeDocument/2006/relationships/hyperlink" Target="https://www.imf.org/en/Topics/fiscal-policies/Fiscal-Risks/Fiscal-Risks-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f0acec-4a30-4b56-bb11-65f7c5eff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071E97698B064FB9A50DC7CD2575BE" ma:contentTypeVersion="18" ma:contentTypeDescription="Create a new document." ma:contentTypeScope="" ma:versionID="adfe8c0abb9d45a40af6ff1018e7182c">
  <xsd:schema xmlns:xsd="http://www.w3.org/2001/XMLSchema" xmlns:xs="http://www.w3.org/2001/XMLSchema" xmlns:p="http://schemas.microsoft.com/office/2006/metadata/properties" xmlns:ns3="bef0acec-4a30-4b56-bb11-65f7c5eff070" xmlns:ns4="8d15ee49-985b-405f-b771-1e1a220098df" targetNamespace="http://schemas.microsoft.com/office/2006/metadata/properties" ma:root="true" ma:fieldsID="6eafc7dee10c6055c1825c63b56fec71" ns3:_="" ns4:_="">
    <xsd:import namespace="bef0acec-4a30-4b56-bb11-65f7c5eff070"/>
    <xsd:import namespace="8d15ee49-985b-405f-b771-1e1a220098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0acec-4a30-4b56-bb11-65f7c5eff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5ee49-985b-405f-b771-1e1a220098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B8EFB-7AF7-467C-BAA8-10F5047C8660}">
  <ds:schemaRefs>
    <ds:schemaRef ds:uri="http://schemas.microsoft.com/sharepoint/v3/contenttype/forms"/>
  </ds:schemaRefs>
</ds:datastoreItem>
</file>

<file path=customXml/itemProps2.xml><?xml version="1.0" encoding="utf-8"?>
<ds:datastoreItem xmlns:ds="http://schemas.openxmlformats.org/officeDocument/2006/customXml" ds:itemID="{6C4F17A9-4B10-449C-B5AF-DE91225F07F1}">
  <ds:schemaRefs>
    <ds:schemaRef ds:uri="http://schemas.microsoft.com/office/2006/metadata/properties"/>
    <ds:schemaRef ds:uri="http://schemas.microsoft.com/office/infopath/2007/PartnerControls"/>
    <ds:schemaRef ds:uri="bef0acec-4a30-4b56-bb11-65f7c5eff070"/>
  </ds:schemaRefs>
</ds:datastoreItem>
</file>

<file path=customXml/itemProps3.xml><?xml version="1.0" encoding="utf-8"?>
<ds:datastoreItem xmlns:ds="http://schemas.openxmlformats.org/officeDocument/2006/customXml" ds:itemID="{D8A1EC6B-FC7A-4824-8609-B098E5013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0acec-4a30-4b56-bb11-65f7c5eff070"/>
    <ds:schemaRef ds:uri="8d15ee49-985b-405f-b771-1e1a2200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A8B3B-7368-486D-8F68-A451A197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26582</Words>
  <Characters>151520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Endel</dc:creator>
  <cp:keywords/>
  <dc:description/>
  <cp:lastModifiedBy>Anila Panajoti</cp:lastModifiedBy>
  <cp:revision>3</cp:revision>
  <cp:lastPrinted>2024-04-05T10:05:00Z</cp:lastPrinted>
  <dcterms:created xsi:type="dcterms:W3CDTF">2024-04-05T12:03:00Z</dcterms:created>
  <dcterms:modified xsi:type="dcterms:W3CDTF">2024-04-05T12:03:00Z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0x0101004B071E97698B064FB9A50DC7CD2575BE</vt:lpwstr>
  </property>
</Properties>
</file>