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E5945" w14:textId="77777777" w:rsidR="007D70AC" w:rsidRDefault="007D70AC" w:rsidP="00C81923">
      <w:pPr>
        <w:pStyle w:val="H-titel"/>
        <w:rPr>
          <w:rStyle w:val="IntenseReference"/>
          <w:rFonts w:eastAsiaTheme="majorEastAsia" w:cstheme="majorBidi"/>
          <w:i w:val="0"/>
          <w:sz w:val="44"/>
          <w:szCs w:val="32"/>
          <w:lang w:val="en-GB"/>
        </w:rPr>
      </w:pPr>
      <w:bookmarkStart w:id="0" w:name="_GoBack"/>
      <w:bookmarkEnd w:id="0"/>
    </w:p>
    <w:p w14:paraId="0E13659D" w14:textId="77777777" w:rsidR="007D70AC" w:rsidRDefault="007D70AC" w:rsidP="00C81923">
      <w:pPr>
        <w:pStyle w:val="H-titel"/>
        <w:rPr>
          <w:rStyle w:val="IntenseReference"/>
          <w:rFonts w:eastAsiaTheme="majorEastAsia" w:cstheme="majorBidi"/>
          <w:i w:val="0"/>
          <w:sz w:val="44"/>
          <w:szCs w:val="32"/>
          <w:lang w:val="en-GB"/>
        </w:rPr>
      </w:pPr>
    </w:p>
    <w:p w14:paraId="192DFEB2" w14:textId="77777777" w:rsidR="007D70AC" w:rsidRDefault="007D70AC" w:rsidP="00C81923">
      <w:pPr>
        <w:pStyle w:val="H-titel"/>
        <w:rPr>
          <w:rStyle w:val="IntenseReference"/>
          <w:rFonts w:eastAsiaTheme="majorEastAsia" w:cstheme="majorBidi"/>
          <w:i w:val="0"/>
          <w:sz w:val="44"/>
          <w:szCs w:val="32"/>
          <w:lang w:val="en-GB"/>
        </w:rPr>
      </w:pPr>
    </w:p>
    <w:p w14:paraId="1490B128" w14:textId="77777777" w:rsidR="007D70AC" w:rsidRDefault="007D70AC" w:rsidP="00C81923">
      <w:pPr>
        <w:pStyle w:val="H-titel"/>
        <w:rPr>
          <w:rStyle w:val="IntenseReference"/>
          <w:rFonts w:eastAsiaTheme="majorEastAsia" w:cstheme="majorBidi"/>
          <w:i w:val="0"/>
          <w:sz w:val="44"/>
          <w:szCs w:val="32"/>
          <w:lang w:val="en-GB"/>
        </w:rPr>
      </w:pPr>
    </w:p>
    <w:p w14:paraId="4B307DD7" w14:textId="16D72F22" w:rsidR="00DA1F8C" w:rsidRPr="00DA1F8C" w:rsidRDefault="00DA1F8C" w:rsidP="00DA1F8C">
      <w:pPr>
        <w:pStyle w:val="H-titel"/>
        <w:spacing w:line="360" w:lineRule="auto"/>
        <w:jc w:val="center"/>
        <w:rPr>
          <w:rStyle w:val="IntenseReference"/>
          <w:rFonts w:ascii="Albertus Extra Bold" w:eastAsiaTheme="majorEastAsia" w:hAnsi="Albertus Extra Bold" w:cstheme="majorBidi"/>
          <w:i w:val="0"/>
          <w:sz w:val="48"/>
          <w:szCs w:val="32"/>
          <w:lang w:val="it-IT"/>
        </w:rPr>
      </w:pPr>
      <w:r w:rsidRPr="00DA1F8C">
        <w:rPr>
          <w:rStyle w:val="IntenseReference"/>
          <w:rFonts w:ascii="Albertus Extra Bold" w:eastAsiaTheme="majorEastAsia" w:hAnsi="Albertus Extra Bold" w:cstheme="majorBidi"/>
          <w:i w:val="0"/>
          <w:sz w:val="48"/>
          <w:szCs w:val="32"/>
          <w:lang w:val="it-IT"/>
        </w:rPr>
        <w:t xml:space="preserve">STRATEGJIA SEKTORIALE E </w:t>
      </w:r>
    </w:p>
    <w:p w14:paraId="43D32330" w14:textId="77777777" w:rsidR="00DA1F8C" w:rsidRPr="00DA1F8C" w:rsidRDefault="00DA1F8C" w:rsidP="00DA1F8C">
      <w:pPr>
        <w:pStyle w:val="H-titel"/>
        <w:spacing w:line="360" w:lineRule="auto"/>
        <w:jc w:val="center"/>
        <w:rPr>
          <w:rStyle w:val="IntenseReference"/>
          <w:rFonts w:ascii="Albertus Extra Bold" w:eastAsiaTheme="majorEastAsia" w:hAnsi="Albertus Extra Bold" w:cstheme="majorBidi"/>
          <w:i w:val="0"/>
          <w:sz w:val="48"/>
          <w:szCs w:val="32"/>
          <w:lang w:val="it-IT"/>
        </w:rPr>
      </w:pPr>
      <w:r w:rsidRPr="00DA1F8C">
        <w:rPr>
          <w:rStyle w:val="IntenseReference"/>
          <w:rFonts w:ascii="Albertus Extra Bold" w:eastAsiaTheme="majorEastAsia" w:hAnsi="Albertus Extra Bold" w:cstheme="majorBidi"/>
          <w:i w:val="0"/>
          <w:sz w:val="48"/>
          <w:szCs w:val="32"/>
          <w:lang w:val="it-IT"/>
        </w:rPr>
        <w:t xml:space="preserve">MENAXHIMIT TË FINANCAVE PUBLIKE 2023-2030 </w:t>
      </w:r>
    </w:p>
    <w:p w14:paraId="49E1B495" w14:textId="0FA061DE" w:rsidR="00C81923" w:rsidRPr="00DA1F8C" w:rsidRDefault="00DA1F8C" w:rsidP="00DA1F8C">
      <w:pPr>
        <w:pStyle w:val="H-titel"/>
        <w:spacing w:line="360" w:lineRule="auto"/>
        <w:jc w:val="center"/>
        <w:rPr>
          <w:rStyle w:val="IntenseReference"/>
          <w:rFonts w:ascii="Albertus Extra Bold" w:eastAsiaTheme="majorEastAsia" w:hAnsi="Albertus Extra Bold" w:cstheme="majorBidi"/>
          <w:i w:val="0"/>
          <w:sz w:val="48"/>
          <w:szCs w:val="32"/>
          <w:lang w:val="it-IT"/>
        </w:rPr>
      </w:pPr>
      <w:r w:rsidRPr="00DA1F8C">
        <w:rPr>
          <w:rStyle w:val="IntenseReference"/>
          <w:rFonts w:ascii="Albertus Extra Bold" w:eastAsiaTheme="majorEastAsia" w:hAnsi="Albertus Extra Bold" w:cstheme="majorBidi"/>
          <w:i w:val="0"/>
          <w:sz w:val="48"/>
          <w:szCs w:val="32"/>
          <w:lang w:val="it-IT"/>
        </w:rPr>
        <w:t>DHE PLANI I VEPRIMIT 2023-2026</w:t>
      </w:r>
    </w:p>
    <w:p w14:paraId="2199C7AA" w14:textId="77777777" w:rsidR="00E80DF6" w:rsidRPr="009D660E" w:rsidRDefault="00E80DF6" w:rsidP="00DA1F8C">
      <w:pPr>
        <w:spacing w:line="360" w:lineRule="auto"/>
        <w:rPr>
          <w:lang w:val="it-IT"/>
        </w:rPr>
      </w:pPr>
    </w:p>
    <w:p w14:paraId="56370426" w14:textId="77777777" w:rsidR="007D70AC" w:rsidRPr="009D660E" w:rsidRDefault="007D70AC" w:rsidP="00DA1F8C">
      <w:pPr>
        <w:spacing w:line="360" w:lineRule="auto"/>
        <w:rPr>
          <w:lang w:val="it-IT"/>
        </w:rPr>
      </w:pPr>
    </w:p>
    <w:p w14:paraId="17A70916" w14:textId="77777777" w:rsidR="007D70AC" w:rsidRPr="009D660E" w:rsidRDefault="007D70AC" w:rsidP="00DA1F8C">
      <w:pPr>
        <w:spacing w:line="360" w:lineRule="auto"/>
        <w:rPr>
          <w:lang w:val="it-IT"/>
        </w:rPr>
      </w:pPr>
    </w:p>
    <w:p w14:paraId="7E145E51" w14:textId="77777777" w:rsidR="007D70AC" w:rsidRPr="009D660E" w:rsidRDefault="007D70AC" w:rsidP="00DA1F8C">
      <w:pPr>
        <w:spacing w:line="360" w:lineRule="auto"/>
        <w:rPr>
          <w:lang w:val="it-IT"/>
        </w:rPr>
      </w:pPr>
    </w:p>
    <w:p w14:paraId="60EE65DC" w14:textId="77777777" w:rsidR="007D70AC" w:rsidRPr="009D660E" w:rsidRDefault="007D70AC" w:rsidP="00E80DF6">
      <w:pPr>
        <w:rPr>
          <w:lang w:val="it-IT"/>
        </w:rPr>
      </w:pPr>
    </w:p>
    <w:p w14:paraId="34C6A48E" w14:textId="77777777" w:rsidR="007D70AC" w:rsidRPr="009D660E" w:rsidRDefault="007D70AC" w:rsidP="00E80DF6">
      <w:pPr>
        <w:rPr>
          <w:lang w:val="it-IT"/>
        </w:rPr>
      </w:pPr>
    </w:p>
    <w:p w14:paraId="43A3AA30" w14:textId="77777777" w:rsidR="007D70AC" w:rsidRPr="009D660E" w:rsidRDefault="007D70AC" w:rsidP="00E80DF6">
      <w:pPr>
        <w:rPr>
          <w:lang w:val="it-IT"/>
        </w:rPr>
      </w:pPr>
    </w:p>
    <w:p w14:paraId="78C4BBAA" w14:textId="77777777" w:rsidR="007D70AC" w:rsidRPr="009D660E" w:rsidRDefault="007D70AC" w:rsidP="00E80DF6">
      <w:pPr>
        <w:rPr>
          <w:lang w:val="it-IT"/>
        </w:rPr>
      </w:pPr>
    </w:p>
    <w:p w14:paraId="2E606CDC" w14:textId="77777777" w:rsidR="007D70AC" w:rsidRPr="009D660E" w:rsidRDefault="007D70AC" w:rsidP="00E80DF6">
      <w:pPr>
        <w:rPr>
          <w:lang w:val="it-IT"/>
        </w:rPr>
      </w:pPr>
    </w:p>
    <w:p w14:paraId="443CF064" w14:textId="77777777" w:rsidR="007D70AC" w:rsidRPr="009D660E" w:rsidRDefault="007D70AC" w:rsidP="00E80DF6">
      <w:pPr>
        <w:rPr>
          <w:lang w:val="it-IT"/>
        </w:rPr>
      </w:pPr>
    </w:p>
    <w:p w14:paraId="70DEF634" w14:textId="77777777" w:rsidR="007D70AC" w:rsidRPr="009D660E" w:rsidRDefault="007D70AC" w:rsidP="00E80DF6">
      <w:pPr>
        <w:rPr>
          <w:lang w:val="it-IT"/>
        </w:rPr>
      </w:pPr>
    </w:p>
    <w:p w14:paraId="34982CD7" w14:textId="77777777" w:rsidR="007D70AC" w:rsidRPr="009D660E" w:rsidRDefault="007D70AC" w:rsidP="00E80DF6">
      <w:pPr>
        <w:rPr>
          <w:lang w:val="it-IT"/>
        </w:rPr>
      </w:pPr>
    </w:p>
    <w:p w14:paraId="4CFD0900" w14:textId="77777777" w:rsidR="007D70AC" w:rsidRPr="009D660E" w:rsidRDefault="007D70AC" w:rsidP="00E80DF6">
      <w:pPr>
        <w:rPr>
          <w:lang w:val="it-IT"/>
        </w:rPr>
      </w:pPr>
    </w:p>
    <w:p w14:paraId="224F1720" w14:textId="77777777" w:rsidR="007D70AC" w:rsidRPr="009D660E" w:rsidRDefault="007D70AC" w:rsidP="00E80DF6">
      <w:pPr>
        <w:rPr>
          <w:lang w:val="it-IT"/>
        </w:rPr>
      </w:pPr>
    </w:p>
    <w:p w14:paraId="4F36DD19" w14:textId="77777777" w:rsidR="007D70AC" w:rsidRPr="009D660E" w:rsidRDefault="007D70AC" w:rsidP="00E80DF6">
      <w:pPr>
        <w:rPr>
          <w:lang w:val="it-IT"/>
        </w:rPr>
      </w:pPr>
    </w:p>
    <w:p w14:paraId="06CCE3F3" w14:textId="77777777" w:rsidR="007D70AC" w:rsidRPr="009D660E" w:rsidRDefault="007D70AC" w:rsidP="00E80DF6">
      <w:pPr>
        <w:rPr>
          <w:lang w:val="it-IT"/>
        </w:rPr>
      </w:pPr>
    </w:p>
    <w:p w14:paraId="7D5188E9" w14:textId="77777777" w:rsidR="007D70AC" w:rsidRPr="009D660E" w:rsidRDefault="007D70AC" w:rsidP="00E80DF6">
      <w:pPr>
        <w:rPr>
          <w:lang w:val="it-IT"/>
        </w:rPr>
      </w:pPr>
    </w:p>
    <w:p w14:paraId="3BFE5638" w14:textId="77777777" w:rsidR="007D70AC" w:rsidRPr="009D660E" w:rsidRDefault="007D70AC" w:rsidP="00E80DF6">
      <w:pPr>
        <w:rPr>
          <w:lang w:val="it-IT"/>
        </w:rPr>
      </w:pPr>
    </w:p>
    <w:p w14:paraId="273E7AB0" w14:textId="77777777" w:rsidR="007D70AC" w:rsidRPr="009D660E" w:rsidRDefault="007D70AC" w:rsidP="00E80DF6">
      <w:pPr>
        <w:rPr>
          <w:lang w:val="it-IT"/>
        </w:rPr>
      </w:pPr>
    </w:p>
    <w:p w14:paraId="22F56B56" w14:textId="77777777" w:rsidR="007D70AC" w:rsidRPr="009D660E" w:rsidRDefault="007D70AC" w:rsidP="00E80DF6">
      <w:pPr>
        <w:rPr>
          <w:lang w:val="it-IT"/>
        </w:rPr>
      </w:pPr>
    </w:p>
    <w:p w14:paraId="3C237AF7" w14:textId="77777777" w:rsidR="007D70AC" w:rsidRPr="009D660E" w:rsidRDefault="007D70AC" w:rsidP="00E80DF6">
      <w:pPr>
        <w:rPr>
          <w:lang w:val="it-IT"/>
        </w:rPr>
      </w:pPr>
    </w:p>
    <w:p w14:paraId="38311C77" w14:textId="77777777" w:rsidR="007D70AC" w:rsidRPr="009D660E" w:rsidRDefault="007D70AC" w:rsidP="00E80DF6">
      <w:pPr>
        <w:rPr>
          <w:lang w:val="it-IT"/>
        </w:rPr>
      </w:pPr>
    </w:p>
    <w:p w14:paraId="4F1DC6B0" w14:textId="77777777" w:rsidR="007D70AC" w:rsidRPr="009D660E" w:rsidRDefault="007D70AC" w:rsidP="00E80DF6">
      <w:pPr>
        <w:rPr>
          <w:lang w:val="it-IT"/>
        </w:rPr>
      </w:pPr>
    </w:p>
    <w:p w14:paraId="445C3663" w14:textId="77777777" w:rsidR="007D70AC" w:rsidRPr="009D660E" w:rsidRDefault="007D70AC" w:rsidP="00E80DF6">
      <w:pPr>
        <w:rPr>
          <w:lang w:val="it-IT"/>
        </w:rPr>
      </w:pPr>
    </w:p>
    <w:p w14:paraId="209F55C0" w14:textId="77777777" w:rsidR="007D70AC" w:rsidRPr="009D660E" w:rsidRDefault="007D70AC" w:rsidP="00E80DF6">
      <w:pPr>
        <w:rPr>
          <w:lang w:val="it-IT"/>
        </w:rPr>
      </w:pPr>
    </w:p>
    <w:p w14:paraId="1BA95BCD" w14:textId="77777777" w:rsidR="007D70AC" w:rsidRPr="009D660E" w:rsidRDefault="007D70AC" w:rsidP="00E80DF6">
      <w:pPr>
        <w:rPr>
          <w:lang w:val="it-IT"/>
        </w:rPr>
      </w:pPr>
    </w:p>
    <w:p w14:paraId="4B339207" w14:textId="77777777" w:rsidR="007D70AC" w:rsidRPr="009D660E" w:rsidRDefault="007D70AC" w:rsidP="00E80DF6">
      <w:pPr>
        <w:rPr>
          <w:lang w:val="it-IT"/>
        </w:rPr>
      </w:pPr>
    </w:p>
    <w:p w14:paraId="1475E61F" w14:textId="77777777" w:rsidR="007D70AC" w:rsidRPr="009D660E" w:rsidRDefault="007D70AC" w:rsidP="00E80DF6">
      <w:pPr>
        <w:rPr>
          <w:lang w:val="it-IT"/>
        </w:rPr>
      </w:pPr>
    </w:p>
    <w:p w14:paraId="0A09E2FF" w14:textId="77777777" w:rsidR="007D70AC" w:rsidRPr="009D660E" w:rsidRDefault="007D70AC" w:rsidP="00E80DF6">
      <w:pPr>
        <w:rPr>
          <w:lang w:val="it-IT"/>
        </w:rPr>
      </w:pPr>
    </w:p>
    <w:p w14:paraId="3670A324" w14:textId="606F6CCF" w:rsidR="00C81923" w:rsidRPr="0059094E" w:rsidRDefault="00811973" w:rsidP="00FE6921">
      <w:pPr>
        <w:rPr>
          <w:rStyle w:val="IntenseReference"/>
          <w:rFonts w:eastAsiaTheme="majorEastAsia" w:cstheme="majorBidi"/>
          <w:i w:val="0"/>
          <w:sz w:val="26"/>
          <w:szCs w:val="26"/>
          <w:lang w:val="it-IT"/>
        </w:rPr>
      </w:pPr>
      <w:r w:rsidRPr="0059094E">
        <w:rPr>
          <w:rStyle w:val="IntenseReference"/>
          <w:rFonts w:eastAsiaTheme="majorEastAsia" w:cstheme="majorBidi"/>
          <w:i w:val="0"/>
          <w:sz w:val="26"/>
          <w:szCs w:val="26"/>
          <w:lang w:val="it-IT"/>
        </w:rPr>
        <w:t xml:space="preserve">Tabela e Përmbajtjes </w:t>
      </w:r>
    </w:p>
    <w:sdt>
      <w:sdtPr>
        <w:rPr>
          <w:lang w:val="en-GB"/>
        </w:rPr>
        <w:id w:val="1212147647"/>
        <w:docPartObj>
          <w:docPartGallery w:val="Table of Contents"/>
          <w:docPartUnique/>
        </w:docPartObj>
      </w:sdtPr>
      <w:sdtEndPr>
        <w:rPr>
          <w:b/>
          <w:bCs/>
          <w:noProof/>
        </w:rPr>
      </w:sdtEndPr>
      <w:sdtContent>
        <w:p w14:paraId="40465EC2" w14:textId="2090F428" w:rsidR="00C81923" w:rsidRPr="001F151E" w:rsidRDefault="00C81923" w:rsidP="00AC589A">
          <w:pPr>
            <w:rPr>
              <w:lang w:val="en-GB"/>
            </w:rPr>
          </w:pPr>
        </w:p>
        <w:p w14:paraId="77D676D6" w14:textId="77777777" w:rsidR="009135D9" w:rsidRDefault="00C81923">
          <w:pPr>
            <w:pStyle w:val="TOC1"/>
            <w:rPr>
              <w:rFonts w:asciiTheme="minorHAnsi" w:eastAsiaTheme="minorEastAsia" w:hAnsiTheme="minorHAnsi" w:cstheme="minorBidi"/>
              <w:noProof/>
              <w:sz w:val="22"/>
              <w:szCs w:val="22"/>
            </w:rPr>
          </w:pPr>
          <w:r w:rsidRPr="001F151E">
            <w:rPr>
              <w:lang w:val="en-GB"/>
            </w:rPr>
            <w:fldChar w:fldCharType="begin"/>
          </w:r>
          <w:r w:rsidRPr="001F151E">
            <w:rPr>
              <w:lang w:val="en-GB"/>
            </w:rPr>
            <w:instrText xml:space="preserve"> TOC \o "1-3" \h \z \u </w:instrText>
          </w:r>
          <w:r w:rsidRPr="001F151E">
            <w:rPr>
              <w:lang w:val="en-GB"/>
            </w:rPr>
            <w:fldChar w:fldCharType="separate"/>
          </w:r>
          <w:hyperlink w:anchor="_Toc161748798" w:history="1">
            <w:r w:rsidR="009135D9" w:rsidRPr="00F85430">
              <w:rPr>
                <w:rStyle w:val="Hyperlink"/>
                <w:noProof/>
                <w:lang w:val="en-GB"/>
              </w:rPr>
              <w:t>Lista e Shkurtimeve</w:t>
            </w:r>
            <w:r w:rsidR="009135D9">
              <w:rPr>
                <w:noProof/>
                <w:webHidden/>
              </w:rPr>
              <w:tab/>
            </w:r>
            <w:r w:rsidR="009135D9">
              <w:rPr>
                <w:noProof/>
                <w:webHidden/>
              </w:rPr>
              <w:fldChar w:fldCharType="begin"/>
            </w:r>
            <w:r w:rsidR="009135D9">
              <w:rPr>
                <w:noProof/>
                <w:webHidden/>
              </w:rPr>
              <w:instrText xml:space="preserve"> PAGEREF _Toc161748798 \h </w:instrText>
            </w:r>
            <w:r w:rsidR="009135D9">
              <w:rPr>
                <w:noProof/>
                <w:webHidden/>
              </w:rPr>
            </w:r>
            <w:r w:rsidR="009135D9">
              <w:rPr>
                <w:noProof/>
                <w:webHidden/>
              </w:rPr>
              <w:fldChar w:fldCharType="separate"/>
            </w:r>
            <w:r w:rsidR="00CE577D">
              <w:rPr>
                <w:noProof/>
                <w:webHidden/>
              </w:rPr>
              <w:t>4</w:t>
            </w:r>
            <w:r w:rsidR="009135D9">
              <w:rPr>
                <w:noProof/>
                <w:webHidden/>
              </w:rPr>
              <w:fldChar w:fldCharType="end"/>
            </w:r>
          </w:hyperlink>
        </w:p>
        <w:p w14:paraId="7999F616" w14:textId="77777777" w:rsidR="009135D9" w:rsidRDefault="00F52403">
          <w:pPr>
            <w:pStyle w:val="TOC1"/>
            <w:rPr>
              <w:rFonts w:asciiTheme="minorHAnsi" w:eastAsiaTheme="minorEastAsia" w:hAnsiTheme="minorHAnsi" w:cstheme="minorBidi"/>
              <w:noProof/>
              <w:sz w:val="22"/>
              <w:szCs w:val="22"/>
            </w:rPr>
          </w:pPr>
          <w:hyperlink w:anchor="_Toc161748799" w:history="1">
            <w:r w:rsidR="009135D9" w:rsidRPr="00F85430">
              <w:rPr>
                <w:rStyle w:val="Hyperlink"/>
                <w:noProof/>
                <w:lang w:val="en-GB"/>
              </w:rPr>
              <w:t>Përmbledhja ekzekutive</w:t>
            </w:r>
            <w:r w:rsidR="009135D9">
              <w:rPr>
                <w:noProof/>
                <w:webHidden/>
              </w:rPr>
              <w:tab/>
            </w:r>
            <w:r w:rsidR="009135D9">
              <w:rPr>
                <w:noProof/>
                <w:webHidden/>
              </w:rPr>
              <w:fldChar w:fldCharType="begin"/>
            </w:r>
            <w:r w:rsidR="009135D9">
              <w:rPr>
                <w:noProof/>
                <w:webHidden/>
              </w:rPr>
              <w:instrText xml:space="preserve"> PAGEREF _Toc161748799 \h </w:instrText>
            </w:r>
            <w:r w:rsidR="009135D9">
              <w:rPr>
                <w:noProof/>
                <w:webHidden/>
              </w:rPr>
            </w:r>
            <w:r w:rsidR="009135D9">
              <w:rPr>
                <w:noProof/>
                <w:webHidden/>
              </w:rPr>
              <w:fldChar w:fldCharType="separate"/>
            </w:r>
            <w:r w:rsidR="00CE577D">
              <w:rPr>
                <w:noProof/>
                <w:webHidden/>
              </w:rPr>
              <w:t>6</w:t>
            </w:r>
            <w:r w:rsidR="009135D9">
              <w:rPr>
                <w:noProof/>
                <w:webHidden/>
              </w:rPr>
              <w:fldChar w:fldCharType="end"/>
            </w:r>
          </w:hyperlink>
        </w:p>
        <w:p w14:paraId="22829E0F" w14:textId="77777777" w:rsidR="009135D9" w:rsidRDefault="00F52403">
          <w:pPr>
            <w:pStyle w:val="TOC1"/>
            <w:rPr>
              <w:rFonts w:asciiTheme="minorHAnsi" w:eastAsiaTheme="minorEastAsia" w:hAnsiTheme="minorHAnsi" w:cstheme="minorBidi"/>
              <w:noProof/>
              <w:sz w:val="22"/>
              <w:szCs w:val="22"/>
            </w:rPr>
          </w:pPr>
          <w:hyperlink w:anchor="_Toc161748800" w:history="1">
            <w:r w:rsidR="009135D9" w:rsidRPr="00F85430">
              <w:rPr>
                <w:rStyle w:val="Hyperlink"/>
                <w:noProof/>
                <w:lang w:val="en-GB"/>
              </w:rPr>
              <w:t>1</w:t>
            </w:r>
            <w:r w:rsidR="009135D9">
              <w:rPr>
                <w:rFonts w:asciiTheme="minorHAnsi" w:eastAsiaTheme="minorEastAsia" w:hAnsiTheme="minorHAnsi" w:cstheme="minorBidi"/>
                <w:noProof/>
                <w:sz w:val="22"/>
                <w:szCs w:val="22"/>
              </w:rPr>
              <w:tab/>
            </w:r>
            <w:r w:rsidR="009135D9" w:rsidRPr="00F85430">
              <w:rPr>
                <w:rStyle w:val="Hyperlink"/>
                <w:noProof/>
                <w:lang w:val="en-GB"/>
              </w:rPr>
              <w:t>Hyrje</w:t>
            </w:r>
            <w:r w:rsidR="009135D9">
              <w:rPr>
                <w:noProof/>
                <w:webHidden/>
              </w:rPr>
              <w:tab/>
            </w:r>
            <w:r w:rsidR="009135D9">
              <w:rPr>
                <w:noProof/>
                <w:webHidden/>
              </w:rPr>
              <w:fldChar w:fldCharType="begin"/>
            </w:r>
            <w:r w:rsidR="009135D9">
              <w:rPr>
                <w:noProof/>
                <w:webHidden/>
              </w:rPr>
              <w:instrText xml:space="preserve"> PAGEREF _Toc161748800 \h </w:instrText>
            </w:r>
            <w:r w:rsidR="009135D9">
              <w:rPr>
                <w:noProof/>
                <w:webHidden/>
              </w:rPr>
            </w:r>
            <w:r w:rsidR="009135D9">
              <w:rPr>
                <w:noProof/>
                <w:webHidden/>
              </w:rPr>
              <w:fldChar w:fldCharType="separate"/>
            </w:r>
            <w:r w:rsidR="00CE577D">
              <w:rPr>
                <w:noProof/>
                <w:webHidden/>
              </w:rPr>
              <w:t>8</w:t>
            </w:r>
            <w:r w:rsidR="009135D9">
              <w:rPr>
                <w:noProof/>
                <w:webHidden/>
              </w:rPr>
              <w:fldChar w:fldCharType="end"/>
            </w:r>
          </w:hyperlink>
        </w:p>
        <w:p w14:paraId="07F666DE" w14:textId="77777777" w:rsidR="009135D9" w:rsidRDefault="00F52403">
          <w:pPr>
            <w:pStyle w:val="TOC2"/>
            <w:rPr>
              <w:rFonts w:asciiTheme="minorHAnsi" w:eastAsiaTheme="minorEastAsia" w:hAnsiTheme="minorHAnsi" w:cstheme="minorBidi"/>
              <w:noProof/>
              <w:sz w:val="22"/>
              <w:szCs w:val="22"/>
            </w:rPr>
          </w:pPr>
          <w:hyperlink w:anchor="_Toc161748801" w:history="1">
            <w:r w:rsidR="009135D9" w:rsidRPr="00F85430">
              <w:rPr>
                <w:rStyle w:val="Hyperlink"/>
                <w:noProof/>
                <w:lang w:val="en-GB"/>
              </w:rPr>
              <w:t>1.1</w:t>
            </w:r>
            <w:r w:rsidR="009135D9">
              <w:rPr>
                <w:rFonts w:asciiTheme="minorHAnsi" w:eastAsiaTheme="minorEastAsia" w:hAnsiTheme="minorHAnsi" w:cstheme="minorBidi"/>
                <w:noProof/>
                <w:sz w:val="22"/>
                <w:szCs w:val="22"/>
              </w:rPr>
              <w:tab/>
            </w:r>
            <w:r w:rsidR="009135D9" w:rsidRPr="00F85430">
              <w:rPr>
                <w:rStyle w:val="Hyperlink"/>
                <w:noProof/>
                <w:lang w:val="en-GB"/>
              </w:rPr>
              <w:t>Fusha dhe qëllimi</w:t>
            </w:r>
            <w:r w:rsidR="009135D9">
              <w:rPr>
                <w:noProof/>
                <w:webHidden/>
              </w:rPr>
              <w:tab/>
            </w:r>
            <w:r w:rsidR="009135D9">
              <w:rPr>
                <w:noProof/>
                <w:webHidden/>
              </w:rPr>
              <w:fldChar w:fldCharType="begin"/>
            </w:r>
            <w:r w:rsidR="009135D9">
              <w:rPr>
                <w:noProof/>
                <w:webHidden/>
              </w:rPr>
              <w:instrText xml:space="preserve"> PAGEREF _Toc161748801 \h </w:instrText>
            </w:r>
            <w:r w:rsidR="009135D9">
              <w:rPr>
                <w:noProof/>
                <w:webHidden/>
              </w:rPr>
            </w:r>
            <w:r w:rsidR="009135D9">
              <w:rPr>
                <w:noProof/>
                <w:webHidden/>
              </w:rPr>
              <w:fldChar w:fldCharType="separate"/>
            </w:r>
            <w:r w:rsidR="00CE577D">
              <w:rPr>
                <w:noProof/>
                <w:webHidden/>
              </w:rPr>
              <w:t>8</w:t>
            </w:r>
            <w:r w:rsidR="009135D9">
              <w:rPr>
                <w:noProof/>
                <w:webHidden/>
              </w:rPr>
              <w:fldChar w:fldCharType="end"/>
            </w:r>
          </w:hyperlink>
        </w:p>
        <w:p w14:paraId="12D4F5B8" w14:textId="77777777" w:rsidR="009135D9" w:rsidRDefault="00F52403">
          <w:pPr>
            <w:pStyle w:val="TOC2"/>
            <w:rPr>
              <w:rFonts w:asciiTheme="minorHAnsi" w:eastAsiaTheme="minorEastAsia" w:hAnsiTheme="minorHAnsi" w:cstheme="minorBidi"/>
              <w:noProof/>
              <w:sz w:val="22"/>
              <w:szCs w:val="22"/>
            </w:rPr>
          </w:pPr>
          <w:hyperlink w:anchor="_Toc161748802" w:history="1">
            <w:r w:rsidR="009135D9" w:rsidRPr="00F85430">
              <w:rPr>
                <w:rStyle w:val="Hyperlink"/>
                <w:noProof/>
                <w:lang w:val="it-IT"/>
              </w:rPr>
              <w:t>1.2</w:t>
            </w:r>
            <w:r w:rsidR="009135D9">
              <w:rPr>
                <w:rFonts w:asciiTheme="minorHAnsi" w:eastAsiaTheme="minorEastAsia" w:hAnsiTheme="minorHAnsi" w:cstheme="minorBidi"/>
                <w:noProof/>
                <w:sz w:val="22"/>
                <w:szCs w:val="22"/>
              </w:rPr>
              <w:tab/>
            </w:r>
            <w:r w:rsidR="009135D9" w:rsidRPr="00F85430">
              <w:rPr>
                <w:rStyle w:val="Hyperlink"/>
                <w:noProof/>
                <w:lang w:val="it-IT"/>
              </w:rPr>
              <w:t>Përmbledhja e strategjisë sektoriale të MFP-së</w:t>
            </w:r>
            <w:r w:rsidR="009135D9">
              <w:rPr>
                <w:noProof/>
                <w:webHidden/>
              </w:rPr>
              <w:tab/>
            </w:r>
            <w:r w:rsidR="009135D9">
              <w:rPr>
                <w:noProof/>
                <w:webHidden/>
              </w:rPr>
              <w:fldChar w:fldCharType="begin"/>
            </w:r>
            <w:r w:rsidR="009135D9">
              <w:rPr>
                <w:noProof/>
                <w:webHidden/>
              </w:rPr>
              <w:instrText xml:space="preserve"> PAGEREF _Toc161748802 \h </w:instrText>
            </w:r>
            <w:r w:rsidR="009135D9">
              <w:rPr>
                <w:noProof/>
                <w:webHidden/>
              </w:rPr>
            </w:r>
            <w:r w:rsidR="009135D9">
              <w:rPr>
                <w:noProof/>
                <w:webHidden/>
              </w:rPr>
              <w:fldChar w:fldCharType="separate"/>
            </w:r>
            <w:r w:rsidR="00CE577D">
              <w:rPr>
                <w:noProof/>
                <w:webHidden/>
              </w:rPr>
              <w:t>9</w:t>
            </w:r>
            <w:r w:rsidR="009135D9">
              <w:rPr>
                <w:noProof/>
                <w:webHidden/>
              </w:rPr>
              <w:fldChar w:fldCharType="end"/>
            </w:r>
          </w:hyperlink>
        </w:p>
        <w:p w14:paraId="0EE3479F" w14:textId="77777777" w:rsidR="009135D9" w:rsidRDefault="00F52403">
          <w:pPr>
            <w:pStyle w:val="TOC2"/>
            <w:rPr>
              <w:rFonts w:asciiTheme="minorHAnsi" w:eastAsiaTheme="minorEastAsia" w:hAnsiTheme="minorHAnsi" w:cstheme="minorBidi"/>
              <w:noProof/>
              <w:sz w:val="22"/>
              <w:szCs w:val="22"/>
            </w:rPr>
          </w:pPr>
          <w:hyperlink w:anchor="_Toc161748803" w:history="1">
            <w:r w:rsidR="009135D9" w:rsidRPr="00F85430">
              <w:rPr>
                <w:rStyle w:val="Hyperlink"/>
                <w:noProof/>
                <w:lang w:val="en-GB"/>
              </w:rPr>
              <w:t>1.3</w:t>
            </w:r>
            <w:r w:rsidR="009135D9">
              <w:rPr>
                <w:rFonts w:asciiTheme="minorHAnsi" w:eastAsiaTheme="minorEastAsia" w:hAnsiTheme="minorHAnsi" w:cstheme="minorBidi"/>
                <w:noProof/>
                <w:sz w:val="22"/>
                <w:szCs w:val="22"/>
              </w:rPr>
              <w:tab/>
            </w:r>
            <w:r w:rsidR="009135D9" w:rsidRPr="00F85430">
              <w:rPr>
                <w:rStyle w:val="Hyperlink"/>
                <w:noProof/>
                <w:lang w:val="en-GB"/>
              </w:rPr>
              <w:t>Përafrimi me Kuadrin Strategjik për Zhvillim Kombëtar, Integrimin Evropian, Reformat Ekonomike dhe Qeverisjen e Mirë</w:t>
            </w:r>
            <w:r w:rsidR="009135D9">
              <w:rPr>
                <w:noProof/>
                <w:webHidden/>
              </w:rPr>
              <w:tab/>
            </w:r>
            <w:r w:rsidR="009135D9">
              <w:rPr>
                <w:noProof/>
                <w:webHidden/>
              </w:rPr>
              <w:fldChar w:fldCharType="begin"/>
            </w:r>
            <w:r w:rsidR="009135D9">
              <w:rPr>
                <w:noProof/>
                <w:webHidden/>
              </w:rPr>
              <w:instrText xml:space="preserve"> PAGEREF _Toc161748803 \h </w:instrText>
            </w:r>
            <w:r w:rsidR="009135D9">
              <w:rPr>
                <w:noProof/>
                <w:webHidden/>
              </w:rPr>
            </w:r>
            <w:r w:rsidR="009135D9">
              <w:rPr>
                <w:noProof/>
                <w:webHidden/>
              </w:rPr>
              <w:fldChar w:fldCharType="separate"/>
            </w:r>
            <w:r w:rsidR="00CE577D">
              <w:rPr>
                <w:noProof/>
                <w:webHidden/>
              </w:rPr>
              <w:t>9</w:t>
            </w:r>
            <w:r w:rsidR="009135D9">
              <w:rPr>
                <w:noProof/>
                <w:webHidden/>
              </w:rPr>
              <w:fldChar w:fldCharType="end"/>
            </w:r>
          </w:hyperlink>
        </w:p>
        <w:p w14:paraId="403F65F2" w14:textId="77777777" w:rsidR="009135D9" w:rsidRDefault="00F52403">
          <w:pPr>
            <w:pStyle w:val="TOC2"/>
            <w:rPr>
              <w:rFonts w:asciiTheme="minorHAnsi" w:eastAsiaTheme="minorEastAsia" w:hAnsiTheme="minorHAnsi" w:cstheme="minorBidi"/>
              <w:noProof/>
              <w:sz w:val="22"/>
              <w:szCs w:val="22"/>
            </w:rPr>
          </w:pPr>
          <w:hyperlink w:anchor="_Toc161748804" w:history="1">
            <w:r w:rsidR="009135D9" w:rsidRPr="00F85430">
              <w:rPr>
                <w:rStyle w:val="Hyperlink"/>
                <w:noProof/>
                <w:lang w:val="sq-AL"/>
              </w:rPr>
              <w:t>1.4</w:t>
            </w:r>
            <w:r w:rsidR="009135D9">
              <w:rPr>
                <w:rFonts w:asciiTheme="minorHAnsi" w:eastAsiaTheme="minorEastAsia" w:hAnsiTheme="minorHAnsi" w:cstheme="minorBidi"/>
                <w:noProof/>
                <w:sz w:val="22"/>
                <w:szCs w:val="22"/>
              </w:rPr>
              <w:tab/>
            </w:r>
            <w:r w:rsidR="009135D9" w:rsidRPr="00F85430">
              <w:rPr>
                <w:rStyle w:val="Hyperlink"/>
                <w:noProof/>
                <w:lang w:val="sq-AL"/>
              </w:rPr>
              <w:t>Strategjitë plotësuese të reformës së MFP-së</w:t>
            </w:r>
            <w:r w:rsidR="009135D9">
              <w:rPr>
                <w:noProof/>
                <w:webHidden/>
              </w:rPr>
              <w:tab/>
            </w:r>
            <w:r w:rsidR="009135D9">
              <w:rPr>
                <w:noProof/>
                <w:webHidden/>
              </w:rPr>
              <w:fldChar w:fldCharType="begin"/>
            </w:r>
            <w:r w:rsidR="009135D9">
              <w:rPr>
                <w:noProof/>
                <w:webHidden/>
              </w:rPr>
              <w:instrText xml:space="preserve"> PAGEREF _Toc161748804 \h </w:instrText>
            </w:r>
            <w:r w:rsidR="009135D9">
              <w:rPr>
                <w:noProof/>
                <w:webHidden/>
              </w:rPr>
            </w:r>
            <w:r w:rsidR="009135D9">
              <w:rPr>
                <w:noProof/>
                <w:webHidden/>
              </w:rPr>
              <w:fldChar w:fldCharType="separate"/>
            </w:r>
            <w:r w:rsidR="00CE577D">
              <w:rPr>
                <w:noProof/>
                <w:webHidden/>
              </w:rPr>
              <w:t>12</w:t>
            </w:r>
            <w:r w:rsidR="009135D9">
              <w:rPr>
                <w:noProof/>
                <w:webHidden/>
              </w:rPr>
              <w:fldChar w:fldCharType="end"/>
            </w:r>
          </w:hyperlink>
        </w:p>
        <w:p w14:paraId="5B36BDD1" w14:textId="77777777" w:rsidR="009135D9" w:rsidRDefault="00F52403">
          <w:pPr>
            <w:pStyle w:val="TOC1"/>
            <w:rPr>
              <w:rFonts w:asciiTheme="minorHAnsi" w:eastAsiaTheme="minorEastAsia" w:hAnsiTheme="minorHAnsi" w:cstheme="minorBidi"/>
              <w:noProof/>
              <w:sz w:val="22"/>
              <w:szCs w:val="22"/>
            </w:rPr>
          </w:pPr>
          <w:hyperlink w:anchor="_Toc161748805" w:history="1">
            <w:r w:rsidR="009135D9" w:rsidRPr="00F85430">
              <w:rPr>
                <w:rStyle w:val="Hyperlink"/>
                <w:noProof/>
                <w:lang w:val="it-IT"/>
              </w:rPr>
              <w:t>2</w:t>
            </w:r>
            <w:r w:rsidR="009135D9">
              <w:rPr>
                <w:rFonts w:asciiTheme="minorHAnsi" w:eastAsiaTheme="minorEastAsia" w:hAnsiTheme="minorHAnsi" w:cstheme="minorBidi"/>
                <w:noProof/>
                <w:sz w:val="22"/>
                <w:szCs w:val="22"/>
              </w:rPr>
              <w:tab/>
            </w:r>
            <w:r w:rsidR="009135D9" w:rsidRPr="00F85430">
              <w:rPr>
                <w:rStyle w:val="Hyperlink"/>
                <w:noProof/>
                <w:lang w:val="it-IT"/>
              </w:rPr>
              <w:t xml:space="preserve">Shtylla 1: </w:t>
            </w:r>
            <w:r w:rsidR="009135D9" w:rsidRPr="00F85430">
              <w:rPr>
                <w:rStyle w:val="Hyperlink"/>
                <w:i/>
                <w:noProof/>
                <w:lang w:val="it-IT"/>
              </w:rPr>
              <w:t xml:space="preserve"> </w:t>
            </w:r>
            <w:r w:rsidR="009135D9" w:rsidRPr="00F85430">
              <w:rPr>
                <w:rStyle w:val="Hyperlink"/>
                <w:noProof/>
                <w:lang w:val="it-IT"/>
              </w:rPr>
              <w:t>Programimi Makroekonomik dhe Monitorimi i Riskut</w:t>
            </w:r>
            <w:r w:rsidR="009135D9">
              <w:rPr>
                <w:noProof/>
                <w:webHidden/>
              </w:rPr>
              <w:tab/>
            </w:r>
            <w:r w:rsidR="009135D9">
              <w:rPr>
                <w:noProof/>
                <w:webHidden/>
              </w:rPr>
              <w:fldChar w:fldCharType="begin"/>
            </w:r>
            <w:r w:rsidR="009135D9">
              <w:rPr>
                <w:noProof/>
                <w:webHidden/>
              </w:rPr>
              <w:instrText xml:space="preserve"> PAGEREF _Toc161748805 \h </w:instrText>
            </w:r>
            <w:r w:rsidR="009135D9">
              <w:rPr>
                <w:noProof/>
                <w:webHidden/>
              </w:rPr>
            </w:r>
            <w:r w:rsidR="009135D9">
              <w:rPr>
                <w:noProof/>
                <w:webHidden/>
              </w:rPr>
              <w:fldChar w:fldCharType="separate"/>
            </w:r>
            <w:r w:rsidR="00CE577D">
              <w:rPr>
                <w:noProof/>
                <w:webHidden/>
              </w:rPr>
              <w:t>15</w:t>
            </w:r>
            <w:r w:rsidR="009135D9">
              <w:rPr>
                <w:noProof/>
                <w:webHidden/>
              </w:rPr>
              <w:fldChar w:fldCharType="end"/>
            </w:r>
          </w:hyperlink>
        </w:p>
        <w:p w14:paraId="5E1CF103" w14:textId="77777777" w:rsidR="009135D9" w:rsidRDefault="00F52403">
          <w:pPr>
            <w:pStyle w:val="TOC2"/>
            <w:rPr>
              <w:rFonts w:asciiTheme="minorHAnsi" w:eastAsiaTheme="minorEastAsia" w:hAnsiTheme="minorHAnsi" w:cstheme="minorBidi"/>
              <w:noProof/>
              <w:sz w:val="22"/>
              <w:szCs w:val="22"/>
            </w:rPr>
          </w:pPr>
          <w:hyperlink w:anchor="_Toc161748806" w:history="1">
            <w:r w:rsidR="009135D9" w:rsidRPr="00F85430">
              <w:rPr>
                <w:rStyle w:val="Hyperlink"/>
                <w:noProof/>
                <w:lang w:val="en-GB"/>
              </w:rPr>
              <w:t>2.1</w:t>
            </w:r>
            <w:r w:rsidR="009135D9">
              <w:rPr>
                <w:rFonts w:asciiTheme="minorHAnsi" w:eastAsiaTheme="minorEastAsia" w:hAnsiTheme="minorHAnsi" w:cstheme="minorBidi"/>
                <w:noProof/>
                <w:sz w:val="22"/>
                <w:szCs w:val="22"/>
              </w:rPr>
              <w:tab/>
            </w:r>
            <w:r w:rsidR="009135D9" w:rsidRPr="00F85430">
              <w:rPr>
                <w:rStyle w:val="Hyperlink"/>
                <w:noProof/>
                <w:lang w:val="en-GB"/>
              </w:rPr>
              <w:t>Hyrje</w:t>
            </w:r>
            <w:r w:rsidR="009135D9">
              <w:rPr>
                <w:noProof/>
                <w:webHidden/>
              </w:rPr>
              <w:tab/>
            </w:r>
            <w:r w:rsidR="009135D9">
              <w:rPr>
                <w:noProof/>
                <w:webHidden/>
              </w:rPr>
              <w:fldChar w:fldCharType="begin"/>
            </w:r>
            <w:r w:rsidR="009135D9">
              <w:rPr>
                <w:noProof/>
                <w:webHidden/>
              </w:rPr>
              <w:instrText xml:space="preserve"> PAGEREF _Toc161748806 \h </w:instrText>
            </w:r>
            <w:r w:rsidR="009135D9">
              <w:rPr>
                <w:noProof/>
                <w:webHidden/>
              </w:rPr>
            </w:r>
            <w:r w:rsidR="009135D9">
              <w:rPr>
                <w:noProof/>
                <w:webHidden/>
              </w:rPr>
              <w:fldChar w:fldCharType="separate"/>
            </w:r>
            <w:r w:rsidR="00CE577D">
              <w:rPr>
                <w:noProof/>
                <w:webHidden/>
              </w:rPr>
              <w:t>15</w:t>
            </w:r>
            <w:r w:rsidR="009135D9">
              <w:rPr>
                <w:noProof/>
                <w:webHidden/>
              </w:rPr>
              <w:fldChar w:fldCharType="end"/>
            </w:r>
          </w:hyperlink>
        </w:p>
        <w:p w14:paraId="1756E41F" w14:textId="77777777" w:rsidR="009135D9" w:rsidRDefault="00F52403">
          <w:pPr>
            <w:pStyle w:val="TOC2"/>
            <w:rPr>
              <w:rFonts w:asciiTheme="minorHAnsi" w:eastAsiaTheme="minorEastAsia" w:hAnsiTheme="minorHAnsi" w:cstheme="minorBidi"/>
              <w:noProof/>
              <w:sz w:val="22"/>
              <w:szCs w:val="22"/>
            </w:rPr>
          </w:pPr>
          <w:hyperlink w:anchor="_Toc161748807" w:history="1">
            <w:r w:rsidR="009135D9" w:rsidRPr="00F85430">
              <w:rPr>
                <w:rStyle w:val="Hyperlink"/>
                <w:noProof/>
                <w:lang w:val="it-IT"/>
              </w:rPr>
              <w:t>2.2</w:t>
            </w:r>
            <w:r w:rsidR="009135D9">
              <w:rPr>
                <w:rFonts w:asciiTheme="minorHAnsi" w:eastAsiaTheme="minorEastAsia" w:hAnsiTheme="minorHAnsi" w:cstheme="minorBidi"/>
                <w:noProof/>
                <w:sz w:val="22"/>
                <w:szCs w:val="22"/>
              </w:rPr>
              <w:tab/>
            </w:r>
            <w:r w:rsidR="009135D9" w:rsidRPr="00F85430">
              <w:rPr>
                <w:rStyle w:val="Hyperlink"/>
                <w:noProof/>
                <w:lang w:val="it-IT"/>
              </w:rPr>
              <w:t xml:space="preserve">Komponenti 1.1 </w:t>
            </w:r>
            <w:r w:rsidR="009135D9" w:rsidRPr="00F85430">
              <w:rPr>
                <w:rStyle w:val="Hyperlink"/>
                <w:rFonts w:eastAsia="Times New Roman" w:cs="Times New Roman"/>
                <w:noProof/>
                <w:lang w:val="it-IT"/>
              </w:rPr>
              <w:t>Programimi makroekonomik i matur dhe realist</w:t>
            </w:r>
            <w:r w:rsidR="009135D9">
              <w:rPr>
                <w:noProof/>
                <w:webHidden/>
              </w:rPr>
              <w:tab/>
            </w:r>
            <w:r w:rsidR="009135D9">
              <w:rPr>
                <w:noProof/>
                <w:webHidden/>
              </w:rPr>
              <w:fldChar w:fldCharType="begin"/>
            </w:r>
            <w:r w:rsidR="009135D9">
              <w:rPr>
                <w:noProof/>
                <w:webHidden/>
              </w:rPr>
              <w:instrText xml:space="preserve"> PAGEREF _Toc161748807 \h </w:instrText>
            </w:r>
            <w:r w:rsidR="009135D9">
              <w:rPr>
                <w:noProof/>
                <w:webHidden/>
              </w:rPr>
            </w:r>
            <w:r w:rsidR="009135D9">
              <w:rPr>
                <w:noProof/>
                <w:webHidden/>
              </w:rPr>
              <w:fldChar w:fldCharType="separate"/>
            </w:r>
            <w:r w:rsidR="00CE577D">
              <w:rPr>
                <w:noProof/>
                <w:webHidden/>
              </w:rPr>
              <w:t>15</w:t>
            </w:r>
            <w:r w:rsidR="009135D9">
              <w:rPr>
                <w:noProof/>
                <w:webHidden/>
              </w:rPr>
              <w:fldChar w:fldCharType="end"/>
            </w:r>
          </w:hyperlink>
        </w:p>
        <w:p w14:paraId="7B7A3F8B" w14:textId="77777777" w:rsidR="009135D9" w:rsidRDefault="00F52403">
          <w:pPr>
            <w:pStyle w:val="TOC2"/>
            <w:rPr>
              <w:rFonts w:asciiTheme="minorHAnsi" w:eastAsiaTheme="minorEastAsia" w:hAnsiTheme="minorHAnsi" w:cstheme="minorBidi"/>
              <w:noProof/>
              <w:sz w:val="22"/>
              <w:szCs w:val="22"/>
            </w:rPr>
          </w:pPr>
          <w:hyperlink w:anchor="_Toc161748808" w:history="1">
            <w:r w:rsidR="009135D9" w:rsidRPr="00F85430">
              <w:rPr>
                <w:rStyle w:val="Hyperlink"/>
                <w:rFonts w:eastAsia="Times New Roman" w:cs="Times New Roman"/>
                <w:noProof/>
                <w:lang w:val="en-GB"/>
              </w:rPr>
              <w:t>2.3</w:t>
            </w:r>
            <w:r w:rsidR="009135D9">
              <w:rPr>
                <w:rFonts w:asciiTheme="minorHAnsi" w:eastAsiaTheme="minorEastAsia" w:hAnsiTheme="minorHAnsi" w:cstheme="minorBidi"/>
                <w:noProof/>
                <w:sz w:val="22"/>
                <w:szCs w:val="22"/>
              </w:rPr>
              <w:tab/>
            </w:r>
            <w:r w:rsidR="009135D9" w:rsidRPr="00F85430">
              <w:rPr>
                <w:rStyle w:val="Hyperlink"/>
                <w:noProof/>
                <w:lang w:val="en-GB"/>
              </w:rPr>
              <w:t xml:space="preserve">Komponenti 1.2 </w:t>
            </w:r>
            <w:r w:rsidR="009135D9" w:rsidRPr="00F85430">
              <w:rPr>
                <w:rStyle w:val="Hyperlink"/>
                <w:rFonts w:eastAsia="Times New Roman" w:cs="Times New Roman"/>
                <w:noProof/>
              </w:rPr>
              <w:t>Krijimi i një Analize gjithëpërfshirëse të Qëndrueshmërisë së Borxhit</w:t>
            </w:r>
            <w:r w:rsidR="009135D9">
              <w:rPr>
                <w:noProof/>
                <w:webHidden/>
              </w:rPr>
              <w:tab/>
            </w:r>
            <w:r w:rsidR="009135D9">
              <w:rPr>
                <w:noProof/>
                <w:webHidden/>
              </w:rPr>
              <w:fldChar w:fldCharType="begin"/>
            </w:r>
            <w:r w:rsidR="009135D9">
              <w:rPr>
                <w:noProof/>
                <w:webHidden/>
              </w:rPr>
              <w:instrText xml:space="preserve"> PAGEREF _Toc161748808 \h </w:instrText>
            </w:r>
            <w:r w:rsidR="009135D9">
              <w:rPr>
                <w:noProof/>
                <w:webHidden/>
              </w:rPr>
            </w:r>
            <w:r w:rsidR="009135D9">
              <w:rPr>
                <w:noProof/>
                <w:webHidden/>
              </w:rPr>
              <w:fldChar w:fldCharType="separate"/>
            </w:r>
            <w:r w:rsidR="00CE577D">
              <w:rPr>
                <w:noProof/>
                <w:webHidden/>
              </w:rPr>
              <w:t>17</w:t>
            </w:r>
            <w:r w:rsidR="009135D9">
              <w:rPr>
                <w:noProof/>
                <w:webHidden/>
              </w:rPr>
              <w:fldChar w:fldCharType="end"/>
            </w:r>
          </w:hyperlink>
        </w:p>
        <w:p w14:paraId="1BE49FE0" w14:textId="77777777" w:rsidR="009135D9" w:rsidRDefault="00F52403">
          <w:pPr>
            <w:pStyle w:val="TOC2"/>
            <w:rPr>
              <w:rFonts w:asciiTheme="minorHAnsi" w:eastAsiaTheme="minorEastAsia" w:hAnsiTheme="minorHAnsi" w:cstheme="minorBidi"/>
              <w:noProof/>
              <w:sz w:val="22"/>
              <w:szCs w:val="22"/>
            </w:rPr>
          </w:pPr>
          <w:hyperlink w:anchor="_Toc161748809" w:history="1">
            <w:r w:rsidR="009135D9" w:rsidRPr="00F85430">
              <w:rPr>
                <w:rStyle w:val="Hyperlink"/>
                <w:noProof/>
                <w:lang w:val="en-GB"/>
              </w:rPr>
              <w:t>2.4</w:t>
            </w:r>
            <w:r w:rsidR="009135D9">
              <w:rPr>
                <w:rFonts w:asciiTheme="minorHAnsi" w:eastAsiaTheme="minorEastAsia" w:hAnsiTheme="minorHAnsi" w:cstheme="minorBidi"/>
                <w:noProof/>
                <w:sz w:val="22"/>
                <w:szCs w:val="22"/>
              </w:rPr>
              <w:tab/>
            </w:r>
            <w:r w:rsidR="009135D9" w:rsidRPr="00F85430">
              <w:rPr>
                <w:rStyle w:val="Hyperlink"/>
                <w:noProof/>
                <w:lang w:val="en-GB"/>
              </w:rPr>
              <w:t>Komponenti 1.3 Menaxhimi i Risqeve Fiskale</w:t>
            </w:r>
            <w:r w:rsidR="009135D9">
              <w:rPr>
                <w:noProof/>
                <w:webHidden/>
              </w:rPr>
              <w:tab/>
            </w:r>
            <w:r w:rsidR="009135D9">
              <w:rPr>
                <w:noProof/>
                <w:webHidden/>
              </w:rPr>
              <w:fldChar w:fldCharType="begin"/>
            </w:r>
            <w:r w:rsidR="009135D9">
              <w:rPr>
                <w:noProof/>
                <w:webHidden/>
              </w:rPr>
              <w:instrText xml:space="preserve"> PAGEREF _Toc161748809 \h </w:instrText>
            </w:r>
            <w:r w:rsidR="009135D9">
              <w:rPr>
                <w:noProof/>
                <w:webHidden/>
              </w:rPr>
            </w:r>
            <w:r w:rsidR="009135D9">
              <w:rPr>
                <w:noProof/>
                <w:webHidden/>
              </w:rPr>
              <w:fldChar w:fldCharType="separate"/>
            </w:r>
            <w:r w:rsidR="00CE577D">
              <w:rPr>
                <w:noProof/>
                <w:webHidden/>
              </w:rPr>
              <w:t>18</w:t>
            </w:r>
            <w:r w:rsidR="009135D9">
              <w:rPr>
                <w:noProof/>
                <w:webHidden/>
              </w:rPr>
              <w:fldChar w:fldCharType="end"/>
            </w:r>
          </w:hyperlink>
        </w:p>
        <w:p w14:paraId="2CD608E7" w14:textId="77777777" w:rsidR="009135D9" w:rsidRDefault="00F52403">
          <w:pPr>
            <w:pStyle w:val="TOC2"/>
            <w:rPr>
              <w:rFonts w:asciiTheme="minorHAnsi" w:eastAsiaTheme="minorEastAsia" w:hAnsiTheme="minorHAnsi" w:cstheme="minorBidi"/>
              <w:noProof/>
              <w:sz w:val="22"/>
              <w:szCs w:val="22"/>
            </w:rPr>
          </w:pPr>
          <w:hyperlink w:anchor="_Toc161748810" w:history="1">
            <w:r w:rsidR="009135D9" w:rsidRPr="00F85430">
              <w:rPr>
                <w:rStyle w:val="Hyperlink"/>
                <w:noProof/>
                <w:lang w:val="en-GB"/>
              </w:rPr>
              <w:t>2.5</w:t>
            </w:r>
            <w:r w:rsidR="009135D9">
              <w:rPr>
                <w:rFonts w:asciiTheme="minorHAnsi" w:eastAsiaTheme="minorEastAsia" w:hAnsiTheme="minorHAnsi" w:cstheme="minorBidi"/>
                <w:noProof/>
                <w:sz w:val="22"/>
                <w:szCs w:val="22"/>
              </w:rPr>
              <w:tab/>
            </w:r>
            <w:r w:rsidR="009135D9" w:rsidRPr="00F85430">
              <w:rPr>
                <w:rStyle w:val="Hyperlink"/>
                <w:noProof/>
                <w:lang w:val="en-GB"/>
              </w:rPr>
              <w:t>Komponenti 1.4 Këshilli Fiskal</w:t>
            </w:r>
            <w:r w:rsidR="009135D9">
              <w:rPr>
                <w:noProof/>
                <w:webHidden/>
              </w:rPr>
              <w:tab/>
            </w:r>
            <w:r w:rsidR="009135D9">
              <w:rPr>
                <w:noProof/>
                <w:webHidden/>
              </w:rPr>
              <w:fldChar w:fldCharType="begin"/>
            </w:r>
            <w:r w:rsidR="009135D9">
              <w:rPr>
                <w:noProof/>
                <w:webHidden/>
              </w:rPr>
              <w:instrText xml:space="preserve"> PAGEREF _Toc161748810 \h </w:instrText>
            </w:r>
            <w:r w:rsidR="009135D9">
              <w:rPr>
                <w:noProof/>
                <w:webHidden/>
              </w:rPr>
            </w:r>
            <w:r w:rsidR="009135D9">
              <w:rPr>
                <w:noProof/>
                <w:webHidden/>
              </w:rPr>
              <w:fldChar w:fldCharType="separate"/>
            </w:r>
            <w:r w:rsidR="00CE577D">
              <w:rPr>
                <w:noProof/>
                <w:webHidden/>
              </w:rPr>
              <w:t>20</w:t>
            </w:r>
            <w:r w:rsidR="009135D9">
              <w:rPr>
                <w:noProof/>
                <w:webHidden/>
              </w:rPr>
              <w:fldChar w:fldCharType="end"/>
            </w:r>
          </w:hyperlink>
        </w:p>
        <w:p w14:paraId="2A20460F" w14:textId="77777777" w:rsidR="009135D9" w:rsidRDefault="00F52403">
          <w:pPr>
            <w:pStyle w:val="TOC1"/>
            <w:rPr>
              <w:rFonts w:asciiTheme="minorHAnsi" w:eastAsiaTheme="minorEastAsia" w:hAnsiTheme="minorHAnsi" w:cstheme="minorBidi"/>
              <w:noProof/>
              <w:sz w:val="22"/>
              <w:szCs w:val="22"/>
            </w:rPr>
          </w:pPr>
          <w:hyperlink w:anchor="_Toc161748811" w:history="1">
            <w:r w:rsidR="009135D9" w:rsidRPr="00F85430">
              <w:rPr>
                <w:rStyle w:val="Hyperlink"/>
                <w:noProof/>
                <w:lang w:val="it-IT"/>
              </w:rPr>
              <w:t>3</w:t>
            </w:r>
            <w:r w:rsidR="009135D9">
              <w:rPr>
                <w:rFonts w:asciiTheme="minorHAnsi" w:eastAsiaTheme="minorEastAsia" w:hAnsiTheme="minorHAnsi" w:cstheme="minorBidi"/>
                <w:noProof/>
                <w:sz w:val="22"/>
                <w:szCs w:val="22"/>
              </w:rPr>
              <w:tab/>
            </w:r>
            <w:r w:rsidR="009135D9" w:rsidRPr="00F85430">
              <w:rPr>
                <w:rStyle w:val="Hyperlink"/>
                <w:noProof/>
                <w:lang w:val="it-IT"/>
              </w:rPr>
              <w:t>Shtylla 2 Planifikimi i integruar strategjik dhe buxhetor, monitorimi dhe raportimi transparent</w:t>
            </w:r>
            <w:r w:rsidR="009135D9">
              <w:rPr>
                <w:noProof/>
                <w:webHidden/>
              </w:rPr>
              <w:tab/>
            </w:r>
            <w:r w:rsidR="009135D9">
              <w:rPr>
                <w:noProof/>
                <w:webHidden/>
              </w:rPr>
              <w:fldChar w:fldCharType="begin"/>
            </w:r>
            <w:r w:rsidR="009135D9">
              <w:rPr>
                <w:noProof/>
                <w:webHidden/>
              </w:rPr>
              <w:instrText xml:space="preserve"> PAGEREF _Toc161748811 \h </w:instrText>
            </w:r>
            <w:r w:rsidR="009135D9">
              <w:rPr>
                <w:noProof/>
                <w:webHidden/>
              </w:rPr>
            </w:r>
            <w:r w:rsidR="009135D9">
              <w:rPr>
                <w:noProof/>
                <w:webHidden/>
              </w:rPr>
              <w:fldChar w:fldCharType="separate"/>
            </w:r>
            <w:r w:rsidR="00CE577D">
              <w:rPr>
                <w:noProof/>
                <w:webHidden/>
              </w:rPr>
              <w:t>21</w:t>
            </w:r>
            <w:r w:rsidR="009135D9">
              <w:rPr>
                <w:noProof/>
                <w:webHidden/>
              </w:rPr>
              <w:fldChar w:fldCharType="end"/>
            </w:r>
          </w:hyperlink>
        </w:p>
        <w:p w14:paraId="332C7382" w14:textId="77777777" w:rsidR="009135D9" w:rsidRDefault="00F52403">
          <w:pPr>
            <w:pStyle w:val="TOC2"/>
            <w:rPr>
              <w:rFonts w:asciiTheme="minorHAnsi" w:eastAsiaTheme="minorEastAsia" w:hAnsiTheme="minorHAnsi" w:cstheme="minorBidi"/>
              <w:noProof/>
              <w:sz w:val="22"/>
              <w:szCs w:val="22"/>
            </w:rPr>
          </w:pPr>
          <w:hyperlink w:anchor="_Toc161748812" w:history="1">
            <w:r w:rsidR="009135D9" w:rsidRPr="00F85430">
              <w:rPr>
                <w:rStyle w:val="Hyperlink"/>
                <w:noProof/>
                <w:lang w:val="en-GB"/>
              </w:rPr>
              <w:t>3.1</w:t>
            </w:r>
            <w:r w:rsidR="009135D9">
              <w:rPr>
                <w:rFonts w:asciiTheme="minorHAnsi" w:eastAsiaTheme="minorEastAsia" w:hAnsiTheme="minorHAnsi" w:cstheme="minorBidi"/>
                <w:noProof/>
                <w:sz w:val="22"/>
                <w:szCs w:val="22"/>
              </w:rPr>
              <w:tab/>
            </w:r>
            <w:r w:rsidR="009135D9" w:rsidRPr="00F85430">
              <w:rPr>
                <w:rStyle w:val="Hyperlink"/>
                <w:noProof/>
                <w:lang w:val="en-GB"/>
              </w:rPr>
              <w:t>Hyrje</w:t>
            </w:r>
            <w:r w:rsidR="009135D9">
              <w:rPr>
                <w:noProof/>
                <w:webHidden/>
              </w:rPr>
              <w:tab/>
            </w:r>
            <w:r w:rsidR="009135D9">
              <w:rPr>
                <w:noProof/>
                <w:webHidden/>
              </w:rPr>
              <w:fldChar w:fldCharType="begin"/>
            </w:r>
            <w:r w:rsidR="009135D9">
              <w:rPr>
                <w:noProof/>
                <w:webHidden/>
              </w:rPr>
              <w:instrText xml:space="preserve"> PAGEREF _Toc161748812 \h </w:instrText>
            </w:r>
            <w:r w:rsidR="009135D9">
              <w:rPr>
                <w:noProof/>
                <w:webHidden/>
              </w:rPr>
            </w:r>
            <w:r w:rsidR="009135D9">
              <w:rPr>
                <w:noProof/>
                <w:webHidden/>
              </w:rPr>
              <w:fldChar w:fldCharType="separate"/>
            </w:r>
            <w:r w:rsidR="00CE577D">
              <w:rPr>
                <w:noProof/>
                <w:webHidden/>
              </w:rPr>
              <w:t>21</w:t>
            </w:r>
            <w:r w:rsidR="009135D9">
              <w:rPr>
                <w:noProof/>
                <w:webHidden/>
              </w:rPr>
              <w:fldChar w:fldCharType="end"/>
            </w:r>
          </w:hyperlink>
        </w:p>
        <w:p w14:paraId="4B5815B2" w14:textId="77777777" w:rsidR="009135D9" w:rsidRDefault="00F52403">
          <w:pPr>
            <w:pStyle w:val="TOC2"/>
            <w:rPr>
              <w:rFonts w:asciiTheme="minorHAnsi" w:eastAsiaTheme="minorEastAsia" w:hAnsiTheme="minorHAnsi" w:cstheme="minorBidi"/>
              <w:noProof/>
              <w:sz w:val="22"/>
              <w:szCs w:val="22"/>
            </w:rPr>
          </w:pPr>
          <w:hyperlink w:anchor="_Toc161748813" w:history="1">
            <w:r w:rsidR="009135D9" w:rsidRPr="00F85430">
              <w:rPr>
                <w:rStyle w:val="Hyperlink"/>
                <w:noProof/>
                <w:lang w:val="en-GB"/>
              </w:rPr>
              <w:t>3.2</w:t>
            </w:r>
            <w:r w:rsidR="009135D9">
              <w:rPr>
                <w:rFonts w:asciiTheme="minorHAnsi" w:eastAsiaTheme="minorEastAsia" w:hAnsiTheme="minorHAnsi" w:cstheme="minorBidi"/>
                <w:noProof/>
                <w:sz w:val="22"/>
                <w:szCs w:val="22"/>
              </w:rPr>
              <w:tab/>
            </w:r>
            <w:r w:rsidR="009135D9" w:rsidRPr="00F85430">
              <w:rPr>
                <w:rStyle w:val="Hyperlink"/>
                <w:noProof/>
                <w:lang w:val="en-GB"/>
              </w:rPr>
              <w:t>Komponenti 2.1 Planifikimi Strategjik i Integruar</w:t>
            </w:r>
            <w:r w:rsidR="009135D9">
              <w:rPr>
                <w:noProof/>
                <w:webHidden/>
              </w:rPr>
              <w:tab/>
            </w:r>
            <w:r w:rsidR="009135D9">
              <w:rPr>
                <w:noProof/>
                <w:webHidden/>
              </w:rPr>
              <w:fldChar w:fldCharType="begin"/>
            </w:r>
            <w:r w:rsidR="009135D9">
              <w:rPr>
                <w:noProof/>
                <w:webHidden/>
              </w:rPr>
              <w:instrText xml:space="preserve"> PAGEREF _Toc161748813 \h </w:instrText>
            </w:r>
            <w:r w:rsidR="009135D9">
              <w:rPr>
                <w:noProof/>
                <w:webHidden/>
              </w:rPr>
            </w:r>
            <w:r w:rsidR="009135D9">
              <w:rPr>
                <w:noProof/>
                <w:webHidden/>
              </w:rPr>
              <w:fldChar w:fldCharType="separate"/>
            </w:r>
            <w:r w:rsidR="00CE577D">
              <w:rPr>
                <w:noProof/>
                <w:webHidden/>
              </w:rPr>
              <w:t>22</w:t>
            </w:r>
            <w:r w:rsidR="009135D9">
              <w:rPr>
                <w:noProof/>
                <w:webHidden/>
              </w:rPr>
              <w:fldChar w:fldCharType="end"/>
            </w:r>
          </w:hyperlink>
        </w:p>
        <w:p w14:paraId="0D4534D8" w14:textId="77777777" w:rsidR="009135D9" w:rsidRDefault="00F52403">
          <w:pPr>
            <w:pStyle w:val="TOC2"/>
            <w:rPr>
              <w:rFonts w:asciiTheme="minorHAnsi" w:eastAsiaTheme="minorEastAsia" w:hAnsiTheme="minorHAnsi" w:cstheme="minorBidi"/>
              <w:noProof/>
              <w:sz w:val="22"/>
              <w:szCs w:val="22"/>
            </w:rPr>
          </w:pPr>
          <w:hyperlink w:anchor="_Toc161748814" w:history="1">
            <w:r w:rsidR="009135D9" w:rsidRPr="00F85430">
              <w:rPr>
                <w:rStyle w:val="Hyperlink"/>
                <w:noProof/>
                <w:lang w:val="en-GB"/>
              </w:rPr>
              <w:t>3.3</w:t>
            </w:r>
            <w:r w:rsidR="009135D9">
              <w:rPr>
                <w:rFonts w:asciiTheme="minorHAnsi" w:eastAsiaTheme="minorEastAsia" w:hAnsiTheme="minorHAnsi" w:cstheme="minorBidi"/>
                <w:noProof/>
                <w:sz w:val="22"/>
                <w:szCs w:val="22"/>
              </w:rPr>
              <w:tab/>
            </w:r>
            <w:r w:rsidR="009135D9" w:rsidRPr="00F85430">
              <w:rPr>
                <w:rStyle w:val="Hyperlink"/>
                <w:noProof/>
                <w:lang w:val="en-GB"/>
              </w:rPr>
              <w:t>Komponenti 2.2 Planifikimi Buxhetor Afatmesëm</w:t>
            </w:r>
            <w:r w:rsidR="009135D9">
              <w:rPr>
                <w:noProof/>
                <w:webHidden/>
              </w:rPr>
              <w:tab/>
            </w:r>
            <w:r w:rsidR="009135D9">
              <w:rPr>
                <w:noProof/>
                <w:webHidden/>
              </w:rPr>
              <w:fldChar w:fldCharType="begin"/>
            </w:r>
            <w:r w:rsidR="009135D9">
              <w:rPr>
                <w:noProof/>
                <w:webHidden/>
              </w:rPr>
              <w:instrText xml:space="preserve"> PAGEREF _Toc161748814 \h </w:instrText>
            </w:r>
            <w:r w:rsidR="009135D9">
              <w:rPr>
                <w:noProof/>
                <w:webHidden/>
              </w:rPr>
            </w:r>
            <w:r w:rsidR="009135D9">
              <w:rPr>
                <w:noProof/>
                <w:webHidden/>
              </w:rPr>
              <w:fldChar w:fldCharType="separate"/>
            </w:r>
            <w:r w:rsidR="00CE577D">
              <w:rPr>
                <w:noProof/>
                <w:webHidden/>
              </w:rPr>
              <w:t>24</w:t>
            </w:r>
            <w:r w:rsidR="009135D9">
              <w:rPr>
                <w:noProof/>
                <w:webHidden/>
              </w:rPr>
              <w:fldChar w:fldCharType="end"/>
            </w:r>
          </w:hyperlink>
        </w:p>
        <w:p w14:paraId="3308FA84" w14:textId="77777777" w:rsidR="009135D9" w:rsidRDefault="00F52403">
          <w:pPr>
            <w:pStyle w:val="TOC2"/>
            <w:rPr>
              <w:rFonts w:asciiTheme="minorHAnsi" w:eastAsiaTheme="minorEastAsia" w:hAnsiTheme="minorHAnsi" w:cstheme="minorBidi"/>
              <w:noProof/>
              <w:sz w:val="22"/>
              <w:szCs w:val="22"/>
            </w:rPr>
          </w:pPr>
          <w:hyperlink w:anchor="_Toc161748815" w:history="1">
            <w:r w:rsidR="009135D9" w:rsidRPr="00F85430">
              <w:rPr>
                <w:rStyle w:val="Hyperlink"/>
                <w:noProof/>
                <w:lang w:val="en-GB"/>
              </w:rPr>
              <w:t>3.4</w:t>
            </w:r>
            <w:r w:rsidR="009135D9">
              <w:rPr>
                <w:rFonts w:asciiTheme="minorHAnsi" w:eastAsiaTheme="minorEastAsia" w:hAnsiTheme="minorHAnsi" w:cstheme="minorBidi"/>
                <w:noProof/>
                <w:sz w:val="22"/>
                <w:szCs w:val="22"/>
              </w:rPr>
              <w:tab/>
            </w:r>
            <w:r w:rsidR="009135D9" w:rsidRPr="00F85430">
              <w:rPr>
                <w:rStyle w:val="Hyperlink"/>
                <w:noProof/>
                <w:lang w:val="en-GB"/>
              </w:rPr>
              <w:t>Komponenti 2.3 Menaxhimi i Investimeve Publike</w:t>
            </w:r>
            <w:r w:rsidR="009135D9">
              <w:rPr>
                <w:noProof/>
                <w:webHidden/>
              </w:rPr>
              <w:tab/>
            </w:r>
            <w:r w:rsidR="009135D9">
              <w:rPr>
                <w:noProof/>
                <w:webHidden/>
              </w:rPr>
              <w:fldChar w:fldCharType="begin"/>
            </w:r>
            <w:r w:rsidR="009135D9">
              <w:rPr>
                <w:noProof/>
                <w:webHidden/>
              </w:rPr>
              <w:instrText xml:space="preserve"> PAGEREF _Toc161748815 \h </w:instrText>
            </w:r>
            <w:r w:rsidR="009135D9">
              <w:rPr>
                <w:noProof/>
                <w:webHidden/>
              </w:rPr>
            </w:r>
            <w:r w:rsidR="009135D9">
              <w:rPr>
                <w:noProof/>
                <w:webHidden/>
              </w:rPr>
              <w:fldChar w:fldCharType="separate"/>
            </w:r>
            <w:r w:rsidR="00CE577D">
              <w:rPr>
                <w:noProof/>
                <w:webHidden/>
              </w:rPr>
              <w:t>26</w:t>
            </w:r>
            <w:r w:rsidR="009135D9">
              <w:rPr>
                <w:noProof/>
                <w:webHidden/>
              </w:rPr>
              <w:fldChar w:fldCharType="end"/>
            </w:r>
          </w:hyperlink>
        </w:p>
        <w:p w14:paraId="7A7F6EB2" w14:textId="77777777" w:rsidR="009135D9" w:rsidRDefault="00F52403">
          <w:pPr>
            <w:pStyle w:val="TOC2"/>
            <w:rPr>
              <w:rFonts w:asciiTheme="minorHAnsi" w:eastAsiaTheme="minorEastAsia" w:hAnsiTheme="minorHAnsi" w:cstheme="minorBidi"/>
              <w:noProof/>
              <w:sz w:val="22"/>
              <w:szCs w:val="22"/>
            </w:rPr>
          </w:pPr>
          <w:hyperlink w:anchor="_Toc161748816" w:history="1">
            <w:r w:rsidR="009135D9" w:rsidRPr="00F85430">
              <w:rPr>
                <w:rStyle w:val="Hyperlink"/>
                <w:noProof/>
                <w:lang w:val="en-GB"/>
              </w:rPr>
              <w:t>3.5</w:t>
            </w:r>
            <w:r w:rsidR="009135D9">
              <w:rPr>
                <w:rFonts w:asciiTheme="minorHAnsi" w:eastAsiaTheme="minorEastAsia" w:hAnsiTheme="minorHAnsi" w:cstheme="minorBidi"/>
                <w:noProof/>
                <w:sz w:val="22"/>
                <w:szCs w:val="22"/>
              </w:rPr>
              <w:tab/>
            </w:r>
            <w:r w:rsidR="009135D9" w:rsidRPr="00F85430">
              <w:rPr>
                <w:rStyle w:val="Hyperlink"/>
                <w:noProof/>
                <w:lang w:val="en-GB"/>
              </w:rPr>
              <w:t>Komponenti 2.4 Financat Vendore</w:t>
            </w:r>
            <w:r w:rsidR="009135D9">
              <w:rPr>
                <w:noProof/>
                <w:webHidden/>
              </w:rPr>
              <w:tab/>
            </w:r>
            <w:r w:rsidR="009135D9">
              <w:rPr>
                <w:noProof/>
                <w:webHidden/>
              </w:rPr>
              <w:fldChar w:fldCharType="begin"/>
            </w:r>
            <w:r w:rsidR="009135D9">
              <w:rPr>
                <w:noProof/>
                <w:webHidden/>
              </w:rPr>
              <w:instrText xml:space="preserve"> PAGEREF _Toc161748816 \h </w:instrText>
            </w:r>
            <w:r w:rsidR="009135D9">
              <w:rPr>
                <w:noProof/>
                <w:webHidden/>
              </w:rPr>
            </w:r>
            <w:r w:rsidR="009135D9">
              <w:rPr>
                <w:noProof/>
                <w:webHidden/>
              </w:rPr>
              <w:fldChar w:fldCharType="separate"/>
            </w:r>
            <w:r w:rsidR="00CE577D">
              <w:rPr>
                <w:noProof/>
                <w:webHidden/>
              </w:rPr>
              <w:t>28</w:t>
            </w:r>
            <w:r w:rsidR="009135D9">
              <w:rPr>
                <w:noProof/>
                <w:webHidden/>
              </w:rPr>
              <w:fldChar w:fldCharType="end"/>
            </w:r>
          </w:hyperlink>
        </w:p>
        <w:p w14:paraId="05C68D37" w14:textId="77777777" w:rsidR="009135D9" w:rsidRDefault="00F52403">
          <w:pPr>
            <w:pStyle w:val="TOC2"/>
            <w:rPr>
              <w:rFonts w:asciiTheme="minorHAnsi" w:eastAsiaTheme="minorEastAsia" w:hAnsiTheme="minorHAnsi" w:cstheme="minorBidi"/>
              <w:noProof/>
              <w:sz w:val="22"/>
              <w:szCs w:val="22"/>
            </w:rPr>
          </w:pPr>
          <w:hyperlink w:anchor="_Toc161748817" w:history="1">
            <w:r w:rsidR="009135D9" w:rsidRPr="00F85430">
              <w:rPr>
                <w:rStyle w:val="Hyperlink"/>
                <w:noProof/>
                <w:lang w:val="it-IT"/>
              </w:rPr>
              <w:t>3.6</w:t>
            </w:r>
            <w:r w:rsidR="009135D9">
              <w:rPr>
                <w:rFonts w:asciiTheme="minorHAnsi" w:eastAsiaTheme="minorEastAsia" w:hAnsiTheme="minorHAnsi" w:cstheme="minorBidi"/>
                <w:noProof/>
                <w:sz w:val="22"/>
                <w:szCs w:val="22"/>
              </w:rPr>
              <w:tab/>
            </w:r>
            <w:r w:rsidR="009135D9" w:rsidRPr="00F85430">
              <w:rPr>
                <w:rStyle w:val="Hyperlink"/>
                <w:noProof/>
                <w:lang w:val="it-IT"/>
              </w:rPr>
              <w:t>Komponenti 2.5 Raportimi dhe Monitorimi i Zbatimit të Buxhetit</w:t>
            </w:r>
            <w:r w:rsidR="009135D9">
              <w:rPr>
                <w:noProof/>
                <w:webHidden/>
              </w:rPr>
              <w:tab/>
            </w:r>
            <w:r w:rsidR="009135D9">
              <w:rPr>
                <w:noProof/>
                <w:webHidden/>
              </w:rPr>
              <w:fldChar w:fldCharType="begin"/>
            </w:r>
            <w:r w:rsidR="009135D9">
              <w:rPr>
                <w:noProof/>
                <w:webHidden/>
              </w:rPr>
              <w:instrText xml:space="preserve"> PAGEREF _Toc161748817 \h </w:instrText>
            </w:r>
            <w:r w:rsidR="009135D9">
              <w:rPr>
                <w:noProof/>
                <w:webHidden/>
              </w:rPr>
            </w:r>
            <w:r w:rsidR="009135D9">
              <w:rPr>
                <w:noProof/>
                <w:webHidden/>
              </w:rPr>
              <w:fldChar w:fldCharType="separate"/>
            </w:r>
            <w:r w:rsidR="00CE577D">
              <w:rPr>
                <w:noProof/>
                <w:webHidden/>
              </w:rPr>
              <w:t>31</w:t>
            </w:r>
            <w:r w:rsidR="009135D9">
              <w:rPr>
                <w:noProof/>
                <w:webHidden/>
              </w:rPr>
              <w:fldChar w:fldCharType="end"/>
            </w:r>
          </w:hyperlink>
        </w:p>
        <w:p w14:paraId="2D2435D9" w14:textId="77777777" w:rsidR="009135D9" w:rsidRDefault="00F52403">
          <w:pPr>
            <w:pStyle w:val="TOC1"/>
            <w:rPr>
              <w:rFonts w:asciiTheme="minorHAnsi" w:eastAsiaTheme="minorEastAsia" w:hAnsiTheme="minorHAnsi" w:cstheme="minorBidi"/>
              <w:noProof/>
              <w:sz w:val="22"/>
              <w:szCs w:val="22"/>
            </w:rPr>
          </w:pPr>
          <w:hyperlink w:anchor="_Toc161748818" w:history="1">
            <w:r w:rsidR="009135D9" w:rsidRPr="00F85430">
              <w:rPr>
                <w:rStyle w:val="Hyperlink"/>
                <w:noProof/>
                <w:lang w:val="it-IT"/>
              </w:rPr>
              <w:t>4</w:t>
            </w:r>
            <w:r w:rsidR="009135D9">
              <w:rPr>
                <w:rFonts w:asciiTheme="minorHAnsi" w:eastAsiaTheme="minorEastAsia" w:hAnsiTheme="minorHAnsi" w:cstheme="minorBidi"/>
                <w:noProof/>
                <w:sz w:val="22"/>
                <w:szCs w:val="22"/>
              </w:rPr>
              <w:tab/>
            </w:r>
            <w:r w:rsidR="009135D9" w:rsidRPr="00F85430">
              <w:rPr>
                <w:rStyle w:val="Hyperlink"/>
                <w:noProof/>
                <w:lang w:val="it-IT"/>
              </w:rPr>
              <w:t>Shtylla 3 Menaxhimi dhe mobilizimi i të ardhurave</w:t>
            </w:r>
            <w:r w:rsidR="009135D9">
              <w:rPr>
                <w:noProof/>
                <w:webHidden/>
              </w:rPr>
              <w:tab/>
            </w:r>
            <w:r w:rsidR="009135D9">
              <w:rPr>
                <w:noProof/>
                <w:webHidden/>
              </w:rPr>
              <w:fldChar w:fldCharType="begin"/>
            </w:r>
            <w:r w:rsidR="009135D9">
              <w:rPr>
                <w:noProof/>
                <w:webHidden/>
              </w:rPr>
              <w:instrText xml:space="preserve"> PAGEREF _Toc161748818 \h </w:instrText>
            </w:r>
            <w:r w:rsidR="009135D9">
              <w:rPr>
                <w:noProof/>
                <w:webHidden/>
              </w:rPr>
            </w:r>
            <w:r w:rsidR="009135D9">
              <w:rPr>
                <w:noProof/>
                <w:webHidden/>
              </w:rPr>
              <w:fldChar w:fldCharType="separate"/>
            </w:r>
            <w:r w:rsidR="00CE577D">
              <w:rPr>
                <w:noProof/>
                <w:webHidden/>
              </w:rPr>
              <w:t>33</w:t>
            </w:r>
            <w:r w:rsidR="009135D9">
              <w:rPr>
                <w:noProof/>
                <w:webHidden/>
              </w:rPr>
              <w:fldChar w:fldCharType="end"/>
            </w:r>
          </w:hyperlink>
        </w:p>
        <w:p w14:paraId="61328884" w14:textId="77777777" w:rsidR="009135D9" w:rsidRDefault="00F52403">
          <w:pPr>
            <w:pStyle w:val="TOC2"/>
            <w:rPr>
              <w:rFonts w:asciiTheme="minorHAnsi" w:eastAsiaTheme="minorEastAsia" w:hAnsiTheme="minorHAnsi" w:cstheme="minorBidi"/>
              <w:noProof/>
              <w:sz w:val="22"/>
              <w:szCs w:val="22"/>
            </w:rPr>
          </w:pPr>
          <w:hyperlink w:anchor="_Toc161748819" w:history="1">
            <w:r w:rsidR="009135D9" w:rsidRPr="00F85430">
              <w:rPr>
                <w:rStyle w:val="Hyperlink"/>
                <w:noProof/>
                <w:lang w:val="en-GB"/>
              </w:rPr>
              <w:t>4.1</w:t>
            </w:r>
            <w:r w:rsidR="009135D9">
              <w:rPr>
                <w:rFonts w:asciiTheme="minorHAnsi" w:eastAsiaTheme="minorEastAsia" w:hAnsiTheme="minorHAnsi" w:cstheme="minorBidi"/>
                <w:noProof/>
                <w:sz w:val="22"/>
                <w:szCs w:val="22"/>
              </w:rPr>
              <w:tab/>
            </w:r>
            <w:r w:rsidR="009135D9" w:rsidRPr="00F85430">
              <w:rPr>
                <w:rStyle w:val="Hyperlink"/>
                <w:noProof/>
                <w:lang w:val="en-GB"/>
              </w:rPr>
              <w:t>Hyrje</w:t>
            </w:r>
            <w:r w:rsidR="009135D9">
              <w:rPr>
                <w:noProof/>
                <w:webHidden/>
              </w:rPr>
              <w:tab/>
            </w:r>
            <w:r w:rsidR="009135D9">
              <w:rPr>
                <w:noProof/>
                <w:webHidden/>
              </w:rPr>
              <w:fldChar w:fldCharType="begin"/>
            </w:r>
            <w:r w:rsidR="009135D9">
              <w:rPr>
                <w:noProof/>
                <w:webHidden/>
              </w:rPr>
              <w:instrText xml:space="preserve"> PAGEREF _Toc161748819 \h </w:instrText>
            </w:r>
            <w:r w:rsidR="009135D9">
              <w:rPr>
                <w:noProof/>
                <w:webHidden/>
              </w:rPr>
            </w:r>
            <w:r w:rsidR="009135D9">
              <w:rPr>
                <w:noProof/>
                <w:webHidden/>
              </w:rPr>
              <w:fldChar w:fldCharType="separate"/>
            </w:r>
            <w:r w:rsidR="00CE577D">
              <w:rPr>
                <w:noProof/>
                <w:webHidden/>
              </w:rPr>
              <w:t>33</w:t>
            </w:r>
            <w:r w:rsidR="009135D9">
              <w:rPr>
                <w:noProof/>
                <w:webHidden/>
              </w:rPr>
              <w:fldChar w:fldCharType="end"/>
            </w:r>
          </w:hyperlink>
        </w:p>
        <w:p w14:paraId="6AAC231E" w14:textId="77777777" w:rsidR="009135D9" w:rsidRDefault="00F52403">
          <w:pPr>
            <w:pStyle w:val="TOC2"/>
            <w:rPr>
              <w:rFonts w:asciiTheme="minorHAnsi" w:eastAsiaTheme="minorEastAsia" w:hAnsiTheme="minorHAnsi" w:cstheme="minorBidi"/>
              <w:noProof/>
              <w:sz w:val="22"/>
              <w:szCs w:val="22"/>
            </w:rPr>
          </w:pPr>
          <w:hyperlink w:anchor="_Toc161748820" w:history="1">
            <w:r w:rsidR="009135D9" w:rsidRPr="00F85430">
              <w:rPr>
                <w:rStyle w:val="Hyperlink"/>
                <w:noProof/>
                <w:lang w:val="en-GB"/>
              </w:rPr>
              <w:t>4.2</w:t>
            </w:r>
            <w:r w:rsidR="009135D9">
              <w:rPr>
                <w:rFonts w:asciiTheme="minorHAnsi" w:eastAsiaTheme="minorEastAsia" w:hAnsiTheme="minorHAnsi" w:cstheme="minorBidi"/>
                <w:noProof/>
                <w:sz w:val="22"/>
                <w:szCs w:val="22"/>
              </w:rPr>
              <w:tab/>
            </w:r>
            <w:r w:rsidR="009135D9" w:rsidRPr="00F85430">
              <w:rPr>
                <w:rStyle w:val="Hyperlink"/>
                <w:noProof/>
                <w:lang w:val="en-GB"/>
              </w:rPr>
              <w:t>Komponenti 3.1 Menaxhimi i taksave</w:t>
            </w:r>
            <w:r w:rsidR="009135D9">
              <w:rPr>
                <w:noProof/>
                <w:webHidden/>
              </w:rPr>
              <w:tab/>
            </w:r>
            <w:r w:rsidR="009135D9">
              <w:rPr>
                <w:noProof/>
                <w:webHidden/>
              </w:rPr>
              <w:fldChar w:fldCharType="begin"/>
            </w:r>
            <w:r w:rsidR="009135D9">
              <w:rPr>
                <w:noProof/>
                <w:webHidden/>
              </w:rPr>
              <w:instrText xml:space="preserve"> PAGEREF _Toc161748820 \h </w:instrText>
            </w:r>
            <w:r w:rsidR="009135D9">
              <w:rPr>
                <w:noProof/>
                <w:webHidden/>
              </w:rPr>
            </w:r>
            <w:r w:rsidR="009135D9">
              <w:rPr>
                <w:noProof/>
                <w:webHidden/>
              </w:rPr>
              <w:fldChar w:fldCharType="separate"/>
            </w:r>
            <w:r w:rsidR="00CE577D">
              <w:rPr>
                <w:noProof/>
                <w:webHidden/>
              </w:rPr>
              <w:t>34</w:t>
            </w:r>
            <w:r w:rsidR="009135D9">
              <w:rPr>
                <w:noProof/>
                <w:webHidden/>
              </w:rPr>
              <w:fldChar w:fldCharType="end"/>
            </w:r>
          </w:hyperlink>
        </w:p>
        <w:p w14:paraId="68CC16B4" w14:textId="77777777" w:rsidR="009135D9" w:rsidRDefault="00F52403">
          <w:pPr>
            <w:pStyle w:val="TOC2"/>
            <w:rPr>
              <w:rFonts w:asciiTheme="minorHAnsi" w:eastAsiaTheme="minorEastAsia" w:hAnsiTheme="minorHAnsi" w:cstheme="minorBidi"/>
              <w:noProof/>
              <w:sz w:val="22"/>
              <w:szCs w:val="22"/>
            </w:rPr>
          </w:pPr>
          <w:hyperlink w:anchor="_Toc161748821" w:history="1">
            <w:r w:rsidR="009135D9" w:rsidRPr="00F85430">
              <w:rPr>
                <w:rStyle w:val="Hyperlink"/>
                <w:noProof/>
                <w:lang w:val="it-IT"/>
              </w:rPr>
              <w:t>4.3</w:t>
            </w:r>
            <w:r w:rsidR="009135D9">
              <w:rPr>
                <w:rFonts w:asciiTheme="minorHAnsi" w:eastAsiaTheme="minorEastAsia" w:hAnsiTheme="minorHAnsi" w:cstheme="minorBidi"/>
                <w:noProof/>
                <w:sz w:val="22"/>
                <w:szCs w:val="22"/>
              </w:rPr>
              <w:tab/>
            </w:r>
            <w:r w:rsidR="009135D9" w:rsidRPr="00F85430">
              <w:rPr>
                <w:rStyle w:val="Hyperlink"/>
                <w:noProof/>
                <w:lang w:val="it-IT"/>
              </w:rPr>
              <w:t>Komponenti 3.2 Menaxhimi i taksës së pasurisë</w:t>
            </w:r>
            <w:r w:rsidR="009135D9">
              <w:rPr>
                <w:noProof/>
                <w:webHidden/>
              </w:rPr>
              <w:tab/>
            </w:r>
            <w:r w:rsidR="009135D9">
              <w:rPr>
                <w:noProof/>
                <w:webHidden/>
              </w:rPr>
              <w:fldChar w:fldCharType="begin"/>
            </w:r>
            <w:r w:rsidR="009135D9">
              <w:rPr>
                <w:noProof/>
                <w:webHidden/>
              </w:rPr>
              <w:instrText xml:space="preserve"> PAGEREF _Toc161748821 \h </w:instrText>
            </w:r>
            <w:r w:rsidR="009135D9">
              <w:rPr>
                <w:noProof/>
                <w:webHidden/>
              </w:rPr>
            </w:r>
            <w:r w:rsidR="009135D9">
              <w:rPr>
                <w:noProof/>
                <w:webHidden/>
              </w:rPr>
              <w:fldChar w:fldCharType="separate"/>
            </w:r>
            <w:r w:rsidR="00CE577D">
              <w:rPr>
                <w:noProof/>
                <w:webHidden/>
              </w:rPr>
              <w:t>35</w:t>
            </w:r>
            <w:r w:rsidR="009135D9">
              <w:rPr>
                <w:noProof/>
                <w:webHidden/>
              </w:rPr>
              <w:fldChar w:fldCharType="end"/>
            </w:r>
          </w:hyperlink>
        </w:p>
        <w:p w14:paraId="788FEB4D" w14:textId="77777777" w:rsidR="009135D9" w:rsidRDefault="00F52403">
          <w:pPr>
            <w:pStyle w:val="TOC2"/>
            <w:rPr>
              <w:rFonts w:asciiTheme="minorHAnsi" w:eastAsiaTheme="minorEastAsia" w:hAnsiTheme="minorHAnsi" w:cstheme="minorBidi"/>
              <w:noProof/>
              <w:sz w:val="22"/>
              <w:szCs w:val="22"/>
            </w:rPr>
          </w:pPr>
          <w:hyperlink w:anchor="_Toc161748822" w:history="1">
            <w:r w:rsidR="009135D9" w:rsidRPr="00F85430">
              <w:rPr>
                <w:rStyle w:val="Hyperlink"/>
                <w:noProof/>
                <w:lang w:val="en-GB"/>
              </w:rPr>
              <w:t>4.4</w:t>
            </w:r>
            <w:r w:rsidR="009135D9">
              <w:rPr>
                <w:rFonts w:asciiTheme="minorHAnsi" w:eastAsiaTheme="minorEastAsia" w:hAnsiTheme="minorHAnsi" w:cstheme="minorBidi"/>
                <w:noProof/>
                <w:sz w:val="22"/>
                <w:szCs w:val="22"/>
              </w:rPr>
              <w:tab/>
            </w:r>
            <w:r w:rsidR="009135D9" w:rsidRPr="00F85430">
              <w:rPr>
                <w:rStyle w:val="Hyperlink"/>
                <w:noProof/>
                <w:lang w:val="en-GB"/>
              </w:rPr>
              <w:t>Komponenti 3.3 Menaxhimi Doganor</w:t>
            </w:r>
            <w:r w:rsidR="009135D9">
              <w:rPr>
                <w:noProof/>
                <w:webHidden/>
              </w:rPr>
              <w:tab/>
            </w:r>
            <w:r w:rsidR="009135D9">
              <w:rPr>
                <w:noProof/>
                <w:webHidden/>
              </w:rPr>
              <w:fldChar w:fldCharType="begin"/>
            </w:r>
            <w:r w:rsidR="009135D9">
              <w:rPr>
                <w:noProof/>
                <w:webHidden/>
              </w:rPr>
              <w:instrText xml:space="preserve"> PAGEREF _Toc161748822 \h </w:instrText>
            </w:r>
            <w:r w:rsidR="009135D9">
              <w:rPr>
                <w:noProof/>
                <w:webHidden/>
              </w:rPr>
            </w:r>
            <w:r w:rsidR="009135D9">
              <w:rPr>
                <w:noProof/>
                <w:webHidden/>
              </w:rPr>
              <w:fldChar w:fldCharType="separate"/>
            </w:r>
            <w:r w:rsidR="00CE577D">
              <w:rPr>
                <w:noProof/>
                <w:webHidden/>
              </w:rPr>
              <w:t>37</w:t>
            </w:r>
            <w:r w:rsidR="009135D9">
              <w:rPr>
                <w:noProof/>
                <w:webHidden/>
              </w:rPr>
              <w:fldChar w:fldCharType="end"/>
            </w:r>
          </w:hyperlink>
        </w:p>
        <w:p w14:paraId="4442E91A" w14:textId="77777777" w:rsidR="009135D9" w:rsidRDefault="00F52403">
          <w:pPr>
            <w:pStyle w:val="TOC1"/>
            <w:rPr>
              <w:rFonts w:asciiTheme="minorHAnsi" w:eastAsiaTheme="minorEastAsia" w:hAnsiTheme="minorHAnsi" w:cstheme="minorBidi"/>
              <w:noProof/>
              <w:sz w:val="22"/>
              <w:szCs w:val="22"/>
            </w:rPr>
          </w:pPr>
          <w:hyperlink w:anchor="_Toc161748823" w:history="1">
            <w:r w:rsidR="009135D9" w:rsidRPr="00F85430">
              <w:rPr>
                <w:rStyle w:val="Hyperlink"/>
                <w:noProof/>
                <w:lang w:val="it-IT"/>
              </w:rPr>
              <w:t>5</w:t>
            </w:r>
            <w:r w:rsidR="009135D9">
              <w:rPr>
                <w:rFonts w:asciiTheme="minorHAnsi" w:eastAsiaTheme="minorEastAsia" w:hAnsiTheme="minorHAnsi" w:cstheme="minorBidi"/>
                <w:noProof/>
                <w:sz w:val="22"/>
                <w:szCs w:val="22"/>
              </w:rPr>
              <w:tab/>
            </w:r>
            <w:r w:rsidR="009135D9" w:rsidRPr="00F85430">
              <w:rPr>
                <w:rStyle w:val="Hyperlink"/>
                <w:noProof/>
                <w:lang w:val="it-IT"/>
              </w:rPr>
              <w:t>Shtylla 4 Kontabiliteti dhe Menaxhimi i Zbatimit të Buxhetit</w:t>
            </w:r>
            <w:r w:rsidR="009135D9">
              <w:rPr>
                <w:noProof/>
                <w:webHidden/>
              </w:rPr>
              <w:tab/>
            </w:r>
            <w:r w:rsidR="009135D9">
              <w:rPr>
                <w:noProof/>
                <w:webHidden/>
              </w:rPr>
              <w:fldChar w:fldCharType="begin"/>
            </w:r>
            <w:r w:rsidR="009135D9">
              <w:rPr>
                <w:noProof/>
                <w:webHidden/>
              </w:rPr>
              <w:instrText xml:space="preserve"> PAGEREF _Toc161748823 \h </w:instrText>
            </w:r>
            <w:r w:rsidR="009135D9">
              <w:rPr>
                <w:noProof/>
                <w:webHidden/>
              </w:rPr>
            </w:r>
            <w:r w:rsidR="009135D9">
              <w:rPr>
                <w:noProof/>
                <w:webHidden/>
              </w:rPr>
              <w:fldChar w:fldCharType="separate"/>
            </w:r>
            <w:r w:rsidR="00CE577D">
              <w:rPr>
                <w:noProof/>
                <w:webHidden/>
              </w:rPr>
              <w:t>39</w:t>
            </w:r>
            <w:r w:rsidR="009135D9">
              <w:rPr>
                <w:noProof/>
                <w:webHidden/>
              </w:rPr>
              <w:fldChar w:fldCharType="end"/>
            </w:r>
          </w:hyperlink>
        </w:p>
        <w:p w14:paraId="55F5554C" w14:textId="77777777" w:rsidR="009135D9" w:rsidRDefault="00F52403">
          <w:pPr>
            <w:pStyle w:val="TOC2"/>
            <w:rPr>
              <w:rFonts w:asciiTheme="minorHAnsi" w:eastAsiaTheme="minorEastAsia" w:hAnsiTheme="minorHAnsi" w:cstheme="minorBidi"/>
              <w:noProof/>
              <w:sz w:val="22"/>
              <w:szCs w:val="22"/>
            </w:rPr>
          </w:pPr>
          <w:hyperlink w:anchor="_Toc161748824" w:history="1">
            <w:r w:rsidR="009135D9" w:rsidRPr="00F85430">
              <w:rPr>
                <w:rStyle w:val="Hyperlink"/>
                <w:noProof/>
                <w:lang w:val="en-GB"/>
              </w:rPr>
              <w:t>5.1</w:t>
            </w:r>
            <w:r w:rsidR="009135D9">
              <w:rPr>
                <w:rFonts w:asciiTheme="minorHAnsi" w:eastAsiaTheme="minorEastAsia" w:hAnsiTheme="minorHAnsi" w:cstheme="minorBidi"/>
                <w:noProof/>
                <w:sz w:val="22"/>
                <w:szCs w:val="22"/>
              </w:rPr>
              <w:tab/>
            </w:r>
            <w:r w:rsidR="009135D9" w:rsidRPr="00F85430">
              <w:rPr>
                <w:rStyle w:val="Hyperlink"/>
                <w:noProof/>
                <w:lang w:val="en-GB"/>
              </w:rPr>
              <w:t>Hyrje</w:t>
            </w:r>
            <w:r w:rsidR="009135D9">
              <w:rPr>
                <w:noProof/>
                <w:webHidden/>
              </w:rPr>
              <w:tab/>
            </w:r>
            <w:r w:rsidR="009135D9">
              <w:rPr>
                <w:noProof/>
                <w:webHidden/>
              </w:rPr>
              <w:fldChar w:fldCharType="begin"/>
            </w:r>
            <w:r w:rsidR="009135D9">
              <w:rPr>
                <w:noProof/>
                <w:webHidden/>
              </w:rPr>
              <w:instrText xml:space="preserve"> PAGEREF _Toc161748824 \h </w:instrText>
            </w:r>
            <w:r w:rsidR="009135D9">
              <w:rPr>
                <w:noProof/>
                <w:webHidden/>
              </w:rPr>
            </w:r>
            <w:r w:rsidR="009135D9">
              <w:rPr>
                <w:noProof/>
                <w:webHidden/>
              </w:rPr>
              <w:fldChar w:fldCharType="separate"/>
            </w:r>
            <w:r w:rsidR="00CE577D">
              <w:rPr>
                <w:noProof/>
                <w:webHidden/>
              </w:rPr>
              <w:t>39</w:t>
            </w:r>
            <w:r w:rsidR="009135D9">
              <w:rPr>
                <w:noProof/>
                <w:webHidden/>
              </w:rPr>
              <w:fldChar w:fldCharType="end"/>
            </w:r>
          </w:hyperlink>
        </w:p>
        <w:p w14:paraId="3FD6300F" w14:textId="77777777" w:rsidR="009135D9" w:rsidRDefault="00F52403">
          <w:pPr>
            <w:pStyle w:val="TOC2"/>
            <w:rPr>
              <w:rFonts w:asciiTheme="minorHAnsi" w:eastAsiaTheme="minorEastAsia" w:hAnsiTheme="minorHAnsi" w:cstheme="minorBidi"/>
              <w:noProof/>
              <w:sz w:val="22"/>
              <w:szCs w:val="22"/>
            </w:rPr>
          </w:pPr>
          <w:hyperlink w:anchor="_Toc161748825" w:history="1">
            <w:r w:rsidR="009135D9" w:rsidRPr="00F85430">
              <w:rPr>
                <w:rStyle w:val="Hyperlink"/>
                <w:noProof/>
                <w:lang w:val="en-GB"/>
              </w:rPr>
              <w:t>5.2</w:t>
            </w:r>
            <w:r w:rsidR="009135D9">
              <w:rPr>
                <w:rFonts w:asciiTheme="minorHAnsi" w:eastAsiaTheme="minorEastAsia" w:hAnsiTheme="minorHAnsi" w:cstheme="minorBidi"/>
                <w:noProof/>
                <w:sz w:val="22"/>
                <w:szCs w:val="22"/>
              </w:rPr>
              <w:tab/>
            </w:r>
            <w:r w:rsidR="009135D9" w:rsidRPr="00F85430">
              <w:rPr>
                <w:rStyle w:val="Hyperlink"/>
                <w:noProof/>
                <w:lang w:val="en-GB"/>
              </w:rPr>
              <w:t>Komponenti 4.1 Llogaritë Kombëtare të Qeverisë</w:t>
            </w:r>
            <w:r w:rsidR="009135D9">
              <w:rPr>
                <w:noProof/>
                <w:webHidden/>
              </w:rPr>
              <w:tab/>
            </w:r>
            <w:r w:rsidR="009135D9">
              <w:rPr>
                <w:noProof/>
                <w:webHidden/>
              </w:rPr>
              <w:fldChar w:fldCharType="begin"/>
            </w:r>
            <w:r w:rsidR="009135D9">
              <w:rPr>
                <w:noProof/>
                <w:webHidden/>
              </w:rPr>
              <w:instrText xml:space="preserve"> PAGEREF _Toc161748825 \h </w:instrText>
            </w:r>
            <w:r w:rsidR="009135D9">
              <w:rPr>
                <w:noProof/>
                <w:webHidden/>
              </w:rPr>
            </w:r>
            <w:r w:rsidR="009135D9">
              <w:rPr>
                <w:noProof/>
                <w:webHidden/>
              </w:rPr>
              <w:fldChar w:fldCharType="separate"/>
            </w:r>
            <w:r w:rsidR="00CE577D">
              <w:rPr>
                <w:noProof/>
                <w:webHidden/>
              </w:rPr>
              <w:t>40</w:t>
            </w:r>
            <w:r w:rsidR="009135D9">
              <w:rPr>
                <w:noProof/>
                <w:webHidden/>
              </w:rPr>
              <w:fldChar w:fldCharType="end"/>
            </w:r>
          </w:hyperlink>
        </w:p>
        <w:p w14:paraId="16FE750F" w14:textId="77777777" w:rsidR="009135D9" w:rsidRDefault="00F52403">
          <w:pPr>
            <w:pStyle w:val="TOC2"/>
            <w:rPr>
              <w:rFonts w:asciiTheme="minorHAnsi" w:eastAsiaTheme="minorEastAsia" w:hAnsiTheme="minorHAnsi" w:cstheme="minorBidi"/>
              <w:noProof/>
              <w:sz w:val="22"/>
              <w:szCs w:val="22"/>
            </w:rPr>
          </w:pPr>
          <w:hyperlink w:anchor="_Toc161748826" w:history="1">
            <w:r w:rsidR="009135D9" w:rsidRPr="00F85430">
              <w:rPr>
                <w:rStyle w:val="Hyperlink"/>
                <w:noProof/>
                <w:lang w:val="en-GB"/>
              </w:rPr>
              <w:t>5.3</w:t>
            </w:r>
            <w:r w:rsidR="009135D9">
              <w:rPr>
                <w:rFonts w:asciiTheme="minorHAnsi" w:eastAsiaTheme="minorEastAsia" w:hAnsiTheme="minorHAnsi" w:cstheme="minorBidi"/>
                <w:noProof/>
                <w:sz w:val="22"/>
                <w:szCs w:val="22"/>
              </w:rPr>
              <w:tab/>
            </w:r>
            <w:r w:rsidR="009135D9" w:rsidRPr="00F85430">
              <w:rPr>
                <w:rStyle w:val="Hyperlink"/>
                <w:noProof/>
                <w:lang w:val="en-GB"/>
              </w:rPr>
              <w:t>Komponenti 4.2 Kontabiliteti</w:t>
            </w:r>
            <w:r w:rsidR="009135D9">
              <w:rPr>
                <w:noProof/>
                <w:webHidden/>
              </w:rPr>
              <w:tab/>
            </w:r>
            <w:r w:rsidR="009135D9">
              <w:rPr>
                <w:noProof/>
                <w:webHidden/>
              </w:rPr>
              <w:fldChar w:fldCharType="begin"/>
            </w:r>
            <w:r w:rsidR="009135D9">
              <w:rPr>
                <w:noProof/>
                <w:webHidden/>
              </w:rPr>
              <w:instrText xml:space="preserve"> PAGEREF _Toc161748826 \h </w:instrText>
            </w:r>
            <w:r w:rsidR="009135D9">
              <w:rPr>
                <w:noProof/>
                <w:webHidden/>
              </w:rPr>
            </w:r>
            <w:r w:rsidR="009135D9">
              <w:rPr>
                <w:noProof/>
                <w:webHidden/>
              </w:rPr>
              <w:fldChar w:fldCharType="separate"/>
            </w:r>
            <w:r w:rsidR="00CE577D">
              <w:rPr>
                <w:noProof/>
                <w:webHidden/>
              </w:rPr>
              <w:t>41</w:t>
            </w:r>
            <w:r w:rsidR="009135D9">
              <w:rPr>
                <w:noProof/>
                <w:webHidden/>
              </w:rPr>
              <w:fldChar w:fldCharType="end"/>
            </w:r>
          </w:hyperlink>
        </w:p>
        <w:p w14:paraId="3ADD9079" w14:textId="77777777" w:rsidR="009135D9" w:rsidRDefault="00F52403">
          <w:pPr>
            <w:pStyle w:val="TOC2"/>
            <w:rPr>
              <w:rFonts w:asciiTheme="minorHAnsi" w:eastAsiaTheme="minorEastAsia" w:hAnsiTheme="minorHAnsi" w:cstheme="minorBidi"/>
              <w:noProof/>
              <w:sz w:val="22"/>
              <w:szCs w:val="22"/>
            </w:rPr>
          </w:pPr>
          <w:hyperlink w:anchor="_Toc161748827" w:history="1">
            <w:r w:rsidR="009135D9" w:rsidRPr="00F85430">
              <w:rPr>
                <w:rStyle w:val="Hyperlink"/>
                <w:rFonts w:cs="Times New Roman"/>
                <w:noProof/>
                <w:lang w:val="en-GB"/>
              </w:rPr>
              <w:t>5.4</w:t>
            </w:r>
            <w:r w:rsidR="009135D9">
              <w:rPr>
                <w:rFonts w:asciiTheme="minorHAnsi" w:eastAsiaTheme="minorEastAsia" w:hAnsiTheme="minorHAnsi" w:cstheme="minorBidi"/>
                <w:noProof/>
                <w:sz w:val="22"/>
                <w:szCs w:val="22"/>
              </w:rPr>
              <w:tab/>
            </w:r>
            <w:r w:rsidR="009135D9" w:rsidRPr="00F85430">
              <w:rPr>
                <w:rStyle w:val="Hyperlink"/>
                <w:noProof/>
                <w:lang w:val="en-GB"/>
              </w:rPr>
              <w:t>Komponenti 4.3 Prokurimi Publik</w:t>
            </w:r>
            <w:r w:rsidR="009135D9">
              <w:rPr>
                <w:noProof/>
                <w:webHidden/>
              </w:rPr>
              <w:tab/>
            </w:r>
            <w:r w:rsidR="009135D9">
              <w:rPr>
                <w:noProof/>
                <w:webHidden/>
              </w:rPr>
              <w:fldChar w:fldCharType="begin"/>
            </w:r>
            <w:r w:rsidR="009135D9">
              <w:rPr>
                <w:noProof/>
                <w:webHidden/>
              </w:rPr>
              <w:instrText xml:space="preserve"> PAGEREF _Toc161748827 \h </w:instrText>
            </w:r>
            <w:r w:rsidR="009135D9">
              <w:rPr>
                <w:noProof/>
                <w:webHidden/>
              </w:rPr>
            </w:r>
            <w:r w:rsidR="009135D9">
              <w:rPr>
                <w:noProof/>
                <w:webHidden/>
              </w:rPr>
              <w:fldChar w:fldCharType="separate"/>
            </w:r>
            <w:r w:rsidR="00CE577D">
              <w:rPr>
                <w:noProof/>
                <w:webHidden/>
              </w:rPr>
              <w:t>43</w:t>
            </w:r>
            <w:r w:rsidR="009135D9">
              <w:rPr>
                <w:noProof/>
                <w:webHidden/>
              </w:rPr>
              <w:fldChar w:fldCharType="end"/>
            </w:r>
          </w:hyperlink>
        </w:p>
        <w:p w14:paraId="60FC4B7F" w14:textId="77777777" w:rsidR="009135D9" w:rsidRDefault="00F52403">
          <w:pPr>
            <w:pStyle w:val="TOC2"/>
            <w:rPr>
              <w:rFonts w:asciiTheme="minorHAnsi" w:eastAsiaTheme="minorEastAsia" w:hAnsiTheme="minorHAnsi" w:cstheme="minorBidi"/>
              <w:noProof/>
              <w:sz w:val="22"/>
              <w:szCs w:val="22"/>
            </w:rPr>
          </w:pPr>
          <w:hyperlink w:anchor="_Toc161748828" w:history="1">
            <w:r w:rsidR="009135D9" w:rsidRPr="00F85430">
              <w:rPr>
                <w:rStyle w:val="Hyperlink"/>
                <w:rFonts w:cs="Times New Roman"/>
                <w:noProof/>
                <w:lang w:val="en-GB"/>
              </w:rPr>
              <w:t>5.5</w:t>
            </w:r>
            <w:r w:rsidR="009135D9">
              <w:rPr>
                <w:rFonts w:asciiTheme="minorHAnsi" w:eastAsiaTheme="minorEastAsia" w:hAnsiTheme="minorHAnsi" w:cstheme="minorBidi"/>
                <w:noProof/>
                <w:sz w:val="22"/>
                <w:szCs w:val="22"/>
              </w:rPr>
              <w:tab/>
            </w:r>
            <w:r w:rsidR="009135D9" w:rsidRPr="00F85430">
              <w:rPr>
                <w:rStyle w:val="Hyperlink"/>
                <w:noProof/>
                <w:lang w:val="en-GB"/>
              </w:rPr>
              <w:t>Komponenti 4.4 Menaxhimi i Borxhit</w:t>
            </w:r>
            <w:r w:rsidR="009135D9">
              <w:rPr>
                <w:noProof/>
                <w:webHidden/>
              </w:rPr>
              <w:tab/>
            </w:r>
            <w:r w:rsidR="009135D9">
              <w:rPr>
                <w:noProof/>
                <w:webHidden/>
              </w:rPr>
              <w:fldChar w:fldCharType="begin"/>
            </w:r>
            <w:r w:rsidR="009135D9">
              <w:rPr>
                <w:noProof/>
                <w:webHidden/>
              </w:rPr>
              <w:instrText xml:space="preserve"> PAGEREF _Toc161748828 \h </w:instrText>
            </w:r>
            <w:r w:rsidR="009135D9">
              <w:rPr>
                <w:noProof/>
                <w:webHidden/>
              </w:rPr>
            </w:r>
            <w:r w:rsidR="009135D9">
              <w:rPr>
                <w:noProof/>
                <w:webHidden/>
              </w:rPr>
              <w:fldChar w:fldCharType="separate"/>
            </w:r>
            <w:r w:rsidR="00CE577D">
              <w:rPr>
                <w:noProof/>
                <w:webHidden/>
              </w:rPr>
              <w:t>45</w:t>
            </w:r>
            <w:r w:rsidR="009135D9">
              <w:rPr>
                <w:noProof/>
                <w:webHidden/>
              </w:rPr>
              <w:fldChar w:fldCharType="end"/>
            </w:r>
          </w:hyperlink>
        </w:p>
        <w:p w14:paraId="49E9234C" w14:textId="77777777" w:rsidR="009135D9" w:rsidRDefault="00F52403">
          <w:pPr>
            <w:pStyle w:val="TOC2"/>
            <w:rPr>
              <w:rFonts w:asciiTheme="minorHAnsi" w:eastAsiaTheme="minorEastAsia" w:hAnsiTheme="minorHAnsi" w:cstheme="minorBidi"/>
              <w:noProof/>
              <w:sz w:val="22"/>
              <w:szCs w:val="22"/>
            </w:rPr>
          </w:pPr>
          <w:hyperlink w:anchor="_Toc161748829" w:history="1">
            <w:r w:rsidR="009135D9" w:rsidRPr="00F85430">
              <w:rPr>
                <w:rStyle w:val="Hyperlink"/>
                <w:noProof/>
                <w:lang w:val="en-GB"/>
              </w:rPr>
              <w:t>5.6</w:t>
            </w:r>
            <w:r w:rsidR="009135D9">
              <w:rPr>
                <w:rFonts w:asciiTheme="minorHAnsi" w:eastAsiaTheme="minorEastAsia" w:hAnsiTheme="minorHAnsi" w:cstheme="minorBidi"/>
                <w:noProof/>
                <w:sz w:val="22"/>
                <w:szCs w:val="22"/>
              </w:rPr>
              <w:tab/>
            </w:r>
            <w:r w:rsidR="009135D9" w:rsidRPr="00F85430">
              <w:rPr>
                <w:rStyle w:val="Hyperlink"/>
                <w:noProof/>
                <w:lang w:val="en-GB"/>
              </w:rPr>
              <w:t>Komponenti 4.5 Menaxhimi i likuiditetit</w:t>
            </w:r>
            <w:r w:rsidR="009135D9">
              <w:rPr>
                <w:noProof/>
                <w:webHidden/>
              </w:rPr>
              <w:tab/>
            </w:r>
            <w:r w:rsidR="009135D9">
              <w:rPr>
                <w:noProof/>
                <w:webHidden/>
              </w:rPr>
              <w:fldChar w:fldCharType="begin"/>
            </w:r>
            <w:r w:rsidR="009135D9">
              <w:rPr>
                <w:noProof/>
                <w:webHidden/>
              </w:rPr>
              <w:instrText xml:space="preserve"> PAGEREF _Toc161748829 \h </w:instrText>
            </w:r>
            <w:r w:rsidR="009135D9">
              <w:rPr>
                <w:noProof/>
                <w:webHidden/>
              </w:rPr>
            </w:r>
            <w:r w:rsidR="009135D9">
              <w:rPr>
                <w:noProof/>
                <w:webHidden/>
              </w:rPr>
              <w:fldChar w:fldCharType="separate"/>
            </w:r>
            <w:r w:rsidR="00CE577D">
              <w:rPr>
                <w:noProof/>
                <w:webHidden/>
              </w:rPr>
              <w:t>46</w:t>
            </w:r>
            <w:r w:rsidR="009135D9">
              <w:rPr>
                <w:noProof/>
                <w:webHidden/>
              </w:rPr>
              <w:fldChar w:fldCharType="end"/>
            </w:r>
          </w:hyperlink>
        </w:p>
        <w:p w14:paraId="0FFC047C" w14:textId="77777777" w:rsidR="009135D9" w:rsidRDefault="00F52403">
          <w:pPr>
            <w:pStyle w:val="TOC2"/>
            <w:rPr>
              <w:rFonts w:asciiTheme="minorHAnsi" w:eastAsiaTheme="minorEastAsia" w:hAnsiTheme="minorHAnsi" w:cstheme="minorBidi"/>
              <w:noProof/>
              <w:sz w:val="22"/>
              <w:szCs w:val="22"/>
            </w:rPr>
          </w:pPr>
          <w:hyperlink w:anchor="_Toc161748830" w:history="1">
            <w:r w:rsidR="009135D9" w:rsidRPr="00F85430">
              <w:rPr>
                <w:rStyle w:val="Hyperlink"/>
                <w:noProof/>
                <w:lang w:val="en-GB"/>
              </w:rPr>
              <w:t>5.7</w:t>
            </w:r>
            <w:r w:rsidR="009135D9">
              <w:rPr>
                <w:rFonts w:asciiTheme="minorHAnsi" w:eastAsiaTheme="minorEastAsia" w:hAnsiTheme="minorHAnsi" w:cstheme="minorBidi"/>
                <w:noProof/>
                <w:sz w:val="22"/>
                <w:szCs w:val="22"/>
              </w:rPr>
              <w:tab/>
            </w:r>
            <w:r w:rsidR="009135D9" w:rsidRPr="00F85430">
              <w:rPr>
                <w:rStyle w:val="Hyperlink"/>
                <w:noProof/>
                <w:lang w:val="en-GB"/>
              </w:rPr>
              <w:t>Komponenti 4.6 Menaxhimi i Aseteve</w:t>
            </w:r>
            <w:r w:rsidR="009135D9">
              <w:rPr>
                <w:noProof/>
                <w:webHidden/>
              </w:rPr>
              <w:tab/>
            </w:r>
            <w:r w:rsidR="009135D9">
              <w:rPr>
                <w:noProof/>
                <w:webHidden/>
              </w:rPr>
              <w:fldChar w:fldCharType="begin"/>
            </w:r>
            <w:r w:rsidR="009135D9">
              <w:rPr>
                <w:noProof/>
                <w:webHidden/>
              </w:rPr>
              <w:instrText xml:space="preserve"> PAGEREF _Toc161748830 \h </w:instrText>
            </w:r>
            <w:r w:rsidR="009135D9">
              <w:rPr>
                <w:noProof/>
                <w:webHidden/>
              </w:rPr>
            </w:r>
            <w:r w:rsidR="009135D9">
              <w:rPr>
                <w:noProof/>
                <w:webHidden/>
              </w:rPr>
              <w:fldChar w:fldCharType="separate"/>
            </w:r>
            <w:r w:rsidR="00CE577D">
              <w:rPr>
                <w:noProof/>
                <w:webHidden/>
              </w:rPr>
              <w:t>47</w:t>
            </w:r>
            <w:r w:rsidR="009135D9">
              <w:rPr>
                <w:noProof/>
                <w:webHidden/>
              </w:rPr>
              <w:fldChar w:fldCharType="end"/>
            </w:r>
          </w:hyperlink>
        </w:p>
        <w:p w14:paraId="5244D5C6" w14:textId="77777777" w:rsidR="009135D9" w:rsidRDefault="00F52403">
          <w:pPr>
            <w:pStyle w:val="TOC1"/>
            <w:rPr>
              <w:rFonts w:asciiTheme="minorHAnsi" w:eastAsiaTheme="minorEastAsia" w:hAnsiTheme="minorHAnsi" w:cstheme="minorBidi"/>
              <w:noProof/>
              <w:sz w:val="22"/>
              <w:szCs w:val="22"/>
            </w:rPr>
          </w:pPr>
          <w:hyperlink w:anchor="_Toc161748831" w:history="1">
            <w:r w:rsidR="009135D9" w:rsidRPr="00F85430">
              <w:rPr>
                <w:rStyle w:val="Hyperlink"/>
                <w:noProof/>
                <w:lang w:val="it-IT"/>
              </w:rPr>
              <w:t>6</w:t>
            </w:r>
            <w:r w:rsidR="009135D9">
              <w:rPr>
                <w:rFonts w:asciiTheme="minorHAnsi" w:eastAsiaTheme="minorEastAsia" w:hAnsiTheme="minorHAnsi" w:cstheme="minorBidi"/>
                <w:noProof/>
                <w:sz w:val="22"/>
                <w:szCs w:val="22"/>
              </w:rPr>
              <w:tab/>
            </w:r>
            <w:r w:rsidR="009135D9" w:rsidRPr="00F85430">
              <w:rPr>
                <w:rStyle w:val="Hyperlink"/>
                <w:noProof/>
                <w:lang w:val="it-IT"/>
              </w:rPr>
              <w:t>Shtylla 5 Kontrolli i Brendshëm Financiar Publik</w:t>
            </w:r>
            <w:r w:rsidR="009135D9">
              <w:rPr>
                <w:noProof/>
                <w:webHidden/>
              </w:rPr>
              <w:tab/>
            </w:r>
            <w:r w:rsidR="009135D9">
              <w:rPr>
                <w:noProof/>
                <w:webHidden/>
              </w:rPr>
              <w:fldChar w:fldCharType="begin"/>
            </w:r>
            <w:r w:rsidR="009135D9">
              <w:rPr>
                <w:noProof/>
                <w:webHidden/>
              </w:rPr>
              <w:instrText xml:space="preserve"> PAGEREF _Toc161748831 \h </w:instrText>
            </w:r>
            <w:r w:rsidR="009135D9">
              <w:rPr>
                <w:noProof/>
                <w:webHidden/>
              </w:rPr>
            </w:r>
            <w:r w:rsidR="009135D9">
              <w:rPr>
                <w:noProof/>
                <w:webHidden/>
              </w:rPr>
              <w:fldChar w:fldCharType="separate"/>
            </w:r>
            <w:r w:rsidR="00CE577D">
              <w:rPr>
                <w:noProof/>
                <w:webHidden/>
              </w:rPr>
              <w:t>49</w:t>
            </w:r>
            <w:r w:rsidR="009135D9">
              <w:rPr>
                <w:noProof/>
                <w:webHidden/>
              </w:rPr>
              <w:fldChar w:fldCharType="end"/>
            </w:r>
          </w:hyperlink>
        </w:p>
        <w:p w14:paraId="35C9E6C5" w14:textId="77777777" w:rsidR="009135D9" w:rsidRDefault="00F52403">
          <w:pPr>
            <w:pStyle w:val="TOC2"/>
            <w:rPr>
              <w:rFonts w:asciiTheme="minorHAnsi" w:eastAsiaTheme="minorEastAsia" w:hAnsiTheme="minorHAnsi" w:cstheme="minorBidi"/>
              <w:noProof/>
              <w:sz w:val="22"/>
              <w:szCs w:val="22"/>
            </w:rPr>
          </w:pPr>
          <w:hyperlink w:anchor="_Toc161748832" w:history="1">
            <w:r w:rsidR="009135D9" w:rsidRPr="00F85430">
              <w:rPr>
                <w:rStyle w:val="Hyperlink"/>
                <w:noProof/>
                <w:lang w:val="en-GB"/>
              </w:rPr>
              <w:t>6.1</w:t>
            </w:r>
            <w:r w:rsidR="009135D9">
              <w:rPr>
                <w:rFonts w:asciiTheme="minorHAnsi" w:eastAsiaTheme="minorEastAsia" w:hAnsiTheme="minorHAnsi" w:cstheme="minorBidi"/>
                <w:noProof/>
                <w:sz w:val="22"/>
                <w:szCs w:val="22"/>
              </w:rPr>
              <w:tab/>
            </w:r>
            <w:r w:rsidR="009135D9" w:rsidRPr="00F85430">
              <w:rPr>
                <w:rStyle w:val="Hyperlink"/>
                <w:noProof/>
                <w:lang w:val="en-GB"/>
              </w:rPr>
              <w:t>Hyrje</w:t>
            </w:r>
            <w:r w:rsidR="009135D9">
              <w:rPr>
                <w:noProof/>
                <w:webHidden/>
              </w:rPr>
              <w:tab/>
            </w:r>
            <w:r w:rsidR="009135D9">
              <w:rPr>
                <w:noProof/>
                <w:webHidden/>
              </w:rPr>
              <w:fldChar w:fldCharType="begin"/>
            </w:r>
            <w:r w:rsidR="009135D9">
              <w:rPr>
                <w:noProof/>
                <w:webHidden/>
              </w:rPr>
              <w:instrText xml:space="preserve"> PAGEREF _Toc161748832 \h </w:instrText>
            </w:r>
            <w:r w:rsidR="009135D9">
              <w:rPr>
                <w:noProof/>
                <w:webHidden/>
              </w:rPr>
            </w:r>
            <w:r w:rsidR="009135D9">
              <w:rPr>
                <w:noProof/>
                <w:webHidden/>
              </w:rPr>
              <w:fldChar w:fldCharType="separate"/>
            </w:r>
            <w:r w:rsidR="00CE577D">
              <w:rPr>
                <w:noProof/>
                <w:webHidden/>
              </w:rPr>
              <w:t>49</w:t>
            </w:r>
            <w:r w:rsidR="009135D9">
              <w:rPr>
                <w:noProof/>
                <w:webHidden/>
              </w:rPr>
              <w:fldChar w:fldCharType="end"/>
            </w:r>
          </w:hyperlink>
        </w:p>
        <w:p w14:paraId="1DA6E53E" w14:textId="77777777" w:rsidR="009135D9" w:rsidRDefault="00F52403">
          <w:pPr>
            <w:pStyle w:val="TOC2"/>
            <w:rPr>
              <w:rFonts w:asciiTheme="minorHAnsi" w:eastAsiaTheme="minorEastAsia" w:hAnsiTheme="minorHAnsi" w:cstheme="minorBidi"/>
              <w:noProof/>
              <w:sz w:val="22"/>
              <w:szCs w:val="22"/>
            </w:rPr>
          </w:pPr>
          <w:hyperlink w:anchor="_Toc161748833" w:history="1">
            <w:r w:rsidR="009135D9" w:rsidRPr="00F85430">
              <w:rPr>
                <w:rStyle w:val="Hyperlink"/>
                <w:noProof/>
                <w:lang w:val="en-GB"/>
              </w:rPr>
              <w:t>6.2</w:t>
            </w:r>
            <w:r w:rsidR="009135D9">
              <w:rPr>
                <w:rFonts w:asciiTheme="minorHAnsi" w:eastAsiaTheme="minorEastAsia" w:hAnsiTheme="minorHAnsi" w:cstheme="minorBidi"/>
                <w:noProof/>
                <w:sz w:val="22"/>
                <w:szCs w:val="22"/>
              </w:rPr>
              <w:tab/>
            </w:r>
            <w:r w:rsidR="009135D9" w:rsidRPr="00F85430">
              <w:rPr>
                <w:rStyle w:val="Hyperlink"/>
                <w:noProof/>
                <w:lang w:val="en-GB"/>
              </w:rPr>
              <w:t>Komponenti 5.1 Menaxhimi Financiar dhe Kontrolli</w:t>
            </w:r>
            <w:r w:rsidR="009135D9">
              <w:rPr>
                <w:noProof/>
                <w:webHidden/>
              </w:rPr>
              <w:tab/>
            </w:r>
            <w:r w:rsidR="009135D9">
              <w:rPr>
                <w:noProof/>
                <w:webHidden/>
              </w:rPr>
              <w:fldChar w:fldCharType="begin"/>
            </w:r>
            <w:r w:rsidR="009135D9">
              <w:rPr>
                <w:noProof/>
                <w:webHidden/>
              </w:rPr>
              <w:instrText xml:space="preserve"> PAGEREF _Toc161748833 \h </w:instrText>
            </w:r>
            <w:r w:rsidR="009135D9">
              <w:rPr>
                <w:noProof/>
                <w:webHidden/>
              </w:rPr>
            </w:r>
            <w:r w:rsidR="009135D9">
              <w:rPr>
                <w:noProof/>
                <w:webHidden/>
              </w:rPr>
              <w:fldChar w:fldCharType="separate"/>
            </w:r>
            <w:r w:rsidR="00CE577D">
              <w:rPr>
                <w:noProof/>
                <w:webHidden/>
              </w:rPr>
              <w:t>50</w:t>
            </w:r>
            <w:r w:rsidR="009135D9">
              <w:rPr>
                <w:noProof/>
                <w:webHidden/>
              </w:rPr>
              <w:fldChar w:fldCharType="end"/>
            </w:r>
          </w:hyperlink>
        </w:p>
        <w:p w14:paraId="26B52E8D" w14:textId="77777777" w:rsidR="009135D9" w:rsidRDefault="00F52403">
          <w:pPr>
            <w:pStyle w:val="TOC2"/>
            <w:rPr>
              <w:rFonts w:asciiTheme="minorHAnsi" w:eastAsiaTheme="minorEastAsia" w:hAnsiTheme="minorHAnsi" w:cstheme="minorBidi"/>
              <w:noProof/>
              <w:sz w:val="22"/>
              <w:szCs w:val="22"/>
            </w:rPr>
          </w:pPr>
          <w:hyperlink w:anchor="_Toc161748834" w:history="1">
            <w:r w:rsidR="009135D9" w:rsidRPr="00F85430">
              <w:rPr>
                <w:rStyle w:val="Hyperlink"/>
                <w:noProof/>
                <w:lang w:val="en-GB"/>
              </w:rPr>
              <w:t>6.3</w:t>
            </w:r>
            <w:r w:rsidR="009135D9">
              <w:rPr>
                <w:rFonts w:asciiTheme="minorHAnsi" w:eastAsiaTheme="minorEastAsia" w:hAnsiTheme="minorHAnsi" w:cstheme="minorBidi"/>
                <w:noProof/>
                <w:sz w:val="22"/>
                <w:szCs w:val="22"/>
              </w:rPr>
              <w:tab/>
            </w:r>
            <w:r w:rsidR="009135D9" w:rsidRPr="00F85430">
              <w:rPr>
                <w:rStyle w:val="Hyperlink"/>
                <w:noProof/>
                <w:lang w:val="en-GB"/>
              </w:rPr>
              <w:t>Komponenti 5.2 Auditimi i Brendshëm</w:t>
            </w:r>
            <w:r w:rsidR="009135D9">
              <w:rPr>
                <w:noProof/>
                <w:webHidden/>
              </w:rPr>
              <w:tab/>
            </w:r>
            <w:r w:rsidR="009135D9">
              <w:rPr>
                <w:noProof/>
                <w:webHidden/>
              </w:rPr>
              <w:fldChar w:fldCharType="begin"/>
            </w:r>
            <w:r w:rsidR="009135D9">
              <w:rPr>
                <w:noProof/>
                <w:webHidden/>
              </w:rPr>
              <w:instrText xml:space="preserve"> PAGEREF _Toc161748834 \h </w:instrText>
            </w:r>
            <w:r w:rsidR="009135D9">
              <w:rPr>
                <w:noProof/>
                <w:webHidden/>
              </w:rPr>
            </w:r>
            <w:r w:rsidR="009135D9">
              <w:rPr>
                <w:noProof/>
                <w:webHidden/>
              </w:rPr>
              <w:fldChar w:fldCharType="separate"/>
            </w:r>
            <w:r w:rsidR="00CE577D">
              <w:rPr>
                <w:noProof/>
                <w:webHidden/>
              </w:rPr>
              <w:t>52</w:t>
            </w:r>
            <w:r w:rsidR="009135D9">
              <w:rPr>
                <w:noProof/>
                <w:webHidden/>
              </w:rPr>
              <w:fldChar w:fldCharType="end"/>
            </w:r>
          </w:hyperlink>
        </w:p>
        <w:p w14:paraId="0FC7A573" w14:textId="77777777" w:rsidR="009135D9" w:rsidRDefault="00F52403">
          <w:pPr>
            <w:pStyle w:val="TOC2"/>
            <w:rPr>
              <w:rFonts w:asciiTheme="minorHAnsi" w:eastAsiaTheme="minorEastAsia" w:hAnsiTheme="minorHAnsi" w:cstheme="minorBidi"/>
              <w:noProof/>
              <w:sz w:val="22"/>
              <w:szCs w:val="22"/>
            </w:rPr>
          </w:pPr>
          <w:hyperlink w:anchor="_Toc161748835" w:history="1">
            <w:r w:rsidR="009135D9" w:rsidRPr="00F85430">
              <w:rPr>
                <w:rStyle w:val="Hyperlink"/>
                <w:noProof/>
                <w:lang w:val="it-IT"/>
              </w:rPr>
              <w:t>6.4</w:t>
            </w:r>
            <w:r w:rsidR="009135D9">
              <w:rPr>
                <w:rFonts w:asciiTheme="minorHAnsi" w:eastAsiaTheme="minorEastAsia" w:hAnsiTheme="minorHAnsi" w:cstheme="minorBidi"/>
                <w:noProof/>
                <w:sz w:val="22"/>
                <w:szCs w:val="22"/>
              </w:rPr>
              <w:tab/>
            </w:r>
            <w:r w:rsidR="009135D9" w:rsidRPr="00F85430">
              <w:rPr>
                <w:rStyle w:val="Hyperlink"/>
                <w:noProof/>
                <w:lang w:val="it-IT"/>
              </w:rPr>
              <w:t>Komponenti 5.3 Inspektimi Financiar Publik dhe Shërbimet e Koordinimit kundër Mashtrimit</w:t>
            </w:r>
            <w:r w:rsidR="009135D9">
              <w:rPr>
                <w:noProof/>
                <w:webHidden/>
              </w:rPr>
              <w:tab/>
            </w:r>
            <w:r w:rsidR="009135D9">
              <w:rPr>
                <w:noProof/>
                <w:webHidden/>
              </w:rPr>
              <w:fldChar w:fldCharType="begin"/>
            </w:r>
            <w:r w:rsidR="009135D9">
              <w:rPr>
                <w:noProof/>
                <w:webHidden/>
              </w:rPr>
              <w:instrText xml:space="preserve"> PAGEREF _Toc161748835 \h </w:instrText>
            </w:r>
            <w:r w:rsidR="009135D9">
              <w:rPr>
                <w:noProof/>
                <w:webHidden/>
              </w:rPr>
            </w:r>
            <w:r w:rsidR="009135D9">
              <w:rPr>
                <w:noProof/>
                <w:webHidden/>
              </w:rPr>
              <w:fldChar w:fldCharType="separate"/>
            </w:r>
            <w:r w:rsidR="00CE577D">
              <w:rPr>
                <w:noProof/>
                <w:webHidden/>
              </w:rPr>
              <w:t>54</w:t>
            </w:r>
            <w:r w:rsidR="009135D9">
              <w:rPr>
                <w:noProof/>
                <w:webHidden/>
              </w:rPr>
              <w:fldChar w:fldCharType="end"/>
            </w:r>
          </w:hyperlink>
        </w:p>
        <w:p w14:paraId="7922F887" w14:textId="77777777" w:rsidR="009135D9" w:rsidRDefault="00F52403">
          <w:pPr>
            <w:pStyle w:val="TOC2"/>
            <w:rPr>
              <w:rFonts w:asciiTheme="minorHAnsi" w:eastAsiaTheme="minorEastAsia" w:hAnsiTheme="minorHAnsi" w:cstheme="minorBidi"/>
              <w:noProof/>
              <w:sz w:val="22"/>
              <w:szCs w:val="22"/>
            </w:rPr>
          </w:pPr>
          <w:hyperlink w:anchor="_Toc161748836" w:history="1">
            <w:r w:rsidR="009135D9" w:rsidRPr="00F85430">
              <w:rPr>
                <w:rStyle w:val="Hyperlink"/>
                <w:noProof/>
                <w:lang w:val="en-GB"/>
              </w:rPr>
              <w:t>6.5</w:t>
            </w:r>
            <w:r w:rsidR="009135D9">
              <w:rPr>
                <w:rFonts w:asciiTheme="minorHAnsi" w:eastAsiaTheme="minorEastAsia" w:hAnsiTheme="minorHAnsi" w:cstheme="minorBidi"/>
                <w:noProof/>
                <w:sz w:val="22"/>
                <w:szCs w:val="22"/>
              </w:rPr>
              <w:tab/>
            </w:r>
            <w:r w:rsidR="009135D9" w:rsidRPr="00F85430">
              <w:rPr>
                <w:rStyle w:val="Hyperlink"/>
                <w:noProof/>
                <w:lang w:val="en-GB"/>
              </w:rPr>
              <w:t>Komponent 5.4 Menaxhimi i fondeve të BE-së</w:t>
            </w:r>
            <w:r w:rsidR="009135D9">
              <w:rPr>
                <w:noProof/>
                <w:webHidden/>
              </w:rPr>
              <w:tab/>
            </w:r>
            <w:r w:rsidR="009135D9">
              <w:rPr>
                <w:noProof/>
                <w:webHidden/>
              </w:rPr>
              <w:fldChar w:fldCharType="begin"/>
            </w:r>
            <w:r w:rsidR="009135D9">
              <w:rPr>
                <w:noProof/>
                <w:webHidden/>
              </w:rPr>
              <w:instrText xml:space="preserve"> PAGEREF _Toc161748836 \h </w:instrText>
            </w:r>
            <w:r w:rsidR="009135D9">
              <w:rPr>
                <w:noProof/>
                <w:webHidden/>
              </w:rPr>
            </w:r>
            <w:r w:rsidR="009135D9">
              <w:rPr>
                <w:noProof/>
                <w:webHidden/>
              </w:rPr>
              <w:fldChar w:fldCharType="separate"/>
            </w:r>
            <w:r w:rsidR="00CE577D">
              <w:rPr>
                <w:noProof/>
                <w:webHidden/>
              </w:rPr>
              <w:t>55</w:t>
            </w:r>
            <w:r w:rsidR="009135D9">
              <w:rPr>
                <w:noProof/>
                <w:webHidden/>
              </w:rPr>
              <w:fldChar w:fldCharType="end"/>
            </w:r>
          </w:hyperlink>
        </w:p>
        <w:p w14:paraId="4DA54562" w14:textId="77777777" w:rsidR="009135D9" w:rsidRDefault="00F52403">
          <w:pPr>
            <w:pStyle w:val="TOC1"/>
            <w:rPr>
              <w:rFonts w:asciiTheme="minorHAnsi" w:eastAsiaTheme="minorEastAsia" w:hAnsiTheme="minorHAnsi" w:cstheme="minorBidi"/>
              <w:noProof/>
              <w:sz w:val="22"/>
              <w:szCs w:val="22"/>
            </w:rPr>
          </w:pPr>
          <w:hyperlink w:anchor="_Toc161748837" w:history="1">
            <w:r w:rsidR="009135D9" w:rsidRPr="00F85430">
              <w:rPr>
                <w:rStyle w:val="Hyperlink"/>
                <w:noProof/>
                <w:lang w:val="en-GB"/>
              </w:rPr>
              <w:t>7</w:t>
            </w:r>
            <w:r w:rsidR="009135D9">
              <w:rPr>
                <w:rFonts w:asciiTheme="minorHAnsi" w:eastAsiaTheme="minorEastAsia" w:hAnsiTheme="minorHAnsi" w:cstheme="minorBidi"/>
                <w:noProof/>
                <w:sz w:val="22"/>
                <w:szCs w:val="22"/>
              </w:rPr>
              <w:tab/>
            </w:r>
            <w:r w:rsidR="009135D9" w:rsidRPr="00F85430">
              <w:rPr>
                <w:rStyle w:val="Hyperlink"/>
                <w:noProof/>
                <w:lang w:val="en-GB"/>
              </w:rPr>
              <w:t xml:space="preserve">Shtylla 6 </w:t>
            </w:r>
            <w:r w:rsidR="009135D9" w:rsidRPr="00F85430">
              <w:rPr>
                <w:rStyle w:val="Hyperlink"/>
                <w:noProof/>
              </w:rPr>
              <w:t>Mbikëqyrja e Jashtme</w:t>
            </w:r>
            <w:r w:rsidR="009135D9">
              <w:rPr>
                <w:noProof/>
                <w:webHidden/>
              </w:rPr>
              <w:tab/>
            </w:r>
            <w:r w:rsidR="009135D9">
              <w:rPr>
                <w:noProof/>
                <w:webHidden/>
              </w:rPr>
              <w:fldChar w:fldCharType="begin"/>
            </w:r>
            <w:r w:rsidR="009135D9">
              <w:rPr>
                <w:noProof/>
                <w:webHidden/>
              </w:rPr>
              <w:instrText xml:space="preserve"> PAGEREF _Toc161748837 \h </w:instrText>
            </w:r>
            <w:r w:rsidR="009135D9">
              <w:rPr>
                <w:noProof/>
                <w:webHidden/>
              </w:rPr>
            </w:r>
            <w:r w:rsidR="009135D9">
              <w:rPr>
                <w:noProof/>
                <w:webHidden/>
              </w:rPr>
              <w:fldChar w:fldCharType="separate"/>
            </w:r>
            <w:r w:rsidR="00CE577D">
              <w:rPr>
                <w:noProof/>
                <w:webHidden/>
              </w:rPr>
              <w:t>57</w:t>
            </w:r>
            <w:r w:rsidR="009135D9">
              <w:rPr>
                <w:noProof/>
                <w:webHidden/>
              </w:rPr>
              <w:fldChar w:fldCharType="end"/>
            </w:r>
          </w:hyperlink>
        </w:p>
        <w:p w14:paraId="5863A1A2" w14:textId="77777777" w:rsidR="009135D9" w:rsidRDefault="00F52403">
          <w:pPr>
            <w:pStyle w:val="TOC2"/>
            <w:rPr>
              <w:rFonts w:asciiTheme="minorHAnsi" w:eastAsiaTheme="minorEastAsia" w:hAnsiTheme="minorHAnsi" w:cstheme="minorBidi"/>
              <w:noProof/>
              <w:sz w:val="22"/>
              <w:szCs w:val="22"/>
            </w:rPr>
          </w:pPr>
          <w:hyperlink w:anchor="_Toc161748838" w:history="1">
            <w:r w:rsidR="009135D9" w:rsidRPr="00F85430">
              <w:rPr>
                <w:rStyle w:val="Hyperlink"/>
                <w:noProof/>
                <w:lang w:val="en-GB"/>
              </w:rPr>
              <w:t>7.1</w:t>
            </w:r>
            <w:r w:rsidR="009135D9">
              <w:rPr>
                <w:rFonts w:asciiTheme="minorHAnsi" w:eastAsiaTheme="minorEastAsia" w:hAnsiTheme="minorHAnsi" w:cstheme="minorBidi"/>
                <w:noProof/>
                <w:sz w:val="22"/>
                <w:szCs w:val="22"/>
              </w:rPr>
              <w:tab/>
            </w:r>
            <w:r w:rsidR="009135D9" w:rsidRPr="00F85430">
              <w:rPr>
                <w:rStyle w:val="Hyperlink"/>
                <w:noProof/>
                <w:lang w:val="en-GB"/>
              </w:rPr>
              <w:t>Hyrje</w:t>
            </w:r>
            <w:r w:rsidR="009135D9">
              <w:rPr>
                <w:noProof/>
                <w:webHidden/>
              </w:rPr>
              <w:tab/>
            </w:r>
            <w:r w:rsidR="009135D9">
              <w:rPr>
                <w:noProof/>
                <w:webHidden/>
              </w:rPr>
              <w:fldChar w:fldCharType="begin"/>
            </w:r>
            <w:r w:rsidR="009135D9">
              <w:rPr>
                <w:noProof/>
                <w:webHidden/>
              </w:rPr>
              <w:instrText xml:space="preserve"> PAGEREF _Toc161748838 \h </w:instrText>
            </w:r>
            <w:r w:rsidR="009135D9">
              <w:rPr>
                <w:noProof/>
                <w:webHidden/>
              </w:rPr>
            </w:r>
            <w:r w:rsidR="009135D9">
              <w:rPr>
                <w:noProof/>
                <w:webHidden/>
              </w:rPr>
              <w:fldChar w:fldCharType="separate"/>
            </w:r>
            <w:r w:rsidR="00CE577D">
              <w:rPr>
                <w:noProof/>
                <w:webHidden/>
              </w:rPr>
              <w:t>57</w:t>
            </w:r>
            <w:r w:rsidR="009135D9">
              <w:rPr>
                <w:noProof/>
                <w:webHidden/>
              </w:rPr>
              <w:fldChar w:fldCharType="end"/>
            </w:r>
          </w:hyperlink>
        </w:p>
        <w:p w14:paraId="013CA650" w14:textId="77777777" w:rsidR="009135D9" w:rsidRDefault="00F52403">
          <w:pPr>
            <w:pStyle w:val="TOC2"/>
            <w:rPr>
              <w:rFonts w:asciiTheme="minorHAnsi" w:eastAsiaTheme="minorEastAsia" w:hAnsiTheme="minorHAnsi" w:cstheme="minorBidi"/>
              <w:noProof/>
              <w:sz w:val="22"/>
              <w:szCs w:val="22"/>
            </w:rPr>
          </w:pPr>
          <w:hyperlink w:anchor="_Toc161748839" w:history="1">
            <w:r w:rsidR="009135D9" w:rsidRPr="00F85430">
              <w:rPr>
                <w:rStyle w:val="Hyperlink"/>
                <w:noProof/>
                <w:lang w:val="en-GB"/>
              </w:rPr>
              <w:t>7.2</w:t>
            </w:r>
            <w:r w:rsidR="009135D9">
              <w:rPr>
                <w:rFonts w:asciiTheme="minorHAnsi" w:eastAsiaTheme="minorEastAsia" w:hAnsiTheme="minorHAnsi" w:cstheme="minorBidi"/>
                <w:noProof/>
                <w:sz w:val="22"/>
                <w:szCs w:val="22"/>
              </w:rPr>
              <w:tab/>
            </w:r>
            <w:r w:rsidR="009135D9" w:rsidRPr="00F85430">
              <w:rPr>
                <w:rStyle w:val="Hyperlink"/>
                <w:noProof/>
                <w:lang w:val="en-GB"/>
              </w:rPr>
              <w:t>Komponenti 6.1 Auditimi i Jashtën</w:t>
            </w:r>
            <w:r w:rsidR="009135D9">
              <w:rPr>
                <w:noProof/>
                <w:webHidden/>
              </w:rPr>
              <w:tab/>
            </w:r>
            <w:r w:rsidR="009135D9">
              <w:rPr>
                <w:noProof/>
                <w:webHidden/>
              </w:rPr>
              <w:fldChar w:fldCharType="begin"/>
            </w:r>
            <w:r w:rsidR="009135D9">
              <w:rPr>
                <w:noProof/>
                <w:webHidden/>
              </w:rPr>
              <w:instrText xml:space="preserve"> PAGEREF _Toc161748839 \h </w:instrText>
            </w:r>
            <w:r w:rsidR="009135D9">
              <w:rPr>
                <w:noProof/>
                <w:webHidden/>
              </w:rPr>
            </w:r>
            <w:r w:rsidR="009135D9">
              <w:rPr>
                <w:noProof/>
                <w:webHidden/>
              </w:rPr>
              <w:fldChar w:fldCharType="separate"/>
            </w:r>
            <w:r w:rsidR="00CE577D">
              <w:rPr>
                <w:noProof/>
                <w:webHidden/>
              </w:rPr>
              <w:t>57</w:t>
            </w:r>
            <w:r w:rsidR="009135D9">
              <w:rPr>
                <w:noProof/>
                <w:webHidden/>
              </w:rPr>
              <w:fldChar w:fldCharType="end"/>
            </w:r>
          </w:hyperlink>
        </w:p>
        <w:p w14:paraId="0EC4F21A" w14:textId="77777777" w:rsidR="009135D9" w:rsidRDefault="00F52403">
          <w:pPr>
            <w:pStyle w:val="TOC2"/>
            <w:rPr>
              <w:rFonts w:asciiTheme="minorHAnsi" w:eastAsiaTheme="minorEastAsia" w:hAnsiTheme="minorHAnsi" w:cstheme="minorBidi"/>
              <w:noProof/>
              <w:sz w:val="22"/>
              <w:szCs w:val="22"/>
            </w:rPr>
          </w:pPr>
          <w:hyperlink w:anchor="_Toc161748840" w:history="1">
            <w:r w:rsidR="009135D9" w:rsidRPr="00F85430">
              <w:rPr>
                <w:rStyle w:val="Hyperlink"/>
                <w:noProof/>
                <w:lang w:val="en-GB"/>
              </w:rPr>
              <w:t>7.3</w:t>
            </w:r>
            <w:r w:rsidR="009135D9">
              <w:rPr>
                <w:rFonts w:asciiTheme="minorHAnsi" w:eastAsiaTheme="minorEastAsia" w:hAnsiTheme="minorHAnsi" w:cstheme="minorBidi"/>
                <w:noProof/>
                <w:sz w:val="22"/>
                <w:szCs w:val="22"/>
              </w:rPr>
              <w:tab/>
            </w:r>
            <w:r w:rsidR="009135D9" w:rsidRPr="00F85430">
              <w:rPr>
                <w:rStyle w:val="Hyperlink"/>
                <w:noProof/>
                <w:lang w:val="en-GB"/>
              </w:rPr>
              <w:t xml:space="preserve">Komponenti 6.2 </w:t>
            </w:r>
            <w:r w:rsidR="009135D9" w:rsidRPr="00F85430">
              <w:rPr>
                <w:rStyle w:val="Hyperlink"/>
                <w:noProof/>
              </w:rPr>
              <w:t>Mbikëqyrja Parlamentare</w:t>
            </w:r>
            <w:r w:rsidR="009135D9">
              <w:rPr>
                <w:noProof/>
                <w:webHidden/>
              </w:rPr>
              <w:tab/>
            </w:r>
            <w:r w:rsidR="009135D9">
              <w:rPr>
                <w:noProof/>
                <w:webHidden/>
              </w:rPr>
              <w:fldChar w:fldCharType="begin"/>
            </w:r>
            <w:r w:rsidR="009135D9">
              <w:rPr>
                <w:noProof/>
                <w:webHidden/>
              </w:rPr>
              <w:instrText xml:space="preserve"> PAGEREF _Toc161748840 \h </w:instrText>
            </w:r>
            <w:r w:rsidR="009135D9">
              <w:rPr>
                <w:noProof/>
                <w:webHidden/>
              </w:rPr>
            </w:r>
            <w:r w:rsidR="009135D9">
              <w:rPr>
                <w:noProof/>
                <w:webHidden/>
              </w:rPr>
              <w:fldChar w:fldCharType="separate"/>
            </w:r>
            <w:r w:rsidR="00CE577D">
              <w:rPr>
                <w:noProof/>
                <w:webHidden/>
              </w:rPr>
              <w:t>59</w:t>
            </w:r>
            <w:r w:rsidR="009135D9">
              <w:rPr>
                <w:noProof/>
                <w:webHidden/>
              </w:rPr>
              <w:fldChar w:fldCharType="end"/>
            </w:r>
          </w:hyperlink>
        </w:p>
        <w:p w14:paraId="34889B46" w14:textId="77777777" w:rsidR="009135D9" w:rsidRDefault="00F52403">
          <w:pPr>
            <w:pStyle w:val="TOC1"/>
            <w:rPr>
              <w:rFonts w:asciiTheme="minorHAnsi" w:eastAsiaTheme="minorEastAsia" w:hAnsiTheme="minorHAnsi" w:cstheme="minorBidi"/>
              <w:noProof/>
              <w:sz w:val="22"/>
              <w:szCs w:val="22"/>
            </w:rPr>
          </w:pPr>
          <w:hyperlink w:anchor="_Toc161748841" w:history="1">
            <w:r w:rsidR="009135D9" w:rsidRPr="00F85430">
              <w:rPr>
                <w:rStyle w:val="Hyperlink"/>
                <w:noProof/>
                <w:lang w:val="it-IT"/>
              </w:rPr>
              <w:t>8</w:t>
            </w:r>
            <w:r w:rsidR="009135D9">
              <w:rPr>
                <w:rFonts w:asciiTheme="minorHAnsi" w:eastAsiaTheme="minorEastAsia" w:hAnsiTheme="minorHAnsi" w:cstheme="minorBidi"/>
                <w:noProof/>
                <w:sz w:val="22"/>
                <w:szCs w:val="22"/>
              </w:rPr>
              <w:tab/>
            </w:r>
            <w:r w:rsidR="009135D9" w:rsidRPr="00F85430">
              <w:rPr>
                <w:rStyle w:val="Hyperlink"/>
                <w:noProof/>
                <w:lang w:val="it-IT"/>
              </w:rPr>
              <w:t>Kuadri institucional për monitorimin dhe raportimin</w:t>
            </w:r>
            <w:r w:rsidR="009135D9">
              <w:rPr>
                <w:noProof/>
                <w:webHidden/>
              </w:rPr>
              <w:tab/>
            </w:r>
            <w:r w:rsidR="009135D9">
              <w:rPr>
                <w:noProof/>
                <w:webHidden/>
              </w:rPr>
              <w:fldChar w:fldCharType="begin"/>
            </w:r>
            <w:r w:rsidR="009135D9">
              <w:rPr>
                <w:noProof/>
                <w:webHidden/>
              </w:rPr>
              <w:instrText xml:space="preserve"> PAGEREF _Toc161748841 \h </w:instrText>
            </w:r>
            <w:r w:rsidR="009135D9">
              <w:rPr>
                <w:noProof/>
                <w:webHidden/>
              </w:rPr>
            </w:r>
            <w:r w:rsidR="009135D9">
              <w:rPr>
                <w:noProof/>
                <w:webHidden/>
              </w:rPr>
              <w:fldChar w:fldCharType="separate"/>
            </w:r>
            <w:r w:rsidR="00CE577D">
              <w:rPr>
                <w:noProof/>
                <w:webHidden/>
              </w:rPr>
              <w:t>61</w:t>
            </w:r>
            <w:r w:rsidR="009135D9">
              <w:rPr>
                <w:noProof/>
                <w:webHidden/>
              </w:rPr>
              <w:fldChar w:fldCharType="end"/>
            </w:r>
          </w:hyperlink>
        </w:p>
        <w:p w14:paraId="77B9AAE0" w14:textId="77777777" w:rsidR="009135D9" w:rsidRDefault="00F52403">
          <w:pPr>
            <w:pStyle w:val="TOC1"/>
            <w:rPr>
              <w:rFonts w:asciiTheme="minorHAnsi" w:eastAsiaTheme="minorEastAsia" w:hAnsiTheme="minorHAnsi" w:cstheme="minorBidi"/>
              <w:noProof/>
              <w:sz w:val="22"/>
              <w:szCs w:val="22"/>
            </w:rPr>
          </w:pPr>
          <w:hyperlink w:anchor="_Toc161748842" w:history="1">
            <w:r w:rsidR="009135D9" w:rsidRPr="00F85430">
              <w:rPr>
                <w:rStyle w:val="Hyperlink"/>
                <w:noProof/>
                <w:lang w:val="en-GB"/>
              </w:rPr>
              <w:t>9</w:t>
            </w:r>
            <w:r w:rsidR="009135D9">
              <w:rPr>
                <w:rFonts w:asciiTheme="minorHAnsi" w:eastAsiaTheme="minorEastAsia" w:hAnsiTheme="minorHAnsi" w:cstheme="minorBidi"/>
                <w:noProof/>
                <w:sz w:val="22"/>
                <w:szCs w:val="22"/>
              </w:rPr>
              <w:tab/>
            </w:r>
            <w:r w:rsidR="009135D9" w:rsidRPr="00F85430">
              <w:rPr>
                <w:rStyle w:val="Hyperlink"/>
                <w:noProof/>
              </w:rPr>
              <w:t>Risqet dhe masat zbutëse</w:t>
            </w:r>
            <w:r w:rsidR="009135D9">
              <w:rPr>
                <w:noProof/>
                <w:webHidden/>
              </w:rPr>
              <w:tab/>
            </w:r>
            <w:r w:rsidR="009135D9">
              <w:rPr>
                <w:noProof/>
                <w:webHidden/>
              </w:rPr>
              <w:fldChar w:fldCharType="begin"/>
            </w:r>
            <w:r w:rsidR="009135D9">
              <w:rPr>
                <w:noProof/>
                <w:webHidden/>
              </w:rPr>
              <w:instrText xml:space="preserve"> PAGEREF _Toc161748842 \h </w:instrText>
            </w:r>
            <w:r w:rsidR="009135D9">
              <w:rPr>
                <w:noProof/>
                <w:webHidden/>
              </w:rPr>
            </w:r>
            <w:r w:rsidR="009135D9">
              <w:rPr>
                <w:noProof/>
                <w:webHidden/>
              </w:rPr>
              <w:fldChar w:fldCharType="separate"/>
            </w:r>
            <w:r w:rsidR="00CE577D">
              <w:rPr>
                <w:noProof/>
                <w:webHidden/>
              </w:rPr>
              <w:t>62</w:t>
            </w:r>
            <w:r w:rsidR="009135D9">
              <w:rPr>
                <w:noProof/>
                <w:webHidden/>
              </w:rPr>
              <w:fldChar w:fldCharType="end"/>
            </w:r>
          </w:hyperlink>
        </w:p>
        <w:p w14:paraId="28DD3EC9" w14:textId="77777777" w:rsidR="009135D9" w:rsidRDefault="00F52403">
          <w:pPr>
            <w:pStyle w:val="TOC1"/>
            <w:rPr>
              <w:rFonts w:asciiTheme="minorHAnsi" w:eastAsiaTheme="minorEastAsia" w:hAnsiTheme="minorHAnsi" w:cstheme="minorBidi"/>
              <w:noProof/>
              <w:sz w:val="22"/>
              <w:szCs w:val="22"/>
            </w:rPr>
          </w:pPr>
          <w:hyperlink w:anchor="_Toc161748843" w:history="1">
            <w:r w:rsidR="009135D9" w:rsidRPr="00F85430">
              <w:rPr>
                <w:rStyle w:val="Hyperlink"/>
                <w:noProof/>
              </w:rPr>
              <w:t>10</w:t>
            </w:r>
            <w:r w:rsidR="009135D9">
              <w:rPr>
                <w:rFonts w:asciiTheme="minorHAnsi" w:eastAsiaTheme="minorEastAsia" w:hAnsiTheme="minorHAnsi" w:cstheme="minorBidi"/>
                <w:noProof/>
                <w:sz w:val="22"/>
                <w:szCs w:val="22"/>
              </w:rPr>
              <w:tab/>
            </w:r>
            <w:r w:rsidR="009135D9" w:rsidRPr="00F85430">
              <w:rPr>
                <w:rStyle w:val="Hyperlink"/>
                <w:noProof/>
              </w:rPr>
              <w:t>Vlerësimi i kostove dhe financimi</w:t>
            </w:r>
            <w:r w:rsidR="009135D9">
              <w:rPr>
                <w:noProof/>
                <w:webHidden/>
              </w:rPr>
              <w:tab/>
            </w:r>
            <w:r w:rsidR="009135D9">
              <w:rPr>
                <w:noProof/>
                <w:webHidden/>
              </w:rPr>
              <w:fldChar w:fldCharType="begin"/>
            </w:r>
            <w:r w:rsidR="009135D9">
              <w:rPr>
                <w:noProof/>
                <w:webHidden/>
              </w:rPr>
              <w:instrText xml:space="preserve"> PAGEREF _Toc161748843 \h </w:instrText>
            </w:r>
            <w:r w:rsidR="009135D9">
              <w:rPr>
                <w:noProof/>
                <w:webHidden/>
              </w:rPr>
            </w:r>
            <w:r w:rsidR="009135D9">
              <w:rPr>
                <w:noProof/>
                <w:webHidden/>
              </w:rPr>
              <w:fldChar w:fldCharType="separate"/>
            </w:r>
            <w:r w:rsidR="00CE577D">
              <w:rPr>
                <w:noProof/>
                <w:webHidden/>
              </w:rPr>
              <w:t>65</w:t>
            </w:r>
            <w:r w:rsidR="009135D9">
              <w:rPr>
                <w:noProof/>
                <w:webHidden/>
              </w:rPr>
              <w:fldChar w:fldCharType="end"/>
            </w:r>
          </w:hyperlink>
        </w:p>
        <w:p w14:paraId="4ABE7A5D" w14:textId="77777777" w:rsidR="009135D9" w:rsidRDefault="00F52403">
          <w:pPr>
            <w:pStyle w:val="TOC1"/>
            <w:rPr>
              <w:rFonts w:asciiTheme="minorHAnsi" w:eastAsiaTheme="minorEastAsia" w:hAnsiTheme="minorHAnsi" w:cstheme="minorBidi"/>
              <w:noProof/>
              <w:sz w:val="22"/>
              <w:szCs w:val="22"/>
            </w:rPr>
          </w:pPr>
          <w:hyperlink w:anchor="_Toc161748844" w:history="1">
            <w:r w:rsidR="009135D9" w:rsidRPr="00F85430">
              <w:rPr>
                <w:rStyle w:val="Hyperlink"/>
                <w:noProof/>
                <w:lang w:val="it-IT"/>
              </w:rPr>
              <w:t>Shtojca 1 Palët e interesuara për reformën e MFP</w:t>
            </w:r>
            <w:r w:rsidR="009135D9">
              <w:rPr>
                <w:noProof/>
                <w:webHidden/>
              </w:rPr>
              <w:tab/>
            </w:r>
            <w:r w:rsidR="009135D9">
              <w:rPr>
                <w:noProof/>
                <w:webHidden/>
              </w:rPr>
              <w:fldChar w:fldCharType="begin"/>
            </w:r>
            <w:r w:rsidR="009135D9">
              <w:rPr>
                <w:noProof/>
                <w:webHidden/>
              </w:rPr>
              <w:instrText xml:space="preserve"> PAGEREF _Toc161748844 \h </w:instrText>
            </w:r>
            <w:r w:rsidR="009135D9">
              <w:rPr>
                <w:noProof/>
                <w:webHidden/>
              </w:rPr>
            </w:r>
            <w:r w:rsidR="009135D9">
              <w:rPr>
                <w:noProof/>
                <w:webHidden/>
              </w:rPr>
              <w:fldChar w:fldCharType="separate"/>
            </w:r>
            <w:r w:rsidR="00CE577D">
              <w:rPr>
                <w:noProof/>
                <w:webHidden/>
              </w:rPr>
              <w:t>66</w:t>
            </w:r>
            <w:r w:rsidR="009135D9">
              <w:rPr>
                <w:noProof/>
                <w:webHidden/>
              </w:rPr>
              <w:fldChar w:fldCharType="end"/>
            </w:r>
          </w:hyperlink>
        </w:p>
        <w:p w14:paraId="0869175B" w14:textId="77777777" w:rsidR="009135D9" w:rsidRDefault="00F52403">
          <w:pPr>
            <w:pStyle w:val="TOC1"/>
            <w:rPr>
              <w:rFonts w:asciiTheme="minorHAnsi" w:eastAsiaTheme="minorEastAsia" w:hAnsiTheme="minorHAnsi" w:cstheme="minorBidi"/>
              <w:noProof/>
              <w:sz w:val="22"/>
              <w:szCs w:val="22"/>
            </w:rPr>
          </w:pPr>
          <w:hyperlink w:anchor="_Toc161748845" w:history="1">
            <w:r w:rsidR="009135D9" w:rsidRPr="00F85430">
              <w:rPr>
                <w:rStyle w:val="Hyperlink"/>
                <w:noProof/>
                <w:lang w:val="en-GB"/>
              </w:rPr>
              <w:t>Shtojca 2 Vështrim i përgjithshëm i mbështetjes së vazhdueshme dhe të planifikuar nga partnerët e zhvillimit</w:t>
            </w:r>
            <w:r w:rsidR="009135D9">
              <w:rPr>
                <w:noProof/>
                <w:webHidden/>
              </w:rPr>
              <w:tab/>
            </w:r>
            <w:r w:rsidR="009135D9">
              <w:rPr>
                <w:noProof/>
                <w:webHidden/>
              </w:rPr>
              <w:fldChar w:fldCharType="begin"/>
            </w:r>
            <w:r w:rsidR="009135D9">
              <w:rPr>
                <w:noProof/>
                <w:webHidden/>
              </w:rPr>
              <w:instrText xml:space="preserve"> PAGEREF _Toc161748845 \h </w:instrText>
            </w:r>
            <w:r w:rsidR="009135D9">
              <w:rPr>
                <w:noProof/>
                <w:webHidden/>
              </w:rPr>
            </w:r>
            <w:r w:rsidR="009135D9">
              <w:rPr>
                <w:noProof/>
                <w:webHidden/>
              </w:rPr>
              <w:fldChar w:fldCharType="separate"/>
            </w:r>
            <w:r w:rsidR="00CE577D">
              <w:rPr>
                <w:noProof/>
                <w:webHidden/>
              </w:rPr>
              <w:t>68</w:t>
            </w:r>
            <w:r w:rsidR="009135D9">
              <w:rPr>
                <w:noProof/>
                <w:webHidden/>
              </w:rPr>
              <w:fldChar w:fldCharType="end"/>
            </w:r>
          </w:hyperlink>
        </w:p>
        <w:p w14:paraId="42B1C22B" w14:textId="77777777" w:rsidR="009135D9" w:rsidRDefault="00F52403">
          <w:pPr>
            <w:pStyle w:val="TOC1"/>
            <w:rPr>
              <w:rFonts w:asciiTheme="minorHAnsi" w:eastAsiaTheme="minorEastAsia" w:hAnsiTheme="minorHAnsi" w:cstheme="minorBidi"/>
              <w:noProof/>
              <w:sz w:val="22"/>
              <w:szCs w:val="22"/>
            </w:rPr>
          </w:pPr>
          <w:hyperlink w:anchor="_Toc161748846" w:history="1">
            <w:r w:rsidR="009135D9" w:rsidRPr="00F85430">
              <w:rPr>
                <w:rStyle w:val="Hyperlink"/>
                <w:noProof/>
                <w:lang w:val="it-IT"/>
              </w:rPr>
              <w:t>Shtojca 3 Vlerësimi i kostove dhe financimi sipas objektivave specifikë (komponentëve)</w:t>
            </w:r>
            <w:r w:rsidR="009135D9">
              <w:rPr>
                <w:noProof/>
                <w:webHidden/>
              </w:rPr>
              <w:tab/>
            </w:r>
            <w:r w:rsidR="009135D9">
              <w:rPr>
                <w:noProof/>
                <w:webHidden/>
              </w:rPr>
              <w:fldChar w:fldCharType="begin"/>
            </w:r>
            <w:r w:rsidR="009135D9">
              <w:rPr>
                <w:noProof/>
                <w:webHidden/>
              </w:rPr>
              <w:instrText xml:space="preserve"> PAGEREF _Toc161748846 \h </w:instrText>
            </w:r>
            <w:r w:rsidR="009135D9">
              <w:rPr>
                <w:noProof/>
                <w:webHidden/>
              </w:rPr>
            </w:r>
            <w:r w:rsidR="009135D9">
              <w:rPr>
                <w:noProof/>
                <w:webHidden/>
              </w:rPr>
              <w:fldChar w:fldCharType="separate"/>
            </w:r>
            <w:r w:rsidR="00CE577D">
              <w:rPr>
                <w:noProof/>
                <w:webHidden/>
              </w:rPr>
              <w:t>69</w:t>
            </w:r>
            <w:r w:rsidR="009135D9">
              <w:rPr>
                <w:noProof/>
                <w:webHidden/>
              </w:rPr>
              <w:fldChar w:fldCharType="end"/>
            </w:r>
          </w:hyperlink>
        </w:p>
        <w:p w14:paraId="3872C9BB" w14:textId="77777777" w:rsidR="009135D9" w:rsidRDefault="00F52403">
          <w:pPr>
            <w:pStyle w:val="TOC1"/>
            <w:rPr>
              <w:rFonts w:asciiTheme="minorHAnsi" w:eastAsiaTheme="minorEastAsia" w:hAnsiTheme="minorHAnsi" w:cstheme="minorBidi"/>
              <w:noProof/>
              <w:sz w:val="22"/>
              <w:szCs w:val="22"/>
            </w:rPr>
          </w:pPr>
          <w:hyperlink w:anchor="_Toc161748847" w:history="1">
            <w:r w:rsidR="009135D9" w:rsidRPr="00F85430">
              <w:rPr>
                <w:rStyle w:val="Hyperlink"/>
                <w:noProof/>
                <w:lang w:val="en-GB"/>
              </w:rPr>
              <w:t>Shtojca 4 Plani i Veprimit i Menaxhimit të Financave Publike 2023 – 2026</w:t>
            </w:r>
            <w:r w:rsidR="009135D9">
              <w:rPr>
                <w:noProof/>
                <w:webHidden/>
              </w:rPr>
              <w:tab/>
            </w:r>
            <w:r w:rsidR="009135D9">
              <w:rPr>
                <w:noProof/>
                <w:webHidden/>
              </w:rPr>
              <w:fldChar w:fldCharType="begin"/>
            </w:r>
            <w:r w:rsidR="009135D9">
              <w:rPr>
                <w:noProof/>
                <w:webHidden/>
              </w:rPr>
              <w:instrText xml:space="preserve"> PAGEREF _Toc161748847 \h </w:instrText>
            </w:r>
            <w:r w:rsidR="009135D9">
              <w:rPr>
                <w:noProof/>
                <w:webHidden/>
              </w:rPr>
            </w:r>
            <w:r w:rsidR="009135D9">
              <w:rPr>
                <w:noProof/>
                <w:webHidden/>
              </w:rPr>
              <w:fldChar w:fldCharType="separate"/>
            </w:r>
            <w:r w:rsidR="00CE577D">
              <w:rPr>
                <w:noProof/>
                <w:webHidden/>
              </w:rPr>
              <w:t>72</w:t>
            </w:r>
            <w:r w:rsidR="009135D9">
              <w:rPr>
                <w:noProof/>
                <w:webHidden/>
              </w:rPr>
              <w:fldChar w:fldCharType="end"/>
            </w:r>
          </w:hyperlink>
        </w:p>
        <w:p w14:paraId="26B1EA2B" w14:textId="77777777" w:rsidR="009135D9" w:rsidRDefault="00F52403">
          <w:pPr>
            <w:pStyle w:val="TOC1"/>
            <w:rPr>
              <w:rFonts w:asciiTheme="minorHAnsi" w:eastAsiaTheme="minorEastAsia" w:hAnsiTheme="minorHAnsi" w:cstheme="minorBidi"/>
              <w:noProof/>
              <w:sz w:val="22"/>
              <w:szCs w:val="22"/>
            </w:rPr>
          </w:pPr>
          <w:hyperlink w:anchor="_Toc161748848" w:history="1">
            <w:r w:rsidR="009135D9" w:rsidRPr="00F85430">
              <w:rPr>
                <w:rStyle w:val="Hyperlink"/>
                <w:noProof/>
                <w:lang w:val="it-IT"/>
              </w:rPr>
              <w:t>Shtojca 5 Pasaporta e Treguesve të Menaxhimit të Financave Publike 2023 – 2026</w:t>
            </w:r>
            <w:r w:rsidR="009135D9">
              <w:rPr>
                <w:noProof/>
                <w:webHidden/>
              </w:rPr>
              <w:tab/>
            </w:r>
            <w:r w:rsidR="009135D9">
              <w:rPr>
                <w:noProof/>
                <w:webHidden/>
              </w:rPr>
              <w:fldChar w:fldCharType="begin"/>
            </w:r>
            <w:r w:rsidR="009135D9">
              <w:rPr>
                <w:noProof/>
                <w:webHidden/>
              </w:rPr>
              <w:instrText xml:space="preserve"> PAGEREF _Toc161748848 \h </w:instrText>
            </w:r>
            <w:r w:rsidR="009135D9">
              <w:rPr>
                <w:noProof/>
                <w:webHidden/>
              </w:rPr>
            </w:r>
            <w:r w:rsidR="009135D9">
              <w:rPr>
                <w:noProof/>
                <w:webHidden/>
              </w:rPr>
              <w:fldChar w:fldCharType="separate"/>
            </w:r>
            <w:r w:rsidR="00CE577D">
              <w:rPr>
                <w:noProof/>
                <w:webHidden/>
              </w:rPr>
              <w:t>85</w:t>
            </w:r>
            <w:r w:rsidR="009135D9">
              <w:rPr>
                <w:noProof/>
                <w:webHidden/>
              </w:rPr>
              <w:fldChar w:fldCharType="end"/>
            </w:r>
          </w:hyperlink>
        </w:p>
        <w:p w14:paraId="66AE1589" w14:textId="3B8FEE06" w:rsidR="00C81923" w:rsidRPr="001F151E" w:rsidRDefault="00C81923">
          <w:pPr>
            <w:rPr>
              <w:lang w:val="en-GB"/>
            </w:rPr>
          </w:pPr>
          <w:r w:rsidRPr="001F151E">
            <w:rPr>
              <w:b/>
              <w:bCs/>
              <w:noProof/>
              <w:lang w:val="en-GB"/>
            </w:rPr>
            <w:fldChar w:fldCharType="end"/>
          </w:r>
        </w:p>
      </w:sdtContent>
    </w:sdt>
    <w:p w14:paraId="2E95D3E5" w14:textId="77777777" w:rsidR="00C81923" w:rsidRPr="001F151E" w:rsidRDefault="00C81923" w:rsidP="00C81923">
      <w:pPr>
        <w:rPr>
          <w:lang w:val="en-GB"/>
        </w:rPr>
      </w:pPr>
    </w:p>
    <w:p w14:paraId="298F2CC3" w14:textId="77777777" w:rsidR="00C81923" w:rsidRPr="001F151E" w:rsidRDefault="00C81923" w:rsidP="00C81923">
      <w:pPr>
        <w:rPr>
          <w:rStyle w:val="IntenseReference"/>
          <w:rFonts w:eastAsiaTheme="majorEastAsia" w:cstheme="majorBidi"/>
          <w:i w:val="0"/>
          <w:sz w:val="26"/>
          <w:szCs w:val="26"/>
          <w:lang w:val="en-GB"/>
        </w:rPr>
      </w:pPr>
    </w:p>
    <w:p w14:paraId="5CA88CEE" w14:textId="77777777" w:rsidR="00C81923" w:rsidRPr="001F151E" w:rsidRDefault="00C81923" w:rsidP="00C81923">
      <w:pPr>
        <w:rPr>
          <w:rStyle w:val="IntenseReference"/>
          <w:rFonts w:eastAsiaTheme="majorEastAsia" w:cstheme="majorBidi"/>
          <w:i w:val="0"/>
          <w:sz w:val="26"/>
          <w:szCs w:val="26"/>
          <w:lang w:val="en-GB"/>
        </w:rPr>
      </w:pPr>
    </w:p>
    <w:p w14:paraId="28996A54" w14:textId="77777777" w:rsidR="00C81923" w:rsidRPr="001F151E" w:rsidRDefault="00C81923">
      <w:pPr>
        <w:spacing w:after="160" w:line="259" w:lineRule="auto"/>
        <w:rPr>
          <w:rStyle w:val="IntenseReference"/>
          <w:rFonts w:eastAsiaTheme="majorEastAsia" w:cstheme="majorBidi"/>
          <w:b/>
          <w:bCs/>
          <w:i w:val="0"/>
          <w:iCs/>
          <w:sz w:val="26"/>
          <w:szCs w:val="26"/>
          <w:lang w:val="en-GB"/>
        </w:rPr>
      </w:pPr>
      <w:r w:rsidRPr="001F151E">
        <w:rPr>
          <w:rStyle w:val="IntenseReference"/>
          <w:rFonts w:eastAsiaTheme="majorEastAsia" w:cstheme="majorBidi"/>
          <w:i w:val="0"/>
          <w:sz w:val="26"/>
          <w:szCs w:val="26"/>
          <w:lang w:val="en-GB"/>
        </w:rPr>
        <w:br w:type="page"/>
      </w:r>
    </w:p>
    <w:p w14:paraId="328FEE23" w14:textId="6964130C" w:rsidR="008102CF" w:rsidRPr="001F151E" w:rsidRDefault="002F5BDC" w:rsidP="00E50D41">
      <w:pPr>
        <w:pStyle w:val="Heading1"/>
        <w:numPr>
          <w:ilvl w:val="0"/>
          <w:numId w:val="0"/>
        </w:numPr>
        <w:ind w:left="432" w:hanging="432"/>
        <w:rPr>
          <w:rStyle w:val="IntenseReference"/>
          <w:rFonts w:eastAsiaTheme="majorEastAsia" w:cstheme="majorBidi"/>
          <w:i w:val="0"/>
          <w:sz w:val="26"/>
          <w:szCs w:val="26"/>
          <w:lang w:val="en-GB"/>
        </w:rPr>
      </w:pPr>
      <w:bookmarkStart w:id="1" w:name="_Toc161748798"/>
      <w:r>
        <w:rPr>
          <w:rStyle w:val="IntenseReference"/>
          <w:rFonts w:eastAsiaTheme="majorEastAsia" w:cstheme="majorBidi"/>
          <w:i w:val="0"/>
          <w:sz w:val="26"/>
          <w:szCs w:val="26"/>
          <w:lang w:val="en-GB"/>
        </w:rPr>
        <w:lastRenderedPageBreak/>
        <w:t>Lista e Shkurtimeve</w:t>
      </w:r>
      <w:bookmarkEnd w:id="1"/>
    </w:p>
    <w:p w14:paraId="10EE89FA" w14:textId="77777777" w:rsidR="008102CF" w:rsidRPr="001F151E" w:rsidRDefault="008102CF" w:rsidP="008102CF">
      <w:pPr>
        <w:rPr>
          <w:lang w:val="en-GB"/>
        </w:rPr>
      </w:pPr>
    </w:p>
    <w:tbl>
      <w:tblPr>
        <w:tblStyle w:val="TableGridIDEA6"/>
        <w:tblW w:w="524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994"/>
        <w:gridCol w:w="8469"/>
      </w:tblGrid>
      <w:tr w:rsidR="00956B69" w:rsidRPr="00956B69" w14:paraId="65BF9B96" w14:textId="77777777" w:rsidTr="00956B69">
        <w:tc>
          <w:tcPr>
            <w:tcW w:w="994" w:type="dxa"/>
            <w:hideMark/>
          </w:tcPr>
          <w:p w14:paraId="07C15395" w14:textId="54B4A675" w:rsidR="00956B69" w:rsidRPr="00956B69" w:rsidRDefault="007B4D44" w:rsidP="00956B69">
            <w:pPr>
              <w:rPr>
                <w:sz w:val="16"/>
                <w:szCs w:val="16"/>
              </w:rPr>
            </w:pPr>
            <w:r>
              <w:rPr>
                <w:sz w:val="16"/>
                <w:szCs w:val="16"/>
              </w:rPr>
              <w:t>AE</w:t>
            </w:r>
          </w:p>
        </w:tc>
        <w:tc>
          <w:tcPr>
            <w:tcW w:w="8469" w:type="dxa"/>
            <w:vAlign w:val="center"/>
            <w:hideMark/>
          </w:tcPr>
          <w:p w14:paraId="1EB01FC5" w14:textId="48F173CF" w:rsidR="00956B69" w:rsidRPr="00956B69" w:rsidRDefault="007B4D44" w:rsidP="00956B69">
            <w:pPr>
              <w:rPr>
                <w:sz w:val="16"/>
                <w:szCs w:val="16"/>
              </w:rPr>
            </w:pPr>
            <w:r>
              <w:rPr>
                <w:sz w:val="16"/>
                <w:szCs w:val="16"/>
              </w:rPr>
              <w:t>Arkiva Elektronike</w:t>
            </w:r>
          </w:p>
        </w:tc>
      </w:tr>
      <w:tr w:rsidR="007B4D44" w:rsidRPr="0059094E" w14:paraId="402F6D61" w14:textId="77777777" w:rsidTr="00956B69">
        <w:tc>
          <w:tcPr>
            <w:tcW w:w="994" w:type="dxa"/>
          </w:tcPr>
          <w:p w14:paraId="79A1213B" w14:textId="4C5BC8CB" w:rsidR="007B4D44" w:rsidRPr="00956B69" w:rsidRDefault="007B4D44" w:rsidP="00956B69">
            <w:pPr>
              <w:rPr>
                <w:sz w:val="16"/>
                <w:szCs w:val="16"/>
              </w:rPr>
            </w:pPr>
            <w:r w:rsidRPr="00956B69">
              <w:rPr>
                <w:sz w:val="16"/>
                <w:szCs w:val="16"/>
              </w:rPr>
              <w:t>AKSHI</w:t>
            </w:r>
          </w:p>
        </w:tc>
        <w:tc>
          <w:tcPr>
            <w:tcW w:w="8469" w:type="dxa"/>
            <w:vAlign w:val="center"/>
          </w:tcPr>
          <w:p w14:paraId="3584BC0F" w14:textId="758795AE" w:rsidR="007B4D44" w:rsidRPr="009D660E" w:rsidRDefault="007B4D44" w:rsidP="00956B69">
            <w:pPr>
              <w:rPr>
                <w:sz w:val="16"/>
                <w:szCs w:val="16"/>
                <w:lang w:val="it-IT"/>
              </w:rPr>
            </w:pPr>
            <w:r w:rsidRPr="009D660E">
              <w:rPr>
                <w:sz w:val="16"/>
                <w:szCs w:val="16"/>
                <w:lang w:val="it-IT"/>
              </w:rPr>
              <w:t>Agjencia Kombëtare e Shoqërisë së Informacionit</w:t>
            </w:r>
          </w:p>
        </w:tc>
      </w:tr>
      <w:tr w:rsidR="00956B69" w:rsidRPr="00956B69" w14:paraId="1964252F" w14:textId="77777777" w:rsidTr="00956B69">
        <w:tc>
          <w:tcPr>
            <w:tcW w:w="994" w:type="dxa"/>
            <w:hideMark/>
          </w:tcPr>
          <w:p w14:paraId="02C0AD3A" w14:textId="77777777" w:rsidR="00956B69" w:rsidRPr="00956B69" w:rsidRDefault="00956B69" w:rsidP="00956B69">
            <w:pPr>
              <w:rPr>
                <w:sz w:val="16"/>
                <w:szCs w:val="16"/>
              </w:rPr>
            </w:pPr>
            <w:r w:rsidRPr="00956B69">
              <w:rPr>
                <w:sz w:val="16"/>
                <w:szCs w:val="16"/>
              </w:rPr>
              <w:t>APP</w:t>
            </w:r>
          </w:p>
        </w:tc>
        <w:tc>
          <w:tcPr>
            <w:tcW w:w="8469" w:type="dxa"/>
            <w:vAlign w:val="center"/>
            <w:hideMark/>
          </w:tcPr>
          <w:p w14:paraId="34C2347B" w14:textId="77777777" w:rsidR="00956B69" w:rsidRPr="00956B69" w:rsidRDefault="00956B69" w:rsidP="00956B69">
            <w:pPr>
              <w:rPr>
                <w:sz w:val="16"/>
                <w:szCs w:val="16"/>
              </w:rPr>
            </w:pPr>
            <w:r w:rsidRPr="00956B69">
              <w:rPr>
                <w:sz w:val="16"/>
                <w:szCs w:val="16"/>
              </w:rPr>
              <w:t>Agjencia e Prokurimit Publik</w:t>
            </w:r>
          </w:p>
        </w:tc>
      </w:tr>
      <w:tr w:rsidR="00956B69" w:rsidRPr="0059094E" w14:paraId="0D9712C9" w14:textId="77777777" w:rsidTr="00956B69">
        <w:tc>
          <w:tcPr>
            <w:tcW w:w="994" w:type="dxa"/>
            <w:hideMark/>
          </w:tcPr>
          <w:p w14:paraId="31F34608" w14:textId="77777777" w:rsidR="00956B69" w:rsidRPr="00956B69" w:rsidRDefault="00956B69" w:rsidP="00956B69">
            <w:pPr>
              <w:rPr>
                <w:sz w:val="16"/>
                <w:szCs w:val="16"/>
              </w:rPr>
            </w:pPr>
            <w:r w:rsidRPr="00956B69">
              <w:rPr>
                <w:sz w:val="16"/>
                <w:szCs w:val="16"/>
              </w:rPr>
              <w:t>ATRAKO</w:t>
            </w:r>
          </w:p>
        </w:tc>
        <w:tc>
          <w:tcPr>
            <w:tcW w:w="8469" w:type="dxa"/>
            <w:vAlign w:val="center"/>
            <w:hideMark/>
          </w:tcPr>
          <w:p w14:paraId="5CD25F18" w14:textId="77777777" w:rsidR="00956B69" w:rsidRPr="009D660E" w:rsidRDefault="00956B69" w:rsidP="00956B69">
            <w:pPr>
              <w:rPr>
                <w:sz w:val="16"/>
                <w:szCs w:val="16"/>
                <w:lang w:val="it-IT"/>
              </w:rPr>
            </w:pPr>
            <w:r w:rsidRPr="009D660E">
              <w:rPr>
                <w:sz w:val="16"/>
                <w:szCs w:val="16"/>
                <w:lang w:val="it-IT"/>
              </w:rPr>
              <w:t>Agjencia e Trajtimit të Koncesioneve</w:t>
            </w:r>
          </w:p>
        </w:tc>
      </w:tr>
      <w:tr w:rsidR="00956B69" w:rsidRPr="00956B69" w14:paraId="2916EE8C" w14:textId="77777777" w:rsidTr="00956B69">
        <w:tc>
          <w:tcPr>
            <w:tcW w:w="994" w:type="dxa"/>
            <w:hideMark/>
          </w:tcPr>
          <w:p w14:paraId="77B84E2E" w14:textId="77777777" w:rsidR="00956B69" w:rsidRPr="00956B69" w:rsidRDefault="00956B69" w:rsidP="00956B69">
            <w:pPr>
              <w:rPr>
                <w:rFonts w:eastAsia="Times New Roman"/>
                <w:sz w:val="16"/>
                <w:szCs w:val="16"/>
              </w:rPr>
            </w:pPr>
            <w:r w:rsidRPr="00956B69">
              <w:rPr>
                <w:rFonts w:eastAsia="Times New Roman"/>
                <w:sz w:val="16"/>
                <w:szCs w:val="16"/>
              </w:rPr>
              <w:t>BE</w:t>
            </w:r>
          </w:p>
        </w:tc>
        <w:tc>
          <w:tcPr>
            <w:tcW w:w="8469" w:type="dxa"/>
            <w:vAlign w:val="center"/>
            <w:hideMark/>
          </w:tcPr>
          <w:p w14:paraId="749C3E82" w14:textId="77777777" w:rsidR="00956B69" w:rsidRPr="00956B69" w:rsidRDefault="00956B69" w:rsidP="00956B69">
            <w:pPr>
              <w:rPr>
                <w:rFonts w:eastAsia="Times New Roman"/>
                <w:sz w:val="16"/>
                <w:szCs w:val="16"/>
              </w:rPr>
            </w:pPr>
            <w:r w:rsidRPr="00956B69">
              <w:rPr>
                <w:rFonts w:eastAsia="Times New Roman"/>
                <w:sz w:val="16"/>
                <w:szCs w:val="16"/>
              </w:rPr>
              <w:t>Bashkimi Evropian</w:t>
            </w:r>
          </w:p>
        </w:tc>
      </w:tr>
      <w:tr w:rsidR="00956B69" w:rsidRPr="00956B69" w14:paraId="218FA9B2" w14:textId="77777777" w:rsidTr="00956B69">
        <w:tc>
          <w:tcPr>
            <w:tcW w:w="994" w:type="dxa"/>
            <w:hideMark/>
          </w:tcPr>
          <w:p w14:paraId="6FCA4B4C" w14:textId="77777777" w:rsidR="00956B69" w:rsidRPr="00956B69" w:rsidRDefault="00956B69" w:rsidP="00956B69">
            <w:pPr>
              <w:rPr>
                <w:rFonts w:eastAsia="Times New Roman"/>
                <w:sz w:val="16"/>
                <w:szCs w:val="16"/>
              </w:rPr>
            </w:pPr>
            <w:r w:rsidRPr="00956B69">
              <w:rPr>
                <w:rFonts w:eastAsia="Times New Roman"/>
                <w:sz w:val="16"/>
                <w:szCs w:val="16"/>
              </w:rPr>
              <w:t>BPGJ</w:t>
            </w:r>
          </w:p>
        </w:tc>
        <w:tc>
          <w:tcPr>
            <w:tcW w:w="8469" w:type="dxa"/>
            <w:vAlign w:val="center"/>
            <w:hideMark/>
          </w:tcPr>
          <w:p w14:paraId="3EB785AA" w14:textId="2D71A9EB" w:rsidR="00956B69" w:rsidRPr="00956B69" w:rsidRDefault="00956B69" w:rsidP="00956B69">
            <w:pPr>
              <w:rPr>
                <w:rFonts w:eastAsia="Times New Roman"/>
                <w:sz w:val="16"/>
                <w:szCs w:val="16"/>
              </w:rPr>
            </w:pPr>
            <w:r w:rsidRPr="00956B69">
              <w:rPr>
                <w:rFonts w:eastAsia="Times New Roman"/>
                <w:sz w:val="16"/>
                <w:szCs w:val="16"/>
              </w:rPr>
              <w:t>Buxh</w:t>
            </w:r>
            <w:r w:rsidR="00ED495B">
              <w:rPr>
                <w:rFonts w:eastAsia="Times New Roman"/>
                <w:sz w:val="16"/>
                <w:szCs w:val="16"/>
              </w:rPr>
              <w:t>etimi i Përgjegjshë</w:t>
            </w:r>
            <w:r w:rsidRPr="00956B69">
              <w:rPr>
                <w:rFonts w:eastAsia="Times New Roman"/>
                <w:sz w:val="16"/>
                <w:szCs w:val="16"/>
              </w:rPr>
              <w:t>m Gjinor</w:t>
            </w:r>
          </w:p>
        </w:tc>
      </w:tr>
      <w:tr w:rsidR="00ED495B" w:rsidRPr="00956B69" w14:paraId="0D45A5F8" w14:textId="77777777" w:rsidTr="00956B69">
        <w:tc>
          <w:tcPr>
            <w:tcW w:w="994" w:type="dxa"/>
          </w:tcPr>
          <w:p w14:paraId="56400A7A" w14:textId="43FCE533" w:rsidR="00ED495B" w:rsidRPr="00956B69" w:rsidRDefault="00ED495B" w:rsidP="00956B69">
            <w:pPr>
              <w:rPr>
                <w:rFonts w:eastAsia="Times New Roman"/>
                <w:sz w:val="16"/>
                <w:szCs w:val="16"/>
              </w:rPr>
            </w:pPr>
            <w:r>
              <w:rPr>
                <w:rFonts w:eastAsia="Times New Roman"/>
                <w:sz w:val="16"/>
                <w:szCs w:val="16"/>
              </w:rPr>
              <w:t>BSH</w:t>
            </w:r>
          </w:p>
        </w:tc>
        <w:tc>
          <w:tcPr>
            <w:tcW w:w="8469" w:type="dxa"/>
            <w:vAlign w:val="center"/>
          </w:tcPr>
          <w:p w14:paraId="71DED95C" w14:textId="2F888C4F" w:rsidR="00ED495B" w:rsidRPr="00956B69" w:rsidRDefault="00ED495B" w:rsidP="00956B69">
            <w:pPr>
              <w:rPr>
                <w:rFonts w:eastAsia="Times New Roman"/>
                <w:sz w:val="16"/>
                <w:szCs w:val="16"/>
              </w:rPr>
            </w:pPr>
            <w:r>
              <w:rPr>
                <w:rFonts w:eastAsia="Times New Roman"/>
                <w:sz w:val="16"/>
                <w:szCs w:val="16"/>
              </w:rPr>
              <w:t>Banka e Shqipërisë</w:t>
            </w:r>
          </w:p>
        </w:tc>
      </w:tr>
      <w:tr w:rsidR="007512B9" w:rsidRPr="0059094E" w14:paraId="052EEC4F" w14:textId="77777777" w:rsidTr="00956B69">
        <w:tc>
          <w:tcPr>
            <w:tcW w:w="994" w:type="dxa"/>
          </w:tcPr>
          <w:p w14:paraId="3ACE0F8E" w14:textId="742C4054" w:rsidR="007512B9" w:rsidRDefault="007512B9" w:rsidP="00956B69">
            <w:pPr>
              <w:rPr>
                <w:rFonts w:eastAsia="Times New Roman"/>
                <w:sz w:val="16"/>
                <w:szCs w:val="16"/>
              </w:rPr>
            </w:pPr>
            <w:r>
              <w:rPr>
                <w:rFonts w:eastAsia="Times New Roman"/>
                <w:sz w:val="16"/>
                <w:szCs w:val="16"/>
              </w:rPr>
              <w:t>DAPB</w:t>
            </w:r>
          </w:p>
        </w:tc>
        <w:tc>
          <w:tcPr>
            <w:tcW w:w="8469" w:type="dxa"/>
            <w:vAlign w:val="center"/>
          </w:tcPr>
          <w:p w14:paraId="0E3793D4" w14:textId="70CDBBC2" w:rsidR="007512B9" w:rsidRPr="009D660E" w:rsidRDefault="007512B9" w:rsidP="00956B69">
            <w:pPr>
              <w:rPr>
                <w:rFonts w:eastAsia="Times New Roman"/>
                <w:sz w:val="16"/>
                <w:szCs w:val="16"/>
                <w:lang w:val="it-IT"/>
              </w:rPr>
            </w:pPr>
            <w:r w:rsidRPr="009D660E">
              <w:rPr>
                <w:rFonts w:eastAsia="Times New Roman"/>
                <w:sz w:val="16"/>
                <w:szCs w:val="16"/>
                <w:lang w:val="it-IT"/>
              </w:rPr>
              <w:t>Drejtoria e Analizës dhe Programimit Buxhetor</w:t>
            </w:r>
          </w:p>
        </w:tc>
      </w:tr>
      <w:tr w:rsidR="00066487" w:rsidRPr="00956B69" w14:paraId="7DB158E4" w14:textId="77777777" w:rsidTr="00956B69">
        <w:tc>
          <w:tcPr>
            <w:tcW w:w="994" w:type="dxa"/>
          </w:tcPr>
          <w:p w14:paraId="323EB127" w14:textId="17AC2DB6" w:rsidR="00066487" w:rsidRDefault="00066487" w:rsidP="00956B69">
            <w:pPr>
              <w:rPr>
                <w:rFonts w:eastAsia="Times New Roman"/>
                <w:sz w:val="16"/>
                <w:szCs w:val="16"/>
              </w:rPr>
            </w:pPr>
            <w:r>
              <w:rPr>
                <w:rFonts w:eastAsia="Times New Roman"/>
                <w:sz w:val="16"/>
                <w:szCs w:val="16"/>
              </w:rPr>
              <w:t>DFV</w:t>
            </w:r>
          </w:p>
        </w:tc>
        <w:tc>
          <w:tcPr>
            <w:tcW w:w="8469" w:type="dxa"/>
            <w:vAlign w:val="center"/>
          </w:tcPr>
          <w:p w14:paraId="2A1EE12E" w14:textId="12810B7E" w:rsidR="00066487" w:rsidRDefault="00066487" w:rsidP="00956B69">
            <w:pPr>
              <w:rPr>
                <w:rFonts w:eastAsia="Times New Roman"/>
                <w:sz w:val="16"/>
                <w:szCs w:val="16"/>
              </w:rPr>
            </w:pPr>
            <w:r>
              <w:rPr>
                <w:rFonts w:eastAsia="Times New Roman"/>
                <w:sz w:val="16"/>
                <w:szCs w:val="16"/>
              </w:rPr>
              <w:t>Drejtoria e Financave Vendore</w:t>
            </w:r>
          </w:p>
        </w:tc>
      </w:tr>
      <w:tr w:rsidR="007512B9" w:rsidRPr="00956B69" w14:paraId="6722BB4B" w14:textId="77777777" w:rsidTr="00956B69">
        <w:tc>
          <w:tcPr>
            <w:tcW w:w="994" w:type="dxa"/>
          </w:tcPr>
          <w:p w14:paraId="601AD7C3" w14:textId="3A78264E" w:rsidR="007512B9" w:rsidRDefault="007512B9" w:rsidP="00956B69">
            <w:pPr>
              <w:rPr>
                <w:rFonts w:eastAsia="Times New Roman"/>
                <w:sz w:val="16"/>
                <w:szCs w:val="16"/>
              </w:rPr>
            </w:pPr>
            <w:r>
              <w:rPr>
                <w:rFonts w:eastAsia="Times New Roman"/>
                <w:sz w:val="16"/>
                <w:szCs w:val="16"/>
              </w:rPr>
              <w:t>DMB</w:t>
            </w:r>
          </w:p>
        </w:tc>
        <w:tc>
          <w:tcPr>
            <w:tcW w:w="8469" w:type="dxa"/>
            <w:vAlign w:val="center"/>
          </w:tcPr>
          <w:p w14:paraId="00D42F2E" w14:textId="08B77E91" w:rsidR="007512B9" w:rsidRDefault="007512B9" w:rsidP="00956B69">
            <w:pPr>
              <w:rPr>
                <w:rFonts w:eastAsia="Times New Roman"/>
                <w:sz w:val="16"/>
                <w:szCs w:val="16"/>
              </w:rPr>
            </w:pPr>
            <w:r>
              <w:rPr>
                <w:rFonts w:eastAsia="Times New Roman"/>
                <w:sz w:val="16"/>
                <w:szCs w:val="16"/>
              </w:rPr>
              <w:t>Drejtoria e Menaxhimit të Buxhetit</w:t>
            </w:r>
          </w:p>
        </w:tc>
      </w:tr>
      <w:tr w:rsidR="00066487" w:rsidRPr="00956B69" w14:paraId="1D704F81" w14:textId="77777777" w:rsidTr="00956B69">
        <w:tc>
          <w:tcPr>
            <w:tcW w:w="994" w:type="dxa"/>
          </w:tcPr>
          <w:p w14:paraId="1E81D5CB" w14:textId="3389DAF2" w:rsidR="00066487" w:rsidRDefault="00066487" w:rsidP="00956B69">
            <w:pPr>
              <w:rPr>
                <w:rFonts w:eastAsia="Times New Roman"/>
                <w:sz w:val="16"/>
                <w:szCs w:val="16"/>
              </w:rPr>
            </w:pPr>
            <w:r>
              <w:rPr>
                <w:rFonts w:eastAsia="Times New Roman"/>
                <w:sz w:val="16"/>
                <w:szCs w:val="16"/>
              </w:rPr>
              <w:t>DHMFKK</w:t>
            </w:r>
          </w:p>
        </w:tc>
        <w:tc>
          <w:tcPr>
            <w:tcW w:w="8469" w:type="dxa"/>
            <w:vAlign w:val="center"/>
          </w:tcPr>
          <w:p w14:paraId="75F39A38" w14:textId="4ADFACB0" w:rsidR="00066487" w:rsidRDefault="00066487" w:rsidP="00956B69">
            <w:pPr>
              <w:rPr>
                <w:rFonts w:eastAsia="Times New Roman"/>
                <w:sz w:val="16"/>
                <w:szCs w:val="16"/>
              </w:rPr>
            </w:pPr>
            <w:r>
              <w:rPr>
                <w:rFonts w:eastAsia="Times New Roman"/>
                <w:sz w:val="16"/>
                <w:szCs w:val="16"/>
              </w:rPr>
              <w:t>Drejtoria e Harmonizimit të Menaxhimit Financiar, Kontrollit dhe Kontabilitetit</w:t>
            </w:r>
          </w:p>
        </w:tc>
      </w:tr>
      <w:tr w:rsidR="007512B9" w:rsidRPr="0059094E" w14:paraId="55F27024" w14:textId="77777777" w:rsidTr="00956B69">
        <w:tc>
          <w:tcPr>
            <w:tcW w:w="994" w:type="dxa"/>
          </w:tcPr>
          <w:p w14:paraId="3AED44C1" w14:textId="50C50672" w:rsidR="007512B9" w:rsidRDefault="007512B9" w:rsidP="00956B69">
            <w:pPr>
              <w:rPr>
                <w:rFonts w:eastAsia="Times New Roman"/>
                <w:sz w:val="16"/>
                <w:szCs w:val="16"/>
              </w:rPr>
            </w:pPr>
            <w:r>
              <w:rPr>
                <w:rFonts w:eastAsia="Times New Roman"/>
                <w:sz w:val="16"/>
                <w:szCs w:val="16"/>
              </w:rPr>
              <w:t>DPB</w:t>
            </w:r>
          </w:p>
        </w:tc>
        <w:tc>
          <w:tcPr>
            <w:tcW w:w="8469" w:type="dxa"/>
            <w:vAlign w:val="center"/>
          </w:tcPr>
          <w:p w14:paraId="3B736B91" w14:textId="698C6589" w:rsidR="007512B9" w:rsidRPr="009D660E" w:rsidRDefault="007512B9" w:rsidP="00956B69">
            <w:pPr>
              <w:rPr>
                <w:rFonts w:eastAsia="Times New Roman"/>
                <w:sz w:val="16"/>
                <w:szCs w:val="16"/>
                <w:lang w:val="it-IT"/>
              </w:rPr>
            </w:pPr>
            <w:r w:rsidRPr="009D660E">
              <w:rPr>
                <w:rFonts w:eastAsia="Times New Roman"/>
                <w:sz w:val="16"/>
                <w:szCs w:val="16"/>
                <w:lang w:val="it-IT"/>
              </w:rPr>
              <w:t>Drejtoria e Përgjithshme e Buxhetit</w:t>
            </w:r>
          </w:p>
        </w:tc>
      </w:tr>
      <w:tr w:rsidR="00066487" w:rsidRPr="00956B69" w14:paraId="00440BBA" w14:textId="77777777" w:rsidTr="00956B69">
        <w:tc>
          <w:tcPr>
            <w:tcW w:w="994" w:type="dxa"/>
          </w:tcPr>
          <w:p w14:paraId="4357F43A" w14:textId="4D827F3D" w:rsidR="00066487" w:rsidRDefault="00066487" w:rsidP="00956B69">
            <w:pPr>
              <w:rPr>
                <w:rFonts w:eastAsia="Times New Roman"/>
                <w:sz w:val="16"/>
                <w:szCs w:val="16"/>
              </w:rPr>
            </w:pPr>
            <w:r>
              <w:rPr>
                <w:rFonts w:eastAsia="Times New Roman"/>
                <w:sz w:val="16"/>
                <w:szCs w:val="16"/>
              </w:rPr>
              <w:t>DPBSH</w:t>
            </w:r>
          </w:p>
        </w:tc>
        <w:tc>
          <w:tcPr>
            <w:tcW w:w="8469" w:type="dxa"/>
            <w:vAlign w:val="center"/>
          </w:tcPr>
          <w:p w14:paraId="204132BC" w14:textId="5C797B97" w:rsidR="00066487" w:rsidRDefault="00066487" w:rsidP="00956B69">
            <w:pPr>
              <w:rPr>
                <w:rFonts w:eastAsia="Times New Roman"/>
                <w:sz w:val="16"/>
                <w:szCs w:val="16"/>
              </w:rPr>
            </w:pPr>
            <w:r>
              <w:rPr>
                <w:rFonts w:eastAsia="Times New Roman"/>
                <w:sz w:val="16"/>
                <w:szCs w:val="16"/>
              </w:rPr>
              <w:t>Drejtoria e Përgjithshme e Borxhit Shtetëror</w:t>
            </w:r>
          </w:p>
        </w:tc>
      </w:tr>
      <w:tr w:rsidR="00ED495B" w:rsidRPr="0059094E" w14:paraId="18742AF6" w14:textId="77777777" w:rsidTr="00956B69">
        <w:tc>
          <w:tcPr>
            <w:tcW w:w="994" w:type="dxa"/>
          </w:tcPr>
          <w:p w14:paraId="1F07172D" w14:textId="2557E809" w:rsidR="00ED495B" w:rsidRPr="00956B69" w:rsidRDefault="00ED495B" w:rsidP="00956B69">
            <w:pPr>
              <w:rPr>
                <w:rFonts w:eastAsia="Times New Roman"/>
                <w:sz w:val="16"/>
                <w:szCs w:val="16"/>
              </w:rPr>
            </w:pPr>
            <w:r>
              <w:rPr>
                <w:rFonts w:eastAsia="Times New Roman"/>
                <w:sz w:val="16"/>
                <w:szCs w:val="16"/>
              </w:rPr>
              <w:t xml:space="preserve">DPD </w:t>
            </w:r>
          </w:p>
        </w:tc>
        <w:tc>
          <w:tcPr>
            <w:tcW w:w="8469" w:type="dxa"/>
            <w:vAlign w:val="center"/>
          </w:tcPr>
          <w:p w14:paraId="6E10E027" w14:textId="67FE29D5" w:rsidR="00ED495B" w:rsidRPr="009D660E" w:rsidRDefault="00ED495B" w:rsidP="00956B69">
            <w:pPr>
              <w:rPr>
                <w:rFonts w:eastAsia="Times New Roman"/>
                <w:sz w:val="16"/>
                <w:szCs w:val="16"/>
                <w:lang w:val="it-IT"/>
              </w:rPr>
            </w:pPr>
            <w:r w:rsidRPr="009D660E">
              <w:rPr>
                <w:rFonts w:eastAsia="Times New Roman"/>
                <w:sz w:val="16"/>
                <w:szCs w:val="16"/>
                <w:lang w:val="it-IT"/>
              </w:rPr>
              <w:t>Drejtoria e Përgjithshme e Doganave</w:t>
            </w:r>
          </w:p>
        </w:tc>
      </w:tr>
      <w:tr w:rsidR="009C46C7" w:rsidRPr="00956B69" w14:paraId="6313EDF7" w14:textId="77777777" w:rsidTr="00956B69">
        <w:tc>
          <w:tcPr>
            <w:tcW w:w="994" w:type="dxa"/>
          </w:tcPr>
          <w:p w14:paraId="239153C5" w14:textId="0E9D1A50" w:rsidR="009C46C7" w:rsidRDefault="009C46C7" w:rsidP="00956B69">
            <w:pPr>
              <w:rPr>
                <w:rFonts w:eastAsia="Times New Roman"/>
                <w:sz w:val="16"/>
                <w:szCs w:val="16"/>
              </w:rPr>
            </w:pPr>
            <w:r>
              <w:rPr>
                <w:rFonts w:eastAsia="Times New Roman"/>
                <w:sz w:val="16"/>
                <w:szCs w:val="16"/>
              </w:rPr>
              <w:t>DPP</w:t>
            </w:r>
          </w:p>
        </w:tc>
        <w:tc>
          <w:tcPr>
            <w:tcW w:w="8469" w:type="dxa"/>
            <w:vAlign w:val="center"/>
          </w:tcPr>
          <w:p w14:paraId="194765AA" w14:textId="3C1B31A6" w:rsidR="009C46C7" w:rsidRDefault="009C46C7" w:rsidP="00956B69">
            <w:pPr>
              <w:rPr>
                <w:rFonts w:eastAsia="Times New Roman"/>
                <w:sz w:val="16"/>
                <w:szCs w:val="16"/>
              </w:rPr>
            </w:pPr>
            <w:r>
              <w:rPr>
                <w:rFonts w:eastAsia="Times New Roman"/>
                <w:sz w:val="16"/>
                <w:szCs w:val="16"/>
              </w:rPr>
              <w:t>Dokumenti i Politikave Prioritare</w:t>
            </w:r>
          </w:p>
        </w:tc>
      </w:tr>
      <w:tr w:rsidR="00956B69" w:rsidRPr="0059094E" w14:paraId="6CF34860" w14:textId="77777777" w:rsidTr="00956B69">
        <w:tc>
          <w:tcPr>
            <w:tcW w:w="994" w:type="dxa"/>
            <w:hideMark/>
          </w:tcPr>
          <w:p w14:paraId="1F6DCA76" w14:textId="77777777" w:rsidR="00956B69" w:rsidRPr="00956B69" w:rsidRDefault="00956B69" w:rsidP="00956B69">
            <w:pPr>
              <w:rPr>
                <w:rFonts w:eastAsia="Times New Roman"/>
                <w:sz w:val="16"/>
                <w:szCs w:val="16"/>
              </w:rPr>
            </w:pPr>
            <w:r w:rsidRPr="00956B69">
              <w:rPr>
                <w:rFonts w:eastAsia="Times New Roman"/>
                <w:sz w:val="16"/>
                <w:szCs w:val="16"/>
              </w:rPr>
              <w:t>DPPM</w:t>
            </w:r>
          </w:p>
        </w:tc>
        <w:tc>
          <w:tcPr>
            <w:tcW w:w="8469" w:type="dxa"/>
            <w:vAlign w:val="center"/>
            <w:hideMark/>
          </w:tcPr>
          <w:p w14:paraId="51FCDE91" w14:textId="77777777" w:rsidR="00956B69" w:rsidRPr="009D660E" w:rsidRDefault="00956B69" w:rsidP="00956B69">
            <w:pPr>
              <w:rPr>
                <w:rFonts w:eastAsia="Times New Roman"/>
                <w:sz w:val="16"/>
                <w:szCs w:val="16"/>
                <w:lang w:val="it-IT"/>
              </w:rPr>
            </w:pPr>
            <w:r w:rsidRPr="009D660E">
              <w:rPr>
                <w:rFonts w:eastAsia="Times New Roman"/>
                <w:sz w:val="16"/>
                <w:szCs w:val="16"/>
                <w:lang w:val="it-IT"/>
              </w:rPr>
              <w:t>Drejtoria e Përgjithshme e Programimit Makroekonomik</w:t>
            </w:r>
          </w:p>
        </w:tc>
      </w:tr>
      <w:tr w:rsidR="00956B69" w:rsidRPr="0059094E" w14:paraId="4999558F" w14:textId="77777777" w:rsidTr="00956B69">
        <w:tc>
          <w:tcPr>
            <w:tcW w:w="994" w:type="dxa"/>
            <w:hideMark/>
          </w:tcPr>
          <w:p w14:paraId="4C2C73B3" w14:textId="77777777" w:rsidR="00956B69" w:rsidRPr="00956B69" w:rsidRDefault="00956B69" w:rsidP="00956B69">
            <w:pPr>
              <w:rPr>
                <w:rFonts w:eastAsia="Times New Roman"/>
                <w:sz w:val="16"/>
                <w:szCs w:val="16"/>
              </w:rPr>
            </w:pPr>
            <w:r w:rsidRPr="00956B69">
              <w:rPr>
                <w:rFonts w:eastAsia="Times New Roman"/>
                <w:sz w:val="16"/>
                <w:szCs w:val="16"/>
              </w:rPr>
              <w:t>DPT</w:t>
            </w:r>
          </w:p>
        </w:tc>
        <w:tc>
          <w:tcPr>
            <w:tcW w:w="8469" w:type="dxa"/>
            <w:vAlign w:val="center"/>
            <w:hideMark/>
          </w:tcPr>
          <w:p w14:paraId="605F785C" w14:textId="77777777" w:rsidR="00956B69" w:rsidRPr="009D660E" w:rsidRDefault="00956B69" w:rsidP="00956B69">
            <w:pPr>
              <w:rPr>
                <w:rFonts w:eastAsia="Times New Roman"/>
                <w:sz w:val="16"/>
                <w:szCs w:val="16"/>
                <w:lang w:val="it-IT"/>
              </w:rPr>
            </w:pPr>
            <w:r w:rsidRPr="009D660E">
              <w:rPr>
                <w:rFonts w:eastAsia="Times New Roman"/>
                <w:sz w:val="16"/>
                <w:szCs w:val="16"/>
                <w:lang w:val="it-IT"/>
              </w:rPr>
              <w:t>Drejtoria e Përgjithshme e Tatimeve</w:t>
            </w:r>
          </w:p>
        </w:tc>
      </w:tr>
      <w:tr w:rsidR="00066487" w:rsidRPr="0059094E" w14:paraId="4AF178E4" w14:textId="77777777" w:rsidTr="00956B69">
        <w:tc>
          <w:tcPr>
            <w:tcW w:w="994" w:type="dxa"/>
          </w:tcPr>
          <w:p w14:paraId="4943BE1D" w14:textId="2CB78FA2" w:rsidR="00066487" w:rsidRPr="00956B69" w:rsidRDefault="00066487" w:rsidP="00956B69">
            <w:pPr>
              <w:rPr>
                <w:rFonts w:eastAsia="Times New Roman"/>
                <w:sz w:val="16"/>
                <w:szCs w:val="16"/>
              </w:rPr>
            </w:pPr>
            <w:r>
              <w:rPr>
                <w:rFonts w:eastAsia="Times New Roman"/>
                <w:sz w:val="16"/>
                <w:szCs w:val="16"/>
              </w:rPr>
              <w:t>DPTH</w:t>
            </w:r>
          </w:p>
        </w:tc>
        <w:tc>
          <w:tcPr>
            <w:tcW w:w="8469" w:type="dxa"/>
            <w:vAlign w:val="center"/>
          </w:tcPr>
          <w:p w14:paraId="46E143C3" w14:textId="623143D0" w:rsidR="00066487" w:rsidRPr="009D660E" w:rsidRDefault="00066487" w:rsidP="00956B69">
            <w:pPr>
              <w:rPr>
                <w:rFonts w:eastAsia="Times New Roman"/>
                <w:sz w:val="16"/>
                <w:szCs w:val="16"/>
                <w:lang w:val="it-IT"/>
              </w:rPr>
            </w:pPr>
            <w:r w:rsidRPr="009D660E">
              <w:rPr>
                <w:rFonts w:eastAsia="Times New Roman"/>
                <w:sz w:val="16"/>
                <w:szCs w:val="16"/>
                <w:lang w:val="it-IT"/>
              </w:rPr>
              <w:t>Drejtoria e Përgjithshme e Thesarit</w:t>
            </w:r>
          </w:p>
        </w:tc>
      </w:tr>
      <w:tr w:rsidR="00B72ECF" w:rsidRPr="00956B69" w14:paraId="0A126268" w14:textId="77777777" w:rsidTr="00956B69">
        <w:tc>
          <w:tcPr>
            <w:tcW w:w="994" w:type="dxa"/>
          </w:tcPr>
          <w:p w14:paraId="4371F09F" w14:textId="7E55F383" w:rsidR="00B72ECF" w:rsidRDefault="00B72ECF" w:rsidP="00956B69">
            <w:pPr>
              <w:rPr>
                <w:rFonts w:eastAsia="Times New Roman"/>
                <w:sz w:val="16"/>
                <w:szCs w:val="16"/>
              </w:rPr>
            </w:pPr>
            <w:r>
              <w:rPr>
                <w:rFonts w:eastAsia="Times New Roman"/>
                <w:sz w:val="16"/>
                <w:szCs w:val="16"/>
              </w:rPr>
              <w:t>DPTP</w:t>
            </w:r>
          </w:p>
        </w:tc>
        <w:tc>
          <w:tcPr>
            <w:tcW w:w="8469" w:type="dxa"/>
            <w:vAlign w:val="center"/>
          </w:tcPr>
          <w:p w14:paraId="0528D224" w14:textId="2E2CEAAE" w:rsidR="00B72ECF" w:rsidRDefault="00B72ECF" w:rsidP="00956B69">
            <w:pPr>
              <w:rPr>
                <w:rFonts w:eastAsia="Times New Roman"/>
                <w:sz w:val="16"/>
                <w:szCs w:val="16"/>
              </w:rPr>
            </w:pPr>
            <w:r>
              <w:rPr>
                <w:rFonts w:eastAsia="Times New Roman"/>
                <w:sz w:val="16"/>
                <w:szCs w:val="16"/>
              </w:rPr>
              <w:t>Drejtoria e Përgjithshme e Taksës së Pasurisë</w:t>
            </w:r>
          </w:p>
        </w:tc>
      </w:tr>
      <w:tr w:rsidR="006B07A7" w:rsidRPr="00956B69" w14:paraId="390C7E9E" w14:textId="77777777" w:rsidTr="00956B69">
        <w:tc>
          <w:tcPr>
            <w:tcW w:w="994" w:type="dxa"/>
          </w:tcPr>
          <w:p w14:paraId="3698CA9C" w14:textId="2F62382F" w:rsidR="006B07A7" w:rsidRDefault="006B07A7" w:rsidP="00956B69">
            <w:pPr>
              <w:rPr>
                <w:rFonts w:eastAsia="Times New Roman"/>
                <w:sz w:val="16"/>
                <w:szCs w:val="16"/>
              </w:rPr>
            </w:pPr>
            <w:r>
              <w:rPr>
                <w:rFonts w:eastAsia="Times New Roman"/>
                <w:sz w:val="16"/>
                <w:szCs w:val="16"/>
              </w:rPr>
              <w:t>DRF</w:t>
            </w:r>
          </w:p>
        </w:tc>
        <w:tc>
          <w:tcPr>
            <w:tcW w:w="8469" w:type="dxa"/>
            <w:vAlign w:val="center"/>
          </w:tcPr>
          <w:p w14:paraId="1EA19CE3" w14:textId="704CD1EA" w:rsidR="006B07A7" w:rsidRDefault="006B07A7" w:rsidP="00956B69">
            <w:pPr>
              <w:rPr>
                <w:rFonts w:eastAsia="Times New Roman"/>
                <w:sz w:val="16"/>
                <w:szCs w:val="16"/>
              </w:rPr>
            </w:pPr>
            <w:r>
              <w:rPr>
                <w:rFonts w:eastAsia="Times New Roman"/>
                <w:sz w:val="16"/>
                <w:szCs w:val="16"/>
              </w:rPr>
              <w:t>Drejtoria e Risqeve Fiskale</w:t>
            </w:r>
          </w:p>
        </w:tc>
      </w:tr>
      <w:tr w:rsidR="00956B69" w:rsidRPr="00956B69" w14:paraId="7E52B314" w14:textId="77777777" w:rsidTr="00956B69">
        <w:tc>
          <w:tcPr>
            <w:tcW w:w="994" w:type="dxa"/>
            <w:hideMark/>
          </w:tcPr>
          <w:p w14:paraId="1A743D9F" w14:textId="77777777" w:rsidR="00956B69" w:rsidRPr="00956B69" w:rsidRDefault="00956B69" w:rsidP="00956B69">
            <w:pPr>
              <w:rPr>
                <w:rFonts w:eastAsia="Times New Roman"/>
                <w:sz w:val="16"/>
                <w:szCs w:val="16"/>
              </w:rPr>
            </w:pPr>
            <w:r w:rsidRPr="00956B69">
              <w:rPr>
                <w:sz w:val="16"/>
                <w:szCs w:val="16"/>
              </w:rPr>
              <w:t>FMN</w:t>
            </w:r>
          </w:p>
        </w:tc>
        <w:tc>
          <w:tcPr>
            <w:tcW w:w="8469" w:type="dxa"/>
            <w:vAlign w:val="center"/>
            <w:hideMark/>
          </w:tcPr>
          <w:p w14:paraId="786CBB19" w14:textId="77777777" w:rsidR="00956B69" w:rsidRPr="00956B69" w:rsidRDefault="00956B69" w:rsidP="00956B69">
            <w:pPr>
              <w:rPr>
                <w:sz w:val="16"/>
                <w:szCs w:val="16"/>
              </w:rPr>
            </w:pPr>
            <w:r w:rsidRPr="00956B69">
              <w:rPr>
                <w:sz w:val="16"/>
                <w:szCs w:val="16"/>
              </w:rPr>
              <w:t>Fondi Monetar Ndërkombëtar</w:t>
            </w:r>
          </w:p>
        </w:tc>
      </w:tr>
      <w:tr w:rsidR="004B1E21" w:rsidRPr="0059094E" w14:paraId="0D841153" w14:textId="77777777" w:rsidTr="00956B69">
        <w:tc>
          <w:tcPr>
            <w:tcW w:w="994" w:type="dxa"/>
          </w:tcPr>
          <w:p w14:paraId="623F321B" w14:textId="1E994398" w:rsidR="004B1E21" w:rsidRPr="00956B69" w:rsidRDefault="004B1E21" w:rsidP="00956B69">
            <w:pPr>
              <w:rPr>
                <w:sz w:val="16"/>
                <w:szCs w:val="16"/>
              </w:rPr>
            </w:pPr>
            <w:r>
              <w:rPr>
                <w:sz w:val="16"/>
                <w:szCs w:val="16"/>
              </w:rPr>
              <w:t>GMIP</w:t>
            </w:r>
          </w:p>
        </w:tc>
        <w:tc>
          <w:tcPr>
            <w:tcW w:w="8469" w:type="dxa"/>
            <w:vAlign w:val="center"/>
          </w:tcPr>
          <w:p w14:paraId="2D721B0A" w14:textId="5F970DD6" w:rsidR="004B1E21" w:rsidRPr="0059094E" w:rsidRDefault="004B1E21" w:rsidP="00956B69">
            <w:pPr>
              <w:rPr>
                <w:sz w:val="16"/>
                <w:szCs w:val="16"/>
                <w:lang w:val="it-IT"/>
              </w:rPr>
            </w:pPr>
            <w:r w:rsidRPr="0059094E">
              <w:rPr>
                <w:sz w:val="16"/>
                <w:szCs w:val="16"/>
                <w:lang w:val="it-IT"/>
              </w:rPr>
              <w:t>Grupi i Menaxhimit të Integruar të Politikave</w:t>
            </w:r>
          </w:p>
        </w:tc>
      </w:tr>
      <w:tr w:rsidR="00817FA3" w:rsidRPr="00956B69" w14:paraId="7AA49218" w14:textId="77777777" w:rsidTr="00956B69">
        <w:tc>
          <w:tcPr>
            <w:tcW w:w="994" w:type="dxa"/>
          </w:tcPr>
          <w:p w14:paraId="0042F8F4" w14:textId="168595F6" w:rsidR="00817FA3" w:rsidRPr="00956B69" w:rsidRDefault="00817FA3" w:rsidP="00956B69">
            <w:pPr>
              <w:rPr>
                <w:sz w:val="16"/>
                <w:szCs w:val="16"/>
              </w:rPr>
            </w:pPr>
            <w:r>
              <w:rPr>
                <w:sz w:val="16"/>
                <w:szCs w:val="16"/>
              </w:rPr>
              <w:t>IB</w:t>
            </w:r>
          </w:p>
        </w:tc>
        <w:tc>
          <w:tcPr>
            <w:tcW w:w="8469" w:type="dxa"/>
            <w:vAlign w:val="center"/>
          </w:tcPr>
          <w:p w14:paraId="24556230" w14:textId="47625AF0" w:rsidR="00817FA3" w:rsidRPr="00956B69" w:rsidRDefault="00817FA3" w:rsidP="00956B69">
            <w:pPr>
              <w:rPr>
                <w:sz w:val="16"/>
                <w:szCs w:val="16"/>
              </w:rPr>
            </w:pPr>
            <w:r>
              <w:rPr>
                <w:sz w:val="16"/>
                <w:szCs w:val="16"/>
              </w:rPr>
              <w:t>Institucion Buxhetor</w:t>
            </w:r>
          </w:p>
        </w:tc>
      </w:tr>
      <w:tr w:rsidR="00ED495B" w:rsidRPr="00956B69" w14:paraId="3F955F85" w14:textId="77777777" w:rsidTr="00956B69">
        <w:tc>
          <w:tcPr>
            <w:tcW w:w="994" w:type="dxa"/>
          </w:tcPr>
          <w:p w14:paraId="5AA39D67" w14:textId="607E4695" w:rsidR="00ED495B" w:rsidRPr="00956B69" w:rsidRDefault="00ED495B" w:rsidP="00956B69">
            <w:pPr>
              <w:rPr>
                <w:sz w:val="16"/>
                <w:szCs w:val="16"/>
              </w:rPr>
            </w:pPr>
            <w:r>
              <w:rPr>
                <w:sz w:val="16"/>
                <w:szCs w:val="16"/>
              </w:rPr>
              <w:t>INSTAT</w:t>
            </w:r>
          </w:p>
        </w:tc>
        <w:tc>
          <w:tcPr>
            <w:tcW w:w="8469" w:type="dxa"/>
            <w:vAlign w:val="center"/>
          </w:tcPr>
          <w:p w14:paraId="51DA5255" w14:textId="010CB6D4" w:rsidR="00ED495B" w:rsidRPr="00956B69" w:rsidRDefault="00ED495B" w:rsidP="00956B69">
            <w:pPr>
              <w:rPr>
                <w:sz w:val="16"/>
                <w:szCs w:val="16"/>
              </w:rPr>
            </w:pPr>
            <w:r>
              <w:rPr>
                <w:sz w:val="16"/>
                <w:szCs w:val="16"/>
              </w:rPr>
              <w:t>Instituti i Statistikave</w:t>
            </w:r>
          </w:p>
        </w:tc>
      </w:tr>
      <w:tr w:rsidR="00956B69" w:rsidRPr="0059094E" w14:paraId="397C01C4" w14:textId="77777777" w:rsidTr="00956B69">
        <w:tc>
          <w:tcPr>
            <w:tcW w:w="994" w:type="dxa"/>
            <w:hideMark/>
          </w:tcPr>
          <w:p w14:paraId="45ACEFFD" w14:textId="77777777" w:rsidR="00956B69" w:rsidRPr="00956B69" w:rsidRDefault="00956B69" w:rsidP="00956B69">
            <w:pPr>
              <w:rPr>
                <w:rFonts w:eastAsia="Times New Roman"/>
                <w:sz w:val="16"/>
                <w:szCs w:val="16"/>
              </w:rPr>
            </w:pPr>
            <w:r w:rsidRPr="00956B69">
              <w:rPr>
                <w:sz w:val="16"/>
                <w:szCs w:val="16"/>
              </w:rPr>
              <w:t>IPA</w:t>
            </w:r>
          </w:p>
        </w:tc>
        <w:tc>
          <w:tcPr>
            <w:tcW w:w="8469" w:type="dxa"/>
            <w:vAlign w:val="center"/>
            <w:hideMark/>
          </w:tcPr>
          <w:p w14:paraId="167FA224" w14:textId="77777777" w:rsidR="00956B69" w:rsidRPr="009D660E" w:rsidRDefault="00956B69" w:rsidP="00956B69">
            <w:pPr>
              <w:rPr>
                <w:sz w:val="16"/>
                <w:szCs w:val="16"/>
                <w:lang w:val="it-IT"/>
              </w:rPr>
            </w:pPr>
            <w:r w:rsidRPr="009D660E">
              <w:rPr>
                <w:sz w:val="16"/>
                <w:szCs w:val="16"/>
                <w:lang w:val="it-IT"/>
              </w:rPr>
              <w:t>Instrumenti i Asistencës së Para-Aderimit</w:t>
            </w:r>
          </w:p>
        </w:tc>
      </w:tr>
      <w:tr w:rsidR="00956B69" w:rsidRPr="00956B69" w14:paraId="7BA58188" w14:textId="77777777" w:rsidTr="00956B69">
        <w:tc>
          <w:tcPr>
            <w:tcW w:w="994" w:type="dxa"/>
            <w:hideMark/>
          </w:tcPr>
          <w:p w14:paraId="655C8901" w14:textId="77777777" w:rsidR="00956B69" w:rsidRPr="00956B69" w:rsidRDefault="00956B69" w:rsidP="00956B69">
            <w:pPr>
              <w:rPr>
                <w:sz w:val="16"/>
                <w:szCs w:val="16"/>
              </w:rPr>
            </w:pPr>
            <w:r w:rsidRPr="00956B69">
              <w:rPr>
                <w:sz w:val="16"/>
                <w:szCs w:val="16"/>
              </w:rPr>
              <w:t>KD</w:t>
            </w:r>
          </w:p>
        </w:tc>
        <w:tc>
          <w:tcPr>
            <w:tcW w:w="8469" w:type="dxa"/>
            <w:vAlign w:val="center"/>
            <w:hideMark/>
          </w:tcPr>
          <w:p w14:paraId="2A00CC2C" w14:textId="77777777" w:rsidR="00956B69" w:rsidRPr="00956B69" w:rsidRDefault="00956B69" w:rsidP="00956B69">
            <w:pPr>
              <w:rPr>
                <w:sz w:val="16"/>
                <w:szCs w:val="16"/>
              </w:rPr>
            </w:pPr>
            <w:r w:rsidRPr="00956B69">
              <w:rPr>
                <w:sz w:val="16"/>
                <w:szCs w:val="16"/>
              </w:rPr>
              <w:t>Komitet Drejtues</w:t>
            </w:r>
          </w:p>
        </w:tc>
      </w:tr>
      <w:tr w:rsidR="00956B69" w:rsidRPr="0059094E" w14:paraId="43413736" w14:textId="77777777" w:rsidTr="00956B69">
        <w:tc>
          <w:tcPr>
            <w:tcW w:w="994" w:type="dxa"/>
            <w:hideMark/>
          </w:tcPr>
          <w:p w14:paraId="17673E89" w14:textId="77777777" w:rsidR="00956B69" w:rsidRPr="00956B69" w:rsidRDefault="00956B69" w:rsidP="00956B69">
            <w:pPr>
              <w:rPr>
                <w:rFonts w:eastAsia="Times New Roman"/>
                <w:sz w:val="16"/>
                <w:szCs w:val="16"/>
              </w:rPr>
            </w:pPr>
            <w:r w:rsidRPr="00956B69">
              <w:rPr>
                <w:rFonts w:eastAsia="Times New Roman"/>
                <w:sz w:val="16"/>
                <w:szCs w:val="16"/>
              </w:rPr>
              <w:t>KLSH</w:t>
            </w:r>
          </w:p>
        </w:tc>
        <w:tc>
          <w:tcPr>
            <w:tcW w:w="8469" w:type="dxa"/>
            <w:vAlign w:val="center"/>
            <w:hideMark/>
          </w:tcPr>
          <w:p w14:paraId="6ED6D89F" w14:textId="77777777" w:rsidR="00956B69" w:rsidRPr="009D660E" w:rsidRDefault="00956B69" w:rsidP="00956B69">
            <w:pPr>
              <w:rPr>
                <w:rFonts w:eastAsia="Times New Roman"/>
                <w:sz w:val="16"/>
                <w:szCs w:val="16"/>
                <w:lang w:val="it-IT"/>
              </w:rPr>
            </w:pPr>
            <w:r w:rsidRPr="009D660E">
              <w:rPr>
                <w:rFonts w:eastAsia="Times New Roman"/>
                <w:sz w:val="16"/>
                <w:szCs w:val="16"/>
                <w:lang w:val="it-IT"/>
              </w:rPr>
              <w:t>Kontrolli i Lartë i Shtetit</w:t>
            </w:r>
          </w:p>
        </w:tc>
      </w:tr>
      <w:tr w:rsidR="00956B69" w:rsidRPr="00956B69" w14:paraId="255BBB0B" w14:textId="77777777" w:rsidTr="00956B69">
        <w:tc>
          <w:tcPr>
            <w:tcW w:w="994" w:type="dxa"/>
            <w:hideMark/>
          </w:tcPr>
          <w:p w14:paraId="37EFD860" w14:textId="77777777" w:rsidR="00956B69" w:rsidRPr="00956B69" w:rsidRDefault="00956B69" w:rsidP="00956B69">
            <w:pPr>
              <w:rPr>
                <w:rFonts w:eastAsia="Times New Roman"/>
                <w:sz w:val="16"/>
                <w:szCs w:val="16"/>
              </w:rPr>
            </w:pPr>
            <w:r w:rsidRPr="00956B69">
              <w:rPr>
                <w:rFonts w:eastAsia="Times New Roman"/>
                <w:sz w:val="16"/>
                <w:szCs w:val="16"/>
              </w:rPr>
              <w:t>KPP</w:t>
            </w:r>
          </w:p>
        </w:tc>
        <w:tc>
          <w:tcPr>
            <w:tcW w:w="8469" w:type="dxa"/>
            <w:vAlign w:val="center"/>
            <w:hideMark/>
          </w:tcPr>
          <w:p w14:paraId="074CB8D7" w14:textId="77777777" w:rsidR="00956B69" w:rsidRPr="00956B69" w:rsidRDefault="00956B69" w:rsidP="00956B69">
            <w:pPr>
              <w:rPr>
                <w:rFonts w:eastAsia="Times New Roman"/>
                <w:sz w:val="16"/>
                <w:szCs w:val="16"/>
              </w:rPr>
            </w:pPr>
            <w:r w:rsidRPr="00956B69">
              <w:rPr>
                <w:rFonts w:eastAsia="Times New Roman"/>
                <w:sz w:val="16"/>
                <w:szCs w:val="16"/>
              </w:rPr>
              <w:t>Komisioni i Prokurimit Publik</w:t>
            </w:r>
          </w:p>
        </w:tc>
      </w:tr>
      <w:tr w:rsidR="00BB2BC9" w:rsidRPr="00956B69" w14:paraId="4C8F8839" w14:textId="77777777" w:rsidTr="00956B69">
        <w:tc>
          <w:tcPr>
            <w:tcW w:w="994" w:type="dxa"/>
          </w:tcPr>
          <w:p w14:paraId="1858BA1A" w14:textId="3969DA69" w:rsidR="00BB2BC9" w:rsidRPr="00956B69" w:rsidRDefault="00BB2BC9" w:rsidP="00956B69">
            <w:pPr>
              <w:rPr>
                <w:rFonts w:eastAsia="Times New Roman"/>
                <w:sz w:val="16"/>
                <w:szCs w:val="16"/>
              </w:rPr>
            </w:pPr>
            <w:r>
              <w:rPr>
                <w:rFonts w:eastAsia="Times New Roman"/>
                <w:sz w:val="16"/>
                <w:szCs w:val="16"/>
              </w:rPr>
              <w:t>KPS</w:t>
            </w:r>
          </w:p>
        </w:tc>
        <w:tc>
          <w:tcPr>
            <w:tcW w:w="8469" w:type="dxa"/>
            <w:vAlign w:val="center"/>
          </w:tcPr>
          <w:p w14:paraId="1EE8303E" w14:textId="7980FDAC" w:rsidR="00BB2BC9" w:rsidRPr="00956B69" w:rsidRDefault="00BB2BC9" w:rsidP="00956B69">
            <w:pPr>
              <w:rPr>
                <w:rFonts w:eastAsia="Times New Roman"/>
                <w:sz w:val="16"/>
                <w:szCs w:val="16"/>
              </w:rPr>
            </w:pPr>
            <w:r>
              <w:rPr>
                <w:rFonts w:eastAsia="Times New Roman"/>
                <w:sz w:val="16"/>
                <w:szCs w:val="16"/>
              </w:rPr>
              <w:t>Komiteti i Planifikimit Strategjik</w:t>
            </w:r>
          </w:p>
        </w:tc>
      </w:tr>
      <w:tr w:rsidR="00956B69" w:rsidRPr="00956B69" w14:paraId="7997BE64" w14:textId="77777777" w:rsidTr="00956B69">
        <w:tc>
          <w:tcPr>
            <w:tcW w:w="994" w:type="dxa"/>
            <w:hideMark/>
          </w:tcPr>
          <w:p w14:paraId="4B234B8B" w14:textId="77777777" w:rsidR="00956B69" w:rsidRPr="00956B69" w:rsidRDefault="00956B69" w:rsidP="00956B69">
            <w:pPr>
              <w:rPr>
                <w:rFonts w:eastAsia="Times New Roman"/>
                <w:sz w:val="16"/>
                <w:szCs w:val="16"/>
              </w:rPr>
            </w:pPr>
            <w:r w:rsidRPr="00956B69">
              <w:rPr>
                <w:rFonts w:eastAsia="Times New Roman"/>
                <w:sz w:val="16"/>
                <w:szCs w:val="16"/>
              </w:rPr>
              <w:t>KT</w:t>
            </w:r>
          </w:p>
        </w:tc>
        <w:tc>
          <w:tcPr>
            <w:tcW w:w="8469" w:type="dxa"/>
            <w:vAlign w:val="center"/>
            <w:hideMark/>
          </w:tcPr>
          <w:p w14:paraId="2415F654" w14:textId="77777777" w:rsidR="00956B69" w:rsidRPr="00956B69" w:rsidRDefault="00956B69" w:rsidP="00956B69">
            <w:pPr>
              <w:rPr>
                <w:rFonts w:eastAsia="Times New Roman"/>
                <w:sz w:val="16"/>
                <w:szCs w:val="16"/>
              </w:rPr>
            </w:pPr>
            <w:r w:rsidRPr="00956B69">
              <w:rPr>
                <w:rFonts w:eastAsia="Times New Roman"/>
                <w:sz w:val="16"/>
                <w:szCs w:val="16"/>
              </w:rPr>
              <w:t>Komitet Teknik</w:t>
            </w:r>
          </w:p>
        </w:tc>
      </w:tr>
      <w:tr w:rsidR="00956B69" w:rsidRPr="00956B69" w14:paraId="69E0800F" w14:textId="77777777" w:rsidTr="00956B69">
        <w:tc>
          <w:tcPr>
            <w:tcW w:w="994" w:type="dxa"/>
            <w:hideMark/>
          </w:tcPr>
          <w:p w14:paraId="4D700647" w14:textId="77777777" w:rsidR="00956B69" w:rsidRPr="00956B69" w:rsidRDefault="00956B69" w:rsidP="00956B69">
            <w:pPr>
              <w:rPr>
                <w:rFonts w:eastAsia="Times New Roman"/>
                <w:sz w:val="16"/>
                <w:szCs w:val="16"/>
              </w:rPr>
            </w:pPr>
            <w:r w:rsidRPr="00956B69">
              <w:rPr>
                <w:rFonts w:eastAsia="Times New Roman"/>
                <w:sz w:val="16"/>
                <w:szCs w:val="16"/>
              </w:rPr>
              <w:t>LOB</w:t>
            </w:r>
          </w:p>
        </w:tc>
        <w:tc>
          <w:tcPr>
            <w:tcW w:w="8469" w:type="dxa"/>
            <w:vAlign w:val="center"/>
            <w:hideMark/>
          </w:tcPr>
          <w:p w14:paraId="5DADA6AF" w14:textId="77777777" w:rsidR="00956B69" w:rsidRPr="00956B69" w:rsidRDefault="00956B69" w:rsidP="00956B69">
            <w:pPr>
              <w:rPr>
                <w:rFonts w:eastAsia="Times New Roman"/>
                <w:sz w:val="16"/>
                <w:szCs w:val="16"/>
              </w:rPr>
            </w:pPr>
            <w:r w:rsidRPr="00956B69">
              <w:rPr>
                <w:rFonts w:eastAsia="Times New Roman"/>
                <w:sz w:val="16"/>
                <w:szCs w:val="16"/>
              </w:rPr>
              <w:t>Ligji Organik i Buxhetit</w:t>
            </w:r>
          </w:p>
        </w:tc>
      </w:tr>
      <w:tr w:rsidR="00956B69" w:rsidRPr="0059094E" w14:paraId="3AF4159A" w14:textId="77777777" w:rsidTr="00956B69">
        <w:tc>
          <w:tcPr>
            <w:tcW w:w="994" w:type="dxa"/>
            <w:hideMark/>
          </w:tcPr>
          <w:p w14:paraId="649D9C49" w14:textId="77777777" w:rsidR="00956B69" w:rsidRPr="00956B69" w:rsidRDefault="00956B69" w:rsidP="00956B69">
            <w:pPr>
              <w:rPr>
                <w:rFonts w:eastAsia="Times New Roman"/>
                <w:sz w:val="16"/>
                <w:szCs w:val="16"/>
              </w:rPr>
            </w:pPr>
            <w:r w:rsidRPr="00956B69">
              <w:rPr>
                <w:rFonts w:eastAsia="Times New Roman"/>
                <w:sz w:val="16"/>
                <w:szCs w:val="16"/>
              </w:rPr>
              <w:t>MEKI</w:t>
            </w:r>
          </w:p>
        </w:tc>
        <w:tc>
          <w:tcPr>
            <w:tcW w:w="8469" w:type="dxa"/>
            <w:vAlign w:val="center"/>
            <w:hideMark/>
          </w:tcPr>
          <w:p w14:paraId="0D817863" w14:textId="77777777" w:rsidR="00956B69" w:rsidRPr="009D660E" w:rsidRDefault="00956B69" w:rsidP="00956B69">
            <w:pPr>
              <w:rPr>
                <w:rFonts w:eastAsia="Times New Roman"/>
                <w:sz w:val="16"/>
                <w:szCs w:val="16"/>
                <w:lang w:val="it-IT"/>
              </w:rPr>
            </w:pPr>
            <w:r w:rsidRPr="009D660E">
              <w:rPr>
                <w:rFonts w:eastAsia="Times New Roman"/>
                <w:sz w:val="16"/>
                <w:szCs w:val="16"/>
                <w:lang w:val="it-IT"/>
              </w:rPr>
              <w:t>Ministria e Ekonomisë, Kulturës dhe Inovacionit</w:t>
            </w:r>
          </w:p>
        </w:tc>
      </w:tr>
      <w:tr w:rsidR="00956B69" w:rsidRPr="00956B69" w14:paraId="0A1BAAC6" w14:textId="77777777" w:rsidTr="00956B69">
        <w:tc>
          <w:tcPr>
            <w:tcW w:w="994" w:type="dxa"/>
            <w:hideMark/>
          </w:tcPr>
          <w:p w14:paraId="40ED9228" w14:textId="77777777" w:rsidR="00956B69" w:rsidRPr="00956B69" w:rsidRDefault="00956B69" w:rsidP="00956B69">
            <w:pPr>
              <w:rPr>
                <w:rFonts w:eastAsia="Times New Roman"/>
                <w:sz w:val="16"/>
                <w:szCs w:val="16"/>
              </w:rPr>
            </w:pPr>
            <w:r w:rsidRPr="00956B69">
              <w:rPr>
                <w:rFonts w:eastAsia="Times New Roman"/>
                <w:sz w:val="16"/>
                <w:szCs w:val="16"/>
              </w:rPr>
              <w:t>MF</w:t>
            </w:r>
          </w:p>
        </w:tc>
        <w:tc>
          <w:tcPr>
            <w:tcW w:w="8469" w:type="dxa"/>
            <w:vAlign w:val="center"/>
            <w:hideMark/>
          </w:tcPr>
          <w:p w14:paraId="750CE0DE" w14:textId="77777777" w:rsidR="00956B69" w:rsidRPr="00956B69" w:rsidRDefault="00956B69" w:rsidP="00956B69">
            <w:pPr>
              <w:rPr>
                <w:rFonts w:eastAsia="Times New Roman"/>
                <w:sz w:val="16"/>
                <w:szCs w:val="16"/>
              </w:rPr>
            </w:pPr>
            <w:r w:rsidRPr="00956B69">
              <w:rPr>
                <w:rFonts w:eastAsia="Times New Roman"/>
                <w:sz w:val="16"/>
                <w:szCs w:val="16"/>
              </w:rPr>
              <w:t>Ministria e Financave</w:t>
            </w:r>
          </w:p>
        </w:tc>
      </w:tr>
      <w:tr w:rsidR="00956B69" w:rsidRPr="00956B69" w14:paraId="1A4957A9" w14:textId="77777777" w:rsidTr="00956B69">
        <w:tc>
          <w:tcPr>
            <w:tcW w:w="994" w:type="dxa"/>
            <w:hideMark/>
          </w:tcPr>
          <w:p w14:paraId="627326CC" w14:textId="77777777" w:rsidR="00956B69" w:rsidRPr="00956B69" w:rsidRDefault="00956B69" w:rsidP="00956B69">
            <w:pPr>
              <w:rPr>
                <w:rFonts w:eastAsia="Times New Roman"/>
                <w:sz w:val="16"/>
                <w:szCs w:val="16"/>
              </w:rPr>
            </w:pPr>
            <w:r w:rsidRPr="00956B69">
              <w:rPr>
                <w:rFonts w:eastAsia="Times New Roman"/>
                <w:sz w:val="16"/>
                <w:szCs w:val="16"/>
              </w:rPr>
              <w:t>MFP</w:t>
            </w:r>
          </w:p>
        </w:tc>
        <w:tc>
          <w:tcPr>
            <w:tcW w:w="8469" w:type="dxa"/>
            <w:vAlign w:val="center"/>
            <w:hideMark/>
          </w:tcPr>
          <w:p w14:paraId="76A45B23" w14:textId="77777777" w:rsidR="00956B69" w:rsidRPr="00956B69" w:rsidRDefault="00956B69" w:rsidP="00956B69">
            <w:pPr>
              <w:rPr>
                <w:rFonts w:eastAsia="Times New Roman"/>
                <w:sz w:val="16"/>
                <w:szCs w:val="16"/>
              </w:rPr>
            </w:pPr>
            <w:r w:rsidRPr="00956B69">
              <w:rPr>
                <w:rFonts w:eastAsia="Times New Roman"/>
                <w:sz w:val="16"/>
                <w:szCs w:val="16"/>
              </w:rPr>
              <w:t>Menaxhimi i Financave Publike</w:t>
            </w:r>
          </w:p>
        </w:tc>
      </w:tr>
      <w:tr w:rsidR="00956B69" w:rsidRPr="00956B69" w14:paraId="76337D70" w14:textId="77777777" w:rsidTr="00956B69">
        <w:tc>
          <w:tcPr>
            <w:tcW w:w="994" w:type="dxa"/>
            <w:hideMark/>
          </w:tcPr>
          <w:p w14:paraId="0AB4B14F" w14:textId="77777777" w:rsidR="00956B69" w:rsidRPr="00956B69" w:rsidRDefault="00956B69" w:rsidP="00956B69">
            <w:pPr>
              <w:rPr>
                <w:rFonts w:eastAsia="Times New Roman"/>
                <w:sz w:val="16"/>
                <w:szCs w:val="16"/>
              </w:rPr>
            </w:pPr>
            <w:r w:rsidRPr="00956B69">
              <w:rPr>
                <w:rFonts w:eastAsia="Times New Roman"/>
                <w:sz w:val="16"/>
                <w:szCs w:val="16"/>
              </w:rPr>
              <w:t>MFK</w:t>
            </w:r>
          </w:p>
        </w:tc>
        <w:tc>
          <w:tcPr>
            <w:tcW w:w="8469" w:type="dxa"/>
            <w:vAlign w:val="center"/>
            <w:hideMark/>
          </w:tcPr>
          <w:p w14:paraId="5102DF0B" w14:textId="77777777" w:rsidR="00956B69" w:rsidRPr="00956B69" w:rsidRDefault="00956B69" w:rsidP="00956B69">
            <w:pPr>
              <w:rPr>
                <w:rFonts w:eastAsia="Times New Roman"/>
                <w:sz w:val="16"/>
                <w:szCs w:val="16"/>
              </w:rPr>
            </w:pPr>
            <w:r w:rsidRPr="00956B69">
              <w:rPr>
                <w:rFonts w:eastAsia="Times New Roman"/>
                <w:sz w:val="16"/>
                <w:szCs w:val="16"/>
              </w:rPr>
              <w:t>Menaxhimi Financiar dhe Kontrolli</w:t>
            </w:r>
          </w:p>
        </w:tc>
      </w:tr>
      <w:tr w:rsidR="00956B69" w:rsidRPr="00956B69" w14:paraId="54572AEC" w14:textId="77777777" w:rsidTr="00956B69">
        <w:tc>
          <w:tcPr>
            <w:tcW w:w="994" w:type="dxa"/>
            <w:hideMark/>
          </w:tcPr>
          <w:p w14:paraId="306026BA" w14:textId="77777777" w:rsidR="00956B69" w:rsidRPr="00956B69" w:rsidRDefault="00956B69" w:rsidP="00956B69">
            <w:pPr>
              <w:rPr>
                <w:rFonts w:eastAsia="Times New Roman"/>
                <w:sz w:val="16"/>
                <w:szCs w:val="16"/>
              </w:rPr>
            </w:pPr>
            <w:r w:rsidRPr="00956B69">
              <w:rPr>
                <w:rFonts w:eastAsia="Times New Roman"/>
                <w:sz w:val="16"/>
                <w:szCs w:val="16"/>
              </w:rPr>
              <w:t>MIP</w:t>
            </w:r>
          </w:p>
        </w:tc>
        <w:tc>
          <w:tcPr>
            <w:tcW w:w="8469" w:type="dxa"/>
            <w:vAlign w:val="center"/>
            <w:hideMark/>
          </w:tcPr>
          <w:p w14:paraId="73BA7CEB" w14:textId="77777777" w:rsidR="00956B69" w:rsidRPr="00956B69" w:rsidRDefault="00956B69" w:rsidP="00956B69">
            <w:pPr>
              <w:rPr>
                <w:rFonts w:eastAsia="Times New Roman"/>
                <w:sz w:val="16"/>
                <w:szCs w:val="16"/>
              </w:rPr>
            </w:pPr>
            <w:r w:rsidRPr="00956B69">
              <w:rPr>
                <w:rFonts w:eastAsia="Times New Roman"/>
                <w:sz w:val="16"/>
                <w:szCs w:val="16"/>
              </w:rPr>
              <w:t>Menaxhimi i Investimeve Publike</w:t>
            </w:r>
          </w:p>
        </w:tc>
      </w:tr>
      <w:tr w:rsidR="00956B69" w:rsidRPr="00956B69" w14:paraId="5E4F268A" w14:textId="77777777" w:rsidTr="00956B69">
        <w:tc>
          <w:tcPr>
            <w:tcW w:w="994" w:type="dxa"/>
            <w:hideMark/>
          </w:tcPr>
          <w:p w14:paraId="2F167AC6" w14:textId="77777777" w:rsidR="00956B69" w:rsidRPr="00956B69" w:rsidRDefault="00956B69" w:rsidP="00956B69">
            <w:pPr>
              <w:rPr>
                <w:rFonts w:eastAsia="Times New Roman"/>
                <w:sz w:val="16"/>
                <w:szCs w:val="16"/>
              </w:rPr>
            </w:pPr>
            <w:r w:rsidRPr="00956B69">
              <w:rPr>
                <w:rFonts w:eastAsia="Times New Roman"/>
                <w:sz w:val="16"/>
                <w:szCs w:val="16"/>
              </w:rPr>
              <w:t>ML</w:t>
            </w:r>
          </w:p>
        </w:tc>
        <w:tc>
          <w:tcPr>
            <w:tcW w:w="8469" w:type="dxa"/>
            <w:vAlign w:val="center"/>
            <w:hideMark/>
          </w:tcPr>
          <w:p w14:paraId="0C70CC02" w14:textId="77777777" w:rsidR="00956B69" w:rsidRPr="00956B69" w:rsidRDefault="00956B69" w:rsidP="00956B69">
            <w:pPr>
              <w:rPr>
                <w:rFonts w:eastAsia="Times New Roman"/>
                <w:sz w:val="16"/>
                <w:szCs w:val="16"/>
              </w:rPr>
            </w:pPr>
            <w:r w:rsidRPr="00956B69">
              <w:rPr>
                <w:rFonts w:eastAsia="Times New Roman"/>
                <w:sz w:val="16"/>
                <w:szCs w:val="16"/>
              </w:rPr>
              <w:t>Ministri Linje</w:t>
            </w:r>
          </w:p>
        </w:tc>
      </w:tr>
      <w:tr w:rsidR="00956B69" w:rsidRPr="00956B69" w14:paraId="71C0A498" w14:textId="77777777" w:rsidTr="00956B69">
        <w:tc>
          <w:tcPr>
            <w:tcW w:w="994" w:type="dxa"/>
            <w:hideMark/>
          </w:tcPr>
          <w:p w14:paraId="1D8676B8" w14:textId="77777777" w:rsidR="00956B69" w:rsidRPr="00956B69" w:rsidRDefault="00956B69" w:rsidP="00956B69">
            <w:pPr>
              <w:rPr>
                <w:rFonts w:eastAsia="Times New Roman"/>
                <w:sz w:val="16"/>
                <w:szCs w:val="16"/>
              </w:rPr>
            </w:pPr>
            <w:r w:rsidRPr="00956B69">
              <w:rPr>
                <w:rFonts w:eastAsia="Times New Roman"/>
                <w:sz w:val="16"/>
                <w:szCs w:val="16"/>
              </w:rPr>
              <w:t>NJRF</w:t>
            </w:r>
          </w:p>
        </w:tc>
        <w:tc>
          <w:tcPr>
            <w:tcW w:w="8469" w:type="dxa"/>
            <w:vAlign w:val="center"/>
            <w:hideMark/>
          </w:tcPr>
          <w:p w14:paraId="4A852A9D" w14:textId="77777777" w:rsidR="00956B69" w:rsidRPr="00956B69" w:rsidRDefault="00956B69" w:rsidP="00956B69">
            <w:pPr>
              <w:rPr>
                <w:rFonts w:eastAsia="Times New Roman"/>
                <w:sz w:val="16"/>
                <w:szCs w:val="16"/>
              </w:rPr>
            </w:pPr>
            <w:r w:rsidRPr="00956B69">
              <w:rPr>
                <w:rFonts w:eastAsia="Times New Roman"/>
                <w:sz w:val="16"/>
                <w:szCs w:val="16"/>
              </w:rPr>
              <w:t>Njësia e Risqeve Fiskale</w:t>
            </w:r>
          </w:p>
        </w:tc>
      </w:tr>
      <w:tr w:rsidR="00956B69" w:rsidRPr="00956B69" w14:paraId="18AD7E83" w14:textId="77777777" w:rsidTr="00956B69">
        <w:tc>
          <w:tcPr>
            <w:tcW w:w="994" w:type="dxa"/>
            <w:hideMark/>
          </w:tcPr>
          <w:p w14:paraId="06775A14" w14:textId="77777777" w:rsidR="00956B69" w:rsidRPr="00956B69" w:rsidRDefault="00956B69" w:rsidP="00956B69">
            <w:pPr>
              <w:rPr>
                <w:rFonts w:eastAsia="Times New Roman"/>
                <w:sz w:val="16"/>
                <w:szCs w:val="16"/>
              </w:rPr>
            </w:pPr>
            <w:r w:rsidRPr="00956B69">
              <w:rPr>
                <w:rFonts w:eastAsia="Times New Roman"/>
                <w:sz w:val="16"/>
                <w:szCs w:val="16"/>
              </w:rPr>
              <w:t>NJVQV</w:t>
            </w:r>
          </w:p>
        </w:tc>
        <w:tc>
          <w:tcPr>
            <w:tcW w:w="8469" w:type="dxa"/>
            <w:vAlign w:val="center"/>
            <w:hideMark/>
          </w:tcPr>
          <w:p w14:paraId="2BC75250" w14:textId="77777777" w:rsidR="00956B69" w:rsidRPr="00956B69" w:rsidRDefault="00956B69" w:rsidP="00956B69">
            <w:pPr>
              <w:rPr>
                <w:rFonts w:eastAsia="Times New Roman"/>
                <w:sz w:val="16"/>
                <w:szCs w:val="16"/>
              </w:rPr>
            </w:pPr>
            <w:r w:rsidRPr="00956B69">
              <w:rPr>
                <w:rFonts w:eastAsia="Times New Roman"/>
                <w:sz w:val="16"/>
                <w:szCs w:val="16"/>
              </w:rPr>
              <w:t>Njësia e Vetëqeverisjes Vendore</w:t>
            </w:r>
          </w:p>
        </w:tc>
      </w:tr>
      <w:tr w:rsidR="00956B69" w:rsidRPr="00956B69" w14:paraId="7FD70B0A" w14:textId="77777777" w:rsidTr="00956B69">
        <w:tc>
          <w:tcPr>
            <w:tcW w:w="994" w:type="dxa"/>
            <w:hideMark/>
          </w:tcPr>
          <w:p w14:paraId="52DB2AF3" w14:textId="77777777" w:rsidR="00956B69" w:rsidRPr="00956B69" w:rsidRDefault="00956B69" w:rsidP="00956B69">
            <w:pPr>
              <w:rPr>
                <w:rFonts w:eastAsia="Times New Roman"/>
                <w:sz w:val="16"/>
                <w:szCs w:val="16"/>
              </w:rPr>
            </w:pPr>
            <w:r w:rsidRPr="00956B69">
              <w:rPr>
                <w:rFonts w:eastAsia="Times New Roman"/>
                <w:sz w:val="16"/>
                <w:szCs w:val="16"/>
              </w:rPr>
              <w:t>NSH</w:t>
            </w:r>
          </w:p>
        </w:tc>
        <w:tc>
          <w:tcPr>
            <w:tcW w:w="8469" w:type="dxa"/>
            <w:vAlign w:val="center"/>
            <w:hideMark/>
          </w:tcPr>
          <w:p w14:paraId="3D0B916E" w14:textId="77777777" w:rsidR="00956B69" w:rsidRPr="00956B69" w:rsidRDefault="00956B69" w:rsidP="00956B69">
            <w:pPr>
              <w:rPr>
                <w:rFonts w:eastAsia="Times New Roman"/>
                <w:sz w:val="16"/>
                <w:szCs w:val="16"/>
              </w:rPr>
            </w:pPr>
            <w:r w:rsidRPr="00956B69">
              <w:rPr>
                <w:rFonts w:eastAsia="Times New Roman"/>
                <w:sz w:val="16"/>
                <w:szCs w:val="16"/>
              </w:rPr>
              <w:t>Ndërmarrje Shtetërore</w:t>
            </w:r>
          </w:p>
        </w:tc>
      </w:tr>
      <w:tr w:rsidR="00956B69" w:rsidRPr="00956B69" w14:paraId="2551E7FC" w14:textId="77777777" w:rsidTr="00956B69">
        <w:tc>
          <w:tcPr>
            <w:tcW w:w="994" w:type="dxa"/>
            <w:hideMark/>
          </w:tcPr>
          <w:p w14:paraId="77CF75EA" w14:textId="77777777" w:rsidR="00956B69" w:rsidRPr="00956B69" w:rsidRDefault="00956B69" w:rsidP="00956B69">
            <w:pPr>
              <w:rPr>
                <w:rFonts w:eastAsia="Times New Roman"/>
                <w:sz w:val="16"/>
                <w:szCs w:val="16"/>
              </w:rPr>
            </w:pPr>
            <w:r w:rsidRPr="00956B69">
              <w:rPr>
                <w:rFonts w:eastAsia="Times New Roman"/>
                <w:sz w:val="16"/>
                <w:szCs w:val="16"/>
              </w:rPr>
              <w:t>OECD</w:t>
            </w:r>
          </w:p>
        </w:tc>
        <w:tc>
          <w:tcPr>
            <w:tcW w:w="8469" w:type="dxa"/>
            <w:vAlign w:val="center"/>
            <w:hideMark/>
          </w:tcPr>
          <w:p w14:paraId="6CEB98CD" w14:textId="77777777" w:rsidR="00956B69" w:rsidRPr="00956B69" w:rsidRDefault="00956B69" w:rsidP="00956B69">
            <w:pPr>
              <w:rPr>
                <w:rFonts w:eastAsia="Times New Roman"/>
                <w:sz w:val="16"/>
                <w:szCs w:val="16"/>
              </w:rPr>
            </w:pPr>
            <w:r w:rsidRPr="00956B69">
              <w:rPr>
                <w:rFonts w:eastAsia="Times New Roman"/>
                <w:sz w:val="16"/>
                <w:szCs w:val="16"/>
              </w:rPr>
              <w:t>Organizata për Bashkëpunim dhe Zhvillim Ekonomik</w:t>
            </w:r>
          </w:p>
        </w:tc>
      </w:tr>
      <w:tr w:rsidR="00956B69" w:rsidRPr="0059094E" w14:paraId="7F172958" w14:textId="77777777" w:rsidTr="00956B69">
        <w:tc>
          <w:tcPr>
            <w:tcW w:w="994" w:type="dxa"/>
            <w:hideMark/>
          </w:tcPr>
          <w:p w14:paraId="523D7D98" w14:textId="77777777" w:rsidR="00956B69" w:rsidRPr="00956B69" w:rsidRDefault="00956B69" w:rsidP="00956B69">
            <w:pPr>
              <w:rPr>
                <w:rFonts w:eastAsia="Times New Roman"/>
                <w:sz w:val="16"/>
                <w:szCs w:val="16"/>
              </w:rPr>
            </w:pPr>
            <w:r w:rsidRPr="00956B69">
              <w:rPr>
                <w:rFonts w:eastAsia="Times New Roman"/>
                <w:sz w:val="16"/>
                <w:szCs w:val="16"/>
              </w:rPr>
              <w:t>OEISA</w:t>
            </w:r>
          </w:p>
        </w:tc>
        <w:tc>
          <w:tcPr>
            <w:tcW w:w="8469" w:type="dxa"/>
            <w:vAlign w:val="center"/>
            <w:hideMark/>
          </w:tcPr>
          <w:p w14:paraId="1C082243" w14:textId="77777777" w:rsidR="00956B69" w:rsidRPr="009D660E" w:rsidRDefault="00956B69" w:rsidP="00956B69">
            <w:pPr>
              <w:rPr>
                <w:rFonts w:eastAsia="Times New Roman"/>
                <w:sz w:val="16"/>
                <w:szCs w:val="16"/>
                <w:lang w:val="it-IT"/>
              </w:rPr>
            </w:pPr>
            <w:r w:rsidRPr="009D660E">
              <w:rPr>
                <w:sz w:val="16"/>
                <w:szCs w:val="16"/>
                <w:lang w:val="it-IT"/>
              </w:rPr>
              <w:t>Organizata Evropiane e Institucioneve Supreme të Auditimit</w:t>
            </w:r>
          </w:p>
        </w:tc>
      </w:tr>
      <w:tr w:rsidR="00956B69" w:rsidRPr="0059094E" w14:paraId="4D404A21" w14:textId="77777777" w:rsidTr="00956B69">
        <w:tc>
          <w:tcPr>
            <w:tcW w:w="994" w:type="dxa"/>
            <w:hideMark/>
          </w:tcPr>
          <w:p w14:paraId="369A2056" w14:textId="77777777" w:rsidR="00956B69" w:rsidRPr="00956B69" w:rsidRDefault="00956B69" w:rsidP="00956B69">
            <w:pPr>
              <w:rPr>
                <w:rFonts w:eastAsia="Times New Roman"/>
                <w:sz w:val="16"/>
                <w:szCs w:val="16"/>
              </w:rPr>
            </w:pPr>
            <w:r w:rsidRPr="00956B69">
              <w:rPr>
                <w:rFonts w:eastAsia="Times New Roman"/>
                <w:sz w:val="16"/>
                <w:szCs w:val="16"/>
              </w:rPr>
              <w:t>ONISA</w:t>
            </w:r>
          </w:p>
        </w:tc>
        <w:tc>
          <w:tcPr>
            <w:tcW w:w="8469" w:type="dxa"/>
            <w:vAlign w:val="center"/>
            <w:hideMark/>
          </w:tcPr>
          <w:p w14:paraId="51D75763" w14:textId="77777777" w:rsidR="00956B69" w:rsidRPr="009D660E" w:rsidRDefault="00956B69" w:rsidP="00956B69">
            <w:pPr>
              <w:rPr>
                <w:rFonts w:eastAsia="Times New Roman"/>
                <w:sz w:val="16"/>
                <w:szCs w:val="16"/>
                <w:lang w:val="it-IT"/>
              </w:rPr>
            </w:pPr>
            <w:r w:rsidRPr="009D660E">
              <w:rPr>
                <w:rFonts w:eastAsia="Times New Roman"/>
                <w:sz w:val="16"/>
                <w:szCs w:val="16"/>
                <w:lang w:val="it-IT"/>
              </w:rPr>
              <w:t>Organizata Ndërkombëtare e Institucioneve Supreme të Auditimit</w:t>
            </w:r>
          </w:p>
        </w:tc>
      </w:tr>
      <w:tr w:rsidR="00956B69" w:rsidRPr="00956B69" w14:paraId="44FACFCC" w14:textId="77777777" w:rsidTr="00956B69">
        <w:tc>
          <w:tcPr>
            <w:tcW w:w="994" w:type="dxa"/>
            <w:hideMark/>
          </w:tcPr>
          <w:p w14:paraId="3668B3AC" w14:textId="77777777" w:rsidR="00956B69" w:rsidRPr="00956B69" w:rsidRDefault="00956B69" w:rsidP="00956B69">
            <w:pPr>
              <w:rPr>
                <w:rFonts w:eastAsia="Times New Roman"/>
                <w:sz w:val="16"/>
                <w:szCs w:val="16"/>
              </w:rPr>
            </w:pPr>
            <w:r w:rsidRPr="00956B69">
              <w:rPr>
                <w:rFonts w:eastAsia="Times New Roman"/>
                <w:sz w:val="16"/>
                <w:szCs w:val="16"/>
              </w:rPr>
              <w:t>OSHC</w:t>
            </w:r>
          </w:p>
        </w:tc>
        <w:tc>
          <w:tcPr>
            <w:tcW w:w="8469" w:type="dxa"/>
            <w:vAlign w:val="center"/>
            <w:hideMark/>
          </w:tcPr>
          <w:p w14:paraId="69C1A599" w14:textId="77777777" w:rsidR="00956B69" w:rsidRPr="00956B69" w:rsidRDefault="00956B69" w:rsidP="00956B69">
            <w:pPr>
              <w:rPr>
                <w:rFonts w:eastAsia="Times New Roman"/>
                <w:sz w:val="16"/>
                <w:szCs w:val="16"/>
              </w:rPr>
            </w:pPr>
            <w:r w:rsidRPr="00956B69">
              <w:rPr>
                <w:rFonts w:eastAsia="Times New Roman"/>
                <w:sz w:val="16"/>
                <w:szCs w:val="16"/>
              </w:rPr>
              <w:t>Organizata të Shoqërive Civile</w:t>
            </w:r>
          </w:p>
        </w:tc>
      </w:tr>
      <w:tr w:rsidR="00956B69" w:rsidRPr="00956B69" w14:paraId="252CF4F9" w14:textId="77777777" w:rsidTr="00956B69">
        <w:tc>
          <w:tcPr>
            <w:tcW w:w="994" w:type="dxa"/>
            <w:hideMark/>
          </w:tcPr>
          <w:p w14:paraId="6502B08E" w14:textId="77777777" w:rsidR="00956B69" w:rsidRPr="00956B69" w:rsidRDefault="00956B69" w:rsidP="00956B69">
            <w:pPr>
              <w:rPr>
                <w:rFonts w:eastAsia="Times New Roman"/>
                <w:sz w:val="16"/>
                <w:szCs w:val="16"/>
              </w:rPr>
            </w:pPr>
            <w:r w:rsidRPr="00956B69">
              <w:rPr>
                <w:rFonts w:eastAsia="Times New Roman"/>
                <w:sz w:val="16"/>
                <w:szCs w:val="16"/>
              </w:rPr>
              <w:t>OZHQ</w:t>
            </w:r>
          </w:p>
        </w:tc>
        <w:tc>
          <w:tcPr>
            <w:tcW w:w="8469" w:type="dxa"/>
            <w:vAlign w:val="center"/>
            <w:hideMark/>
          </w:tcPr>
          <w:p w14:paraId="333C238F" w14:textId="77777777" w:rsidR="00956B69" w:rsidRPr="00956B69" w:rsidRDefault="00956B69" w:rsidP="00956B69">
            <w:pPr>
              <w:rPr>
                <w:rFonts w:eastAsia="Times New Roman"/>
                <w:sz w:val="16"/>
                <w:szCs w:val="16"/>
              </w:rPr>
            </w:pPr>
            <w:r w:rsidRPr="00956B69">
              <w:rPr>
                <w:rFonts w:eastAsia="Times New Roman"/>
                <w:sz w:val="16"/>
                <w:szCs w:val="16"/>
              </w:rPr>
              <w:t>Objektivat e Zhvillimit të Qëndrueshëm</w:t>
            </w:r>
          </w:p>
        </w:tc>
      </w:tr>
      <w:tr w:rsidR="00956B69" w:rsidRPr="00956B69" w14:paraId="7F8CFAFB" w14:textId="77777777" w:rsidTr="00956B69">
        <w:tc>
          <w:tcPr>
            <w:tcW w:w="994" w:type="dxa"/>
            <w:hideMark/>
          </w:tcPr>
          <w:p w14:paraId="48BECDFF" w14:textId="77777777" w:rsidR="00956B69" w:rsidRPr="00956B69" w:rsidRDefault="00956B69" w:rsidP="00956B69">
            <w:pPr>
              <w:rPr>
                <w:rFonts w:eastAsia="Times New Roman"/>
                <w:sz w:val="16"/>
                <w:szCs w:val="16"/>
              </w:rPr>
            </w:pPr>
            <w:r w:rsidRPr="00956B69">
              <w:rPr>
                <w:rFonts w:eastAsia="Times New Roman"/>
                <w:sz w:val="16"/>
                <w:szCs w:val="16"/>
              </w:rPr>
              <w:t>PBA</w:t>
            </w:r>
          </w:p>
        </w:tc>
        <w:tc>
          <w:tcPr>
            <w:tcW w:w="8469" w:type="dxa"/>
            <w:vAlign w:val="center"/>
            <w:hideMark/>
          </w:tcPr>
          <w:p w14:paraId="5AF18BCC" w14:textId="77777777" w:rsidR="00956B69" w:rsidRPr="00956B69" w:rsidRDefault="00956B69" w:rsidP="00956B69">
            <w:pPr>
              <w:rPr>
                <w:rFonts w:eastAsia="Times New Roman"/>
                <w:sz w:val="16"/>
                <w:szCs w:val="16"/>
              </w:rPr>
            </w:pPr>
            <w:r w:rsidRPr="00956B69">
              <w:rPr>
                <w:rFonts w:eastAsia="Times New Roman"/>
                <w:sz w:val="16"/>
                <w:szCs w:val="16"/>
              </w:rPr>
              <w:t>Programi Buxhetor Afatmesëm</w:t>
            </w:r>
          </w:p>
        </w:tc>
      </w:tr>
      <w:tr w:rsidR="00956B69" w:rsidRPr="00956B69" w14:paraId="378FB5BD" w14:textId="77777777" w:rsidTr="00956B69">
        <w:tc>
          <w:tcPr>
            <w:tcW w:w="994" w:type="dxa"/>
            <w:hideMark/>
          </w:tcPr>
          <w:p w14:paraId="5E856246" w14:textId="77777777" w:rsidR="00956B69" w:rsidRPr="00956B69" w:rsidRDefault="00956B69" w:rsidP="00956B69">
            <w:pPr>
              <w:rPr>
                <w:rFonts w:eastAsia="Times New Roman"/>
                <w:sz w:val="16"/>
                <w:szCs w:val="16"/>
              </w:rPr>
            </w:pPr>
            <w:r w:rsidRPr="00956B69">
              <w:rPr>
                <w:rFonts w:eastAsia="Times New Roman"/>
                <w:sz w:val="16"/>
                <w:szCs w:val="16"/>
              </w:rPr>
              <w:t>PBB</w:t>
            </w:r>
          </w:p>
        </w:tc>
        <w:tc>
          <w:tcPr>
            <w:tcW w:w="8469" w:type="dxa"/>
            <w:vAlign w:val="center"/>
            <w:hideMark/>
          </w:tcPr>
          <w:p w14:paraId="3E17F145" w14:textId="77777777" w:rsidR="00956B69" w:rsidRPr="00956B69" w:rsidRDefault="00956B69" w:rsidP="00956B69">
            <w:pPr>
              <w:rPr>
                <w:rFonts w:eastAsia="Times New Roman"/>
                <w:sz w:val="16"/>
                <w:szCs w:val="16"/>
              </w:rPr>
            </w:pPr>
            <w:r w:rsidRPr="00956B69">
              <w:rPr>
                <w:rFonts w:eastAsia="Times New Roman"/>
                <w:sz w:val="16"/>
                <w:szCs w:val="16"/>
              </w:rPr>
              <w:t>Produkti i Brendshëm Bruto</w:t>
            </w:r>
          </w:p>
        </w:tc>
      </w:tr>
      <w:tr w:rsidR="00956B69" w:rsidRPr="0059094E" w14:paraId="37130B08" w14:textId="77777777" w:rsidTr="00956B69">
        <w:tc>
          <w:tcPr>
            <w:tcW w:w="994" w:type="dxa"/>
            <w:hideMark/>
          </w:tcPr>
          <w:p w14:paraId="1F3BED0D" w14:textId="77777777" w:rsidR="00956B69" w:rsidRPr="00956B69" w:rsidRDefault="00956B69" w:rsidP="00956B69">
            <w:pPr>
              <w:rPr>
                <w:rFonts w:eastAsia="Times New Roman"/>
                <w:sz w:val="16"/>
                <w:szCs w:val="16"/>
              </w:rPr>
            </w:pPr>
            <w:r w:rsidRPr="00956B69">
              <w:rPr>
                <w:rFonts w:eastAsia="Times New Roman"/>
                <w:sz w:val="16"/>
                <w:szCs w:val="16"/>
              </w:rPr>
              <w:lastRenderedPageBreak/>
              <w:t>PDT</w:t>
            </w:r>
          </w:p>
        </w:tc>
        <w:tc>
          <w:tcPr>
            <w:tcW w:w="8469" w:type="dxa"/>
            <w:vAlign w:val="center"/>
            <w:hideMark/>
          </w:tcPr>
          <w:p w14:paraId="5901D9F2" w14:textId="77777777" w:rsidR="00956B69" w:rsidRPr="009D660E" w:rsidRDefault="00956B69" w:rsidP="00956B69">
            <w:pPr>
              <w:rPr>
                <w:rFonts w:eastAsia="Times New Roman"/>
                <w:sz w:val="16"/>
                <w:szCs w:val="16"/>
                <w:lang w:val="it-IT"/>
              </w:rPr>
            </w:pPr>
            <w:r w:rsidRPr="009D660E">
              <w:rPr>
                <w:rFonts w:eastAsia="Times New Roman"/>
                <w:sz w:val="16"/>
                <w:szCs w:val="16"/>
                <w:lang w:val="it-IT"/>
              </w:rPr>
              <w:t>Procedura e Deficitit të Tepruar</w:t>
            </w:r>
          </w:p>
        </w:tc>
      </w:tr>
      <w:tr w:rsidR="00956B69" w:rsidRPr="00956B69" w14:paraId="04DB4325" w14:textId="77777777" w:rsidTr="00956B69">
        <w:tc>
          <w:tcPr>
            <w:tcW w:w="994" w:type="dxa"/>
            <w:hideMark/>
          </w:tcPr>
          <w:p w14:paraId="709AFDE2" w14:textId="77777777" w:rsidR="00956B69" w:rsidRPr="00956B69" w:rsidRDefault="00956B69" w:rsidP="00956B69">
            <w:pPr>
              <w:rPr>
                <w:rFonts w:eastAsia="Times New Roman"/>
                <w:sz w:val="16"/>
                <w:szCs w:val="16"/>
              </w:rPr>
            </w:pPr>
            <w:r w:rsidRPr="00956B69">
              <w:rPr>
                <w:rFonts w:eastAsia="Times New Roman"/>
                <w:sz w:val="16"/>
                <w:szCs w:val="16"/>
              </w:rPr>
              <w:t>PEFA</w:t>
            </w:r>
          </w:p>
        </w:tc>
        <w:tc>
          <w:tcPr>
            <w:tcW w:w="8469" w:type="dxa"/>
            <w:vAlign w:val="center"/>
            <w:hideMark/>
          </w:tcPr>
          <w:p w14:paraId="050AA7FD" w14:textId="77777777" w:rsidR="00956B69" w:rsidRPr="00956B69" w:rsidRDefault="00956B69" w:rsidP="00956B69">
            <w:pPr>
              <w:rPr>
                <w:rFonts w:eastAsia="Times New Roman"/>
                <w:sz w:val="16"/>
                <w:szCs w:val="16"/>
              </w:rPr>
            </w:pPr>
            <w:r w:rsidRPr="00956B69">
              <w:rPr>
                <w:rFonts w:eastAsia="Times New Roman"/>
                <w:sz w:val="16"/>
                <w:szCs w:val="16"/>
              </w:rPr>
              <w:t>Shpenzimet Publike dhe Llogaridhënia Financiare</w:t>
            </w:r>
          </w:p>
        </w:tc>
      </w:tr>
      <w:tr w:rsidR="00956B69" w:rsidRPr="00956B69" w14:paraId="25BE0F58" w14:textId="77777777" w:rsidTr="00956B69">
        <w:tc>
          <w:tcPr>
            <w:tcW w:w="994" w:type="dxa"/>
            <w:hideMark/>
          </w:tcPr>
          <w:p w14:paraId="6AAB98B0" w14:textId="77777777" w:rsidR="00956B69" w:rsidRPr="00956B69" w:rsidRDefault="00956B69" w:rsidP="00956B69">
            <w:pPr>
              <w:rPr>
                <w:rFonts w:eastAsia="Times New Roman"/>
                <w:sz w:val="16"/>
                <w:szCs w:val="16"/>
              </w:rPr>
            </w:pPr>
            <w:r w:rsidRPr="00956B69">
              <w:rPr>
                <w:rFonts w:eastAsia="Times New Roman"/>
                <w:sz w:val="16"/>
                <w:szCs w:val="16"/>
              </w:rPr>
              <w:t xml:space="preserve">PIMA </w:t>
            </w:r>
          </w:p>
        </w:tc>
        <w:tc>
          <w:tcPr>
            <w:tcW w:w="8469" w:type="dxa"/>
            <w:vAlign w:val="center"/>
            <w:hideMark/>
          </w:tcPr>
          <w:p w14:paraId="540D8542" w14:textId="77777777" w:rsidR="00956B69" w:rsidRPr="00956B69" w:rsidRDefault="00956B69" w:rsidP="00956B69">
            <w:pPr>
              <w:rPr>
                <w:rFonts w:eastAsia="Times New Roman"/>
                <w:sz w:val="16"/>
                <w:szCs w:val="16"/>
              </w:rPr>
            </w:pPr>
            <w:r w:rsidRPr="00956B69">
              <w:rPr>
                <w:rFonts w:eastAsia="Times New Roman"/>
                <w:sz w:val="16"/>
                <w:szCs w:val="16"/>
              </w:rPr>
              <w:t>Vlerësimi i Menaxhimit të Investimeve Publike</w:t>
            </w:r>
          </w:p>
        </w:tc>
      </w:tr>
      <w:tr w:rsidR="00956B69" w:rsidRPr="00956B69" w14:paraId="27CFFF1A" w14:textId="77777777" w:rsidTr="00956B69">
        <w:tc>
          <w:tcPr>
            <w:tcW w:w="994" w:type="dxa"/>
            <w:hideMark/>
          </w:tcPr>
          <w:p w14:paraId="075F58B2" w14:textId="77777777" w:rsidR="00956B69" w:rsidRPr="00956B69" w:rsidRDefault="00956B69" w:rsidP="00956B69">
            <w:pPr>
              <w:rPr>
                <w:rFonts w:eastAsia="Times New Roman"/>
                <w:sz w:val="16"/>
                <w:szCs w:val="16"/>
              </w:rPr>
            </w:pPr>
            <w:r w:rsidRPr="00956B69">
              <w:rPr>
                <w:rFonts w:eastAsia="Times New Roman"/>
                <w:sz w:val="16"/>
                <w:szCs w:val="16"/>
              </w:rPr>
              <w:t>PKIE</w:t>
            </w:r>
          </w:p>
        </w:tc>
        <w:tc>
          <w:tcPr>
            <w:tcW w:w="8469" w:type="dxa"/>
            <w:vAlign w:val="center"/>
            <w:hideMark/>
          </w:tcPr>
          <w:p w14:paraId="6FDA6134" w14:textId="77777777" w:rsidR="00956B69" w:rsidRPr="00956B69" w:rsidRDefault="00956B69" w:rsidP="00956B69">
            <w:pPr>
              <w:rPr>
                <w:rFonts w:eastAsia="Times New Roman"/>
                <w:sz w:val="16"/>
                <w:szCs w:val="16"/>
              </w:rPr>
            </w:pPr>
            <w:r w:rsidRPr="00956B69">
              <w:rPr>
                <w:rFonts w:eastAsia="Times New Roman"/>
                <w:sz w:val="16"/>
                <w:szCs w:val="16"/>
              </w:rPr>
              <w:t>Programi Kombëtar i Integrimit Evropian</w:t>
            </w:r>
          </w:p>
        </w:tc>
      </w:tr>
      <w:tr w:rsidR="00956B69" w:rsidRPr="00956B69" w14:paraId="51D8F5C7" w14:textId="77777777" w:rsidTr="00956B69">
        <w:tc>
          <w:tcPr>
            <w:tcW w:w="994" w:type="dxa"/>
            <w:hideMark/>
          </w:tcPr>
          <w:p w14:paraId="717A61FB" w14:textId="77777777" w:rsidR="00956B69" w:rsidRPr="00956B69" w:rsidRDefault="00956B69" w:rsidP="00956B69">
            <w:pPr>
              <w:rPr>
                <w:rFonts w:eastAsia="Times New Roman"/>
                <w:sz w:val="16"/>
                <w:szCs w:val="16"/>
              </w:rPr>
            </w:pPr>
            <w:r w:rsidRPr="00956B69">
              <w:rPr>
                <w:rFonts w:eastAsia="Times New Roman"/>
                <w:sz w:val="16"/>
                <w:szCs w:val="16"/>
              </w:rPr>
              <w:t>PPP</w:t>
            </w:r>
          </w:p>
        </w:tc>
        <w:tc>
          <w:tcPr>
            <w:tcW w:w="8469" w:type="dxa"/>
            <w:vAlign w:val="center"/>
            <w:hideMark/>
          </w:tcPr>
          <w:p w14:paraId="7F0DDCB5" w14:textId="77777777" w:rsidR="00956B69" w:rsidRPr="00956B69" w:rsidRDefault="00956B69" w:rsidP="00956B69">
            <w:pPr>
              <w:rPr>
                <w:rFonts w:eastAsia="Times New Roman"/>
                <w:sz w:val="16"/>
                <w:szCs w:val="16"/>
              </w:rPr>
            </w:pPr>
            <w:r w:rsidRPr="00956B69">
              <w:rPr>
                <w:rFonts w:eastAsia="Times New Roman"/>
                <w:sz w:val="16"/>
                <w:szCs w:val="16"/>
              </w:rPr>
              <w:t>Partneriteti Publik Privat</w:t>
            </w:r>
          </w:p>
        </w:tc>
      </w:tr>
      <w:tr w:rsidR="00956B69" w:rsidRPr="00956B69" w14:paraId="75BA8D41" w14:textId="77777777" w:rsidTr="00956B69">
        <w:tc>
          <w:tcPr>
            <w:tcW w:w="994" w:type="dxa"/>
            <w:hideMark/>
          </w:tcPr>
          <w:p w14:paraId="0B59AE09" w14:textId="77777777" w:rsidR="00956B69" w:rsidRPr="00956B69" w:rsidRDefault="00956B69" w:rsidP="00956B69">
            <w:pPr>
              <w:rPr>
                <w:rFonts w:eastAsia="Times New Roman"/>
                <w:sz w:val="16"/>
                <w:szCs w:val="16"/>
              </w:rPr>
            </w:pPr>
            <w:r w:rsidRPr="00956B69">
              <w:rPr>
                <w:rFonts w:eastAsia="Times New Roman"/>
                <w:sz w:val="16"/>
                <w:szCs w:val="16"/>
              </w:rPr>
              <w:t>PRE</w:t>
            </w:r>
          </w:p>
        </w:tc>
        <w:tc>
          <w:tcPr>
            <w:tcW w:w="8469" w:type="dxa"/>
            <w:vAlign w:val="center"/>
            <w:hideMark/>
          </w:tcPr>
          <w:p w14:paraId="0A76417A" w14:textId="77777777" w:rsidR="00956B69" w:rsidRPr="00956B69" w:rsidRDefault="00956B69" w:rsidP="00956B69">
            <w:pPr>
              <w:rPr>
                <w:rFonts w:eastAsia="Times New Roman"/>
                <w:sz w:val="16"/>
                <w:szCs w:val="16"/>
              </w:rPr>
            </w:pPr>
            <w:r w:rsidRPr="00956B69">
              <w:rPr>
                <w:rFonts w:eastAsia="Times New Roman"/>
                <w:sz w:val="16"/>
                <w:szCs w:val="16"/>
              </w:rPr>
              <w:t>Programi i Reformave Ekonomike</w:t>
            </w:r>
          </w:p>
        </w:tc>
      </w:tr>
      <w:tr w:rsidR="00956B69" w:rsidRPr="00956B69" w14:paraId="6E6D585B" w14:textId="77777777" w:rsidTr="00956B69">
        <w:tc>
          <w:tcPr>
            <w:tcW w:w="994" w:type="dxa"/>
            <w:hideMark/>
          </w:tcPr>
          <w:p w14:paraId="10C9EFB3" w14:textId="77777777" w:rsidR="00956B69" w:rsidRPr="00956B69" w:rsidRDefault="00956B69" w:rsidP="00956B69">
            <w:pPr>
              <w:rPr>
                <w:rFonts w:eastAsia="Times New Roman"/>
                <w:sz w:val="16"/>
                <w:szCs w:val="16"/>
              </w:rPr>
            </w:pPr>
            <w:r w:rsidRPr="00956B69">
              <w:rPr>
                <w:rFonts w:eastAsia="Times New Roman"/>
                <w:sz w:val="16"/>
                <w:szCs w:val="16"/>
              </w:rPr>
              <w:t>PSZ</w:t>
            </w:r>
          </w:p>
        </w:tc>
        <w:tc>
          <w:tcPr>
            <w:tcW w:w="8469" w:type="dxa"/>
            <w:vAlign w:val="center"/>
            <w:hideMark/>
          </w:tcPr>
          <w:p w14:paraId="2DFD6DE3" w14:textId="77777777" w:rsidR="00956B69" w:rsidRPr="00956B69" w:rsidRDefault="00956B69" w:rsidP="00956B69">
            <w:pPr>
              <w:rPr>
                <w:rFonts w:eastAsia="Times New Roman"/>
                <w:sz w:val="16"/>
                <w:szCs w:val="16"/>
              </w:rPr>
            </w:pPr>
            <w:r w:rsidRPr="00956B69">
              <w:rPr>
                <w:rFonts w:eastAsia="Times New Roman"/>
                <w:sz w:val="16"/>
                <w:szCs w:val="16"/>
              </w:rPr>
              <w:t>Programi i Statistika Zyrtare</w:t>
            </w:r>
          </w:p>
        </w:tc>
      </w:tr>
      <w:tr w:rsidR="00956B69" w:rsidRPr="00956B69" w14:paraId="2EB4FC54" w14:textId="77777777" w:rsidTr="00956B69">
        <w:tc>
          <w:tcPr>
            <w:tcW w:w="994" w:type="dxa"/>
            <w:hideMark/>
          </w:tcPr>
          <w:p w14:paraId="73E3926B" w14:textId="77777777" w:rsidR="00956B69" w:rsidRPr="00956B69" w:rsidRDefault="00956B69" w:rsidP="00956B69">
            <w:pPr>
              <w:rPr>
                <w:rFonts w:eastAsia="Times New Roman"/>
                <w:sz w:val="16"/>
                <w:szCs w:val="16"/>
              </w:rPr>
            </w:pPr>
            <w:r w:rsidRPr="00956B69">
              <w:rPr>
                <w:rFonts w:eastAsia="Times New Roman"/>
                <w:sz w:val="16"/>
                <w:szCs w:val="16"/>
              </w:rPr>
              <w:t>QSH</w:t>
            </w:r>
          </w:p>
        </w:tc>
        <w:tc>
          <w:tcPr>
            <w:tcW w:w="8469" w:type="dxa"/>
            <w:vAlign w:val="center"/>
            <w:hideMark/>
          </w:tcPr>
          <w:p w14:paraId="7C74FA58" w14:textId="77777777" w:rsidR="00956B69" w:rsidRPr="00956B69" w:rsidRDefault="00956B69" w:rsidP="00956B69">
            <w:pPr>
              <w:rPr>
                <w:rFonts w:eastAsia="Times New Roman"/>
                <w:sz w:val="16"/>
                <w:szCs w:val="16"/>
              </w:rPr>
            </w:pPr>
            <w:r w:rsidRPr="00956B69">
              <w:rPr>
                <w:rFonts w:eastAsia="Times New Roman"/>
                <w:sz w:val="16"/>
                <w:szCs w:val="16"/>
              </w:rPr>
              <w:t>Qeveria e Shqipërisë</w:t>
            </w:r>
          </w:p>
        </w:tc>
      </w:tr>
      <w:tr w:rsidR="00956B69" w:rsidRPr="00956B69" w14:paraId="70B2A088" w14:textId="77777777" w:rsidTr="00956B69">
        <w:tc>
          <w:tcPr>
            <w:tcW w:w="994" w:type="dxa"/>
            <w:hideMark/>
          </w:tcPr>
          <w:p w14:paraId="7040EDD1" w14:textId="77777777" w:rsidR="00956B69" w:rsidRPr="00956B69" w:rsidRDefault="00956B69" w:rsidP="00956B69">
            <w:pPr>
              <w:rPr>
                <w:rFonts w:eastAsia="Times New Roman"/>
                <w:sz w:val="16"/>
                <w:szCs w:val="16"/>
              </w:rPr>
            </w:pPr>
            <w:r w:rsidRPr="00956B69">
              <w:rPr>
                <w:rFonts w:eastAsia="Times New Roman"/>
                <w:sz w:val="16"/>
                <w:szCs w:val="16"/>
              </w:rPr>
              <w:t>RAP</w:t>
            </w:r>
          </w:p>
        </w:tc>
        <w:tc>
          <w:tcPr>
            <w:tcW w:w="8469" w:type="dxa"/>
            <w:vAlign w:val="center"/>
            <w:hideMark/>
          </w:tcPr>
          <w:p w14:paraId="05F059D3" w14:textId="77777777" w:rsidR="00956B69" w:rsidRPr="00956B69" w:rsidRDefault="00956B69" w:rsidP="00956B69">
            <w:pPr>
              <w:rPr>
                <w:rFonts w:eastAsia="Times New Roman"/>
                <w:sz w:val="16"/>
                <w:szCs w:val="16"/>
              </w:rPr>
            </w:pPr>
            <w:r w:rsidRPr="00956B69">
              <w:rPr>
                <w:rFonts w:eastAsia="Times New Roman"/>
                <w:sz w:val="16"/>
                <w:szCs w:val="16"/>
              </w:rPr>
              <w:t>Reforma e Administratës Publike</w:t>
            </w:r>
          </w:p>
        </w:tc>
      </w:tr>
      <w:tr w:rsidR="00956B69" w:rsidRPr="0059094E" w14:paraId="46397524" w14:textId="77777777" w:rsidTr="00956B69">
        <w:tc>
          <w:tcPr>
            <w:tcW w:w="994" w:type="dxa"/>
            <w:hideMark/>
          </w:tcPr>
          <w:p w14:paraId="0FC57A0B" w14:textId="77777777" w:rsidR="00956B69" w:rsidRPr="00956B69" w:rsidRDefault="00956B69" w:rsidP="00956B69">
            <w:pPr>
              <w:rPr>
                <w:rFonts w:eastAsia="Times New Roman"/>
                <w:sz w:val="16"/>
                <w:szCs w:val="16"/>
              </w:rPr>
            </w:pPr>
            <w:r w:rsidRPr="00956B69">
              <w:rPr>
                <w:rFonts w:eastAsia="Times New Roman"/>
                <w:sz w:val="16"/>
                <w:szCs w:val="16"/>
              </w:rPr>
              <w:t>SAA</w:t>
            </w:r>
          </w:p>
        </w:tc>
        <w:tc>
          <w:tcPr>
            <w:tcW w:w="8469" w:type="dxa"/>
            <w:vAlign w:val="center"/>
            <w:hideMark/>
          </w:tcPr>
          <w:p w14:paraId="25E7BC8F" w14:textId="77777777" w:rsidR="00956B69" w:rsidRPr="009D660E" w:rsidRDefault="00956B69" w:rsidP="00956B69">
            <w:pPr>
              <w:rPr>
                <w:rFonts w:eastAsia="Times New Roman"/>
                <w:sz w:val="16"/>
                <w:szCs w:val="16"/>
                <w:lang w:val="it-IT"/>
              </w:rPr>
            </w:pPr>
            <w:r w:rsidRPr="009D660E">
              <w:rPr>
                <w:rFonts w:eastAsia="Times New Roman"/>
                <w:sz w:val="16"/>
                <w:szCs w:val="16"/>
                <w:lang w:val="it-IT"/>
              </w:rPr>
              <w:t>Strategjia Afatmesme e të Ardhurave</w:t>
            </w:r>
          </w:p>
        </w:tc>
      </w:tr>
      <w:tr w:rsidR="00956B69" w:rsidRPr="0059094E" w14:paraId="6EC41018" w14:textId="77777777" w:rsidTr="00956B69">
        <w:tc>
          <w:tcPr>
            <w:tcW w:w="994" w:type="dxa"/>
            <w:hideMark/>
          </w:tcPr>
          <w:p w14:paraId="571426B2" w14:textId="77777777" w:rsidR="00956B69" w:rsidRPr="00956B69" w:rsidRDefault="00956B69" w:rsidP="00956B69">
            <w:pPr>
              <w:rPr>
                <w:rFonts w:eastAsia="Times New Roman"/>
                <w:sz w:val="16"/>
                <w:szCs w:val="16"/>
              </w:rPr>
            </w:pPr>
            <w:r w:rsidRPr="00956B69">
              <w:rPr>
                <w:rFonts w:eastAsia="Times New Roman"/>
                <w:sz w:val="16"/>
                <w:szCs w:val="16"/>
              </w:rPr>
              <w:t>SASPAC</w:t>
            </w:r>
          </w:p>
        </w:tc>
        <w:tc>
          <w:tcPr>
            <w:tcW w:w="8469" w:type="dxa"/>
            <w:vAlign w:val="center"/>
            <w:hideMark/>
          </w:tcPr>
          <w:p w14:paraId="3B1D5148" w14:textId="77777777" w:rsidR="00956B69" w:rsidRPr="009D660E" w:rsidRDefault="00956B69" w:rsidP="00956B69">
            <w:pPr>
              <w:rPr>
                <w:rFonts w:ascii="MingLiU-ExtB" w:eastAsia="MingLiU-ExtB" w:hAnsi="MingLiU-ExtB" w:cs="MingLiU-ExtB"/>
                <w:sz w:val="16"/>
                <w:szCs w:val="16"/>
                <w:lang w:val="it-IT"/>
              </w:rPr>
            </w:pPr>
            <w:r w:rsidRPr="009D660E">
              <w:rPr>
                <w:rFonts w:eastAsia="Times New Roman"/>
                <w:sz w:val="16"/>
                <w:szCs w:val="16"/>
                <w:lang w:val="it-IT"/>
              </w:rPr>
              <w:t>Agjencia Shtetërore e Programimit Strategjik dhe Koordinimit të Ndihmës</w:t>
            </w:r>
          </w:p>
        </w:tc>
      </w:tr>
      <w:tr w:rsidR="00956B69" w:rsidRPr="00956B69" w14:paraId="7BE7C5F6" w14:textId="77777777" w:rsidTr="00956B69">
        <w:tc>
          <w:tcPr>
            <w:tcW w:w="994" w:type="dxa"/>
            <w:hideMark/>
          </w:tcPr>
          <w:p w14:paraId="72AA59DC" w14:textId="77777777" w:rsidR="00956B69" w:rsidRPr="00956B69" w:rsidRDefault="00956B69" w:rsidP="00956B69">
            <w:pPr>
              <w:rPr>
                <w:rFonts w:eastAsia="Times New Roman"/>
                <w:sz w:val="16"/>
                <w:szCs w:val="16"/>
              </w:rPr>
            </w:pPr>
            <w:r w:rsidRPr="00956B69">
              <w:rPr>
                <w:rFonts w:eastAsia="Times New Roman"/>
                <w:sz w:val="16"/>
                <w:szCs w:val="16"/>
              </w:rPr>
              <w:t>SELL</w:t>
            </w:r>
          </w:p>
        </w:tc>
        <w:tc>
          <w:tcPr>
            <w:tcW w:w="8469" w:type="dxa"/>
            <w:vAlign w:val="center"/>
            <w:hideMark/>
          </w:tcPr>
          <w:p w14:paraId="0C46318E" w14:textId="77777777" w:rsidR="00956B69" w:rsidRPr="00956B69" w:rsidRDefault="00956B69" w:rsidP="00956B69">
            <w:pPr>
              <w:rPr>
                <w:rFonts w:eastAsia="Times New Roman"/>
                <w:sz w:val="16"/>
                <w:szCs w:val="16"/>
              </w:rPr>
            </w:pPr>
            <w:r w:rsidRPr="00956B69">
              <w:rPr>
                <w:rFonts w:eastAsia="Times New Roman"/>
                <w:sz w:val="16"/>
                <w:szCs w:val="16"/>
              </w:rPr>
              <w:t>Sistemi Evropian i Llogarive</w:t>
            </w:r>
          </w:p>
        </w:tc>
      </w:tr>
      <w:tr w:rsidR="00956B69" w:rsidRPr="00956B69" w14:paraId="1EDD9DFB" w14:textId="77777777" w:rsidTr="00956B69">
        <w:tc>
          <w:tcPr>
            <w:tcW w:w="994" w:type="dxa"/>
            <w:hideMark/>
          </w:tcPr>
          <w:p w14:paraId="05A2631C" w14:textId="77777777" w:rsidR="00956B69" w:rsidRPr="00956B69" w:rsidRDefault="00956B69" w:rsidP="00956B69">
            <w:pPr>
              <w:rPr>
                <w:rFonts w:eastAsia="Times New Roman"/>
                <w:sz w:val="16"/>
                <w:szCs w:val="16"/>
              </w:rPr>
            </w:pPr>
            <w:r w:rsidRPr="00956B69">
              <w:rPr>
                <w:rFonts w:eastAsia="Times New Roman"/>
                <w:sz w:val="16"/>
                <w:szCs w:val="16"/>
              </w:rPr>
              <w:t>SFQ</w:t>
            </w:r>
          </w:p>
        </w:tc>
        <w:tc>
          <w:tcPr>
            <w:tcW w:w="8469" w:type="dxa"/>
            <w:vAlign w:val="center"/>
            <w:hideMark/>
          </w:tcPr>
          <w:p w14:paraId="41C0DCA6" w14:textId="77777777" w:rsidR="00956B69" w:rsidRPr="00956B69" w:rsidRDefault="00956B69" w:rsidP="00956B69">
            <w:pPr>
              <w:rPr>
                <w:rFonts w:eastAsia="Times New Roman"/>
                <w:sz w:val="16"/>
                <w:szCs w:val="16"/>
              </w:rPr>
            </w:pPr>
            <w:r w:rsidRPr="00956B69">
              <w:rPr>
                <w:rFonts w:eastAsia="Times New Roman"/>
                <w:sz w:val="16"/>
                <w:szCs w:val="16"/>
              </w:rPr>
              <w:t>Statistikat Financiare të Qeverisë</w:t>
            </w:r>
          </w:p>
        </w:tc>
      </w:tr>
      <w:tr w:rsidR="0012109A" w:rsidRPr="0059094E" w14:paraId="1E571ACC" w14:textId="77777777" w:rsidTr="00956B69">
        <w:tc>
          <w:tcPr>
            <w:tcW w:w="994" w:type="dxa"/>
          </w:tcPr>
          <w:p w14:paraId="08CA783E" w14:textId="0EABC048" w:rsidR="0012109A" w:rsidRPr="00956B69" w:rsidRDefault="0012109A" w:rsidP="00956B69">
            <w:pPr>
              <w:rPr>
                <w:rFonts w:eastAsia="Times New Roman"/>
                <w:sz w:val="16"/>
                <w:szCs w:val="16"/>
              </w:rPr>
            </w:pPr>
            <w:r>
              <w:rPr>
                <w:rFonts w:eastAsia="Times New Roman"/>
                <w:sz w:val="16"/>
                <w:szCs w:val="16"/>
              </w:rPr>
              <w:t>SGBP</w:t>
            </w:r>
          </w:p>
        </w:tc>
        <w:tc>
          <w:tcPr>
            <w:tcW w:w="8469" w:type="dxa"/>
            <w:vAlign w:val="center"/>
          </w:tcPr>
          <w:p w14:paraId="5A738F8E" w14:textId="4868557E" w:rsidR="0012109A" w:rsidRPr="009D660E" w:rsidRDefault="0012109A" w:rsidP="00956B69">
            <w:pPr>
              <w:rPr>
                <w:rFonts w:eastAsia="Times New Roman"/>
                <w:sz w:val="16"/>
                <w:szCs w:val="16"/>
                <w:lang w:val="it-IT"/>
              </w:rPr>
            </w:pPr>
            <w:r w:rsidRPr="009D660E">
              <w:rPr>
                <w:rFonts w:eastAsia="Times New Roman"/>
                <w:sz w:val="16"/>
                <w:szCs w:val="16"/>
                <w:lang w:val="it-IT"/>
              </w:rPr>
              <w:t>Skema e Granteve të Bazuara në Performancë</w:t>
            </w:r>
          </w:p>
        </w:tc>
      </w:tr>
      <w:tr w:rsidR="00956B69" w:rsidRPr="00956B69" w14:paraId="5F4F3C38" w14:textId="77777777" w:rsidTr="00956B69">
        <w:tc>
          <w:tcPr>
            <w:tcW w:w="994" w:type="dxa"/>
            <w:hideMark/>
          </w:tcPr>
          <w:p w14:paraId="37025936" w14:textId="77777777" w:rsidR="00956B69" w:rsidRPr="00956B69" w:rsidRDefault="00956B69" w:rsidP="00956B69">
            <w:pPr>
              <w:rPr>
                <w:rFonts w:eastAsia="Times New Roman"/>
                <w:sz w:val="16"/>
                <w:szCs w:val="16"/>
              </w:rPr>
            </w:pPr>
            <w:r w:rsidRPr="00956B69">
              <w:rPr>
                <w:rFonts w:eastAsia="Times New Roman"/>
                <w:sz w:val="16"/>
                <w:szCs w:val="16"/>
              </w:rPr>
              <w:t>SIFQ</w:t>
            </w:r>
          </w:p>
        </w:tc>
        <w:tc>
          <w:tcPr>
            <w:tcW w:w="8469" w:type="dxa"/>
            <w:vAlign w:val="center"/>
            <w:hideMark/>
          </w:tcPr>
          <w:p w14:paraId="70253AD7" w14:textId="77777777" w:rsidR="00956B69" w:rsidRPr="00956B69" w:rsidRDefault="00956B69" w:rsidP="00956B69">
            <w:pPr>
              <w:rPr>
                <w:rFonts w:eastAsia="Times New Roman"/>
                <w:sz w:val="16"/>
                <w:szCs w:val="16"/>
              </w:rPr>
            </w:pPr>
            <w:r w:rsidRPr="00956B69">
              <w:rPr>
                <w:rFonts w:eastAsia="Times New Roman"/>
                <w:sz w:val="16"/>
                <w:szCs w:val="16"/>
              </w:rPr>
              <w:t>Sistemi Informativ Financiar Qeveritar</w:t>
            </w:r>
          </w:p>
        </w:tc>
      </w:tr>
      <w:tr w:rsidR="00696B2B" w:rsidRPr="0059094E" w14:paraId="477185AD" w14:textId="77777777" w:rsidTr="00956B69">
        <w:tc>
          <w:tcPr>
            <w:tcW w:w="994" w:type="dxa"/>
          </w:tcPr>
          <w:p w14:paraId="476E0449" w14:textId="69221FED" w:rsidR="00696B2B" w:rsidRPr="00956B69" w:rsidRDefault="00696B2B" w:rsidP="00956B69">
            <w:pPr>
              <w:rPr>
                <w:rFonts w:eastAsia="Times New Roman"/>
                <w:sz w:val="16"/>
                <w:szCs w:val="16"/>
              </w:rPr>
            </w:pPr>
            <w:r>
              <w:rPr>
                <w:rFonts w:eastAsia="Times New Roman"/>
                <w:sz w:val="16"/>
                <w:szCs w:val="16"/>
              </w:rPr>
              <w:t>SIFK</w:t>
            </w:r>
          </w:p>
        </w:tc>
        <w:tc>
          <w:tcPr>
            <w:tcW w:w="8469" w:type="dxa"/>
            <w:vAlign w:val="center"/>
          </w:tcPr>
          <w:p w14:paraId="62A74E3E" w14:textId="0762E18C" w:rsidR="00696B2B" w:rsidRPr="009D660E" w:rsidRDefault="00696B2B" w:rsidP="00956B69">
            <w:pPr>
              <w:rPr>
                <w:rFonts w:eastAsia="Times New Roman"/>
                <w:sz w:val="16"/>
                <w:szCs w:val="16"/>
                <w:lang w:val="it-IT"/>
              </w:rPr>
            </w:pPr>
            <w:r w:rsidRPr="009D660E">
              <w:rPr>
                <w:rFonts w:eastAsia="Times New Roman"/>
                <w:sz w:val="16"/>
                <w:szCs w:val="16"/>
                <w:lang w:val="it-IT"/>
              </w:rPr>
              <w:t>Sistemi Informativ i Kadastrës Fiskale</w:t>
            </w:r>
          </w:p>
        </w:tc>
      </w:tr>
      <w:tr w:rsidR="00956B69" w:rsidRPr="00956B69" w14:paraId="1A1FEB11" w14:textId="77777777" w:rsidTr="00956B69">
        <w:tc>
          <w:tcPr>
            <w:tcW w:w="994" w:type="dxa"/>
            <w:hideMark/>
          </w:tcPr>
          <w:p w14:paraId="7DC622C1" w14:textId="77777777" w:rsidR="00956B69" w:rsidRPr="00956B69" w:rsidRDefault="00956B69" w:rsidP="00956B69">
            <w:pPr>
              <w:rPr>
                <w:rFonts w:eastAsia="Times New Roman"/>
                <w:sz w:val="16"/>
                <w:szCs w:val="16"/>
              </w:rPr>
            </w:pPr>
            <w:r w:rsidRPr="00956B69">
              <w:rPr>
                <w:rFonts w:eastAsia="Times New Roman"/>
                <w:sz w:val="16"/>
                <w:szCs w:val="16"/>
              </w:rPr>
              <w:t>SIMAJ</w:t>
            </w:r>
          </w:p>
        </w:tc>
        <w:tc>
          <w:tcPr>
            <w:tcW w:w="8469" w:type="dxa"/>
            <w:vAlign w:val="center"/>
            <w:hideMark/>
          </w:tcPr>
          <w:p w14:paraId="35305454" w14:textId="77777777" w:rsidR="00956B69" w:rsidRPr="00956B69" w:rsidRDefault="00956B69" w:rsidP="00956B69">
            <w:pPr>
              <w:rPr>
                <w:rFonts w:eastAsia="Times New Roman"/>
                <w:sz w:val="16"/>
                <w:szCs w:val="16"/>
              </w:rPr>
            </w:pPr>
            <w:r w:rsidRPr="00956B69">
              <w:rPr>
                <w:rFonts w:eastAsia="Times New Roman"/>
                <w:sz w:val="16"/>
                <w:szCs w:val="16"/>
              </w:rPr>
              <w:t>Sistemi Informatik i Menaxhimit të Asistencës së Jashtme</w:t>
            </w:r>
          </w:p>
        </w:tc>
      </w:tr>
      <w:tr w:rsidR="00887F79" w:rsidRPr="0059094E" w14:paraId="5877827F" w14:textId="77777777" w:rsidTr="00956B69">
        <w:tc>
          <w:tcPr>
            <w:tcW w:w="994" w:type="dxa"/>
          </w:tcPr>
          <w:p w14:paraId="7CFDC3F5" w14:textId="7BD62E54" w:rsidR="00887F79" w:rsidRPr="00956B69" w:rsidRDefault="00887F79" w:rsidP="00956B69">
            <w:pPr>
              <w:rPr>
                <w:rFonts w:eastAsia="Times New Roman"/>
                <w:sz w:val="16"/>
                <w:szCs w:val="16"/>
              </w:rPr>
            </w:pPr>
            <w:r>
              <w:rPr>
                <w:rFonts w:eastAsia="Times New Roman"/>
                <w:sz w:val="16"/>
                <w:szCs w:val="16"/>
              </w:rPr>
              <w:t>SIMBNJ</w:t>
            </w:r>
          </w:p>
        </w:tc>
        <w:tc>
          <w:tcPr>
            <w:tcW w:w="8469" w:type="dxa"/>
            <w:vAlign w:val="center"/>
          </w:tcPr>
          <w:p w14:paraId="2E539B3F" w14:textId="4897E9AE" w:rsidR="00887F79" w:rsidRPr="009D660E" w:rsidRDefault="00887F79" w:rsidP="00956B69">
            <w:pPr>
              <w:rPr>
                <w:rFonts w:eastAsia="Times New Roman"/>
                <w:sz w:val="16"/>
                <w:szCs w:val="16"/>
                <w:lang w:val="it-IT"/>
              </w:rPr>
            </w:pPr>
            <w:r w:rsidRPr="009D660E">
              <w:rPr>
                <w:rFonts w:eastAsia="Times New Roman"/>
                <w:sz w:val="16"/>
                <w:szCs w:val="16"/>
                <w:lang w:val="it-IT"/>
              </w:rPr>
              <w:t>Sistemi i</w:t>
            </w:r>
            <w:r w:rsidR="007B4D44" w:rsidRPr="009D660E">
              <w:rPr>
                <w:rFonts w:eastAsia="Times New Roman"/>
                <w:sz w:val="16"/>
                <w:szCs w:val="16"/>
                <w:lang w:val="it-IT"/>
              </w:rPr>
              <w:t xml:space="preserve"> Informativ i</w:t>
            </w:r>
            <w:r w:rsidRPr="009D660E">
              <w:rPr>
                <w:rFonts w:eastAsia="Times New Roman"/>
                <w:sz w:val="16"/>
                <w:szCs w:val="16"/>
                <w:lang w:val="it-IT"/>
              </w:rPr>
              <w:t xml:space="preserve"> Menaxhimit të Burimeve Njerëzore</w:t>
            </w:r>
          </w:p>
        </w:tc>
      </w:tr>
      <w:tr w:rsidR="00956B69" w:rsidRPr="0059094E" w14:paraId="61BE403C" w14:textId="77777777" w:rsidTr="00956B69">
        <w:tc>
          <w:tcPr>
            <w:tcW w:w="994" w:type="dxa"/>
            <w:hideMark/>
          </w:tcPr>
          <w:p w14:paraId="5589A8C4" w14:textId="77777777" w:rsidR="00956B69" w:rsidRPr="00956B69" w:rsidRDefault="00956B69" w:rsidP="00956B69">
            <w:pPr>
              <w:rPr>
                <w:rFonts w:eastAsia="Times New Roman"/>
                <w:sz w:val="16"/>
                <w:szCs w:val="16"/>
              </w:rPr>
            </w:pPr>
            <w:r w:rsidRPr="00956B69">
              <w:rPr>
                <w:rFonts w:eastAsia="Times New Roman"/>
                <w:sz w:val="16"/>
                <w:szCs w:val="16"/>
              </w:rPr>
              <w:t>SIMFSH</w:t>
            </w:r>
          </w:p>
        </w:tc>
        <w:tc>
          <w:tcPr>
            <w:tcW w:w="8469" w:type="dxa"/>
            <w:vAlign w:val="center"/>
            <w:hideMark/>
          </w:tcPr>
          <w:p w14:paraId="1D1C4CE2" w14:textId="77777777" w:rsidR="00956B69" w:rsidRPr="009D660E" w:rsidRDefault="00956B69" w:rsidP="00956B69">
            <w:pPr>
              <w:rPr>
                <w:rFonts w:eastAsia="Times New Roman"/>
                <w:sz w:val="16"/>
                <w:szCs w:val="16"/>
                <w:lang w:val="it-IT"/>
              </w:rPr>
            </w:pPr>
            <w:r w:rsidRPr="009D660E">
              <w:rPr>
                <w:rFonts w:eastAsia="Times New Roman"/>
                <w:sz w:val="16"/>
                <w:szCs w:val="16"/>
                <w:lang w:val="it-IT"/>
              </w:rPr>
              <w:t>Sistemi Informativ i Menaxhimit Financiar Shqiptar</w:t>
            </w:r>
          </w:p>
        </w:tc>
      </w:tr>
      <w:tr w:rsidR="00ED495B" w:rsidRPr="0059094E" w14:paraId="690C4C6D" w14:textId="77777777" w:rsidTr="00956B69">
        <w:tc>
          <w:tcPr>
            <w:tcW w:w="994" w:type="dxa"/>
          </w:tcPr>
          <w:p w14:paraId="7B952071" w14:textId="17DCEB6F" w:rsidR="00ED495B" w:rsidRPr="00956B69" w:rsidRDefault="00ED495B" w:rsidP="00956B69">
            <w:pPr>
              <w:rPr>
                <w:rFonts w:eastAsia="Times New Roman"/>
                <w:sz w:val="16"/>
                <w:szCs w:val="16"/>
              </w:rPr>
            </w:pPr>
            <w:r>
              <w:rPr>
                <w:rFonts w:eastAsia="Times New Roman"/>
                <w:sz w:val="16"/>
                <w:szCs w:val="16"/>
              </w:rPr>
              <w:t>SIMT</w:t>
            </w:r>
          </w:p>
        </w:tc>
        <w:tc>
          <w:tcPr>
            <w:tcW w:w="8469" w:type="dxa"/>
            <w:vAlign w:val="center"/>
          </w:tcPr>
          <w:p w14:paraId="230A9BEB" w14:textId="478C7C45" w:rsidR="00ED495B" w:rsidRPr="009D660E" w:rsidRDefault="00ED495B" w:rsidP="00ED495B">
            <w:pPr>
              <w:rPr>
                <w:rFonts w:eastAsia="Times New Roman"/>
                <w:sz w:val="16"/>
                <w:szCs w:val="16"/>
                <w:lang w:val="it-IT"/>
              </w:rPr>
            </w:pPr>
            <w:r w:rsidRPr="009D660E">
              <w:rPr>
                <w:rFonts w:eastAsia="Times New Roman"/>
                <w:sz w:val="16"/>
                <w:szCs w:val="16"/>
                <w:lang w:val="it-IT"/>
              </w:rPr>
              <w:t>Sistemi i Integruar e Menaxhimit të Tarifave</w:t>
            </w:r>
          </w:p>
        </w:tc>
      </w:tr>
      <w:tr w:rsidR="00956B69" w:rsidRPr="00956B69" w14:paraId="08B5C1FC" w14:textId="77777777" w:rsidTr="00956B69">
        <w:tc>
          <w:tcPr>
            <w:tcW w:w="994" w:type="dxa"/>
            <w:hideMark/>
          </w:tcPr>
          <w:p w14:paraId="5AB3183C" w14:textId="77777777" w:rsidR="00956B69" w:rsidRPr="00956B69" w:rsidRDefault="00956B69" w:rsidP="00956B69">
            <w:pPr>
              <w:rPr>
                <w:rFonts w:eastAsia="Times New Roman"/>
                <w:sz w:val="16"/>
                <w:szCs w:val="16"/>
              </w:rPr>
            </w:pPr>
            <w:r w:rsidRPr="00956B69">
              <w:rPr>
                <w:rFonts w:eastAsia="Times New Roman"/>
                <w:sz w:val="16"/>
                <w:szCs w:val="16"/>
              </w:rPr>
              <w:t>SKZHIE</w:t>
            </w:r>
          </w:p>
        </w:tc>
        <w:tc>
          <w:tcPr>
            <w:tcW w:w="8469" w:type="dxa"/>
            <w:vAlign w:val="center"/>
            <w:hideMark/>
          </w:tcPr>
          <w:p w14:paraId="23B598DB" w14:textId="77777777" w:rsidR="00956B69" w:rsidRPr="00956B69" w:rsidRDefault="00956B69" w:rsidP="00956B69">
            <w:pPr>
              <w:rPr>
                <w:rFonts w:eastAsia="Times New Roman"/>
                <w:sz w:val="16"/>
                <w:szCs w:val="16"/>
              </w:rPr>
            </w:pPr>
            <w:r w:rsidRPr="00956B69">
              <w:rPr>
                <w:rFonts w:eastAsia="Times New Roman"/>
                <w:sz w:val="16"/>
                <w:szCs w:val="16"/>
              </w:rPr>
              <w:t>Strategjia Kombëtare për Zhvillim dhe Integrim Evropian</w:t>
            </w:r>
          </w:p>
        </w:tc>
      </w:tr>
      <w:tr w:rsidR="004B6998" w:rsidRPr="00956B69" w14:paraId="4994C4A2" w14:textId="77777777" w:rsidTr="00956B69">
        <w:tc>
          <w:tcPr>
            <w:tcW w:w="994" w:type="dxa"/>
          </w:tcPr>
          <w:p w14:paraId="12118305" w14:textId="659DB222" w:rsidR="004B6998" w:rsidRPr="00956B69" w:rsidRDefault="004B6998" w:rsidP="004B6998">
            <w:pPr>
              <w:rPr>
                <w:rFonts w:eastAsia="Times New Roman"/>
                <w:sz w:val="16"/>
                <w:szCs w:val="16"/>
              </w:rPr>
            </w:pPr>
            <w:r w:rsidRPr="00956B69">
              <w:rPr>
                <w:rFonts w:eastAsia="Times New Roman"/>
                <w:sz w:val="16"/>
                <w:szCs w:val="16"/>
              </w:rPr>
              <w:t>SMB</w:t>
            </w:r>
          </w:p>
        </w:tc>
        <w:tc>
          <w:tcPr>
            <w:tcW w:w="8469" w:type="dxa"/>
            <w:vAlign w:val="center"/>
          </w:tcPr>
          <w:p w14:paraId="44DC1169" w14:textId="6DC7A674" w:rsidR="004B6998" w:rsidRPr="00956B69" w:rsidRDefault="004B6998" w:rsidP="004B6998">
            <w:pPr>
              <w:rPr>
                <w:rFonts w:eastAsia="Times New Roman"/>
                <w:sz w:val="16"/>
                <w:szCs w:val="16"/>
              </w:rPr>
            </w:pPr>
            <w:r w:rsidRPr="00956B69">
              <w:rPr>
                <w:rFonts w:eastAsia="Times New Roman"/>
                <w:sz w:val="16"/>
                <w:szCs w:val="16"/>
              </w:rPr>
              <w:t>Strategjia e Menaxhimit të Borxhit</w:t>
            </w:r>
          </w:p>
        </w:tc>
      </w:tr>
      <w:tr w:rsidR="004B6998" w:rsidRPr="0059094E" w14:paraId="1180A229" w14:textId="77777777" w:rsidTr="00956B69">
        <w:tc>
          <w:tcPr>
            <w:tcW w:w="994" w:type="dxa"/>
            <w:hideMark/>
          </w:tcPr>
          <w:p w14:paraId="3FDF8B68" w14:textId="77777777" w:rsidR="004B6998" w:rsidRPr="00956B69" w:rsidRDefault="004B6998" w:rsidP="004B6998">
            <w:pPr>
              <w:rPr>
                <w:rFonts w:eastAsia="Times New Roman"/>
                <w:sz w:val="16"/>
                <w:szCs w:val="16"/>
              </w:rPr>
            </w:pPr>
            <w:r w:rsidRPr="00956B69">
              <w:rPr>
                <w:rFonts w:eastAsia="Times New Roman"/>
                <w:sz w:val="16"/>
                <w:szCs w:val="16"/>
              </w:rPr>
              <w:t>SMBV</w:t>
            </w:r>
          </w:p>
        </w:tc>
        <w:tc>
          <w:tcPr>
            <w:tcW w:w="8469" w:type="dxa"/>
            <w:vAlign w:val="center"/>
            <w:hideMark/>
          </w:tcPr>
          <w:p w14:paraId="7DF3EAB8" w14:textId="77777777" w:rsidR="004B6998" w:rsidRPr="009D660E" w:rsidRDefault="004B6998" w:rsidP="004B6998">
            <w:pPr>
              <w:rPr>
                <w:rFonts w:eastAsia="Times New Roman"/>
                <w:sz w:val="16"/>
                <w:szCs w:val="16"/>
                <w:lang w:val="it-IT"/>
              </w:rPr>
            </w:pPr>
            <w:r w:rsidRPr="009D660E">
              <w:rPr>
                <w:rFonts w:eastAsia="Times New Roman"/>
                <w:sz w:val="16"/>
                <w:szCs w:val="16"/>
                <w:lang w:val="it-IT"/>
              </w:rPr>
              <w:t>Sistemi i Menaxhimit të Buxhetit Vendor</w:t>
            </w:r>
          </w:p>
        </w:tc>
      </w:tr>
      <w:tr w:rsidR="004B6998" w:rsidRPr="00956B69" w14:paraId="28BD2C1A" w14:textId="77777777" w:rsidTr="00956B69">
        <w:tc>
          <w:tcPr>
            <w:tcW w:w="994" w:type="dxa"/>
            <w:hideMark/>
          </w:tcPr>
          <w:p w14:paraId="0ED9C88D" w14:textId="77777777" w:rsidR="004B6998" w:rsidRPr="00956B69" w:rsidRDefault="004B6998" w:rsidP="004B6998">
            <w:pPr>
              <w:rPr>
                <w:rFonts w:eastAsia="Times New Roman"/>
                <w:sz w:val="16"/>
                <w:szCs w:val="16"/>
              </w:rPr>
            </w:pPr>
            <w:r w:rsidRPr="00956B69">
              <w:rPr>
                <w:rFonts w:eastAsia="Times New Roman"/>
                <w:sz w:val="16"/>
                <w:szCs w:val="16"/>
              </w:rPr>
              <w:t>SNKSP</w:t>
            </w:r>
          </w:p>
        </w:tc>
        <w:tc>
          <w:tcPr>
            <w:tcW w:w="8469" w:type="dxa"/>
            <w:vAlign w:val="center"/>
            <w:hideMark/>
          </w:tcPr>
          <w:p w14:paraId="53EF91E7" w14:textId="77777777" w:rsidR="004B6998" w:rsidRPr="00956B69" w:rsidRDefault="004B6998" w:rsidP="004B6998">
            <w:pPr>
              <w:rPr>
                <w:rFonts w:eastAsia="Times New Roman"/>
                <w:sz w:val="16"/>
                <w:szCs w:val="16"/>
              </w:rPr>
            </w:pPr>
            <w:r w:rsidRPr="00956B69">
              <w:rPr>
                <w:rFonts w:eastAsia="Times New Roman"/>
                <w:sz w:val="16"/>
                <w:szCs w:val="16"/>
              </w:rPr>
              <w:t>Standardet Ndërkombëtare të Kontabilitetit në Sektorin Publik</w:t>
            </w:r>
          </w:p>
        </w:tc>
      </w:tr>
      <w:tr w:rsidR="004B6998" w:rsidRPr="0059094E" w14:paraId="0DB33757" w14:textId="77777777" w:rsidTr="00956B69">
        <w:tc>
          <w:tcPr>
            <w:tcW w:w="994" w:type="dxa"/>
            <w:hideMark/>
          </w:tcPr>
          <w:p w14:paraId="7C51AB79" w14:textId="77777777" w:rsidR="004B6998" w:rsidRPr="00956B69" w:rsidRDefault="004B6998" w:rsidP="004B6998">
            <w:pPr>
              <w:rPr>
                <w:rFonts w:eastAsia="Times New Roman"/>
                <w:sz w:val="16"/>
                <w:szCs w:val="16"/>
              </w:rPr>
            </w:pPr>
            <w:r w:rsidRPr="00956B69">
              <w:rPr>
                <w:rFonts w:eastAsia="Times New Roman"/>
                <w:sz w:val="16"/>
                <w:szCs w:val="16"/>
              </w:rPr>
              <w:t>SIPI/IPSIS</w:t>
            </w:r>
          </w:p>
        </w:tc>
        <w:tc>
          <w:tcPr>
            <w:tcW w:w="8469" w:type="dxa"/>
            <w:vAlign w:val="center"/>
            <w:hideMark/>
          </w:tcPr>
          <w:p w14:paraId="642C2C7A" w14:textId="77777777" w:rsidR="004B6998" w:rsidRPr="009D660E" w:rsidRDefault="004B6998" w:rsidP="004B6998">
            <w:pPr>
              <w:rPr>
                <w:rFonts w:eastAsia="Times New Roman"/>
                <w:sz w:val="16"/>
                <w:szCs w:val="16"/>
                <w:lang w:val="it-IT"/>
              </w:rPr>
            </w:pPr>
            <w:r w:rsidRPr="009D660E">
              <w:rPr>
                <w:rFonts w:eastAsia="Times New Roman"/>
                <w:sz w:val="16"/>
                <w:szCs w:val="16"/>
                <w:lang w:val="it-IT"/>
              </w:rPr>
              <w:t>Sistemi Informatik i Planifikimit të Integruar</w:t>
            </w:r>
          </w:p>
        </w:tc>
      </w:tr>
      <w:tr w:rsidR="004B6998" w:rsidRPr="00956B69" w14:paraId="26311E88" w14:textId="77777777" w:rsidTr="00956B69">
        <w:tc>
          <w:tcPr>
            <w:tcW w:w="994" w:type="dxa"/>
            <w:hideMark/>
          </w:tcPr>
          <w:p w14:paraId="2F5EB11D" w14:textId="77777777" w:rsidR="004B6998" w:rsidRPr="00956B69" w:rsidRDefault="004B6998" w:rsidP="004B6998">
            <w:pPr>
              <w:rPr>
                <w:rFonts w:eastAsia="Times New Roman"/>
                <w:sz w:val="16"/>
                <w:szCs w:val="16"/>
              </w:rPr>
            </w:pPr>
            <w:r w:rsidRPr="00956B69">
              <w:rPr>
                <w:rFonts w:eastAsia="Times New Roman"/>
                <w:sz w:val="16"/>
                <w:szCs w:val="16"/>
              </w:rPr>
              <w:t>SKS</w:t>
            </w:r>
          </w:p>
        </w:tc>
        <w:tc>
          <w:tcPr>
            <w:tcW w:w="8469" w:type="dxa"/>
            <w:vAlign w:val="center"/>
            <w:hideMark/>
          </w:tcPr>
          <w:p w14:paraId="5EBD7B54" w14:textId="77777777" w:rsidR="004B6998" w:rsidRPr="00956B69" w:rsidRDefault="004B6998" w:rsidP="004B6998">
            <w:pPr>
              <w:rPr>
                <w:rFonts w:eastAsia="Times New Roman"/>
                <w:sz w:val="16"/>
                <w:szCs w:val="16"/>
              </w:rPr>
            </w:pPr>
            <w:r w:rsidRPr="00956B69">
              <w:rPr>
                <w:rFonts w:eastAsia="Times New Roman"/>
                <w:sz w:val="16"/>
                <w:szCs w:val="16"/>
              </w:rPr>
              <w:t>Sistemi Kombëtar Statistikor</w:t>
            </w:r>
          </w:p>
        </w:tc>
      </w:tr>
      <w:tr w:rsidR="004B6998" w:rsidRPr="00956B69" w14:paraId="012EC6DF" w14:textId="77777777" w:rsidTr="00956B69">
        <w:tc>
          <w:tcPr>
            <w:tcW w:w="994" w:type="dxa"/>
          </w:tcPr>
          <w:p w14:paraId="1B4A5EE8" w14:textId="7A9013D4" w:rsidR="004B6998" w:rsidRPr="00956B69" w:rsidRDefault="004B6998" w:rsidP="004B6998">
            <w:pPr>
              <w:rPr>
                <w:rFonts w:eastAsia="Times New Roman"/>
                <w:sz w:val="16"/>
                <w:szCs w:val="16"/>
              </w:rPr>
            </w:pPr>
            <w:r>
              <w:rPr>
                <w:rFonts w:eastAsia="Times New Roman"/>
                <w:sz w:val="16"/>
                <w:szCs w:val="16"/>
              </w:rPr>
              <w:t>SPE</w:t>
            </w:r>
          </w:p>
        </w:tc>
        <w:tc>
          <w:tcPr>
            <w:tcW w:w="8469" w:type="dxa"/>
            <w:vAlign w:val="center"/>
          </w:tcPr>
          <w:p w14:paraId="0F27B3F0" w14:textId="7E811011" w:rsidR="004B6998" w:rsidRPr="00956B69" w:rsidRDefault="004B6998" w:rsidP="004B6998">
            <w:pPr>
              <w:rPr>
                <w:rFonts w:eastAsia="Times New Roman"/>
                <w:sz w:val="16"/>
                <w:szCs w:val="16"/>
              </w:rPr>
            </w:pPr>
            <w:r>
              <w:rPr>
                <w:rFonts w:eastAsia="Times New Roman"/>
                <w:sz w:val="16"/>
                <w:szCs w:val="16"/>
              </w:rPr>
              <w:t>Sistemi i Prokurimit Elektronik</w:t>
            </w:r>
          </w:p>
        </w:tc>
      </w:tr>
      <w:tr w:rsidR="004B6998" w:rsidRPr="0059094E" w14:paraId="6D5B7E25" w14:textId="77777777" w:rsidTr="00956B69">
        <w:tc>
          <w:tcPr>
            <w:tcW w:w="994" w:type="dxa"/>
            <w:hideMark/>
          </w:tcPr>
          <w:p w14:paraId="456D1927" w14:textId="77777777" w:rsidR="004B6998" w:rsidRPr="00956B69" w:rsidRDefault="004B6998" w:rsidP="004B6998">
            <w:pPr>
              <w:rPr>
                <w:rFonts w:eastAsia="Times New Roman"/>
                <w:sz w:val="16"/>
                <w:szCs w:val="16"/>
              </w:rPr>
            </w:pPr>
            <w:r w:rsidRPr="00956B69">
              <w:rPr>
                <w:rFonts w:eastAsia="Times New Roman"/>
                <w:sz w:val="16"/>
                <w:szCs w:val="16"/>
              </w:rPr>
              <w:t>SPI</w:t>
            </w:r>
          </w:p>
        </w:tc>
        <w:tc>
          <w:tcPr>
            <w:tcW w:w="8469" w:type="dxa"/>
            <w:vAlign w:val="center"/>
            <w:hideMark/>
          </w:tcPr>
          <w:p w14:paraId="056ACD88" w14:textId="77777777" w:rsidR="004B6998" w:rsidRPr="009D660E" w:rsidRDefault="004B6998" w:rsidP="004B6998">
            <w:pPr>
              <w:rPr>
                <w:rFonts w:eastAsia="Times New Roman"/>
                <w:sz w:val="16"/>
                <w:szCs w:val="16"/>
                <w:lang w:val="it-IT"/>
              </w:rPr>
            </w:pPr>
            <w:r w:rsidRPr="009D660E">
              <w:rPr>
                <w:rFonts w:eastAsia="Times New Roman"/>
                <w:sz w:val="16"/>
                <w:szCs w:val="16"/>
                <w:lang w:val="it-IT"/>
              </w:rPr>
              <w:t>Sistemi i Planifikimit të Integruar</w:t>
            </w:r>
          </w:p>
        </w:tc>
      </w:tr>
      <w:tr w:rsidR="004B6998" w:rsidRPr="0059094E" w14:paraId="2F46A311" w14:textId="77777777" w:rsidTr="00956B69">
        <w:tc>
          <w:tcPr>
            <w:tcW w:w="994" w:type="dxa"/>
          </w:tcPr>
          <w:p w14:paraId="0695327A" w14:textId="43EA8111" w:rsidR="004B6998" w:rsidRPr="00956B69" w:rsidRDefault="004B6998" w:rsidP="004B6998">
            <w:pPr>
              <w:rPr>
                <w:rFonts w:eastAsia="Times New Roman"/>
                <w:sz w:val="16"/>
                <w:szCs w:val="16"/>
              </w:rPr>
            </w:pPr>
            <w:r>
              <w:rPr>
                <w:rFonts w:eastAsia="Times New Roman"/>
                <w:sz w:val="16"/>
                <w:szCs w:val="16"/>
              </w:rPr>
              <w:t>SRKT</w:t>
            </w:r>
          </w:p>
        </w:tc>
        <w:tc>
          <w:tcPr>
            <w:tcW w:w="8469" w:type="dxa"/>
            <w:vAlign w:val="center"/>
          </w:tcPr>
          <w:p w14:paraId="24BE3010" w14:textId="1666445E" w:rsidR="004B6998" w:rsidRPr="009D660E" w:rsidRDefault="004B6998" w:rsidP="004B6998">
            <w:pPr>
              <w:rPr>
                <w:rFonts w:eastAsia="Times New Roman"/>
                <w:sz w:val="16"/>
                <w:szCs w:val="16"/>
                <w:lang w:val="it-IT"/>
              </w:rPr>
            </w:pPr>
            <w:r w:rsidRPr="009D660E">
              <w:rPr>
                <w:rFonts w:eastAsia="Times New Roman"/>
                <w:sz w:val="16"/>
                <w:szCs w:val="16"/>
                <w:lang w:val="it-IT"/>
              </w:rPr>
              <w:t>Sistemi i Ri i Kompjuterizuar i Transitit</w:t>
            </w:r>
          </w:p>
        </w:tc>
      </w:tr>
      <w:tr w:rsidR="004B6998" w:rsidRPr="0059094E" w14:paraId="4FCEFE8E" w14:textId="77777777" w:rsidTr="00956B69">
        <w:tc>
          <w:tcPr>
            <w:tcW w:w="994" w:type="dxa"/>
          </w:tcPr>
          <w:p w14:paraId="781F13C9" w14:textId="53087270" w:rsidR="004B6998" w:rsidRDefault="004B6998" w:rsidP="004B6998">
            <w:pPr>
              <w:rPr>
                <w:rFonts w:eastAsia="Times New Roman"/>
                <w:sz w:val="16"/>
                <w:szCs w:val="16"/>
              </w:rPr>
            </w:pPr>
            <w:r>
              <w:rPr>
                <w:rFonts w:eastAsia="Times New Roman"/>
                <w:sz w:val="16"/>
                <w:szCs w:val="16"/>
              </w:rPr>
              <w:t>TEMF</w:t>
            </w:r>
          </w:p>
        </w:tc>
        <w:tc>
          <w:tcPr>
            <w:tcW w:w="8469" w:type="dxa"/>
            <w:vAlign w:val="center"/>
          </w:tcPr>
          <w:p w14:paraId="5B470D1D" w14:textId="53F3D8B2" w:rsidR="004B6998" w:rsidRPr="009D660E" w:rsidRDefault="004B6998" w:rsidP="004B6998">
            <w:pPr>
              <w:rPr>
                <w:rFonts w:eastAsia="Times New Roman"/>
                <w:sz w:val="16"/>
                <w:szCs w:val="16"/>
                <w:lang w:val="it-IT"/>
              </w:rPr>
            </w:pPr>
            <w:r w:rsidRPr="009D660E">
              <w:rPr>
                <w:rFonts w:eastAsia="Times New Roman"/>
                <w:sz w:val="16"/>
                <w:szCs w:val="16"/>
                <w:lang w:val="it-IT"/>
              </w:rPr>
              <w:t>Tender Ekonomikisht Më i Favorshëm</w:t>
            </w:r>
          </w:p>
        </w:tc>
      </w:tr>
      <w:tr w:rsidR="004B6998" w:rsidRPr="00956B69" w14:paraId="547BC66F" w14:textId="77777777" w:rsidTr="00956B69">
        <w:tc>
          <w:tcPr>
            <w:tcW w:w="994" w:type="dxa"/>
            <w:hideMark/>
          </w:tcPr>
          <w:p w14:paraId="6A0343EE" w14:textId="77777777" w:rsidR="004B6998" w:rsidRPr="00956B69" w:rsidRDefault="004B6998" w:rsidP="004B6998">
            <w:pPr>
              <w:rPr>
                <w:rFonts w:eastAsia="Times New Roman"/>
                <w:sz w:val="16"/>
                <w:szCs w:val="16"/>
              </w:rPr>
            </w:pPr>
            <w:r w:rsidRPr="00956B69">
              <w:rPr>
                <w:rFonts w:eastAsia="Times New Roman"/>
                <w:sz w:val="16"/>
                <w:szCs w:val="16"/>
              </w:rPr>
              <w:t>TI</w:t>
            </w:r>
          </w:p>
        </w:tc>
        <w:tc>
          <w:tcPr>
            <w:tcW w:w="8469" w:type="dxa"/>
            <w:vAlign w:val="center"/>
            <w:hideMark/>
          </w:tcPr>
          <w:p w14:paraId="1A51F048" w14:textId="77777777" w:rsidR="004B6998" w:rsidRPr="00956B69" w:rsidRDefault="004B6998" w:rsidP="004B6998">
            <w:pPr>
              <w:rPr>
                <w:rFonts w:eastAsia="Times New Roman"/>
                <w:sz w:val="16"/>
                <w:szCs w:val="16"/>
              </w:rPr>
            </w:pPr>
            <w:r w:rsidRPr="00956B69">
              <w:rPr>
                <w:rFonts w:eastAsia="Times New Roman"/>
                <w:sz w:val="16"/>
                <w:szCs w:val="16"/>
              </w:rPr>
              <w:t>Teknologjia e Informacionit</w:t>
            </w:r>
          </w:p>
        </w:tc>
      </w:tr>
      <w:tr w:rsidR="004B6998" w:rsidRPr="00956B69" w14:paraId="3F8EAB77" w14:textId="77777777" w:rsidTr="00956B69">
        <w:tc>
          <w:tcPr>
            <w:tcW w:w="994" w:type="dxa"/>
          </w:tcPr>
          <w:p w14:paraId="463AA2FA" w14:textId="5F54C048" w:rsidR="004B6998" w:rsidRPr="00956B69" w:rsidRDefault="004B6998" w:rsidP="004B6998">
            <w:pPr>
              <w:rPr>
                <w:rFonts w:eastAsia="Times New Roman"/>
                <w:sz w:val="16"/>
                <w:szCs w:val="16"/>
              </w:rPr>
            </w:pPr>
            <w:r>
              <w:rPr>
                <w:rFonts w:eastAsia="Times New Roman"/>
                <w:sz w:val="16"/>
                <w:szCs w:val="16"/>
              </w:rPr>
              <w:t>TKP</w:t>
            </w:r>
          </w:p>
        </w:tc>
        <w:tc>
          <w:tcPr>
            <w:tcW w:w="8469" w:type="dxa"/>
            <w:vAlign w:val="center"/>
          </w:tcPr>
          <w:p w14:paraId="528B281C" w14:textId="2647AD72" w:rsidR="004B6998" w:rsidRPr="00956B69" w:rsidRDefault="004B6998" w:rsidP="004B6998">
            <w:pPr>
              <w:rPr>
                <w:rFonts w:eastAsia="Times New Roman"/>
                <w:sz w:val="16"/>
                <w:szCs w:val="16"/>
              </w:rPr>
            </w:pPr>
            <w:r>
              <w:rPr>
                <w:rFonts w:eastAsia="Times New Roman"/>
                <w:sz w:val="16"/>
                <w:szCs w:val="16"/>
              </w:rPr>
              <w:t>Treguesit Kryesorë të Performancës</w:t>
            </w:r>
          </w:p>
        </w:tc>
      </w:tr>
      <w:tr w:rsidR="004B6998" w:rsidRPr="0059094E" w14:paraId="146FE2E2" w14:textId="77777777" w:rsidTr="00956B69">
        <w:tc>
          <w:tcPr>
            <w:tcW w:w="994" w:type="dxa"/>
            <w:hideMark/>
          </w:tcPr>
          <w:p w14:paraId="2B7866B8" w14:textId="77777777" w:rsidR="004B6998" w:rsidRPr="00956B69" w:rsidRDefault="004B6998" w:rsidP="004B6998">
            <w:pPr>
              <w:rPr>
                <w:rFonts w:eastAsia="Times New Roman"/>
                <w:sz w:val="16"/>
                <w:szCs w:val="16"/>
              </w:rPr>
            </w:pPr>
            <w:r w:rsidRPr="00956B69">
              <w:rPr>
                <w:rFonts w:eastAsia="Times New Roman"/>
                <w:sz w:val="16"/>
                <w:szCs w:val="16"/>
              </w:rPr>
              <w:t>TVSH</w:t>
            </w:r>
          </w:p>
        </w:tc>
        <w:tc>
          <w:tcPr>
            <w:tcW w:w="8469" w:type="dxa"/>
            <w:vAlign w:val="center"/>
            <w:hideMark/>
          </w:tcPr>
          <w:p w14:paraId="450964E1" w14:textId="77777777" w:rsidR="004B6998" w:rsidRPr="009D660E" w:rsidRDefault="004B6998" w:rsidP="004B6998">
            <w:pPr>
              <w:rPr>
                <w:rFonts w:eastAsia="Times New Roman"/>
                <w:sz w:val="16"/>
                <w:szCs w:val="16"/>
                <w:lang w:val="it-IT"/>
              </w:rPr>
            </w:pPr>
            <w:r w:rsidRPr="009D660E">
              <w:rPr>
                <w:rFonts w:eastAsia="Times New Roman"/>
                <w:sz w:val="16"/>
                <w:szCs w:val="16"/>
                <w:lang w:val="it-IT"/>
              </w:rPr>
              <w:t>Tatimi mbi Vlerën e Shtuar</w:t>
            </w:r>
          </w:p>
        </w:tc>
      </w:tr>
      <w:tr w:rsidR="004B6998" w:rsidRPr="00956B69" w14:paraId="40A5504F" w14:textId="77777777" w:rsidTr="00956B69">
        <w:tc>
          <w:tcPr>
            <w:tcW w:w="994" w:type="dxa"/>
          </w:tcPr>
          <w:p w14:paraId="07FFDA48" w14:textId="2106BF31" w:rsidR="004B6998" w:rsidRPr="00956B69" w:rsidRDefault="004B6998" w:rsidP="004B6998">
            <w:pPr>
              <w:rPr>
                <w:rFonts w:eastAsia="Times New Roman"/>
                <w:sz w:val="16"/>
                <w:szCs w:val="16"/>
              </w:rPr>
            </w:pPr>
            <w:r>
              <w:rPr>
                <w:rFonts w:eastAsia="Times New Roman"/>
                <w:sz w:val="16"/>
                <w:szCs w:val="16"/>
              </w:rPr>
              <w:t>ZHPV</w:t>
            </w:r>
          </w:p>
        </w:tc>
        <w:tc>
          <w:tcPr>
            <w:tcW w:w="8469" w:type="dxa"/>
            <w:vAlign w:val="center"/>
          </w:tcPr>
          <w:p w14:paraId="7D65ACDB" w14:textId="44A2F194" w:rsidR="004B6998" w:rsidRPr="00956B69" w:rsidRDefault="004B6998" w:rsidP="004B6998">
            <w:pPr>
              <w:rPr>
                <w:rFonts w:eastAsia="Times New Roman"/>
                <w:sz w:val="16"/>
                <w:szCs w:val="16"/>
              </w:rPr>
            </w:pPr>
            <w:r>
              <w:rPr>
                <w:rFonts w:eastAsia="Times New Roman"/>
                <w:sz w:val="16"/>
                <w:szCs w:val="16"/>
              </w:rPr>
              <w:t>Zhvillimi Profesional i Vazhdueshëm</w:t>
            </w:r>
          </w:p>
        </w:tc>
      </w:tr>
      <w:tr w:rsidR="004B6998" w:rsidRPr="00956B69" w14:paraId="59F91031" w14:textId="77777777" w:rsidTr="00956B69">
        <w:tc>
          <w:tcPr>
            <w:tcW w:w="994" w:type="dxa"/>
          </w:tcPr>
          <w:p w14:paraId="235FB518" w14:textId="77777777" w:rsidR="004B6998" w:rsidRPr="00956B69" w:rsidRDefault="004B6998" w:rsidP="004B6998">
            <w:pPr>
              <w:rPr>
                <w:rFonts w:eastAsia="Times New Roman"/>
                <w:sz w:val="16"/>
                <w:szCs w:val="16"/>
              </w:rPr>
            </w:pPr>
          </w:p>
        </w:tc>
        <w:tc>
          <w:tcPr>
            <w:tcW w:w="8469" w:type="dxa"/>
            <w:vAlign w:val="center"/>
          </w:tcPr>
          <w:p w14:paraId="29B32E04" w14:textId="77777777" w:rsidR="004B6998" w:rsidRPr="00956B69" w:rsidRDefault="004B6998" w:rsidP="004B6998">
            <w:pPr>
              <w:rPr>
                <w:rFonts w:eastAsia="Times New Roman"/>
                <w:sz w:val="16"/>
                <w:szCs w:val="16"/>
              </w:rPr>
            </w:pPr>
          </w:p>
        </w:tc>
      </w:tr>
      <w:tr w:rsidR="004B6998" w:rsidRPr="00956B69" w14:paraId="7C41AE23" w14:textId="77777777" w:rsidTr="00956B69">
        <w:tc>
          <w:tcPr>
            <w:tcW w:w="994" w:type="dxa"/>
          </w:tcPr>
          <w:p w14:paraId="42EEFF3E" w14:textId="77777777" w:rsidR="004B6998" w:rsidRPr="00956B69" w:rsidRDefault="004B6998" w:rsidP="004B6998">
            <w:pPr>
              <w:rPr>
                <w:rFonts w:eastAsia="Times New Roman"/>
                <w:sz w:val="16"/>
                <w:szCs w:val="16"/>
              </w:rPr>
            </w:pPr>
          </w:p>
        </w:tc>
        <w:tc>
          <w:tcPr>
            <w:tcW w:w="8469" w:type="dxa"/>
            <w:vAlign w:val="center"/>
          </w:tcPr>
          <w:p w14:paraId="65C2C663" w14:textId="77777777" w:rsidR="004B6998" w:rsidRPr="00956B69" w:rsidRDefault="004B6998" w:rsidP="004B6998">
            <w:pPr>
              <w:rPr>
                <w:rFonts w:eastAsia="Times New Roman"/>
                <w:sz w:val="16"/>
                <w:szCs w:val="16"/>
              </w:rPr>
            </w:pPr>
          </w:p>
        </w:tc>
      </w:tr>
      <w:tr w:rsidR="004B6998" w:rsidRPr="00956B69" w14:paraId="0E848CE8" w14:textId="77777777" w:rsidTr="00956B69">
        <w:tc>
          <w:tcPr>
            <w:tcW w:w="994" w:type="dxa"/>
          </w:tcPr>
          <w:p w14:paraId="7EC25D50" w14:textId="77777777" w:rsidR="004B6998" w:rsidRPr="00956B69" w:rsidRDefault="004B6998" w:rsidP="004B6998">
            <w:pPr>
              <w:rPr>
                <w:rFonts w:eastAsia="Times New Roman"/>
                <w:sz w:val="16"/>
                <w:szCs w:val="16"/>
              </w:rPr>
            </w:pPr>
          </w:p>
        </w:tc>
        <w:tc>
          <w:tcPr>
            <w:tcW w:w="8469" w:type="dxa"/>
            <w:vAlign w:val="center"/>
          </w:tcPr>
          <w:p w14:paraId="0182B5C9" w14:textId="77777777" w:rsidR="004B6998" w:rsidRPr="00956B69" w:rsidRDefault="004B6998" w:rsidP="004B6998">
            <w:pPr>
              <w:rPr>
                <w:rFonts w:eastAsia="Times New Roman"/>
                <w:sz w:val="16"/>
                <w:szCs w:val="16"/>
              </w:rPr>
            </w:pPr>
          </w:p>
        </w:tc>
      </w:tr>
      <w:tr w:rsidR="004B6998" w:rsidRPr="00956B69" w14:paraId="1729FF63" w14:textId="77777777" w:rsidTr="00956B69">
        <w:tc>
          <w:tcPr>
            <w:tcW w:w="994" w:type="dxa"/>
          </w:tcPr>
          <w:p w14:paraId="0E1E4C32" w14:textId="77777777" w:rsidR="004B6998" w:rsidRPr="00956B69" w:rsidRDefault="004B6998" w:rsidP="004B6998">
            <w:pPr>
              <w:rPr>
                <w:rFonts w:eastAsia="Times New Roman"/>
                <w:sz w:val="16"/>
                <w:szCs w:val="16"/>
              </w:rPr>
            </w:pPr>
          </w:p>
        </w:tc>
        <w:tc>
          <w:tcPr>
            <w:tcW w:w="8469" w:type="dxa"/>
            <w:vAlign w:val="center"/>
          </w:tcPr>
          <w:p w14:paraId="3B5DC3B6" w14:textId="77777777" w:rsidR="004B6998" w:rsidRPr="00956B69" w:rsidRDefault="004B6998" w:rsidP="004B6998">
            <w:pPr>
              <w:rPr>
                <w:rFonts w:eastAsia="Times New Roman"/>
                <w:sz w:val="16"/>
                <w:szCs w:val="16"/>
              </w:rPr>
            </w:pPr>
          </w:p>
        </w:tc>
      </w:tr>
    </w:tbl>
    <w:p w14:paraId="59CB64DB" w14:textId="77777777" w:rsidR="00EC43EB" w:rsidRPr="001F151E" w:rsidRDefault="00EC43EB" w:rsidP="00200748">
      <w:pPr>
        <w:rPr>
          <w:rStyle w:val="IntenseReference"/>
          <w:rFonts w:eastAsiaTheme="majorEastAsia" w:cstheme="majorBidi"/>
          <w:i w:val="0"/>
          <w:sz w:val="26"/>
          <w:szCs w:val="26"/>
          <w:lang w:val="en-GB"/>
        </w:rPr>
      </w:pPr>
    </w:p>
    <w:p w14:paraId="7C645C33" w14:textId="24DDC28D" w:rsidR="008102CF" w:rsidRPr="001F151E" w:rsidRDefault="008102CF" w:rsidP="00200748">
      <w:pPr>
        <w:rPr>
          <w:rStyle w:val="IntenseReference"/>
          <w:rFonts w:eastAsiaTheme="majorEastAsia" w:cstheme="majorBidi"/>
          <w:i w:val="0"/>
          <w:sz w:val="26"/>
          <w:szCs w:val="26"/>
          <w:lang w:val="en-GB"/>
        </w:rPr>
      </w:pPr>
      <w:r w:rsidRPr="001F151E">
        <w:rPr>
          <w:rStyle w:val="IntenseReference"/>
          <w:rFonts w:eastAsiaTheme="majorEastAsia" w:cstheme="majorBidi"/>
          <w:i w:val="0"/>
          <w:sz w:val="26"/>
          <w:szCs w:val="26"/>
          <w:lang w:val="en-GB"/>
        </w:rPr>
        <w:br w:type="page"/>
      </w:r>
    </w:p>
    <w:p w14:paraId="6FF31D74" w14:textId="1F409C88" w:rsidR="00E50D41" w:rsidRPr="001F151E" w:rsidRDefault="00811973" w:rsidP="00E50D41">
      <w:pPr>
        <w:pStyle w:val="Heading1"/>
        <w:numPr>
          <w:ilvl w:val="0"/>
          <w:numId w:val="0"/>
        </w:numPr>
        <w:ind w:left="432" w:hanging="432"/>
        <w:rPr>
          <w:rStyle w:val="IntenseReference"/>
          <w:rFonts w:eastAsiaTheme="majorEastAsia" w:cstheme="majorBidi"/>
          <w:i w:val="0"/>
          <w:sz w:val="26"/>
          <w:szCs w:val="26"/>
          <w:lang w:val="en-GB"/>
        </w:rPr>
      </w:pPr>
      <w:bookmarkStart w:id="2" w:name="_Toc161748799"/>
      <w:r>
        <w:rPr>
          <w:rStyle w:val="IntenseReference"/>
          <w:rFonts w:eastAsiaTheme="majorEastAsia" w:cstheme="majorBidi"/>
          <w:i w:val="0"/>
          <w:sz w:val="26"/>
          <w:szCs w:val="26"/>
          <w:lang w:val="en-GB"/>
        </w:rPr>
        <w:lastRenderedPageBreak/>
        <w:t>Përmbledhja ekzekutive</w:t>
      </w:r>
      <w:bookmarkEnd w:id="2"/>
    </w:p>
    <w:p w14:paraId="34290999" w14:textId="77777777" w:rsidR="00E50D41" w:rsidRPr="001F151E" w:rsidRDefault="00E50D41" w:rsidP="00E50D41">
      <w:pPr>
        <w:rPr>
          <w:lang w:val="en-GB"/>
        </w:rPr>
      </w:pPr>
    </w:p>
    <w:p w14:paraId="09800E6A" w14:textId="7A72BB6F" w:rsidR="00811973" w:rsidRPr="001F151E" w:rsidRDefault="00811973" w:rsidP="00811973">
      <w:pPr>
        <w:spacing w:line="276" w:lineRule="auto"/>
        <w:jc w:val="both"/>
        <w:rPr>
          <w:lang w:val="en-GB"/>
        </w:rPr>
      </w:pPr>
      <w:r>
        <w:rPr>
          <w:lang w:val="en-GB"/>
        </w:rPr>
        <w:t>Kjo strategji sektoriale e Menaxhimit të Financave Publike (MFP)</w:t>
      </w:r>
      <w:r w:rsidRPr="00421AC9">
        <w:rPr>
          <w:lang w:val="en-GB"/>
        </w:rPr>
        <w:t xml:space="preserve"> </w:t>
      </w:r>
      <w:r>
        <w:rPr>
          <w:lang w:val="en-GB"/>
        </w:rPr>
        <w:t>2023-</w:t>
      </w:r>
      <w:r w:rsidRPr="00421AC9">
        <w:rPr>
          <w:lang w:val="en-GB"/>
        </w:rPr>
        <w:t xml:space="preserve">2030 dhe plani i veprimit për periudhën 2023-2026 paraqet reformat e planifikuara për përmirësimin e sistemeve të </w:t>
      </w:r>
      <w:r>
        <w:rPr>
          <w:lang w:val="en-GB"/>
        </w:rPr>
        <w:t>MFP-së</w:t>
      </w:r>
      <w:r w:rsidRPr="00421AC9">
        <w:rPr>
          <w:lang w:val="en-GB"/>
        </w:rPr>
        <w:t>. Në përputhje me S</w:t>
      </w:r>
      <w:r>
        <w:rPr>
          <w:lang w:val="en-GB"/>
        </w:rPr>
        <w:t xml:space="preserve">trategjinë </w:t>
      </w:r>
      <w:r w:rsidRPr="00421AC9">
        <w:rPr>
          <w:lang w:val="en-GB"/>
        </w:rPr>
        <w:t>K</w:t>
      </w:r>
      <w:r>
        <w:rPr>
          <w:lang w:val="en-GB"/>
        </w:rPr>
        <w:t xml:space="preserve">ombëtare për Zhvillim dhe </w:t>
      </w:r>
      <w:r w:rsidRPr="00421AC9">
        <w:rPr>
          <w:lang w:val="en-GB"/>
        </w:rPr>
        <w:t>I</w:t>
      </w:r>
      <w:r>
        <w:rPr>
          <w:lang w:val="en-GB"/>
        </w:rPr>
        <w:t xml:space="preserve">ntegrim </w:t>
      </w:r>
      <w:r w:rsidRPr="00421AC9">
        <w:rPr>
          <w:lang w:val="en-GB"/>
        </w:rPr>
        <w:t>E</w:t>
      </w:r>
      <w:r>
        <w:rPr>
          <w:lang w:val="en-GB"/>
        </w:rPr>
        <w:t>vropian (SKZHIE)</w:t>
      </w:r>
      <w:r w:rsidR="00BB2BC9">
        <w:rPr>
          <w:lang w:val="en-GB"/>
        </w:rPr>
        <w:t xml:space="preserve"> 2022-2030</w:t>
      </w:r>
      <w:r w:rsidRPr="00421AC9">
        <w:rPr>
          <w:lang w:val="en-GB"/>
        </w:rPr>
        <w:t>, qëllimi i përgjithshëm i strategjisë është të krijojë një sistem të menaxhimit të financave publike që garanton transparencë, llogaridhënie, disiplinë fiskale dhe efikasitet në përdorimin e burimeve publike për ofrimin e shërbimeve publike të përmirësuara dhe zhvillimit ekonom</w:t>
      </w:r>
      <w:r w:rsidR="003C6D40">
        <w:rPr>
          <w:lang w:val="en-GB"/>
        </w:rPr>
        <w:t xml:space="preserve">ik që </w:t>
      </w:r>
      <w:r w:rsidR="00D4248D">
        <w:rPr>
          <w:lang w:val="en-GB"/>
        </w:rPr>
        <w:t xml:space="preserve">të </w:t>
      </w:r>
      <w:r w:rsidR="003C6D40">
        <w:rPr>
          <w:lang w:val="en-GB"/>
        </w:rPr>
        <w:t>siguro</w:t>
      </w:r>
      <w:r w:rsidR="00D4248D">
        <w:rPr>
          <w:lang w:val="en-GB"/>
        </w:rPr>
        <w:t>jë</w:t>
      </w:r>
      <w:r w:rsidR="003C6D40">
        <w:rPr>
          <w:lang w:val="en-GB"/>
        </w:rPr>
        <w:t xml:space="preserve"> një integrim</w:t>
      </w:r>
      <w:r w:rsidR="00D4248D">
        <w:rPr>
          <w:lang w:val="en-GB"/>
        </w:rPr>
        <w:t xml:space="preserve"> të</w:t>
      </w:r>
      <w:r w:rsidRPr="00421AC9">
        <w:rPr>
          <w:lang w:val="en-GB"/>
        </w:rPr>
        <w:t xml:space="preserve"> </w:t>
      </w:r>
      <w:r w:rsidR="00D4248D">
        <w:rPr>
          <w:lang w:val="en-GB"/>
        </w:rPr>
        <w:t>leh</w:t>
      </w:r>
      <w:r w:rsidRPr="00421AC9">
        <w:rPr>
          <w:lang w:val="en-GB"/>
        </w:rPr>
        <w:t xml:space="preserve">të </w:t>
      </w:r>
      <w:r w:rsidR="00BB2BC9">
        <w:rPr>
          <w:lang w:val="en-GB"/>
        </w:rPr>
        <w:t xml:space="preserve">dhe të shpejtë </w:t>
      </w:r>
      <w:r w:rsidRPr="00421AC9">
        <w:rPr>
          <w:lang w:val="en-GB"/>
        </w:rPr>
        <w:t>të Shqipërisë në Bashkimin Evropian</w:t>
      </w:r>
      <w:r w:rsidR="00952810">
        <w:rPr>
          <w:lang w:val="en-GB"/>
        </w:rPr>
        <w:t xml:space="preserve"> (BE)</w:t>
      </w:r>
      <w:r w:rsidRPr="00421AC9">
        <w:rPr>
          <w:lang w:val="en-GB"/>
        </w:rPr>
        <w:t>.</w:t>
      </w:r>
      <w:r w:rsidRPr="001F151E">
        <w:rPr>
          <w:lang w:val="en-GB"/>
        </w:rPr>
        <w:t xml:space="preserve"> </w:t>
      </w:r>
    </w:p>
    <w:p w14:paraId="10B5C038" w14:textId="77777777" w:rsidR="00811973" w:rsidRPr="001F151E" w:rsidRDefault="00811973" w:rsidP="00811973">
      <w:pPr>
        <w:spacing w:line="276" w:lineRule="auto"/>
        <w:jc w:val="both"/>
        <w:rPr>
          <w:lang w:val="en-GB"/>
        </w:rPr>
      </w:pPr>
    </w:p>
    <w:p w14:paraId="420D0B87" w14:textId="26513B55" w:rsidR="00811973" w:rsidRDefault="00811973" w:rsidP="00811973">
      <w:pPr>
        <w:spacing w:line="276" w:lineRule="auto"/>
        <w:jc w:val="both"/>
        <w:rPr>
          <w:lang w:val="en-GB"/>
        </w:rPr>
      </w:pPr>
      <w:r w:rsidRPr="00421AC9">
        <w:rPr>
          <w:lang w:val="en-GB"/>
        </w:rPr>
        <w:t xml:space="preserve">Masat e reformës së MFP-së janë formuluar në </w:t>
      </w:r>
      <w:r w:rsidR="000C70FA">
        <w:rPr>
          <w:lang w:val="en-GB"/>
        </w:rPr>
        <w:t>gjashtë</w:t>
      </w:r>
      <w:r w:rsidRPr="00421AC9">
        <w:rPr>
          <w:lang w:val="en-GB"/>
        </w:rPr>
        <w:t xml:space="preserve"> </w:t>
      </w:r>
      <w:r w:rsidR="00D4248D">
        <w:rPr>
          <w:lang w:val="en-GB"/>
        </w:rPr>
        <w:t>shtylla si më</w:t>
      </w:r>
      <w:r w:rsidRPr="00421AC9">
        <w:rPr>
          <w:lang w:val="en-GB"/>
        </w:rPr>
        <w:t>poshtë</w:t>
      </w:r>
      <w:r w:rsidR="00D4248D">
        <w:rPr>
          <w:lang w:val="en-GB"/>
        </w:rPr>
        <w:t>:</w:t>
      </w:r>
    </w:p>
    <w:p w14:paraId="3C6D0F98" w14:textId="77777777" w:rsidR="00AA13C0" w:rsidRPr="001F151E" w:rsidRDefault="00AA13C0" w:rsidP="002E6AB5">
      <w:pPr>
        <w:spacing w:line="276" w:lineRule="auto"/>
        <w:jc w:val="both"/>
        <w:rPr>
          <w:lang w:val="en-GB"/>
        </w:rPr>
      </w:pPr>
    </w:p>
    <w:p w14:paraId="3EFBFFC1" w14:textId="7DDDB2F9" w:rsidR="00AA13C0" w:rsidRPr="009D660E" w:rsidRDefault="00D4248D" w:rsidP="002E6AB5">
      <w:pPr>
        <w:pStyle w:val="N-Bold"/>
        <w:spacing w:line="276" w:lineRule="auto"/>
        <w:jc w:val="both"/>
        <w:rPr>
          <w:rStyle w:val="IntenseReference"/>
          <w:rFonts w:eastAsiaTheme="majorEastAsia"/>
          <w:i w:val="0"/>
          <w:iCs w:val="0"/>
          <w:color w:val="auto"/>
          <w:szCs w:val="22"/>
          <w:lang w:val="it-IT"/>
        </w:rPr>
      </w:pPr>
      <w:r w:rsidRPr="009D660E">
        <w:rPr>
          <w:rStyle w:val="IntenseReference"/>
          <w:rFonts w:eastAsiaTheme="majorEastAsia"/>
          <w:i w:val="0"/>
          <w:color w:val="auto"/>
          <w:szCs w:val="22"/>
          <w:lang w:val="it-IT"/>
        </w:rPr>
        <w:t>Shtylla</w:t>
      </w:r>
      <w:r w:rsidR="00AA13C0" w:rsidRPr="009D660E">
        <w:rPr>
          <w:rStyle w:val="IntenseReference"/>
          <w:rFonts w:eastAsiaTheme="majorEastAsia"/>
          <w:i w:val="0"/>
          <w:color w:val="auto"/>
          <w:szCs w:val="22"/>
          <w:lang w:val="it-IT"/>
        </w:rPr>
        <w:t xml:space="preserve"> 1: </w:t>
      </w:r>
      <w:r w:rsidRPr="009D660E">
        <w:rPr>
          <w:rStyle w:val="IntenseReference"/>
          <w:rFonts w:eastAsiaTheme="majorEastAsia"/>
          <w:i w:val="0"/>
          <w:color w:val="auto"/>
          <w:szCs w:val="22"/>
          <w:lang w:val="it-IT"/>
        </w:rPr>
        <w:t>Programimi Makroekonomik dhe Monitorimi i Riskut</w:t>
      </w:r>
    </w:p>
    <w:p w14:paraId="648F582B" w14:textId="0CDFF931" w:rsidR="00AA13C0" w:rsidRPr="001F151E" w:rsidRDefault="00D4248D" w:rsidP="002E6AB5">
      <w:pPr>
        <w:spacing w:line="276" w:lineRule="auto"/>
        <w:jc w:val="both"/>
        <w:rPr>
          <w:rStyle w:val="IntenseReference"/>
          <w:rFonts w:eastAsiaTheme="majorEastAsia"/>
          <w:color w:val="auto"/>
          <w:szCs w:val="22"/>
          <w:lang w:val="en-GB"/>
        </w:rPr>
      </w:pPr>
      <w:r w:rsidRPr="009D660E">
        <w:rPr>
          <w:rStyle w:val="IntenseReference"/>
          <w:rFonts w:eastAsiaTheme="majorEastAsia"/>
          <w:color w:val="auto"/>
          <w:szCs w:val="22"/>
          <w:lang w:val="it-IT"/>
        </w:rPr>
        <w:t>Sistemet p</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r zhvillimin dhe monitorimin e nj</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politike t</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sh</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ndosh</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fiskale t</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bazuar n</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rregulla fiskale, parashikime t</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avancuara makroekonomike dhe praktika solide t</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menaxhimit t</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riskut </w:t>
      </w:r>
      <w:r w:rsidR="007F2211" w:rsidRPr="009D660E">
        <w:rPr>
          <w:rStyle w:val="IntenseReference"/>
          <w:rFonts w:eastAsiaTheme="majorEastAsia"/>
          <w:color w:val="auto"/>
          <w:szCs w:val="22"/>
          <w:lang w:val="it-IT"/>
        </w:rPr>
        <w:t>fiskal mir</w:t>
      </w:r>
      <w:r w:rsidR="00780EA8" w:rsidRPr="009D660E">
        <w:rPr>
          <w:rStyle w:val="IntenseReference"/>
          <w:rFonts w:eastAsiaTheme="majorEastAsia"/>
          <w:color w:val="auto"/>
          <w:szCs w:val="22"/>
          <w:lang w:val="it-IT"/>
        </w:rPr>
        <w:t>ë</w:t>
      </w:r>
      <w:r w:rsidR="007F2211" w:rsidRPr="009D660E">
        <w:rPr>
          <w:rStyle w:val="IntenseReference"/>
          <w:rFonts w:eastAsiaTheme="majorEastAsia"/>
          <w:color w:val="auto"/>
          <w:szCs w:val="22"/>
          <w:lang w:val="it-IT"/>
        </w:rPr>
        <w:t>mbahen dhe p</w:t>
      </w:r>
      <w:r w:rsidR="00780EA8" w:rsidRPr="009D660E">
        <w:rPr>
          <w:rStyle w:val="IntenseReference"/>
          <w:rFonts w:eastAsiaTheme="majorEastAsia"/>
          <w:color w:val="auto"/>
          <w:szCs w:val="22"/>
          <w:lang w:val="it-IT"/>
        </w:rPr>
        <w:t>ë</w:t>
      </w:r>
      <w:r w:rsidR="007F2211" w:rsidRPr="009D660E">
        <w:rPr>
          <w:rStyle w:val="IntenseReference"/>
          <w:rFonts w:eastAsiaTheme="majorEastAsia"/>
          <w:color w:val="auto"/>
          <w:szCs w:val="22"/>
          <w:lang w:val="it-IT"/>
        </w:rPr>
        <w:t>rmir</w:t>
      </w:r>
      <w:r w:rsidR="00780EA8" w:rsidRPr="009D660E">
        <w:rPr>
          <w:rStyle w:val="IntenseReference"/>
          <w:rFonts w:eastAsiaTheme="majorEastAsia"/>
          <w:color w:val="auto"/>
          <w:szCs w:val="22"/>
          <w:lang w:val="it-IT"/>
        </w:rPr>
        <w:t>ë</w:t>
      </w:r>
      <w:r w:rsidR="007F2211" w:rsidRPr="009D660E">
        <w:rPr>
          <w:rStyle w:val="IntenseReference"/>
          <w:rFonts w:eastAsiaTheme="majorEastAsia"/>
          <w:color w:val="auto"/>
          <w:szCs w:val="22"/>
          <w:lang w:val="it-IT"/>
        </w:rPr>
        <w:t>sohen m</w:t>
      </w:r>
      <w:r w:rsidR="00780EA8" w:rsidRPr="009D660E">
        <w:rPr>
          <w:rStyle w:val="IntenseReference"/>
          <w:rFonts w:eastAsiaTheme="majorEastAsia"/>
          <w:color w:val="auto"/>
          <w:szCs w:val="22"/>
          <w:lang w:val="it-IT"/>
        </w:rPr>
        <w:t>ë</w:t>
      </w:r>
      <w:r w:rsidR="007F2211" w:rsidRPr="009D660E">
        <w:rPr>
          <w:rStyle w:val="IntenseReference"/>
          <w:rFonts w:eastAsiaTheme="majorEastAsia"/>
          <w:color w:val="auto"/>
          <w:szCs w:val="22"/>
          <w:lang w:val="it-IT"/>
        </w:rPr>
        <w:t xml:space="preserve"> tej. </w:t>
      </w:r>
      <w:r w:rsidR="007F2211">
        <w:rPr>
          <w:rStyle w:val="IntenseReference"/>
          <w:rFonts w:eastAsiaTheme="majorEastAsia"/>
          <w:color w:val="auto"/>
          <w:szCs w:val="22"/>
          <w:lang w:val="en-GB"/>
        </w:rPr>
        <w:t>Krijohet K</w:t>
      </w:r>
      <w:r w:rsidR="00780EA8">
        <w:rPr>
          <w:rStyle w:val="IntenseReference"/>
          <w:rFonts w:eastAsiaTheme="majorEastAsia"/>
          <w:color w:val="auto"/>
          <w:szCs w:val="22"/>
          <w:lang w:val="en-GB"/>
        </w:rPr>
        <w:t>ë</w:t>
      </w:r>
      <w:r w:rsidR="007F2211">
        <w:rPr>
          <w:rStyle w:val="IntenseReference"/>
          <w:rFonts w:eastAsiaTheme="majorEastAsia"/>
          <w:color w:val="auto"/>
          <w:szCs w:val="22"/>
          <w:lang w:val="en-GB"/>
        </w:rPr>
        <w:t>shilli Fiskal</w:t>
      </w:r>
    </w:p>
    <w:p w14:paraId="6A364747" w14:textId="77777777" w:rsidR="00AA13C0" w:rsidRPr="001F151E" w:rsidRDefault="00AA13C0" w:rsidP="002E6AB5">
      <w:pPr>
        <w:spacing w:line="276" w:lineRule="auto"/>
        <w:jc w:val="both"/>
        <w:rPr>
          <w:rStyle w:val="IntenseReference"/>
          <w:rFonts w:eastAsiaTheme="majorEastAsia"/>
          <w:i w:val="0"/>
          <w:color w:val="auto"/>
          <w:szCs w:val="22"/>
          <w:lang w:val="en-GB"/>
        </w:rPr>
      </w:pPr>
    </w:p>
    <w:p w14:paraId="6A12AC70" w14:textId="77777777" w:rsidR="000C70FA" w:rsidRDefault="000C70FA" w:rsidP="00CD7428">
      <w:pPr>
        <w:pStyle w:val="ListParagraph"/>
        <w:numPr>
          <w:ilvl w:val="0"/>
          <w:numId w:val="61"/>
        </w:numPr>
        <w:spacing w:line="276" w:lineRule="auto"/>
        <w:jc w:val="both"/>
        <w:rPr>
          <w:rStyle w:val="IntenseReference"/>
          <w:i w:val="0"/>
          <w:color w:val="auto"/>
          <w:lang w:val="en-GB"/>
        </w:rPr>
      </w:pPr>
      <w:r>
        <w:t>Parashikim i matur i treguesve makroekonomik në përputhje me parashikuesit e pavarur dhe ndërkombëtarë</w:t>
      </w:r>
    </w:p>
    <w:p w14:paraId="696E29EA" w14:textId="77777777" w:rsidR="000C70FA" w:rsidRPr="00465735" w:rsidRDefault="000C70FA" w:rsidP="00CD7428">
      <w:pPr>
        <w:pStyle w:val="ListParagraph"/>
        <w:numPr>
          <w:ilvl w:val="0"/>
          <w:numId w:val="61"/>
        </w:numPr>
        <w:spacing w:line="276" w:lineRule="auto"/>
        <w:jc w:val="both"/>
        <w:rPr>
          <w:lang w:val="en-GB"/>
        </w:rPr>
      </w:pPr>
      <w:r>
        <w:t>Parashikim i matur dhe realist i të ardhurave afatmesme në përputhje me parashikuesit e pavarur dhe ndërkombëtarë</w:t>
      </w:r>
      <w:r w:rsidRPr="001F151E">
        <w:t>;</w:t>
      </w:r>
    </w:p>
    <w:p w14:paraId="424ADF0F" w14:textId="77777777" w:rsidR="000C70FA" w:rsidRPr="00465735" w:rsidRDefault="000C70FA" w:rsidP="00CD7428">
      <w:pPr>
        <w:pStyle w:val="ListParagraph"/>
        <w:numPr>
          <w:ilvl w:val="0"/>
          <w:numId w:val="61"/>
        </w:numPr>
        <w:spacing w:line="276" w:lineRule="auto"/>
        <w:jc w:val="both"/>
        <w:rPr>
          <w:lang w:val="en-GB"/>
        </w:rPr>
      </w:pPr>
      <w:r>
        <w:t>Ruajtja e financave publike të shëndosha përmes pajtueshmërisë së përhershme me rregullat fiskale.</w:t>
      </w:r>
    </w:p>
    <w:p w14:paraId="4D5C0F40" w14:textId="77777777" w:rsidR="000C70FA" w:rsidRPr="00465735" w:rsidRDefault="000C70FA" w:rsidP="00CD7428">
      <w:pPr>
        <w:pStyle w:val="ListParagraph"/>
        <w:numPr>
          <w:ilvl w:val="0"/>
          <w:numId w:val="61"/>
        </w:numPr>
        <w:spacing w:line="276" w:lineRule="auto"/>
        <w:jc w:val="both"/>
        <w:rPr>
          <w:lang w:val="en-GB"/>
        </w:rPr>
      </w:pPr>
      <w:r>
        <w:t>Ofrimi i asistencës teknike për procesin e Analizës së Qëndrueshmërisë së Borxhit;</w:t>
      </w:r>
    </w:p>
    <w:p w14:paraId="5FC1EB0E" w14:textId="77777777" w:rsidR="000C70FA" w:rsidRPr="00465735" w:rsidRDefault="000C70FA" w:rsidP="00CD7428">
      <w:pPr>
        <w:pStyle w:val="ListParagraph"/>
        <w:numPr>
          <w:ilvl w:val="0"/>
          <w:numId w:val="61"/>
        </w:numPr>
        <w:spacing w:line="276" w:lineRule="auto"/>
        <w:jc w:val="both"/>
        <w:rPr>
          <w:lang w:val="en-GB"/>
        </w:rPr>
      </w:pPr>
      <w:r>
        <w:t>Prezantimi i kuadrit të Analizës së Qëndrueshmërisë së Borxhit si një mjet programimi makroekonomik.</w:t>
      </w:r>
    </w:p>
    <w:p w14:paraId="2D636C00" w14:textId="6813CB8D" w:rsidR="000C70FA" w:rsidRPr="00465735" w:rsidRDefault="000C70FA" w:rsidP="00CD7428">
      <w:pPr>
        <w:pStyle w:val="ListParagraph"/>
        <w:numPr>
          <w:ilvl w:val="0"/>
          <w:numId w:val="61"/>
        </w:numPr>
        <w:spacing w:line="276" w:lineRule="auto"/>
        <w:jc w:val="both"/>
        <w:rPr>
          <w:lang w:val="en-GB"/>
        </w:rPr>
      </w:pPr>
      <w:r>
        <w:t>Prezant</w:t>
      </w:r>
      <w:r w:rsidR="00850ABB">
        <w:t>imi i Deklaratës Vjetore të Risqeve</w:t>
      </w:r>
      <w:r>
        <w:t xml:space="preserve"> Fiskal</w:t>
      </w:r>
      <w:r w:rsidR="00850ABB">
        <w:t>e</w:t>
      </w:r>
      <w:r>
        <w:t xml:space="preserve"> dhe zgjerimi gradual i fushës së monitorimit dhe raportimit të riskut fiskal</w:t>
      </w:r>
      <w:r w:rsidRPr="001F151E">
        <w:t>;</w:t>
      </w:r>
    </w:p>
    <w:p w14:paraId="5A3315C3" w14:textId="5ED1DC5D" w:rsidR="000C70FA" w:rsidRPr="009D660E" w:rsidRDefault="000C70FA" w:rsidP="00CD7428">
      <w:pPr>
        <w:pStyle w:val="ListParagraph"/>
        <w:numPr>
          <w:ilvl w:val="0"/>
          <w:numId w:val="61"/>
        </w:numPr>
        <w:spacing w:line="276" w:lineRule="auto"/>
        <w:jc w:val="both"/>
        <w:rPr>
          <w:lang w:val="it-IT"/>
        </w:rPr>
      </w:pPr>
      <w:r w:rsidRPr="009D660E">
        <w:rPr>
          <w:lang w:val="it-IT"/>
        </w:rPr>
        <w:t>Forcimi i menaxhimit të Ris</w:t>
      </w:r>
      <w:r w:rsidR="00850ABB" w:rsidRPr="009D660E">
        <w:rPr>
          <w:lang w:val="it-IT"/>
        </w:rPr>
        <w:t xml:space="preserve">qeve </w:t>
      </w:r>
      <w:r w:rsidRPr="009D660E">
        <w:rPr>
          <w:lang w:val="it-IT"/>
        </w:rPr>
        <w:t>Fiskal</w:t>
      </w:r>
      <w:r w:rsidR="00850ABB" w:rsidRPr="009D660E">
        <w:rPr>
          <w:lang w:val="it-IT"/>
        </w:rPr>
        <w:t>e</w:t>
      </w:r>
      <w:r w:rsidRPr="009D660E">
        <w:rPr>
          <w:lang w:val="it-IT"/>
        </w:rPr>
        <w:t xml:space="preserve"> lidhur me P</w:t>
      </w:r>
      <w:r w:rsidR="00952810" w:rsidRPr="009D660E">
        <w:rPr>
          <w:lang w:val="it-IT"/>
        </w:rPr>
        <w:t xml:space="preserve">artneritetin </w:t>
      </w:r>
      <w:r w:rsidRPr="009D660E">
        <w:rPr>
          <w:lang w:val="it-IT"/>
        </w:rPr>
        <w:t>P</w:t>
      </w:r>
      <w:r w:rsidR="00952810" w:rsidRPr="009D660E">
        <w:rPr>
          <w:lang w:val="it-IT"/>
        </w:rPr>
        <w:t xml:space="preserve">ublik </w:t>
      </w:r>
      <w:r w:rsidRPr="009D660E">
        <w:rPr>
          <w:lang w:val="it-IT"/>
        </w:rPr>
        <w:t>P</w:t>
      </w:r>
      <w:r w:rsidR="00952810" w:rsidRPr="009D660E">
        <w:rPr>
          <w:lang w:val="it-IT"/>
        </w:rPr>
        <w:t>rivat</w:t>
      </w:r>
      <w:r w:rsidRPr="009D660E">
        <w:rPr>
          <w:lang w:val="it-IT"/>
        </w:rPr>
        <w:t xml:space="preserve"> dhe kontratat koncesionare;</w:t>
      </w:r>
    </w:p>
    <w:p w14:paraId="74D6CAE7" w14:textId="77777777" w:rsidR="000C70FA" w:rsidRPr="009D660E" w:rsidRDefault="000C70FA" w:rsidP="00CD7428">
      <w:pPr>
        <w:pStyle w:val="ListParagraph"/>
        <w:numPr>
          <w:ilvl w:val="0"/>
          <w:numId w:val="61"/>
        </w:numPr>
        <w:spacing w:line="276" w:lineRule="auto"/>
        <w:jc w:val="both"/>
        <w:rPr>
          <w:lang w:val="it-IT"/>
        </w:rPr>
      </w:pPr>
      <w:r w:rsidRPr="009D660E">
        <w:rPr>
          <w:lang w:val="it-IT"/>
        </w:rPr>
        <w:t>Forcimi i mbikëqyrjes fiskale të Ndërmarrjeve Shtetërore;</w:t>
      </w:r>
    </w:p>
    <w:p w14:paraId="6F3303CA" w14:textId="77777777" w:rsidR="000C70FA" w:rsidRPr="009D660E" w:rsidRDefault="000C70FA" w:rsidP="00CD7428">
      <w:pPr>
        <w:pStyle w:val="ListParagraph"/>
        <w:numPr>
          <w:ilvl w:val="0"/>
          <w:numId w:val="61"/>
        </w:numPr>
        <w:spacing w:line="276" w:lineRule="auto"/>
        <w:jc w:val="both"/>
        <w:rPr>
          <w:lang w:val="it-IT"/>
        </w:rPr>
      </w:pPr>
      <w:r w:rsidRPr="009D660E">
        <w:rPr>
          <w:lang w:val="it-IT"/>
        </w:rPr>
        <w:t>Përmirësimi i mëtejshëm i menaxhimit të detyrimeve të prapambetura.</w:t>
      </w:r>
    </w:p>
    <w:p w14:paraId="1325509A" w14:textId="77777777" w:rsidR="000C70FA" w:rsidRPr="00465735" w:rsidRDefault="000C70FA" w:rsidP="00CD7428">
      <w:pPr>
        <w:pStyle w:val="ListParagraph"/>
        <w:numPr>
          <w:ilvl w:val="0"/>
          <w:numId w:val="61"/>
        </w:numPr>
        <w:spacing w:line="276" w:lineRule="auto"/>
        <w:jc w:val="both"/>
        <w:rPr>
          <w:lang w:val="en-GB"/>
        </w:rPr>
      </w:pPr>
      <w:r>
        <w:t>Krijimi i Këshillit Fiskal</w:t>
      </w:r>
      <w:r w:rsidRPr="001F151E">
        <w:t>.</w:t>
      </w:r>
    </w:p>
    <w:p w14:paraId="47B6657A" w14:textId="77777777" w:rsidR="00AA13C0" w:rsidRPr="001F151E" w:rsidRDefault="00AA13C0" w:rsidP="002E6AB5">
      <w:pPr>
        <w:spacing w:line="276" w:lineRule="auto"/>
        <w:jc w:val="both"/>
        <w:rPr>
          <w:rStyle w:val="IntenseReference"/>
          <w:rFonts w:eastAsiaTheme="majorEastAsia"/>
          <w:i w:val="0"/>
          <w:iCs/>
          <w:sz w:val="22"/>
          <w:szCs w:val="22"/>
          <w:lang w:val="en-GB"/>
        </w:rPr>
      </w:pPr>
    </w:p>
    <w:p w14:paraId="39F1F4A9" w14:textId="77777777" w:rsidR="000C70FA" w:rsidRPr="009D660E" w:rsidRDefault="000C70FA" w:rsidP="000C70FA">
      <w:pPr>
        <w:pStyle w:val="N-Bold"/>
        <w:spacing w:line="276" w:lineRule="auto"/>
        <w:jc w:val="both"/>
        <w:rPr>
          <w:rStyle w:val="IntenseReference"/>
          <w:rFonts w:eastAsiaTheme="majorEastAsia"/>
          <w:i w:val="0"/>
          <w:color w:val="auto"/>
          <w:szCs w:val="22"/>
          <w:lang w:val="it-IT"/>
        </w:rPr>
      </w:pPr>
      <w:r w:rsidRPr="009D660E">
        <w:rPr>
          <w:rStyle w:val="IntenseReference"/>
          <w:rFonts w:eastAsiaTheme="majorEastAsia"/>
          <w:i w:val="0"/>
          <w:color w:val="auto"/>
          <w:szCs w:val="22"/>
          <w:lang w:val="it-IT"/>
        </w:rPr>
        <w:t>Shtylla 2: Planifikimi i integruar strategjik dhe buxhetor, monitorimi dhe raportimi transparent</w:t>
      </w:r>
    </w:p>
    <w:p w14:paraId="1243D437" w14:textId="77777777" w:rsidR="000C70FA" w:rsidRPr="009D660E" w:rsidRDefault="000C70FA" w:rsidP="000C70FA">
      <w:pPr>
        <w:spacing w:line="276" w:lineRule="auto"/>
        <w:jc w:val="both"/>
        <w:rPr>
          <w:rStyle w:val="IntenseReference"/>
          <w:rFonts w:eastAsiaTheme="majorEastAsia"/>
          <w:color w:val="auto"/>
          <w:szCs w:val="22"/>
          <w:lang w:val="it-IT"/>
        </w:rPr>
      </w:pPr>
      <w:r w:rsidRPr="009D660E">
        <w:rPr>
          <w:rStyle w:val="IntenseReference"/>
          <w:rFonts w:eastAsiaTheme="majorEastAsia"/>
          <w:color w:val="auto"/>
          <w:szCs w:val="22"/>
          <w:lang w:val="it-IT"/>
        </w:rPr>
        <w:t>Ekziston një sistem i avancuar për planifikimin strategjik të integruar dhe planifikimin buxhetor afatmesëm në të gjitha nivelet e qeverisjes. Praktikat për planifikimin e investimeve publike janë të profesionalizuara. Sigurohet monitorim dhe raportim transparent dhe pjesëmarrja e publikut në proceset buxhetore në përputhje me standardet përkatëse.</w:t>
      </w:r>
    </w:p>
    <w:p w14:paraId="4F30FF59" w14:textId="77777777" w:rsidR="000C70FA" w:rsidRPr="009D660E" w:rsidRDefault="000C70FA" w:rsidP="000C70FA">
      <w:pPr>
        <w:spacing w:line="276" w:lineRule="auto"/>
        <w:jc w:val="both"/>
        <w:rPr>
          <w:rStyle w:val="IntenseReference"/>
          <w:rFonts w:eastAsiaTheme="majorEastAsia"/>
          <w:i w:val="0"/>
          <w:color w:val="auto"/>
          <w:szCs w:val="22"/>
          <w:lang w:val="it-IT"/>
        </w:rPr>
      </w:pPr>
    </w:p>
    <w:p w14:paraId="25C0CA1B" w14:textId="7B76FD4F" w:rsidR="000C70FA" w:rsidRPr="009D660E" w:rsidRDefault="000C70FA" w:rsidP="00CD7428">
      <w:pPr>
        <w:pStyle w:val="ListParagraph"/>
        <w:numPr>
          <w:ilvl w:val="0"/>
          <w:numId w:val="103"/>
        </w:numPr>
        <w:spacing w:line="276" w:lineRule="auto"/>
        <w:jc w:val="both"/>
        <w:rPr>
          <w:lang w:val="it-IT"/>
        </w:rPr>
      </w:pPr>
      <w:r w:rsidRPr="009D660E">
        <w:rPr>
          <w:lang w:val="it-IT"/>
        </w:rPr>
        <w:t>Përmirësimi i Sistemit të Planifikimit të Integruar të mbështetur nga Teknologjia e Informacionit</w:t>
      </w:r>
      <w:r w:rsidR="00952810" w:rsidRPr="009D660E">
        <w:rPr>
          <w:lang w:val="it-IT"/>
        </w:rPr>
        <w:t xml:space="preserve"> (TI)</w:t>
      </w:r>
      <w:r w:rsidRPr="009D660E">
        <w:rPr>
          <w:lang w:val="it-IT"/>
        </w:rPr>
        <w:t xml:space="preserve"> për formulimin dhe monitorimin e strategjive;</w:t>
      </w:r>
    </w:p>
    <w:p w14:paraId="7016404D" w14:textId="77777777" w:rsidR="000C70FA" w:rsidRPr="009D660E" w:rsidRDefault="000C70FA" w:rsidP="00CD7428">
      <w:pPr>
        <w:pStyle w:val="ListParagraph"/>
        <w:numPr>
          <w:ilvl w:val="0"/>
          <w:numId w:val="103"/>
        </w:numPr>
        <w:spacing w:line="276" w:lineRule="auto"/>
        <w:jc w:val="both"/>
        <w:rPr>
          <w:rStyle w:val="IntenseReference"/>
          <w:i w:val="0"/>
          <w:color w:val="auto"/>
          <w:lang w:val="it-IT"/>
        </w:rPr>
      </w:pPr>
      <w:r w:rsidRPr="009D660E">
        <w:rPr>
          <w:rStyle w:val="IntenseReference"/>
          <w:rFonts w:eastAsiaTheme="majorEastAsia"/>
          <w:i w:val="0"/>
          <w:color w:val="auto"/>
          <w:lang w:val="it-IT"/>
        </w:rPr>
        <w:t>Zgjerimi i rishikimit afatmesëm dhe vlerësimit ex-post të strategjive dhe planeve të veprimit.</w:t>
      </w:r>
    </w:p>
    <w:p w14:paraId="20ADC9A7" w14:textId="77777777" w:rsidR="000C70FA" w:rsidRPr="009D660E" w:rsidRDefault="000C70FA" w:rsidP="00CD7428">
      <w:pPr>
        <w:pStyle w:val="ListParagraph"/>
        <w:numPr>
          <w:ilvl w:val="0"/>
          <w:numId w:val="103"/>
        </w:numPr>
        <w:spacing w:line="276" w:lineRule="auto"/>
        <w:jc w:val="both"/>
        <w:rPr>
          <w:rStyle w:val="IntenseReference"/>
          <w:i w:val="0"/>
          <w:color w:val="auto"/>
          <w:lang w:val="it-IT"/>
        </w:rPr>
      </w:pPr>
      <w:r w:rsidRPr="009D660E">
        <w:rPr>
          <w:rStyle w:val="IntenseReference"/>
          <w:rFonts w:eastAsiaTheme="majorEastAsia"/>
          <w:i w:val="0"/>
          <w:color w:val="auto"/>
          <w:lang w:val="it-IT"/>
        </w:rPr>
        <w:t>Përmirësimi i mëtejshëm i metodave, procedurave dhe llogaridhënies menaxheriale për formulimin e PBA-së.</w:t>
      </w:r>
    </w:p>
    <w:p w14:paraId="461DD2ED" w14:textId="77777777" w:rsidR="000C70FA" w:rsidRPr="009D660E" w:rsidRDefault="000C70FA" w:rsidP="00CD7428">
      <w:pPr>
        <w:pStyle w:val="ListParagraph"/>
        <w:numPr>
          <w:ilvl w:val="0"/>
          <w:numId w:val="103"/>
        </w:numPr>
        <w:spacing w:line="276" w:lineRule="auto"/>
        <w:jc w:val="both"/>
        <w:rPr>
          <w:rStyle w:val="IntenseReference"/>
          <w:i w:val="0"/>
          <w:color w:val="auto"/>
          <w:lang w:val="it-IT"/>
        </w:rPr>
      </w:pPr>
      <w:r w:rsidRPr="009D660E">
        <w:rPr>
          <w:rStyle w:val="IntenseReference"/>
          <w:rFonts w:eastAsiaTheme="majorEastAsia"/>
          <w:i w:val="0"/>
          <w:color w:val="auto"/>
          <w:lang w:val="it-IT"/>
        </w:rPr>
        <w:t>Përmirësimi i dokumentacionit buxhetor dhe në veçanti elementit të informacionit të performances</w:t>
      </w:r>
    </w:p>
    <w:p w14:paraId="01319DFA" w14:textId="33C3C5FB" w:rsidR="000C70FA" w:rsidRPr="00E51921" w:rsidRDefault="00E51921" w:rsidP="00CD7428">
      <w:pPr>
        <w:pStyle w:val="ListParagraph"/>
        <w:numPr>
          <w:ilvl w:val="0"/>
          <w:numId w:val="103"/>
        </w:numPr>
        <w:spacing w:line="276" w:lineRule="auto"/>
        <w:jc w:val="both"/>
        <w:rPr>
          <w:rStyle w:val="IntenseReference"/>
          <w:i w:val="0"/>
          <w:color w:val="auto"/>
          <w:sz w:val="20"/>
          <w:lang w:val="it-IT"/>
        </w:rPr>
      </w:pPr>
      <w:r w:rsidRPr="00E51921">
        <w:rPr>
          <w:bCs/>
          <w:szCs w:val="16"/>
          <w:lang w:val="it-IT"/>
        </w:rPr>
        <w:t>Prezantimi i rishikimeve të shpenzimeve</w:t>
      </w:r>
    </w:p>
    <w:p w14:paraId="6786250F" w14:textId="7CA35DD5" w:rsidR="000C70FA" w:rsidRPr="009D660E" w:rsidRDefault="000C70FA" w:rsidP="00CD7428">
      <w:pPr>
        <w:pStyle w:val="ListParagraph"/>
        <w:numPr>
          <w:ilvl w:val="0"/>
          <w:numId w:val="103"/>
        </w:numPr>
        <w:spacing w:line="276" w:lineRule="auto"/>
        <w:jc w:val="both"/>
        <w:rPr>
          <w:rStyle w:val="IntenseReference"/>
          <w:i w:val="0"/>
          <w:color w:val="auto"/>
          <w:lang w:val="it-IT"/>
        </w:rPr>
      </w:pPr>
      <w:r w:rsidRPr="009D660E">
        <w:rPr>
          <w:rStyle w:val="IntenseReference"/>
          <w:rFonts w:eastAsiaTheme="majorEastAsia"/>
          <w:i w:val="0"/>
          <w:color w:val="auto"/>
          <w:lang w:val="it-IT"/>
        </w:rPr>
        <w:t>Zhvillimi dhe prezantimi i mëtejshëm i buxhetimit të përgj</w:t>
      </w:r>
      <w:r w:rsidR="008165C9" w:rsidRPr="009D660E">
        <w:rPr>
          <w:rStyle w:val="IntenseReference"/>
          <w:rFonts w:eastAsiaTheme="majorEastAsia"/>
          <w:i w:val="0"/>
          <w:color w:val="auto"/>
          <w:lang w:val="it-IT"/>
        </w:rPr>
        <w:t>i</w:t>
      </w:r>
      <w:r w:rsidRPr="009D660E">
        <w:rPr>
          <w:rStyle w:val="IntenseReference"/>
          <w:rFonts w:eastAsiaTheme="majorEastAsia"/>
          <w:i w:val="0"/>
          <w:color w:val="auto"/>
          <w:lang w:val="it-IT"/>
        </w:rPr>
        <w:t>gjshëm gjinor dhe buxhetimit të përgj</w:t>
      </w:r>
      <w:r w:rsidR="008165C9" w:rsidRPr="009D660E">
        <w:rPr>
          <w:rStyle w:val="IntenseReference"/>
          <w:rFonts w:eastAsiaTheme="majorEastAsia"/>
          <w:i w:val="0"/>
          <w:color w:val="auto"/>
          <w:lang w:val="it-IT"/>
        </w:rPr>
        <w:t>i</w:t>
      </w:r>
      <w:r w:rsidRPr="009D660E">
        <w:rPr>
          <w:rStyle w:val="IntenseReference"/>
          <w:rFonts w:eastAsiaTheme="majorEastAsia"/>
          <w:i w:val="0"/>
          <w:color w:val="auto"/>
          <w:lang w:val="it-IT"/>
        </w:rPr>
        <w:t>gjshëm ndaj klimës</w:t>
      </w:r>
    </w:p>
    <w:p w14:paraId="02609754" w14:textId="3D4E48C7" w:rsidR="001C233F" w:rsidRPr="009D660E" w:rsidRDefault="001C233F" w:rsidP="00CD7428">
      <w:pPr>
        <w:pStyle w:val="ListParagraph"/>
        <w:numPr>
          <w:ilvl w:val="0"/>
          <w:numId w:val="103"/>
        </w:numPr>
        <w:spacing w:line="276" w:lineRule="auto"/>
        <w:jc w:val="both"/>
        <w:rPr>
          <w:rStyle w:val="IntenseReference"/>
          <w:i w:val="0"/>
          <w:color w:val="auto"/>
          <w:lang w:val="it-IT"/>
        </w:rPr>
      </w:pPr>
      <w:r w:rsidRPr="009D660E">
        <w:rPr>
          <w:rStyle w:val="IntenseReference"/>
          <w:rFonts w:eastAsiaTheme="majorEastAsia"/>
          <w:i w:val="0"/>
          <w:color w:val="auto"/>
          <w:lang w:val="it-IT"/>
        </w:rPr>
        <w:t>Miratimi i Dokumentit të Politikave Prioritare së bashku me Listën Unike</w:t>
      </w:r>
      <w:r w:rsidR="003E4147" w:rsidRPr="009D660E">
        <w:rPr>
          <w:rStyle w:val="IntenseReference"/>
          <w:rFonts w:eastAsiaTheme="majorEastAsia"/>
          <w:i w:val="0"/>
          <w:color w:val="auto"/>
          <w:lang w:val="it-IT"/>
        </w:rPr>
        <w:t xml:space="preserve"> të Projekteve</w:t>
      </w:r>
      <w:r w:rsidRPr="009D660E">
        <w:rPr>
          <w:rStyle w:val="IntenseReference"/>
          <w:rFonts w:eastAsiaTheme="majorEastAsia"/>
          <w:i w:val="0"/>
          <w:color w:val="auto"/>
          <w:lang w:val="it-IT"/>
        </w:rPr>
        <w:t xml:space="preserve"> me Rëndësi Kombëtare </w:t>
      </w:r>
    </w:p>
    <w:p w14:paraId="204894DB" w14:textId="77777777" w:rsidR="000C70FA" w:rsidRPr="009D660E" w:rsidRDefault="000C70FA" w:rsidP="00CD7428">
      <w:pPr>
        <w:pStyle w:val="ListParagraph"/>
        <w:numPr>
          <w:ilvl w:val="0"/>
          <w:numId w:val="103"/>
        </w:numPr>
        <w:spacing w:line="276" w:lineRule="auto"/>
        <w:jc w:val="both"/>
        <w:rPr>
          <w:rStyle w:val="IntenseReference"/>
          <w:i w:val="0"/>
          <w:color w:val="auto"/>
          <w:lang w:val="it-IT"/>
        </w:rPr>
      </w:pPr>
      <w:r w:rsidRPr="009D660E">
        <w:rPr>
          <w:rStyle w:val="IntenseReference"/>
          <w:i w:val="0"/>
          <w:color w:val="auto"/>
          <w:lang w:val="it-IT"/>
        </w:rPr>
        <w:t>Operacionalizimi i procedurave për përmirësimin e menaxhimit të investimeve publike;</w:t>
      </w:r>
    </w:p>
    <w:p w14:paraId="1B8363C9" w14:textId="77777777" w:rsidR="000C70FA" w:rsidRPr="009D660E" w:rsidRDefault="000C70FA" w:rsidP="00CD7428">
      <w:pPr>
        <w:pStyle w:val="ListParagraph"/>
        <w:numPr>
          <w:ilvl w:val="0"/>
          <w:numId w:val="103"/>
        </w:numPr>
        <w:spacing w:line="276" w:lineRule="auto"/>
        <w:jc w:val="both"/>
        <w:rPr>
          <w:rStyle w:val="IntenseReference"/>
          <w:i w:val="0"/>
          <w:color w:val="auto"/>
          <w:lang w:val="it-IT"/>
        </w:rPr>
      </w:pPr>
      <w:r w:rsidRPr="009D660E">
        <w:rPr>
          <w:rStyle w:val="IntenseReference"/>
          <w:i w:val="0"/>
          <w:color w:val="auto"/>
          <w:lang w:val="it-IT"/>
        </w:rPr>
        <w:t>Forcimi i Listës Unike të Projekteve dhe rritja e rolit gatekeep-er të MF-së;</w:t>
      </w:r>
    </w:p>
    <w:p w14:paraId="4FBD34E8" w14:textId="77777777" w:rsidR="000C70FA" w:rsidRPr="009D660E" w:rsidRDefault="000C70FA" w:rsidP="00CD7428">
      <w:pPr>
        <w:pStyle w:val="T-Bullet"/>
        <w:numPr>
          <w:ilvl w:val="0"/>
          <w:numId w:val="103"/>
        </w:numPr>
        <w:spacing w:line="276" w:lineRule="auto"/>
        <w:jc w:val="both"/>
        <w:rPr>
          <w:sz w:val="18"/>
          <w:szCs w:val="18"/>
          <w:lang w:val="it-IT"/>
        </w:rPr>
      </w:pPr>
      <w:r w:rsidRPr="009D660E">
        <w:rPr>
          <w:sz w:val="18"/>
          <w:szCs w:val="18"/>
          <w:lang w:val="it-IT"/>
        </w:rPr>
        <w:t>Përmirësimi i formulës së granteve dhe sistemit të llogaritjes për qeverisjen vendore;</w:t>
      </w:r>
    </w:p>
    <w:p w14:paraId="28A3892A" w14:textId="77777777" w:rsidR="000C70FA" w:rsidRPr="00465735" w:rsidRDefault="000C70FA" w:rsidP="00CD7428">
      <w:pPr>
        <w:pStyle w:val="ListParagraph"/>
        <w:numPr>
          <w:ilvl w:val="0"/>
          <w:numId w:val="103"/>
        </w:numPr>
        <w:spacing w:line="276" w:lineRule="auto"/>
        <w:jc w:val="both"/>
        <w:rPr>
          <w:rStyle w:val="IntenseReference"/>
          <w:i w:val="0"/>
          <w:color w:val="auto"/>
        </w:rPr>
      </w:pPr>
      <w:r w:rsidRPr="00465735">
        <w:rPr>
          <w:rStyle w:val="IntenseReference"/>
          <w:rFonts w:eastAsiaTheme="majorEastAsia"/>
          <w:i w:val="0"/>
          <w:color w:val="auto"/>
        </w:rPr>
        <w:t>Forcimi i formulimit dhe monitorimit të zbatimit të PBA-së në Bashkitë;</w:t>
      </w:r>
    </w:p>
    <w:p w14:paraId="24D1E4C7" w14:textId="77777777" w:rsidR="000C70FA" w:rsidRPr="00465735" w:rsidRDefault="000C70FA" w:rsidP="00CD7428">
      <w:pPr>
        <w:pStyle w:val="ListParagraph"/>
        <w:numPr>
          <w:ilvl w:val="0"/>
          <w:numId w:val="103"/>
        </w:numPr>
        <w:spacing w:line="276" w:lineRule="auto"/>
        <w:jc w:val="both"/>
        <w:rPr>
          <w:rStyle w:val="IntenseReference"/>
          <w:i w:val="0"/>
          <w:color w:val="auto"/>
        </w:rPr>
      </w:pPr>
      <w:r w:rsidRPr="00465735">
        <w:rPr>
          <w:rStyle w:val="IntenseReference"/>
          <w:rFonts w:eastAsiaTheme="majorEastAsia"/>
          <w:i w:val="0"/>
          <w:color w:val="auto"/>
        </w:rPr>
        <w:t>Zhvillimi dhe vendosja e Sistemit të ri të Menaxhimit të Buxhetit Vendor (SMBV) për përgatitjen dhe monitorimin e buxhetit vendor;</w:t>
      </w:r>
    </w:p>
    <w:p w14:paraId="23427BF0" w14:textId="77777777" w:rsidR="000C70FA" w:rsidRPr="009D660E" w:rsidRDefault="000C70FA" w:rsidP="00CD7428">
      <w:pPr>
        <w:pStyle w:val="ListParagraph"/>
        <w:numPr>
          <w:ilvl w:val="0"/>
          <w:numId w:val="103"/>
        </w:numPr>
        <w:spacing w:line="276" w:lineRule="auto"/>
        <w:jc w:val="both"/>
        <w:rPr>
          <w:lang w:val="it-IT"/>
        </w:rPr>
      </w:pPr>
      <w:r w:rsidRPr="009D660E">
        <w:rPr>
          <w:bCs/>
          <w:lang w:val="it-IT"/>
        </w:rPr>
        <w:t>Përmirësimi i nivelit të burimeve financiare nga taksat e ndara</w:t>
      </w:r>
    </w:p>
    <w:p w14:paraId="48997144" w14:textId="3E03E805" w:rsidR="000C70FA" w:rsidRPr="009D660E" w:rsidRDefault="008700AB" w:rsidP="00CD7428">
      <w:pPr>
        <w:pStyle w:val="ListParagraph"/>
        <w:numPr>
          <w:ilvl w:val="0"/>
          <w:numId w:val="103"/>
        </w:numPr>
        <w:spacing w:line="276" w:lineRule="auto"/>
        <w:jc w:val="both"/>
        <w:rPr>
          <w:rStyle w:val="IntenseReference"/>
          <w:i w:val="0"/>
          <w:color w:val="auto"/>
          <w:lang w:val="it-IT"/>
        </w:rPr>
      </w:pPr>
      <w:r w:rsidRPr="009D660E">
        <w:rPr>
          <w:rStyle w:val="IntenseReference"/>
          <w:rFonts w:eastAsiaTheme="majorEastAsia"/>
          <w:i w:val="0"/>
          <w:color w:val="auto"/>
          <w:lang w:val="it-IT"/>
        </w:rPr>
        <w:t>Përmirësimi i</w:t>
      </w:r>
      <w:r w:rsidR="000C70FA" w:rsidRPr="009D660E">
        <w:rPr>
          <w:rStyle w:val="IntenseReference"/>
          <w:rFonts w:eastAsiaTheme="majorEastAsia"/>
          <w:i w:val="0"/>
          <w:color w:val="auto"/>
          <w:lang w:val="it-IT"/>
        </w:rPr>
        <w:t xml:space="preserve"> raportimit dhe monitorimit të zbatimit të buxhetit dhe prezantimi i raportit të Zbatimit të Buxhetit për Qytetarët;</w:t>
      </w:r>
    </w:p>
    <w:p w14:paraId="419B17B1" w14:textId="77777777" w:rsidR="000C70FA" w:rsidRPr="009D660E" w:rsidRDefault="000C70FA" w:rsidP="00CD7428">
      <w:pPr>
        <w:pStyle w:val="ListParagraph"/>
        <w:numPr>
          <w:ilvl w:val="0"/>
          <w:numId w:val="103"/>
        </w:numPr>
        <w:spacing w:line="276" w:lineRule="auto"/>
        <w:jc w:val="both"/>
        <w:rPr>
          <w:rStyle w:val="IntenseReference"/>
          <w:i w:val="0"/>
          <w:color w:val="auto"/>
          <w:lang w:val="it-IT"/>
        </w:rPr>
      </w:pPr>
      <w:r w:rsidRPr="009D660E">
        <w:rPr>
          <w:rStyle w:val="IntenseReference"/>
          <w:rFonts w:eastAsiaTheme="majorEastAsia"/>
          <w:i w:val="0"/>
          <w:color w:val="auto"/>
          <w:lang w:val="it-IT"/>
        </w:rPr>
        <w:t>Përmirësimi i monitorimit dhe raportimit për Projektet e Investimeve Publike;</w:t>
      </w:r>
    </w:p>
    <w:p w14:paraId="75E8C0E8" w14:textId="77777777" w:rsidR="000C70FA" w:rsidRPr="009D660E" w:rsidRDefault="000C70FA" w:rsidP="00CD7428">
      <w:pPr>
        <w:pStyle w:val="ListParagraph"/>
        <w:numPr>
          <w:ilvl w:val="0"/>
          <w:numId w:val="103"/>
        </w:numPr>
        <w:spacing w:line="276" w:lineRule="auto"/>
        <w:jc w:val="both"/>
        <w:rPr>
          <w:rStyle w:val="IntenseReference"/>
          <w:i w:val="0"/>
          <w:color w:val="auto"/>
          <w:lang w:val="it-IT"/>
        </w:rPr>
      </w:pPr>
      <w:r w:rsidRPr="009D660E">
        <w:rPr>
          <w:rStyle w:val="IntenseReference"/>
          <w:rFonts w:eastAsiaTheme="majorEastAsia"/>
          <w:i w:val="0"/>
          <w:color w:val="auto"/>
          <w:lang w:val="it-IT"/>
        </w:rPr>
        <w:t>Përmirësimi i monitorimit dhe raportimit për PPP-të dhe Kontratat e Koncesionit.</w:t>
      </w:r>
    </w:p>
    <w:p w14:paraId="38BF5A5A" w14:textId="77777777" w:rsidR="000C70FA" w:rsidRPr="009D660E" w:rsidRDefault="000C70FA" w:rsidP="000C70FA">
      <w:pPr>
        <w:pStyle w:val="N-Bold"/>
        <w:spacing w:line="276" w:lineRule="auto"/>
        <w:jc w:val="both"/>
        <w:rPr>
          <w:rStyle w:val="IntenseReference"/>
          <w:rFonts w:eastAsiaTheme="majorEastAsia"/>
          <w:i w:val="0"/>
          <w:color w:val="auto"/>
          <w:szCs w:val="22"/>
          <w:lang w:val="it-IT"/>
        </w:rPr>
      </w:pPr>
    </w:p>
    <w:p w14:paraId="1451F701" w14:textId="77777777" w:rsidR="00873C89" w:rsidRPr="009D660E" w:rsidRDefault="00873C89" w:rsidP="000C70FA">
      <w:pPr>
        <w:pStyle w:val="N-Bold"/>
        <w:spacing w:line="276" w:lineRule="auto"/>
        <w:jc w:val="both"/>
        <w:rPr>
          <w:rStyle w:val="IntenseReference"/>
          <w:rFonts w:eastAsiaTheme="majorEastAsia"/>
          <w:i w:val="0"/>
          <w:color w:val="auto"/>
          <w:szCs w:val="22"/>
          <w:lang w:val="it-IT"/>
        </w:rPr>
      </w:pPr>
    </w:p>
    <w:p w14:paraId="7D3D7BCA" w14:textId="27216771" w:rsidR="000C70FA" w:rsidRPr="009D660E" w:rsidRDefault="000C70FA" w:rsidP="000C70FA">
      <w:pPr>
        <w:pStyle w:val="N-Bold"/>
        <w:spacing w:line="276" w:lineRule="auto"/>
        <w:jc w:val="both"/>
        <w:rPr>
          <w:rStyle w:val="IntenseReference"/>
          <w:rFonts w:eastAsiaTheme="majorEastAsia"/>
          <w:i w:val="0"/>
          <w:color w:val="auto"/>
          <w:szCs w:val="22"/>
          <w:lang w:val="it-IT"/>
        </w:rPr>
      </w:pPr>
      <w:r w:rsidRPr="009D660E">
        <w:rPr>
          <w:rStyle w:val="IntenseReference"/>
          <w:rFonts w:eastAsiaTheme="majorEastAsia"/>
          <w:i w:val="0"/>
          <w:color w:val="auto"/>
          <w:szCs w:val="22"/>
          <w:lang w:val="it-IT"/>
        </w:rPr>
        <w:t>Shtylla 3: Menaxhimi dhe mobilizimi i t</w:t>
      </w:r>
      <w:r w:rsidR="00780EA8" w:rsidRPr="009D660E">
        <w:rPr>
          <w:rStyle w:val="IntenseReference"/>
          <w:rFonts w:eastAsiaTheme="majorEastAsia"/>
          <w:i w:val="0"/>
          <w:color w:val="auto"/>
          <w:szCs w:val="22"/>
          <w:lang w:val="it-IT"/>
        </w:rPr>
        <w:t>ë</w:t>
      </w:r>
      <w:r w:rsidRPr="009D660E">
        <w:rPr>
          <w:rStyle w:val="IntenseReference"/>
          <w:rFonts w:eastAsiaTheme="majorEastAsia"/>
          <w:i w:val="0"/>
          <w:color w:val="auto"/>
          <w:szCs w:val="22"/>
          <w:lang w:val="it-IT"/>
        </w:rPr>
        <w:t xml:space="preserve"> ardhurave</w:t>
      </w:r>
    </w:p>
    <w:p w14:paraId="3AC2E9CC" w14:textId="62D34378" w:rsidR="000C70FA" w:rsidRPr="009D660E" w:rsidRDefault="000C70FA" w:rsidP="000C70FA">
      <w:pPr>
        <w:spacing w:line="276" w:lineRule="auto"/>
        <w:jc w:val="both"/>
        <w:rPr>
          <w:rStyle w:val="IntenseReference"/>
          <w:rFonts w:eastAsiaTheme="majorEastAsia"/>
          <w:color w:val="auto"/>
          <w:szCs w:val="22"/>
          <w:lang w:val="it-IT"/>
        </w:rPr>
      </w:pPr>
      <w:r w:rsidRPr="009D660E">
        <w:rPr>
          <w:rStyle w:val="IntenseReference"/>
          <w:rFonts w:eastAsiaTheme="majorEastAsia"/>
          <w:color w:val="auto"/>
          <w:szCs w:val="22"/>
          <w:lang w:val="it-IT"/>
        </w:rPr>
        <w:t xml:space="preserve">Mobilizimi i të ardhurave vendase është rritur përmes zhvillimit dhe zbatimit të politikave të avancuara tatimore; sistemet për menaxhimin e taksave dhe doganave janë përmirësuar më tej dhe aty ku është e aplikueshme janë në përputhje me kërkesat ligjore të BE-së. Strategjia Afatmesme e të Ardhurave </w:t>
      </w:r>
      <w:r w:rsidR="00952810" w:rsidRPr="009D660E">
        <w:rPr>
          <w:rStyle w:val="IntenseReference"/>
          <w:rFonts w:eastAsiaTheme="majorEastAsia"/>
          <w:color w:val="auto"/>
          <w:szCs w:val="22"/>
          <w:lang w:val="it-IT"/>
        </w:rPr>
        <w:t xml:space="preserve">(SAA) </w:t>
      </w:r>
      <w:r w:rsidRPr="009D660E">
        <w:rPr>
          <w:rStyle w:val="IntenseReference"/>
          <w:rFonts w:eastAsiaTheme="majorEastAsia"/>
          <w:color w:val="auto"/>
          <w:szCs w:val="22"/>
          <w:lang w:val="it-IT"/>
        </w:rPr>
        <w:t>zbatohet, përditësohet rregullisht dhe reformat tatimore menaxhohen në mënyrë adekuate.</w:t>
      </w:r>
    </w:p>
    <w:p w14:paraId="629002DC" w14:textId="77777777" w:rsidR="000C70FA" w:rsidRPr="009D660E" w:rsidRDefault="000C70FA" w:rsidP="000C70FA">
      <w:pPr>
        <w:spacing w:line="276" w:lineRule="auto"/>
        <w:jc w:val="both"/>
        <w:rPr>
          <w:rStyle w:val="IntenseReference"/>
          <w:rFonts w:eastAsiaTheme="majorEastAsia"/>
          <w:color w:val="auto"/>
          <w:szCs w:val="22"/>
          <w:lang w:val="it-IT"/>
        </w:rPr>
      </w:pPr>
    </w:p>
    <w:p w14:paraId="49CAA443" w14:textId="77777777" w:rsidR="000C70FA" w:rsidRPr="009D660E" w:rsidRDefault="000C70FA" w:rsidP="00CD7428">
      <w:pPr>
        <w:pStyle w:val="ListParagraph"/>
        <w:numPr>
          <w:ilvl w:val="0"/>
          <w:numId w:val="62"/>
        </w:numPr>
        <w:spacing w:line="276" w:lineRule="auto"/>
        <w:jc w:val="both"/>
        <w:rPr>
          <w:rStyle w:val="IntenseReference"/>
          <w:i w:val="0"/>
          <w:color w:val="auto"/>
          <w:lang w:val="it-IT"/>
        </w:rPr>
      </w:pPr>
      <w:r w:rsidRPr="009D660E">
        <w:rPr>
          <w:rStyle w:val="IntenseReference"/>
          <w:rFonts w:eastAsiaTheme="majorEastAsia"/>
          <w:i w:val="0"/>
          <w:iCs/>
          <w:color w:val="auto"/>
          <w:lang w:val="it-IT"/>
        </w:rPr>
        <w:t>Rritja e kapaciteteve institucionale për të analizuar dhe zhvilluar politikat tatimore dhe për të menaxhuar reformat tatimore;</w:t>
      </w:r>
    </w:p>
    <w:p w14:paraId="7E0C7F38" w14:textId="77777777" w:rsidR="000C70FA" w:rsidRPr="009D660E" w:rsidRDefault="000C70FA" w:rsidP="00CD7428">
      <w:pPr>
        <w:pStyle w:val="T-bullet0"/>
        <w:numPr>
          <w:ilvl w:val="0"/>
          <w:numId w:val="62"/>
        </w:numPr>
        <w:spacing w:line="276" w:lineRule="auto"/>
        <w:jc w:val="both"/>
        <w:rPr>
          <w:rStyle w:val="IntenseReference"/>
          <w:rFonts w:eastAsiaTheme="majorEastAsia"/>
          <w:i w:val="0"/>
          <w:iCs/>
          <w:color w:val="auto"/>
          <w:lang w:val="it-IT"/>
        </w:rPr>
      </w:pPr>
      <w:r w:rsidRPr="009D660E">
        <w:rPr>
          <w:rStyle w:val="IntenseReference"/>
          <w:rFonts w:eastAsiaTheme="majorEastAsia"/>
          <w:i w:val="0"/>
          <w:iCs/>
          <w:color w:val="auto"/>
          <w:lang w:val="it-IT"/>
        </w:rPr>
        <w:t>Zhvillimi dhe zbatimi i iniciativave për të reduktuar hendekun e pajtueshmërisë me TVSH-në;</w:t>
      </w:r>
    </w:p>
    <w:p w14:paraId="4079823A" w14:textId="77777777" w:rsidR="000C70FA" w:rsidRPr="009D660E" w:rsidRDefault="000C70FA" w:rsidP="00CD7428">
      <w:pPr>
        <w:pStyle w:val="T-bullet0"/>
        <w:numPr>
          <w:ilvl w:val="0"/>
          <w:numId w:val="62"/>
        </w:numPr>
        <w:spacing w:line="276" w:lineRule="auto"/>
        <w:jc w:val="both"/>
        <w:rPr>
          <w:rStyle w:val="IntenseReference"/>
          <w:rFonts w:eastAsiaTheme="majorEastAsia"/>
          <w:i w:val="0"/>
          <w:iCs/>
          <w:color w:val="auto"/>
          <w:lang w:val="it-IT"/>
        </w:rPr>
      </w:pPr>
      <w:r w:rsidRPr="009D660E">
        <w:rPr>
          <w:rStyle w:val="IntenseReference"/>
          <w:rFonts w:eastAsiaTheme="majorEastAsia"/>
          <w:i w:val="0"/>
          <w:iCs/>
          <w:color w:val="auto"/>
          <w:lang w:val="it-IT"/>
        </w:rPr>
        <w:t>Zhvillimi dhe zbatimi i një qasjeje të integruar për të reduktuar punën e padeklaruar;</w:t>
      </w:r>
    </w:p>
    <w:p w14:paraId="1085C0B7" w14:textId="77777777" w:rsidR="000C70FA" w:rsidRPr="009D660E" w:rsidRDefault="000C70FA" w:rsidP="00CD7428">
      <w:pPr>
        <w:pStyle w:val="T-bullet0"/>
        <w:numPr>
          <w:ilvl w:val="0"/>
          <w:numId w:val="62"/>
        </w:numPr>
        <w:spacing w:line="276" w:lineRule="auto"/>
        <w:jc w:val="both"/>
        <w:rPr>
          <w:rStyle w:val="IntenseReference"/>
          <w:rFonts w:eastAsiaTheme="majorEastAsia"/>
          <w:i w:val="0"/>
          <w:iCs/>
          <w:color w:val="auto"/>
          <w:lang w:val="it-IT"/>
        </w:rPr>
      </w:pPr>
      <w:r w:rsidRPr="009D660E">
        <w:rPr>
          <w:rStyle w:val="IntenseReference"/>
          <w:rFonts w:eastAsiaTheme="majorEastAsia"/>
          <w:i w:val="0"/>
          <w:iCs/>
          <w:color w:val="auto"/>
          <w:lang w:val="it-IT"/>
        </w:rPr>
        <w:t xml:space="preserve">Sigurimi i taksimit të çdo pasurie të pajustifikuar brenda dhe jashtë vendit; </w:t>
      </w:r>
    </w:p>
    <w:p w14:paraId="763EF78E" w14:textId="77777777" w:rsidR="000C70FA" w:rsidRPr="009D660E" w:rsidRDefault="000C70FA" w:rsidP="00CD7428">
      <w:pPr>
        <w:pStyle w:val="T-bullet0"/>
        <w:numPr>
          <w:ilvl w:val="0"/>
          <w:numId w:val="62"/>
        </w:numPr>
        <w:spacing w:line="276" w:lineRule="auto"/>
        <w:jc w:val="both"/>
        <w:rPr>
          <w:sz w:val="18"/>
          <w:szCs w:val="18"/>
          <w:lang w:val="it-IT"/>
        </w:rPr>
      </w:pPr>
      <w:r w:rsidRPr="009D660E">
        <w:rPr>
          <w:rStyle w:val="IntenseReference"/>
          <w:rFonts w:eastAsiaTheme="majorEastAsia"/>
          <w:i w:val="0"/>
          <w:iCs/>
          <w:color w:val="auto"/>
          <w:lang w:val="it-IT"/>
        </w:rPr>
        <w:t>Përmirësimi i ofrimit të shërbimeve për taksapaguesit;</w:t>
      </w:r>
    </w:p>
    <w:p w14:paraId="68AC02F0" w14:textId="77777777" w:rsidR="000C70FA" w:rsidRPr="009D660E" w:rsidRDefault="000C70FA" w:rsidP="00CD7428">
      <w:pPr>
        <w:pStyle w:val="ListParagraph"/>
        <w:numPr>
          <w:ilvl w:val="0"/>
          <w:numId w:val="62"/>
        </w:numPr>
        <w:spacing w:line="276" w:lineRule="auto"/>
        <w:jc w:val="both"/>
        <w:rPr>
          <w:rStyle w:val="IntenseReference"/>
          <w:rFonts w:eastAsiaTheme="majorEastAsia"/>
          <w:i w:val="0"/>
          <w:iCs/>
          <w:color w:val="auto"/>
          <w:lang w:val="it-IT"/>
        </w:rPr>
      </w:pPr>
      <w:r w:rsidRPr="009D660E">
        <w:rPr>
          <w:rStyle w:val="IntenseReference"/>
          <w:rFonts w:eastAsiaTheme="majorEastAsia"/>
          <w:i w:val="0"/>
          <w:iCs/>
          <w:color w:val="auto"/>
          <w:lang w:val="it-IT"/>
        </w:rPr>
        <w:t>Përmirësimi i kadastrës fiskale dhe sistemit të mbledhjes së taksës së pasurisë;</w:t>
      </w:r>
    </w:p>
    <w:p w14:paraId="29F990DF" w14:textId="77777777" w:rsidR="000C70FA" w:rsidRPr="00D51275" w:rsidRDefault="000C70FA" w:rsidP="00CD7428">
      <w:pPr>
        <w:pStyle w:val="ListParagraph"/>
        <w:numPr>
          <w:ilvl w:val="0"/>
          <w:numId w:val="62"/>
        </w:numPr>
        <w:spacing w:line="276" w:lineRule="auto"/>
        <w:jc w:val="both"/>
        <w:rPr>
          <w:rStyle w:val="IntenseReference"/>
          <w:rFonts w:eastAsiaTheme="majorEastAsia"/>
          <w:i w:val="0"/>
          <w:iCs/>
          <w:color w:val="auto"/>
        </w:rPr>
      </w:pPr>
      <w:r w:rsidRPr="00D51275">
        <w:rPr>
          <w:rStyle w:val="IntenseReference"/>
          <w:rFonts w:eastAsiaTheme="majorEastAsia"/>
          <w:i w:val="0"/>
          <w:iCs/>
          <w:color w:val="auto"/>
        </w:rPr>
        <w:t>Modernizimi i proceseve të biznesit dhe menaxhimit të riskut të Administratës Doganore</w:t>
      </w:r>
      <w:r>
        <w:rPr>
          <w:rStyle w:val="IntenseReference"/>
          <w:rFonts w:eastAsiaTheme="majorEastAsia"/>
          <w:i w:val="0"/>
          <w:iCs/>
          <w:color w:val="auto"/>
        </w:rPr>
        <w:t>;</w:t>
      </w:r>
    </w:p>
    <w:p w14:paraId="66379320" w14:textId="77777777" w:rsidR="000C70FA" w:rsidRPr="00D51275" w:rsidRDefault="000C70FA" w:rsidP="00CD7428">
      <w:pPr>
        <w:pStyle w:val="T-bullet0"/>
        <w:numPr>
          <w:ilvl w:val="0"/>
          <w:numId w:val="62"/>
        </w:numPr>
        <w:spacing w:line="276" w:lineRule="auto"/>
        <w:jc w:val="both"/>
        <w:rPr>
          <w:rStyle w:val="IntenseReference"/>
          <w:rFonts w:eastAsiaTheme="majorEastAsia"/>
          <w:i w:val="0"/>
          <w:iCs/>
          <w:color w:val="auto"/>
        </w:rPr>
      </w:pPr>
      <w:r w:rsidRPr="00D51275">
        <w:rPr>
          <w:rStyle w:val="IntenseReference"/>
          <w:rFonts w:eastAsiaTheme="majorEastAsia"/>
          <w:i w:val="0"/>
          <w:iCs/>
          <w:color w:val="auto"/>
        </w:rPr>
        <w:t>Zhvillimi i kuadrit të integritetit dhe luftës kundër informalitetit dhe korrupsionit</w:t>
      </w:r>
      <w:r>
        <w:rPr>
          <w:rStyle w:val="IntenseReference"/>
          <w:rFonts w:eastAsiaTheme="majorEastAsia"/>
          <w:i w:val="0"/>
          <w:iCs/>
          <w:color w:val="auto"/>
        </w:rPr>
        <w:t>;</w:t>
      </w:r>
    </w:p>
    <w:p w14:paraId="7D1423D7" w14:textId="77777777" w:rsidR="000C70FA" w:rsidRPr="009D660E" w:rsidRDefault="000C70FA" w:rsidP="00CD7428">
      <w:pPr>
        <w:pStyle w:val="T-bullet0"/>
        <w:numPr>
          <w:ilvl w:val="0"/>
          <w:numId w:val="62"/>
        </w:numPr>
        <w:spacing w:line="276" w:lineRule="auto"/>
        <w:jc w:val="both"/>
        <w:rPr>
          <w:rStyle w:val="IntenseReference"/>
          <w:rFonts w:eastAsiaTheme="majorEastAsia"/>
          <w:i w:val="0"/>
          <w:iCs/>
          <w:color w:val="auto"/>
          <w:lang w:val="it-IT"/>
        </w:rPr>
      </w:pPr>
      <w:r w:rsidRPr="009D660E">
        <w:rPr>
          <w:rStyle w:val="IntenseReference"/>
          <w:rFonts w:eastAsiaTheme="majorEastAsia"/>
          <w:i w:val="0"/>
          <w:iCs/>
          <w:color w:val="auto"/>
          <w:lang w:val="it-IT"/>
        </w:rPr>
        <w:t>Rritja e numrit të Operatorëve Ekonomikë të Autorizuar;</w:t>
      </w:r>
    </w:p>
    <w:p w14:paraId="08AFDA8E" w14:textId="77777777" w:rsidR="000C70FA" w:rsidRPr="009D660E" w:rsidRDefault="000C70FA" w:rsidP="00CD7428">
      <w:pPr>
        <w:pStyle w:val="T-bullet0"/>
        <w:numPr>
          <w:ilvl w:val="0"/>
          <w:numId w:val="62"/>
        </w:numPr>
        <w:spacing w:line="276" w:lineRule="auto"/>
        <w:jc w:val="both"/>
        <w:rPr>
          <w:rStyle w:val="IntenseReference"/>
          <w:rFonts w:eastAsiaTheme="majorEastAsia"/>
          <w:i w:val="0"/>
          <w:iCs/>
          <w:color w:val="auto"/>
          <w:lang w:val="it-IT"/>
        </w:rPr>
      </w:pPr>
      <w:r w:rsidRPr="009D660E">
        <w:rPr>
          <w:rStyle w:val="IntenseReference"/>
          <w:rFonts w:eastAsiaTheme="majorEastAsia"/>
          <w:i w:val="0"/>
          <w:iCs/>
          <w:color w:val="auto"/>
          <w:lang w:val="it-IT"/>
        </w:rPr>
        <w:t>Zbatimi i “dritares së vetme kombëtare”;</w:t>
      </w:r>
    </w:p>
    <w:p w14:paraId="5D603F58" w14:textId="77777777" w:rsidR="000C70FA" w:rsidRPr="009D660E" w:rsidRDefault="000C70FA" w:rsidP="00CD7428">
      <w:pPr>
        <w:pStyle w:val="ListParagraph"/>
        <w:numPr>
          <w:ilvl w:val="0"/>
          <w:numId w:val="62"/>
        </w:numPr>
        <w:spacing w:line="276" w:lineRule="auto"/>
        <w:jc w:val="both"/>
        <w:rPr>
          <w:rStyle w:val="IntenseReference"/>
          <w:rFonts w:eastAsiaTheme="majorEastAsia"/>
          <w:i w:val="0"/>
          <w:iCs/>
          <w:color w:val="auto"/>
          <w:lang w:val="it-IT"/>
        </w:rPr>
      </w:pPr>
      <w:r w:rsidRPr="009D660E">
        <w:rPr>
          <w:rStyle w:val="IntenseReference"/>
          <w:rFonts w:eastAsiaTheme="majorEastAsia"/>
          <w:i w:val="0"/>
          <w:iCs/>
          <w:color w:val="auto"/>
          <w:lang w:val="it-IT"/>
        </w:rPr>
        <w:t>Përmirësimi i përdorimit të Sistemit të Ri të Kompjuterizuar të Transitit;</w:t>
      </w:r>
    </w:p>
    <w:p w14:paraId="506AF0EE" w14:textId="77777777" w:rsidR="000C70FA" w:rsidRPr="009D660E" w:rsidRDefault="000C70FA" w:rsidP="000C70FA">
      <w:pPr>
        <w:pStyle w:val="ListParagraph"/>
        <w:spacing w:line="276" w:lineRule="auto"/>
        <w:ind w:left="360"/>
        <w:jc w:val="both"/>
        <w:rPr>
          <w:rStyle w:val="IntenseReference"/>
          <w:i w:val="0"/>
          <w:color w:val="auto"/>
          <w:lang w:val="it-IT"/>
        </w:rPr>
      </w:pPr>
    </w:p>
    <w:p w14:paraId="31A9ABC2" w14:textId="1B7FA8CE" w:rsidR="000C70FA" w:rsidRPr="009D660E" w:rsidRDefault="000C70FA" w:rsidP="000C70FA">
      <w:pPr>
        <w:pStyle w:val="N-Bold"/>
        <w:spacing w:line="276" w:lineRule="auto"/>
        <w:jc w:val="both"/>
        <w:rPr>
          <w:rStyle w:val="IntenseReference"/>
          <w:rFonts w:eastAsiaTheme="majorEastAsia"/>
          <w:i w:val="0"/>
          <w:color w:val="auto"/>
          <w:szCs w:val="22"/>
          <w:lang w:val="it-IT"/>
        </w:rPr>
      </w:pPr>
      <w:r w:rsidRPr="009D660E">
        <w:rPr>
          <w:rStyle w:val="IntenseReference"/>
          <w:rFonts w:eastAsiaTheme="majorEastAsia"/>
          <w:i w:val="0"/>
          <w:color w:val="auto"/>
          <w:szCs w:val="22"/>
          <w:lang w:val="it-IT"/>
        </w:rPr>
        <w:t>Shtylla 4: Kontabiliteti dhe Menaxhimi i Zbatimit t</w:t>
      </w:r>
      <w:r w:rsidR="00780EA8" w:rsidRPr="009D660E">
        <w:rPr>
          <w:rStyle w:val="IntenseReference"/>
          <w:rFonts w:eastAsiaTheme="majorEastAsia"/>
          <w:i w:val="0"/>
          <w:color w:val="auto"/>
          <w:szCs w:val="22"/>
          <w:lang w:val="it-IT"/>
        </w:rPr>
        <w:t>ë</w:t>
      </w:r>
      <w:r w:rsidRPr="009D660E">
        <w:rPr>
          <w:rStyle w:val="IntenseReference"/>
          <w:rFonts w:eastAsiaTheme="majorEastAsia"/>
          <w:i w:val="0"/>
          <w:color w:val="auto"/>
          <w:szCs w:val="22"/>
          <w:lang w:val="it-IT"/>
        </w:rPr>
        <w:t xml:space="preserve"> Buxhetit</w:t>
      </w:r>
    </w:p>
    <w:p w14:paraId="552F0E63" w14:textId="5DD02AEF" w:rsidR="000C70FA" w:rsidRPr="009D660E" w:rsidRDefault="000C70FA" w:rsidP="000C70FA">
      <w:pPr>
        <w:spacing w:line="276" w:lineRule="auto"/>
        <w:jc w:val="both"/>
        <w:rPr>
          <w:rStyle w:val="IntenseReference"/>
          <w:rFonts w:eastAsiaTheme="majorEastAsia"/>
          <w:color w:val="auto"/>
          <w:szCs w:val="22"/>
          <w:lang w:val="it-IT"/>
        </w:rPr>
      </w:pPr>
      <w:r w:rsidRPr="009D660E">
        <w:rPr>
          <w:rStyle w:val="IntenseReference"/>
          <w:rFonts w:eastAsiaTheme="majorEastAsia"/>
          <w:color w:val="auto"/>
          <w:szCs w:val="22"/>
          <w:lang w:val="it-IT"/>
        </w:rPr>
        <w:t>Praktikat e menaxhimit të zbatimit të buxhetit janë forcuar, duke përfshirë përmirësimin dhe rritjen e përdorimit të Sistemit Informativ Financiar Qeveritar (S</w:t>
      </w:r>
      <w:r w:rsidR="00952810" w:rsidRPr="009D660E">
        <w:rPr>
          <w:rStyle w:val="IntenseReference"/>
          <w:rFonts w:eastAsiaTheme="majorEastAsia"/>
          <w:color w:val="auto"/>
          <w:szCs w:val="22"/>
          <w:lang w:val="it-IT"/>
        </w:rPr>
        <w:t>I</w:t>
      </w:r>
      <w:r w:rsidRPr="009D660E">
        <w:rPr>
          <w:rStyle w:val="IntenseReference"/>
          <w:rFonts w:eastAsiaTheme="majorEastAsia"/>
          <w:color w:val="auto"/>
          <w:szCs w:val="22"/>
          <w:lang w:val="it-IT"/>
        </w:rPr>
        <w:t>FQ), zbatimin e reformave të Standardeve Ndërkombëtare të Kontabilitetit Publik, duke lehtësuar kalimin në kontabilitetin n</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baz</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t</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drejtash dhe detyrimesh t</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konstatuara. Sistemet e prokurimit janë përmirësuar dhe në veçanti është siguruar pajtueshmëria me legjislacionin e prokurimit. Praktikat e menaxhimit të borxhit dhe parasë janë përmirësuar më tej dhe sistemet e menaxhimit të aseteve janë përmirësuar.</w:t>
      </w:r>
    </w:p>
    <w:p w14:paraId="0947CECD" w14:textId="77777777" w:rsidR="000C70FA" w:rsidRPr="009D660E" w:rsidRDefault="000C70FA" w:rsidP="000C70FA">
      <w:pPr>
        <w:spacing w:line="276" w:lineRule="auto"/>
        <w:jc w:val="both"/>
        <w:rPr>
          <w:rStyle w:val="IntenseReference"/>
          <w:rFonts w:eastAsiaTheme="majorEastAsia"/>
          <w:i w:val="0"/>
          <w:iCs/>
          <w:color w:val="auto"/>
          <w:szCs w:val="22"/>
          <w:lang w:val="it-IT"/>
        </w:rPr>
      </w:pPr>
    </w:p>
    <w:p w14:paraId="22D531FE" w14:textId="7790C5E2" w:rsidR="000C70FA" w:rsidRPr="00D124DA" w:rsidRDefault="000C70FA" w:rsidP="00CD7428">
      <w:pPr>
        <w:pStyle w:val="ListParagraph"/>
        <w:numPr>
          <w:ilvl w:val="0"/>
          <w:numId w:val="86"/>
        </w:numPr>
        <w:spacing w:line="276" w:lineRule="auto"/>
        <w:jc w:val="both"/>
        <w:rPr>
          <w:rStyle w:val="IntenseReference"/>
          <w:lang w:val="en-GB"/>
        </w:rPr>
      </w:pPr>
      <w:r w:rsidRPr="00D124DA">
        <w:rPr>
          <w:rStyle w:val="IntenseReference"/>
          <w:i w:val="0"/>
          <w:color w:val="auto"/>
          <w:lang w:val="en-GB"/>
        </w:rPr>
        <w:t>P</w:t>
      </w:r>
      <w:r w:rsidR="00780EA8">
        <w:rPr>
          <w:rStyle w:val="IntenseReference"/>
          <w:i w:val="0"/>
          <w:color w:val="auto"/>
          <w:lang w:val="en-GB"/>
        </w:rPr>
        <w:t>ë</w:t>
      </w:r>
      <w:r w:rsidRPr="00D124DA">
        <w:rPr>
          <w:rStyle w:val="IntenseReference"/>
          <w:i w:val="0"/>
          <w:color w:val="auto"/>
          <w:lang w:val="en-GB"/>
        </w:rPr>
        <w:t>rmir</w:t>
      </w:r>
      <w:r w:rsidR="00780EA8">
        <w:rPr>
          <w:rStyle w:val="IntenseReference"/>
          <w:i w:val="0"/>
          <w:color w:val="auto"/>
          <w:lang w:val="en-GB"/>
        </w:rPr>
        <w:t>ë</w:t>
      </w:r>
      <w:r w:rsidRPr="00D124DA">
        <w:rPr>
          <w:rStyle w:val="IntenseReference"/>
          <w:i w:val="0"/>
          <w:color w:val="auto"/>
          <w:lang w:val="en-GB"/>
        </w:rPr>
        <w:t>simi i m</w:t>
      </w:r>
      <w:r w:rsidR="00780EA8">
        <w:rPr>
          <w:rStyle w:val="IntenseReference"/>
          <w:i w:val="0"/>
          <w:color w:val="auto"/>
          <w:lang w:val="en-GB"/>
        </w:rPr>
        <w:t>ë</w:t>
      </w:r>
      <w:r w:rsidRPr="00D124DA">
        <w:rPr>
          <w:rStyle w:val="IntenseReference"/>
          <w:i w:val="0"/>
          <w:color w:val="auto"/>
          <w:lang w:val="en-GB"/>
        </w:rPr>
        <w:t>tejsh</w:t>
      </w:r>
      <w:r w:rsidR="00780EA8">
        <w:rPr>
          <w:rStyle w:val="IntenseReference"/>
          <w:i w:val="0"/>
          <w:color w:val="auto"/>
          <w:lang w:val="en-GB"/>
        </w:rPr>
        <w:t>ë</w:t>
      </w:r>
      <w:r w:rsidRPr="00D124DA">
        <w:rPr>
          <w:rStyle w:val="IntenseReference"/>
          <w:i w:val="0"/>
          <w:color w:val="auto"/>
          <w:lang w:val="en-GB"/>
        </w:rPr>
        <w:t xml:space="preserve">m </w:t>
      </w:r>
      <w:r w:rsidR="00FD5B7B">
        <w:rPr>
          <w:rStyle w:val="IntenseReference"/>
          <w:i w:val="0"/>
          <w:color w:val="auto"/>
          <w:lang w:val="en-GB"/>
        </w:rPr>
        <w:t>i</w:t>
      </w:r>
      <w:r w:rsidRPr="00D124DA">
        <w:rPr>
          <w:rStyle w:val="IntenseReference"/>
          <w:i w:val="0"/>
          <w:color w:val="auto"/>
          <w:lang w:val="en-GB"/>
        </w:rPr>
        <w:t xml:space="preserve"> statistikave SFQ dhe PDT me standardet e BE-s</w:t>
      </w:r>
      <w:r w:rsidR="00780EA8">
        <w:rPr>
          <w:rStyle w:val="IntenseReference"/>
          <w:i w:val="0"/>
          <w:color w:val="auto"/>
          <w:lang w:val="en-GB"/>
        </w:rPr>
        <w:t>ë</w:t>
      </w:r>
      <w:r w:rsidRPr="00D124DA">
        <w:rPr>
          <w:rStyle w:val="IntenseReference"/>
          <w:i w:val="0"/>
          <w:color w:val="auto"/>
          <w:lang w:val="en-GB"/>
        </w:rPr>
        <w:t xml:space="preserve"> (SELL 2010);</w:t>
      </w:r>
    </w:p>
    <w:p w14:paraId="67EB947E" w14:textId="77777777" w:rsidR="000C70FA" w:rsidRPr="00D124DA" w:rsidRDefault="000C70FA" w:rsidP="00CD7428">
      <w:pPr>
        <w:pStyle w:val="T-Bullet"/>
        <w:numPr>
          <w:ilvl w:val="0"/>
          <w:numId w:val="86"/>
        </w:numPr>
        <w:spacing w:line="276" w:lineRule="auto"/>
        <w:jc w:val="both"/>
        <w:rPr>
          <w:sz w:val="18"/>
          <w:szCs w:val="18"/>
        </w:rPr>
      </w:pPr>
      <w:r w:rsidRPr="00D124DA">
        <w:rPr>
          <w:sz w:val="18"/>
          <w:szCs w:val="18"/>
        </w:rPr>
        <w:t>Rritja e aksesit dhe përdorimit të SIFQ;</w:t>
      </w:r>
    </w:p>
    <w:p w14:paraId="20A7A229" w14:textId="77777777" w:rsidR="000C70FA" w:rsidRPr="00D124DA" w:rsidRDefault="000C70FA" w:rsidP="00CD7428">
      <w:pPr>
        <w:pStyle w:val="T-Bullet"/>
        <w:numPr>
          <w:ilvl w:val="0"/>
          <w:numId w:val="86"/>
        </w:numPr>
        <w:spacing w:line="276" w:lineRule="auto"/>
        <w:jc w:val="both"/>
        <w:rPr>
          <w:sz w:val="18"/>
          <w:szCs w:val="18"/>
        </w:rPr>
      </w:pPr>
      <w:r w:rsidRPr="00D124DA">
        <w:rPr>
          <w:sz w:val="18"/>
          <w:szCs w:val="18"/>
        </w:rPr>
        <w:t>Zhvillimi i kuadrit ligjor dhe rregullator për reformat e kontabilitetit;</w:t>
      </w:r>
    </w:p>
    <w:p w14:paraId="5A04B97D" w14:textId="77777777" w:rsidR="000C70FA" w:rsidRPr="009D660E" w:rsidRDefault="000C70FA" w:rsidP="00CD7428">
      <w:pPr>
        <w:pStyle w:val="T-Bullet"/>
        <w:numPr>
          <w:ilvl w:val="0"/>
          <w:numId w:val="86"/>
        </w:numPr>
        <w:spacing w:line="276" w:lineRule="auto"/>
        <w:jc w:val="both"/>
        <w:rPr>
          <w:sz w:val="18"/>
          <w:szCs w:val="18"/>
          <w:lang w:val="it-IT"/>
        </w:rPr>
      </w:pPr>
      <w:r w:rsidRPr="009D660E">
        <w:rPr>
          <w:sz w:val="18"/>
          <w:szCs w:val="18"/>
          <w:lang w:val="it-IT"/>
        </w:rPr>
        <w:t>Përmirësimi i funksionaliteteve të SIFQ për të absorbuar reformat e kontabilitetit;</w:t>
      </w:r>
    </w:p>
    <w:p w14:paraId="024CCBE7" w14:textId="77777777" w:rsidR="000C70FA" w:rsidRPr="009D660E" w:rsidRDefault="000C70FA" w:rsidP="00CD7428">
      <w:pPr>
        <w:pStyle w:val="T-Bullet"/>
        <w:numPr>
          <w:ilvl w:val="0"/>
          <w:numId w:val="86"/>
        </w:numPr>
        <w:spacing w:line="276" w:lineRule="auto"/>
        <w:jc w:val="both"/>
        <w:rPr>
          <w:sz w:val="18"/>
          <w:szCs w:val="18"/>
          <w:lang w:val="it-IT"/>
        </w:rPr>
      </w:pPr>
      <w:r w:rsidRPr="009D660E">
        <w:rPr>
          <w:sz w:val="18"/>
          <w:szCs w:val="18"/>
          <w:lang w:val="it-IT"/>
        </w:rPr>
        <w:t>Përgatitja, ofrimi dhe institucionalizimi i zhvillimit të kapaciteteve të kontabilistëve për të absorbuar reformat e kontabilitetit.</w:t>
      </w:r>
    </w:p>
    <w:p w14:paraId="57370813" w14:textId="7A7CBD70" w:rsidR="000C70FA" w:rsidRPr="009D660E" w:rsidRDefault="00E35493" w:rsidP="00CD7428">
      <w:pPr>
        <w:pStyle w:val="T-Bullet"/>
        <w:numPr>
          <w:ilvl w:val="0"/>
          <w:numId w:val="86"/>
        </w:numPr>
        <w:spacing w:line="276" w:lineRule="auto"/>
        <w:jc w:val="both"/>
        <w:rPr>
          <w:sz w:val="18"/>
          <w:szCs w:val="18"/>
          <w:lang w:val="it-IT"/>
        </w:rPr>
      </w:pPr>
      <w:r w:rsidRPr="009D660E">
        <w:rPr>
          <w:iCs/>
          <w:sz w:val="18"/>
          <w:szCs w:val="18"/>
          <w:lang w:val="it-IT"/>
        </w:rPr>
        <w:t>Përmirësimi i cilësisë dhe eficencës në procedurat e prokurimit</w:t>
      </w:r>
      <w:r w:rsidR="000C70FA" w:rsidRPr="009D660E">
        <w:rPr>
          <w:sz w:val="18"/>
          <w:szCs w:val="18"/>
          <w:lang w:val="it-IT"/>
        </w:rPr>
        <w:t>;</w:t>
      </w:r>
    </w:p>
    <w:p w14:paraId="753DB2B8" w14:textId="77777777" w:rsidR="000C70FA" w:rsidRPr="00D124DA" w:rsidRDefault="000C70FA" w:rsidP="00CD7428">
      <w:pPr>
        <w:pStyle w:val="T-Bullet"/>
        <w:numPr>
          <w:ilvl w:val="0"/>
          <w:numId w:val="86"/>
        </w:numPr>
        <w:spacing w:line="276" w:lineRule="auto"/>
        <w:jc w:val="both"/>
        <w:rPr>
          <w:sz w:val="18"/>
          <w:szCs w:val="18"/>
        </w:rPr>
      </w:pPr>
      <w:r w:rsidRPr="00D124DA">
        <w:rPr>
          <w:sz w:val="18"/>
          <w:szCs w:val="18"/>
        </w:rPr>
        <w:t>Hartimi dhe zbatimi i prokurimit publik të gjelbër;</w:t>
      </w:r>
    </w:p>
    <w:p w14:paraId="5AFE2A50" w14:textId="77777777" w:rsidR="000C70FA" w:rsidRPr="00D124DA" w:rsidRDefault="000C70FA" w:rsidP="00CD7428">
      <w:pPr>
        <w:pStyle w:val="T-Bullet"/>
        <w:numPr>
          <w:ilvl w:val="0"/>
          <w:numId w:val="86"/>
        </w:numPr>
        <w:spacing w:line="276" w:lineRule="auto"/>
        <w:jc w:val="both"/>
        <w:rPr>
          <w:sz w:val="18"/>
          <w:szCs w:val="18"/>
        </w:rPr>
      </w:pPr>
      <w:r w:rsidRPr="00D124DA">
        <w:rPr>
          <w:sz w:val="18"/>
          <w:szCs w:val="18"/>
        </w:rPr>
        <w:t>Rritja e efiçencës të sistemit të shqyrtimit të ankesave duke rritur shpejtësinë e vendimmarrjes;</w:t>
      </w:r>
    </w:p>
    <w:p w14:paraId="63AA2770" w14:textId="77777777" w:rsidR="000C70FA" w:rsidRPr="00D124DA" w:rsidRDefault="000C70FA" w:rsidP="00CD7428">
      <w:pPr>
        <w:pStyle w:val="T-Bullet"/>
        <w:numPr>
          <w:ilvl w:val="0"/>
          <w:numId w:val="86"/>
        </w:numPr>
        <w:spacing w:line="276" w:lineRule="auto"/>
        <w:jc w:val="both"/>
        <w:rPr>
          <w:sz w:val="18"/>
          <w:szCs w:val="18"/>
        </w:rPr>
      </w:pPr>
      <w:r w:rsidRPr="00D124DA">
        <w:rPr>
          <w:sz w:val="18"/>
          <w:szCs w:val="18"/>
        </w:rPr>
        <w:t>Përmirësimi i kuadrit ligjor dhe institucional për koncesionet dhe partneritetin publik-privat.</w:t>
      </w:r>
    </w:p>
    <w:p w14:paraId="11B7CE81" w14:textId="3086162C" w:rsidR="000C70FA" w:rsidRPr="009D660E" w:rsidRDefault="000C70FA" w:rsidP="00CD7428">
      <w:pPr>
        <w:pStyle w:val="T-bullet0"/>
        <w:numPr>
          <w:ilvl w:val="0"/>
          <w:numId w:val="86"/>
        </w:numPr>
        <w:spacing w:line="276" w:lineRule="auto"/>
        <w:jc w:val="both"/>
        <w:rPr>
          <w:sz w:val="18"/>
          <w:szCs w:val="18"/>
          <w:lang w:val="it-IT"/>
        </w:rPr>
      </w:pPr>
      <w:r w:rsidRPr="009D660E">
        <w:rPr>
          <w:sz w:val="18"/>
          <w:szCs w:val="18"/>
          <w:lang w:val="it-IT"/>
        </w:rPr>
        <w:t xml:space="preserve">Forcimi i raportimit </w:t>
      </w:r>
      <w:r w:rsidR="00EB3607" w:rsidRPr="009D660E">
        <w:rPr>
          <w:sz w:val="18"/>
          <w:szCs w:val="18"/>
          <w:lang w:val="it-IT"/>
        </w:rPr>
        <w:t xml:space="preserve">mbi </w:t>
      </w:r>
      <w:r w:rsidRPr="009D660E">
        <w:rPr>
          <w:sz w:val="18"/>
          <w:szCs w:val="18"/>
          <w:lang w:val="it-IT"/>
        </w:rPr>
        <w:t>menaxhimi</w:t>
      </w:r>
      <w:r w:rsidR="00EB3607" w:rsidRPr="009D660E">
        <w:rPr>
          <w:sz w:val="18"/>
          <w:szCs w:val="18"/>
          <w:lang w:val="it-IT"/>
        </w:rPr>
        <w:t>n</w:t>
      </w:r>
      <w:r w:rsidRPr="009D660E">
        <w:rPr>
          <w:sz w:val="18"/>
          <w:szCs w:val="18"/>
          <w:lang w:val="it-IT"/>
        </w:rPr>
        <w:t xml:space="preserve"> </w:t>
      </w:r>
      <w:r w:rsidR="00EB3607" w:rsidRPr="009D660E">
        <w:rPr>
          <w:sz w:val="18"/>
          <w:szCs w:val="18"/>
          <w:lang w:val="it-IT"/>
        </w:rPr>
        <w:t>e</w:t>
      </w:r>
      <w:r w:rsidRPr="009D660E">
        <w:rPr>
          <w:sz w:val="18"/>
          <w:szCs w:val="18"/>
          <w:lang w:val="it-IT"/>
        </w:rPr>
        <w:t xml:space="preserve"> borxhit dhe </w:t>
      </w:r>
      <w:r w:rsidR="00EB3607" w:rsidRPr="009D660E">
        <w:rPr>
          <w:sz w:val="18"/>
          <w:szCs w:val="18"/>
          <w:lang w:val="it-IT"/>
        </w:rPr>
        <w:t>marrëdhënieve me i</w:t>
      </w:r>
      <w:r w:rsidRPr="009D660E">
        <w:rPr>
          <w:sz w:val="18"/>
          <w:szCs w:val="18"/>
          <w:lang w:val="it-IT"/>
        </w:rPr>
        <w:t xml:space="preserve">nvestitorët; </w:t>
      </w:r>
    </w:p>
    <w:p w14:paraId="5379E408" w14:textId="55B60514" w:rsidR="000C70FA" w:rsidRPr="009D660E" w:rsidRDefault="000C70FA" w:rsidP="00CD7428">
      <w:pPr>
        <w:pStyle w:val="T-bullet0"/>
        <w:numPr>
          <w:ilvl w:val="0"/>
          <w:numId w:val="86"/>
        </w:numPr>
        <w:spacing w:line="276" w:lineRule="auto"/>
        <w:jc w:val="both"/>
        <w:rPr>
          <w:sz w:val="18"/>
          <w:szCs w:val="18"/>
          <w:lang w:val="it-IT"/>
        </w:rPr>
      </w:pPr>
      <w:r w:rsidRPr="009D660E">
        <w:rPr>
          <w:sz w:val="18"/>
          <w:szCs w:val="18"/>
          <w:lang w:val="it-IT"/>
        </w:rPr>
        <w:t xml:space="preserve">Zhvillimi i një kuadri gjithëpërfshirës për </w:t>
      </w:r>
      <w:r w:rsidR="00EB3607" w:rsidRPr="009D660E">
        <w:rPr>
          <w:sz w:val="18"/>
          <w:szCs w:val="18"/>
          <w:lang w:val="it-IT"/>
        </w:rPr>
        <w:t>dhënien</w:t>
      </w:r>
      <w:r w:rsidRPr="009D660E">
        <w:rPr>
          <w:sz w:val="18"/>
          <w:szCs w:val="18"/>
          <w:lang w:val="it-IT"/>
        </w:rPr>
        <w:t xml:space="preserve"> e garancive dhe </w:t>
      </w:r>
      <w:r w:rsidR="00EB3607" w:rsidRPr="009D660E">
        <w:rPr>
          <w:sz w:val="18"/>
          <w:szCs w:val="18"/>
          <w:lang w:val="it-IT"/>
        </w:rPr>
        <w:t>nënhuave</w:t>
      </w:r>
      <w:r w:rsidRPr="009D660E">
        <w:rPr>
          <w:sz w:val="18"/>
          <w:szCs w:val="18"/>
          <w:lang w:val="it-IT"/>
        </w:rPr>
        <w:t>;</w:t>
      </w:r>
    </w:p>
    <w:p w14:paraId="062DF774" w14:textId="2A7639C2" w:rsidR="000C70FA" w:rsidRPr="009D660E" w:rsidRDefault="000C70FA" w:rsidP="00CD7428">
      <w:pPr>
        <w:pStyle w:val="T-bullet0"/>
        <w:numPr>
          <w:ilvl w:val="0"/>
          <w:numId w:val="86"/>
        </w:numPr>
        <w:spacing w:line="276" w:lineRule="auto"/>
        <w:jc w:val="both"/>
        <w:rPr>
          <w:sz w:val="18"/>
          <w:szCs w:val="18"/>
          <w:lang w:val="it-IT"/>
        </w:rPr>
      </w:pPr>
      <w:r w:rsidRPr="009D660E">
        <w:rPr>
          <w:sz w:val="18"/>
          <w:szCs w:val="18"/>
          <w:lang w:val="it-IT"/>
        </w:rPr>
        <w:t>Fillimi i zhvillimit gradual</w:t>
      </w:r>
      <w:r w:rsidR="00EB3607" w:rsidRPr="009D660E">
        <w:rPr>
          <w:sz w:val="18"/>
          <w:szCs w:val="18"/>
          <w:lang w:val="it-IT"/>
        </w:rPr>
        <w:t>isht të</w:t>
      </w:r>
      <w:r w:rsidRPr="009D660E">
        <w:rPr>
          <w:sz w:val="18"/>
          <w:szCs w:val="18"/>
          <w:lang w:val="it-IT"/>
        </w:rPr>
        <w:t xml:space="preserve"> vlerësimit të nevojshëm për instrumente të reja alternative të financimit (</w:t>
      </w:r>
      <w:r w:rsidR="00EB3607" w:rsidRPr="009D660E">
        <w:rPr>
          <w:sz w:val="18"/>
          <w:szCs w:val="18"/>
          <w:lang w:val="it-IT"/>
        </w:rPr>
        <w:t>të G</w:t>
      </w:r>
      <w:r w:rsidRPr="009D660E">
        <w:rPr>
          <w:sz w:val="18"/>
          <w:szCs w:val="18"/>
          <w:lang w:val="it-IT"/>
        </w:rPr>
        <w:t>jelbër, Social</w:t>
      </w:r>
      <w:r w:rsidR="00EB3607" w:rsidRPr="009D660E">
        <w:rPr>
          <w:sz w:val="18"/>
          <w:szCs w:val="18"/>
          <w:lang w:val="it-IT"/>
        </w:rPr>
        <w:t>ë, të</w:t>
      </w:r>
      <w:r w:rsidRPr="009D660E">
        <w:rPr>
          <w:sz w:val="18"/>
          <w:szCs w:val="18"/>
          <w:lang w:val="it-IT"/>
        </w:rPr>
        <w:t xml:space="preserve"> Qëndrueshmëri</w:t>
      </w:r>
      <w:r w:rsidR="00EB3607" w:rsidRPr="009D660E">
        <w:rPr>
          <w:sz w:val="18"/>
          <w:szCs w:val="18"/>
          <w:lang w:val="it-IT"/>
        </w:rPr>
        <w:t>së ose i</w:t>
      </w:r>
      <w:r w:rsidRPr="009D660E">
        <w:rPr>
          <w:sz w:val="18"/>
          <w:szCs w:val="18"/>
          <w:lang w:val="it-IT"/>
        </w:rPr>
        <w:t>nstrumente të tjera).</w:t>
      </w:r>
    </w:p>
    <w:p w14:paraId="2C7AC9E0" w14:textId="5132386D" w:rsidR="000C70FA" w:rsidRPr="009D660E" w:rsidRDefault="000C70FA" w:rsidP="00CD7428">
      <w:pPr>
        <w:pStyle w:val="T-Bullet"/>
        <w:numPr>
          <w:ilvl w:val="0"/>
          <w:numId w:val="86"/>
        </w:numPr>
        <w:spacing w:line="276" w:lineRule="auto"/>
        <w:jc w:val="both"/>
        <w:rPr>
          <w:sz w:val="18"/>
          <w:szCs w:val="18"/>
          <w:lang w:val="it-IT"/>
        </w:rPr>
      </w:pPr>
      <w:r w:rsidRPr="009D660E">
        <w:rPr>
          <w:sz w:val="18"/>
          <w:szCs w:val="18"/>
          <w:lang w:val="it-IT"/>
        </w:rPr>
        <w:t>Përmirësimi i procesit të parashikimit të likuiditetit</w:t>
      </w:r>
      <w:r w:rsidR="00FD5B7B" w:rsidRPr="009D660E">
        <w:rPr>
          <w:sz w:val="18"/>
          <w:szCs w:val="18"/>
          <w:lang w:val="it-IT"/>
        </w:rPr>
        <w:t>.</w:t>
      </w:r>
    </w:p>
    <w:p w14:paraId="7D9F5AB5" w14:textId="667A59B8" w:rsidR="000C70FA" w:rsidRPr="009D660E" w:rsidRDefault="000C70FA" w:rsidP="00CD7428">
      <w:pPr>
        <w:pStyle w:val="T-Bullet"/>
        <w:numPr>
          <w:ilvl w:val="0"/>
          <w:numId w:val="86"/>
        </w:numPr>
        <w:spacing w:line="276" w:lineRule="auto"/>
        <w:jc w:val="both"/>
        <w:rPr>
          <w:sz w:val="18"/>
          <w:szCs w:val="18"/>
          <w:lang w:val="it-IT"/>
        </w:rPr>
      </w:pPr>
      <w:r w:rsidRPr="009D660E">
        <w:rPr>
          <w:sz w:val="18"/>
          <w:szCs w:val="18"/>
          <w:lang w:val="it-IT"/>
        </w:rPr>
        <w:t>Prezantimi i një sistemi gjithëpërfshirës të monitorimit të performancës për parashikimin e likuiditetit</w:t>
      </w:r>
      <w:r w:rsidR="00FD5B7B" w:rsidRPr="009D660E">
        <w:rPr>
          <w:sz w:val="18"/>
          <w:szCs w:val="18"/>
          <w:lang w:val="it-IT"/>
        </w:rPr>
        <w:t>.</w:t>
      </w:r>
    </w:p>
    <w:p w14:paraId="6567C4C4" w14:textId="77777777" w:rsidR="000C70FA" w:rsidRDefault="000C70FA" w:rsidP="00CD7428">
      <w:pPr>
        <w:pStyle w:val="T-Bullet"/>
        <w:numPr>
          <w:ilvl w:val="0"/>
          <w:numId w:val="86"/>
        </w:numPr>
        <w:spacing w:line="276" w:lineRule="auto"/>
        <w:jc w:val="both"/>
        <w:rPr>
          <w:sz w:val="18"/>
          <w:szCs w:val="18"/>
        </w:rPr>
      </w:pPr>
      <w:r w:rsidRPr="00D124DA">
        <w:rPr>
          <w:sz w:val="18"/>
          <w:szCs w:val="18"/>
        </w:rPr>
        <w:t>Përmirësimi i instrumenteve të menaxhimit të likuiditetit.</w:t>
      </w:r>
    </w:p>
    <w:p w14:paraId="58F48C83" w14:textId="080473CE" w:rsidR="000C70FA" w:rsidRPr="009D660E" w:rsidRDefault="000C70FA" w:rsidP="00CD7428">
      <w:pPr>
        <w:pStyle w:val="T-Bullet"/>
        <w:numPr>
          <w:ilvl w:val="0"/>
          <w:numId w:val="86"/>
        </w:numPr>
        <w:spacing w:line="276" w:lineRule="auto"/>
        <w:jc w:val="both"/>
        <w:rPr>
          <w:sz w:val="18"/>
          <w:szCs w:val="18"/>
          <w:lang w:val="it-IT"/>
        </w:rPr>
      </w:pPr>
      <w:r w:rsidRPr="009D660E">
        <w:rPr>
          <w:sz w:val="18"/>
          <w:szCs w:val="18"/>
          <w:lang w:val="it-IT"/>
        </w:rPr>
        <w:t>Finalizimi i reform</w:t>
      </w:r>
      <w:r w:rsidR="00780EA8" w:rsidRPr="009D660E">
        <w:rPr>
          <w:sz w:val="18"/>
          <w:szCs w:val="18"/>
          <w:lang w:val="it-IT"/>
        </w:rPr>
        <w:t>ë</w:t>
      </w:r>
      <w:r w:rsidRPr="009D660E">
        <w:rPr>
          <w:sz w:val="18"/>
          <w:szCs w:val="18"/>
          <w:lang w:val="it-IT"/>
        </w:rPr>
        <w:t>s p</w:t>
      </w:r>
      <w:r w:rsidR="00780EA8" w:rsidRPr="009D660E">
        <w:rPr>
          <w:sz w:val="18"/>
          <w:szCs w:val="18"/>
          <w:lang w:val="it-IT"/>
        </w:rPr>
        <w:t>ë</w:t>
      </w:r>
      <w:r w:rsidRPr="009D660E">
        <w:rPr>
          <w:sz w:val="18"/>
          <w:szCs w:val="18"/>
          <w:lang w:val="it-IT"/>
        </w:rPr>
        <w:t>r regjistrimin e aseteve p</w:t>
      </w:r>
      <w:r w:rsidR="00780EA8" w:rsidRPr="009D660E">
        <w:rPr>
          <w:sz w:val="18"/>
          <w:szCs w:val="18"/>
          <w:lang w:val="it-IT"/>
        </w:rPr>
        <w:t>ë</w:t>
      </w:r>
      <w:r w:rsidRPr="009D660E">
        <w:rPr>
          <w:sz w:val="18"/>
          <w:szCs w:val="18"/>
          <w:lang w:val="it-IT"/>
        </w:rPr>
        <w:t>r q</w:t>
      </w:r>
      <w:r w:rsidR="00780EA8" w:rsidRPr="009D660E">
        <w:rPr>
          <w:sz w:val="18"/>
          <w:szCs w:val="18"/>
          <w:lang w:val="it-IT"/>
        </w:rPr>
        <w:t>ë</w:t>
      </w:r>
      <w:r w:rsidRPr="009D660E">
        <w:rPr>
          <w:sz w:val="18"/>
          <w:szCs w:val="18"/>
          <w:lang w:val="it-IT"/>
        </w:rPr>
        <w:t>llime kontabiliteti</w:t>
      </w:r>
      <w:r w:rsidR="00FD5B7B" w:rsidRPr="009D660E">
        <w:rPr>
          <w:sz w:val="18"/>
          <w:szCs w:val="18"/>
          <w:lang w:val="it-IT"/>
        </w:rPr>
        <w:t>.</w:t>
      </w:r>
    </w:p>
    <w:p w14:paraId="2BC9AE2D" w14:textId="77777777" w:rsidR="00AA13C0" w:rsidRPr="009D660E" w:rsidRDefault="00AA13C0" w:rsidP="002E6AB5">
      <w:pPr>
        <w:spacing w:line="276" w:lineRule="auto"/>
        <w:jc w:val="both"/>
        <w:rPr>
          <w:rStyle w:val="IntenseReference"/>
          <w:lang w:val="it-IT"/>
        </w:rPr>
      </w:pPr>
    </w:p>
    <w:p w14:paraId="732BCD82" w14:textId="135B3911" w:rsidR="00AA13C0" w:rsidRPr="009D660E" w:rsidRDefault="000C70FA" w:rsidP="002E6AB5">
      <w:pPr>
        <w:pStyle w:val="N-Bold"/>
        <w:spacing w:line="276" w:lineRule="auto"/>
        <w:jc w:val="both"/>
        <w:rPr>
          <w:rStyle w:val="IntenseReference"/>
          <w:rFonts w:eastAsiaTheme="majorEastAsia"/>
          <w:i w:val="0"/>
          <w:color w:val="auto"/>
          <w:szCs w:val="22"/>
          <w:lang w:val="it-IT"/>
        </w:rPr>
      </w:pPr>
      <w:r w:rsidRPr="009D660E">
        <w:rPr>
          <w:rStyle w:val="IntenseReference"/>
          <w:rFonts w:eastAsiaTheme="majorEastAsia"/>
          <w:i w:val="0"/>
          <w:color w:val="auto"/>
          <w:szCs w:val="22"/>
          <w:lang w:val="it-IT"/>
        </w:rPr>
        <w:t>Shtylla</w:t>
      </w:r>
      <w:r w:rsidR="00AA13C0" w:rsidRPr="009D660E">
        <w:rPr>
          <w:rStyle w:val="IntenseReference"/>
          <w:rFonts w:eastAsiaTheme="majorEastAsia"/>
          <w:i w:val="0"/>
          <w:color w:val="auto"/>
          <w:szCs w:val="22"/>
          <w:lang w:val="it-IT"/>
        </w:rPr>
        <w:t xml:space="preserve"> 5: </w:t>
      </w:r>
      <w:r w:rsidR="00D267A6" w:rsidRPr="009D660E">
        <w:rPr>
          <w:rStyle w:val="IntenseReference"/>
          <w:rFonts w:eastAsiaTheme="majorEastAsia"/>
          <w:i w:val="0"/>
          <w:color w:val="auto"/>
          <w:szCs w:val="22"/>
          <w:lang w:val="it-IT"/>
        </w:rPr>
        <w:t>Kontrolli i Brendsh</w:t>
      </w:r>
      <w:r w:rsidR="00780EA8" w:rsidRPr="009D660E">
        <w:rPr>
          <w:rStyle w:val="IntenseReference"/>
          <w:rFonts w:eastAsiaTheme="majorEastAsia"/>
          <w:i w:val="0"/>
          <w:color w:val="auto"/>
          <w:szCs w:val="22"/>
          <w:lang w:val="it-IT"/>
        </w:rPr>
        <w:t>ë</w:t>
      </w:r>
      <w:r w:rsidR="00D267A6" w:rsidRPr="009D660E">
        <w:rPr>
          <w:rStyle w:val="IntenseReference"/>
          <w:rFonts w:eastAsiaTheme="majorEastAsia"/>
          <w:i w:val="0"/>
          <w:color w:val="auto"/>
          <w:szCs w:val="22"/>
          <w:lang w:val="it-IT"/>
        </w:rPr>
        <w:t>m Financiar Publik</w:t>
      </w:r>
    </w:p>
    <w:p w14:paraId="7FC9279E" w14:textId="1F00F4F8" w:rsidR="00AA13C0" w:rsidRPr="009D660E" w:rsidRDefault="007B28B8" w:rsidP="002E6AB5">
      <w:pPr>
        <w:spacing w:line="276" w:lineRule="auto"/>
        <w:jc w:val="both"/>
        <w:rPr>
          <w:rStyle w:val="IntenseReference"/>
          <w:rFonts w:eastAsiaTheme="majorEastAsia"/>
          <w:color w:val="auto"/>
          <w:szCs w:val="22"/>
          <w:lang w:val="it-IT"/>
        </w:rPr>
      </w:pPr>
      <w:r w:rsidRPr="009D660E">
        <w:rPr>
          <w:rStyle w:val="IntenseReference"/>
          <w:rFonts w:eastAsiaTheme="majorEastAsia"/>
          <w:color w:val="auto"/>
          <w:szCs w:val="22"/>
          <w:lang w:val="it-IT"/>
        </w:rPr>
        <w:t>Sistemet për Kontrollin e Brendshëm Financiar Publik janë përmirësuar më tej në përputhje me praktikat e pranuara nga BE-ja për menaxhim të shëndoshë financiar. Koncepti i llogaridhënies menaxheriale dhe delegimit të autoriteteve është forcuar dhe janë adresuar të gjitha mangësitë e Menaxhimit Financiar dhe Kontrollit në institucionet publike. Auditimet e brendshme me vlerë të shtuar zbatohen në të gjitha institucionet publike në përputhje me standardet në fuqi. Rastet e mashtrimit dhe parregullsive trajtohen në mënyrë efektive nga inspektimi financiar publik dhe rrjeti i sh</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rbimit t</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 xml:space="preserve"> koordinimit kund</w:t>
      </w:r>
      <w:r w:rsidR="00780EA8" w:rsidRPr="009D660E">
        <w:rPr>
          <w:rStyle w:val="IntenseReference"/>
          <w:rFonts w:eastAsiaTheme="majorEastAsia"/>
          <w:color w:val="auto"/>
          <w:szCs w:val="22"/>
          <w:lang w:val="it-IT"/>
        </w:rPr>
        <w:t>ë</w:t>
      </w:r>
      <w:r w:rsidRPr="009D660E">
        <w:rPr>
          <w:rStyle w:val="IntenseReference"/>
          <w:rFonts w:eastAsiaTheme="majorEastAsia"/>
          <w:color w:val="auto"/>
          <w:szCs w:val="22"/>
          <w:lang w:val="it-IT"/>
        </w:rPr>
        <w:t>r mashtrimit (AFCOS) zbaton strategjinë kundër mashtrimit. Janë krijuar sisteme adekuate të menaxhimit financiar për të absorbuar mbështetjen financiare të IPA-III dhe të ardhshme të BE-së.</w:t>
      </w:r>
    </w:p>
    <w:p w14:paraId="3CE792B5" w14:textId="77777777" w:rsidR="007B28B8" w:rsidRPr="009D660E" w:rsidRDefault="007B28B8" w:rsidP="002E6AB5">
      <w:pPr>
        <w:spacing w:line="276" w:lineRule="auto"/>
        <w:jc w:val="both"/>
        <w:rPr>
          <w:rStyle w:val="IntenseReference"/>
          <w:rFonts w:eastAsiaTheme="majorEastAsia"/>
          <w:i w:val="0"/>
          <w:iCs/>
          <w:color w:val="auto"/>
          <w:szCs w:val="22"/>
          <w:lang w:val="it-IT"/>
        </w:rPr>
      </w:pPr>
    </w:p>
    <w:p w14:paraId="58FD496E" w14:textId="75EA3F6D" w:rsidR="00D267A6" w:rsidRPr="009D660E" w:rsidRDefault="00D267A6" w:rsidP="00CD7428">
      <w:pPr>
        <w:pStyle w:val="T-bullet0"/>
        <w:numPr>
          <w:ilvl w:val="0"/>
          <w:numId w:val="63"/>
        </w:numPr>
        <w:spacing w:line="276" w:lineRule="auto"/>
        <w:jc w:val="both"/>
        <w:rPr>
          <w:sz w:val="18"/>
          <w:szCs w:val="18"/>
          <w:lang w:val="it-IT"/>
        </w:rPr>
      </w:pPr>
      <w:r w:rsidRPr="009D660E">
        <w:rPr>
          <w:sz w:val="18"/>
          <w:szCs w:val="18"/>
          <w:lang w:val="it-IT"/>
        </w:rPr>
        <w:lastRenderedPageBreak/>
        <w:t>Përmirësimi i kuadrit ligjor dhe rregullator për MFK-në;</w:t>
      </w:r>
    </w:p>
    <w:p w14:paraId="07F6EF2F" w14:textId="1B1BE054" w:rsidR="00D267A6" w:rsidRPr="00D267A6" w:rsidRDefault="00D267A6" w:rsidP="00CD7428">
      <w:pPr>
        <w:pStyle w:val="T-bullet0"/>
        <w:numPr>
          <w:ilvl w:val="0"/>
          <w:numId w:val="63"/>
        </w:numPr>
        <w:spacing w:line="276" w:lineRule="auto"/>
        <w:jc w:val="both"/>
        <w:rPr>
          <w:sz w:val="18"/>
          <w:szCs w:val="18"/>
        </w:rPr>
      </w:pPr>
      <w:r w:rsidRPr="00D267A6">
        <w:rPr>
          <w:sz w:val="18"/>
          <w:szCs w:val="18"/>
        </w:rPr>
        <w:t>Përmirësimi i llogaridhënies menaxheriale në institucionet publike;</w:t>
      </w:r>
    </w:p>
    <w:p w14:paraId="274298F8" w14:textId="6A82A84D" w:rsidR="00D267A6" w:rsidRPr="00D267A6" w:rsidRDefault="00D267A6" w:rsidP="00CD7428">
      <w:pPr>
        <w:pStyle w:val="T-bullet0"/>
        <w:numPr>
          <w:ilvl w:val="0"/>
          <w:numId w:val="63"/>
        </w:numPr>
        <w:spacing w:line="276" w:lineRule="auto"/>
        <w:jc w:val="both"/>
        <w:rPr>
          <w:sz w:val="18"/>
          <w:szCs w:val="18"/>
        </w:rPr>
      </w:pPr>
      <w:r w:rsidRPr="00D267A6">
        <w:rPr>
          <w:sz w:val="18"/>
          <w:szCs w:val="18"/>
        </w:rPr>
        <w:t>Forcimi i praktikave të Menaxhimit të Riskut;</w:t>
      </w:r>
    </w:p>
    <w:p w14:paraId="40F33317" w14:textId="0268C471" w:rsidR="00D267A6" w:rsidRPr="00D267A6" w:rsidRDefault="00D267A6" w:rsidP="00CD7428">
      <w:pPr>
        <w:pStyle w:val="T-bullet0"/>
        <w:numPr>
          <w:ilvl w:val="0"/>
          <w:numId w:val="63"/>
        </w:numPr>
        <w:spacing w:line="276" w:lineRule="auto"/>
        <w:jc w:val="both"/>
        <w:rPr>
          <w:sz w:val="18"/>
          <w:szCs w:val="18"/>
        </w:rPr>
      </w:pPr>
      <w:r w:rsidRPr="00D267A6">
        <w:rPr>
          <w:sz w:val="18"/>
          <w:szCs w:val="18"/>
        </w:rPr>
        <w:t>Përmirësimi i vlerësimit dhe përmirësimit të cilësisë së MFK-së në institucionet publike.</w:t>
      </w:r>
    </w:p>
    <w:p w14:paraId="7356E665" w14:textId="1FA9E412" w:rsidR="00D267A6" w:rsidRPr="00D267A6" w:rsidRDefault="00D267A6" w:rsidP="00CD7428">
      <w:pPr>
        <w:pStyle w:val="T-bullet0"/>
        <w:numPr>
          <w:ilvl w:val="0"/>
          <w:numId w:val="63"/>
        </w:numPr>
        <w:spacing w:line="276" w:lineRule="auto"/>
        <w:jc w:val="both"/>
        <w:rPr>
          <w:sz w:val="18"/>
          <w:szCs w:val="18"/>
        </w:rPr>
      </w:pPr>
      <w:r w:rsidRPr="00D267A6">
        <w:rPr>
          <w:rStyle w:val="rynqvb"/>
          <w:sz w:val="18"/>
          <w:szCs w:val="18"/>
        </w:rPr>
        <w:t>Vazhdimi i mbikëqyrjes dhe zgjerimi i shërbimeve mbështetëse për institucionet publike dhe ekipet e auditimit të brendshëm</w:t>
      </w:r>
      <w:r w:rsidRPr="00D267A6">
        <w:rPr>
          <w:sz w:val="18"/>
          <w:szCs w:val="18"/>
        </w:rPr>
        <w:t>;</w:t>
      </w:r>
    </w:p>
    <w:p w14:paraId="67D1B7A3" w14:textId="56C37513" w:rsidR="00D267A6" w:rsidRPr="00D267A6" w:rsidRDefault="00D267A6" w:rsidP="00CD7428">
      <w:pPr>
        <w:pStyle w:val="T-bullet0"/>
        <w:numPr>
          <w:ilvl w:val="0"/>
          <w:numId w:val="63"/>
        </w:numPr>
        <w:spacing w:line="276" w:lineRule="auto"/>
        <w:jc w:val="both"/>
        <w:rPr>
          <w:sz w:val="18"/>
          <w:szCs w:val="18"/>
        </w:rPr>
      </w:pPr>
      <w:r w:rsidRPr="00D267A6">
        <w:rPr>
          <w:sz w:val="18"/>
          <w:szCs w:val="18"/>
        </w:rPr>
        <w:t>Profesionalizimi i praktikave thelbësore të auditimit të brendshëm përmes zhvillimit të udhëzimeve dhe ofrimit të aktiviteteve për ngritjen e kapaciteteve.</w:t>
      </w:r>
    </w:p>
    <w:p w14:paraId="1364C596" w14:textId="0D1209CC" w:rsidR="00D267A6" w:rsidRPr="00D267A6" w:rsidRDefault="00D267A6" w:rsidP="00CD7428">
      <w:pPr>
        <w:pStyle w:val="T-bullet0"/>
        <w:numPr>
          <w:ilvl w:val="0"/>
          <w:numId w:val="63"/>
        </w:numPr>
        <w:spacing w:line="276" w:lineRule="auto"/>
        <w:jc w:val="both"/>
        <w:rPr>
          <w:sz w:val="18"/>
          <w:szCs w:val="18"/>
        </w:rPr>
      </w:pPr>
      <w:r w:rsidRPr="00D267A6">
        <w:rPr>
          <w:sz w:val="18"/>
          <w:szCs w:val="18"/>
        </w:rPr>
        <w:t>R</w:t>
      </w:r>
      <w:r w:rsidRPr="00D267A6">
        <w:rPr>
          <w:rStyle w:val="rynqvb"/>
          <w:sz w:val="18"/>
          <w:szCs w:val="18"/>
        </w:rPr>
        <w:t>ritja e bashkëpunimit me Auditimin e Brendshëm dhe KLSH</w:t>
      </w:r>
      <w:r w:rsidRPr="00D267A6">
        <w:rPr>
          <w:sz w:val="18"/>
          <w:szCs w:val="18"/>
        </w:rPr>
        <w:t>;</w:t>
      </w:r>
    </w:p>
    <w:p w14:paraId="1BFCC784" w14:textId="235F0F2B" w:rsidR="00D267A6" w:rsidRPr="009D660E" w:rsidRDefault="00D267A6" w:rsidP="00CD7428">
      <w:pPr>
        <w:pStyle w:val="T-bullet0"/>
        <w:numPr>
          <w:ilvl w:val="0"/>
          <w:numId w:val="63"/>
        </w:numPr>
        <w:spacing w:line="276" w:lineRule="auto"/>
        <w:jc w:val="both"/>
        <w:rPr>
          <w:sz w:val="18"/>
          <w:szCs w:val="18"/>
          <w:lang w:val="it-IT"/>
        </w:rPr>
      </w:pPr>
      <w:r w:rsidRPr="009D660E">
        <w:rPr>
          <w:rStyle w:val="rynqvb"/>
          <w:sz w:val="18"/>
          <w:szCs w:val="18"/>
          <w:lang w:val="it-IT"/>
        </w:rPr>
        <w:t xml:space="preserve">Koordinimi i hartimit dhe </w:t>
      </w:r>
      <w:r w:rsidR="00E41440" w:rsidRPr="009D660E">
        <w:rPr>
          <w:rStyle w:val="rynqvb"/>
          <w:sz w:val="18"/>
          <w:szCs w:val="18"/>
          <w:lang w:val="it-IT"/>
        </w:rPr>
        <w:t>monitorimit</w:t>
      </w:r>
      <w:r w:rsidRPr="009D660E">
        <w:rPr>
          <w:rStyle w:val="rynqvb"/>
          <w:sz w:val="18"/>
          <w:szCs w:val="18"/>
          <w:lang w:val="it-IT"/>
        </w:rPr>
        <w:t xml:space="preserve"> të Strategjisë Kombëtare Kundër Mashtrimit për mbrojtjen e interesave financiare të BE-së</w:t>
      </w:r>
      <w:r w:rsidRPr="009D660E">
        <w:rPr>
          <w:sz w:val="18"/>
          <w:szCs w:val="18"/>
          <w:lang w:val="it-IT"/>
        </w:rPr>
        <w:t>.</w:t>
      </w:r>
    </w:p>
    <w:p w14:paraId="6C41941C" w14:textId="77777777" w:rsidR="00D267A6" w:rsidRPr="00D267A6" w:rsidRDefault="00D267A6" w:rsidP="00CD7428">
      <w:pPr>
        <w:pStyle w:val="T-bullet0"/>
        <w:numPr>
          <w:ilvl w:val="0"/>
          <w:numId w:val="63"/>
        </w:numPr>
        <w:spacing w:line="276" w:lineRule="auto"/>
        <w:jc w:val="both"/>
        <w:rPr>
          <w:sz w:val="18"/>
          <w:szCs w:val="18"/>
        </w:rPr>
      </w:pPr>
      <w:r w:rsidRPr="00D267A6">
        <w:rPr>
          <w:rStyle w:val="rynqvb"/>
          <w:sz w:val="18"/>
          <w:szCs w:val="18"/>
        </w:rPr>
        <w:t>Krijimi i kuadrit ligjor IPA III</w:t>
      </w:r>
      <w:r w:rsidRPr="00D267A6">
        <w:rPr>
          <w:sz w:val="18"/>
          <w:szCs w:val="18"/>
        </w:rPr>
        <w:t>;</w:t>
      </w:r>
    </w:p>
    <w:p w14:paraId="2ADBD82E" w14:textId="2AD60972" w:rsidR="00D267A6" w:rsidRPr="009D660E" w:rsidRDefault="00D267A6" w:rsidP="00CD7428">
      <w:pPr>
        <w:pStyle w:val="T-bullet0"/>
        <w:numPr>
          <w:ilvl w:val="0"/>
          <w:numId w:val="63"/>
        </w:numPr>
        <w:spacing w:line="276" w:lineRule="auto"/>
        <w:jc w:val="both"/>
        <w:rPr>
          <w:sz w:val="18"/>
          <w:szCs w:val="18"/>
          <w:lang w:val="it-IT"/>
        </w:rPr>
      </w:pPr>
      <w:r w:rsidRPr="009D660E">
        <w:rPr>
          <w:sz w:val="18"/>
          <w:szCs w:val="18"/>
          <w:lang w:val="it-IT"/>
        </w:rPr>
        <w:t>Zhvillimi dhe zbatimi i rregulloreve, procedurave për menaxhimin e IPA III dhe rritja e kapaciteteve të strukturave të IPA III;</w:t>
      </w:r>
    </w:p>
    <w:p w14:paraId="4F0126AA" w14:textId="6E07AD83" w:rsidR="00D267A6" w:rsidRPr="009D660E" w:rsidRDefault="00D267A6" w:rsidP="00CD7428">
      <w:pPr>
        <w:pStyle w:val="T-bullet0"/>
        <w:numPr>
          <w:ilvl w:val="0"/>
          <w:numId w:val="63"/>
        </w:numPr>
        <w:spacing w:line="276" w:lineRule="auto"/>
        <w:jc w:val="both"/>
        <w:rPr>
          <w:sz w:val="18"/>
          <w:szCs w:val="18"/>
          <w:lang w:val="it-IT"/>
        </w:rPr>
      </w:pPr>
      <w:r w:rsidRPr="009D660E">
        <w:rPr>
          <w:sz w:val="18"/>
          <w:szCs w:val="18"/>
          <w:lang w:val="it-IT"/>
        </w:rPr>
        <w:t>Përmirësimi i procedurave të rregullimit financiar dhe/ose rikuperimit për fondet e BE-së në përputhje me kërkesat ligjore kombëtare dhe IPA III;</w:t>
      </w:r>
    </w:p>
    <w:p w14:paraId="4017B6DD" w14:textId="7F080B64" w:rsidR="00AA13C0" w:rsidRPr="00FA16E5" w:rsidRDefault="00FA16E5" w:rsidP="00CD7428">
      <w:pPr>
        <w:pStyle w:val="ListParagraph"/>
        <w:numPr>
          <w:ilvl w:val="0"/>
          <w:numId w:val="63"/>
        </w:numPr>
        <w:spacing w:line="276" w:lineRule="auto"/>
        <w:jc w:val="both"/>
        <w:rPr>
          <w:rFonts w:eastAsiaTheme="majorEastAsia"/>
          <w:lang w:val="it-IT"/>
        </w:rPr>
      </w:pPr>
      <w:r w:rsidRPr="0059094E">
        <w:rPr>
          <w:lang w:val="it-IT"/>
        </w:rPr>
        <w:t>Marrja parasysh e kërkesave të ardhshme për menaxhimin e fondeve të BE-së pas anëtarësimit dhe zhvillimi i një plani veprimi, në kuadër të kapitullit 22, i cili do të përcaktojë nevojat për përmirësimin e kuadrit ligjor të menaxhimit të fondeve</w:t>
      </w:r>
    </w:p>
    <w:p w14:paraId="72A9F0AA" w14:textId="0F6FAB96" w:rsidR="00FA16E5" w:rsidRPr="009D660E" w:rsidRDefault="00FA16E5" w:rsidP="00CD7428">
      <w:pPr>
        <w:pStyle w:val="ListParagraph"/>
        <w:numPr>
          <w:ilvl w:val="0"/>
          <w:numId w:val="63"/>
        </w:numPr>
        <w:spacing w:line="276" w:lineRule="auto"/>
        <w:jc w:val="both"/>
        <w:rPr>
          <w:rFonts w:eastAsiaTheme="majorEastAsia"/>
          <w:lang w:val="it-IT"/>
        </w:rPr>
      </w:pPr>
      <w:r w:rsidRPr="009D660E">
        <w:rPr>
          <w:lang w:val="it-IT"/>
        </w:rPr>
        <w:t xml:space="preserve">Zhvillimi i opsioneve të thjeshtuara të kostos (SCO)   </w:t>
      </w:r>
    </w:p>
    <w:p w14:paraId="1CF082BE" w14:textId="77777777" w:rsidR="00D267A6" w:rsidRPr="009D660E" w:rsidRDefault="00D267A6" w:rsidP="00D267A6">
      <w:pPr>
        <w:pStyle w:val="ListParagraph"/>
        <w:spacing w:line="276" w:lineRule="auto"/>
        <w:ind w:left="360"/>
        <w:jc w:val="both"/>
        <w:rPr>
          <w:rStyle w:val="IntenseReference"/>
          <w:rFonts w:eastAsiaTheme="majorEastAsia"/>
          <w:i w:val="0"/>
          <w:color w:val="auto"/>
          <w:szCs w:val="22"/>
          <w:lang w:val="it-IT"/>
        </w:rPr>
      </w:pPr>
    </w:p>
    <w:p w14:paraId="68CF01D1" w14:textId="7CAC3BCB" w:rsidR="00AA13C0" w:rsidRPr="009D660E" w:rsidRDefault="00D267A6" w:rsidP="002E6AB5">
      <w:pPr>
        <w:pStyle w:val="N-Bold"/>
        <w:spacing w:line="276" w:lineRule="auto"/>
        <w:jc w:val="both"/>
        <w:rPr>
          <w:rStyle w:val="IntenseReference"/>
          <w:rFonts w:eastAsiaTheme="majorEastAsia"/>
          <w:i w:val="0"/>
          <w:color w:val="auto"/>
          <w:szCs w:val="22"/>
          <w:lang w:val="it-IT"/>
        </w:rPr>
      </w:pPr>
      <w:r w:rsidRPr="009D660E">
        <w:rPr>
          <w:rStyle w:val="IntenseReference"/>
          <w:rFonts w:eastAsiaTheme="majorEastAsia"/>
          <w:i w:val="0"/>
          <w:color w:val="auto"/>
          <w:szCs w:val="22"/>
          <w:lang w:val="it-IT"/>
        </w:rPr>
        <w:t>Shtylla</w:t>
      </w:r>
      <w:r w:rsidR="00AA13C0" w:rsidRPr="009D660E">
        <w:rPr>
          <w:rStyle w:val="IntenseReference"/>
          <w:rFonts w:eastAsiaTheme="majorEastAsia"/>
          <w:i w:val="0"/>
          <w:color w:val="auto"/>
          <w:szCs w:val="22"/>
          <w:lang w:val="it-IT"/>
        </w:rPr>
        <w:t xml:space="preserve"> 6: </w:t>
      </w:r>
      <w:r w:rsidRPr="009D660E">
        <w:rPr>
          <w:rStyle w:val="IntenseReference"/>
          <w:rFonts w:eastAsiaTheme="majorEastAsia"/>
          <w:i w:val="0"/>
          <w:color w:val="auto"/>
          <w:szCs w:val="22"/>
          <w:lang w:val="it-IT"/>
        </w:rPr>
        <w:t>Mbik</w:t>
      </w:r>
      <w:r w:rsidR="00780EA8" w:rsidRPr="009D660E">
        <w:rPr>
          <w:rStyle w:val="IntenseReference"/>
          <w:rFonts w:eastAsiaTheme="majorEastAsia"/>
          <w:i w:val="0"/>
          <w:color w:val="auto"/>
          <w:szCs w:val="22"/>
          <w:lang w:val="it-IT"/>
        </w:rPr>
        <w:t>ë</w:t>
      </w:r>
      <w:r w:rsidRPr="009D660E">
        <w:rPr>
          <w:rStyle w:val="IntenseReference"/>
          <w:rFonts w:eastAsiaTheme="majorEastAsia"/>
          <w:i w:val="0"/>
          <w:color w:val="auto"/>
          <w:szCs w:val="22"/>
          <w:lang w:val="it-IT"/>
        </w:rPr>
        <w:t>qyrja e Jashtme</w:t>
      </w:r>
    </w:p>
    <w:p w14:paraId="691873A0" w14:textId="5117A70C" w:rsidR="00AA13C0" w:rsidRPr="009D660E" w:rsidRDefault="005E3302" w:rsidP="002E6AB5">
      <w:pPr>
        <w:spacing w:line="276" w:lineRule="auto"/>
        <w:jc w:val="both"/>
        <w:rPr>
          <w:rStyle w:val="IntenseReference"/>
          <w:rFonts w:eastAsiaTheme="majorEastAsia"/>
          <w:color w:val="auto"/>
          <w:szCs w:val="22"/>
          <w:lang w:val="it-IT"/>
        </w:rPr>
      </w:pPr>
      <w:r w:rsidRPr="009D660E">
        <w:rPr>
          <w:rStyle w:val="IntenseReference"/>
          <w:rFonts w:eastAsiaTheme="majorEastAsia"/>
          <w:color w:val="auto"/>
          <w:szCs w:val="22"/>
          <w:lang w:val="it-IT"/>
        </w:rPr>
        <w:t xml:space="preserve">Funksioni i pavarur i Kontrollit të Lartë është profesionalizuar më tej në përputhje me parimet e ONISA-s dhe standardet ndërkombëtare të auditimit dhe funksioni mbështetës për parlamentin është forcuar për t'i mundësuar Komisionit </w:t>
      </w:r>
      <w:r w:rsidR="00012917" w:rsidRPr="009D660E">
        <w:rPr>
          <w:rStyle w:val="IntenseReference"/>
          <w:rFonts w:eastAsiaTheme="majorEastAsia"/>
          <w:color w:val="auto"/>
          <w:szCs w:val="22"/>
          <w:lang w:val="it-IT"/>
        </w:rPr>
        <w:t xml:space="preserve">Parlamentar </w:t>
      </w:r>
      <w:r w:rsidRPr="009D660E">
        <w:rPr>
          <w:rStyle w:val="IntenseReference"/>
          <w:rFonts w:eastAsiaTheme="majorEastAsia"/>
          <w:color w:val="auto"/>
          <w:szCs w:val="22"/>
          <w:lang w:val="it-IT"/>
        </w:rPr>
        <w:t xml:space="preserve">për </w:t>
      </w:r>
      <w:r w:rsidR="003F5F5B" w:rsidRPr="009D660E">
        <w:rPr>
          <w:rStyle w:val="IntenseReference"/>
          <w:rFonts w:eastAsiaTheme="majorEastAsia"/>
          <w:color w:val="auto"/>
          <w:szCs w:val="22"/>
          <w:lang w:val="it-IT"/>
        </w:rPr>
        <w:t xml:space="preserve">Ekonominë dhe </w:t>
      </w:r>
      <w:r w:rsidRPr="009D660E">
        <w:rPr>
          <w:rStyle w:val="IntenseReference"/>
          <w:rFonts w:eastAsiaTheme="majorEastAsia"/>
          <w:color w:val="auto"/>
          <w:szCs w:val="22"/>
          <w:lang w:val="it-IT"/>
        </w:rPr>
        <w:t>Financat të zbatojë në mënyrë adekuate rolin e tij mbikëqyrës.</w:t>
      </w:r>
    </w:p>
    <w:p w14:paraId="106BE3F3" w14:textId="77777777" w:rsidR="005E3302" w:rsidRPr="009D660E" w:rsidRDefault="005E3302" w:rsidP="002E6AB5">
      <w:pPr>
        <w:spacing w:line="276" w:lineRule="auto"/>
        <w:jc w:val="both"/>
        <w:rPr>
          <w:rStyle w:val="IntenseReference"/>
          <w:rFonts w:eastAsiaTheme="majorEastAsia"/>
          <w:i w:val="0"/>
          <w:iCs/>
          <w:color w:val="auto"/>
          <w:szCs w:val="22"/>
          <w:lang w:val="it-IT"/>
        </w:rPr>
      </w:pPr>
    </w:p>
    <w:p w14:paraId="3EFA180B" w14:textId="0E0A2F4A" w:rsidR="00D267A6" w:rsidRPr="009D660E" w:rsidRDefault="00D267A6" w:rsidP="00CD7428">
      <w:pPr>
        <w:pStyle w:val="T-Bullet"/>
        <w:numPr>
          <w:ilvl w:val="0"/>
          <w:numId w:val="64"/>
        </w:numPr>
        <w:spacing w:line="276" w:lineRule="auto"/>
        <w:jc w:val="both"/>
        <w:rPr>
          <w:sz w:val="18"/>
          <w:szCs w:val="18"/>
          <w:lang w:val="it-IT"/>
        </w:rPr>
      </w:pPr>
      <w:r w:rsidRPr="009D660E">
        <w:rPr>
          <w:sz w:val="18"/>
          <w:szCs w:val="18"/>
          <w:lang w:val="it-IT"/>
        </w:rPr>
        <w:t xml:space="preserve">Përmirësimi i mëtejshëm i kuadrit metodologjik ligjor, rregullator dhe </w:t>
      </w:r>
      <w:r w:rsidR="005E3302" w:rsidRPr="009D660E">
        <w:rPr>
          <w:sz w:val="18"/>
          <w:szCs w:val="18"/>
          <w:lang w:val="it-IT"/>
        </w:rPr>
        <w:t>fleksibël</w:t>
      </w:r>
      <w:r w:rsidRPr="009D660E">
        <w:rPr>
          <w:sz w:val="18"/>
          <w:szCs w:val="18"/>
          <w:lang w:val="it-IT"/>
        </w:rPr>
        <w:t xml:space="preserve"> dhe zgjerimi i përdorimit të mjeteve të auditimit;</w:t>
      </w:r>
    </w:p>
    <w:p w14:paraId="1B793511" w14:textId="4CB713F1" w:rsidR="00D267A6" w:rsidRPr="009D660E" w:rsidRDefault="00D267A6" w:rsidP="00CD7428">
      <w:pPr>
        <w:pStyle w:val="T-Bullet"/>
        <w:numPr>
          <w:ilvl w:val="0"/>
          <w:numId w:val="64"/>
        </w:numPr>
        <w:spacing w:line="276" w:lineRule="auto"/>
        <w:jc w:val="both"/>
        <w:rPr>
          <w:sz w:val="18"/>
          <w:szCs w:val="18"/>
          <w:lang w:val="it-IT"/>
        </w:rPr>
      </w:pPr>
      <w:r w:rsidRPr="009D660E">
        <w:rPr>
          <w:sz w:val="18"/>
          <w:szCs w:val="18"/>
          <w:lang w:val="it-IT"/>
        </w:rPr>
        <w:t>Profesionalizimi i raportimit dhe komunikimit në përputhje me strategjinë e komunikimit dhe parimet dhe standardet përkatëse.</w:t>
      </w:r>
    </w:p>
    <w:p w14:paraId="5DAEC783" w14:textId="5442DDC1" w:rsidR="00AA13C0" w:rsidRPr="009D660E" w:rsidRDefault="00D267A6" w:rsidP="00CD7428">
      <w:pPr>
        <w:pStyle w:val="ListParagraph"/>
        <w:numPr>
          <w:ilvl w:val="0"/>
          <w:numId w:val="64"/>
        </w:numPr>
        <w:spacing w:line="276" w:lineRule="auto"/>
        <w:jc w:val="both"/>
        <w:rPr>
          <w:rStyle w:val="IntenseReference"/>
          <w:rFonts w:eastAsiaTheme="majorEastAsia"/>
          <w:i w:val="0"/>
          <w:iCs/>
          <w:lang w:val="it-IT"/>
        </w:rPr>
      </w:pPr>
      <w:r w:rsidRPr="009D660E">
        <w:rPr>
          <w:lang w:val="it-IT"/>
        </w:rPr>
        <w:t>Profesionalizimi i mëtejshëm i strukturave mbështetëse të Komisionit Parlamentar për Ekonominë dhe Financat.</w:t>
      </w:r>
    </w:p>
    <w:p w14:paraId="032AA987" w14:textId="77777777" w:rsidR="002E6AB5" w:rsidRPr="009D660E" w:rsidRDefault="002E6AB5" w:rsidP="002E6AB5">
      <w:pPr>
        <w:pStyle w:val="ListParagraph"/>
        <w:spacing w:line="276" w:lineRule="auto"/>
        <w:ind w:left="360"/>
        <w:jc w:val="both"/>
        <w:rPr>
          <w:rStyle w:val="IntenseReference"/>
          <w:i w:val="0"/>
          <w:color w:val="auto"/>
          <w:lang w:val="it-IT"/>
        </w:rPr>
      </w:pPr>
    </w:p>
    <w:p w14:paraId="0D44E6F6" w14:textId="01DB3804" w:rsidR="00243BE1" w:rsidRPr="001F151E" w:rsidRDefault="000C70FA" w:rsidP="00AC589A">
      <w:pPr>
        <w:pStyle w:val="Heading1"/>
        <w:rPr>
          <w:rStyle w:val="IntenseReference"/>
          <w:rFonts w:eastAsiaTheme="majorEastAsia" w:cstheme="majorBidi"/>
          <w:i w:val="0"/>
          <w:sz w:val="26"/>
          <w:szCs w:val="26"/>
          <w:lang w:val="en-GB"/>
        </w:rPr>
      </w:pPr>
      <w:bookmarkStart w:id="3" w:name="_Toc161748800"/>
      <w:r>
        <w:rPr>
          <w:rStyle w:val="IntenseReference"/>
          <w:rFonts w:eastAsiaTheme="majorEastAsia" w:cstheme="majorBidi"/>
          <w:i w:val="0"/>
          <w:sz w:val="26"/>
          <w:szCs w:val="26"/>
          <w:lang w:val="en-GB"/>
        </w:rPr>
        <w:t>Hyrje</w:t>
      </w:r>
      <w:bookmarkEnd w:id="3"/>
    </w:p>
    <w:p w14:paraId="7A96FF2B" w14:textId="77777777" w:rsidR="00243BE1" w:rsidRPr="001F151E" w:rsidRDefault="00243BE1" w:rsidP="00243BE1">
      <w:pPr>
        <w:rPr>
          <w:lang w:val="en-GB"/>
        </w:rPr>
      </w:pPr>
    </w:p>
    <w:p w14:paraId="0B056CD3" w14:textId="31C93D24" w:rsidR="00243BE1" w:rsidRPr="001F151E" w:rsidRDefault="000C70FA" w:rsidP="00C96708">
      <w:pPr>
        <w:pStyle w:val="Heading2"/>
        <w:rPr>
          <w:rStyle w:val="IntenseReference"/>
          <w:rFonts w:eastAsiaTheme="majorEastAsia" w:cstheme="majorBidi"/>
          <w:i w:val="0"/>
          <w:sz w:val="22"/>
          <w:szCs w:val="22"/>
          <w:lang w:val="en-GB"/>
        </w:rPr>
      </w:pPr>
      <w:bookmarkStart w:id="4" w:name="_Toc161748801"/>
      <w:r>
        <w:rPr>
          <w:rStyle w:val="IntenseReference"/>
          <w:rFonts w:eastAsiaTheme="majorEastAsia" w:cstheme="majorBidi"/>
          <w:i w:val="0"/>
          <w:sz w:val="22"/>
          <w:szCs w:val="22"/>
          <w:lang w:val="en-GB"/>
        </w:rPr>
        <w:t>Fusha</w:t>
      </w:r>
      <w:r w:rsidR="007B28B8">
        <w:rPr>
          <w:rStyle w:val="IntenseReference"/>
          <w:rFonts w:eastAsiaTheme="majorEastAsia" w:cstheme="majorBidi"/>
          <w:i w:val="0"/>
          <w:sz w:val="22"/>
          <w:szCs w:val="22"/>
          <w:lang w:val="en-GB"/>
        </w:rPr>
        <w:t xml:space="preserve"> dhe q</w:t>
      </w:r>
      <w:r w:rsidR="00780EA8">
        <w:rPr>
          <w:rStyle w:val="IntenseReference"/>
          <w:rFonts w:eastAsiaTheme="majorEastAsia" w:cstheme="majorBidi"/>
          <w:i w:val="0"/>
          <w:sz w:val="22"/>
          <w:szCs w:val="22"/>
          <w:lang w:val="en-GB"/>
        </w:rPr>
        <w:t>ë</w:t>
      </w:r>
      <w:r w:rsidR="007B28B8">
        <w:rPr>
          <w:rStyle w:val="IntenseReference"/>
          <w:rFonts w:eastAsiaTheme="majorEastAsia" w:cstheme="majorBidi"/>
          <w:i w:val="0"/>
          <w:sz w:val="22"/>
          <w:szCs w:val="22"/>
          <w:lang w:val="en-GB"/>
        </w:rPr>
        <w:t>llimi</w:t>
      </w:r>
      <w:bookmarkEnd w:id="4"/>
    </w:p>
    <w:p w14:paraId="603AEE0D" w14:textId="77777777" w:rsidR="00F94749" w:rsidRPr="001F151E" w:rsidRDefault="00F94749" w:rsidP="00F94749">
      <w:pPr>
        <w:rPr>
          <w:lang w:val="en-GB"/>
        </w:rPr>
      </w:pPr>
    </w:p>
    <w:p w14:paraId="73D6E00E" w14:textId="6B00910C" w:rsidR="000C70FA" w:rsidRDefault="000C70FA" w:rsidP="00B93E04">
      <w:pPr>
        <w:spacing w:line="276" w:lineRule="auto"/>
        <w:jc w:val="both"/>
        <w:rPr>
          <w:lang w:val="en-GB"/>
        </w:rPr>
      </w:pPr>
      <w:r w:rsidRPr="00680F0A">
        <w:rPr>
          <w:lang w:val="en-GB"/>
        </w:rPr>
        <w:t>Shqipëria ka zbatuar me sukses disa reforma të MFP-së gjatë dekadave të fundit. Kjo strategji paraqet një vizion të funksionit të MFP</w:t>
      </w:r>
      <w:r w:rsidR="00952810">
        <w:rPr>
          <w:lang w:val="en-GB"/>
        </w:rPr>
        <w:t>-së</w:t>
      </w:r>
      <w:r w:rsidRPr="00680F0A">
        <w:rPr>
          <w:lang w:val="en-GB"/>
        </w:rPr>
        <w:t xml:space="preserve"> deri në vitin 2030 dhe një plan veprimi që identifikon një sërë masash dhe aktivitetesh shoqëruese dhe tregues të performancës për të vazhduar reformat në sistemet e MFP</w:t>
      </w:r>
      <w:r w:rsidR="002473BA">
        <w:rPr>
          <w:lang w:val="en-GB"/>
        </w:rPr>
        <w:t>-së</w:t>
      </w:r>
      <w:r w:rsidRPr="00680F0A">
        <w:rPr>
          <w:lang w:val="en-GB"/>
        </w:rPr>
        <w:t xml:space="preserve"> deri në vitin 2026. Kjo strategji fokusohet në përmirësimin e sistemeve të MFP</w:t>
      </w:r>
      <w:r w:rsidR="002473BA">
        <w:rPr>
          <w:lang w:val="en-GB"/>
        </w:rPr>
        <w:t>-së</w:t>
      </w:r>
      <w:r w:rsidRPr="00680F0A">
        <w:rPr>
          <w:lang w:val="en-GB"/>
        </w:rPr>
        <w:t>. Strategjia është plotësisht e harmonizuar me Strategjinë Kombëtare për Zhvillim dhe Integrim Evropian dhe disa strategji të tjera në fushën e qeverisjes së mirë.</w:t>
      </w:r>
    </w:p>
    <w:p w14:paraId="298AD1CC" w14:textId="77777777" w:rsidR="009E3282" w:rsidRPr="001F151E" w:rsidRDefault="009E3282" w:rsidP="00B93E04">
      <w:pPr>
        <w:spacing w:line="276" w:lineRule="auto"/>
        <w:jc w:val="both"/>
        <w:rPr>
          <w:lang w:val="en-GB"/>
        </w:rPr>
      </w:pPr>
    </w:p>
    <w:p w14:paraId="2EC04F61" w14:textId="74A4B89C" w:rsidR="009E3282" w:rsidRDefault="000C70FA" w:rsidP="00B93E04">
      <w:pPr>
        <w:spacing w:line="276" w:lineRule="auto"/>
        <w:jc w:val="both"/>
        <w:rPr>
          <w:lang w:val="en-GB"/>
        </w:rPr>
      </w:pPr>
      <w:r w:rsidRPr="007A1C05">
        <w:rPr>
          <w:lang w:val="en-GB"/>
        </w:rPr>
        <w:t>Në përputhje me SKZHIE</w:t>
      </w:r>
      <w:r w:rsidR="00BB2BC9">
        <w:rPr>
          <w:lang w:val="en-GB"/>
        </w:rPr>
        <w:t xml:space="preserve"> 2022-2030</w:t>
      </w:r>
      <w:r w:rsidRPr="007A1C05">
        <w:rPr>
          <w:lang w:val="en-GB"/>
        </w:rPr>
        <w:t>, qëllimi i përgjithshëm është krijimi i një sistemi të menaxhimit të financave publike që garanton transparencë, llogaridhënie, disiplinë fiskale dhe efikasitet në përdorimin e burimeve publike për ofrimin e shërbimeve publike të përmirësuara dhe zhvillimit ekonomik dhe që siguron një integrim të</w:t>
      </w:r>
      <w:r w:rsidR="002473BA">
        <w:rPr>
          <w:lang w:val="en-GB"/>
        </w:rPr>
        <w:t xml:space="preserve"> </w:t>
      </w:r>
      <w:r>
        <w:rPr>
          <w:lang w:val="en-GB"/>
        </w:rPr>
        <w:t>leht</w:t>
      </w:r>
      <w:r w:rsidR="00780EA8">
        <w:rPr>
          <w:lang w:val="en-GB"/>
        </w:rPr>
        <w:t>ë</w:t>
      </w:r>
      <w:r w:rsidRPr="007A1C05">
        <w:rPr>
          <w:lang w:val="en-GB"/>
        </w:rPr>
        <w:t xml:space="preserve"> të Shqipëri</w:t>
      </w:r>
      <w:r w:rsidR="002473BA">
        <w:rPr>
          <w:lang w:val="en-GB"/>
        </w:rPr>
        <w:t>së</w:t>
      </w:r>
      <w:r w:rsidRPr="007A1C05">
        <w:rPr>
          <w:lang w:val="en-GB"/>
        </w:rPr>
        <w:t xml:space="preserve"> në Bashkimin Evropian</w:t>
      </w:r>
      <w:r w:rsidR="00B93E04">
        <w:rPr>
          <w:lang w:val="en-GB"/>
        </w:rPr>
        <w:t>.</w:t>
      </w:r>
    </w:p>
    <w:p w14:paraId="58F2C60D" w14:textId="77777777" w:rsidR="00B93E04" w:rsidRDefault="00B93E04" w:rsidP="00B93E04">
      <w:pPr>
        <w:spacing w:line="276" w:lineRule="auto"/>
        <w:jc w:val="both"/>
        <w:rPr>
          <w:lang w:val="en-GB"/>
        </w:rPr>
      </w:pPr>
    </w:p>
    <w:p w14:paraId="522B61A3" w14:textId="3C54498F" w:rsidR="00952810" w:rsidRDefault="00B93E04" w:rsidP="00B93E04">
      <w:pPr>
        <w:spacing w:line="276" w:lineRule="auto"/>
        <w:jc w:val="both"/>
        <w:rPr>
          <w:lang w:val="en-GB"/>
        </w:rPr>
      </w:pPr>
      <w:r w:rsidRPr="00B93E04">
        <w:rPr>
          <w:lang w:val="en-GB"/>
        </w:rPr>
        <w:t>Strategjia shërben si një kuadër që do të udhëheqë zbatimin</w:t>
      </w:r>
      <w:r>
        <w:rPr>
          <w:lang w:val="en-GB"/>
        </w:rPr>
        <w:t xml:space="preserve"> e</w:t>
      </w:r>
      <w:r w:rsidRPr="00B93E04">
        <w:rPr>
          <w:lang w:val="en-GB"/>
        </w:rPr>
        <w:t xml:space="preserve"> të gjithë reformave të QSH për</w:t>
      </w:r>
      <w:r>
        <w:rPr>
          <w:lang w:val="en-GB"/>
        </w:rPr>
        <w:t xml:space="preserve"> </w:t>
      </w:r>
      <w:r w:rsidRPr="00B93E04">
        <w:rPr>
          <w:lang w:val="en-GB"/>
        </w:rPr>
        <w:t>MFP-në deri në fund të vitit 20</w:t>
      </w:r>
      <w:r>
        <w:rPr>
          <w:lang w:val="en-GB"/>
        </w:rPr>
        <w:t>30</w:t>
      </w:r>
      <w:r w:rsidRPr="00B93E04">
        <w:rPr>
          <w:lang w:val="en-GB"/>
        </w:rPr>
        <w:t>. Për të mbajtur siç duhet në kontroll dhe në fokus prioritetet</w:t>
      </w:r>
      <w:r>
        <w:rPr>
          <w:lang w:val="en-GB"/>
        </w:rPr>
        <w:t>, si dhe për të reflektuar mjedisin dinamik dhe prioritetet e Bashkimit Evropian</w:t>
      </w:r>
      <w:r w:rsidRPr="00B93E04">
        <w:rPr>
          <w:lang w:val="en-GB"/>
        </w:rPr>
        <w:t>,</w:t>
      </w:r>
      <w:r>
        <w:rPr>
          <w:lang w:val="en-GB"/>
        </w:rPr>
        <w:t xml:space="preserve"> </w:t>
      </w:r>
      <w:r w:rsidR="00482135">
        <w:rPr>
          <w:lang w:val="en-GB"/>
        </w:rPr>
        <w:t>ndryshimet</w:t>
      </w:r>
      <w:r w:rsidRPr="00B93E04">
        <w:rPr>
          <w:lang w:val="en-GB"/>
        </w:rPr>
        <w:t xml:space="preserve"> në këtë Strategji, deri në fund të periudhës së zbatimit të saj, do të jenë të kufizuara.</w:t>
      </w:r>
      <w:r>
        <w:rPr>
          <w:lang w:val="en-GB"/>
        </w:rPr>
        <w:t xml:space="preserve"> </w:t>
      </w:r>
      <w:r w:rsidRPr="00B93E04">
        <w:rPr>
          <w:lang w:val="en-GB"/>
        </w:rPr>
        <w:t xml:space="preserve">Plani i Veprimit dhe </w:t>
      </w:r>
      <w:r>
        <w:rPr>
          <w:lang w:val="en-GB"/>
        </w:rPr>
        <w:t>Pasaporta e Treguesve</w:t>
      </w:r>
      <w:r w:rsidRPr="00B93E04">
        <w:rPr>
          <w:lang w:val="en-GB"/>
        </w:rPr>
        <w:t xml:space="preserve"> do të</w:t>
      </w:r>
      <w:r>
        <w:rPr>
          <w:lang w:val="en-GB"/>
        </w:rPr>
        <w:t xml:space="preserve"> </w:t>
      </w:r>
      <w:r w:rsidRPr="00B93E04">
        <w:rPr>
          <w:lang w:val="en-GB"/>
        </w:rPr>
        <w:t>jenë më fleksibël dhe do të rishikohen sipas nevojës, dhe rrjedhimisht me zbatimin e saj</w:t>
      </w:r>
      <w:r>
        <w:rPr>
          <w:lang w:val="en-GB"/>
        </w:rPr>
        <w:t xml:space="preserve"> </w:t>
      </w:r>
      <w:r w:rsidRPr="00B93E04">
        <w:rPr>
          <w:lang w:val="en-GB"/>
        </w:rPr>
        <w:t xml:space="preserve">mund të ndryshojnë dhe masat e </w:t>
      </w:r>
      <w:r>
        <w:rPr>
          <w:lang w:val="en-GB"/>
        </w:rPr>
        <w:t>aktivitetet</w:t>
      </w:r>
      <w:r w:rsidRPr="00B93E04">
        <w:rPr>
          <w:lang w:val="en-GB"/>
        </w:rPr>
        <w:t xml:space="preserve">. </w:t>
      </w:r>
    </w:p>
    <w:p w14:paraId="236407AA" w14:textId="77777777" w:rsidR="007B28B8" w:rsidRDefault="007B28B8" w:rsidP="000C70FA">
      <w:pPr>
        <w:rPr>
          <w:lang w:val="en-GB"/>
        </w:rPr>
      </w:pPr>
    </w:p>
    <w:p w14:paraId="4B4C8E8A" w14:textId="77777777" w:rsidR="00243BE1" w:rsidRPr="001F151E" w:rsidRDefault="00243BE1" w:rsidP="00D209D0">
      <w:pPr>
        <w:rPr>
          <w:rStyle w:val="IntenseReference"/>
          <w:rFonts w:eastAsiaTheme="majorEastAsia" w:cstheme="majorBidi"/>
          <w:i w:val="0"/>
          <w:sz w:val="22"/>
          <w:szCs w:val="22"/>
          <w:lang w:val="en-GB"/>
        </w:rPr>
      </w:pPr>
    </w:p>
    <w:p w14:paraId="5F254EF9" w14:textId="7F729F9E" w:rsidR="000C70FA" w:rsidRPr="009D660E" w:rsidRDefault="000C70FA" w:rsidP="000C70FA">
      <w:pPr>
        <w:pStyle w:val="Heading2"/>
        <w:rPr>
          <w:rStyle w:val="IntenseReference"/>
          <w:rFonts w:eastAsiaTheme="majorEastAsia" w:cstheme="majorBidi"/>
          <w:i w:val="0"/>
          <w:sz w:val="22"/>
          <w:szCs w:val="22"/>
          <w:lang w:val="it-IT"/>
        </w:rPr>
      </w:pPr>
      <w:bookmarkStart w:id="5" w:name="_Toc161748802"/>
      <w:r w:rsidRPr="009D660E">
        <w:rPr>
          <w:rStyle w:val="IntenseReference"/>
          <w:rFonts w:eastAsiaTheme="majorEastAsia" w:cstheme="majorBidi"/>
          <w:i w:val="0"/>
          <w:sz w:val="22"/>
          <w:szCs w:val="22"/>
          <w:lang w:val="it-IT"/>
        </w:rPr>
        <w:lastRenderedPageBreak/>
        <w:t>P</w:t>
      </w:r>
      <w:r w:rsidR="00780EA8" w:rsidRPr="009D660E">
        <w:rPr>
          <w:rStyle w:val="IntenseReference"/>
          <w:rFonts w:eastAsiaTheme="majorEastAsia" w:cstheme="majorBidi"/>
          <w:i w:val="0"/>
          <w:sz w:val="22"/>
          <w:szCs w:val="22"/>
          <w:lang w:val="it-IT"/>
        </w:rPr>
        <w:t>ë</w:t>
      </w:r>
      <w:r w:rsidRPr="009D660E">
        <w:rPr>
          <w:rStyle w:val="IntenseReference"/>
          <w:rFonts w:eastAsiaTheme="majorEastAsia" w:cstheme="majorBidi"/>
          <w:i w:val="0"/>
          <w:sz w:val="22"/>
          <w:szCs w:val="22"/>
          <w:lang w:val="it-IT"/>
        </w:rPr>
        <w:t>rmbledhja e strategjis</w:t>
      </w:r>
      <w:r w:rsidR="00780EA8" w:rsidRPr="009D660E">
        <w:rPr>
          <w:rStyle w:val="IntenseReference"/>
          <w:rFonts w:eastAsiaTheme="majorEastAsia" w:cstheme="majorBidi"/>
          <w:i w:val="0"/>
          <w:sz w:val="22"/>
          <w:szCs w:val="22"/>
          <w:lang w:val="it-IT"/>
        </w:rPr>
        <w:t>ë</w:t>
      </w:r>
      <w:r w:rsidRPr="009D660E">
        <w:rPr>
          <w:rStyle w:val="IntenseReference"/>
          <w:rFonts w:eastAsiaTheme="majorEastAsia" w:cstheme="majorBidi"/>
          <w:i w:val="0"/>
          <w:sz w:val="22"/>
          <w:szCs w:val="22"/>
          <w:lang w:val="it-IT"/>
        </w:rPr>
        <w:t xml:space="preserve"> sektoriale t</w:t>
      </w:r>
      <w:r w:rsidR="00780EA8" w:rsidRPr="009D660E">
        <w:rPr>
          <w:rStyle w:val="IntenseReference"/>
          <w:rFonts w:eastAsiaTheme="majorEastAsia" w:cstheme="majorBidi"/>
          <w:i w:val="0"/>
          <w:sz w:val="22"/>
          <w:szCs w:val="22"/>
          <w:lang w:val="it-IT"/>
        </w:rPr>
        <w:t>ë</w:t>
      </w:r>
      <w:r w:rsidRPr="009D660E">
        <w:rPr>
          <w:rStyle w:val="IntenseReference"/>
          <w:rFonts w:eastAsiaTheme="majorEastAsia" w:cstheme="majorBidi"/>
          <w:i w:val="0"/>
          <w:sz w:val="22"/>
          <w:szCs w:val="22"/>
          <w:lang w:val="it-IT"/>
        </w:rPr>
        <w:t xml:space="preserve"> MFP-s</w:t>
      </w:r>
      <w:r w:rsidR="00780EA8" w:rsidRPr="009D660E">
        <w:rPr>
          <w:rStyle w:val="IntenseReference"/>
          <w:rFonts w:eastAsiaTheme="majorEastAsia" w:cstheme="majorBidi"/>
          <w:i w:val="0"/>
          <w:sz w:val="22"/>
          <w:szCs w:val="22"/>
          <w:lang w:val="it-IT"/>
        </w:rPr>
        <w:t>ë</w:t>
      </w:r>
      <w:bookmarkEnd w:id="5"/>
    </w:p>
    <w:p w14:paraId="69EB9899" w14:textId="77777777" w:rsidR="00E91470" w:rsidRPr="009D660E" w:rsidRDefault="00E91470" w:rsidP="00E91470">
      <w:pPr>
        <w:rPr>
          <w:lang w:val="it-IT"/>
        </w:rPr>
      </w:pPr>
    </w:p>
    <w:p w14:paraId="3BAA1221" w14:textId="4C2F6FA6" w:rsidR="00E91470" w:rsidRPr="009D660E" w:rsidRDefault="000C70FA" w:rsidP="00E91470">
      <w:pPr>
        <w:rPr>
          <w:lang w:val="it-IT"/>
        </w:rPr>
      </w:pPr>
      <w:r w:rsidRPr="009D660E">
        <w:rPr>
          <w:lang w:val="it-IT"/>
        </w:rPr>
        <w:t xml:space="preserve">Kjo strategji </w:t>
      </w:r>
      <w:r w:rsidR="00780EA8" w:rsidRPr="009D660E">
        <w:rPr>
          <w:lang w:val="it-IT"/>
        </w:rPr>
        <w:t>ë</w:t>
      </w:r>
      <w:r w:rsidRPr="009D660E">
        <w:rPr>
          <w:lang w:val="it-IT"/>
        </w:rPr>
        <w:t>sht</w:t>
      </w:r>
      <w:r w:rsidR="00780EA8" w:rsidRPr="009D660E">
        <w:rPr>
          <w:lang w:val="it-IT"/>
        </w:rPr>
        <w:t>ë</w:t>
      </w:r>
      <w:r w:rsidRPr="009D660E">
        <w:rPr>
          <w:lang w:val="it-IT"/>
        </w:rPr>
        <w:t xml:space="preserve"> e strukturuar n</w:t>
      </w:r>
      <w:r w:rsidR="00780EA8" w:rsidRPr="009D660E">
        <w:rPr>
          <w:lang w:val="it-IT"/>
        </w:rPr>
        <w:t>ë</w:t>
      </w:r>
      <w:r w:rsidRPr="009D660E">
        <w:rPr>
          <w:lang w:val="it-IT"/>
        </w:rPr>
        <w:t xml:space="preserve"> gjasht</w:t>
      </w:r>
      <w:r w:rsidR="00780EA8" w:rsidRPr="009D660E">
        <w:rPr>
          <w:lang w:val="it-IT"/>
        </w:rPr>
        <w:t>ë</w:t>
      </w:r>
      <w:r w:rsidRPr="009D660E">
        <w:rPr>
          <w:lang w:val="it-IT"/>
        </w:rPr>
        <w:t xml:space="preserve"> </w:t>
      </w:r>
      <w:r w:rsidR="00D267A6" w:rsidRPr="009D660E">
        <w:rPr>
          <w:lang w:val="it-IT"/>
        </w:rPr>
        <w:t>s</w:t>
      </w:r>
      <w:r w:rsidRPr="009D660E">
        <w:rPr>
          <w:lang w:val="it-IT"/>
        </w:rPr>
        <w:t>htylla, me disa komponent</w:t>
      </w:r>
      <w:r w:rsidR="00780EA8" w:rsidRPr="009D660E">
        <w:rPr>
          <w:lang w:val="it-IT"/>
        </w:rPr>
        <w:t>ë</w:t>
      </w:r>
      <w:r w:rsidRPr="009D660E">
        <w:rPr>
          <w:lang w:val="it-IT"/>
        </w:rPr>
        <w:t xml:space="preserve"> n</w:t>
      </w:r>
      <w:r w:rsidR="00780EA8" w:rsidRPr="009D660E">
        <w:rPr>
          <w:lang w:val="it-IT"/>
        </w:rPr>
        <w:t>ë</w:t>
      </w:r>
      <w:r w:rsidRPr="009D660E">
        <w:rPr>
          <w:lang w:val="it-IT"/>
        </w:rPr>
        <w:t xml:space="preserve"> secil</w:t>
      </w:r>
      <w:r w:rsidR="00780EA8" w:rsidRPr="009D660E">
        <w:rPr>
          <w:lang w:val="it-IT"/>
        </w:rPr>
        <w:t>ë</w:t>
      </w:r>
      <w:r w:rsidRPr="009D660E">
        <w:rPr>
          <w:lang w:val="it-IT"/>
        </w:rPr>
        <w:t>n shtyll</w:t>
      </w:r>
      <w:r w:rsidR="00780EA8" w:rsidRPr="009D660E">
        <w:rPr>
          <w:lang w:val="it-IT"/>
        </w:rPr>
        <w:t>ë</w:t>
      </w:r>
      <w:r w:rsidRPr="009D660E">
        <w:rPr>
          <w:lang w:val="it-IT"/>
        </w:rPr>
        <w:t>.</w:t>
      </w:r>
    </w:p>
    <w:p w14:paraId="2089FAA8" w14:textId="77777777" w:rsidR="000C70FA" w:rsidRPr="009D660E" w:rsidRDefault="000C70FA" w:rsidP="00E91470">
      <w:pPr>
        <w:rPr>
          <w:lang w:val="it-IT"/>
        </w:rPr>
      </w:pPr>
    </w:p>
    <w:p w14:paraId="5BD7AB08" w14:textId="3C6A02A6" w:rsidR="009E3282" w:rsidRPr="009D660E" w:rsidRDefault="000C70FA" w:rsidP="009E3282">
      <w:pPr>
        <w:pStyle w:val="T-normal"/>
        <w:spacing w:after="60"/>
        <w:rPr>
          <w:i/>
          <w:iCs/>
          <w:lang w:val="it-IT"/>
        </w:rPr>
      </w:pPr>
      <w:r w:rsidRPr="009D660E">
        <w:rPr>
          <w:i/>
          <w:iCs/>
          <w:lang w:val="it-IT"/>
        </w:rPr>
        <w:t>Figura</w:t>
      </w:r>
      <w:r w:rsidR="009E3282" w:rsidRPr="009D660E">
        <w:rPr>
          <w:i/>
          <w:iCs/>
          <w:lang w:val="it-IT"/>
        </w:rPr>
        <w:t xml:space="preserve"> 1.1 </w:t>
      </w:r>
      <w:r w:rsidRPr="009D660E">
        <w:rPr>
          <w:i/>
          <w:iCs/>
          <w:lang w:val="it-IT"/>
        </w:rPr>
        <w:t>p</w:t>
      </w:r>
      <w:r w:rsidR="00780EA8" w:rsidRPr="009D660E">
        <w:rPr>
          <w:i/>
          <w:iCs/>
          <w:lang w:val="it-IT"/>
        </w:rPr>
        <w:t>ë</w:t>
      </w:r>
      <w:r w:rsidRPr="009D660E">
        <w:rPr>
          <w:i/>
          <w:iCs/>
          <w:lang w:val="it-IT"/>
        </w:rPr>
        <w:t>rmbledhja e strategjis</w:t>
      </w:r>
      <w:r w:rsidR="00780EA8" w:rsidRPr="009D660E">
        <w:rPr>
          <w:i/>
          <w:iCs/>
          <w:lang w:val="it-IT"/>
        </w:rPr>
        <w:t>ë</w:t>
      </w:r>
      <w:r w:rsidRPr="009D660E">
        <w:rPr>
          <w:i/>
          <w:iCs/>
          <w:lang w:val="it-IT"/>
        </w:rPr>
        <w:t xml:space="preserve"> sektoriale t</w:t>
      </w:r>
      <w:r w:rsidR="00780EA8" w:rsidRPr="009D660E">
        <w:rPr>
          <w:i/>
          <w:iCs/>
          <w:lang w:val="it-IT"/>
        </w:rPr>
        <w:t>ë</w:t>
      </w:r>
      <w:r w:rsidRPr="009D660E">
        <w:rPr>
          <w:i/>
          <w:iCs/>
          <w:lang w:val="it-IT"/>
        </w:rPr>
        <w:t xml:space="preserve"> MFP-s</w:t>
      </w:r>
      <w:r w:rsidR="00780EA8" w:rsidRPr="009D660E">
        <w:rPr>
          <w:i/>
          <w:iCs/>
          <w:lang w:val="it-IT"/>
        </w:rPr>
        <w:t>ë</w:t>
      </w:r>
    </w:p>
    <w:p w14:paraId="2E46F0D1" w14:textId="77777777" w:rsidR="00E91470" w:rsidRPr="009D660E" w:rsidRDefault="00E91470" w:rsidP="00E91470">
      <w:pPr>
        <w:rPr>
          <w:sz w:val="8"/>
          <w:szCs w:val="8"/>
          <w:lang w:val="it-IT"/>
        </w:rPr>
      </w:pPr>
    </w:p>
    <w:tbl>
      <w:tblPr>
        <w:tblStyle w:val="TableGridIDEA5"/>
        <w:tblW w:w="4994"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57" w:type="dxa"/>
          <w:bottom w:w="28" w:type="dxa"/>
          <w:right w:w="57" w:type="dxa"/>
        </w:tblCellMar>
        <w:tblLook w:val="04A0" w:firstRow="1" w:lastRow="0" w:firstColumn="1" w:lastColumn="0" w:noHBand="0" w:noVBand="1"/>
      </w:tblPr>
      <w:tblGrid>
        <w:gridCol w:w="2191"/>
        <w:gridCol w:w="1671"/>
        <w:gridCol w:w="1259"/>
        <w:gridCol w:w="1259"/>
        <w:gridCol w:w="1162"/>
        <w:gridCol w:w="1453"/>
      </w:tblGrid>
      <w:tr w:rsidR="00D267A6" w:rsidRPr="00D267A6" w14:paraId="6E58CC94" w14:textId="77777777" w:rsidTr="00D267A6">
        <w:trPr>
          <w:trHeight w:val="2054"/>
        </w:trPr>
        <w:tc>
          <w:tcPr>
            <w:tcW w:w="2191" w:type="dxa"/>
            <w:shd w:val="clear" w:color="auto" w:fill="7F7F7F" w:themeFill="text1" w:themeFillTint="80"/>
          </w:tcPr>
          <w:p w14:paraId="60C0C0F4" w14:textId="77777777" w:rsidR="00D267A6" w:rsidRPr="009D660E" w:rsidRDefault="00D267A6" w:rsidP="00D267A6">
            <w:pPr>
              <w:spacing w:line="180" w:lineRule="exact"/>
              <w:jc w:val="center"/>
              <w:rPr>
                <w:b/>
                <w:bCs/>
                <w:color w:val="FFFFFF" w:themeColor="background1"/>
                <w:sz w:val="14"/>
                <w:szCs w:val="14"/>
                <w:lang w:val="it-IT"/>
              </w:rPr>
            </w:pPr>
            <w:r w:rsidRPr="009D660E">
              <w:rPr>
                <w:b/>
                <w:bCs/>
                <w:color w:val="FFFFFF" w:themeColor="background1"/>
                <w:sz w:val="14"/>
                <w:szCs w:val="14"/>
                <w:lang w:val="it-IT"/>
              </w:rPr>
              <w:t>Shtylla 1</w:t>
            </w:r>
          </w:p>
          <w:p w14:paraId="5DB729CE" w14:textId="77777777" w:rsidR="00D267A6" w:rsidRPr="009D660E" w:rsidRDefault="00D267A6" w:rsidP="00D267A6">
            <w:pPr>
              <w:spacing w:line="180" w:lineRule="exact"/>
              <w:jc w:val="center"/>
              <w:rPr>
                <w:b/>
                <w:bCs/>
                <w:color w:val="FFFFFF" w:themeColor="background1"/>
                <w:sz w:val="14"/>
                <w:szCs w:val="14"/>
                <w:lang w:val="it-IT"/>
              </w:rPr>
            </w:pPr>
            <w:r w:rsidRPr="009D660E">
              <w:rPr>
                <w:b/>
                <w:bCs/>
                <w:color w:val="FFFFFF" w:themeColor="background1"/>
                <w:sz w:val="14"/>
                <w:szCs w:val="14"/>
                <w:lang w:val="it-IT"/>
              </w:rPr>
              <w:t>Programimi Makroekonomik dhe Monitorimi i Riskut</w:t>
            </w:r>
          </w:p>
        </w:tc>
        <w:tc>
          <w:tcPr>
            <w:tcW w:w="1671" w:type="dxa"/>
            <w:shd w:val="clear" w:color="auto" w:fill="7F7F7F" w:themeFill="text1" w:themeFillTint="80"/>
          </w:tcPr>
          <w:p w14:paraId="56CBA385" w14:textId="77777777" w:rsidR="00D267A6" w:rsidRPr="009D660E" w:rsidRDefault="00D267A6" w:rsidP="00D267A6">
            <w:pPr>
              <w:spacing w:line="180" w:lineRule="exact"/>
              <w:jc w:val="center"/>
              <w:rPr>
                <w:b/>
                <w:bCs/>
                <w:color w:val="FFFFFF" w:themeColor="background1"/>
                <w:sz w:val="14"/>
                <w:szCs w:val="14"/>
                <w:lang w:val="it-IT"/>
              </w:rPr>
            </w:pPr>
            <w:r w:rsidRPr="009D660E">
              <w:rPr>
                <w:b/>
                <w:bCs/>
                <w:color w:val="FFFFFF" w:themeColor="background1"/>
                <w:sz w:val="14"/>
                <w:szCs w:val="14"/>
                <w:lang w:val="it-IT"/>
              </w:rPr>
              <w:t>Shtylla 2</w:t>
            </w:r>
          </w:p>
          <w:p w14:paraId="5D4CFD6E" w14:textId="77777777" w:rsidR="00D267A6" w:rsidRPr="009D660E" w:rsidRDefault="00D267A6" w:rsidP="00D267A6">
            <w:pPr>
              <w:spacing w:line="180" w:lineRule="exact"/>
              <w:jc w:val="center"/>
              <w:rPr>
                <w:b/>
                <w:bCs/>
                <w:color w:val="FFFFFF" w:themeColor="background1"/>
                <w:sz w:val="14"/>
                <w:szCs w:val="14"/>
                <w:lang w:val="it-IT"/>
              </w:rPr>
            </w:pPr>
            <w:r w:rsidRPr="009D660E">
              <w:rPr>
                <w:b/>
                <w:bCs/>
                <w:color w:val="FFFFFF" w:themeColor="background1"/>
                <w:sz w:val="14"/>
                <w:szCs w:val="14"/>
                <w:lang w:val="it-IT"/>
              </w:rPr>
              <w:t>Planifikimi i integruar strategjik dhe buxhetor, monitorimi dhe raportimi transparent</w:t>
            </w:r>
          </w:p>
        </w:tc>
        <w:tc>
          <w:tcPr>
            <w:tcW w:w="1259" w:type="dxa"/>
            <w:shd w:val="clear" w:color="auto" w:fill="7F7F7F" w:themeFill="text1" w:themeFillTint="80"/>
          </w:tcPr>
          <w:p w14:paraId="6DA3562D" w14:textId="77777777" w:rsidR="00D267A6" w:rsidRPr="009D660E" w:rsidRDefault="00D267A6" w:rsidP="00D267A6">
            <w:pPr>
              <w:spacing w:line="180" w:lineRule="exact"/>
              <w:jc w:val="center"/>
              <w:rPr>
                <w:b/>
                <w:bCs/>
                <w:color w:val="FFFFFF" w:themeColor="background1"/>
                <w:sz w:val="14"/>
                <w:szCs w:val="14"/>
                <w:lang w:val="it-IT"/>
              </w:rPr>
            </w:pPr>
            <w:r w:rsidRPr="009D660E">
              <w:rPr>
                <w:b/>
                <w:bCs/>
                <w:color w:val="FFFFFF" w:themeColor="background1"/>
                <w:sz w:val="14"/>
                <w:szCs w:val="14"/>
                <w:lang w:val="it-IT"/>
              </w:rPr>
              <w:t>Shtylla 3</w:t>
            </w:r>
          </w:p>
          <w:p w14:paraId="2E2DE7CC" w14:textId="3EA608D1" w:rsidR="00D267A6" w:rsidRPr="009D660E" w:rsidRDefault="00D267A6" w:rsidP="00D267A6">
            <w:pPr>
              <w:spacing w:line="180" w:lineRule="exact"/>
              <w:jc w:val="center"/>
              <w:rPr>
                <w:b/>
                <w:bCs/>
                <w:color w:val="FFFFFF" w:themeColor="background1"/>
                <w:sz w:val="14"/>
                <w:szCs w:val="14"/>
                <w:lang w:val="it-IT"/>
              </w:rPr>
            </w:pPr>
            <w:r w:rsidRPr="009D660E">
              <w:rPr>
                <w:b/>
                <w:bCs/>
                <w:color w:val="FFFFFF" w:themeColor="background1"/>
                <w:sz w:val="14"/>
                <w:szCs w:val="14"/>
                <w:lang w:val="it-IT"/>
              </w:rPr>
              <w:t>Menaxhimi dhe mobilizimi i t</w:t>
            </w:r>
            <w:r w:rsidR="00780EA8" w:rsidRPr="009D660E">
              <w:rPr>
                <w:b/>
                <w:bCs/>
                <w:color w:val="FFFFFF" w:themeColor="background1"/>
                <w:sz w:val="14"/>
                <w:szCs w:val="14"/>
                <w:lang w:val="it-IT"/>
              </w:rPr>
              <w:t>ë</w:t>
            </w:r>
            <w:r w:rsidRPr="009D660E">
              <w:rPr>
                <w:b/>
                <w:bCs/>
                <w:color w:val="FFFFFF" w:themeColor="background1"/>
                <w:sz w:val="14"/>
                <w:szCs w:val="14"/>
                <w:lang w:val="it-IT"/>
              </w:rPr>
              <w:t xml:space="preserve"> ardhurave</w:t>
            </w:r>
          </w:p>
        </w:tc>
        <w:tc>
          <w:tcPr>
            <w:tcW w:w="1259" w:type="dxa"/>
            <w:shd w:val="clear" w:color="auto" w:fill="7F7F7F" w:themeFill="text1" w:themeFillTint="80"/>
          </w:tcPr>
          <w:p w14:paraId="322242DE" w14:textId="77777777" w:rsidR="00D267A6" w:rsidRPr="009D660E" w:rsidRDefault="00D267A6" w:rsidP="00D267A6">
            <w:pPr>
              <w:spacing w:line="180" w:lineRule="exact"/>
              <w:jc w:val="center"/>
              <w:rPr>
                <w:b/>
                <w:bCs/>
                <w:color w:val="FFFFFF" w:themeColor="background1"/>
                <w:sz w:val="14"/>
                <w:szCs w:val="14"/>
                <w:lang w:val="it-IT"/>
              </w:rPr>
            </w:pPr>
            <w:r w:rsidRPr="009D660E">
              <w:rPr>
                <w:b/>
                <w:bCs/>
                <w:color w:val="FFFFFF" w:themeColor="background1"/>
                <w:sz w:val="14"/>
                <w:szCs w:val="14"/>
                <w:lang w:val="it-IT"/>
              </w:rPr>
              <w:t>Shtylla 4</w:t>
            </w:r>
          </w:p>
          <w:p w14:paraId="676C1C9B" w14:textId="44AB3A13" w:rsidR="00D267A6" w:rsidRPr="009D660E" w:rsidRDefault="00D267A6" w:rsidP="00D267A6">
            <w:pPr>
              <w:spacing w:line="180" w:lineRule="exact"/>
              <w:jc w:val="center"/>
              <w:rPr>
                <w:b/>
                <w:bCs/>
                <w:color w:val="FFFFFF" w:themeColor="background1"/>
                <w:sz w:val="14"/>
                <w:szCs w:val="14"/>
                <w:lang w:val="it-IT"/>
              </w:rPr>
            </w:pPr>
            <w:r w:rsidRPr="009D660E">
              <w:rPr>
                <w:b/>
                <w:bCs/>
                <w:color w:val="FFFFFF" w:themeColor="background1"/>
                <w:sz w:val="14"/>
                <w:szCs w:val="14"/>
                <w:lang w:val="it-IT"/>
              </w:rPr>
              <w:t>Kontabiliteti dhe Menaxhimi i Zbatimit t</w:t>
            </w:r>
            <w:r w:rsidR="00780EA8" w:rsidRPr="009D660E">
              <w:rPr>
                <w:b/>
                <w:bCs/>
                <w:color w:val="FFFFFF" w:themeColor="background1"/>
                <w:sz w:val="14"/>
                <w:szCs w:val="14"/>
                <w:lang w:val="it-IT"/>
              </w:rPr>
              <w:t>ë</w:t>
            </w:r>
            <w:r w:rsidRPr="009D660E">
              <w:rPr>
                <w:b/>
                <w:bCs/>
                <w:color w:val="FFFFFF" w:themeColor="background1"/>
                <w:sz w:val="14"/>
                <w:szCs w:val="14"/>
                <w:lang w:val="it-IT"/>
              </w:rPr>
              <w:t xml:space="preserve"> Buxhetit  </w:t>
            </w:r>
          </w:p>
        </w:tc>
        <w:tc>
          <w:tcPr>
            <w:tcW w:w="1162" w:type="dxa"/>
            <w:shd w:val="clear" w:color="auto" w:fill="7F7F7F" w:themeFill="text1" w:themeFillTint="80"/>
          </w:tcPr>
          <w:p w14:paraId="39925DF8" w14:textId="77777777" w:rsidR="00D267A6" w:rsidRPr="009D660E" w:rsidRDefault="00D267A6" w:rsidP="00D267A6">
            <w:pPr>
              <w:spacing w:line="180" w:lineRule="exact"/>
              <w:jc w:val="center"/>
              <w:rPr>
                <w:b/>
                <w:bCs/>
                <w:color w:val="FFFFFF" w:themeColor="background1"/>
                <w:sz w:val="14"/>
                <w:szCs w:val="14"/>
                <w:lang w:val="it-IT"/>
              </w:rPr>
            </w:pPr>
            <w:r w:rsidRPr="009D660E">
              <w:rPr>
                <w:b/>
                <w:bCs/>
                <w:color w:val="FFFFFF" w:themeColor="background1"/>
                <w:sz w:val="14"/>
                <w:szCs w:val="14"/>
                <w:lang w:val="it-IT"/>
              </w:rPr>
              <w:t>Shtylla 5</w:t>
            </w:r>
          </w:p>
          <w:p w14:paraId="3F2BD001" w14:textId="5D7A81FC" w:rsidR="00D267A6" w:rsidRPr="009D660E" w:rsidRDefault="007B28B8" w:rsidP="00D267A6">
            <w:pPr>
              <w:spacing w:line="180" w:lineRule="exact"/>
              <w:jc w:val="center"/>
              <w:rPr>
                <w:b/>
                <w:bCs/>
                <w:color w:val="FFFFFF" w:themeColor="background1"/>
                <w:sz w:val="14"/>
                <w:szCs w:val="14"/>
                <w:lang w:val="it-IT"/>
              </w:rPr>
            </w:pPr>
            <w:r w:rsidRPr="009D660E">
              <w:rPr>
                <w:b/>
                <w:bCs/>
                <w:color w:val="FFFFFF" w:themeColor="background1"/>
                <w:sz w:val="14"/>
                <w:szCs w:val="14"/>
                <w:lang w:val="it-IT"/>
              </w:rPr>
              <w:t>Kontrolli i Brendsh</w:t>
            </w:r>
            <w:r w:rsidR="00780EA8" w:rsidRPr="009D660E">
              <w:rPr>
                <w:b/>
                <w:bCs/>
                <w:color w:val="FFFFFF" w:themeColor="background1"/>
                <w:sz w:val="14"/>
                <w:szCs w:val="14"/>
                <w:lang w:val="it-IT"/>
              </w:rPr>
              <w:t>ë</w:t>
            </w:r>
            <w:r w:rsidRPr="009D660E">
              <w:rPr>
                <w:b/>
                <w:bCs/>
                <w:color w:val="FFFFFF" w:themeColor="background1"/>
                <w:sz w:val="14"/>
                <w:szCs w:val="14"/>
                <w:lang w:val="it-IT"/>
              </w:rPr>
              <w:t>m Financiar Publik</w:t>
            </w:r>
          </w:p>
        </w:tc>
        <w:tc>
          <w:tcPr>
            <w:tcW w:w="1453" w:type="dxa"/>
            <w:shd w:val="clear" w:color="auto" w:fill="7F7F7F" w:themeFill="text1" w:themeFillTint="80"/>
          </w:tcPr>
          <w:p w14:paraId="0ED79932" w14:textId="77777777" w:rsidR="00D267A6" w:rsidRPr="00D267A6" w:rsidRDefault="00D267A6" w:rsidP="00D267A6">
            <w:pPr>
              <w:spacing w:line="180" w:lineRule="exact"/>
              <w:jc w:val="center"/>
              <w:rPr>
                <w:b/>
                <w:bCs/>
                <w:color w:val="FFFFFF" w:themeColor="background1"/>
                <w:sz w:val="14"/>
                <w:szCs w:val="14"/>
              </w:rPr>
            </w:pPr>
            <w:r w:rsidRPr="00D267A6">
              <w:rPr>
                <w:b/>
                <w:bCs/>
                <w:color w:val="FFFFFF" w:themeColor="background1"/>
                <w:sz w:val="14"/>
                <w:szCs w:val="14"/>
              </w:rPr>
              <w:t>Shtylla 6</w:t>
            </w:r>
          </w:p>
          <w:p w14:paraId="001CDD0C" w14:textId="14FF7C3A" w:rsidR="00D267A6" w:rsidRPr="00D267A6" w:rsidRDefault="007B28B8" w:rsidP="00D267A6">
            <w:pPr>
              <w:spacing w:line="180" w:lineRule="exact"/>
              <w:jc w:val="center"/>
              <w:rPr>
                <w:b/>
                <w:bCs/>
                <w:color w:val="FFFFFF" w:themeColor="background1"/>
                <w:sz w:val="14"/>
                <w:szCs w:val="14"/>
              </w:rPr>
            </w:pPr>
            <w:r>
              <w:rPr>
                <w:b/>
                <w:bCs/>
                <w:color w:val="FFFFFF" w:themeColor="background1"/>
                <w:sz w:val="14"/>
                <w:szCs w:val="14"/>
              </w:rPr>
              <w:t>Mbik</w:t>
            </w:r>
            <w:r w:rsidR="00780EA8">
              <w:rPr>
                <w:b/>
                <w:bCs/>
                <w:color w:val="FFFFFF" w:themeColor="background1"/>
                <w:sz w:val="14"/>
                <w:szCs w:val="14"/>
              </w:rPr>
              <w:t>ë</w:t>
            </w:r>
            <w:r>
              <w:rPr>
                <w:b/>
                <w:bCs/>
                <w:color w:val="FFFFFF" w:themeColor="background1"/>
                <w:sz w:val="14"/>
                <w:szCs w:val="14"/>
              </w:rPr>
              <w:t>qyrja e Jashtme</w:t>
            </w:r>
          </w:p>
        </w:tc>
      </w:tr>
      <w:tr w:rsidR="00D267A6" w:rsidRPr="00D267A6" w14:paraId="0B70A2B6" w14:textId="77777777" w:rsidTr="00D267A6">
        <w:trPr>
          <w:trHeight w:val="1032"/>
        </w:trPr>
        <w:tc>
          <w:tcPr>
            <w:tcW w:w="2191" w:type="dxa"/>
            <w:shd w:val="clear" w:color="auto" w:fill="D9D9D9" w:themeFill="background1" w:themeFillShade="D9"/>
            <w:vAlign w:val="center"/>
          </w:tcPr>
          <w:p w14:paraId="5FAD44F3" w14:textId="3CA57530" w:rsidR="00D267A6" w:rsidRPr="00D267A6" w:rsidRDefault="00D267A6" w:rsidP="00D267A6">
            <w:pPr>
              <w:spacing w:line="180" w:lineRule="exact"/>
              <w:jc w:val="center"/>
              <w:rPr>
                <w:sz w:val="14"/>
                <w:szCs w:val="14"/>
              </w:rPr>
            </w:pPr>
            <w:r w:rsidRPr="00D267A6">
              <w:rPr>
                <w:sz w:val="14"/>
                <w:szCs w:val="14"/>
              </w:rPr>
              <w:t xml:space="preserve">Programim makroekonomik </w:t>
            </w:r>
            <w:r>
              <w:rPr>
                <w:sz w:val="14"/>
                <w:szCs w:val="14"/>
              </w:rPr>
              <w:t>i</w:t>
            </w:r>
            <w:r w:rsidRPr="00D267A6">
              <w:rPr>
                <w:sz w:val="14"/>
                <w:szCs w:val="14"/>
              </w:rPr>
              <w:t xml:space="preserve"> matur dhe realist</w:t>
            </w:r>
          </w:p>
        </w:tc>
        <w:tc>
          <w:tcPr>
            <w:tcW w:w="1671" w:type="dxa"/>
            <w:shd w:val="clear" w:color="auto" w:fill="D9D9D9" w:themeFill="background1" w:themeFillShade="D9"/>
            <w:vAlign w:val="center"/>
          </w:tcPr>
          <w:p w14:paraId="153AF7D2" w14:textId="192252BF" w:rsidR="00D267A6" w:rsidRPr="00D267A6" w:rsidRDefault="00D267A6" w:rsidP="00D267A6">
            <w:pPr>
              <w:spacing w:line="180" w:lineRule="exact"/>
              <w:jc w:val="center"/>
              <w:rPr>
                <w:sz w:val="14"/>
                <w:szCs w:val="14"/>
              </w:rPr>
            </w:pPr>
            <w:r w:rsidRPr="00D267A6">
              <w:rPr>
                <w:sz w:val="14"/>
                <w:szCs w:val="14"/>
              </w:rPr>
              <w:t xml:space="preserve">Planifikimi Strategjik </w:t>
            </w:r>
            <w:r w:rsidR="00251144">
              <w:rPr>
                <w:sz w:val="14"/>
                <w:szCs w:val="14"/>
              </w:rPr>
              <w:t>i</w:t>
            </w:r>
            <w:r w:rsidRPr="00D267A6">
              <w:rPr>
                <w:sz w:val="14"/>
                <w:szCs w:val="14"/>
              </w:rPr>
              <w:t xml:space="preserve"> Integruar</w:t>
            </w:r>
          </w:p>
        </w:tc>
        <w:tc>
          <w:tcPr>
            <w:tcW w:w="1259" w:type="dxa"/>
            <w:shd w:val="clear" w:color="auto" w:fill="D9D9D9" w:themeFill="background1" w:themeFillShade="D9"/>
            <w:vAlign w:val="center"/>
          </w:tcPr>
          <w:p w14:paraId="1241E917" w14:textId="77777777" w:rsidR="00D267A6" w:rsidRPr="00D267A6" w:rsidRDefault="00D267A6" w:rsidP="00D267A6">
            <w:pPr>
              <w:spacing w:line="180" w:lineRule="exact"/>
              <w:jc w:val="center"/>
              <w:rPr>
                <w:sz w:val="14"/>
                <w:szCs w:val="14"/>
              </w:rPr>
            </w:pPr>
            <w:r w:rsidRPr="00D267A6">
              <w:rPr>
                <w:sz w:val="14"/>
                <w:szCs w:val="14"/>
              </w:rPr>
              <w:t>Menaxhimi i Taksave</w:t>
            </w:r>
          </w:p>
        </w:tc>
        <w:tc>
          <w:tcPr>
            <w:tcW w:w="1259" w:type="dxa"/>
            <w:shd w:val="clear" w:color="auto" w:fill="D9D9D9" w:themeFill="background1" w:themeFillShade="D9"/>
            <w:vAlign w:val="center"/>
          </w:tcPr>
          <w:p w14:paraId="0597DADF" w14:textId="04C2C1D1" w:rsidR="00D267A6" w:rsidRPr="00D267A6" w:rsidRDefault="007B28B8" w:rsidP="00D267A6">
            <w:pPr>
              <w:spacing w:line="180" w:lineRule="exact"/>
              <w:jc w:val="center"/>
              <w:rPr>
                <w:sz w:val="14"/>
                <w:szCs w:val="14"/>
              </w:rPr>
            </w:pPr>
            <w:r>
              <w:rPr>
                <w:sz w:val="14"/>
                <w:szCs w:val="14"/>
              </w:rPr>
              <w:t>Llogarit</w:t>
            </w:r>
            <w:r w:rsidR="00780EA8">
              <w:rPr>
                <w:sz w:val="14"/>
                <w:szCs w:val="14"/>
              </w:rPr>
              <w:t>ë</w:t>
            </w:r>
            <w:r>
              <w:rPr>
                <w:sz w:val="14"/>
                <w:szCs w:val="14"/>
              </w:rPr>
              <w:t xml:space="preserve"> Komb</w:t>
            </w:r>
            <w:r w:rsidR="00780EA8">
              <w:rPr>
                <w:sz w:val="14"/>
                <w:szCs w:val="14"/>
              </w:rPr>
              <w:t>ë</w:t>
            </w:r>
            <w:r>
              <w:rPr>
                <w:sz w:val="14"/>
                <w:szCs w:val="14"/>
              </w:rPr>
              <w:t>tare t</w:t>
            </w:r>
            <w:r w:rsidR="00780EA8">
              <w:rPr>
                <w:sz w:val="14"/>
                <w:szCs w:val="14"/>
              </w:rPr>
              <w:t>ë</w:t>
            </w:r>
            <w:r>
              <w:rPr>
                <w:sz w:val="14"/>
                <w:szCs w:val="14"/>
              </w:rPr>
              <w:t xml:space="preserve"> Qeveris</w:t>
            </w:r>
            <w:r w:rsidR="00780EA8">
              <w:rPr>
                <w:sz w:val="14"/>
                <w:szCs w:val="14"/>
              </w:rPr>
              <w:t>ë</w:t>
            </w:r>
          </w:p>
        </w:tc>
        <w:tc>
          <w:tcPr>
            <w:tcW w:w="1162" w:type="dxa"/>
            <w:shd w:val="clear" w:color="auto" w:fill="D9D9D9" w:themeFill="background1" w:themeFillShade="D9"/>
            <w:vAlign w:val="center"/>
          </w:tcPr>
          <w:p w14:paraId="2DB44360" w14:textId="365B2FBF" w:rsidR="00D267A6" w:rsidRPr="00D267A6" w:rsidRDefault="007B28B8" w:rsidP="00D267A6">
            <w:pPr>
              <w:spacing w:line="180" w:lineRule="exact"/>
              <w:jc w:val="center"/>
              <w:rPr>
                <w:sz w:val="14"/>
                <w:szCs w:val="14"/>
              </w:rPr>
            </w:pPr>
            <w:r>
              <w:rPr>
                <w:sz w:val="14"/>
                <w:szCs w:val="14"/>
              </w:rPr>
              <w:t>Menaxhimi Financiar dhe Kontrolli</w:t>
            </w:r>
          </w:p>
        </w:tc>
        <w:tc>
          <w:tcPr>
            <w:tcW w:w="1453" w:type="dxa"/>
            <w:shd w:val="clear" w:color="auto" w:fill="D9D9D9" w:themeFill="background1" w:themeFillShade="D9"/>
            <w:vAlign w:val="center"/>
          </w:tcPr>
          <w:p w14:paraId="73F4A526" w14:textId="060DE8CD" w:rsidR="00D267A6" w:rsidRPr="00D267A6" w:rsidRDefault="007B28B8" w:rsidP="00D267A6">
            <w:pPr>
              <w:spacing w:line="180" w:lineRule="exact"/>
              <w:jc w:val="center"/>
              <w:rPr>
                <w:sz w:val="14"/>
                <w:szCs w:val="14"/>
              </w:rPr>
            </w:pPr>
            <w:r>
              <w:rPr>
                <w:sz w:val="14"/>
                <w:szCs w:val="14"/>
              </w:rPr>
              <w:t>Auditimi i Jasht</w:t>
            </w:r>
            <w:r w:rsidR="00780EA8">
              <w:rPr>
                <w:sz w:val="14"/>
                <w:szCs w:val="14"/>
              </w:rPr>
              <w:t>ë</w:t>
            </w:r>
            <w:r>
              <w:rPr>
                <w:sz w:val="14"/>
                <w:szCs w:val="14"/>
              </w:rPr>
              <w:t>m</w:t>
            </w:r>
          </w:p>
        </w:tc>
      </w:tr>
      <w:tr w:rsidR="00D267A6" w:rsidRPr="00D267A6" w14:paraId="3B92E5C5" w14:textId="77777777" w:rsidTr="00D267A6">
        <w:trPr>
          <w:trHeight w:val="816"/>
        </w:trPr>
        <w:tc>
          <w:tcPr>
            <w:tcW w:w="2191" w:type="dxa"/>
            <w:shd w:val="clear" w:color="auto" w:fill="D9D9D9" w:themeFill="background1" w:themeFillShade="D9"/>
            <w:vAlign w:val="center"/>
          </w:tcPr>
          <w:p w14:paraId="7B1ED5FD" w14:textId="77777777" w:rsidR="00D267A6" w:rsidRPr="00D267A6" w:rsidRDefault="00D267A6" w:rsidP="00D267A6">
            <w:pPr>
              <w:spacing w:line="180" w:lineRule="exact"/>
              <w:jc w:val="center"/>
              <w:rPr>
                <w:sz w:val="14"/>
                <w:szCs w:val="14"/>
              </w:rPr>
            </w:pPr>
            <w:r w:rsidRPr="00D267A6">
              <w:rPr>
                <w:sz w:val="14"/>
                <w:szCs w:val="14"/>
              </w:rPr>
              <w:t xml:space="preserve">Krijimi i një Analize gjithëpërfshirëse të Qëndrueshmërisë së Borxhit </w:t>
            </w:r>
          </w:p>
        </w:tc>
        <w:tc>
          <w:tcPr>
            <w:tcW w:w="1671" w:type="dxa"/>
            <w:shd w:val="clear" w:color="auto" w:fill="D9D9D9" w:themeFill="background1" w:themeFillShade="D9"/>
            <w:vAlign w:val="center"/>
          </w:tcPr>
          <w:p w14:paraId="69043BC0" w14:textId="77777777" w:rsidR="00D267A6" w:rsidRPr="00D267A6" w:rsidRDefault="00D267A6" w:rsidP="00D267A6">
            <w:pPr>
              <w:spacing w:line="180" w:lineRule="exact"/>
              <w:jc w:val="center"/>
              <w:rPr>
                <w:sz w:val="14"/>
                <w:szCs w:val="14"/>
              </w:rPr>
            </w:pPr>
            <w:r w:rsidRPr="00D267A6">
              <w:rPr>
                <w:sz w:val="14"/>
                <w:szCs w:val="14"/>
              </w:rPr>
              <w:t>Planifikimi Buxhetor Afatmesëm</w:t>
            </w:r>
          </w:p>
        </w:tc>
        <w:tc>
          <w:tcPr>
            <w:tcW w:w="1259" w:type="dxa"/>
            <w:shd w:val="clear" w:color="auto" w:fill="D9D9D9" w:themeFill="background1" w:themeFillShade="D9"/>
            <w:vAlign w:val="center"/>
          </w:tcPr>
          <w:p w14:paraId="627523DE" w14:textId="328D2F02" w:rsidR="00D267A6" w:rsidRPr="00D267A6" w:rsidRDefault="00D267A6" w:rsidP="00D267A6">
            <w:pPr>
              <w:spacing w:line="180" w:lineRule="exact"/>
              <w:jc w:val="center"/>
              <w:rPr>
                <w:sz w:val="14"/>
                <w:szCs w:val="14"/>
              </w:rPr>
            </w:pPr>
            <w:r w:rsidRPr="00D267A6">
              <w:rPr>
                <w:sz w:val="14"/>
                <w:szCs w:val="14"/>
              </w:rPr>
              <w:t>Menaxhimi i Taks</w:t>
            </w:r>
            <w:r w:rsidR="00780EA8">
              <w:rPr>
                <w:sz w:val="14"/>
                <w:szCs w:val="14"/>
              </w:rPr>
              <w:t>ë</w:t>
            </w:r>
            <w:r w:rsidRPr="00D267A6">
              <w:rPr>
                <w:sz w:val="14"/>
                <w:szCs w:val="14"/>
              </w:rPr>
              <w:t>s s</w:t>
            </w:r>
            <w:r w:rsidR="00780EA8">
              <w:rPr>
                <w:sz w:val="14"/>
                <w:szCs w:val="14"/>
              </w:rPr>
              <w:t>ë</w:t>
            </w:r>
            <w:r w:rsidRPr="00D267A6">
              <w:rPr>
                <w:sz w:val="14"/>
                <w:szCs w:val="14"/>
              </w:rPr>
              <w:t xml:space="preserve"> Pasuris</w:t>
            </w:r>
            <w:r w:rsidR="00780EA8">
              <w:rPr>
                <w:sz w:val="14"/>
                <w:szCs w:val="14"/>
              </w:rPr>
              <w:t>ë</w:t>
            </w:r>
          </w:p>
        </w:tc>
        <w:tc>
          <w:tcPr>
            <w:tcW w:w="1259" w:type="dxa"/>
            <w:shd w:val="clear" w:color="auto" w:fill="D9D9D9" w:themeFill="background1" w:themeFillShade="D9"/>
            <w:vAlign w:val="center"/>
          </w:tcPr>
          <w:p w14:paraId="42EDE3CD" w14:textId="77777777" w:rsidR="00D267A6" w:rsidRPr="00D267A6" w:rsidRDefault="00D267A6" w:rsidP="00D267A6">
            <w:pPr>
              <w:spacing w:line="180" w:lineRule="exact"/>
              <w:jc w:val="center"/>
              <w:rPr>
                <w:sz w:val="14"/>
                <w:szCs w:val="14"/>
              </w:rPr>
            </w:pPr>
            <w:r w:rsidRPr="00D267A6">
              <w:rPr>
                <w:sz w:val="14"/>
                <w:szCs w:val="14"/>
              </w:rPr>
              <w:t>Kontabiliteti</w:t>
            </w:r>
          </w:p>
        </w:tc>
        <w:tc>
          <w:tcPr>
            <w:tcW w:w="1162" w:type="dxa"/>
            <w:shd w:val="clear" w:color="auto" w:fill="D9D9D9" w:themeFill="background1" w:themeFillShade="D9"/>
            <w:vAlign w:val="center"/>
          </w:tcPr>
          <w:p w14:paraId="3B48F562" w14:textId="5D90AA13" w:rsidR="00D267A6" w:rsidRPr="00D267A6" w:rsidRDefault="007B28B8" w:rsidP="007B28B8">
            <w:pPr>
              <w:spacing w:line="180" w:lineRule="exact"/>
              <w:jc w:val="center"/>
              <w:rPr>
                <w:sz w:val="14"/>
                <w:szCs w:val="14"/>
              </w:rPr>
            </w:pPr>
            <w:r>
              <w:rPr>
                <w:sz w:val="14"/>
                <w:szCs w:val="14"/>
              </w:rPr>
              <w:t>Auditimi i Brendsh</w:t>
            </w:r>
            <w:r w:rsidR="00780EA8">
              <w:rPr>
                <w:sz w:val="14"/>
                <w:szCs w:val="14"/>
              </w:rPr>
              <w:t>ë</w:t>
            </w:r>
            <w:r>
              <w:rPr>
                <w:sz w:val="14"/>
                <w:szCs w:val="14"/>
              </w:rPr>
              <w:t>m</w:t>
            </w:r>
          </w:p>
        </w:tc>
        <w:tc>
          <w:tcPr>
            <w:tcW w:w="1453" w:type="dxa"/>
            <w:shd w:val="clear" w:color="auto" w:fill="D9D9D9" w:themeFill="background1" w:themeFillShade="D9"/>
            <w:vAlign w:val="center"/>
          </w:tcPr>
          <w:p w14:paraId="78FA7622" w14:textId="621AC3C2" w:rsidR="00D267A6" w:rsidRPr="00D267A6" w:rsidRDefault="007B28B8" w:rsidP="00D267A6">
            <w:pPr>
              <w:spacing w:line="180" w:lineRule="exact"/>
              <w:jc w:val="center"/>
              <w:rPr>
                <w:sz w:val="14"/>
                <w:szCs w:val="14"/>
              </w:rPr>
            </w:pPr>
            <w:r>
              <w:rPr>
                <w:sz w:val="14"/>
                <w:szCs w:val="14"/>
              </w:rPr>
              <w:t>Mbik</w:t>
            </w:r>
            <w:r w:rsidR="00780EA8">
              <w:rPr>
                <w:sz w:val="14"/>
                <w:szCs w:val="14"/>
              </w:rPr>
              <w:t>ë</w:t>
            </w:r>
            <w:r>
              <w:rPr>
                <w:sz w:val="14"/>
                <w:szCs w:val="14"/>
              </w:rPr>
              <w:t>qyrja Parlamentare</w:t>
            </w:r>
          </w:p>
        </w:tc>
      </w:tr>
      <w:tr w:rsidR="00D267A6" w:rsidRPr="00D267A6" w14:paraId="6971AA6E" w14:textId="77777777" w:rsidTr="00D267A6">
        <w:trPr>
          <w:trHeight w:val="1014"/>
        </w:trPr>
        <w:tc>
          <w:tcPr>
            <w:tcW w:w="2191" w:type="dxa"/>
            <w:shd w:val="clear" w:color="auto" w:fill="D9D9D9" w:themeFill="background1" w:themeFillShade="D9"/>
            <w:vAlign w:val="center"/>
          </w:tcPr>
          <w:p w14:paraId="0D85944E" w14:textId="77777777" w:rsidR="00D267A6" w:rsidRPr="00D267A6" w:rsidRDefault="00D267A6" w:rsidP="00D267A6">
            <w:pPr>
              <w:spacing w:line="180" w:lineRule="exact"/>
              <w:jc w:val="center"/>
              <w:rPr>
                <w:sz w:val="14"/>
                <w:szCs w:val="14"/>
              </w:rPr>
            </w:pPr>
            <w:r w:rsidRPr="00D267A6">
              <w:rPr>
                <w:sz w:val="14"/>
                <w:szCs w:val="14"/>
              </w:rPr>
              <w:t>Menaxhimi i Risqeve Fiskale</w:t>
            </w:r>
          </w:p>
        </w:tc>
        <w:tc>
          <w:tcPr>
            <w:tcW w:w="1671" w:type="dxa"/>
            <w:shd w:val="clear" w:color="auto" w:fill="D9D9D9" w:themeFill="background1" w:themeFillShade="D9"/>
            <w:vAlign w:val="center"/>
          </w:tcPr>
          <w:p w14:paraId="589730BA" w14:textId="77777777" w:rsidR="00D267A6" w:rsidRPr="00D267A6" w:rsidRDefault="00D267A6" w:rsidP="00D267A6">
            <w:pPr>
              <w:spacing w:line="180" w:lineRule="exact"/>
              <w:jc w:val="center"/>
              <w:rPr>
                <w:sz w:val="14"/>
                <w:szCs w:val="14"/>
              </w:rPr>
            </w:pPr>
            <w:r w:rsidRPr="00D267A6">
              <w:rPr>
                <w:sz w:val="14"/>
                <w:szCs w:val="14"/>
              </w:rPr>
              <w:t>Menaxhimi i Investimeve Publike</w:t>
            </w:r>
          </w:p>
        </w:tc>
        <w:tc>
          <w:tcPr>
            <w:tcW w:w="1259" w:type="dxa"/>
            <w:shd w:val="clear" w:color="auto" w:fill="D9D9D9" w:themeFill="background1" w:themeFillShade="D9"/>
            <w:vAlign w:val="center"/>
          </w:tcPr>
          <w:p w14:paraId="3B3538D8" w14:textId="77777777" w:rsidR="00D267A6" w:rsidRPr="00D267A6" w:rsidRDefault="00D267A6" w:rsidP="00D267A6">
            <w:pPr>
              <w:spacing w:line="180" w:lineRule="exact"/>
              <w:jc w:val="center"/>
              <w:rPr>
                <w:sz w:val="14"/>
                <w:szCs w:val="14"/>
              </w:rPr>
            </w:pPr>
            <w:r w:rsidRPr="00D267A6">
              <w:rPr>
                <w:sz w:val="14"/>
                <w:szCs w:val="14"/>
              </w:rPr>
              <w:t>Menaxhimi Doganor</w:t>
            </w:r>
          </w:p>
        </w:tc>
        <w:tc>
          <w:tcPr>
            <w:tcW w:w="1259" w:type="dxa"/>
            <w:shd w:val="clear" w:color="auto" w:fill="D9D9D9" w:themeFill="background1" w:themeFillShade="D9"/>
            <w:vAlign w:val="center"/>
          </w:tcPr>
          <w:p w14:paraId="03D2982E" w14:textId="77777777" w:rsidR="00D267A6" w:rsidRPr="00D267A6" w:rsidRDefault="00D267A6" w:rsidP="00D267A6">
            <w:pPr>
              <w:spacing w:line="180" w:lineRule="exact"/>
              <w:jc w:val="center"/>
              <w:rPr>
                <w:sz w:val="14"/>
                <w:szCs w:val="14"/>
              </w:rPr>
            </w:pPr>
            <w:r w:rsidRPr="00D267A6">
              <w:rPr>
                <w:sz w:val="14"/>
                <w:szCs w:val="14"/>
              </w:rPr>
              <w:t>Prokurimi Publik</w:t>
            </w:r>
          </w:p>
        </w:tc>
        <w:tc>
          <w:tcPr>
            <w:tcW w:w="1162" w:type="dxa"/>
            <w:shd w:val="clear" w:color="auto" w:fill="D9D9D9" w:themeFill="background1" w:themeFillShade="D9"/>
            <w:vAlign w:val="center"/>
          </w:tcPr>
          <w:p w14:paraId="4124CACB" w14:textId="112B55EB" w:rsidR="00D267A6" w:rsidRPr="00D267A6" w:rsidRDefault="007B28B8" w:rsidP="00D267A6">
            <w:pPr>
              <w:spacing w:line="180" w:lineRule="exact"/>
              <w:jc w:val="center"/>
              <w:rPr>
                <w:sz w:val="14"/>
                <w:szCs w:val="14"/>
              </w:rPr>
            </w:pPr>
            <w:r>
              <w:rPr>
                <w:sz w:val="14"/>
                <w:szCs w:val="14"/>
              </w:rPr>
              <w:t>Inspektimi Financiar Publik dhe Sh</w:t>
            </w:r>
            <w:r w:rsidR="00780EA8">
              <w:rPr>
                <w:sz w:val="14"/>
                <w:szCs w:val="14"/>
              </w:rPr>
              <w:t>ë</w:t>
            </w:r>
            <w:r>
              <w:rPr>
                <w:sz w:val="14"/>
                <w:szCs w:val="14"/>
              </w:rPr>
              <w:t>rbimet e Koordinimit kund</w:t>
            </w:r>
            <w:r w:rsidR="00780EA8">
              <w:rPr>
                <w:sz w:val="14"/>
                <w:szCs w:val="14"/>
              </w:rPr>
              <w:t>ë</w:t>
            </w:r>
            <w:r>
              <w:rPr>
                <w:sz w:val="14"/>
                <w:szCs w:val="14"/>
              </w:rPr>
              <w:t>r Mashtrimit</w:t>
            </w:r>
          </w:p>
        </w:tc>
        <w:tc>
          <w:tcPr>
            <w:tcW w:w="1453" w:type="dxa"/>
            <w:shd w:val="clear" w:color="auto" w:fill="FFFFFF" w:themeFill="background1"/>
            <w:vAlign w:val="center"/>
          </w:tcPr>
          <w:p w14:paraId="3B849C6C" w14:textId="77777777" w:rsidR="00D267A6" w:rsidRPr="00D267A6" w:rsidRDefault="00D267A6" w:rsidP="00D267A6">
            <w:pPr>
              <w:spacing w:line="180" w:lineRule="exact"/>
              <w:jc w:val="center"/>
              <w:rPr>
                <w:sz w:val="14"/>
                <w:szCs w:val="14"/>
              </w:rPr>
            </w:pPr>
          </w:p>
        </w:tc>
      </w:tr>
      <w:tr w:rsidR="00D267A6" w:rsidRPr="0059094E" w14:paraId="08F2F9E3" w14:textId="77777777" w:rsidTr="00D267A6">
        <w:trPr>
          <w:trHeight w:val="589"/>
        </w:trPr>
        <w:tc>
          <w:tcPr>
            <w:tcW w:w="2191" w:type="dxa"/>
            <w:shd w:val="clear" w:color="auto" w:fill="D9D9D9" w:themeFill="background1" w:themeFillShade="D9"/>
            <w:vAlign w:val="center"/>
          </w:tcPr>
          <w:p w14:paraId="48A43DF0" w14:textId="77777777" w:rsidR="00D267A6" w:rsidRPr="00D267A6" w:rsidRDefault="00D267A6" w:rsidP="00D267A6">
            <w:pPr>
              <w:spacing w:line="180" w:lineRule="exact"/>
              <w:jc w:val="center"/>
              <w:rPr>
                <w:sz w:val="14"/>
                <w:szCs w:val="14"/>
              </w:rPr>
            </w:pPr>
            <w:r w:rsidRPr="00D267A6">
              <w:rPr>
                <w:sz w:val="14"/>
                <w:szCs w:val="14"/>
              </w:rPr>
              <w:t>Këshilli Fiskal</w:t>
            </w:r>
            <w:r w:rsidRPr="00D267A6" w:rsidDel="00793335">
              <w:rPr>
                <w:sz w:val="14"/>
                <w:szCs w:val="14"/>
              </w:rPr>
              <w:t xml:space="preserve"> </w:t>
            </w:r>
          </w:p>
        </w:tc>
        <w:tc>
          <w:tcPr>
            <w:tcW w:w="1671" w:type="dxa"/>
            <w:shd w:val="clear" w:color="auto" w:fill="D9D9D9" w:themeFill="background1" w:themeFillShade="D9"/>
            <w:vAlign w:val="center"/>
          </w:tcPr>
          <w:p w14:paraId="5FE90351" w14:textId="77777777" w:rsidR="00D267A6" w:rsidRPr="00D267A6" w:rsidRDefault="00D267A6" w:rsidP="00D267A6">
            <w:pPr>
              <w:spacing w:line="180" w:lineRule="exact"/>
              <w:jc w:val="center"/>
              <w:rPr>
                <w:sz w:val="14"/>
                <w:szCs w:val="14"/>
              </w:rPr>
            </w:pPr>
            <w:r w:rsidRPr="00D267A6">
              <w:rPr>
                <w:sz w:val="14"/>
                <w:szCs w:val="14"/>
              </w:rPr>
              <w:t>Financat Vendore</w:t>
            </w:r>
          </w:p>
        </w:tc>
        <w:tc>
          <w:tcPr>
            <w:tcW w:w="1259" w:type="dxa"/>
            <w:shd w:val="clear" w:color="auto" w:fill="FFFFFF" w:themeFill="background1"/>
            <w:vAlign w:val="center"/>
          </w:tcPr>
          <w:p w14:paraId="0931202F" w14:textId="77777777" w:rsidR="00D267A6" w:rsidRPr="00D267A6" w:rsidRDefault="00D267A6" w:rsidP="00D267A6">
            <w:pPr>
              <w:spacing w:line="180" w:lineRule="exact"/>
              <w:jc w:val="center"/>
              <w:rPr>
                <w:sz w:val="14"/>
                <w:szCs w:val="14"/>
              </w:rPr>
            </w:pPr>
          </w:p>
        </w:tc>
        <w:tc>
          <w:tcPr>
            <w:tcW w:w="1259" w:type="dxa"/>
            <w:shd w:val="clear" w:color="auto" w:fill="D9D9D9" w:themeFill="background1" w:themeFillShade="D9"/>
            <w:vAlign w:val="center"/>
          </w:tcPr>
          <w:p w14:paraId="3CAC51D0" w14:textId="77777777" w:rsidR="00D267A6" w:rsidRPr="00D267A6" w:rsidRDefault="00D267A6" w:rsidP="00D267A6">
            <w:pPr>
              <w:spacing w:line="180" w:lineRule="exact"/>
              <w:jc w:val="center"/>
              <w:rPr>
                <w:sz w:val="14"/>
                <w:szCs w:val="14"/>
              </w:rPr>
            </w:pPr>
            <w:r w:rsidRPr="00D267A6">
              <w:rPr>
                <w:sz w:val="14"/>
                <w:szCs w:val="14"/>
              </w:rPr>
              <w:t>Menaxhimi i Borxhit</w:t>
            </w:r>
          </w:p>
        </w:tc>
        <w:tc>
          <w:tcPr>
            <w:tcW w:w="1162" w:type="dxa"/>
            <w:shd w:val="clear" w:color="auto" w:fill="D9D9D9" w:themeFill="background1" w:themeFillShade="D9"/>
            <w:vAlign w:val="center"/>
          </w:tcPr>
          <w:p w14:paraId="39CB6EE1" w14:textId="1C2F2CE4" w:rsidR="00D267A6" w:rsidRPr="009D660E" w:rsidRDefault="007B28B8" w:rsidP="00D267A6">
            <w:pPr>
              <w:spacing w:line="180" w:lineRule="exact"/>
              <w:jc w:val="center"/>
              <w:rPr>
                <w:sz w:val="14"/>
                <w:szCs w:val="14"/>
                <w:lang w:val="it-IT"/>
              </w:rPr>
            </w:pPr>
            <w:r w:rsidRPr="009D660E">
              <w:rPr>
                <w:sz w:val="14"/>
                <w:szCs w:val="14"/>
                <w:lang w:val="it-IT"/>
              </w:rPr>
              <w:t xml:space="preserve">Menaxhimi </w:t>
            </w:r>
            <w:r w:rsidR="00AA7DDF" w:rsidRPr="009D660E">
              <w:rPr>
                <w:sz w:val="14"/>
                <w:szCs w:val="14"/>
                <w:lang w:val="it-IT"/>
              </w:rPr>
              <w:t>i</w:t>
            </w:r>
            <w:r w:rsidRPr="009D660E">
              <w:rPr>
                <w:sz w:val="14"/>
                <w:szCs w:val="14"/>
                <w:lang w:val="it-IT"/>
              </w:rPr>
              <w:t xml:space="preserve"> Fondeve t</w:t>
            </w:r>
            <w:r w:rsidR="00780EA8" w:rsidRPr="009D660E">
              <w:rPr>
                <w:sz w:val="14"/>
                <w:szCs w:val="14"/>
                <w:lang w:val="it-IT"/>
              </w:rPr>
              <w:t>ë</w:t>
            </w:r>
            <w:r w:rsidRPr="009D660E">
              <w:rPr>
                <w:sz w:val="14"/>
                <w:szCs w:val="14"/>
                <w:lang w:val="it-IT"/>
              </w:rPr>
              <w:t xml:space="preserve"> BE-s</w:t>
            </w:r>
            <w:r w:rsidR="00780EA8" w:rsidRPr="009D660E">
              <w:rPr>
                <w:sz w:val="14"/>
                <w:szCs w:val="14"/>
                <w:lang w:val="it-IT"/>
              </w:rPr>
              <w:t>ë</w:t>
            </w:r>
          </w:p>
        </w:tc>
        <w:tc>
          <w:tcPr>
            <w:tcW w:w="1453" w:type="dxa"/>
            <w:shd w:val="clear" w:color="auto" w:fill="FFFFFF" w:themeFill="background1"/>
            <w:vAlign w:val="center"/>
          </w:tcPr>
          <w:p w14:paraId="4C69912B" w14:textId="77777777" w:rsidR="00D267A6" w:rsidRPr="009D660E" w:rsidRDefault="00D267A6" w:rsidP="00D267A6">
            <w:pPr>
              <w:spacing w:line="180" w:lineRule="exact"/>
              <w:jc w:val="center"/>
              <w:rPr>
                <w:sz w:val="14"/>
                <w:szCs w:val="14"/>
                <w:lang w:val="it-IT"/>
              </w:rPr>
            </w:pPr>
          </w:p>
        </w:tc>
      </w:tr>
      <w:tr w:rsidR="00D267A6" w:rsidRPr="00D267A6" w14:paraId="4529E353" w14:textId="77777777" w:rsidTr="00D267A6">
        <w:trPr>
          <w:trHeight w:val="894"/>
        </w:trPr>
        <w:tc>
          <w:tcPr>
            <w:tcW w:w="2191" w:type="dxa"/>
            <w:shd w:val="clear" w:color="auto" w:fill="auto"/>
            <w:vAlign w:val="center"/>
          </w:tcPr>
          <w:p w14:paraId="6C693614" w14:textId="77777777" w:rsidR="00D267A6" w:rsidRPr="009D660E" w:rsidRDefault="00D267A6" w:rsidP="00D267A6">
            <w:pPr>
              <w:spacing w:line="180" w:lineRule="exact"/>
              <w:jc w:val="center"/>
              <w:rPr>
                <w:sz w:val="14"/>
                <w:szCs w:val="14"/>
                <w:lang w:val="it-IT"/>
              </w:rPr>
            </w:pPr>
          </w:p>
        </w:tc>
        <w:tc>
          <w:tcPr>
            <w:tcW w:w="1671" w:type="dxa"/>
            <w:shd w:val="clear" w:color="auto" w:fill="D9D9D9" w:themeFill="background1" w:themeFillShade="D9"/>
            <w:vAlign w:val="center"/>
          </w:tcPr>
          <w:p w14:paraId="1B4C9B73" w14:textId="6AD02272" w:rsidR="00D267A6" w:rsidRPr="009D660E" w:rsidRDefault="00D267A6" w:rsidP="00D267A6">
            <w:pPr>
              <w:spacing w:line="180" w:lineRule="exact"/>
              <w:jc w:val="center"/>
              <w:rPr>
                <w:sz w:val="14"/>
                <w:szCs w:val="14"/>
                <w:lang w:val="it-IT"/>
              </w:rPr>
            </w:pPr>
            <w:r w:rsidRPr="009D660E">
              <w:rPr>
                <w:sz w:val="14"/>
                <w:szCs w:val="14"/>
                <w:lang w:val="it-IT"/>
              </w:rPr>
              <w:t>Raportimi dhe Monitorimi i Zbatimit t</w:t>
            </w:r>
            <w:r w:rsidR="00780EA8" w:rsidRPr="009D660E">
              <w:rPr>
                <w:sz w:val="14"/>
                <w:szCs w:val="14"/>
                <w:lang w:val="it-IT"/>
              </w:rPr>
              <w:t>ë</w:t>
            </w:r>
            <w:r w:rsidRPr="009D660E">
              <w:rPr>
                <w:sz w:val="14"/>
                <w:szCs w:val="14"/>
                <w:lang w:val="it-IT"/>
              </w:rPr>
              <w:t xml:space="preserve"> Buxhetit</w:t>
            </w:r>
          </w:p>
        </w:tc>
        <w:tc>
          <w:tcPr>
            <w:tcW w:w="1259" w:type="dxa"/>
            <w:shd w:val="clear" w:color="auto" w:fill="FFFFFF" w:themeFill="background1"/>
            <w:vAlign w:val="center"/>
          </w:tcPr>
          <w:p w14:paraId="64F439C1" w14:textId="77777777" w:rsidR="00D267A6" w:rsidRPr="009D660E" w:rsidRDefault="00D267A6" w:rsidP="00D267A6">
            <w:pPr>
              <w:spacing w:line="180" w:lineRule="exact"/>
              <w:jc w:val="center"/>
              <w:rPr>
                <w:sz w:val="14"/>
                <w:szCs w:val="14"/>
                <w:lang w:val="it-IT"/>
              </w:rPr>
            </w:pPr>
          </w:p>
          <w:p w14:paraId="08589D0C" w14:textId="77777777" w:rsidR="00D267A6" w:rsidRPr="009D660E" w:rsidRDefault="00D267A6" w:rsidP="00D267A6">
            <w:pPr>
              <w:spacing w:line="180" w:lineRule="exact"/>
              <w:jc w:val="center"/>
              <w:rPr>
                <w:sz w:val="14"/>
                <w:szCs w:val="14"/>
                <w:lang w:val="it-IT"/>
              </w:rPr>
            </w:pPr>
          </w:p>
          <w:p w14:paraId="4A8D9978" w14:textId="77777777" w:rsidR="00D267A6" w:rsidRPr="009D660E" w:rsidRDefault="00D267A6" w:rsidP="00D267A6">
            <w:pPr>
              <w:spacing w:line="180" w:lineRule="exact"/>
              <w:jc w:val="center"/>
              <w:rPr>
                <w:sz w:val="14"/>
                <w:szCs w:val="14"/>
                <w:lang w:val="it-IT"/>
              </w:rPr>
            </w:pPr>
          </w:p>
        </w:tc>
        <w:tc>
          <w:tcPr>
            <w:tcW w:w="1259" w:type="dxa"/>
            <w:shd w:val="clear" w:color="auto" w:fill="D9D9D9" w:themeFill="background1" w:themeFillShade="D9"/>
            <w:vAlign w:val="center"/>
          </w:tcPr>
          <w:p w14:paraId="35456EB4" w14:textId="77777777" w:rsidR="00D267A6" w:rsidRPr="00D267A6" w:rsidRDefault="00D267A6" w:rsidP="00D267A6">
            <w:pPr>
              <w:spacing w:line="180" w:lineRule="exact"/>
              <w:jc w:val="center"/>
              <w:rPr>
                <w:sz w:val="14"/>
                <w:szCs w:val="14"/>
              </w:rPr>
            </w:pPr>
            <w:r w:rsidRPr="00D267A6">
              <w:rPr>
                <w:sz w:val="14"/>
                <w:szCs w:val="14"/>
              </w:rPr>
              <w:t>Menaxhimi i Likuiditetit</w:t>
            </w:r>
          </w:p>
        </w:tc>
        <w:tc>
          <w:tcPr>
            <w:tcW w:w="1162" w:type="dxa"/>
            <w:shd w:val="clear" w:color="auto" w:fill="FFFFFF" w:themeFill="background1"/>
            <w:vAlign w:val="center"/>
          </w:tcPr>
          <w:p w14:paraId="43B4CEA0" w14:textId="77777777" w:rsidR="00D267A6" w:rsidRPr="00D267A6" w:rsidRDefault="00D267A6" w:rsidP="00D267A6">
            <w:pPr>
              <w:spacing w:line="180" w:lineRule="exact"/>
              <w:jc w:val="center"/>
              <w:rPr>
                <w:sz w:val="14"/>
                <w:szCs w:val="14"/>
              </w:rPr>
            </w:pPr>
          </w:p>
        </w:tc>
        <w:tc>
          <w:tcPr>
            <w:tcW w:w="1453" w:type="dxa"/>
            <w:shd w:val="clear" w:color="auto" w:fill="FFFFFF" w:themeFill="background1"/>
            <w:vAlign w:val="center"/>
          </w:tcPr>
          <w:p w14:paraId="0A67A4CC" w14:textId="77777777" w:rsidR="00D267A6" w:rsidRPr="00D267A6" w:rsidRDefault="00D267A6" w:rsidP="00D267A6">
            <w:pPr>
              <w:spacing w:line="180" w:lineRule="exact"/>
              <w:jc w:val="center"/>
              <w:rPr>
                <w:sz w:val="14"/>
                <w:szCs w:val="14"/>
              </w:rPr>
            </w:pPr>
          </w:p>
        </w:tc>
      </w:tr>
      <w:tr w:rsidR="00D267A6" w:rsidRPr="00D267A6" w14:paraId="42A7CBDD" w14:textId="77777777" w:rsidTr="00D267A6">
        <w:trPr>
          <w:trHeight w:val="611"/>
        </w:trPr>
        <w:tc>
          <w:tcPr>
            <w:tcW w:w="2191" w:type="dxa"/>
            <w:shd w:val="clear" w:color="auto" w:fill="auto"/>
            <w:vAlign w:val="center"/>
          </w:tcPr>
          <w:p w14:paraId="7302D059" w14:textId="77777777" w:rsidR="00D267A6" w:rsidRPr="00D267A6" w:rsidRDefault="00D267A6" w:rsidP="00D267A6">
            <w:pPr>
              <w:spacing w:line="180" w:lineRule="exact"/>
              <w:jc w:val="center"/>
              <w:rPr>
                <w:sz w:val="14"/>
                <w:szCs w:val="14"/>
              </w:rPr>
            </w:pPr>
          </w:p>
        </w:tc>
        <w:tc>
          <w:tcPr>
            <w:tcW w:w="1671" w:type="dxa"/>
            <w:shd w:val="clear" w:color="auto" w:fill="auto"/>
            <w:vAlign w:val="center"/>
          </w:tcPr>
          <w:p w14:paraId="4DFFE76F" w14:textId="77777777" w:rsidR="00D267A6" w:rsidRPr="00D267A6" w:rsidRDefault="00D267A6" w:rsidP="00D267A6">
            <w:pPr>
              <w:spacing w:line="180" w:lineRule="exact"/>
              <w:jc w:val="center"/>
              <w:rPr>
                <w:sz w:val="14"/>
                <w:szCs w:val="14"/>
              </w:rPr>
            </w:pPr>
          </w:p>
        </w:tc>
        <w:tc>
          <w:tcPr>
            <w:tcW w:w="1259" w:type="dxa"/>
            <w:shd w:val="clear" w:color="auto" w:fill="FFFFFF" w:themeFill="background1"/>
            <w:vAlign w:val="center"/>
          </w:tcPr>
          <w:p w14:paraId="6D5E65F6" w14:textId="77777777" w:rsidR="00D267A6" w:rsidRPr="00D267A6" w:rsidRDefault="00D267A6" w:rsidP="00D267A6">
            <w:pPr>
              <w:spacing w:line="180" w:lineRule="exact"/>
              <w:jc w:val="center"/>
              <w:rPr>
                <w:sz w:val="14"/>
                <w:szCs w:val="14"/>
              </w:rPr>
            </w:pPr>
          </w:p>
        </w:tc>
        <w:tc>
          <w:tcPr>
            <w:tcW w:w="1259" w:type="dxa"/>
            <w:shd w:val="clear" w:color="auto" w:fill="D9D9D9" w:themeFill="background1" w:themeFillShade="D9"/>
            <w:vAlign w:val="center"/>
          </w:tcPr>
          <w:p w14:paraId="597A89FF" w14:textId="1F90B487" w:rsidR="00D267A6" w:rsidRPr="00D267A6" w:rsidRDefault="007B28B8" w:rsidP="00D267A6">
            <w:pPr>
              <w:spacing w:line="180" w:lineRule="exact"/>
              <w:jc w:val="center"/>
              <w:rPr>
                <w:sz w:val="14"/>
                <w:szCs w:val="14"/>
              </w:rPr>
            </w:pPr>
            <w:r>
              <w:rPr>
                <w:sz w:val="14"/>
                <w:szCs w:val="14"/>
              </w:rPr>
              <w:t>Menaxhimi i Aseteve</w:t>
            </w:r>
          </w:p>
        </w:tc>
        <w:tc>
          <w:tcPr>
            <w:tcW w:w="1162" w:type="dxa"/>
            <w:shd w:val="clear" w:color="auto" w:fill="FFFFFF" w:themeFill="background1"/>
            <w:vAlign w:val="center"/>
          </w:tcPr>
          <w:p w14:paraId="4D0CF0C0" w14:textId="77777777" w:rsidR="00D267A6" w:rsidRPr="00D267A6" w:rsidRDefault="00D267A6" w:rsidP="00D267A6">
            <w:pPr>
              <w:spacing w:line="180" w:lineRule="exact"/>
              <w:jc w:val="center"/>
              <w:rPr>
                <w:sz w:val="14"/>
                <w:szCs w:val="14"/>
              </w:rPr>
            </w:pPr>
          </w:p>
        </w:tc>
        <w:tc>
          <w:tcPr>
            <w:tcW w:w="1453" w:type="dxa"/>
            <w:shd w:val="clear" w:color="auto" w:fill="FFFFFF" w:themeFill="background1"/>
            <w:vAlign w:val="center"/>
          </w:tcPr>
          <w:p w14:paraId="047CCBEC" w14:textId="77777777" w:rsidR="00D267A6" w:rsidRPr="00D267A6" w:rsidRDefault="00D267A6" w:rsidP="00D267A6">
            <w:pPr>
              <w:spacing w:line="180" w:lineRule="exact"/>
              <w:jc w:val="center"/>
              <w:rPr>
                <w:sz w:val="14"/>
                <w:szCs w:val="14"/>
              </w:rPr>
            </w:pPr>
          </w:p>
        </w:tc>
      </w:tr>
    </w:tbl>
    <w:p w14:paraId="256882F6" w14:textId="77777777" w:rsidR="00E20EDA" w:rsidRPr="001F151E" w:rsidRDefault="00E20EDA" w:rsidP="002516A8">
      <w:pPr>
        <w:rPr>
          <w:rStyle w:val="IntenseReference"/>
          <w:rFonts w:eastAsiaTheme="majorEastAsia" w:cstheme="majorBidi"/>
          <w:i w:val="0"/>
          <w:iCs/>
          <w:sz w:val="22"/>
          <w:szCs w:val="22"/>
          <w:lang w:val="en-GB"/>
        </w:rPr>
      </w:pPr>
    </w:p>
    <w:p w14:paraId="14E2E1F6" w14:textId="77777777" w:rsidR="00E44A05" w:rsidRPr="001F151E" w:rsidRDefault="00E44A05" w:rsidP="002516A8">
      <w:pPr>
        <w:rPr>
          <w:lang w:val="en-GB"/>
        </w:rPr>
      </w:pPr>
    </w:p>
    <w:p w14:paraId="724E1400" w14:textId="399704CD" w:rsidR="00BB2BD0" w:rsidRPr="001F151E" w:rsidRDefault="001173FD" w:rsidP="00C96708">
      <w:pPr>
        <w:pStyle w:val="Heading2"/>
        <w:rPr>
          <w:lang w:val="en-GB"/>
        </w:rPr>
      </w:pPr>
      <w:bookmarkStart w:id="6" w:name="_Toc161748803"/>
      <w:r>
        <w:rPr>
          <w:lang w:val="en-GB"/>
        </w:rPr>
        <w:t>P</w:t>
      </w:r>
      <w:r w:rsidR="00780EA8">
        <w:rPr>
          <w:lang w:val="en-GB"/>
        </w:rPr>
        <w:t>ë</w:t>
      </w:r>
      <w:r>
        <w:rPr>
          <w:lang w:val="en-GB"/>
        </w:rPr>
        <w:t>rafrimi me Kuadrin Strategjik p</w:t>
      </w:r>
      <w:r w:rsidR="00780EA8">
        <w:rPr>
          <w:lang w:val="en-GB"/>
        </w:rPr>
        <w:t>ë</w:t>
      </w:r>
      <w:r>
        <w:rPr>
          <w:lang w:val="en-GB"/>
        </w:rPr>
        <w:t>r Zhvillim Komb</w:t>
      </w:r>
      <w:r w:rsidR="00780EA8">
        <w:rPr>
          <w:lang w:val="en-GB"/>
        </w:rPr>
        <w:t>ë</w:t>
      </w:r>
      <w:r>
        <w:rPr>
          <w:lang w:val="en-GB"/>
        </w:rPr>
        <w:t>tar, Integrimin Evropian, Reformat Ekonomike dhe Qeverisjen e Mir</w:t>
      </w:r>
      <w:r w:rsidR="00780EA8">
        <w:rPr>
          <w:lang w:val="en-GB"/>
        </w:rPr>
        <w:t>ë</w:t>
      </w:r>
      <w:bookmarkEnd w:id="6"/>
      <w:r>
        <w:rPr>
          <w:lang w:val="en-GB"/>
        </w:rPr>
        <w:t xml:space="preserve"> </w:t>
      </w:r>
    </w:p>
    <w:p w14:paraId="140D1E94" w14:textId="77777777" w:rsidR="00097914" w:rsidRPr="001F151E" w:rsidRDefault="00097914" w:rsidP="002E6AB5">
      <w:pPr>
        <w:spacing w:line="276" w:lineRule="auto"/>
        <w:jc w:val="both"/>
        <w:rPr>
          <w:lang w:val="en-GB"/>
        </w:rPr>
      </w:pPr>
    </w:p>
    <w:p w14:paraId="2ED7B49F" w14:textId="77777777" w:rsidR="001173FD" w:rsidRDefault="001173FD" w:rsidP="001173FD">
      <w:pPr>
        <w:spacing w:line="276" w:lineRule="auto"/>
        <w:jc w:val="both"/>
        <w:rPr>
          <w:lang w:val="en-GB"/>
        </w:rPr>
      </w:pPr>
      <w:r>
        <w:rPr>
          <w:lang w:val="en-GB"/>
        </w:rPr>
        <w:t xml:space="preserve">Kjo </w:t>
      </w:r>
      <w:r>
        <w:rPr>
          <w:rStyle w:val="rynqvb"/>
          <w:lang w:val="sq-AL"/>
        </w:rPr>
        <w:t>strategji sektoriale e MFP-së është zhvilluar në përputhje me Kuadrin Strategjik për Zhvillimin Kombëtar, Integrimin Evropian, Reformat Ekonomike dhe Qeverisjen e Mirë, e cila nga ana e saj përfshin sa vijon:</w:t>
      </w:r>
    </w:p>
    <w:p w14:paraId="41B571D9" w14:textId="1C1ACD1D" w:rsidR="005901C8" w:rsidRPr="001F151E" w:rsidRDefault="001173FD" w:rsidP="001173FD">
      <w:pPr>
        <w:pStyle w:val="N-Bullet"/>
        <w:spacing w:line="276" w:lineRule="auto"/>
        <w:jc w:val="both"/>
        <w:rPr>
          <w:lang w:val="en-GB"/>
        </w:rPr>
      </w:pPr>
      <w:r>
        <w:rPr>
          <w:lang w:val="en-GB"/>
        </w:rPr>
        <w:t xml:space="preserve">Strategjia </w:t>
      </w:r>
      <w:r>
        <w:rPr>
          <w:rStyle w:val="rynqvb"/>
          <w:lang w:val="sq-AL"/>
        </w:rPr>
        <w:t>Kombëtare për Zhvillim dhe Integrim Evropian (SKZHI</w:t>
      </w:r>
      <w:r w:rsidR="00C93CFE">
        <w:rPr>
          <w:rStyle w:val="rynqvb"/>
          <w:lang w:val="sq-AL"/>
        </w:rPr>
        <w:t>E</w:t>
      </w:r>
      <w:r>
        <w:rPr>
          <w:rStyle w:val="rynqvb"/>
          <w:lang w:val="sq-AL"/>
        </w:rPr>
        <w:t>) 2022-2030</w:t>
      </w:r>
    </w:p>
    <w:p w14:paraId="59218DF8" w14:textId="2BAD9AEC" w:rsidR="000C7935" w:rsidRPr="001F151E" w:rsidRDefault="001173FD" w:rsidP="002E6AB5">
      <w:pPr>
        <w:pStyle w:val="N-Bullet"/>
        <w:spacing w:line="276" w:lineRule="auto"/>
        <w:jc w:val="both"/>
        <w:rPr>
          <w:lang w:val="en-GB"/>
        </w:rPr>
      </w:pPr>
      <w:r>
        <w:rPr>
          <w:lang w:val="en-GB"/>
        </w:rPr>
        <w:t>Udh</w:t>
      </w:r>
      <w:r w:rsidR="00780EA8">
        <w:rPr>
          <w:lang w:val="en-GB"/>
        </w:rPr>
        <w:t>ë</w:t>
      </w:r>
      <w:r>
        <w:rPr>
          <w:lang w:val="en-GB"/>
        </w:rPr>
        <w:t>rr</w:t>
      </w:r>
      <w:r w:rsidR="00780EA8">
        <w:rPr>
          <w:lang w:val="en-GB"/>
        </w:rPr>
        <w:t>ë</w:t>
      </w:r>
      <w:r>
        <w:rPr>
          <w:lang w:val="en-GB"/>
        </w:rPr>
        <w:t>fyesi p</w:t>
      </w:r>
      <w:r w:rsidR="00780EA8">
        <w:rPr>
          <w:lang w:val="en-GB"/>
        </w:rPr>
        <w:t>ë</w:t>
      </w:r>
      <w:r>
        <w:rPr>
          <w:lang w:val="en-GB"/>
        </w:rPr>
        <w:t xml:space="preserve">r </w:t>
      </w:r>
      <w:r w:rsidR="000A3C9B">
        <w:rPr>
          <w:lang w:val="en-GB"/>
        </w:rPr>
        <w:t>Reformën në Administratën Publike</w:t>
      </w:r>
      <w:r w:rsidR="000C7935" w:rsidRPr="001F151E">
        <w:rPr>
          <w:lang w:val="en-GB"/>
        </w:rPr>
        <w:t xml:space="preserve"> </w:t>
      </w:r>
      <w:r w:rsidR="000A3C9B">
        <w:rPr>
          <w:lang w:val="en-GB"/>
        </w:rPr>
        <w:t>2023-</w:t>
      </w:r>
      <w:r w:rsidR="000C7935" w:rsidRPr="001F151E">
        <w:rPr>
          <w:lang w:val="en-GB"/>
        </w:rPr>
        <w:t>2030</w:t>
      </w:r>
    </w:p>
    <w:p w14:paraId="187AA6FA" w14:textId="0B3CA825" w:rsidR="001173FD" w:rsidRPr="001173FD" w:rsidRDefault="001173FD" w:rsidP="002E6AB5">
      <w:pPr>
        <w:pStyle w:val="N-Bullet"/>
        <w:spacing w:line="276" w:lineRule="auto"/>
        <w:jc w:val="both"/>
        <w:rPr>
          <w:rStyle w:val="rynqvb"/>
          <w:lang w:val="en-GB"/>
        </w:rPr>
      </w:pPr>
      <w:r>
        <w:rPr>
          <w:rStyle w:val="rynqvb"/>
          <w:lang w:val="sq-AL"/>
        </w:rPr>
        <w:t>Plani Kombëtar për Inte</w:t>
      </w:r>
      <w:r w:rsidR="007760A1">
        <w:rPr>
          <w:rStyle w:val="rynqvb"/>
          <w:lang w:val="sq-AL"/>
        </w:rPr>
        <w:t xml:space="preserve">grimin Evropian (PKIE) </w:t>
      </w:r>
    </w:p>
    <w:p w14:paraId="4966227B" w14:textId="2C33C8CD" w:rsidR="001173FD" w:rsidRPr="009D660E" w:rsidRDefault="001173FD" w:rsidP="002E6AB5">
      <w:pPr>
        <w:pStyle w:val="N-Bullet"/>
        <w:spacing w:line="276" w:lineRule="auto"/>
        <w:jc w:val="both"/>
        <w:rPr>
          <w:rStyle w:val="rynqvb"/>
          <w:lang w:val="it-IT"/>
        </w:rPr>
      </w:pPr>
      <w:r w:rsidRPr="001173FD">
        <w:rPr>
          <w:rStyle w:val="rynqvb"/>
          <w:lang w:val="sq-AL"/>
        </w:rPr>
        <w:t>Strategjia Ndërsektoriale për Decen</w:t>
      </w:r>
      <w:r>
        <w:rPr>
          <w:rStyle w:val="rynqvb"/>
          <w:lang w:val="sq-AL"/>
        </w:rPr>
        <w:t>tralizimin dhe Qeverisjen Vendore</w:t>
      </w:r>
      <w:r w:rsidRPr="001173FD">
        <w:rPr>
          <w:rStyle w:val="rynqvb"/>
          <w:lang w:val="sq-AL"/>
        </w:rPr>
        <w:t xml:space="preserve"> 2023-2030</w:t>
      </w:r>
    </w:p>
    <w:p w14:paraId="075FE71E" w14:textId="77777777" w:rsidR="001173FD" w:rsidRPr="001173FD" w:rsidRDefault="001173FD" w:rsidP="002E6AB5">
      <w:pPr>
        <w:pStyle w:val="N-Bullet"/>
        <w:spacing w:line="276" w:lineRule="auto"/>
        <w:jc w:val="both"/>
        <w:rPr>
          <w:rStyle w:val="rynqvb"/>
          <w:lang w:val="en-GB"/>
        </w:rPr>
      </w:pPr>
      <w:r w:rsidRPr="001173FD">
        <w:rPr>
          <w:rStyle w:val="rynqvb"/>
          <w:lang w:val="sq-AL"/>
        </w:rPr>
        <w:t>Strategjia kundër korrupsionit 2024-2030 (në zhvillim)</w:t>
      </w:r>
    </w:p>
    <w:p w14:paraId="23262C7D" w14:textId="752AC5C5" w:rsidR="001173FD" w:rsidRPr="009D660E" w:rsidRDefault="001173FD" w:rsidP="002E6AB5">
      <w:pPr>
        <w:pStyle w:val="N-Bullet"/>
        <w:spacing w:line="276" w:lineRule="auto"/>
        <w:jc w:val="both"/>
        <w:rPr>
          <w:rStyle w:val="rynqvb"/>
          <w:lang w:val="it-IT"/>
        </w:rPr>
      </w:pPr>
      <w:r w:rsidRPr="001173FD">
        <w:rPr>
          <w:rStyle w:val="rynqvb"/>
          <w:lang w:val="sq-AL"/>
        </w:rPr>
        <w:t>Progr</w:t>
      </w:r>
      <w:r>
        <w:rPr>
          <w:rStyle w:val="rynqvb"/>
          <w:lang w:val="sq-AL"/>
        </w:rPr>
        <w:t>ami i Statistikave Zyrtare</w:t>
      </w:r>
      <w:r w:rsidRPr="001173FD">
        <w:rPr>
          <w:rStyle w:val="rynqvb"/>
          <w:lang w:val="sq-AL"/>
        </w:rPr>
        <w:t xml:space="preserve"> </w:t>
      </w:r>
      <w:r w:rsidR="00C93CFE">
        <w:rPr>
          <w:rStyle w:val="rynqvb"/>
          <w:lang w:val="sq-AL"/>
        </w:rPr>
        <w:t xml:space="preserve">(PSZ) </w:t>
      </w:r>
      <w:r w:rsidRPr="001173FD">
        <w:rPr>
          <w:rStyle w:val="rynqvb"/>
          <w:lang w:val="sq-AL"/>
        </w:rPr>
        <w:t>2022–2026</w:t>
      </w:r>
    </w:p>
    <w:p w14:paraId="3270BB1B" w14:textId="075A79CE" w:rsidR="001173FD" w:rsidRPr="001173FD" w:rsidRDefault="001173FD" w:rsidP="002E6AB5">
      <w:pPr>
        <w:pStyle w:val="N-Bullet"/>
        <w:spacing w:line="276" w:lineRule="auto"/>
        <w:jc w:val="both"/>
        <w:rPr>
          <w:rStyle w:val="rynqvb"/>
          <w:lang w:val="en-GB"/>
        </w:rPr>
      </w:pPr>
      <w:r w:rsidRPr="001173FD">
        <w:rPr>
          <w:rStyle w:val="rynqvb"/>
          <w:lang w:val="sq-AL"/>
        </w:rPr>
        <w:t>Programi i Reformës Ekonomike (</w:t>
      </w:r>
      <w:r>
        <w:rPr>
          <w:rStyle w:val="rynqvb"/>
          <w:lang w:val="sq-AL"/>
        </w:rPr>
        <w:t>PRE</w:t>
      </w:r>
      <w:r w:rsidRPr="001173FD">
        <w:rPr>
          <w:rStyle w:val="rynqvb"/>
          <w:lang w:val="sq-AL"/>
        </w:rPr>
        <w:t xml:space="preserve">) </w:t>
      </w:r>
    </w:p>
    <w:p w14:paraId="146BDCD2" w14:textId="29C6BAB9" w:rsidR="005901C8" w:rsidRPr="001173FD" w:rsidRDefault="001173FD" w:rsidP="002E6AB5">
      <w:pPr>
        <w:pStyle w:val="N-Bullet"/>
        <w:spacing w:line="276" w:lineRule="auto"/>
        <w:jc w:val="both"/>
        <w:rPr>
          <w:rStyle w:val="rynqvb"/>
          <w:lang w:val="en-GB"/>
        </w:rPr>
      </w:pPr>
      <w:r w:rsidRPr="001173FD">
        <w:rPr>
          <w:rStyle w:val="rynqvb"/>
          <w:lang w:val="sq-AL"/>
        </w:rPr>
        <w:t>Axhenda e Kombeve të Bashkuara 2030 për Zhvillim të Qëndrueshëm</w:t>
      </w:r>
    </w:p>
    <w:p w14:paraId="47F622B9" w14:textId="77777777" w:rsidR="001173FD" w:rsidRDefault="001173FD" w:rsidP="001173FD">
      <w:pPr>
        <w:pStyle w:val="N-Bullet"/>
        <w:numPr>
          <w:ilvl w:val="0"/>
          <w:numId w:val="0"/>
        </w:numPr>
        <w:spacing w:line="276" w:lineRule="auto"/>
        <w:ind w:left="360" w:hanging="360"/>
        <w:jc w:val="both"/>
        <w:rPr>
          <w:rStyle w:val="rynqvb"/>
          <w:lang w:val="sq-AL"/>
        </w:rPr>
      </w:pPr>
    </w:p>
    <w:p w14:paraId="489EF30A" w14:textId="77777777" w:rsidR="001173FD" w:rsidRDefault="001173FD" w:rsidP="001173FD">
      <w:pPr>
        <w:pStyle w:val="N-Bullet"/>
        <w:numPr>
          <w:ilvl w:val="0"/>
          <w:numId w:val="0"/>
        </w:numPr>
        <w:spacing w:line="276" w:lineRule="auto"/>
        <w:ind w:left="360" w:hanging="360"/>
        <w:jc w:val="both"/>
        <w:rPr>
          <w:lang w:val="en-GB"/>
        </w:rPr>
      </w:pPr>
    </w:p>
    <w:p w14:paraId="1EB0E4C3" w14:textId="77777777" w:rsidR="005B64DA" w:rsidRPr="001173FD" w:rsidRDefault="005B64DA" w:rsidP="001173FD">
      <w:pPr>
        <w:pStyle w:val="N-Bullet"/>
        <w:numPr>
          <w:ilvl w:val="0"/>
          <w:numId w:val="0"/>
        </w:numPr>
        <w:spacing w:line="276" w:lineRule="auto"/>
        <w:ind w:left="360" w:hanging="360"/>
        <w:jc w:val="both"/>
        <w:rPr>
          <w:lang w:val="en-GB"/>
        </w:rPr>
      </w:pPr>
    </w:p>
    <w:p w14:paraId="42C7C558" w14:textId="6DBE2965" w:rsidR="00575958" w:rsidRPr="001F151E" w:rsidRDefault="007E737E" w:rsidP="002E6AB5">
      <w:pPr>
        <w:spacing w:line="276" w:lineRule="auto"/>
        <w:jc w:val="both"/>
        <w:rPr>
          <w:b/>
          <w:bCs/>
          <w:lang w:val="en-GB"/>
        </w:rPr>
      </w:pPr>
      <w:r>
        <w:rPr>
          <w:b/>
          <w:bCs/>
          <w:lang w:val="en-GB"/>
        </w:rPr>
        <w:lastRenderedPageBreak/>
        <w:t xml:space="preserve">Strategjia </w:t>
      </w:r>
      <w:r w:rsidRPr="007E737E">
        <w:rPr>
          <w:b/>
          <w:bCs/>
          <w:lang w:val="en-GB"/>
        </w:rPr>
        <w:t xml:space="preserve">Kombëtare për Zhvillim dhe Integrim Evropian </w:t>
      </w:r>
      <w:r w:rsidR="00BB2BD0" w:rsidRPr="001F151E">
        <w:rPr>
          <w:b/>
          <w:bCs/>
          <w:lang w:val="en-GB"/>
        </w:rPr>
        <w:t>2022-2030</w:t>
      </w:r>
      <w:r w:rsidR="00012A4F" w:rsidRPr="001F151E">
        <w:rPr>
          <w:b/>
          <w:bCs/>
          <w:lang w:val="en-GB"/>
        </w:rPr>
        <w:t xml:space="preserve"> </w:t>
      </w:r>
    </w:p>
    <w:p w14:paraId="52D4C03F" w14:textId="3E0E300E" w:rsidR="007E737E" w:rsidRDefault="007E737E" w:rsidP="002E6AB5">
      <w:pPr>
        <w:spacing w:line="276" w:lineRule="auto"/>
        <w:jc w:val="both"/>
        <w:rPr>
          <w:lang w:val="en-GB"/>
        </w:rPr>
      </w:pPr>
      <w:r w:rsidRPr="007E737E">
        <w:rPr>
          <w:lang w:val="en-GB"/>
        </w:rPr>
        <w:t xml:space="preserve">SKZHIE përcakton drejtimin e zhvillimit të Shqipërisë deri në vitin 2030 me synim parësor integrimin e plotë në Bashkimin Evropian. Tre shtyllat kryesore të strategjisë janë (i) Demokracia </w:t>
      </w:r>
      <w:r w:rsidR="00C57605">
        <w:rPr>
          <w:lang w:val="en-GB"/>
        </w:rPr>
        <w:t>e</w:t>
      </w:r>
      <w:r w:rsidRPr="007E737E">
        <w:rPr>
          <w:lang w:val="en-GB"/>
        </w:rPr>
        <w:t xml:space="preserve"> f</w:t>
      </w:r>
      <w:r w:rsidR="00C57605">
        <w:rPr>
          <w:lang w:val="en-GB"/>
        </w:rPr>
        <w:t>uqizimi</w:t>
      </w:r>
      <w:r w:rsidRPr="007E737E">
        <w:rPr>
          <w:lang w:val="en-GB"/>
        </w:rPr>
        <w:t xml:space="preserve"> i institucioneve dhe qeverisj</w:t>
      </w:r>
      <w:r w:rsidR="00C57605">
        <w:rPr>
          <w:lang w:val="en-GB"/>
        </w:rPr>
        <w:t>es</w:t>
      </w:r>
      <w:r w:rsidRPr="007E737E">
        <w:rPr>
          <w:lang w:val="en-GB"/>
        </w:rPr>
        <w:t xml:space="preserve"> </w:t>
      </w:r>
      <w:r w:rsidR="00C57605">
        <w:rPr>
          <w:lang w:val="en-GB"/>
        </w:rPr>
        <w:t>s</w:t>
      </w:r>
      <w:r w:rsidR="00780EA8">
        <w:rPr>
          <w:lang w:val="en-GB"/>
        </w:rPr>
        <w:t>ë</w:t>
      </w:r>
      <w:r w:rsidRPr="007E737E">
        <w:rPr>
          <w:lang w:val="en-GB"/>
        </w:rPr>
        <w:t xml:space="preserve"> mirë; (ii) Axhenda për zhvillim të qëndrueshëm ekonomik,</w:t>
      </w:r>
      <w:r w:rsidR="00C57605">
        <w:rPr>
          <w:lang w:val="en-GB"/>
        </w:rPr>
        <w:t xml:space="preserve"> nd</w:t>
      </w:r>
      <w:r w:rsidR="00780EA8">
        <w:rPr>
          <w:lang w:val="en-GB"/>
        </w:rPr>
        <w:t>ë</w:t>
      </w:r>
      <w:r w:rsidR="00C57605">
        <w:rPr>
          <w:lang w:val="en-GB"/>
        </w:rPr>
        <w:t>rlidhjen dhe</w:t>
      </w:r>
      <w:r w:rsidRPr="007E737E">
        <w:rPr>
          <w:lang w:val="en-GB"/>
        </w:rPr>
        <w:t xml:space="preserve"> rritje</w:t>
      </w:r>
      <w:r w:rsidR="00C57605">
        <w:rPr>
          <w:lang w:val="en-GB"/>
        </w:rPr>
        <w:t>n e</w:t>
      </w:r>
      <w:r w:rsidRPr="007E737E">
        <w:rPr>
          <w:lang w:val="en-GB"/>
        </w:rPr>
        <w:t xml:space="preserve"> gjelbër dhe (iii) Kohezioni social. SKZHIE përfshin në seksionin “Qeverisja e mirë, e hapur dhe administr</w:t>
      </w:r>
      <w:r w:rsidR="00C57605">
        <w:rPr>
          <w:lang w:val="en-GB"/>
        </w:rPr>
        <w:t xml:space="preserve">imi </w:t>
      </w:r>
      <w:r w:rsidRPr="007E737E">
        <w:rPr>
          <w:lang w:val="en-GB"/>
        </w:rPr>
        <w:t xml:space="preserve">publik” nën shtyllën 1 objektivat e politikave të mëposhtme: (i) </w:t>
      </w:r>
      <w:r w:rsidR="00E62E63">
        <w:rPr>
          <w:lang w:val="en-GB"/>
        </w:rPr>
        <w:t>n</w:t>
      </w:r>
      <w:r w:rsidR="00E62E63" w:rsidRPr="00E33072">
        <w:t>jë planifikim strategjik efektiv dhe një politikëbërje e bazuar në dëshmi, gjithëpërfshirëse dhe transparente në qeverisjen qendrore dhe vendore</w:t>
      </w:r>
      <w:r w:rsidRPr="007E737E">
        <w:rPr>
          <w:lang w:val="en-GB"/>
        </w:rPr>
        <w:t xml:space="preserve"> dhe (ii) </w:t>
      </w:r>
      <w:r w:rsidR="00E62E63" w:rsidRPr="00E33072">
        <w:t>Garantimi i një sistemi të financave publike që nxit transparencën, llogaridhënien, disiplinën fiskale dhe efikasitetin në menaxhimin dhe përdorimin të burimeve publike për ofrimin e shërbimeve të përm</w:t>
      </w:r>
      <w:r w:rsidR="00E62E63">
        <w:t>irësuara dhe zhvillimin ekonomi</w:t>
      </w:r>
      <w:r w:rsidRPr="007E737E">
        <w:rPr>
          <w:lang w:val="en-GB"/>
        </w:rPr>
        <w:t>. Ky seksion paraqe</w:t>
      </w:r>
      <w:r w:rsidR="00E62E63">
        <w:rPr>
          <w:lang w:val="en-GB"/>
        </w:rPr>
        <w:t>t edhe objektivat që lidhen me S</w:t>
      </w:r>
      <w:r w:rsidRPr="007E737E">
        <w:rPr>
          <w:lang w:val="en-GB"/>
        </w:rPr>
        <w:t xml:space="preserve">istemin </w:t>
      </w:r>
      <w:r w:rsidR="00E62E63">
        <w:rPr>
          <w:lang w:val="en-GB"/>
        </w:rPr>
        <w:t>S</w:t>
      </w:r>
      <w:r w:rsidRPr="007E737E">
        <w:rPr>
          <w:lang w:val="en-GB"/>
        </w:rPr>
        <w:t>tatistikor</w:t>
      </w:r>
      <w:r w:rsidR="00E62E63">
        <w:rPr>
          <w:lang w:val="en-GB"/>
        </w:rPr>
        <w:t xml:space="preserve"> Komb</w:t>
      </w:r>
      <w:r w:rsidR="00780EA8">
        <w:rPr>
          <w:lang w:val="en-GB"/>
        </w:rPr>
        <w:t>ë</w:t>
      </w:r>
      <w:r w:rsidR="00E62E63">
        <w:rPr>
          <w:lang w:val="en-GB"/>
        </w:rPr>
        <w:t>tar</w:t>
      </w:r>
      <w:r w:rsidRPr="007E737E">
        <w:rPr>
          <w:lang w:val="en-GB"/>
        </w:rPr>
        <w:t>. Gjithashtu në shtyllën 1 rritja e autonomisë financiare vendore nëpërmjet konsolidimit të sistemit të të ardhurave të veta është identifikuar si objektiv në seksionin “Decentralizimi dhe fuqizimi i qeverisjes vendore”. Në seksionin “Forcimi i financave publike dhe stabiliteti fiskal” nën shtyllën 2 renditen objektivat e mëposhtëm në lidhje me MFP</w:t>
      </w:r>
      <w:r w:rsidR="00C93CFE">
        <w:rPr>
          <w:lang w:val="en-GB"/>
        </w:rPr>
        <w:t>-në</w:t>
      </w:r>
      <w:r w:rsidRPr="007E737E">
        <w:rPr>
          <w:lang w:val="en-GB"/>
        </w:rPr>
        <w:t xml:space="preserve">: (i) Menaxhimi financiar i </w:t>
      </w:r>
      <w:r w:rsidR="00E62E63">
        <w:rPr>
          <w:lang w:val="en-GB"/>
        </w:rPr>
        <w:t>matur</w:t>
      </w:r>
      <w:r w:rsidRPr="007E737E">
        <w:rPr>
          <w:lang w:val="en-GB"/>
        </w:rPr>
        <w:t xml:space="preserve">, efektiv dhe efikas i qeverisjes vendore; (ii) Planifikimi dhe mbikëqyrja e investimeve publike dhe (iii) Forcimi dhe zbatimi i sistemit </w:t>
      </w:r>
      <w:r w:rsidR="00E62E63">
        <w:rPr>
          <w:lang w:val="en-GB"/>
        </w:rPr>
        <w:t>p</w:t>
      </w:r>
      <w:r w:rsidR="00780EA8">
        <w:rPr>
          <w:lang w:val="en-GB"/>
        </w:rPr>
        <w:t>ë</w:t>
      </w:r>
      <w:r w:rsidR="00E62E63">
        <w:rPr>
          <w:lang w:val="en-GB"/>
        </w:rPr>
        <w:t>r</w:t>
      </w:r>
      <w:r w:rsidRPr="007E737E">
        <w:rPr>
          <w:lang w:val="en-GB"/>
        </w:rPr>
        <w:t xml:space="preserve"> </w:t>
      </w:r>
      <w:r w:rsidR="00E62E63" w:rsidRPr="00E33072">
        <w:t>Kontrollin e Brendshëm Financiar Publik në qeverisjen qendrore dhe vendore</w:t>
      </w:r>
      <w:r w:rsidRPr="007E737E">
        <w:rPr>
          <w:lang w:val="en-GB"/>
        </w:rPr>
        <w:t>. I njëjti seksion artikulon gjithashtu qëllimet që lidhen me politikën dhe administrimin e të ardhurave dhe doganave.</w:t>
      </w:r>
    </w:p>
    <w:p w14:paraId="21AD65A0" w14:textId="32A980D6" w:rsidR="00E63A44" w:rsidRPr="001F151E" w:rsidRDefault="00E63A44" w:rsidP="002E6AB5">
      <w:pPr>
        <w:spacing w:line="276" w:lineRule="auto"/>
        <w:jc w:val="both"/>
        <w:rPr>
          <w:lang w:val="en-GB"/>
        </w:rPr>
      </w:pPr>
    </w:p>
    <w:p w14:paraId="36ADC2C9" w14:textId="0D3B0AE5" w:rsidR="002C6E40" w:rsidRPr="001F151E" w:rsidRDefault="007E737E" w:rsidP="002E6AB5">
      <w:pPr>
        <w:spacing w:line="276" w:lineRule="auto"/>
        <w:jc w:val="both"/>
        <w:rPr>
          <w:b/>
          <w:bCs/>
          <w:lang w:val="en-GB"/>
        </w:rPr>
      </w:pPr>
      <w:r>
        <w:rPr>
          <w:b/>
          <w:bCs/>
          <w:lang w:val="en-GB"/>
        </w:rPr>
        <w:t>Plani Komb</w:t>
      </w:r>
      <w:r w:rsidR="00780EA8">
        <w:rPr>
          <w:b/>
          <w:bCs/>
          <w:lang w:val="en-GB"/>
        </w:rPr>
        <w:t>ë</w:t>
      </w:r>
      <w:r>
        <w:rPr>
          <w:b/>
          <w:bCs/>
          <w:lang w:val="en-GB"/>
        </w:rPr>
        <w:t>tar p</w:t>
      </w:r>
      <w:r w:rsidR="00780EA8">
        <w:rPr>
          <w:b/>
          <w:bCs/>
          <w:lang w:val="en-GB"/>
        </w:rPr>
        <w:t>ë</w:t>
      </w:r>
      <w:r>
        <w:rPr>
          <w:b/>
          <w:bCs/>
          <w:lang w:val="en-GB"/>
        </w:rPr>
        <w:t>r Integrimin Evropian</w:t>
      </w:r>
      <w:r w:rsidR="00311F50">
        <w:rPr>
          <w:b/>
          <w:bCs/>
          <w:lang w:val="en-GB"/>
        </w:rPr>
        <w:t xml:space="preserve"> </w:t>
      </w:r>
    </w:p>
    <w:p w14:paraId="65219EAB" w14:textId="2ABBB3CE" w:rsidR="007A742A" w:rsidRDefault="00864AB7" w:rsidP="002E6AB5">
      <w:pPr>
        <w:spacing w:line="276" w:lineRule="auto"/>
        <w:jc w:val="both"/>
        <w:rPr>
          <w:lang w:val="en-GB"/>
        </w:rPr>
      </w:pPr>
      <w:r w:rsidRPr="00864AB7">
        <w:rPr>
          <w:lang w:val="en-GB"/>
        </w:rPr>
        <w:t>Plani Kombët</w:t>
      </w:r>
      <w:r w:rsidR="00C93CFE">
        <w:rPr>
          <w:lang w:val="en-GB"/>
        </w:rPr>
        <w:t>ar për Integrimin Evropian</w:t>
      </w:r>
      <w:r w:rsidRPr="00864AB7">
        <w:rPr>
          <w:lang w:val="en-GB"/>
        </w:rPr>
        <w:t xml:space="preserve"> synon të bashkërendojë procesin e përafrimit me BE-në duke synuar njëkohësisht përmbushjen e detyrimeve nga Marrëveshja e Stabilizim-Asociimit dhe detyrimet që dalin si pjesë e procesit të anëtarësimit në Bashkimin Evropian. Ai është përgatitur p</w:t>
      </w:r>
      <w:r w:rsidR="00311F50">
        <w:rPr>
          <w:lang w:val="en-GB"/>
        </w:rPr>
        <w:t>ër një periudhë trevjeçare (2023</w:t>
      </w:r>
      <w:r w:rsidRPr="00864AB7">
        <w:rPr>
          <w:lang w:val="en-GB"/>
        </w:rPr>
        <w:t>-202</w:t>
      </w:r>
      <w:r w:rsidR="00311F50">
        <w:rPr>
          <w:lang w:val="en-GB"/>
        </w:rPr>
        <w:t>5</w:t>
      </w:r>
      <w:r w:rsidRPr="00864AB7">
        <w:rPr>
          <w:lang w:val="en-GB"/>
        </w:rPr>
        <w:t>) dhe përfshin aktet ligjore që do të miratohen nga institucionet shqiptare. MFP</w:t>
      </w:r>
      <w:r w:rsidR="00C93CFE">
        <w:rPr>
          <w:lang w:val="en-GB"/>
        </w:rPr>
        <w:t>-ja</w:t>
      </w:r>
      <w:r w:rsidRPr="00864AB7">
        <w:rPr>
          <w:lang w:val="en-GB"/>
        </w:rPr>
        <w:t xml:space="preserve"> si pjesë e Reformës së Administratë</w:t>
      </w:r>
      <w:r>
        <w:rPr>
          <w:lang w:val="en-GB"/>
        </w:rPr>
        <w:t>s Publike në kuadër të Kriterit Politik</w:t>
      </w:r>
      <w:r w:rsidRPr="00864AB7">
        <w:rPr>
          <w:lang w:val="en-GB"/>
        </w:rPr>
        <w:t xml:space="preserve"> është pjesë përbërëse e </w:t>
      </w:r>
      <w:r>
        <w:rPr>
          <w:lang w:val="en-GB"/>
        </w:rPr>
        <w:t>PKIE</w:t>
      </w:r>
      <w:r w:rsidR="00CE6B1C">
        <w:rPr>
          <w:lang w:val="en-GB"/>
        </w:rPr>
        <w:t>-së</w:t>
      </w:r>
      <w:r w:rsidRPr="00864AB7">
        <w:rPr>
          <w:lang w:val="en-GB"/>
        </w:rPr>
        <w:t>. Gjithashtu, ka shumë kapituj që kanë të bëjnë me një fushë specifike të politikës së BE-së, të cilat në të njëjtën kohë janë pjesë e strategjisë së MFP</w:t>
      </w:r>
      <w:r w:rsidR="00563DD4">
        <w:rPr>
          <w:lang w:val="en-GB"/>
        </w:rPr>
        <w:t>-së</w:t>
      </w:r>
      <w:r w:rsidRPr="00864AB7">
        <w:rPr>
          <w:lang w:val="en-GB"/>
        </w:rPr>
        <w:t>. Më poshtë jepet lidh</w:t>
      </w:r>
      <w:r>
        <w:rPr>
          <w:lang w:val="en-GB"/>
        </w:rPr>
        <w:t>ja ndërmjet këtyre kapitujve,</w:t>
      </w:r>
      <w:r w:rsidRPr="00864AB7">
        <w:rPr>
          <w:lang w:val="en-GB"/>
        </w:rPr>
        <w:t xml:space="preserve"> objektivave dhe komponentëve specifikë të MFP-së.</w:t>
      </w:r>
    </w:p>
    <w:p w14:paraId="261F0607" w14:textId="77777777" w:rsidR="00311F50" w:rsidRDefault="00311F50" w:rsidP="00311F50">
      <w:pPr>
        <w:jc w:val="both"/>
        <w:rPr>
          <w:highlight w:val="yellow"/>
          <w:lang w:val="en-GB"/>
        </w:rPr>
      </w:pPr>
    </w:p>
    <w:p w14:paraId="2D1DB62E" w14:textId="4F4C950A" w:rsidR="00311F50" w:rsidRPr="007760A1" w:rsidRDefault="00311F50" w:rsidP="007760A1">
      <w:pPr>
        <w:jc w:val="both"/>
        <w:rPr>
          <w:lang w:val="en-GB"/>
        </w:rPr>
      </w:pPr>
      <w:r w:rsidRPr="007760A1">
        <w:rPr>
          <w:lang w:val="en-GB"/>
        </w:rPr>
        <w:t>PKIE 2024-2026 përfshin masat e politikes, ligjore, institucionale dhe zbatuese që do të miratohen nga institucionet shqiptare p</w:t>
      </w:r>
      <w:r w:rsidR="0027564D" w:rsidRPr="007760A1">
        <w:rPr>
          <w:lang w:val="en-GB"/>
        </w:rPr>
        <w:t>ë</w:t>
      </w:r>
      <w:r w:rsidRPr="007760A1">
        <w:rPr>
          <w:lang w:val="en-GB"/>
        </w:rPr>
        <w:t>r k</w:t>
      </w:r>
      <w:r w:rsidR="0027564D" w:rsidRPr="007760A1">
        <w:rPr>
          <w:lang w:val="en-GB"/>
        </w:rPr>
        <w:t>ëtë</w:t>
      </w:r>
      <w:r w:rsidRPr="007760A1">
        <w:rPr>
          <w:lang w:val="en-GB"/>
        </w:rPr>
        <w:t xml:space="preserve"> periudh</w:t>
      </w:r>
      <w:r w:rsidR="0027564D" w:rsidRPr="007760A1">
        <w:rPr>
          <w:lang w:val="en-GB"/>
        </w:rPr>
        <w:t>ë</w:t>
      </w:r>
      <w:r w:rsidRPr="007760A1">
        <w:rPr>
          <w:lang w:val="en-GB"/>
        </w:rPr>
        <w:t>. Dokumenti është i lidhur me ciklin e programimit të Pr</w:t>
      </w:r>
      <w:r w:rsidR="0027564D" w:rsidRPr="007760A1">
        <w:rPr>
          <w:lang w:val="en-GB"/>
        </w:rPr>
        <w:t>ogramit Buxhetor Afatmesëm</w:t>
      </w:r>
      <w:r w:rsidRPr="007760A1">
        <w:rPr>
          <w:lang w:val="en-GB"/>
        </w:rPr>
        <w:t xml:space="preserve"> dhe në të njëjtën linjë me PBA</w:t>
      </w:r>
      <w:r w:rsidR="0027564D" w:rsidRPr="007760A1">
        <w:rPr>
          <w:lang w:val="en-GB"/>
        </w:rPr>
        <w:t>-në</w:t>
      </w:r>
      <w:r w:rsidRPr="007760A1">
        <w:rPr>
          <w:lang w:val="en-GB"/>
        </w:rPr>
        <w:t xml:space="preserve"> mbulon një periudhë 3-vjeçare buxhetimi dhe përditësohet çdo vit.</w:t>
      </w:r>
    </w:p>
    <w:p w14:paraId="4D6C527A" w14:textId="77777777" w:rsidR="00864AB7" w:rsidRPr="001F151E" w:rsidRDefault="00864AB7" w:rsidP="002E6AB5">
      <w:pPr>
        <w:spacing w:line="276" w:lineRule="auto"/>
        <w:jc w:val="both"/>
        <w:rPr>
          <w:lang w:val="en-GB"/>
        </w:rPr>
      </w:pPr>
    </w:p>
    <w:tbl>
      <w:tblPr>
        <w:tblStyle w:val="TableGrid"/>
        <w:tblW w:w="5000" w:type="pct"/>
        <w:tblCellMar>
          <w:top w:w="28" w:type="dxa"/>
          <w:left w:w="57" w:type="dxa"/>
          <w:bottom w:w="28" w:type="dxa"/>
          <w:right w:w="57" w:type="dxa"/>
        </w:tblCellMar>
        <w:tblLook w:val="04A0" w:firstRow="1" w:lastRow="0" w:firstColumn="1" w:lastColumn="0" w:noHBand="0" w:noVBand="1"/>
      </w:tblPr>
      <w:tblGrid>
        <w:gridCol w:w="4673"/>
        <w:gridCol w:w="1985"/>
        <w:gridCol w:w="2358"/>
      </w:tblGrid>
      <w:tr w:rsidR="007A742A" w:rsidRPr="0059094E" w14:paraId="058CE315" w14:textId="77777777" w:rsidTr="00AF4CFB">
        <w:tc>
          <w:tcPr>
            <w:tcW w:w="4673" w:type="dxa"/>
            <w:shd w:val="clear" w:color="auto" w:fill="D9D9D9" w:themeFill="background1" w:themeFillShade="D9"/>
          </w:tcPr>
          <w:p w14:paraId="5BFCFEE6" w14:textId="6AAA2D56" w:rsidR="007A742A" w:rsidRPr="00AF4CFB" w:rsidRDefault="00864AB7" w:rsidP="002B7FF8">
            <w:pPr>
              <w:rPr>
                <w:b/>
              </w:rPr>
            </w:pPr>
            <w:r w:rsidRPr="00AF4CFB">
              <w:rPr>
                <w:b/>
              </w:rPr>
              <w:t>Referenca me PKIE</w:t>
            </w:r>
          </w:p>
        </w:tc>
        <w:tc>
          <w:tcPr>
            <w:tcW w:w="4343" w:type="dxa"/>
            <w:gridSpan w:val="2"/>
            <w:tcBorders>
              <w:bottom w:val="single" w:sz="4" w:space="0" w:color="auto"/>
            </w:tcBorders>
            <w:shd w:val="clear" w:color="auto" w:fill="D9D9D9" w:themeFill="background1" w:themeFillShade="D9"/>
          </w:tcPr>
          <w:p w14:paraId="13CB9E84" w14:textId="04ACD421" w:rsidR="007A742A" w:rsidRPr="009D660E" w:rsidRDefault="00864AB7" w:rsidP="009F27DB">
            <w:pPr>
              <w:rPr>
                <w:b/>
                <w:lang w:val="it-IT"/>
              </w:rPr>
            </w:pPr>
            <w:r w:rsidRPr="009D660E">
              <w:rPr>
                <w:b/>
                <w:lang w:val="it-IT"/>
              </w:rPr>
              <w:t>Referenca me Strategjin</w:t>
            </w:r>
            <w:r w:rsidR="009F27DB" w:rsidRPr="009D660E">
              <w:rPr>
                <w:b/>
                <w:lang w:val="it-IT"/>
              </w:rPr>
              <w:t>ë</w:t>
            </w:r>
            <w:r w:rsidRPr="009D660E">
              <w:rPr>
                <w:b/>
                <w:lang w:val="it-IT"/>
              </w:rPr>
              <w:t xml:space="preserve"> e MFP-s</w:t>
            </w:r>
            <w:r w:rsidR="009F27DB" w:rsidRPr="009D660E">
              <w:rPr>
                <w:b/>
                <w:lang w:val="it-IT"/>
              </w:rPr>
              <w:t>ë</w:t>
            </w:r>
          </w:p>
        </w:tc>
      </w:tr>
      <w:tr w:rsidR="007A742A" w:rsidRPr="00864AB7" w14:paraId="1D9E1D9F" w14:textId="77777777" w:rsidTr="00AF4CFB">
        <w:tc>
          <w:tcPr>
            <w:tcW w:w="4673" w:type="dxa"/>
            <w:shd w:val="clear" w:color="auto" w:fill="auto"/>
          </w:tcPr>
          <w:p w14:paraId="08F047CB" w14:textId="6DEF69D0" w:rsidR="007A742A" w:rsidRPr="00AF4CFB" w:rsidRDefault="00D36598" w:rsidP="00AF4CFB">
            <w:r w:rsidRPr="00AF4CFB">
              <w:t>Kapitulli</w:t>
            </w:r>
            <w:r w:rsidR="007A742A" w:rsidRPr="00AF4CFB">
              <w:t xml:space="preserve"> 5 </w:t>
            </w:r>
            <w:r w:rsidR="00AF4CFB" w:rsidRPr="00AF4CFB">
              <w:t>Prokurimi Publik</w:t>
            </w:r>
          </w:p>
        </w:tc>
        <w:tc>
          <w:tcPr>
            <w:tcW w:w="1985" w:type="dxa"/>
            <w:tcBorders>
              <w:right w:val="nil"/>
            </w:tcBorders>
            <w:shd w:val="clear" w:color="auto" w:fill="auto"/>
          </w:tcPr>
          <w:p w14:paraId="04FEDBD7" w14:textId="510F244F" w:rsidR="007A742A" w:rsidRPr="00AF4CFB" w:rsidRDefault="00AF4CFB" w:rsidP="002B7FF8">
            <w:r w:rsidRPr="00AF4CFB">
              <w:t>Shtylla</w:t>
            </w:r>
            <w:r w:rsidR="007A742A" w:rsidRPr="00AF4CFB">
              <w:t xml:space="preserve"> 4</w:t>
            </w:r>
          </w:p>
        </w:tc>
        <w:tc>
          <w:tcPr>
            <w:tcW w:w="2358" w:type="dxa"/>
            <w:tcBorders>
              <w:left w:val="nil"/>
            </w:tcBorders>
            <w:shd w:val="clear" w:color="auto" w:fill="auto"/>
          </w:tcPr>
          <w:p w14:paraId="40447736" w14:textId="0F72D66D" w:rsidR="007A742A" w:rsidRPr="00AF4CFB" w:rsidRDefault="00AF4CFB" w:rsidP="002B7FF8">
            <w:r w:rsidRPr="00AF4CFB">
              <w:t xml:space="preserve">Komponenti </w:t>
            </w:r>
            <w:r w:rsidR="007A742A" w:rsidRPr="00AF4CFB">
              <w:t>4.2</w:t>
            </w:r>
          </w:p>
        </w:tc>
      </w:tr>
      <w:tr w:rsidR="007A742A" w:rsidRPr="00864AB7" w14:paraId="4BDAB609" w14:textId="77777777" w:rsidTr="00AF4CFB">
        <w:tc>
          <w:tcPr>
            <w:tcW w:w="4673" w:type="dxa"/>
            <w:shd w:val="clear" w:color="auto" w:fill="auto"/>
          </w:tcPr>
          <w:p w14:paraId="5EDF49D8" w14:textId="3FF1D3B6" w:rsidR="007A742A" w:rsidRPr="00AF4CFB" w:rsidRDefault="00AF4CFB" w:rsidP="00184AFA">
            <w:r w:rsidRPr="00AF4CFB">
              <w:t>Kapitulli</w:t>
            </w:r>
            <w:r w:rsidR="007A742A" w:rsidRPr="00AF4CFB">
              <w:t xml:space="preserve"> 16 Ta</w:t>
            </w:r>
            <w:r w:rsidR="00184AFA">
              <w:t>timet</w:t>
            </w:r>
          </w:p>
        </w:tc>
        <w:tc>
          <w:tcPr>
            <w:tcW w:w="1985" w:type="dxa"/>
            <w:tcBorders>
              <w:right w:val="nil"/>
            </w:tcBorders>
            <w:shd w:val="clear" w:color="auto" w:fill="auto"/>
          </w:tcPr>
          <w:p w14:paraId="3720D117" w14:textId="3355B7FC" w:rsidR="007A742A" w:rsidRPr="00AF4CFB" w:rsidRDefault="00AF4CFB" w:rsidP="002B7FF8">
            <w:r w:rsidRPr="00AF4CFB">
              <w:t xml:space="preserve">Shtylla </w:t>
            </w:r>
            <w:r w:rsidR="007A742A" w:rsidRPr="00AF4CFB">
              <w:t>3</w:t>
            </w:r>
          </w:p>
        </w:tc>
        <w:tc>
          <w:tcPr>
            <w:tcW w:w="2358" w:type="dxa"/>
            <w:tcBorders>
              <w:left w:val="nil"/>
            </w:tcBorders>
            <w:shd w:val="clear" w:color="auto" w:fill="auto"/>
          </w:tcPr>
          <w:p w14:paraId="01022F3C" w14:textId="155CF9A2" w:rsidR="007A742A" w:rsidRPr="00AF4CFB" w:rsidRDefault="00AF4CFB" w:rsidP="002B7FF8">
            <w:r w:rsidRPr="00AF4CFB">
              <w:t>Komponenti</w:t>
            </w:r>
            <w:r w:rsidR="007A742A" w:rsidRPr="00AF4CFB">
              <w:t xml:space="preserve"> 3.1</w:t>
            </w:r>
          </w:p>
        </w:tc>
      </w:tr>
      <w:tr w:rsidR="007A742A" w:rsidRPr="00864AB7" w14:paraId="4B5C2702" w14:textId="77777777" w:rsidTr="00AF4CFB">
        <w:tc>
          <w:tcPr>
            <w:tcW w:w="4673" w:type="dxa"/>
            <w:shd w:val="clear" w:color="auto" w:fill="auto"/>
          </w:tcPr>
          <w:p w14:paraId="20865BAD" w14:textId="587B549C" w:rsidR="007A742A" w:rsidRPr="009D660E" w:rsidRDefault="00AF4CFB" w:rsidP="00184AFA">
            <w:pPr>
              <w:rPr>
                <w:lang w:val="it-IT"/>
              </w:rPr>
            </w:pPr>
            <w:r w:rsidRPr="009D660E">
              <w:rPr>
                <w:lang w:val="it-IT"/>
              </w:rPr>
              <w:t>Kapitulli</w:t>
            </w:r>
            <w:r w:rsidR="007A742A" w:rsidRPr="009D660E">
              <w:rPr>
                <w:lang w:val="it-IT"/>
              </w:rPr>
              <w:t xml:space="preserve"> 17 </w:t>
            </w:r>
            <w:r w:rsidR="00184AFA" w:rsidRPr="009D660E">
              <w:rPr>
                <w:lang w:val="it-IT"/>
              </w:rPr>
              <w:t>Politika Ekonomike dhe Monetare</w:t>
            </w:r>
          </w:p>
        </w:tc>
        <w:tc>
          <w:tcPr>
            <w:tcW w:w="1985" w:type="dxa"/>
            <w:tcBorders>
              <w:right w:val="nil"/>
            </w:tcBorders>
            <w:shd w:val="clear" w:color="auto" w:fill="auto"/>
          </w:tcPr>
          <w:p w14:paraId="5D77CA12" w14:textId="62B1DD79" w:rsidR="007A742A" w:rsidRPr="00AF4CFB" w:rsidRDefault="00AF4CFB" w:rsidP="002B7FF8">
            <w:r w:rsidRPr="00AF4CFB">
              <w:t xml:space="preserve">Shtylla </w:t>
            </w:r>
            <w:r w:rsidR="007A742A" w:rsidRPr="00AF4CFB">
              <w:t>1</w:t>
            </w:r>
          </w:p>
        </w:tc>
        <w:tc>
          <w:tcPr>
            <w:tcW w:w="2358" w:type="dxa"/>
            <w:tcBorders>
              <w:left w:val="nil"/>
            </w:tcBorders>
            <w:shd w:val="clear" w:color="auto" w:fill="auto"/>
          </w:tcPr>
          <w:p w14:paraId="579006A7" w14:textId="24D202B1" w:rsidR="007A742A" w:rsidRPr="00AF4CFB" w:rsidRDefault="00AF4CFB" w:rsidP="002B7FF8">
            <w:r w:rsidRPr="00AF4CFB">
              <w:t>Komponenti</w:t>
            </w:r>
            <w:r w:rsidR="007A742A" w:rsidRPr="00AF4CFB">
              <w:t xml:space="preserve"> 1.1</w:t>
            </w:r>
          </w:p>
        </w:tc>
      </w:tr>
      <w:tr w:rsidR="007A742A" w:rsidRPr="00864AB7" w14:paraId="69058E7D" w14:textId="77777777" w:rsidTr="00AF4CFB">
        <w:tc>
          <w:tcPr>
            <w:tcW w:w="4673" w:type="dxa"/>
            <w:shd w:val="clear" w:color="auto" w:fill="auto"/>
          </w:tcPr>
          <w:p w14:paraId="2951589C" w14:textId="3F948AB9" w:rsidR="007A742A" w:rsidRPr="00AF4CFB" w:rsidRDefault="00AF4CFB" w:rsidP="00184AFA">
            <w:r w:rsidRPr="00AF4CFB">
              <w:t>Kapitulli</w:t>
            </w:r>
            <w:r w:rsidR="007A742A" w:rsidRPr="00AF4CFB">
              <w:t xml:space="preserve"> 18 Statis</w:t>
            </w:r>
            <w:r w:rsidR="00184AFA">
              <w:t>tikat</w:t>
            </w:r>
          </w:p>
        </w:tc>
        <w:tc>
          <w:tcPr>
            <w:tcW w:w="1985" w:type="dxa"/>
            <w:tcBorders>
              <w:right w:val="nil"/>
            </w:tcBorders>
            <w:shd w:val="clear" w:color="auto" w:fill="auto"/>
          </w:tcPr>
          <w:p w14:paraId="30C12D31" w14:textId="1445B2D2" w:rsidR="007A742A" w:rsidRPr="00AF4CFB" w:rsidRDefault="00AF4CFB" w:rsidP="002B7FF8">
            <w:r w:rsidRPr="00AF4CFB">
              <w:t xml:space="preserve">Shtylla </w:t>
            </w:r>
            <w:r w:rsidR="00793335" w:rsidRPr="00AF4CFB">
              <w:t>4</w:t>
            </w:r>
          </w:p>
        </w:tc>
        <w:tc>
          <w:tcPr>
            <w:tcW w:w="2358" w:type="dxa"/>
            <w:tcBorders>
              <w:left w:val="nil"/>
            </w:tcBorders>
            <w:shd w:val="clear" w:color="auto" w:fill="auto"/>
          </w:tcPr>
          <w:p w14:paraId="7DEF8671" w14:textId="3E7FDC7B" w:rsidR="007A742A" w:rsidRPr="00AF4CFB" w:rsidRDefault="00AF4CFB" w:rsidP="002B7FF8">
            <w:r w:rsidRPr="00AF4CFB">
              <w:t>Komponenti</w:t>
            </w:r>
            <w:r w:rsidR="007A742A" w:rsidRPr="00AF4CFB">
              <w:t xml:space="preserve"> </w:t>
            </w:r>
            <w:r w:rsidR="00793335" w:rsidRPr="00AF4CFB">
              <w:t>4.1</w:t>
            </w:r>
          </w:p>
        </w:tc>
      </w:tr>
      <w:tr w:rsidR="007A742A" w:rsidRPr="00864AB7" w14:paraId="6DA1BC7A" w14:textId="77777777" w:rsidTr="00AF4CFB">
        <w:tc>
          <w:tcPr>
            <w:tcW w:w="4673" w:type="dxa"/>
            <w:shd w:val="clear" w:color="auto" w:fill="auto"/>
          </w:tcPr>
          <w:p w14:paraId="153851EA" w14:textId="099D7871" w:rsidR="007A742A" w:rsidRPr="009D660E" w:rsidRDefault="00AF4CFB" w:rsidP="00184AFA">
            <w:pPr>
              <w:rPr>
                <w:lang w:val="it-IT"/>
              </w:rPr>
            </w:pPr>
            <w:r w:rsidRPr="009D660E">
              <w:rPr>
                <w:lang w:val="it-IT"/>
              </w:rPr>
              <w:t>Kapitulli</w:t>
            </w:r>
            <w:r w:rsidR="007A742A" w:rsidRPr="009D660E">
              <w:rPr>
                <w:lang w:val="it-IT"/>
              </w:rPr>
              <w:t xml:space="preserve"> 22 </w:t>
            </w:r>
            <w:r w:rsidR="00184AFA" w:rsidRPr="009D660E">
              <w:rPr>
                <w:lang w:val="it-IT"/>
              </w:rPr>
              <w:t>Politikat Rajonale dhe Koordinimi i Instrumenteve Strukturore</w:t>
            </w:r>
          </w:p>
        </w:tc>
        <w:tc>
          <w:tcPr>
            <w:tcW w:w="1985" w:type="dxa"/>
            <w:tcBorders>
              <w:right w:val="nil"/>
            </w:tcBorders>
            <w:shd w:val="clear" w:color="auto" w:fill="auto"/>
          </w:tcPr>
          <w:p w14:paraId="2CAB4531" w14:textId="7471CF8D" w:rsidR="007A742A" w:rsidRPr="00AF4CFB" w:rsidRDefault="00AF4CFB" w:rsidP="002B7FF8">
            <w:r w:rsidRPr="00AF4CFB">
              <w:t xml:space="preserve">Shtylla </w:t>
            </w:r>
            <w:r w:rsidR="007A742A" w:rsidRPr="00AF4CFB">
              <w:t>2; 5</w:t>
            </w:r>
          </w:p>
        </w:tc>
        <w:tc>
          <w:tcPr>
            <w:tcW w:w="2358" w:type="dxa"/>
            <w:tcBorders>
              <w:left w:val="nil"/>
            </w:tcBorders>
            <w:shd w:val="clear" w:color="auto" w:fill="auto"/>
          </w:tcPr>
          <w:p w14:paraId="418A31B5" w14:textId="35BE8D33" w:rsidR="007A742A" w:rsidRPr="00AF4CFB" w:rsidRDefault="00AF4CFB" w:rsidP="002B7FF8">
            <w:r w:rsidRPr="00AF4CFB">
              <w:t>Komponenti</w:t>
            </w:r>
            <w:r w:rsidR="007A742A" w:rsidRPr="00AF4CFB">
              <w:t xml:space="preserve"> 2.1; 5.4</w:t>
            </w:r>
          </w:p>
        </w:tc>
      </w:tr>
      <w:tr w:rsidR="007A742A" w:rsidRPr="00864AB7" w14:paraId="06C64FBE" w14:textId="77777777" w:rsidTr="00AF4CFB">
        <w:tc>
          <w:tcPr>
            <w:tcW w:w="4673" w:type="dxa"/>
            <w:shd w:val="clear" w:color="auto" w:fill="auto"/>
          </w:tcPr>
          <w:p w14:paraId="70C87859" w14:textId="3A2ABCFC" w:rsidR="007A742A" w:rsidRPr="00AF4CFB" w:rsidRDefault="00AF4CFB" w:rsidP="00184AFA">
            <w:r w:rsidRPr="00AF4CFB">
              <w:t>Kapitulli</w:t>
            </w:r>
            <w:r w:rsidR="007A742A" w:rsidRPr="00AF4CFB">
              <w:t xml:space="preserve"> 29 </w:t>
            </w:r>
            <w:r w:rsidR="00184AFA">
              <w:t>Bashkimi Doganor</w:t>
            </w:r>
          </w:p>
        </w:tc>
        <w:tc>
          <w:tcPr>
            <w:tcW w:w="1985" w:type="dxa"/>
            <w:tcBorders>
              <w:right w:val="nil"/>
            </w:tcBorders>
            <w:shd w:val="clear" w:color="auto" w:fill="auto"/>
          </w:tcPr>
          <w:p w14:paraId="55BDDB0D" w14:textId="051FF911" w:rsidR="007A742A" w:rsidRPr="00AF4CFB" w:rsidRDefault="00AF4CFB" w:rsidP="002B7FF8">
            <w:r w:rsidRPr="00AF4CFB">
              <w:t xml:space="preserve">Shtylla </w:t>
            </w:r>
            <w:r w:rsidR="007A742A" w:rsidRPr="00AF4CFB">
              <w:t>3</w:t>
            </w:r>
          </w:p>
        </w:tc>
        <w:tc>
          <w:tcPr>
            <w:tcW w:w="2358" w:type="dxa"/>
            <w:tcBorders>
              <w:left w:val="nil"/>
            </w:tcBorders>
            <w:shd w:val="clear" w:color="auto" w:fill="auto"/>
          </w:tcPr>
          <w:p w14:paraId="6F897123" w14:textId="0C3C0DC3" w:rsidR="007A742A" w:rsidRPr="00AF4CFB" w:rsidRDefault="00AF4CFB" w:rsidP="002B7FF8">
            <w:r w:rsidRPr="00AF4CFB">
              <w:t>Komponenti</w:t>
            </w:r>
            <w:r w:rsidR="007A742A" w:rsidRPr="00AF4CFB">
              <w:t xml:space="preserve"> 3.2</w:t>
            </w:r>
          </w:p>
        </w:tc>
      </w:tr>
      <w:tr w:rsidR="007A742A" w:rsidRPr="00864AB7" w14:paraId="44476A3E" w14:textId="77777777" w:rsidTr="00AF4CFB">
        <w:tc>
          <w:tcPr>
            <w:tcW w:w="4673" w:type="dxa"/>
            <w:shd w:val="clear" w:color="auto" w:fill="auto"/>
          </w:tcPr>
          <w:p w14:paraId="00EDE19A" w14:textId="758F1F77" w:rsidR="007A742A" w:rsidRPr="00AF4CFB" w:rsidRDefault="00AF4CFB" w:rsidP="00184AFA">
            <w:r w:rsidRPr="00AF4CFB">
              <w:t>Kapitulli</w:t>
            </w:r>
            <w:r w:rsidR="007A742A" w:rsidRPr="00AF4CFB">
              <w:t xml:space="preserve"> 32 </w:t>
            </w:r>
            <w:r w:rsidR="00184AFA">
              <w:t>Kontrolli Financiar</w:t>
            </w:r>
          </w:p>
        </w:tc>
        <w:tc>
          <w:tcPr>
            <w:tcW w:w="1985" w:type="dxa"/>
            <w:tcBorders>
              <w:right w:val="nil"/>
            </w:tcBorders>
            <w:shd w:val="clear" w:color="auto" w:fill="auto"/>
          </w:tcPr>
          <w:p w14:paraId="40F47F8D" w14:textId="2209AF0D" w:rsidR="007A742A" w:rsidRPr="00AF4CFB" w:rsidRDefault="00AF4CFB" w:rsidP="002B7FF8">
            <w:r w:rsidRPr="00AF4CFB">
              <w:t xml:space="preserve">Shtylla </w:t>
            </w:r>
            <w:r w:rsidR="007A742A" w:rsidRPr="00AF4CFB">
              <w:t>5</w:t>
            </w:r>
          </w:p>
        </w:tc>
        <w:tc>
          <w:tcPr>
            <w:tcW w:w="2358" w:type="dxa"/>
            <w:tcBorders>
              <w:left w:val="nil"/>
            </w:tcBorders>
            <w:shd w:val="clear" w:color="auto" w:fill="auto"/>
          </w:tcPr>
          <w:p w14:paraId="7ECE1D4F" w14:textId="541B3D1E" w:rsidR="007A742A" w:rsidRPr="00AF4CFB" w:rsidRDefault="00AF4CFB" w:rsidP="002B7FF8">
            <w:r w:rsidRPr="00AF4CFB">
              <w:t>Komponenti</w:t>
            </w:r>
            <w:r w:rsidR="007A742A" w:rsidRPr="00AF4CFB">
              <w:t xml:space="preserve"> 5.1; 5.2; 5.3</w:t>
            </w:r>
          </w:p>
        </w:tc>
      </w:tr>
      <w:tr w:rsidR="007A742A" w:rsidRPr="00864AB7" w14:paraId="44900B6A" w14:textId="77777777" w:rsidTr="00AF4CFB">
        <w:tc>
          <w:tcPr>
            <w:tcW w:w="4673" w:type="dxa"/>
            <w:shd w:val="clear" w:color="auto" w:fill="auto"/>
          </w:tcPr>
          <w:p w14:paraId="02C3A0D2" w14:textId="4E9BA31F" w:rsidR="007A742A" w:rsidRPr="009D660E" w:rsidRDefault="00AF4CFB" w:rsidP="00184AFA">
            <w:pPr>
              <w:rPr>
                <w:lang w:val="it-IT"/>
              </w:rPr>
            </w:pPr>
            <w:r w:rsidRPr="009D660E">
              <w:rPr>
                <w:lang w:val="it-IT"/>
              </w:rPr>
              <w:t>Kapitulli</w:t>
            </w:r>
            <w:r w:rsidR="007A742A" w:rsidRPr="009D660E">
              <w:rPr>
                <w:lang w:val="it-IT"/>
              </w:rPr>
              <w:t xml:space="preserve"> 33 </w:t>
            </w:r>
            <w:r w:rsidR="00184AFA" w:rsidRPr="009D660E">
              <w:rPr>
                <w:lang w:val="it-IT"/>
              </w:rPr>
              <w:t>Dispozitat Financiare dhe Buxhetore</w:t>
            </w:r>
          </w:p>
        </w:tc>
        <w:tc>
          <w:tcPr>
            <w:tcW w:w="1985" w:type="dxa"/>
            <w:tcBorders>
              <w:right w:val="nil"/>
            </w:tcBorders>
            <w:shd w:val="clear" w:color="auto" w:fill="auto"/>
          </w:tcPr>
          <w:p w14:paraId="25FD5907" w14:textId="67485831" w:rsidR="007A742A" w:rsidRPr="00AF4CFB" w:rsidRDefault="00AF4CFB" w:rsidP="002B7FF8">
            <w:r w:rsidRPr="00AF4CFB">
              <w:t xml:space="preserve">Shtylla </w:t>
            </w:r>
            <w:r w:rsidR="007A742A" w:rsidRPr="00AF4CFB">
              <w:t>1; 3</w:t>
            </w:r>
          </w:p>
        </w:tc>
        <w:tc>
          <w:tcPr>
            <w:tcW w:w="2358" w:type="dxa"/>
            <w:tcBorders>
              <w:left w:val="nil"/>
            </w:tcBorders>
            <w:shd w:val="clear" w:color="auto" w:fill="auto"/>
          </w:tcPr>
          <w:p w14:paraId="034D38FE" w14:textId="2C92FA17" w:rsidR="007A742A" w:rsidRPr="00AF4CFB" w:rsidRDefault="00AF4CFB" w:rsidP="002B7FF8">
            <w:r w:rsidRPr="00AF4CFB">
              <w:t>Komponenti</w:t>
            </w:r>
            <w:r w:rsidR="007A742A" w:rsidRPr="00AF4CFB">
              <w:t xml:space="preserve"> 1.3; 3.1; 3.2</w:t>
            </w:r>
          </w:p>
        </w:tc>
      </w:tr>
    </w:tbl>
    <w:p w14:paraId="0473E770" w14:textId="77777777" w:rsidR="00F74BAB" w:rsidRPr="00864AB7" w:rsidRDefault="00F74BAB" w:rsidP="00BB2BD0">
      <w:pPr>
        <w:rPr>
          <w:highlight w:val="yellow"/>
          <w:lang w:val="en-GB"/>
        </w:rPr>
      </w:pPr>
    </w:p>
    <w:p w14:paraId="5B661C11" w14:textId="4CBBDA8E" w:rsidR="000C7935" w:rsidRPr="0057580C" w:rsidRDefault="007E737E" w:rsidP="002E6AB5">
      <w:pPr>
        <w:spacing w:line="276" w:lineRule="auto"/>
        <w:jc w:val="both"/>
        <w:rPr>
          <w:b/>
          <w:bCs/>
          <w:lang w:val="en-GB"/>
        </w:rPr>
      </w:pPr>
      <w:r w:rsidRPr="0057580C">
        <w:rPr>
          <w:b/>
          <w:bCs/>
          <w:lang w:val="en-GB"/>
        </w:rPr>
        <w:t>Udh</w:t>
      </w:r>
      <w:r w:rsidR="00184AFA" w:rsidRPr="0057580C">
        <w:rPr>
          <w:b/>
          <w:bCs/>
          <w:lang w:val="en-GB"/>
        </w:rPr>
        <w:t>ë</w:t>
      </w:r>
      <w:r w:rsidRPr="0057580C">
        <w:rPr>
          <w:b/>
          <w:bCs/>
          <w:lang w:val="en-GB"/>
        </w:rPr>
        <w:t>rr</w:t>
      </w:r>
      <w:r w:rsidR="00184AFA" w:rsidRPr="0057580C">
        <w:rPr>
          <w:b/>
          <w:bCs/>
          <w:lang w:val="en-GB"/>
        </w:rPr>
        <w:t>ë</w:t>
      </w:r>
      <w:r w:rsidRPr="0057580C">
        <w:rPr>
          <w:b/>
          <w:bCs/>
          <w:lang w:val="en-GB"/>
        </w:rPr>
        <w:t xml:space="preserve">fyesi </w:t>
      </w:r>
      <w:r w:rsidR="00EC6AE5">
        <w:rPr>
          <w:b/>
          <w:bCs/>
          <w:lang w:val="en-GB"/>
        </w:rPr>
        <w:t>për Reformën në Administratën Publike 2023-2030</w:t>
      </w:r>
    </w:p>
    <w:p w14:paraId="4CBC5E2B" w14:textId="60190737" w:rsidR="00EC6AE5" w:rsidRPr="00EC6AE5" w:rsidRDefault="00EC6AE5" w:rsidP="00EC6AE5">
      <w:pPr>
        <w:spacing w:before="100" w:beforeAutospacing="1" w:line="240" w:lineRule="auto"/>
        <w:jc w:val="both"/>
        <w:rPr>
          <w:rStyle w:val="rynqvb"/>
          <w:lang w:val="sq-AL"/>
        </w:rPr>
      </w:pPr>
      <w:r w:rsidRPr="00EC6AE5">
        <w:rPr>
          <w:rStyle w:val="rynqvb"/>
          <w:lang w:val="sq-AL"/>
        </w:rPr>
        <w:t>“Udhërrëfyesi për Reformën në Administratën Pulike 2023 – 2030” është një dokument që mbështet reformën në administratën publike, me një plan masash konkrete prioritare, për periudhën kohore 2023 – 2030. Qëllimi i hartimit të tij është adresimi i sfidave të identifikuara në kuadër të reformës së administratës publike, si dhe prioritizimi i masave në këtë drejtim, për të siguruar përmbushjen e standardeve dhe progresin në procesin e integrimit evropian. Masat prioritare organizohen në 5 shtylla, bazuar në parimet e Bashkimit Evropian mbi administratën publike:</w:t>
      </w:r>
    </w:p>
    <w:p w14:paraId="717576B4" w14:textId="77777777" w:rsidR="00EC6AE5" w:rsidRPr="00EC6AE5" w:rsidRDefault="00EC6AE5" w:rsidP="00CD7428">
      <w:pPr>
        <w:pStyle w:val="N-Bullet"/>
        <w:numPr>
          <w:ilvl w:val="0"/>
          <w:numId w:val="69"/>
        </w:numPr>
        <w:spacing w:line="276" w:lineRule="auto"/>
        <w:jc w:val="both"/>
        <w:rPr>
          <w:rStyle w:val="rynqvb"/>
          <w:lang w:val="sq-AL"/>
        </w:rPr>
      </w:pPr>
      <w:r w:rsidRPr="00EC6AE5">
        <w:rPr>
          <w:rStyle w:val="rynqvb"/>
          <w:lang w:val="sq-AL"/>
        </w:rPr>
        <w:t>Zhvillimi dhe koordinimi i politikave;</w:t>
      </w:r>
    </w:p>
    <w:p w14:paraId="4257C47D" w14:textId="77777777" w:rsidR="00EC6AE5" w:rsidRPr="00EC6AE5" w:rsidRDefault="00EC6AE5" w:rsidP="00CD7428">
      <w:pPr>
        <w:pStyle w:val="N-Bullet"/>
        <w:numPr>
          <w:ilvl w:val="0"/>
          <w:numId w:val="69"/>
        </w:numPr>
        <w:spacing w:line="276" w:lineRule="auto"/>
        <w:jc w:val="both"/>
        <w:rPr>
          <w:rStyle w:val="rynqvb"/>
          <w:lang w:val="sq-AL"/>
        </w:rPr>
      </w:pPr>
      <w:r w:rsidRPr="00EC6AE5">
        <w:rPr>
          <w:rStyle w:val="rynqvb"/>
          <w:lang w:val="sq-AL"/>
        </w:rPr>
        <w:t>Shërbimi civil dhe menaxhimi i burimeve njerëzore;</w:t>
      </w:r>
    </w:p>
    <w:p w14:paraId="3C19B4DF" w14:textId="77777777" w:rsidR="00EC6AE5" w:rsidRPr="00EC6AE5" w:rsidRDefault="00EC6AE5" w:rsidP="00CD7428">
      <w:pPr>
        <w:pStyle w:val="N-Bullet"/>
        <w:numPr>
          <w:ilvl w:val="0"/>
          <w:numId w:val="69"/>
        </w:numPr>
        <w:spacing w:line="276" w:lineRule="auto"/>
        <w:jc w:val="both"/>
        <w:rPr>
          <w:rStyle w:val="rynqvb"/>
          <w:lang w:val="sq-AL"/>
        </w:rPr>
      </w:pPr>
      <w:r w:rsidRPr="00EC6AE5">
        <w:rPr>
          <w:rStyle w:val="rynqvb"/>
          <w:lang w:val="sq-AL"/>
        </w:rPr>
        <w:t>Organizimi, llogaridhënia dhe transparenca;</w:t>
      </w:r>
    </w:p>
    <w:p w14:paraId="413C9119" w14:textId="77777777" w:rsidR="00EC6AE5" w:rsidRPr="00EC6AE5" w:rsidRDefault="00EC6AE5" w:rsidP="00CD7428">
      <w:pPr>
        <w:pStyle w:val="N-Bullet"/>
        <w:numPr>
          <w:ilvl w:val="0"/>
          <w:numId w:val="69"/>
        </w:numPr>
        <w:spacing w:line="276" w:lineRule="auto"/>
        <w:jc w:val="both"/>
        <w:rPr>
          <w:rStyle w:val="rynqvb"/>
          <w:lang w:val="sq-AL"/>
        </w:rPr>
      </w:pPr>
      <w:r w:rsidRPr="00EC6AE5">
        <w:rPr>
          <w:rStyle w:val="rynqvb"/>
          <w:lang w:val="sq-AL"/>
        </w:rPr>
        <w:t>Ofrimi i shërbimeve;</w:t>
      </w:r>
    </w:p>
    <w:p w14:paraId="0692F2B4" w14:textId="26BB8C13" w:rsidR="00EC6AE5" w:rsidRPr="00EC6AE5" w:rsidRDefault="00EC6AE5" w:rsidP="00CD7428">
      <w:pPr>
        <w:pStyle w:val="N-Bullet"/>
        <w:numPr>
          <w:ilvl w:val="0"/>
          <w:numId w:val="69"/>
        </w:numPr>
        <w:spacing w:line="276" w:lineRule="auto"/>
        <w:jc w:val="both"/>
        <w:rPr>
          <w:rStyle w:val="rynqvb"/>
          <w:lang w:val="sq-AL"/>
        </w:rPr>
      </w:pPr>
      <w:r w:rsidRPr="00EC6AE5">
        <w:rPr>
          <w:rStyle w:val="rynqvb"/>
          <w:lang w:val="sq-AL"/>
        </w:rPr>
        <w:t>Menaxhimi i financave publike.</w:t>
      </w:r>
    </w:p>
    <w:p w14:paraId="7DEDA140" w14:textId="4A164E64" w:rsidR="00311F50" w:rsidRPr="00F006E3" w:rsidRDefault="00EC6AE5" w:rsidP="00F006E3">
      <w:pPr>
        <w:spacing w:before="100" w:beforeAutospacing="1" w:line="240" w:lineRule="auto"/>
        <w:jc w:val="both"/>
        <w:rPr>
          <w:lang w:val="sq-AL"/>
        </w:rPr>
      </w:pPr>
      <w:r w:rsidRPr="00EC6AE5">
        <w:rPr>
          <w:rStyle w:val="rynqvb"/>
          <w:lang w:val="sq-AL"/>
        </w:rPr>
        <w:lastRenderedPageBreak/>
        <w:t>Në secilën prej shtyllave të mësipërme planifikohen masa në drejtim të: (i) fushave dhe nënfushave / parimeve; (ii) kuadrit strategjik/legjislativ/institucional; (iii) zbatimit të reformave dhe kapaciteteve insitucionale; (iv) funksionimit dhe performancës së adminstratës publike.</w:t>
      </w:r>
    </w:p>
    <w:p w14:paraId="11C325A9" w14:textId="77777777" w:rsidR="0057580C" w:rsidRPr="009D660E" w:rsidRDefault="0057580C" w:rsidP="002E6AB5">
      <w:pPr>
        <w:spacing w:line="276" w:lineRule="auto"/>
        <w:jc w:val="both"/>
        <w:rPr>
          <w:b/>
          <w:bCs/>
          <w:highlight w:val="yellow"/>
          <w:lang w:val="sq-AL"/>
        </w:rPr>
      </w:pPr>
    </w:p>
    <w:p w14:paraId="46D2F1A4" w14:textId="3801FEEB" w:rsidR="00EC43EB" w:rsidRPr="009D660E" w:rsidRDefault="0057580C" w:rsidP="002E6AB5">
      <w:pPr>
        <w:spacing w:line="276" w:lineRule="auto"/>
        <w:jc w:val="both"/>
        <w:rPr>
          <w:b/>
          <w:bCs/>
          <w:lang w:val="it-IT"/>
        </w:rPr>
      </w:pPr>
      <w:r w:rsidRPr="009D660E">
        <w:rPr>
          <w:b/>
          <w:bCs/>
          <w:lang w:val="it-IT"/>
        </w:rPr>
        <w:t>Strategjia Ndërsektoriale për Decentralizimin dhe Qeverisjen Vendore</w:t>
      </w:r>
      <w:r w:rsidR="00EC43EB" w:rsidRPr="009D660E">
        <w:rPr>
          <w:b/>
          <w:bCs/>
          <w:lang w:val="it-IT"/>
        </w:rPr>
        <w:t xml:space="preserve"> 2023-2030</w:t>
      </w:r>
    </w:p>
    <w:p w14:paraId="22A76AD5" w14:textId="06B9C174" w:rsidR="0071064B" w:rsidRPr="0057580C" w:rsidRDefault="0057580C" w:rsidP="002E6AB5">
      <w:pPr>
        <w:spacing w:line="276" w:lineRule="auto"/>
        <w:jc w:val="both"/>
        <w:rPr>
          <w:iCs/>
          <w:lang w:val="en-GB"/>
        </w:rPr>
      </w:pPr>
      <w:r w:rsidRPr="009D660E">
        <w:rPr>
          <w:iCs/>
          <w:lang w:val="it-IT"/>
        </w:rPr>
        <w:t>N</w:t>
      </w:r>
      <w:r w:rsidR="00197932" w:rsidRPr="009D660E">
        <w:rPr>
          <w:iCs/>
          <w:lang w:val="it-IT"/>
        </w:rPr>
        <w:t>ë</w:t>
      </w:r>
      <w:r w:rsidRPr="009D660E">
        <w:rPr>
          <w:iCs/>
          <w:lang w:val="it-IT"/>
        </w:rPr>
        <w:t xml:space="preserve"> vitin 2023</w:t>
      </w:r>
      <w:r w:rsidR="00EC43EB" w:rsidRPr="009D660E">
        <w:rPr>
          <w:iCs/>
          <w:lang w:val="it-IT"/>
        </w:rPr>
        <w:t xml:space="preserve">, </w:t>
      </w:r>
      <w:r w:rsidRPr="0057580C">
        <w:rPr>
          <w:rStyle w:val="rynqvb"/>
          <w:lang w:val="sq-AL"/>
        </w:rPr>
        <w:t>Qeveria</w:t>
      </w:r>
      <w:r>
        <w:rPr>
          <w:rStyle w:val="rynqvb"/>
          <w:lang w:val="sq-AL"/>
        </w:rPr>
        <w:t xml:space="preserve"> Shqiptare miratoi Strategjinë Ndërsektoriale për Decentralizimin dhe Qeverisjen Vendore </w:t>
      </w:r>
      <w:r w:rsidRPr="0057580C">
        <w:rPr>
          <w:rStyle w:val="rynqvb"/>
          <w:lang w:val="sq-AL"/>
        </w:rPr>
        <w:t>për periudhën 2023-2030.</w:t>
      </w:r>
      <w:r w:rsidRPr="0057580C">
        <w:rPr>
          <w:rStyle w:val="hwtze"/>
          <w:lang w:val="sq-AL"/>
        </w:rPr>
        <w:t xml:space="preserve"> </w:t>
      </w:r>
      <w:r w:rsidRPr="0057580C">
        <w:rPr>
          <w:rStyle w:val="rynqvb"/>
          <w:lang w:val="sq-AL"/>
        </w:rPr>
        <w:t>Katër shtyllat kryesore strategjike të formuluara fokusohen në:</w:t>
      </w:r>
    </w:p>
    <w:p w14:paraId="523211D6" w14:textId="5841264F" w:rsidR="0057580C" w:rsidRPr="00D87C52" w:rsidRDefault="0057580C" w:rsidP="00CD7428">
      <w:pPr>
        <w:pStyle w:val="N-Bullet"/>
        <w:numPr>
          <w:ilvl w:val="0"/>
          <w:numId w:val="105"/>
        </w:numPr>
        <w:spacing w:line="276" w:lineRule="auto"/>
        <w:jc w:val="both"/>
        <w:rPr>
          <w:rStyle w:val="rynqvb"/>
          <w:bCs/>
          <w:iCs/>
          <w:lang w:val="en-GB"/>
        </w:rPr>
      </w:pPr>
      <w:r w:rsidRPr="0057580C">
        <w:rPr>
          <w:rStyle w:val="rynqvb"/>
          <w:lang w:val="sq-AL"/>
        </w:rPr>
        <w:t xml:space="preserve">konsolidimi i kapaciteteve strategjike dhe operacionale të njësive të vetëqeverisjes vendore nëpërmjet objektivave specifike ku përfshihen konsolidimi i </w:t>
      </w:r>
      <w:r w:rsidR="00D87C52">
        <w:rPr>
          <w:rStyle w:val="rynqvb"/>
          <w:lang w:val="sq-AL"/>
        </w:rPr>
        <w:t>kapaciteteve t</w:t>
      </w:r>
      <w:r w:rsidR="00197932">
        <w:rPr>
          <w:rStyle w:val="rynqvb"/>
          <w:lang w:val="sq-AL"/>
        </w:rPr>
        <w:t>ë</w:t>
      </w:r>
      <w:r w:rsidR="00D87C52">
        <w:rPr>
          <w:rStyle w:val="rynqvb"/>
          <w:lang w:val="sq-AL"/>
        </w:rPr>
        <w:t xml:space="preserve"> </w:t>
      </w:r>
      <w:r w:rsidRPr="0057580C">
        <w:rPr>
          <w:rStyle w:val="rynqvb"/>
          <w:lang w:val="sq-AL"/>
        </w:rPr>
        <w:t xml:space="preserve">strukturave administrative, aplikimi i shërbimeve të integruara administrative </w:t>
      </w:r>
      <w:r w:rsidR="00D87C52">
        <w:rPr>
          <w:rStyle w:val="rynqvb"/>
          <w:lang w:val="sq-AL"/>
        </w:rPr>
        <w:t>me teknologjin</w:t>
      </w:r>
      <w:r w:rsidRPr="0057580C">
        <w:rPr>
          <w:rStyle w:val="rynqvb"/>
          <w:lang w:val="sq-AL"/>
        </w:rPr>
        <w:t xml:space="preserve">ë </w:t>
      </w:r>
      <w:r w:rsidR="00D87C52">
        <w:rPr>
          <w:rStyle w:val="rynqvb"/>
          <w:lang w:val="sq-AL"/>
        </w:rPr>
        <w:t>e</w:t>
      </w:r>
      <w:r w:rsidRPr="0057580C">
        <w:rPr>
          <w:rStyle w:val="rynqvb"/>
          <w:lang w:val="sq-AL"/>
        </w:rPr>
        <w:t xml:space="preserve"> informacionit për bashkitë dhe forcimi i dialogut </w:t>
      </w:r>
      <w:r w:rsidR="00D87C52">
        <w:rPr>
          <w:rStyle w:val="rynqvb"/>
          <w:lang w:val="sq-AL"/>
        </w:rPr>
        <w:t>mes qeverisë qendrore dhe asaj vendore dhe llogaridhënies s</w:t>
      </w:r>
      <w:r w:rsidR="00197932">
        <w:rPr>
          <w:rStyle w:val="rynqvb"/>
          <w:lang w:val="sq-AL"/>
        </w:rPr>
        <w:t>ë</w:t>
      </w:r>
      <w:r w:rsidR="00D87C52">
        <w:rPr>
          <w:rStyle w:val="rynqvb"/>
          <w:lang w:val="sq-AL"/>
        </w:rPr>
        <w:t xml:space="preserve"> dyanshme</w:t>
      </w:r>
      <w:r w:rsidRPr="00D87C52">
        <w:rPr>
          <w:rStyle w:val="rynqvb"/>
          <w:lang w:val="sq-AL"/>
        </w:rPr>
        <w:t>;</w:t>
      </w:r>
    </w:p>
    <w:p w14:paraId="74E11864" w14:textId="36B92868" w:rsidR="0071064B" w:rsidRPr="00D87C52" w:rsidRDefault="0057580C" w:rsidP="00CD7428">
      <w:pPr>
        <w:pStyle w:val="N-Bullet"/>
        <w:numPr>
          <w:ilvl w:val="0"/>
          <w:numId w:val="105"/>
        </w:numPr>
        <w:spacing w:line="276" w:lineRule="auto"/>
        <w:jc w:val="both"/>
        <w:rPr>
          <w:rStyle w:val="Heading4Char"/>
          <w:rFonts w:eastAsiaTheme="minorHAnsi" w:cs="Arial"/>
          <w:b w:val="0"/>
          <w:color w:val="auto"/>
          <w:szCs w:val="18"/>
        </w:rPr>
      </w:pPr>
      <w:r w:rsidRPr="00D87C52">
        <w:rPr>
          <w:rStyle w:val="Heading4Char"/>
          <w:rFonts w:eastAsiaTheme="minorHAnsi" w:cs="Arial"/>
          <w:b w:val="0"/>
          <w:color w:val="auto"/>
          <w:szCs w:val="18"/>
        </w:rPr>
        <w:t>forcimi i financave vendore dhe autonomis</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fiskale</w:t>
      </w:r>
      <w:r w:rsidR="00EC43EB" w:rsidRPr="00D87C52">
        <w:rPr>
          <w:rStyle w:val="Heading4Char"/>
          <w:rFonts w:eastAsiaTheme="minorHAnsi" w:cs="Arial"/>
          <w:b w:val="0"/>
          <w:color w:val="auto"/>
          <w:szCs w:val="18"/>
        </w:rPr>
        <w:t xml:space="preserve">, </w:t>
      </w:r>
      <w:r w:rsidRPr="00D87C52">
        <w:rPr>
          <w:rStyle w:val="Heading4Char"/>
          <w:rFonts w:eastAsiaTheme="minorHAnsi" w:cs="Arial"/>
          <w:b w:val="0"/>
          <w:color w:val="auto"/>
          <w:szCs w:val="18"/>
        </w:rPr>
        <w:t>me objektiva si konsolidimi i sistemit t</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t</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ardhurave vendore, rritja e ndarjes s</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t</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ardhurave nga taksat komb</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tare me bashkit</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p</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rmir</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simi i parashikueshm</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ris</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dhe stabilitetit t</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sistemeve t</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transfertave qeveritare</w:t>
      </w:r>
      <w:r w:rsidR="007F7917" w:rsidRPr="00D87C52">
        <w:rPr>
          <w:rStyle w:val="Heading4Char"/>
          <w:rFonts w:eastAsiaTheme="minorHAnsi" w:cs="Arial"/>
          <w:b w:val="0"/>
          <w:color w:val="auto"/>
          <w:szCs w:val="18"/>
        </w:rPr>
        <w:t>, rritja e kapaciteteve t</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 xml:space="preserve"> Nj</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sive t</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 xml:space="preserve"> Vet</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 xml:space="preserve">qeverisjes Vendore </w:t>
      </w:r>
      <w:r w:rsidR="00D87C52">
        <w:rPr>
          <w:rStyle w:val="Heading4Char"/>
          <w:rFonts w:eastAsiaTheme="minorHAnsi" w:cs="Arial"/>
          <w:b w:val="0"/>
          <w:color w:val="auto"/>
          <w:szCs w:val="18"/>
        </w:rPr>
        <w:t>(NJV</w:t>
      </w:r>
      <w:r w:rsidR="005A69A2">
        <w:rPr>
          <w:rStyle w:val="Heading4Char"/>
          <w:rFonts w:eastAsiaTheme="minorHAnsi" w:cs="Arial"/>
          <w:b w:val="0"/>
          <w:color w:val="auto"/>
          <w:szCs w:val="18"/>
        </w:rPr>
        <w:t>Q</w:t>
      </w:r>
      <w:r w:rsidR="00D87C52">
        <w:rPr>
          <w:rStyle w:val="Heading4Char"/>
          <w:rFonts w:eastAsiaTheme="minorHAnsi" w:cs="Arial"/>
          <w:b w:val="0"/>
          <w:color w:val="auto"/>
          <w:szCs w:val="18"/>
        </w:rPr>
        <w:t xml:space="preserve">V) </w:t>
      </w:r>
      <w:r w:rsidR="007F7917" w:rsidRPr="00D87C52">
        <w:rPr>
          <w:rStyle w:val="Heading4Char"/>
          <w:rFonts w:eastAsiaTheme="minorHAnsi" w:cs="Arial"/>
          <w:b w:val="0"/>
          <w:color w:val="auto"/>
          <w:szCs w:val="18"/>
        </w:rPr>
        <w:t>p</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r t</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 xml:space="preserve"> p</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rdorur huamarrjen p</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 xml:space="preserve">r </w:t>
      </w:r>
      <w:r w:rsidR="00D87C52">
        <w:rPr>
          <w:rStyle w:val="Heading4Char"/>
          <w:rFonts w:eastAsiaTheme="minorHAnsi" w:cs="Arial"/>
          <w:b w:val="0"/>
          <w:color w:val="auto"/>
          <w:szCs w:val="18"/>
        </w:rPr>
        <w:t xml:space="preserve">financimin e </w:t>
      </w:r>
      <w:r w:rsidR="007F7917" w:rsidRPr="00D87C52">
        <w:rPr>
          <w:rStyle w:val="Heading4Char"/>
          <w:rFonts w:eastAsiaTheme="minorHAnsi" w:cs="Arial"/>
          <w:b w:val="0"/>
          <w:color w:val="auto"/>
          <w:szCs w:val="18"/>
        </w:rPr>
        <w:t>projekte</w:t>
      </w:r>
      <w:r w:rsidR="00D87C52">
        <w:rPr>
          <w:rStyle w:val="Heading4Char"/>
          <w:rFonts w:eastAsiaTheme="minorHAnsi" w:cs="Arial"/>
          <w:b w:val="0"/>
          <w:color w:val="auto"/>
          <w:szCs w:val="18"/>
        </w:rPr>
        <w:t>ve</w:t>
      </w:r>
      <w:r w:rsidR="007F7917" w:rsidRPr="00D87C52">
        <w:rPr>
          <w:rStyle w:val="Heading4Char"/>
          <w:rFonts w:eastAsiaTheme="minorHAnsi" w:cs="Arial"/>
          <w:b w:val="0"/>
          <w:color w:val="auto"/>
          <w:szCs w:val="18"/>
        </w:rPr>
        <w:t xml:space="preserve"> kapitale </w:t>
      </w:r>
      <w:r w:rsidR="00D87C52">
        <w:rPr>
          <w:rStyle w:val="Heading4Char"/>
          <w:rFonts w:eastAsiaTheme="minorHAnsi" w:cs="Arial"/>
          <w:b w:val="0"/>
          <w:color w:val="auto"/>
          <w:szCs w:val="18"/>
        </w:rPr>
        <w:t>brenda</w:t>
      </w:r>
      <w:r w:rsidR="007F7917" w:rsidRPr="00D87C52">
        <w:rPr>
          <w:rStyle w:val="Heading4Char"/>
          <w:rFonts w:eastAsiaTheme="minorHAnsi" w:cs="Arial"/>
          <w:b w:val="0"/>
          <w:color w:val="auto"/>
          <w:szCs w:val="18"/>
        </w:rPr>
        <w:t xml:space="preserve"> politikave komb</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tare t</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 xml:space="preserve"> borxhit publik dhe forcimi i sistemit t</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 xml:space="preserve"> menaxhimit t</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 xml:space="preserve"> financave publike n</w:t>
      </w:r>
      <w:r w:rsidR="00197932">
        <w:rPr>
          <w:rStyle w:val="Heading4Char"/>
          <w:rFonts w:eastAsiaTheme="minorHAnsi" w:cs="Arial"/>
          <w:b w:val="0"/>
          <w:color w:val="auto"/>
          <w:szCs w:val="18"/>
        </w:rPr>
        <w:t>ë</w:t>
      </w:r>
      <w:r w:rsidR="007F7917" w:rsidRPr="00D87C52">
        <w:rPr>
          <w:rStyle w:val="Heading4Char"/>
          <w:rFonts w:eastAsiaTheme="minorHAnsi" w:cs="Arial"/>
          <w:b w:val="0"/>
          <w:color w:val="auto"/>
          <w:szCs w:val="18"/>
        </w:rPr>
        <w:t xml:space="preserve"> nivel</w:t>
      </w:r>
      <w:r w:rsidR="00D87C52">
        <w:rPr>
          <w:rStyle w:val="Heading4Char"/>
          <w:rFonts w:eastAsiaTheme="minorHAnsi" w:cs="Arial"/>
          <w:b w:val="0"/>
          <w:color w:val="auto"/>
          <w:szCs w:val="18"/>
        </w:rPr>
        <w:t>in</w:t>
      </w:r>
      <w:r w:rsidR="007F7917" w:rsidRPr="00D87C52">
        <w:rPr>
          <w:rStyle w:val="Heading4Char"/>
          <w:rFonts w:eastAsiaTheme="minorHAnsi" w:cs="Arial"/>
          <w:b w:val="0"/>
          <w:color w:val="auto"/>
          <w:szCs w:val="18"/>
        </w:rPr>
        <w:t xml:space="preserve"> vendor;</w:t>
      </w:r>
    </w:p>
    <w:p w14:paraId="76CB9B4A" w14:textId="560D9545" w:rsidR="0071064B" w:rsidRPr="00D87C52" w:rsidRDefault="00D87C52" w:rsidP="00CD7428">
      <w:pPr>
        <w:pStyle w:val="N-Bullet"/>
        <w:numPr>
          <w:ilvl w:val="0"/>
          <w:numId w:val="105"/>
        </w:numPr>
        <w:spacing w:line="276" w:lineRule="auto"/>
        <w:jc w:val="both"/>
        <w:rPr>
          <w:rStyle w:val="Heading4Char"/>
          <w:rFonts w:eastAsiaTheme="minorHAnsi" w:cs="Arial"/>
          <w:b w:val="0"/>
          <w:color w:val="auto"/>
          <w:szCs w:val="18"/>
        </w:rPr>
      </w:pPr>
      <w:r w:rsidRPr="00D87C52">
        <w:rPr>
          <w:rStyle w:val="Heading4Char"/>
          <w:rFonts w:eastAsiaTheme="minorHAnsi" w:cs="Arial"/>
          <w:b w:val="0"/>
          <w:color w:val="auto"/>
          <w:szCs w:val="18"/>
        </w:rPr>
        <w:t xml:space="preserve">promovimi </w:t>
      </w:r>
      <w:r w:rsidRPr="00D87C52">
        <w:rPr>
          <w:rStyle w:val="rynqvb"/>
          <w:lang w:val="sq-AL"/>
        </w:rPr>
        <w:t xml:space="preserve">i zhvillimit të qëndrueshëm vendor nëpërmjet zbatimit efikas të funksioneve brenda një kuadri ligjor të qartë dhe të harmonizuar, </w:t>
      </w:r>
      <w:r>
        <w:rPr>
          <w:rStyle w:val="rynqvb"/>
          <w:lang w:val="sq-AL"/>
        </w:rPr>
        <w:t>sigurimit t</w:t>
      </w:r>
      <w:r w:rsidR="00197932">
        <w:rPr>
          <w:rStyle w:val="rynqvb"/>
          <w:lang w:val="sq-AL"/>
        </w:rPr>
        <w:t>ë</w:t>
      </w:r>
      <w:r w:rsidRPr="00D87C52">
        <w:rPr>
          <w:rStyle w:val="rynqvb"/>
          <w:lang w:val="sq-AL"/>
        </w:rPr>
        <w:t xml:space="preserve"> zhvillim</w:t>
      </w:r>
      <w:r>
        <w:rPr>
          <w:rStyle w:val="rynqvb"/>
          <w:lang w:val="sq-AL"/>
        </w:rPr>
        <w:t>it</w:t>
      </w:r>
      <w:r w:rsidRPr="00D87C52">
        <w:rPr>
          <w:rStyle w:val="rynqvb"/>
          <w:lang w:val="sq-AL"/>
        </w:rPr>
        <w:t xml:space="preserve"> të qëndrueshëm ekonomik </w:t>
      </w:r>
      <w:r>
        <w:rPr>
          <w:rStyle w:val="rynqvb"/>
          <w:lang w:val="sq-AL"/>
        </w:rPr>
        <w:t xml:space="preserve">vendor </w:t>
      </w:r>
      <w:r w:rsidRPr="00D87C52">
        <w:rPr>
          <w:rStyle w:val="rynqvb"/>
          <w:lang w:val="sq-AL"/>
        </w:rPr>
        <w:t xml:space="preserve">dhe duke </w:t>
      </w:r>
      <w:r>
        <w:rPr>
          <w:rStyle w:val="rynqvb"/>
          <w:lang w:val="sq-AL"/>
        </w:rPr>
        <w:t>ngritur</w:t>
      </w:r>
      <w:r w:rsidRPr="00D87C52">
        <w:rPr>
          <w:rStyle w:val="rynqvb"/>
          <w:lang w:val="sq-AL"/>
        </w:rPr>
        <w:t xml:space="preserve"> </w:t>
      </w:r>
      <w:r>
        <w:rPr>
          <w:rStyle w:val="rynqvb"/>
          <w:lang w:val="sq-AL"/>
        </w:rPr>
        <w:t>dhe</w:t>
      </w:r>
      <w:r w:rsidRPr="00D87C52">
        <w:rPr>
          <w:rStyle w:val="rynqvb"/>
          <w:lang w:val="sq-AL"/>
        </w:rPr>
        <w:t xml:space="preserve"> përditësuar standardet minimale kombëtare për shërbimet vendore;</w:t>
      </w:r>
      <w:r w:rsidRPr="00D87C52">
        <w:rPr>
          <w:rStyle w:val="hwtze"/>
          <w:lang w:val="sq-AL"/>
        </w:rPr>
        <w:t xml:space="preserve"> </w:t>
      </w:r>
      <w:r w:rsidRPr="00D87C52">
        <w:rPr>
          <w:rStyle w:val="rynqvb"/>
          <w:lang w:val="sq-AL"/>
        </w:rPr>
        <w:t>dhe</w:t>
      </w:r>
    </w:p>
    <w:p w14:paraId="258D04AF" w14:textId="00E4EE41" w:rsidR="00EC43EB" w:rsidRPr="00D87C52" w:rsidRDefault="00D87C52" w:rsidP="00CD7428">
      <w:pPr>
        <w:pStyle w:val="N-Bullet"/>
        <w:numPr>
          <w:ilvl w:val="0"/>
          <w:numId w:val="105"/>
        </w:numPr>
        <w:spacing w:line="276" w:lineRule="auto"/>
        <w:jc w:val="both"/>
        <w:rPr>
          <w:iCs/>
          <w:lang w:val="en-GB"/>
        </w:rPr>
      </w:pPr>
      <w:r w:rsidRPr="00D87C52">
        <w:rPr>
          <w:rStyle w:val="Heading4Char"/>
          <w:rFonts w:eastAsiaTheme="minorHAnsi" w:cs="Arial"/>
          <w:b w:val="0"/>
          <w:color w:val="auto"/>
          <w:szCs w:val="18"/>
        </w:rPr>
        <w:t>Forcimi i qeverisjes s</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mir</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n</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nivelin vendor</w:t>
      </w:r>
      <w:r w:rsidR="00EC43EB" w:rsidRPr="00D87C52">
        <w:rPr>
          <w:rStyle w:val="Heading4Char"/>
          <w:rFonts w:eastAsiaTheme="minorHAnsi" w:cs="Arial"/>
          <w:b w:val="0"/>
          <w:color w:val="auto"/>
          <w:szCs w:val="18"/>
        </w:rPr>
        <w:t xml:space="preserve">, </w:t>
      </w:r>
      <w:r w:rsidRPr="00D87C52">
        <w:rPr>
          <w:rStyle w:val="Heading4Char"/>
          <w:rFonts w:eastAsiaTheme="minorHAnsi" w:cs="Arial"/>
          <w:b w:val="0"/>
          <w:color w:val="auto"/>
          <w:szCs w:val="18"/>
        </w:rPr>
        <w:t>sigurimi i qeverisjes s</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hapur</w:t>
      </w:r>
      <w:r w:rsidR="00EC43EB" w:rsidRPr="00D87C52">
        <w:rPr>
          <w:rStyle w:val="Heading4Char"/>
          <w:rFonts w:eastAsiaTheme="minorHAnsi" w:cs="Arial"/>
          <w:b w:val="0"/>
          <w:color w:val="auto"/>
          <w:szCs w:val="18"/>
        </w:rPr>
        <w:t>, transparenc</w:t>
      </w:r>
      <w:r w:rsidRPr="00D87C52">
        <w:rPr>
          <w:rStyle w:val="Heading4Char"/>
          <w:rFonts w:eastAsiaTheme="minorHAnsi" w:cs="Arial"/>
          <w:b w:val="0"/>
          <w:color w:val="auto"/>
          <w:szCs w:val="18"/>
        </w:rPr>
        <w:t>a</w:t>
      </w:r>
      <w:r w:rsidR="00EC43EB" w:rsidRPr="00D87C52">
        <w:rPr>
          <w:rStyle w:val="Heading4Char"/>
          <w:rFonts w:eastAsiaTheme="minorHAnsi" w:cs="Arial"/>
          <w:b w:val="0"/>
          <w:color w:val="auto"/>
          <w:szCs w:val="18"/>
        </w:rPr>
        <w:t xml:space="preserve">, </w:t>
      </w:r>
      <w:r w:rsidRPr="00D87C52">
        <w:rPr>
          <w:rStyle w:val="Heading4Char"/>
          <w:rFonts w:eastAsiaTheme="minorHAnsi" w:cs="Arial"/>
          <w:b w:val="0"/>
          <w:color w:val="auto"/>
          <w:szCs w:val="18"/>
        </w:rPr>
        <w:t>p</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rgjegjshm</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ria dhe shtrirja m</w:t>
      </w:r>
      <w:r w:rsidR="00197932">
        <w:rPr>
          <w:rStyle w:val="Heading4Char"/>
          <w:rFonts w:eastAsiaTheme="minorHAnsi" w:cs="Arial"/>
          <w:b w:val="0"/>
          <w:color w:val="auto"/>
          <w:szCs w:val="18"/>
        </w:rPr>
        <w:t>ë</w:t>
      </w:r>
      <w:r w:rsidRPr="00D87C52">
        <w:rPr>
          <w:rStyle w:val="Heading4Char"/>
          <w:rFonts w:eastAsiaTheme="minorHAnsi" w:cs="Arial"/>
          <w:b w:val="0"/>
          <w:color w:val="auto"/>
          <w:szCs w:val="18"/>
        </w:rPr>
        <w:t xml:space="preserve"> e madhe e e-qeverisjes</w:t>
      </w:r>
      <w:r w:rsidR="00EC43EB" w:rsidRPr="00D87C52">
        <w:rPr>
          <w:iCs/>
          <w:lang w:val="en-GB"/>
        </w:rPr>
        <w:t>.</w:t>
      </w:r>
    </w:p>
    <w:p w14:paraId="19B59B0D" w14:textId="5A4F4F30" w:rsidR="002B7C79" w:rsidRPr="00D87C52" w:rsidRDefault="00D87C52" w:rsidP="002E6AB5">
      <w:pPr>
        <w:spacing w:before="120" w:after="120" w:line="276" w:lineRule="auto"/>
        <w:jc w:val="both"/>
        <w:rPr>
          <w:iCs/>
          <w:lang w:val="en-GB"/>
        </w:rPr>
      </w:pPr>
      <w:r w:rsidRPr="00D87C52">
        <w:rPr>
          <w:iCs/>
          <w:lang w:val="en-GB"/>
        </w:rPr>
        <w:t>Shtylla e dyt</w:t>
      </w:r>
      <w:r w:rsidR="00197932">
        <w:rPr>
          <w:iCs/>
          <w:lang w:val="en-GB"/>
        </w:rPr>
        <w:t>ë</w:t>
      </w:r>
      <w:r w:rsidRPr="00D87C52">
        <w:rPr>
          <w:iCs/>
          <w:lang w:val="en-GB"/>
        </w:rPr>
        <w:t xml:space="preserve"> dhe e kat</w:t>
      </w:r>
      <w:r w:rsidR="00197932">
        <w:rPr>
          <w:iCs/>
          <w:lang w:val="en-GB"/>
        </w:rPr>
        <w:t>ë</w:t>
      </w:r>
      <w:r w:rsidRPr="00D87C52">
        <w:rPr>
          <w:iCs/>
          <w:lang w:val="en-GB"/>
        </w:rPr>
        <w:t>rt e strategjis</w:t>
      </w:r>
      <w:r w:rsidR="00197932">
        <w:rPr>
          <w:iCs/>
          <w:lang w:val="en-GB"/>
        </w:rPr>
        <w:t>ë</w:t>
      </w:r>
      <w:r w:rsidRPr="00D87C52">
        <w:rPr>
          <w:iCs/>
          <w:lang w:val="en-GB"/>
        </w:rPr>
        <w:t xml:space="preserve"> jan</w:t>
      </w:r>
      <w:r w:rsidR="00197932">
        <w:rPr>
          <w:iCs/>
          <w:lang w:val="en-GB"/>
        </w:rPr>
        <w:t>ë</w:t>
      </w:r>
      <w:r w:rsidRPr="00D87C52">
        <w:rPr>
          <w:iCs/>
          <w:lang w:val="en-GB"/>
        </w:rPr>
        <w:t xml:space="preserve"> t</w:t>
      </w:r>
      <w:r w:rsidR="00197932">
        <w:rPr>
          <w:iCs/>
          <w:lang w:val="en-GB"/>
        </w:rPr>
        <w:t>ë</w:t>
      </w:r>
      <w:r w:rsidRPr="00D87C52">
        <w:rPr>
          <w:iCs/>
          <w:lang w:val="en-GB"/>
        </w:rPr>
        <w:t xml:space="preserve"> r</w:t>
      </w:r>
      <w:r w:rsidR="00197932">
        <w:rPr>
          <w:iCs/>
          <w:lang w:val="en-GB"/>
        </w:rPr>
        <w:t>ë</w:t>
      </w:r>
      <w:r w:rsidRPr="00D87C52">
        <w:rPr>
          <w:iCs/>
          <w:lang w:val="en-GB"/>
        </w:rPr>
        <w:t>nd</w:t>
      </w:r>
      <w:r w:rsidR="00197932">
        <w:rPr>
          <w:iCs/>
          <w:lang w:val="en-GB"/>
        </w:rPr>
        <w:t>ë</w:t>
      </w:r>
      <w:r w:rsidRPr="00D87C52">
        <w:rPr>
          <w:iCs/>
          <w:lang w:val="en-GB"/>
        </w:rPr>
        <w:t>sishme p</w:t>
      </w:r>
      <w:r w:rsidR="00197932">
        <w:rPr>
          <w:iCs/>
          <w:lang w:val="en-GB"/>
        </w:rPr>
        <w:t>ë</w:t>
      </w:r>
      <w:r w:rsidRPr="00D87C52">
        <w:rPr>
          <w:iCs/>
          <w:lang w:val="en-GB"/>
        </w:rPr>
        <w:t>r MFP-n</w:t>
      </w:r>
      <w:r w:rsidR="00197932">
        <w:rPr>
          <w:iCs/>
          <w:lang w:val="en-GB"/>
        </w:rPr>
        <w:t>ë</w:t>
      </w:r>
      <w:r w:rsidR="002B7C79" w:rsidRPr="00D87C52">
        <w:rPr>
          <w:iCs/>
          <w:lang w:val="en-GB"/>
        </w:rPr>
        <w:t>.</w:t>
      </w:r>
    </w:p>
    <w:p w14:paraId="636BBDF3" w14:textId="77777777" w:rsidR="005901C8" w:rsidRPr="00864AB7" w:rsidRDefault="005901C8" w:rsidP="002E6AB5">
      <w:pPr>
        <w:spacing w:line="276" w:lineRule="auto"/>
        <w:jc w:val="both"/>
        <w:rPr>
          <w:highlight w:val="yellow"/>
          <w:lang w:val="en-GB"/>
        </w:rPr>
      </w:pPr>
    </w:p>
    <w:p w14:paraId="52199F34" w14:textId="34A0F1AB" w:rsidR="00EC43EB" w:rsidRPr="009D660E" w:rsidRDefault="00E6429D" w:rsidP="002E6AB5">
      <w:pPr>
        <w:pStyle w:val="N-Bullet"/>
        <w:numPr>
          <w:ilvl w:val="0"/>
          <w:numId w:val="0"/>
        </w:numPr>
        <w:spacing w:line="276" w:lineRule="auto"/>
        <w:jc w:val="both"/>
        <w:rPr>
          <w:lang w:val="it-IT"/>
        </w:rPr>
      </w:pPr>
      <w:r w:rsidRPr="009D660E">
        <w:rPr>
          <w:b/>
          <w:bCs/>
          <w:lang w:val="it-IT"/>
        </w:rPr>
        <w:t>Strategjia Nd</w:t>
      </w:r>
      <w:r w:rsidR="005A69A2" w:rsidRPr="009D660E">
        <w:rPr>
          <w:b/>
          <w:bCs/>
          <w:lang w:val="it-IT"/>
        </w:rPr>
        <w:t>ë</w:t>
      </w:r>
      <w:r w:rsidRPr="009D660E">
        <w:rPr>
          <w:b/>
          <w:bCs/>
          <w:lang w:val="it-IT"/>
        </w:rPr>
        <w:t>rsektoriale kund</w:t>
      </w:r>
      <w:r w:rsidR="005A69A2" w:rsidRPr="009D660E">
        <w:rPr>
          <w:b/>
          <w:bCs/>
          <w:lang w:val="it-IT"/>
        </w:rPr>
        <w:t>ë</w:t>
      </w:r>
      <w:r w:rsidRPr="009D660E">
        <w:rPr>
          <w:b/>
          <w:bCs/>
          <w:lang w:val="it-IT"/>
        </w:rPr>
        <w:t>r Korrupsionit</w:t>
      </w:r>
      <w:r w:rsidR="00EC43EB" w:rsidRPr="009D660E">
        <w:rPr>
          <w:b/>
          <w:bCs/>
          <w:lang w:val="it-IT"/>
        </w:rPr>
        <w:t xml:space="preserve"> 2024-2030</w:t>
      </w:r>
      <w:r w:rsidR="00EC43EB" w:rsidRPr="009D660E">
        <w:rPr>
          <w:lang w:val="it-IT"/>
        </w:rPr>
        <w:t xml:space="preserve"> </w:t>
      </w:r>
    </w:p>
    <w:p w14:paraId="5043BF95" w14:textId="77777777" w:rsidR="00EC43EB" w:rsidRPr="009D660E" w:rsidRDefault="00EC43EB" w:rsidP="002E6AB5">
      <w:pPr>
        <w:spacing w:line="276" w:lineRule="auto"/>
        <w:jc w:val="both"/>
        <w:rPr>
          <w:highlight w:val="yellow"/>
          <w:lang w:val="it-IT"/>
        </w:rPr>
      </w:pPr>
    </w:p>
    <w:p w14:paraId="6D7C7F4B" w14:textId="29BE28B8" w:rsidR="00014B8E" w:rsidRPr="009D660E" w:rsidRDefault="00E6429D" w:rsidP="002E6AB5">
      <w:pPr>
        <w:spacing w:line="276" w:lineRule="auto"/>
        <w:jc w:val="both"/>
        <w:rPr>
          <w:lang w:val="it-IT"/>
        </w:rPr>
      </w:pPr>
      <w:r w:rsidRPr="009D660E">
        <w:rPr>
          <w:b/>
          <w:bCs/>
          <w:lang w:val="it-IT"/>
        </w:rPr>
        <w:t>Programi i Reformave Ekonomike</w:t>
      </w:r>
      <w:r w:rsidR="009D2A31" w:rsidRPr="009D660E">
        <w:rPr>
          <w:b/>
          <w:bCs/>
          <w:lang w:val="it-IT"/>
        </w:rPr>
        <w:t xml:space="preserve"> </w:t>
      </w:r>
    </w:p>
    <w:p w14:paraId="47D90335" w14:textId="5E5E1531" w:rsidR="00E6429D" w:rsidRPr="009D660E" w:rsidRDefault="00E6429D" w:rsidP="002E6AB5">
      <w:pPr>
        <w:spacing w:line="276" w:lineRule="auto"/>
        <w:jc w:val="both"/>
        <w:rPr>
          <w:iCs/>
          <w:lang w:val="sq-AL"/>
        </w:rPr>
      </w:pPr>
      <w:r w:rsidRPr="009D660E">
        <w:rPr>
          <w:iCs/>
          <w:lang w:val="it-IT"/>
        </w:rPr>
        <w:t xml:space="preserve">Programi i Reformave Ekonomike </w:t>
      </w:r>
      <w:r w:rsidR="00FA5C48" w:rsidRPr="00FA5C48">
        <w:rPr>
          <w:bCs/>
          <w:lang w:val="it-IT"/>
        </w:rPr>
        <w:t>2023-2025</w:t>
      </w:r>
      <w:r w:rsidR="00FA5C48" w:rsidRPr="00FA5C48">
        <w:rPr>
          <w:rStyle w:val="FootnoteReference"/>
          <w:bCs/>
          <w:lang w:val="en-GB"/>
        </w:rPr>
        <w:footnoteReference w:id="2"/>
      </w:r>
      <w:r w:rsidRPr="009D660E">
        <w:rPr>
          <w:iCs/>
          <w:lang w:val="it-IT"/>
        </w:rPr>
        <w:t xml:space="preserve"> </w:t>
      </w:r>
      <w:r w:rsidRPr="00E6429D">
        <w:rPr>
          <w:rStyle w:val="rynqvb"/>
          <w:lang w:val="sq-AL"/>
        </w:rPr>
        <w:t>përshkruan politikat kryesore makroekonomike dhe fiskale që synojnë të vendosin ekuilibrin e qartë midis fuqive të brendshme dhe kërcënimeve të jashtme, me synimin për të mundësuar rritje të qëndrueshme, rritje të punësimit dhe ulje të borxhit publik.</w:t>
      </w:r>
      <w:r w:rsidRPr="00E6429D">
        <w:rPr>
          <w:rStyle w:val="hwtze"/>
          <w:lang w:val="sq-AL"/>
        </w:rPr>
        <w:t xml:space="preserve"> </w:t>
      </w:r>
      <w:r w:rsidRPr="00E6429D">
        <w:rPr>
          <w:rStyle w:val="rynqvb"/>
          <w:lang w:val="sq-AL"/>
        </w:rPr>
        <w:t xml:space="preserve">Për më tepër, </w:t>
      </w:r>
      <w:r w:rsidR="00B423F0">
        <w:rPr>
          <w:rStyle w:val="rynqvb"/>
          <w:lang w:val="sq-AL"/>
        </w:rPr>
        <w:t>PRE</w:t>
      </w:r>
      <w:r w:rsidRPr="00E6429D">
        <w:rPr>
          <w:rStyle w:val="rynqvb"/>
          <w:lang w:val="sq-AL"/>
        </w:rPr>
        <w:t xml:space="preserve"> përmbledh reformat strukturore prioritare që Shqipëria po zbaton për të ardhmen afatshkurtër me synimin për të rritur prodhimin vendas, për të stimuluar investime të reja dhe për të siguruar rritje dhe konkurrencë të qëndrueshme dhe gjithëpërfshirëse.</w:t>
      </w:r>
      <w:r w:rsidRPr="00E6429D">
        <w:rPr>
          <w:rStyle w:val="hwtze"/>
          <w:lang w:val="sq-AL"/>
        </w:rPr>
        <w:t xml:space="preserve"> </w:t>
      </w:r>
      <w:r w:rsidRPr="00E6429D">
        <w:rPr>
          <w:rStyle w:val="rynqvb"/>
          <w:lang w:val="sq-AL"/>
        </w:rPr>
        <w:t>Konsolidimi fiskal vazhdon të jetë objektivi kryesor i politikës fiskale për të garantuar stabilitetin makroekonomik...”</w:t>
      </w:r>
    </w:p>
    <w:p w14:paraId="51F50700" w14:textId="77777777" w:rsidR="009D2A31" w:rsidRPr="009D660E" w:rsidRDefault="009D2A31" w:rsidP="002E6AB5">
      <w:pPr>
        <w:spacing w:line="276" w:lineRule="auto"/>
        <w:jc w:val="both"/>
        <w:rPr>
          <w:iCs/>
          <w:highlight w:val="yellow"/>
          <w:lang w:val="sq-AL"/>
        </w:rPr>
      </w:pPr>
    </w:p>
    <w:p w14:paraId="1A865C32" w14:textId="53F3E447" w:rsidR="009D2A31" w:rsidRPr="009D660E" w:rsidRDefault="00E6429D" w:rsidP="002E6AB5">
      <w:pPr>
        <w:spacing w:line="276" w:lineRule="auto"/>
        <w:jc w:val="both"/>
        <w:rPr>
          <w:iCs/>
          <w:lang w:val="sq-AL"/>
        </w:rPr>
      </w:pPr>
      <w:r w:rsidRPr="009D660E">
        <w:rPr>
          <w:iCs/>
          <w:lang w:val="sq-AL"/>
        </w:rPr>
        <w:t>PRE-ja paraqet udh</w:t>
      </w:r>
      <w:r w:rsidR="00197932" w:rsidRPr="009D660E">
        <w:rPr>
          <w:iCs/>
          <w:lang w:val="sq-AL"/>
        </w:rPr>
        <w:t>ë</w:t>
      </w:r>
      <w:r w:rsidRPr="009D660E">
        <w:rPr>
          <w:iCs/>
          <w:lang w:val="sq-AL"/>
        </w:rPr>
        <w:t>z</w:t>
      </w:r>
      <w:r w:rsidR="00E04534" w:rsidRPr="009D660E">
        <w:rPr>
          <w:iCs/>
          <w:lang w:val="sq-AL"/>
        </w:rPr>
        <w:t>imet</w:t>
      </w:r>
      <w:r w:rsidRPr="009D660E">
        <w:rPr>
          <w:iCs/>
          <w:lang w:val="sq-AL"/>
        </w:rPr>
        <w:t xml:space="preserve"> e politikave t</w:t>
      </w:r>
      <w:r w:rsidR="00197932" w:rsidRPr="009D660E">
        <w:rPr>
          <w:iCs/>
          <w:lang w:val="sq-AL"/>
        </w:rPr>
        <w:t>ë</w:t>
      </w:r>
      <w:r w:rsidRPr="009D660E">
        <w:rPr>
          <w:iCs/>
          <w:lang w:val="sq-AL"/>
        </w:rPr>
        <w:t xml:space="preserve"> m</w:t>
      </w:r>
      <w:r w:rsidR="00197932" w:rsidRPr="009D660E">
        <w:rPr>
          <w:iCs/>
          <w:lang w:val="sq-AL"/>
        </w:rPr>
        <w:t>ë</w:t>
      </w:r>
      <w:r w:rsidRPr="009D660E">
        <w:rPr>
          <w:iCs/>
          <w:lang w:val="sq-AL"/>
        </w:rPr>
        <w:t>poshtme n</w:t>
      </w:r>
      <w:r w:rsidR="00197932" w:rsidRPr="009D660E">
        <w:rPr>
          <w:iCs/>
          <w:lang w:val="sq-AL"/>
        </w:rPr>
        <w:t>ë</w:t>
      </w:r>
      <w:r w:rsidRPr="009D660E">
        <w:rPr>
          <w:iCs/>
          <w:lang w:val="sq-AL"/>
        </w:rPr>
        <w:t xml:space="preserve"> lidhje me MFP-n</w:t>
      </w:r>
      <w:r w:rsidR="00197932" w:rsidRPr="009D660E">
        <w:rPr>
          <w:iCs/>
          <w:lang w:val="sq-AL"/>
        </w:rPr>
        <w:t>ë</w:t>
      </w:r>
      <w:r w:rsidR="009D2A31" w:rsidRPr="009D660E">
        <w:rPr>
          <w:iCs/>
          <w:lang w:val="sq-AL"/>
        </w:rPr>
        <w:t>:</w:t>
      </w:r>
    </w:p>
    <w:p w14:paraId="2F8B98B2" w14:textId="2207160F" w:rsidR="009D2A31" w:rsidRPr="009D660E" w:rsidRDefault="00E04534" w:rsidP="002E6AB5">
      <w:pPr>
        <w:pStyle w:val="N-Bullet"/>
        <w:spacing w:line="276" w:lineRule="auto"/>
        <w:jc w:val="both"/>
        <w:rPr>
          <w:rStyle w:val="Heading4Char"/>
          <w:rFonts w:eastAsiaTheme="minorHAnsi" w:cs="Arial"/>
          <w:b w:val="0"/>
          <w:bCs w:val="0"/>
          <w:iCs w:val="0"/>
          <w:color w:val="auto"/>
          <w:szCs w:val="18"/>
          <w:lang w:val="sq-AL"/>
        </w:rPr>
      </w:pPr>
      <w:r w:rsidRPr="009D660E">
        <w:rPr>
          <w:rStyle w:val="Heading4Char"/>
          <w:rFonts w:eastAsiaTheme="minorHAnsi" w:cs="Arial"/>
          <w:b w:val="0"/>
          <w:bCs w:val="0"/>
          <w:iCs w:val="0"/>
          <w:color w:val="auto"/>
          <w:szCs w:val="18"/>
          <w:lang w:val="sq-AL"/>
        </w:rPr>
        <w:t>UP</w:t>
      </w:r>
      <w:r w:rsidR="009D2A31" w:rsidRPr="009D660E">
        <w:rPr>
          <w:rStyle w:val="Heading4Char"/>
          <w:rFonts w:eastAsiaTheme="minorHAnsi" w:cs="Arial"/>
          <w:b w:val="0"/>
          <w:bCs w:val="0"/>
          <w:iCs w:val="0"/>
          <w:color w:val="auto"/>
          <w:szCs w:val="18"/>
          <w:lang w:val="sq-AL"/>
        </w:rPr>
        <w:t xml:space="preserve"> 1.2 </w:t>
      </w:r>
      <w:r w:rsidRPr="009D660E">
        <w:rPr>
          <w:rStyle w:val="Heading4Char"/>
          <w:rFonts w:eastAsiaTheme="minorHAnsi" w:cs="Arial"/>
          <w:b w:val="0"/>
          <w:color w:val="auto"/>
          <w:szCs w:val="18"/>
          <w:lang w:val="sq-AL"/>
        </w:rPr>
        <w:t xml:space="preserve">Kufizoni rishikimet e buxhetit në procesin e rregullt të rishikimit të përcaktuar në Ligjin për Buxhetin dhe përdorni procesin e rregullt legjislativ nëse bëhet </w:t>
      </w:r>
      <w:r w:rsidR="005A69A2" w:rsidRPr="009D660E">
        <w:rPr>
          <w:rStyle w:val="Heading4Char"/>
          <w:rFonts w:eastAsiaTheme="minorHAnsi" w:cs="Arial"/>
          <w:b w:val="0"/>
          <w:color w:val="auto"/>
          <w:szCs w:val="18"/>
          <w:lang w:val="sq-AL"/>
        </w:rPr>
        <w:t>i</w:t>
      </w:r>
      <w:r w:rsidRPr="009D660E">
        <w:rPr>
          <w:rStyle w:val="Heading4Char"/>
          <w:rFonts w:eastAsiaTheme="minorHAnsi" w:cs="Arial"/>
          <w:b w:val="0"/>
          <w:color w:val="auto"/>
          <w:szCs w:val="18"/>
          <w:lang w:val="sq-AL"/>
        </w:rPr>
        <w:t xml:space="preserve"> nevojshëm një ndryshim i Ligjit për Buxhetin</w:t>
      </w:r>
    </w:p>
    <w:p w14:paraId="196DB6CA" w14:textId="674C323F" w:rsidR="009D2A31" w:rsidRPr="009D660E" w:rsidRDefault="00E04534" w:rsidP="002E6AB5">
      <w:pPr>
        <w:pStyle w:val="N-Bullet"/>
        <w:spacing w:line="276" w:lineRule="auto"/>
        <w:jc w:val="both"/>
        <w:rPr>
          <w:rStyle w:val="Heading4Char"/>
          <w:rFonts w:eastAsiaTheme="minorHAnsi" w:cs="Arial"/>
          <w:b w:val="0"/>
          <w:bCs w:val="0"/>
          <w:iCs w:val="0"/>
          <w:color w:val="auto"/>
          <w:szCs w:val="18"/>
          <w:lang w:val="sq-AL"/>
        </w:rPr>
      </w:pPr>
      <w:r w:rsidRPr="009D660E">
        <w:rPr>
          <w:rStyle w:val="Heading4Char"/>
          <w:rFonts w:eastAsiaTheme="minorHAnsi" w:cs="Arial"/>
          <w:b w:val="0"/>
          <w:bCs w:val="0"/>
          <w:iCs w:val="0"/>
          <w:color w:val="auto"/>
          <w:szCs w:val="18"/>
          <w:lang w:val="sq-AL"/>
        </w:rPr>
        <w:t>UP</w:t>
      </w:r>
      <w:r w:rsidR="009D2A31" w:rsidRPr="009D660E">
        <w:rPr>
          <w:rStyle w:val="Heading4Char"/>
          <w:rFonts w:eastAsiaTheme="minorHAnsi" w:cs="Arial"/>
          <w:b w:val="0"/>
          <w:bCs w:val="0"/>
          <w:iCs w:val="0"/>
          <w:color w:val="auto"/>
          <w:szCs w:val="18"/>
          <w:lang w:val="sq-AL"/>
        </w:rPr>
        <w:t xml:space="preserve"> 1.3 </w:t>
      </w:r>
      <w:r w:rsidRPr="009D660E">
        <w:rPr>
          <w:rStyle w:val="Heading4Char"/>
          <w:rFonts w:eastAsiaTheme="minorHAnsi" w:cs="Arial"/>
          <w:b w:val="0"/>
          <w:color w:val="auto"/>
          <w:szCs w:val="18"/>
          <w:lang w:val="sq-AL"/>
        </w:rPr>
        <w:t>Vlerësoni risqet fiskale nga ndërmarrjet shtetërore dhe hartoni propozimet për zbutjen e tyre</w:t>
      </w:r>
      <w:r w:rsidR="009D2A31" w:rsidRPr="009D660E">
        <w:rPr>
          <w:rStyle w:val="Heading4Char"/>
          <w:rFonts w:eastAsiaTheme="minorHAnsi" w:cs="Arial"/>
          <w:b w:val="0"/>
          <w:bCs w:val="0"/>
          <w:iCs w:val="0"/>
          <w:color w:val="auto"/>
          <w:szCs w:val="18"/>
          <w:lang w:val="sq-AL"/>
        </w:rPr>
        <w:t>.</w:t>
      </w:r>
    </w:p>
    <w:p w14:paraId="210A19DC" w14:textId="056C795C" w:rsidR="009D2A31" w:rsidRPr="009D660E" w:rsidRDefault="00E04534" w:rsidP="002E6AB5">
      <w:pPr>
        <w:pStyle w:val="N-Bullet"/>
        <w:spacing w:line="276" w:lineRule="auto"/>
        <w:jc w:val="both"/>
        <w:rPr>
          <w:rStyle w:val="Heading4Char"/>
          <w:rFonts w:eastAsiaTheme="minorHAnsi" w:cs="Arial"/>
          <w:b w:val="0"/>
          <w:color w:val="auto"/>
          <w:szCs w:val="18"/>
          <w:lang w:val="sq-AL"/>
        </w:rPr>
      </w:pPr>
      <w:r w:rsidRPr="009D660E">
        <w:rPr>
          <w:rStyle w:val="Heading4Char"/>
          <w:rFonts w:eastAsiaTheme="minorHAnsi" w:cs="Arial"/>
          <w:b w:val="0"/>
          <w:bCs w:val="0"/>
          <w:iCs w:val="0"/>
          <w:color w:val="auto"/>
          <w:szCs w:val="18"/>
          <w:lang w:val="sq-AL"/>
        </w:rPr>
        <w:t>UP</w:t>
      </w:r>
      <w:r w:rsidR="009D2A31" w:rsidRPr="009D660E">
        <w:rPr>
          <w:rStyle w:val="Heading4Char"/>
          <w:rFonts w:eastAsiaTheme="minorHAnsi" w:cs="Arial"/>
          <w:b w:val="0"/>
          <w:bCs w:val="0"/>
          <w:iCs w:val="0"/>
          <w:color w:val="auto"/>
          <w:szCs w:val="18"/>
          <w:lang w:val="sq-AL"/>
        </w:rPr>
        <w:t xml:space="preserve"> 2.1 </w:t>
      </w:r>
      <w:r w:rsidRPr="009D660E">
        <w:rPr>
          <w:rStyle w:val="Heading4Char"/>
          <w:rFonts w:eastAsiaTheme="minorHAnsi" w:cs="Arial"/>
          <w:b w:val="0"/>
          <w:color w:val="auto"/>
          <w:szCs w:val="18"/>
          <w:lang w:val="sq-AL"/>
        </w:rPr>
        <w:t>Zbatoni aktivitetet e përshkruara në masën e reformës 10 të PRE</w:t>
      </w:r>
      <w:r w:rsidR="005A69A2" w:rsidRPr="009D660E">
        <w:rPr>
          <w:rStyle w:val="Heading4Char"/>
          <w:rFonts w:eastAsiaTheme="minorHAnsi" w:cs="Arial"/>
          <w:b w:val="0"/>
          <w:color w:val="auto"/>
          <w:szCs w:val="18"/>
          <w:lang w:val="sq-AL"/>
        </w:rPr>
        <w:t>-së</w:t>
      </w:r>
      <w:r w:rsidRPr="009D660E">
        <w:rPr>
          <w:rStyle w:val="Heading4Char"/>
          <w:rFonts w:eastAsiaTheme="minorHAnsi" w:cs="Arial"/>
          <w:b w:val="0"/>
          <w:color w:val="auto"/>
          <w:szCs w:val="18"/>
          <w:lang w:val="sq-AL"/>
        </w:rPr>
        <w:t xml:space="preserve"> për Investimet Strategjike Publike dhe në strategjinë e MFP-së për të përmirësuar menaxhimin e investimeve publike duke përfshirë PPP.</w:t>
      </w:r>
    </w:p>
    <w:p w14:paraId="5AED71B8" w14:textId="77777777" w:rsidR="00E04534" w:rsidRPr="009D660E" w:rsidRDefault="00E04534" w:rsidP="001035B4">
      <w:pPr>
        <w:pStyle w:val="N-Bullet"/>
        <w:spacing w:line="276" w:lineRule="auto"/>
        <w:jc w:val="both"/>
        <w:rPr>
          <w:lang w:val="sq-AL"/>
        </w:rPr>
      </w:pPr>
      <w:r w:rsidRPr="009D660E">
        <w:rPr>
          <w:rStyle w:val="Heading4Char"/>
          <w:rFonts w:eastAsiaTheme="minorHAnsi" w:cs="Arial"/>
          <w:b w:val="0"/>
          <w:color w:val="auto"/>
          <w:szCs w:val="18"/>
          <w:lang w:val="sq-AL"/>
        </w:rPr>
        <w:t>UP</w:t>
      </w:r>
      <w:r w:rsidR="009D2A31" w:rsidRPr="009D660E">
        <w:rPr>
          <w:rStyle w:val="Heading4Char"/>
          <w:rFonts w:eastAsiaTheme="minorHAnsi" w:cs="Arial"/>
          <w:b w:val="0"/>
          <w:color w:val="auto"/>
          <w:szCs w:val="18"/>
          <w:lang w:val="sq-AL"/>
        </w:rPr>
        <w:t xml:space="preserve"> 2.2 </w:t>
      </w:r>
      <w:r w:rsidRPr="009D660E">
        <w:rPr>
          <w:rStyle w:val="Heading4Char"/>
          <w:rFonts w:eastAsiaTheme="minorHAnsi" w:cs="Arial"/>
          <w:b w:val="0"/>
          <w:bCs w:val="0"/>
          <w:color w:val="auto"/>
          <w:szCs w:val="18"/>
          <w:lang w:val="sq-AL"/>
        </w:rPr>
        <w:t>Miratoni strategjinë afatmesme të të ardhurave pas një konsultimi intensiv publik dhe plotësoni atë me një plan zbatimi të buxhetuar dhe operacional për të udhëhequr politikat tatimore në vitet e ardhshme</w:t>
      </w:r>
      <w:r w:rsidRPr="009D660E">
        <w:rPr>
          <w:lang w:val="sq-AL"/>
        </w:rPr>
        <w:t xml:space="preserve"> </w:t>
      </w:r>
    </w:p>
    <w:p w14:paraId="4EC5773C" w14:textId="337E19CA" w:rsidR="009D2A31" w:rsidRPr="009D660E" w:rsidRDefault="00E04534" w:rsidP="001035B4">
      <w:pPr>
        <w:pStyle w:val="N-Bullet"/>
        <w:spacing w:line="276" w:lineRule="auto"/>
        <w:jc w:val="both"/>
        <w:rPr>
          <w:rStyle w:val="Heading4Char"/>
          <w:rFonts w:eastAsiaTheme="minorHAnsi" w:cs="Arial"/>
          <w:b w:val="0"/>
          <w:bCs w:val="0"/>
          <w:iCs w:val="0"/>
          <w:color w:val="auto"/>
          <w:szCs w:val="18"/>
          <w:lang w:val="sq-AL"/>
        </w:rPr>
      </w:pPr>
      <w:r w:rsidRPr="009D660E">
        <w:rPr>
          <w:rStyle w:val="Heading4Char"/>
          <w:rFonts w:eastAsiaTheme="minorHAnsi" w:cs="Arial"/>
          <w:b w:val="0"/>
          <w:bCs w:val="0"/>
          <w:iCs w:val="0"/>
          <w:color w:val="auto"/>
          <w:szCs w:val="18"/>
          <w:lang w:val="sq-AL"/>
        </w:rPr>
        <w:t>UP</w:t>
      </w:r>
      <w:r w:rsidR="009D2A31" w:rsidRPr="009D660E">
        <w:rPr>
          <w:rStyle w:val="Heading4Char"/>
          <w:rFonts w:eastAsiaTheme="minorHAnsi" w:cs="Arial"/>
          <w:b w:val="0"/>
          <w:bCs w:val="0"/>
          <w:iCs w:val="0"/>
          <w:color w:val="auto"/>
          <w:szCs w:val="18"/>
          <w:lang w:val="sq-AL"/>
        </w:rPr>
        <w:t xml:space="preserve"> 4.3 </w:t>
      </w:r>
      <w:r w:rsidRPr="009D660E">
        <w:rPr>
          <w:rStyle w:val="Heading4Char"/>
          <w:rFonts w:eastAsiaTheme="minorHAnsi" w:cs="Arial"/>
          <w:b w:val="0"/>
          <w:bCs w:val="0"/>
          <w:color w:val="auto"/>
          <w:szCs w:val="18"/>
          <w:lang w:val="sq-AL"/>
        </w:rPr>
        <w:t>Hartoni një plan veprimi strategjik dhe të koordinuar për zbatimin e politikave kundër informalitetit, bazuar, por pa u kufizuar, në strategjinë afatmesme të të ardhurave</w:t>
      </w:r>
    </w:p>
    <w:p w14:paraId="087C1603" w14:textId="77777777" w:rsidR="009D2A31" w:rsidRPr="009D660E" w:rsidRDefault="009D2A31" w:rsidP="002E6AB5">
      <w:pPr>
        <w:spacing w:line="276" w:lineRule="auto"/>
        <w:jc w:val="both"/>
        <w:rPr>
          <w:rStyle w:val="IntenseReference"/>
          <w:rFonts w:eastAsiaTheme="majorEastAsia" w:cstheme="majorBidi"/>
          <w:szCs w:val="22"/>
          <w:highlight w:val="yellow"/>
          <w:lang w:val="sq-AL"/>
        </w:rPr>
      </w:pPr>
    </w:p>
    <w:p w14:paraId="1B652312" w14:textId="03A283C3" w:rsidR="009D2A31" w:rsidRPr="009D660E" w:rsidRDefault="00E04534" w:rsidP="002E6AB5">
      <w:pPr>
        <w:spacing w:line="276" w:lineRule="auto"/>
        <w:jc w:val="both"/>
        <w:rPr>
          <w:lang w:val="sq-AL"/>
        </w:rPr>
      </w:pPr>
      <w:r w:rsidRPr="009D660E">
        <w:rPr>
          <w:lang w:val="sq-AL"/>
        </w:rPr>
        <w:t>P</w:t>
      </w:r>
      <w:r w:rsidR="00197932" w:rsidRPr="009D660E">
        <w:rPr>
          <w:lang w:val="sq-AL"/>
        </w:rPr>
        <w:t>ë</w:t>
      </w:r>
      <w:r w:rsidRPr="009D660E">
        <w:rPr>
          <w:lang w:val="sq-AL"/>
        </w:rPr>
        <w:t>r m</w:t>
      </w:r>
      <w:r w:rsidR="00197932" w:rsidRPr="009D660E">
        <w:rPr>
          <w:lang w:val="sq-AL"/>
        </w:rPr>
        <w:t>ë</w:t>
      </w:r>
      <w:r w:rsidRPr="009D660E">
        <w:rPr>
          <w:lang w:val="sq-AL"/>
        </w:rPr>
        <w:t xml:space="preserve"> tep</w:t>
      </w:r>
      <w:r w:rsidR="00197932" w:rsidRPr="009D660E">
        <w:rPr>
          <w:lang w:val="sq-AL"/>
        </w:rPr>
        <w:t>ë</w:t>
      </w:r>
      <w:r w:rsidRPr="009D660E">
        <w:rPr>
          <w:lang w:val="sq-AL"/>
        </w:rPr>
        <w:t>r</w:t>
      </w:r>
      <w:r w:rsidR="009D2A31" w:rsidRPr="009D660E">
        <w:rPr>
          <w:lang w:val="sq-AL"/>
        </w:rPr>
        <w:t xml:space="preserve">, </w:t>
      </w:r>
      <w:r w:rsidRPr="009D660E">
        <w:rPr>
          <w:lang w:val="sq-AL"/>
        </w:rPr>
        <w:t>PRE-ja identifikon masat e m</w:t>
      </w:r>
      <w:r w:rsidR="00197932" w:rsidRPr="009D660E">
        <w:rPr>
          <w:lang w:val="sq-AL"/>
        </w:rPr>
        <w:t>ë</w:t>
      </w:r>
      <w:r w:rsidRPr="009D660E">
        <w:rPr>
          <w:lang w:val="sq-AL"/>
        </w:rPr>
        <w:t>poshtme t</w:t>
      </w:r>
      <w:r w:rsidR="00197932" w:rsidRPr="009D660E">
        <w:rPr>
          <w:lang w:val="sq-AL"/>
        </w:rPr>
        <w:t>ë</w:t>
      </w:r>
      <w:r w:rsidRPr="009D660E">
        <w:rPr>
          <w:lang w:val="sq-AL"/>
        </w:rPr>
        <w:t xml:space="preserve"> reform</w:t>
      </w:r>
      <w:r w:rsidR="00197932" w:rsidRPr="009D660E">
        <w:rPr>
          <w:lang w:val="sq-AL"/>
        </w:rPr>
        <w:t>ë</w:t>
      </w:r>
      <w:r w:rsidRPr="009D660E">
        <w:rPr>
          <w:lang w:val="sq-AL"/>
        </w:rPr>
        <w:t>s, t</w:t>
      </w:r>
      <w:r w:rsidR="00197932" w:rsidRPr="009D660E">
        <w:rPr>
          <w:lang w:val="sq-AL"/>
        </w:rPr>
        <w:t>ë</w:t>
      </w:r>
      <w:r w:rsidRPr="009D660E">
        <w:rPr>
          <w:lang w:val="sq-AL"/>
        </w:rPr>
        <w:t xml:space="preserve"> r</w:t>
      </w:r>
      <w:r w:rsidR="00197932" w:rsidRPr="009D660E">
        <w:rPr>
          <w:lang w:val="sq-AL"/>
        </w:rPr>
        <w:t>ë</w:t>
      </w:r>
      <w:r w:rsidRPr="009D660E">
        <w:rPr>
          <w:lang w:val="sq-AL"/>
        </w:rPr>
        <w:t>nd</w:t>
      </w:r>
      <w:r w:rsidR="00197932" w:rsidRPr="009D660E">
        <w:rPr>
          <w:lang w:val="sq-AL"/>
        </w:rPr>
        <w:t>ë</w:t>
      </w:r>
      <w:r w:rsidRPr="009D660E">
        <w:rPr>
          <w:lang w:val="sq-AL"/>
        </w:rPr>
        <w:t>sishme p</w:t>
      </w:r>
      <w:r w:rsidR="00197932" w:rsidRPr="009D660E">
        <w:rPr>
          <w:lang w:val="sq-AL"/>
        </w:rPr>
        <w:t>ë</w:t>
      </w:r>
      <w:r w:rsidRPr="009D660E">
        <w:rPr>
          <w:lang w:val="sq-AL"/>
        </w:rPr>
        <w:t>r MFP-n</w:t>
      </w:r>
      <w:r w:rsidR="00197932" w:rsidRPr="009D660E">
        <w:rPr>
          <w:lang w:val="sq-AL"/>
        </w:rPr>
        <w:t>ë</w:t>
      </w:r>
      <w:r w:rsidR="009D2A31" w:rsidRPr="009D660E">
        <w:rPr>
          <w:lang w:val="sq-AL"/>
        </w:rPr>
        <w:t>:</w:t>
      </w:r>
    </w:p>
    <w:p w14:paraId="11FF22F0" w14:textId="386AACA2" w:rsidR="009D2A31" w:rsidRPr="009D660E" w:rsidRDefault="00E04534" w:rsidP="002E6AB5">
      <w:pPr>
        <w:pStyle w:val="N-Bullet"/>
        <w:spacing w:line="276" w:lineRule="auto"/>
        <w:jc w:val="both"/>
        <w:rPr>
          <w:rStyle w:val="Heading4Char"/>
          <w:rFonts w:eastAsiaTheme="minorHAnsi" w:cs="Arial"/>
          <w:b w:val="0"/>
          <w:bCs w:val="0"/>
          <w:iCs w:val="0"/>
          <w:color w:val="auto"/>
          <w:szCs w:val="18"/>
          <w:lang w:val="sq-AL"/>
        </w:rPr>
      </w:pPr>
      <w:r w:rsidRPr="009D660E">
        <w:rPr>
          <w:rStyle w:val="Heading4Char"/>
          <w:rFonts w:eastAsiaTheme="minorHAnsi" w:cs="Arial"/>
          <w:b w:val="0"/>
          <w:bCs w:val="0"/>
          <w:iCs w:val="0"/>
          <w:color w:val="auto"/>
          <w:szCs w:val="18"/>
          <w:lang w:val="sq-AL"/>
        </w:rPr>
        <w:t>MR</w:t>
      </w:r>
      <w:r w:rsidR="009D2A31" w:rsidRPr="009D660E">
        <w:rPr>
          <w:rStyle w:val="Heading4Char"/>
          <w:rFonts w:eastAsiaTheme="minorHAnsi" w:cs="Arial"/>
          <w:b w:val="0"/>
          <w:bCs w:val="0"/>
          <w:iCs w:val="0"/>
          <w:color w:val="auto"/>
          <w:szCs w:val="18"/>
          <w:lang w:val="sq-AL"/>
        </w:rPr>
        <w:t xml:space="preserve"> 09: </w:t>
      </w:r>
      <w:r w:rsidRPr="009D660E">
        <w:rPr>
          <w:rStyle w:val="Heading4Char"/>
          <w:rFonts w:eastAsiaTheme="minorHAnsi" w:cs="Arial"/>
          <w:b w:val="0"/>
          <w:bCs w:val="0"/>
          <w:iCs w:val="0"/>
          <w:color w:val="auto"/>
          <w:szCs w:val="18"/>
          <w:lang w:val="sq-AL"/>
        </w:rPr>
        <w:t>Investimet Strategjike Publike</w:t>
      </w:r>
      <w:r w:rsidR="009D2A31" w:rsidRPr="009D660E">
        <w:rPr>
          <w:rStyle w:val="Heading4Char"/>
          <w:rFonts w:eastAsiaTheme="minorHAnsi" w:cs="Arial"/>
          <w:b w:val="0"/>
          <w:bCs w:val="0"/>
          <w:iCs w:val="0"/>
          <w:color w:val="auto"/>
          <w:szCs w:val="18"/>
          <w:lang w:val="sq-AL"/>
        </w:rPr>
        <w:t xml:space="preserve">: (a) </w:t>
      </w:r>
      <w:r w:rsidRPr="009D660E">
        <w:rPr>
          <w:rStyle w:val="Heading4Char"/>
          <w:rFonts w:eastAsiaTheme="minorHAnsi" w:cs="Arial"/>
          <w:b w:val="0"/>
          <w:bCs w:val="0"/>
          <w:iCs w:val="0"/>
          <w:color w:val="auto"/>
          <w:szCs w:val="18"/>
          <w:lang w:val="sq-AL"/>
        </w:rPr>
        <w:t>Zhvillimi i nj</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 xml:space="preserve"> procedure t</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 xml:space="preserve"> re t</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 xml:space="preserve"> MIP-s</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 xml:space="preserve"> duke p</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rfshir</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 xml:space="preserve"> PPP-t</w:t>
      </w:r>
      <w:r w:rsidR="00197932" w:rsidRPr="009D660E">
        <w:rPr>
          <w:rStyle w:val="Heading4Char"/>
          <w:rFonts w:eastAsiaTheme="minorHAnsi" w:cs="Arial"/>
          <w:b w:val="0"/>
          <w:bCs w:val="0"/>
          <w:iCs w:val="0"/>
          <w:color w:val="auto"/>
          <w:szCs w:val="18"/>
          <w:lang w:val="sq-AL"/>
        </w:rPr>
        <w:t>ë</w:t>
      </w:r>
      <w:r w:rsidR="009D2A31" w:rsidRPr="009D660E">
        <w:rPr>
          <w:rStyle w:val="Heading4Char"/>
          <w:rFonts w:eastAsiaTheme="minorHAnsi" w:cs="Arial"/>
          <w:b w:val="0"/>
          <w:bCs w:val="0"/>
          <w:iCs w:val="0"/>
          <w:color w:val="auto"/>
          <w:szCs w:val="18"/>
          <w:lang w:val="sq-AL"/>
        </w:rPr>
        <w:t xml:space="preserve">; (b) </w:t>
      </w:r>
      <w:r w:rsidRPr="009D660E">
        <w:rPr>
          <w:rStyle w:val="Heading4Char"/>
          <w:rFonts w:eastAsiaTheme="minorHAnsi" w:cs="Arial"/>
          <w:b w:val="0"/>
          <w:bCs w:val="0"/>
          <w:iCs w:val="0"/>
          <w:color w:val="auto"/>
          <w:szCs w:val="18"/>
          <w:lang w:val="sq-AL"/>
        </w:rPr>
        <w:t>Forcimi i kapaciteteve n</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 xml:space="preserve"> t</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 xml:space="preserve"> gjith</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 xml:space="preserve"> qeverin</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 xml:space="preserve"> p</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r t</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 xml:space="preserve"> vler</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suar projektet e investimeve publike; dhe</w:t>
      </w:r>
      <w:r w:rsidR="009D2A31" w:rsidRPr="009D660E">
        <w:rPr>
          <w:rStyle w:val="Heading4Char"/>
          <w:rFonts w:eastAsiaTheme="minorHAnsi" w:cs="Arial"/>
          <w:b w:val="0"/>
          <w:bCs w:val="0"/>
          <w:iCs w:val="0"/>
          <w:color w:val="auto"/>
          <w:szCs w:val="18"/>
          <w:lang w:val="sq-AL"/>
        </w:rPr>
        <w:t xml:space="preserve"> (c) </w:t>
      </w:r>
      <w:r w:rsidRPr="009D660E">
        <w:rPr>
          <w:rStyle w:val="Heading4Char"/>
          <w:rFonts w:eastAsiaTheme="minorHAnsi" w:cs="Arial"/>
          <w:b w:val="0"/>
          <w:bCs w:val="0"/>
          <w:iCs w:val="0"/>
          <w:color w:val="auto"/>
          <w:szCs w:val="18"/>
          <w:lang w:val="sq-AL"/>
        </w:rPr>
        <w:t>p</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rmir</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simi i monitorimit t</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 xml:space="preserve"> investimeve publike duke p</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rfshir</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 xml:space="preserve"> projektet PPP dhe koncesionet. </w:t>
      </w:r>
    </w:p>
    <w:p w14:paraId="03EC09EA" w14:textId="388158FD" w:rsidR="009D2A31" w:rsidRPr="009D660E" w:rsidRDefault="00E04534" w:rsidP="002E6AB5">
      <w:pPr>
        <w:pStyle w:val="N-Bullet"/>
        <w:spacing w:line="276" w:lineRule="auto"/>
        <w:jc w:val="both"/>
        <w:rPr>
          <w:rStyle w:val="Heading4Char"/>
          <w:rFonts w:eastAsiaTheme="minorHAnsi" w:cs="Arial"/>
          <w:b w:val="0"/>
          <w:bCs w:val="0"/>
          <w:iCs w:val="0"/>
          <w:color w:val="auto"/>
          <w:szCs w:val="18"/>
          <w:lang w:val="sq-AL"/>
        </w:rPr>
      </w:pPr>
      <w:r w:rsidRPr="009D660E">
        <w:rPr>
          <w:rStyle w:val="Heading4Char"/>
          <w:rFonts w:eastAsiaTheme="minorHAnsi" w:cs="Arial"/>
          <w:b w:val="0"/>
          <w:bCs w:val="0"/>
          <w:iCs w:val="0"/>
          <w:color w:val="auto"/>
          <w:szCs w:val="18"/>
          <w:lang w:val="sq-AL"/>
        </w:rPr>
        <w:t>MR</w:t>
      </w:r>
      <w:r w:rsidR="009D2A31" w:rsidRPr="009D660E">
        <w:rPr>
          <w:rStyle w:val="Heading4Char"/>
          <w:rFonts w:eastAsiaTheme="minorHAnsi" w:cs="Arial"/>
          <w:b w:val="0"/>
          <w:bCs w:val="0"/>
          <w:iCs w:val="0"/>
          <w:color w:val="auto"/>
          <w:szCs w:val="18"/>
          <w:lang w:val="sq-AL"/>
        </w:rPr>
        <w:t xml:space="preserve"> 10: </w:t>
      </w:r>
      <w:r w:rsidRPr="009D660E">
        <w:rPr>
          <w:rStyle w:val="Heading4Char"/>
          <w:rFonts w:eastAsiaTheme="minorHAnsi" w:cs="Arial"/>
          <w:b w:val="0"/>
          <w:bCs w:val="0"/>
          <w:iCs w:val="0"/>
          <w:color w:val="auto"/>
          <w:szCs w:val="18"/>
          <w:lang w:val="sq-AL"/>
        </w:rPr>
        <w:t>Masa e reform</w:t>
      </w:r>
      <w:r w:rsidR="00197932" w:rsidRPr="009D660E">
        <w:rPr>
          <w:rStyle w:val="Heading4Char"/>
          <w:rFonts w:eastAsiaTheme="minorHAnsi" w:cs="Arial"/>
          <w:b w:val="0"/>
          <w:bCs w:val="0"/>
          <w:iCs w:val="0"/>
          <w:color w:val="auto"/>
          <w:szCs w:val="18"/>
          <w:lang w:val="sq-AL"/>
        </w:rPr>
        <w:t>ë</w:t>
      </w:r>
      <w:r w:rsidRPr="009D660E">
        <w:rPr>
          <w:rStyle w:val="Heading4Char"/>
          <w:rFonts w:eastAsiaTheme="minorHAnsi" w:cs="Arial"/>
          <w:b w:val="0"/>
          <w:bCs w:val="0"/>
          <w:iCs w:val="0"/>
          <w:color w:val="auto"/>
          <w:szCs w:val="18"/>
          <w:lang w:val="sq-AL"/>
        </w:rPr>
        <w:t>s</w:t>
      </w:r>
      <w:r w:rsidR="009D2A31" w:rsidRPr="009D660E">
        <w:rPr>
          <w:rStyle w:val="Heading4Char"/>
          <w:rFonts w:eastAsiaTheme="minorHAnsi" w:cs="Arial"/>
          <w:b w:val="0"/>
          <w:bCs w:val="0"/>
          <w:iCs w:val="0"/>
          <w:color w:val="auto"/>
          <w:szCs w:val="18"/>
          <w:lang w:val="sq-AL"/>
        </w:rPr>
        <w:t xml:space="preserve"> 10: </w:t>
      </w:r>
      <w:r w:rsidR="003F5F5B" w:rsidRPr="009D660E">
        <w:rPr>
          <w:rStyle w:val="Heading4Char"/>
          <w:rFonts w:eastAsiaTheme="minorHAnsi" w:cs="Arial"/>
          <w:b w:val="0"/>
          <w:bCs w:val="0"/>
          <w:iCs w:val="0"/>
          <w:color w:val="auto"/>
          <w:szCs w:val="18"/>
          <w:lang w:val="sq-AL"/>
        </w:rPr>
        <w:t>Forcimi i p</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rgjegjshm</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ris</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 xml:space="preserve"> menaxheriale n</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 xml:space="preserve"> nj</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sit</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 xml:space="preserve"> e qeverisjes s</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 xml:space="preserve"> p</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rgjithshme</w:t>
      </w:r>
      <w:r w:rsidR="009D2A31" w:rsidRPr="009D660E">
        <w:rPr>
          <w:rStyle w:val="Heading4Char"/>
          <w:rFonts w:eastAsiaTheme="minorHAnsi" w:cs="Arial"/>
          <w:b w:val="0"/>
          <w:bCs w:val="0"/>
          <w:iCs w:val="0"/>
          <w:color w:val="auto"/>
          <w:szCs w:val="18"/>
          <w:lang w:val="sq-AL"/>
        </w:rPr>
        <w:t xml:space="preserve"> </w:t>
      </w:r>
      <w:r w:rsidR="003F5F5B" w:rsidRPr="009D660E">
        <w:rPr>
          <w:rStyle w:val="Heading4Char"/>
          <w:rFonts w:eastAsiaTheme="minorHAnsi" w:cs="Arial"/>
          <w:b w:val="0"/>
          <w:bCs w:val="0"/>
          <w:iCs w:val="0"/>
          <w:color w:val="auto"/>
          <w:szCs w:val="18"/>
          <w:lang w:val="sq-AL"/>
        </w:rPr>
        <w:t>n</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p</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rmjet p</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rmir</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simit t</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 xml:space="preserve"> kuadrit rregullator</w:t>
      </w:r>
      <w:r w:rsidR="009D2A31" w:rsidRPr="009D660E">
        <w:rPr>
          <w:rStyle w:val="Heading4Char"/>
          <w:rFonts w:eastAsiaTheme="minorHAnsi" w:cs="Arial"/>
          <w:b w:val="0"/>
          <w:bCs w:val="0"/>
          <w:iCs w:val="0"/>
          <w:color w:val="auto"/>
          <w:szCs w:val="18"/>
          <w:lang w:val="sq-AL"/>
        </w:rPr>
        <w:t xml:space="preserve">, </w:t>
      </w:r>
      <w:r w:rsidR="003F5F5B" w:rsidRPr="009D660E">
        <w:rPr>
          <w:rStyle w:val="Heading4Char"/>
          <w:rFonts w:eastAsiaTheme="minorHAnsi" w:cs="Arial"/>
          <w:b w:val="0"/>
          <w:bCs w:val="0"/>
          <w:iCs w:val="0"/>
          <w:color w:val="auto"/>
          <w:szCs w:val="18"/>
          <w:lang w:val="sq-AL"/>
        </w:rPr>
        <w:t>vler</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simit t</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 xml:space="preserve"> vazhduesh</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m t</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 xml:space="preserve"> sistemit t</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 xml:space="preserve"> kontrollit t</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 xml:space="preserve"> brendsh</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m</w:t>
      </w:r>
      <w:r w:rsidR="009D2A31" w:rsidRPr="009D660E">
        <w:rPr>
          <w:rStyle w:val="Heading4Char"/>
          <w:rFonts w:eastAsiaTheme="minorHAnsi" w:cs="Arial"/>
          <w:b w:val="0"/>
          <w:bCs w:val="0"/>
          <w:iCs w:val="0"/>
          <w:color w:val="auto"/>
          <w:szCs w:val="18"/>
          <w:lang w:val="sq-AL"/>
        </w:rPr>
        <w:t xml:space="preserve">, </w:t>
      </w:r>
      <w:r w:rsidR="003F5F5B" w:rsidRPr="009D660E">
        <w:rPr>
          <w:rStyle w:val="Heading4Char"/>
          <w:rFonts w:eastAsiaTheme="minorHAnsi" w:cs="Arial"/>
          <w:b w:val="0"/>
          <w:bCs w:val="0"/>
          <w:iCs w:val="0"/>
          <w:color w:val="auto"/>
          <w:szCs w:val="18"/>
          <w:lang w:val="sq-AL"/>
        </w:rPr>
        <w:t>ofrimi i asistenc</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s teknike</w:t>
      </w:r>
      <w:r w:rsidR="009D2A31" w:rsidRPr="009D660E">
        <w:rPr>
          <w:rStyle w:val="Heading4Char"/>
          <w:rFonts w:eastAsiaTheme="minorHAnsi" w:cs="Arial"/>
          <w:b w:val="0"/>
          <w:bCs w:val="0"/>
          <w:iCs w:val="0"/>
          <w:color w:val="auto"/>
          <w:szCs w:val="18"/>
          <w:lang w:val="sq-AL"/>
        </w:rPr>
        <w:t xml:space="preserve">, </w:t>
      </w:r>
      <w:r w:rsidR="003F5F5B" w:rsidRPr="009D660E">
        <w:rPr>
          <w:rStyle w:val="Heading4Char"/>
          <w:rFonts w:eastAsiaTheme="minorHAnsi" w:cs="Arial"/>
          <w:b w:val="0"/>
          <w:bCs w:val="0"/>
          <w:iCs w:val="0"/>
          <w:color w:val="auto"/>
          <w:szCs w:val="18"/>
          <w:lang w:val="sq-AL"/>
        </w:rPr>
        <w:t>ngritja e kapaciteteve dhe rritja e nd</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rgjegj</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simit n</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 xml:space="preserve"> lidhje me p</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rmir</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simin e mekanizmave t</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 xml:space="preserve"> llogaridh</w:t>
      </w:r>
      <w:r w:rsidR="00197932" w:rsidRPr="009D660E">
        <w:rPr>
          <w:rStyle w:val="Heading4Char"/>
          <w:rFonts w:eastAsiaTheme="minorHAnsi" w:cs="Arial"/>
          <w:b w:val="0"/>
          <w:bCs w:val="0"/>
          <w:iCs w:val="0"/>
          <w:color w:val="auto"/>
          <w:szCs w:val="18"/>
          <w:lang w:val="sq-AL"/>
        </w:rPr>
        <w:t>ë</w:t>
      </w:r>
      <w:r w:rsidR="003F5F5B" w:rsidRPr="009D660E">
        <w:rPr>
          <w:rStyle w:val="Heading4Char"/>
          <w:rFonts w:eastAsiaTheme="minorHAnsi" w:cs="Arial"/>
          <w:b w:val="0"/>
          <w:bCs w:val="0"/>
          <w:iCs w:val="0"/>
          <w:color w:val="auto"/>
          <w:szCs w:val="18"/>
          <w:lang w:val="sq-AL"/>
        </w:rPr>
        <w:t>nies menaxheriale.</w:t>
      </w:r>
    </w:p>
    <w:p w14:paraId="310B59F3" w14:textId="77777777" w:rsidR="007760A1" w:rsidRPr="009D660E" w:rsidRDefault="007760A1" w:rsidP="007760A1">
      <w:pPr>
        <w:pStyle w:val="N-Bullet"/>
        <w:numPr>
          <w:ilvl w:val="0"/>
          <w:numId w:val="0"/>
        </w:numPr>
        <w:spacing w:line="276" w:lineRule="auto"/>
        <w:ind w:left="360" w:hanging="360"/>
        <w:jc w:val="both"/>
        <w:rPr>
          <w:rStyle w:val="Heading4Char"/>
          <w:rFonts w:eastAsiaTheme="minorHAnsi" w:cs="Arial"/>
          <w:b w:val="0"/>
          <w:bCs w:val="0"/>
          <w:iCs w:val="0"/>
          <w:color w:val="auto"/>
          <w:szCs w:val="18"/>
          <w:lang w:val="sq-AL"/>
        </w:rPr>
      </w:pPr>
    </w:p>
    <w:p w14:paraId="2C11A1A8" w14:textId="30415E2B" w:rsidR="007760A1" w:rsidRPr="005D0325" w:rsidRDefault="007760A1" w:rsidP="007760A1">
      <w:pPr>
        <w:spacing w:line="276" w:lineRule="auto"/>
        <w:jc w:val="both"/>
        <w:rPr>
          <w:iCs/>
          <w:lang w:val="sq-AL"/>
        </w:rPr>
      </w:pPr>
      <w:r>
        <w:rPr>
          <w:iCs/>
          <w:lang w:val="sq-AL"/>
        </w:rPr>
        <w:t>PRE 2024-2026</w:t>
      </w:r>
      <w:r w:rsidRPr="005D0325">
        <w:rPr>
          <w:iCs/>
          <w:lang w:val="sq-AL"/>
        </w:rPr>
        <w:t xml:space="preserve"> </w:t>
      </w:r>
      <w:r>
        <w:rPr>
          <w:rStyle w:val="FootnoteReference"/>
          <w:iCs/>
          <w:lang w:val="sq-AL"/>
        </w:rPr>
        <w:footnoteReference w:id="3"/>
      </w:r>
      <w:r>
        <w:rPr>
          <w:iCs/>
          <w:lang w:val="sq-AL"/>
        </w:rPr>
        <w:t xml:space="preserve"> </w:t>
      </w:r>
      <w:r w:rsidRPr="005D0325">
        <w:rPr>
          <w:iCs/>
          <w:lang w:val="sq-AL"/>
        </w:rPr>
        <w:t>paraqet udhëzimet e politikave të mëposhtme në lidhje me MFP-në:</w:t>
      </w:r>
    </w:p>
    <w:p w14:paraId="3B736CCB" w14:textId="77777777" w:rsidR="007760A1" w:rsidRPr="00AC17D5" w:rsidRDefault="007760A1" w:rsidP="007760A1">
      <w:pPr>
        <w:pStyle w:val="N-Bullet"/>
        <w:rPr>
          <w:rStyle w:val="Heading4Char"/>
          <w:rFonts w:eastAsiaTheme="minorHAnsi" w:cs="Arial"/>
          <w:b w:val="0"/>
          <w:bCs w:val="0"/>
          <w:iCs w:val="0"/>
          <w:color w:val="auto"/>
          <w:szCs w:val="18"/>
          <w:lang w:val="sq-AL"/>
        </w:rPr>
      </w:pPr>
      <w:r w:rsidRPr="005D0325">
        <w:rPr>
          <w:rStyle w:val="Heading4Char"/>
          <w:rFonts w:eastAsiaTheme="minorHAnsi" w:cs="Arial"/>
          <w:b w:val="0"/>
          <w:bCs w:val="0"/>
          <w:iCs w:val="0"/>
          <w:color w:val="auto"/>
          <w:szCs w:val="18"/>
          <w:lang w:val="sq-AL"/>
        </w:rPr>
        <w:t>UP 1.</w:t>
      </w:r>
      <w:r>
        <w:rPr>
          <w:rStyle w:val="Heading4Char"/>
          <w:rFonts w:eastAsiaTheme="minorHAnsi" w:cs="Arial"/>
          <w:b w:val="0"/>
          <w:bCs w:val="0"/>
          <w:iCs w:val="0"/>
          <w:color w:val="auto"/>
          <w:szCs w:val="18"/>
          <w:lang w:val="sq-AL"/>
        </w:rPr>
        <w:t>1</w:t>
      </w:r>
      <w:r w:rsidRPr="005D0325">
        <w:rPr>
          <w:rStyle w:val="Heading4Char"/>
          <w:rFonts w:eastAsiaTheme="minorHAnsi" w:cs="Arial"/>
          <w:b w:val="0"/>
          <w:bCs w:val="0"/>
          <w:iCs w:val="0"/>
          <w:color w:val="auto"/>
          <w:szCs w:val="18"/>
          <w:lang w:val="sq-AL"/>
        </w:rPr>
        <w:t xml:space="preserve"> </w:t>
      </w:r>
      <w:r w:rsidRPr="00AC17D5">
        <w:rPr>
          <w:rStyle w:val="Heading4Char"/>
          <w:rFonts w:eastAsiaTheme="minorHAnsi" w:cs="Arial"/>
          <w:b w:val="0"/>
          <w:color w:val="auto"/>
          <w:szCs w:val="18"/>
          <w:lang w:val="sq-AL"/>
        </w:rPr>
        <w:t>Të arrihet siç është parashikuar një balancë primare jo negative në vitin 2023 duke ofruar nëse është e nevojshme mbështetje për familjet dhe bizneset me qëllim për të zbutur ndikimin e çmimeve të larta të energjisë dhe të zbatohet plani buxhetor afatmesëm që synon uljen e raportit të borxhit publik dhe rritjen e suficit primar duke përdorur procesin e rregullt të rishikimit për amendamentet e buxhetit</w:t>
      </w:r>
      <w:r>
        <w:rPr>
          <w:rStyle w:val="Heading4Char"/>
          <w:rFonts w:eastAsiaTheme="minorHAnsi" w:cs="Arial"/>
          <w:b w:val="0"/>
          <w:color w:val="auto"/>
          <w:szCs w:val="18"/>
          <w:lang w:val="sq-AL"/>
        </w:rPr>
        <w:t>.</w:t>
      </w:r>
    </w:p>
    <w:p w14:paraId="56217B84" w14:textId="77777777" w:rsidR="007760A1" w:rsidRPr="00AC17D5" w:rsidRDefault="007760A1" w:rsidP="007760A1">
      <w:pPr>
        <w:pStyle w:val="N-Bullet"/>
        <w:rPr>
          <w:rStyle w:val="Heading4Char"/>
          <w:rFonts w:eastAsiaTheme="minorHAnsi" w:cs="Arial"/>
          <w:b w:val="0"/>
          <w:bCs w:val="0"/>
          <w:iCs w:val="0"/>
          <w:color w:val="auto"/>
          <w:szCs w:val="18"/>
          <w:lang w:val="sq-AL"/>
        </w:rPr>
      </w:pPr>
      <w:r>
        <w:rPr>
          <w:rStyle w:val="Heading4Char"/>
          <w:rFonts w:eastAsiaTheme="minorHAnsi" w:cs="Arial"/>
          <w:b w:val="0"/>
          <w:bCs w:val="0"/>
          <w:iCs w:val="0"/>
          <w:color w:val="auto"/>
          <w:szCs w:val="18"/>
          <w:lang w:val="sq-AL"/>
        </w:rPr>
        <w:t xml:space="preserve">UP 1.2 </w:t>
      </w:r>
      <w:r w:rsidRPr="00AC17D5">
        <w:rPr>
          <w:iCs/>
          <w:lang w:val="sq-AL"/>
        </w:rPr>
        <w:t>Mbani detyrimet e prapambetura të qeverisë së përgjithshme në çdo tremujor të 2023 në maksimum 2.5% të shpenzimeve totale dhe nën 2.4% të totalit të shpenzimeve në fund të 2023</w:t>
      </w:r>
      <w:r>
        <w:rPr>
          <w:iCs/>
          <w:lang w:val="sq-AL"/>
        </w:rPr>
        <w:t>.</w:t>
      </w:r>
    </w:p>
    <w:p w14:paraId="5D8C53A3" w14:textId="77777777" w:rsidR="007760A1" w:rsidRPr="005D0325" w:rsidRDefault="007760A1" w:rsidP="007760A1">
      <w:pPr>
        <w:pStyle w:val="N-Bullet"/>
        <w:rPr>
          <w:rStyle w:val="Heading4Char"/>
          <w:rFonts w:eastAsiaTheme="minorHAnsi" w:cs="Arial"/>
          <w:b w:val="0"/>
          <w:bCs w:val="0"/>
          <w:iCs w:val="0"/>
          <w:color w:val="auto"/>
          <w:szCs w:val="18"/>
          <w:lang w:val="sq-AL"/>
        </w:rPr>
      </w:pPr>
      <w:r>
        <w:rPr>
          <w:rStyle w:val="Heading4Char"/>
          <w:rFonts w:eastAsiaTheme="minorHAnsi" w:cs="Arial"/>
          <w:b w:val="0"/>
          <w:color w:val="auto"/>
          <w:szCs w:val="18"/>
          <w:lang w:val="sq-AL"/>
        </w:rPr>
        <w:t xml:space="preserve">UP 1.3 </w:t>
      </w:r>
      <w:r w:rsidRPr="00AC17D5">
        <w:rPr>
          <w:bCs/>
          <w:iCs/>
          <w:lang w:val="sq-AL"/>
        </w:rPr>
        <w:t>Njoftoni vendimet për garancitë e reja shtetërore dhe huadhënien e subjekteve publike nëpërmjet një vlerësimi sistematik të riskut</w:t>
      </w:r>
      <w:r>
        <w:rPr>
          <w:bCs/>
          <w:iCs/>
          <w:lang w:val="sq-AL"/>
        </w:rPr>
        <w:t>.</w:t>
      </w:r>
    </w:p>
    <w:p w14:paraId="6B718880" w14:textId="77777777" w:rsidR="007760A1" w:rsidRDefault="007760A1" w:rsidP="007760A1">
      <w:pPr>
        <w:pStyle w:val="N-Bullet"/>
        <w:spacing w:line="276" w:lineRule="auto"/>
        <w:jc w:val="both"/>
        <w:rPr>
          <w:rStyle w:val="Heading4Char"/>
          <w:rFonts w:eastAsiaTheme="minorHAnsi" w:cs="Arial"/>
          <w:b w:val="0"/>
          <w:color w:val="auto"/>
          <w:szCs w:val="18"/>
          <w:lang w:val="sq-AL"/>
        </w:rPr>
      </w:pPr>
      <w:r w:rsidRPr="005D0325">
        <w:rPr>
          <w:rStyle w:val="Heading4Char"/>
          <w:rFonts w:eastAsiaTheme="minorHAnsi" w:cs="Arial"/>
          <w:b w:val="0"/>
          <w:bCs w:val="0"/>
          <w:iCs w:val="0"/>
          <w:color w:val="auto"/>
          <w:szCs w:val="18"/>
          <w:lang w:val="sq-AL"/>
        </w:rPr>
        <w:t xml:space="preserve">UP 2.1 </w:t>
      </w:r>
      <w:r w:rsidRPr="00AC17D5">
        <w:rPr>
          <w:bCs/>
          <w:iCs/>
          <w:lang w:val="sq-AL"/>
        </w:rPr>
        <w:t>Të vazhdojnë masat për të rritur të ardhurat tatimore si pjesë e PBB në një mënyrë “miqësore” me rritjen, duke marrë parasysh rezultatet e një konsultimi të gjerë publik mbi politikat tatimore</w:t>
      </w:r>
      <w:r w:rsidRPr="005D0325">
        <w:rPr>
          <w:rStyle w:val="Heading4Char"/>
          <w:rFonts w:eastAsiaTheme="minorHAnsi" w:cs="Arial"/>
          <w:b w:val="0"/>
          <w:color w:val="auto"/>
          <w:szCs w:val="18"/>
          <w:lang w:val="sq-AL"/>
        </w:rPr>
        <w:t>.</w:t>
      </w:r>
    </w:p>
    <w:p w14:paraId="7D8E931A" w14:textId="1188EFD4" w:rsidR="007760A1" w:rsidRPr="00A46538" w:rsidRDefault="007760A1" w:rsidP="007760A1">
      <w:pPr>
        <w:pStyle w:val="N-Bullet"/>
        <w:spacing w:line="276" w:lineRule="auto"/>
        <w:jc w:val="both"/>
        <w:rPr>
          <w:bCs/>
          <w:iCs/>
          <w:lang w:val="sq-AL"/>
        </w:rPr>
      </w:pPr>
      <w:r w:rsidRPr="00146903">
        <w:rPr>
          <w:rStyle w:val="Heading4Char"/>
          <w:rFonts w:eastAsiaTheme="minorHAnsi" w:cs="Arial"/>
          <w:b w:val="0"/>
          <w:color w:val="auto"/>
          <w:szCs w:val="18"/>
          <w:lang w:val="sq-AL"/>
        </w:rPr>
        <w:t xml:space="preserve">UP 2.2 </w:t>
      </w:r>
      <w:r w:rsidRPr="00146903">
        <w:rPr>
          <w:iCs/>
          <w:lang w:val="sq-AL"/>
        </w:rPr>
        <w:t xml:space="preserve">Plotësoni procedurat për të krijuar plotësisht </w:t>
      </w:r>
      <w:r>
        <w:rPr>
          <w:iCs/>
          <w:lang w:val="sq-AL"/>
        </w:rPr>
        <w:t>Listën Unike të Projekteve me Rëndësi Kombëtare</w:t>
      </w:r>
      <w:r w:rsidRPr="00146903">
        <w:rPr>
          <w:iCs/>
          <w:lang w:val="sq-AL"/>
        </w:rPr>
        <w:t xml:space="preserve"> dhe për të avancuar ndryshimet e nevojshme ligjore për të integruar plotësisht PPP-të në </w:t>
      </w:r>
      <w:r>
        <w:rPr>
          <w:iCs/>
          <w:lang w:val="sq-AL"/>
        </w:rPr>
        <w:t>Listën Unike të Projekteve me Rëndësi Kombëtare</w:t>
      </w:r>
      <w:r w:rsidRPr="00A46538">
        <w:rPr>
          <w:iCs/>
          <w:lang w:val="sq-AL"/>
        </w:rPr>
        <w:t>.</w:t>
      </w:r>
    </w:p>
    <w:p w14:paraId="749B04D2" w14:textId="77777777" w:rsidR="002701BC" w:rsidRPr="009D660E" w:rsidRDefault="002701BC" w:rsidP="002E6AB5">
      <w:pPr>
        <w:spacing w:line="276" w:lineRule="auto"/>
        <w:jc w:val="both"/>
        <w:rPr>
          <w:b/>
          <w:bCs/>
          <w:lang w:val="sq-AL"/>
        </w:rPr>
      </w:pPr>
    </w:p>
    <w:p w14:paraId="6F55F42A" w14:textId="29D89363" w:rsidR="009D2A31" w:rsidRPr="009D660E" w:rsidRDefault="003F5F5B" w:rsidP="002E6AB5">
      <w:pPr>
        <w:spacing w:line="276" w:lineRule="auto"/>
        <w:jc w:val="both"/>
        <w:rPr>
          <w:b/>
          <w:bCs/>
          <w:highlight w:val="yellow"/>
          <w:vertAlign w:val="superscript"/>
          <w:lang w:val="sq-AL"/>
        </w:rPr>
      </w:pPr>
      <w:r w:rsidRPr="009D660E">
        <w:rPr>
          <w:b/>
          <w:bCs/>
          <w:lang w:val="sq-AL"/>
        </w:rPr>
        <w:t>Programi i Statistikave Zyrtare</w:t>
      </w:r>
      <w:r w:rsidR="009D2A31" w:rsidRPr="009D660E">
        <w:rPr>
          <w:b/>
          <w:bCs/>
          <w:lang w:val="sq-AL"/>
        </w:rPr>
        <w:t xml:space="preserve"> 2022-2026</w:t>
      </w:r>
      <w:r w:rsidR="00200748" w:rsidRPr="003F5F5B">
        <w:rPr>
          <w:vertAlign w:val="superscript"/>
          <w:lang w:val="en-GB"/>
        </w:rPr>
        <w:footnoteReference w:id="4"/>
      </w:r>
    </w:p>
    <w:p w14:paraId="32B1C2DE" w14:textId="12730D33" w:rsidR="003C7D2B" w:rsidRPr="009D660E" w:rsidRDefault="003C7D2B" w:rsidP="002E6AB5">
      <w:pPr>
        <w:spacing w:line="276" w:lineRule="auto"/>
        <w:jc w:val="both"/>
        <w:rPr>
          <w:highlight w:val="yellow"/>
          <w:lang w:val="sq-AL"/>
        </w:rPr>
      </w:pPr>
      <w:r w:rsidRPr="009D660E">
        <w:rPr>
          <w:lang w:val="sq-AL"/>
        </w:rPr>
        <w:t xml:space="preserve">“Programi i Statistikave Zyrtare 2022-2026” i Shqipërisë, i </w:t>
      </w:r>
      <w:r w:rsidR="00BB0C8C" w:rsidRPr="009D660E">
        <w:rPr>
          <w:lang w:val="sq-AL"/>
        </w:rPr>
        <w:t>miratuar nga Kuvendi i Republikës së Shqipërisë me Ligjin</w:t>
      </w:r>
      <w:r w:rsidRPr="009D660E">
        <w:rPr>
          <w:lang w:val="sq-AL"/>
        </w:rPr>
        <w:t xml:space="preserve"> nr. 30/2022, përshkruan strategjinë për zhvillimin e statistikave zyrtare për një periudhë pesëvjeçare. Ai fokusohet në përmirësimin e Sistemit Kombëtar Statistikor (SK</w:t>
      </w:r>
      <w:r w:rsidR="00D32223" w:rsidRPr="009D660E">
        <w:rPr>
          <w:lang w:val="sq-AL"/>
        </w:rPr>
        <w:t>S</w:t>
      </w:r>
      <w:r w:rsidRPr="009D660E">
        <w:rPr>
          <w:lang w:val="sq-AL"/>
        </w:rPr>
        <w:t>), integrimin e aktiviteteve statistikore në Sistemin Statistikor Evropian dhe sigurimin e cilësisë dhe mbledhjes gjithëpërfshirëse të të dhënave. Programi synon përputhjen me stan</w:t>
      </w:r>
      <w:r w:rsidR="00BB0C8C" w:rsidRPr="009D660E">
        <w:rPr>
          <w:lang w:val="sq-AL"/>
        </w:rPr>
        <w:t>dardet statistikore të BE-së,</w:t>
      </w:r>
      <w:r w:rsidRPr="009D660E">
        <w:rPr>
          <w:lang w:val="sq-AL"/>
        </w:rPr>
        <w:t xml:space="preserve"> adres</w:t>
      </w:r>
      <w:r w:rsidR="00BB0C8C" w:rsidRPr="009D660E">
        <w:rPr>
          <w:lang w:val="sq-AL"/>
        </w:rPr>
        <w:t>imin e nevojave</w:t>
      </w:r>
      <w:r w:rsidRPr="009D660E">
        <w:rPr>
          <w:lang w:val="sq-AL"/>
        </w:rPr>
        <w:t xml:space="preserve"> specifike të përdoruesve dhe të përmirësojë efikasitetin, transparencën dhe cilësinë e proceseve dhe shërbimeve statistikore. Ai gjithashtu thekson modernizimin e metodave të mbledhjes së të dhënave dhe integrimin e metodologjive të reja statistikore. Në lidhje me MFP-në, PSZ-ja planifikon </w:t>
      </w:r>
      <w:r w:rsidR="00BB0C8C" w:rsidRPr="009D660E">
        <w:rPr>
          <w:lang w:val="sq-AL"/>
        </w:rPr>
        <w:t>përmirësimin e statistikave</w:t>
      </w:r>
      <w:r w:rsidRPr="009D660E">
        <w:rPr>
          <w:lang w:val="sq-AL"/>
        </w:rPr>
        <w:t xml:space="preserve"> makroekonomike</w:t>
      </w:r>
      <w:r w:rsidR="00BB0C8C" w:rsidRPr="009D660E">
        <w:rPr>
          <w:lang w:val="sq-AL"/>
        </w:rPr>
        <w:t xml:space="preserve"> përfshirë Statistikat Financiare të Qeverisë dhe Tabelat e Procedurës së Deficitit të Tejkaluar (PDT); </w:t>
      </w:r>
      <w:r w:rsidRPr="009D660E">
        <w:rPr>
          <w:lang w:val="sq-AL"/>
        </w:rPr>
        <w:t xml:space="preserve">harmonizimin e mëtejshëm </w:t>
      </w:r>
      <w:r w:rsidR="00BB0C8C" w:rsidRPr="009D660E">
        <w:rPr>
          <w:lang w:val="sq-AL"/>
        </w:rPr>
        <w:t xml:space="preserve">të tyre </w:t>
      </w:r>
      <w:r w:rsidRPr="009D660E">
        <w:rPr>
          <w:lang w:val="sq-AL"/>
        </w:rPr>
        <w:t xml:space="preserve">me sistemin evropian të llogarive SELL 2010 </w:t>
      </w:r>
      <w:r w:rsidR="00A43E2A" w:rsidRPr="009D660E">
        <w:rPr>
          <w:lang w:val="sq-AL"/>
        </w:rPr>
        <w:t xml:space="preserve">nëpërmjet zgjerimit të bazë së të dhënave </w:t>
      </w:r>
      <w:r w:rsidRPr="009D660E">
        <w:rPr>
          <w:lang w:val="sq-AL"/>
        </w:rPr>
        <w:t>për njësitë ekstra-buxhetore dhe integrimin e tyre në sistemin e të dhënave të qeverisë së përgjithshme; integrimin e të gjitha njësive të qeverisjes së përgjithshme në sistemin SIFQ dhe hartimin e bilanceve të llogarive të qeverisë në përputhje me standardet ndërkombëtare të llogarive të sektorit publik.</w:t>
      </w:r>
    </w:p>
    <w:p w14:paraId="74DE8436" w14:textId="77777777" w:rsidR="00200748" w:rsidRPr="009D660E" w:rsidRDefault="00200748" w:rsidP="002E6AB5">
      <w:pPr>
        <w:spacing w:line="276" w:lineRule="auto"/>
        <w:jc w:val="both"/>
        <w:rPr>
          <w:highlight w:val="yellow"/>
          <w:lang w:val="sq-AL"/>
        </w:rPr>
      </w:pPr>
    </w:p>
    <w:p w14:paraId="315FD5F4" w14:textId="1889206D" w:rsidR="00544C68" w:rsidRPr="009D660E" w:rsidRDefault="003C7D2B" w:rsidP="002E6AB5">
      <w:pPr>
        <w:spacing w:line="276" w:lineRule="auto"/>
        <w:jc w:val="both"/>
        <w:rPr>
          <w:lang w:val="sq-AL"/>
        </w:rPr>
      </w:pPr>
      <w:r w:rsidRPr="009D660E">
        <w:rPr>
          <w:b/>
          <w:bCs/>
          <w:lang w:val="sq-AL"/>
        </w:rPr>
        <w:t>Axhenda e Kombeve t</w:t>
      </w:r>
      <w:r w:rsidR="00197932" w:rsidRPr="009D660E">
        <w:rPr>
          <w:b/>
          <w:bCs/>
          <w:lang w:val="sq-AL"/>
        </w:rPr>
        <w:t>ë</w:t>
      </w:r>
      <w:r w:rsidRPr="009D660E">
        <w:rPr>
          <w:b/>
          <w:bCs/>
          <w:lang w:val="sq-AL"/>
        </w:rPr>
        <w:t xml:space="preserve"> Bashkuara p</w:t>
      </w:r>
      <w:r w:rsidR="00197932" w:rsidRPr="009D660E">
        <w:rPr>
          <w:b/>
          <w:bCs/>
          <w:lang w:val="sq-AL"/>
        </w:rPr>
        <w:t>ë</w:t>
      </w:r>
      <w:r w:rsidRPr="009D660E">
        <w:rPr>
          <w:b/>
          <w:bCs/>
          <w:lang w:val="sq-AL"/>
        </w:rPr>
        <w:t>r Zhvillim t</w:t>
      </w:r>
      <w:r w:rsidR="00197932" w:rsidRPr="009D660E">
        <w:rPr>
          <w:b/>
          <w:bCs/>
          <w:lang w:val="sq-AL"/>
        </w:rPr>
        <w:t>ë</w:t>
      </w:r>
      <w:r w:rsidRPr="009D660E">
        <w:rPr>
          <w:b/>
          <w:bCs/>
          <w:lang w:val="sq-AL"/>
        </w:rPr>
        <w:t xml:space="preserve"> Q</w:t>
      </w:r>
      <w:r w:rsidR="00197932" w:rsidRPr="009D660E">
        <w:rPr>
          <w:b/>
          <w:bCs/>
          <w:lang w:val="sq-AL"/>
        </w:rPr>
        <w:t>ë</w:t>
      </w:r>
      <w:r w:rsidRPr="009D660E">
        <w:rPr>
          <w:b/>
          <w:bCs/>
          <w:lang w:val="sq-AL"/>
        </w:rPr>
        <w:t>ndruesh</w:t>
      </w:r>
      <w:r w:rsidR="00197932" w:rsidRPr="009D660E">
        <w:rPr>
          <w:b/>
          <w:bCs/>
          <w:lang w:val="sq-AL"/>
        </w:rPr>
        <w:t>ë</w:t>
      </w:r>
      <w:r w:rsidRPr="009D660E">
        <w:rPr>
          <w:b/>
          <w:bCs/>
          <w:lang w:val="sq-AL"/>
        </w:rPr>
        <w:t>m 2030</w:t>
      </w:r>
    </w:p>
    <w:p w14:paraId="552F14F8" w14:textId="3C900A3B" w:rsidR="003C7D2B" w:rsidRPr="009D660E" w:rsidRDefault="003C7D2B" w:rsidP="002E6AB5">
      <w:pPr>
        <w:spacing w:line="276" w:lineRule="auto"/>
        <w:jc w:val="both"/>
        <w:rPr>
          <w:highlight w:val="yellow"/>
          <w:lang w:val="sq-AL"/>
        </w:rPr>
      </w:pPr>
      <w:r w:rsidRPr="009D660E">
        <w:rPr>
          <w:lang w:val="sq-AL"/>
        </w:rPr>
        <w:t>Qeveria Shqiptare</w:t>
      </w:r>
      <w:r w:rsidR="005A69A2" w:rsidRPr="009D660E">
        <w:rPr>
          <w:lang w:val="sq-AL"/>
        </w:rPr>
        <w:t xml:space="preserve"> ka miratuar Objektivat e Zhvillimit të Q</w:t>
      </w:r>
      <w:r w:rsidRPr="009D660E">
        <w:rPr>
          <w:lang w:val="sq-AL"/>
        </w:rPr>
        <w:t xml:space="preserve">ëndrueshëm siç është rënë dakord në axhendën e Kombeve të Bashkuara 2030 për Zhvillimin e Qëndrueshëm. Menaxhimi efektiv i financave publike ose aftësia e qeverive për të mbledhur në mënyrë efikase të ardhurat dhe për t'i shpenzuar ato në një mënyrë të përgjegjshme dhe transparente, është thelbësore për rritjen ekonomike dhe rritjen e burimeve të disponueshme për të ndjekur objektivat kombëtare, të cilat nga ana e tyre janë të lidhura me OZhQ-të dhe kështu axhenda e reformës së MFP-së është në mbështetje të të gjitha OZhQ-ve të miratuara. Strategjia e MFP-së në veçanti kontribuon në OZhQ 17 Forcimi i mjeteve të zbatimit </w:t>
      </w:r>
      <w:r w:rsidR="00197932" w:rsidRPr="009D660E">
        <w:rPr>
          <w:lang w:val="sq-AL"/>
        </w:rPr>
        <w:t>dhe rivitalizimi i Partneritetit Global për Zhvillim të Qëndrueshëm</w:t>
      </w:r>
      <w:r w:rsidRPr="009D660E">
        <w:rPr>
          <w:lang w:val="sq-AL"/>
        </w:rPr>
        <w:t>, Objektivi 17.1 Forcimi i mobilizimit të burimeve të brendshme (përmirësimi i kapaciteteve të brendshme për mbledhjen e taksave dhe të ardhurave të tjera).</w:t>
      </w:r>
    </w:p>
    <w:p w14:paraId="6C8E7D0A" w14:textId="77777777" w:rsidR="00544C68" w:rsidRPr="009D660E" w:rsidRDefault="00544C68" w:rsidP="002E6AB5">
      <w:pPr>
        <w:spacing w:line="276" w:lineRule="auto"/>
        <w:jc w:val="both"/>
        <w:rPr>
          <w:highlight w:val="yellow"/>
          <w:lang w:val="sq-AL"/>
        </w:rPr>
      </w:pPr>
    </w:p>
    <w:p w14:paraId="13AA37A5" w14:textId="77777777" w:rsidR="00097914" w:rsidRPr="009D660E" w:rsidRDefault="00097914" w:rsidP="002E6AB5">
      <w:pPr>
        <w:spacing w:line="276" w:lineRule="auto"/>
        <w:jc w:val="both"/>
        <w:rPr>
          <w:highlight w:val="yellow"/>
          <w:lang w:val="sq-AL"/>
        </w:rPr>
      </w:pPr>
    </w:p>
    <w:p w14:paraId="0451584B" w14:textId="21636E2C" w:rsidR="005901C8" w:rsidRPr="009D660E" w:rsidRDefault="001035B4" w:rsidP="002E6AB5">
      <w:pPr>
        <w:pStyle w:val="Heading2"/>
        <w:spacing w:line="276" w:lineRule="auto"/>
        <w:jc w:val="both"/>
        <w:rPr>
          <w:lang w:val="sq-AL"/>
        </w:rPr>
      </w:pPr>
      <w:bookmarkStart w:id="7" w:name="_Toc161748804"/>
      <w:r w:rsidRPr="009D660E">
        <w:rPr>
          <w:lang w:val="sq-AL"/>
        </w:rPr>
        <w:t>Strategjitë plotësuese t</w:t>
      </w:r>
      <w:r w:rsidR="00160965" w:rsidRPr="009D660E">
        <w:rPr>
          <w:lang w:val="sq-AL"/>
        </w:rPr>
        <w:t>ë</w:t>
      </w:r>
      <w:r w:rsidRPr="009D660E">
        <w:rPr>
          <w:lang w:val="sq-AL"/>
        </w:rPr>
        <w:t xml:space="preserve"> reform</w:t>
      </w:r>
      <w:r w:rsidR="00160965" w:rsidRPr="009D660E">
        <w:rPr>
          <w:lang w:val="sq-AL"/>
        </w:rPr>
        <w:t>ë</w:t>
      </w:r>
      <w:r w:rsidRPr="009D660E">
        <w:rPr>
          <w:lang w:val="sq-AL"/>
        </w:rPr>
        <w:t>s s</w:t>
      </w:r>
      <w:r w:rsidR="00160965" w:rsidRPr="009D660E">
        <w:rPr>
          <w:lang w:val="sq-AL"/>
        </w:rPr>
        <w:t>ë</w:t>
      </w:r>
      <w:r w:rsidRPr="009D660E">
        <w:rPr>
          <w:lang w:val="sq-AL"/>
        </w:rPr>
        <w:t xml:space="preserve"> MFP-s</w:t>
      </w:r>
      <w:r w:rsidR="00160965" w:rsidRPr="009D660E">
        <w:rPr>
          <w:lang w:val="sq-AL"/>
        </w:rPr>
        <w:t>ë</w:t>
      </w:r>
      <w:bookmarkEnd w:id="7"/>
    </w:p>
    <w:p w14:paraId="408ABADA" w14:textId="77777777" w:rsidR="00097914" w:rsidRPr="009D660E" w:rsidRDefault="00097914" w:rsidP="002E6AB5">
      <w:pPr>
        <w:spacing w:line="276" w:lineRule="auto"/>
        <w:jc w:val="both"/>
        <w:rPr>
          <w:lang w:val="sq-AL"/>
        </w:rPr>
      </w:pPr>
    </w:p>
    <w:p w14:paraId="4ABF1917" w14:textId="74BBA875" w:rsidR="00097914" w:rsidRPr="009D660E" w:rsidRDefault="001035B4" w:rsidP="002E6AB5">
      <w:pPr>
        <w:spacing w:line="276" w:lineRule="auto"/>
        <w:jc w:val="both"/>
        <w:rPr>
          <w:lang w:val="sq-AL"/>
        </w:rPr>
      </w:pPr>
      <w:r w:rsidRPr="009D660E">
        <w:rPr>
          <w:lang w:val="sq-AL"/>
        </w:rPr>
        <w:t>N</w:t>
      </w:r>
      <w:r w:rsidR="00160965" w:rsidRPr="009D660E">
        <w:rPr>
          <w:lang w:val="sq-AL"/>
        </w:rPr>
        <w:t>ë</w:t>
      </w:r>
      <w:r w:rsidRPr="009D660E">
        <w:rPr>
          <w:lang w:val="sq-AL"/>
        </w:rPr>
        <w:t xml:space="preserve"> fush</w:t>
      </w:r>
      <w:r w:rsidR="00160965" w:rsidRPr="009D660E">
        <w:rPr>
          <w:lang w:val="sq-AL"/>
        </w:rPr>
        <w:t>ë</w:t>
      </w:r>
      <w:r w:rsidRPr="009D660E">
        <w:rPr>
          <w:lang w:val="sq-AL"/>
        </w:rPr>
        <w:t>n e MFP-s</w:t>
      </w:r>
      <w:r w:rsidR="00160965" w:rsidRPr="009D660E">
        <w:rPr>
          <w:lang w:val="sq-AL"/>
        </w:rPr>
        <w:t>ë</w:t>
      </w:r>
      <w:r w:rsidR="00097914" w:rsidRPr="009D660E">
        <w:rPr>
          <w:lang w:val="sq-AL"/>
        </w:rPr>
        <w:t>,</w:t>
      </w:r>
      <w:r w:rsidRPr="009D660E">
        <w:rPr>
          <w:lang w:val="sq-AL"/>
        </w:rPr>
        <w:t xml:space="preserve"> ekzistojn</w:t>
      </w:r>
      <w:r w:rsidR="00160965" w:rsidRPr="009D660E">
        <w:rPr>
          <w:lang w:val="sq-AL"/>
        </w:rPr>
        <w:t>ë</w:t>
      </w:r>
      <w:r w:rsidRPr="009D660E">
        <w:rPr>
          <w:lang w:val="sq-AL"/>
        </w:rPr>
        <w:t xml:space="preserve"> disa strategji plot</w:t>
      </w:r>
      <w:r w:rsidR="00160965" w:rsidRPr="009D660E">
        <w:rPr>
          <w:lang w:val="sq-AL"/>
        </w:rPr>
        <w:t>ë</w:t>
      </w:r>
      <w:r w:rsidRPr="009D660E">
        <w:rPr>
          <w:lang w:val="sq-AL"/>
        </w:rPr>
        <w:t>suese q</w:t>
      </w:r>
      <w:r w:rsidR="00160965" w:rsidRPr="009D660E">
        <w:rPr>
          <w:lang w:val="sq-AL"/>
        </w:rPr>
        <w:t>ë</w:t>
      </w:r>
      <w:r w:rsidRPr="009D660E">
        <w:rPr>
          <w:lang w:val="sq-AL"/>
        </w:rPr>
        <w:t xml:space="preserve"> mbulojn</w:t>
      </w:r>
      <w:r w:rsidR="00160965" w:rsidRPr="009D660E">
        <w:rPr>
          <w:lang w:val="sq-AL"/>
        </w:rPr>
        <w:t>ë</w:t>
      </w:r>
      <w:r w:rsidRPr="009D660E">
        <w:rPr>
          <w:lang w:val="sq-AL"/>
        </w:rPr>
        <w:t xml:space="preserve"> nj</w:t>
      </w:r>
      <w:r w:rsidR="00160965" w:rsidRPr="009D660E">
        <w:rPr>
          <w:lang w:val="sq-AL"/>
        </w:rPr>
        <w:t>ë</w:t>
      </w:r>
      <w:r w:rsidRPr="009D660E">
        <w:rPr>
          <w:lang w:val="sq-AL"/>
        </w:rPr>
        <w:t xml:space="preserve"> n</w:t>
      </w:r>
      <w:r w:rsidR="00160965" w:rsidRPr="009D660E">
        <w:rPr>
          <w:lang w:val="sq-AL"/>
        </w:rPr>
        <w:t>ë</w:t>
      </w:r>
      <w:r w:rsidR="00FA16E5">
        <w:rPr>
          <w:lang w:val="sq-AL"/>
        </w:rPr>
        <w:t>n</w:t>
      </w:r>
      <w:r w:rsidRPr="009D660E">
        <w:rPr>
          <w:lang w:val="sq-AL"/>
        </w:rPr>
        <w:t>fush</w:t>
      </w:r>
      <w:r w:rsidR="00160965" w:rsidRPr="009D660E">
        <w:rPr>
          <w:lang w:val="sq-AL"/>
        </w:rPr>
        <w:t>ë</w:t>
      </w:r>
      <w:r w:rsidRPr="009D660E">
        <w:rPr>
          <w:lang w:val="sq-AL"/>
        </w:rPr>
        <w:t xml:space="preserve"> specifike t</w:t>
      </w:r>
      <w:r w:rsidR="00160965" w:rsidRPr="009D660E">
        <w:rPr>
          <w:lang w:val="sq-AL"/>
        </w:rPr>
        <w:t>ë</w:t>
      </w:r>
      <w:r w:rsidRPr="009D660E">
        <w:rPr>
          <w:lang w:val="sq-AL"/>
        </w:rPr>
        <w:t xml:space="preserve"> MFP-s</w:t>
      </w:r>
      <w:r w:rsidR="00160965" w:rsidRPr="009D660E">
        <w:rPr>
          <w:lang w:val="sq-AL"/>
        </w:rPr>
        <w:t>ë</w:t>
      </w:r>
      <w:r w:rsidRPr="009D660E">
        <w:rPr>
          <w:lang w:val="sq-AL"/>
        </w:rPr>
        <w:t>:</w:t>
      </w:r>
      <w:r w:rsidR="00097914" w:rsidRPr="009D660E">
        <w:rPr>
          <w:lang w:val="sq-AL"/>
        </w:rPr>
        <w:t xml:space="preserve"> </w:t>
      </w:r>
    </w:p>
    <w:p w14:paraId="1876B549" w14:textId="0D0155A4" w:rsidR="000C7935" w:rsidRPr="009D660E" w:rsidRDefault="001035B4" w:rsidP="002E6AB5">
      <w:pPr>
        <w:pStyle w:val="ListParagraph"/>
        <w:numPr>
          <w:ilvl w:val="0"/>
          <w:numId w:val="3"/>
        </w:numPr>
        <w:spacing w:line="276" w:lineRule="auto"/>
        <w:jc w:val="both"/>
        <w:rPr>
          <w:lang w:val="it-IT"/>
        </w:rPr>
      </w:pPr>
      <w:r w:rsidRPr="009D660E">
        <w:rPr>
          <w:lang w:val="it-IT"/>
        </w:rPr>
        <w:t>Strategjia Afatmesme e t</w:t>
      </w:r>
      <w:r w:rsidR="00160965" w:rsidRPr="009D660E">
        <w:rPr>
          <w:lang w:val="it-IT"/>
        </w:rPr>
        <w:t>ë</w:t>
      </w:r>
      <w:r w:rsidRPr="009D660E">
        <w:rPr>
          <w:lang w:val="it-IT"/>
        </w:rPr>
        <w:t xml:space="preserve"> Ardhurave</w:t>
      </w:r>
      <w:r w:rsidR="00EC43EB" w:rsidRPr="009D660E">
        <w:rPr>
          <w:lang w:val="it-IT"/>
        </w:rPr>
        <w:t xml:space="preserve"> (</w:t>
      </w:r>
      <w:r w:rsidRPr="009D660E">
        <w:rPr>
          <w:lang w:val="it-IT"/>
        </w:rPr>
        <w:t>SAA</w:t>
      </w:r>
      <w:r w:rsidR="00EC43EB" w:rsidRPr="009D660E">
        <w:rPr>
          <w:lang w:val="it-IT"/>
        </w:rPr>
        <w:t>)</w:t>
      </w:r>
      <w:r w:rsidR="000C7935" w:rsidRPr="009D660E">
        <w:rPr>
          <w:lang w:val="it-IT"/>
        </w:rPr>
        <w:t xml:space="preserve"> 2022-2026 </w:t>
      </w:r>
    </w:p>
    <w:p w14:paraId="6A282714" w14:textId="67683245" w:rsidR="000C7935" w:rsidRPr="009D660E" w:rsidRDefault="001035B4" w:rsidP="002E6AB5">
      <w:pPr>
        <w:pStyle w:val="ListParagraph"/>
        <w:numPr>
          <w:ilvl w:val="0"/>
          <w:numId w:val="3"/>
        </w:numPr>
        <w:spacing w:line="276" w:lineRule="auto"/>
        <w:jc w:val="both"/>
        <w:rPr>
          <w:lang w:val="it-IT"/>
        </w:rPr>
      </w:pPr>
      <w:r w:rsidRPr="009D660E">
        <w:rPr>
          <w:lang w:val="it-IT"/>
        </w:rPr>
        <w:t>Strategjia e Biznesit t</w:t>
      </w:r>
      <w:r w:rsidR="00160965" w:rsidRPr="009D660E">
        <w:rPr>
          <w:lang w:val="it-IT"/>
        </w:rPr>
        <w:t>ë</w:t>
      </w:r>
      <w:r w:rsidRPr="009D660E">
        <w:rPr>
          <w:lang w:val="it-IT"/>
        </w:rPr>
        <w:t xml:space="preserve"> Administrat</w:t>
      </w:r>
      <w:r w:rsidR="00160965" w:rsidRPr="009D660E">
        <w:rPr>
          <w:lang w:val="it-IT"/>
        </w:rPr>
        <w:t>ë</w:t>
      </w:r>
      <w:r w:rsidRPr="009D660E">
        <w:rPr>
          <w:lang w:val="it-IT"/>
        </w:rPr>
        <w:t>s Doganore Shqiptare</w:t>
      </w:r>
      <w:r w:rsidR="000C7935" w:rsidRPr="009D660E">
        <w:rPr>
          <w:lang w:val="it-IT"/>
        </w:rPr>
        <w:t xml:space="preserve"> 2023-2027</w:t>
      </w:r>
    </w:p>
    <w:p w14:paraId="5CF580C0" w14:textId="39565C35" w:rsidR="00C94B3B" w:rsidRPr="001035B4" w:rsidRDefault="001035B4" w:rsidP="002E6AB5">
      <w:pPr>
        <w:pStyle w:val="N-Bullet"/>
        <w:numPr>
          <w:ilvl w:val="0"/>
          <w:numId w:val="3"/>
        </w:numPr>
        <w:spacing w:line="276" w:lineRule="auto"/>
        <w:jc w:val="both"/>
        <w:rPr>
          <w:lang w:val="en-GB"/>
        </w:rPr>
      </w:pPr>
      <w:r w:rsidRPr="001035B4">
        <w:rPr>
          <w:lang w:val="en-GB"/>
        </w:rPr>
        <w:t>Strategjia Afatmesme e Menaxhimit t</w:t>
      </w:r>
      <w:r w:rsidR="00160965">
        <w:rPr>
          <w:lang w:val="en-GB"/>
        </w:rPr>
        <w:t>ë</w:t>
      </w:r>
      <w:r w:rsidRPr="001035B4">
        <w:rPr>
          <w:lang w:val="en-GB"/>
        </w:rPr>
        <w:t xml:space="preserve"> Borxhit</w:t>
      </w:r>
      <w:r w:rsidR="00C94B3B" w:rsidRPr="001035B4">
        <w:rPr>
          <w:lang w:val="en-GB"/>
        </w:rPr>
        <w:t xml:space="preserve"> </w:t>
      </w:r>
      <w:r w:rsidR="00203791">
        <w:rPr>
          <w:lang w:val="en-GB"/>
        </w:rPr>
        <w:t>(S</w:t>
      </w:r>
      <w:r w:rsidR="004B6998">
        <w:rPr>
          <w:lang w:val="en-GB"/>
        </w:rPr>
        <w:t>MB</w:t>
      </w:r>
      <w:r w:rsidR="00203791">
        <w:rPr>
          <w:lang w:val="en-GB"/>
        </w:rPr>
        <w:t xml:space="preserve">) </w:t>
      </w:r>
      <w:r w:rsidR="00C94B3B" w:rsidRPr="001035B4">
        <w:rPr>
          <w:lang w:val="en-GB"/>
        </w:rPr>
        <w:t>2022-2026</w:t>
      </w:r>
    </w:p>
    <w:p w14:paraId="16B1AF08" w14:textId="0ACCE945" w:rsidR="000C7935" w:rsidRPr="001035B4" w:rsidRDefault="001035B4" w:rsidP="002E6AB5">
      <w:pPr>
        <w:pStyle w:val="N-Bullet"/>
        <w:numPr>
          <w:ilvl w:val="0"/>
          <w:numId w:val="3"/>
        </w:numPr>
        <w:spacing w:line="276" w:lineRule="auto"/>
        <w:jc w:val="both"/>
        <w:rPr>
          <w:lang w:val="en-GB"/>
        </w:rPr>
      </w:pPr>
      <w:r w:rsidRPr="001035B4">
        <w:rPr>
          <w:lang w:val="en-GB"/>
        </w:rPr>
        <w:t>Strategjia Komb</w:t>
      </w:r>
      <w:r w:rsidR="00160965">
        <w:rPr>
          <w:lang w:val="en-GB"/>
        </w:rPr>
        <w:t>ë</w:t>
      </w:r>
      <w:r w:rsidRPr="001035B4">
        <w:rPr>
          <w:lang w:val="en-GB"/>
        </w:rPr>
        <w:t>tare p</w:t>
      </w:r>
      <w:r w:rsidR="00160965">
        <w:rPr>
          <w:lang w:val="en-GB"/>
        </w:rPr>
        <w:t>ë</w:t>
      </w:r>
      <w:r w:rsidRPr="001035B4">
        <w:rPr>
          <w:lang w:val="en-GB"/>
        </w:rPr>
        <w:t>r Prokurimin Publik</w:t>
      </w:r>
      <w:r w:rsidR="000C7935" w:rsidRPr="001035B4">
        <w:rPr>
          <w:lang w:val="en-GB"/>
        </w:rPr>
        <w:t xml:space="preserve"> 2020-2023</w:t>
      </w:r>
    </w:p>
    <w:p w14:paraId="2C604C09" w14:textId="784314E6" w:rsidR="009111FF" w:rsidRPr="009D660E" w:rsidRDefault="001035B4" w:rsidP="002E6AB5">
      <w:pPr>
        <w:pStyle w:val="ListParagraph"/>
        <w:numPr>
          <w:ilvl w:val="0"/>
          <w:numId w:val="3"/>
        </w:numPr>
        <w:spacing w:line="276" w:lineRule="auto"/>
        <w:jc w:val="both"/>
        <w:rPr>
          <w:lang w:val="it-IT"/>
        </w:rPr>
      </w:pPr>
      <w:r w:rsidRPr="009D660E">
        <w:rPr>
          <w:lang w:val="it-IT"/>
        </w:rPr>
        <w:t>Strategjia dhe Plani i Veprimit p</w:t>
      </w:r>
      <w:r w:rsidR="00160965" w:rsidRPr="009D660E">
        <w:rPr>
          <w:lang w:val="it-IT"/>
        </w:rPr>
        <w:t>ë</w:t>
      </w:r>
      <w:r w:rsidRPr="009D660E">
        <w:rPr>
          <w:lang w:val="it-IT"/>
        </w:rPr>
        <w:t>r Kontabilitetin e Sektorit Publik</w:t>
      </w:r>
    </w:p>
    <w:p w14:paraId="77A7FA53" w14:textId="128A5C51" w:rsidR="00097914" w:rsidRPr="009D660E" w:rsidRDefault="001035B4" w:rsidP="002E6AB5">
      <w:pPr>
        <w:pStyle w:val="ListParagraph"/>
        <w:numPr>
          <w:ilvl w:val="0"/>
          <w:numId w:val="3"/>
        </w:numPr>
        <w:spacing w:line="276" w:lineRule="auto"/>
        <w:jc w:val="both"/>
        <w:rPr>
          <w:lang w:val="it-IT"/>
        </w:rPr>
      </w:pPr>
      <w:r w:rsidRPr="009D660E">
        <w:rPr>
          <w:lang w:val="it-IT"/>
        </w:rPr>
        <w:t>Strategjia e Zhvillimit t</w:t>
      </w:r>
      <w:r w:rsidR="00160965" w:rsidRPr="009D660E">
        <w:rPr>
          <w:lang w:val="it-IT"/>
        </w:rPr>
        <w:t>ë</w:t>
      </w:r>
      <w:r w:rsidRPr="009D660E">
        <w:rPr>
          <w:lang w:val="it-IT"/>
        </w:rPr>
        <w:t xml:space="preserve"> Kontrollit t</w:t>
      </w:r>
      <w:r w:rsidR="00160965" w:rsidRPr="009D660E">
        <w:rPr>
          <w:lang w:val="it-IT"/>
        </w:rPr>
        <w:t>ë</w:t>
      </w:r>
      <w:r w:rsidRPr="009D660E">
        <w:rPr>
          <w:lang w:val="it-IT"/>
        </w:rPr>
        <w:t xml:space="preserve"> Lart</w:t>
      </w:r>
      <w:r w:rsidR="00160965" w:rsidRPr="009D660E">
        <w:rPr>
          <w:lang w:val="it-IT"/>
        </w:rPr>
        <w:t>ë</w:t>
      </w:r>
      <w:r w:rsidRPr="009D660E">
        <w:rPr>
          <w:lang w:val="it-IT"/>
        </w:rPr>
        <w:t xml:space="preserve"> t</w:t>
      </w:r>
      <w:r w:rsidR="00160965" w:rsidRPr="009D660E">
        <w:rPr>
          <w:lang w:val="it-IT"/>
        </w:rPr>
        <w:t>ë</w:t>
      </w:r>
      <w:r w:rsidRPr="009D660E">
        <w:rPr>
          <w:lang w:val="it-IT"/>
        </w:rPr>
        <w:t xml:space="preserve"> Shtetit</w:t>
      </w:r>
      <w:r w:rsidR="00575958" w:rsidRPr="009D660E">
        <w:rPr>
          <w:lang w:val="it-IT"/>
        </w:rPr>
        <w:t xml:space="preserve"> 2023-2027</w:t>
      </w:r>
    </w:p>
    <w:p w14:paraId="0B1FBE8F" w14:textId="77777777" w:rsidR="00575958" w:rsidRPr="009D660E" w:rsidRDefault="00575958" w:rsidP="002E6AB5">
      <w:pPr>
        <w:spacing w:line="276" w:lineRule="auto"/>
        <w:jc w:val="both"/>
        <w:rPr>
          <w:highlight w:val="yellow"/>
          <w:lang w:val="it-IT"/>
        </w:rPr>
      </w:pPr>
    </w:p>
    <w:p w14:paraId="1D2C98FE" w14:textId="6E326D2E" w:rsidR="00097914" w:rsidRPr="009D660E" w:rsidRDefault="004138B1" w:rsidP="002E6AB5">
      <w:pPr>
        <w:spacing w:line="276" w:lineRule="auto"/>
        <w:jc w:val="both"/>
        <w:rPr>
          <w:lang w:val="it-IT"/>
        </w:rPr>
      </w:pPr>
      <w:r w:rsidRPr="009D660E">
        <w:rPr>
          <w:lang w:val="it-IT"/>
        </w:rPr>
        <w:lastRenderedPageBreak/>
        <w:t>K</w:t>
      </w:r>
      <w:r w:rsidR="00160965" w:rsidRPr="009D660E">
        <w:rPr>
          <w:lang w:val="it-IT"/>
        </w:rPr>
        <w:t>ë</w:t>
      </w:r>
      <w:r w:rsidRPr="009D660E">
        <w:rPr>
          <w:lang w:val="it-IT"/>
        </w:rPr>
        <w:t>to strategji plot</w:t>
      </w:r>
      <w:r w:rsidR="00160965" w:rsidRPr="009D660E">
        <w:rPr>
          <w:lang w:val="it-IT"/>
        </w:rPr>
        <w:t>ë</w:t>
      </w:r>
      <w:r w:rsidRPr="009D660E">
        <w:rPr>
          <w:lang w:val="it-IT"/>
        </w:rPr>
        <w:t>suese p</w:t>
      </w:r>
      <w:r w:rsidR="00160965" w:rsidRPr="009D660E">
        <w:rPr>
          <w:lang w:val="it-IT"/>
        </w:rPr>
        <w:t>ë</w:t>
      </w:r>
      <w:r w:rsidRPr="009D660E">
        <w:rPr>
          <w:lang w:val="it-IT"/>
        </w:rPr>
        <w:t>rb</w:t>
      </w:r>
      <w:r w:rsidR="00160965" w:rsidRPr="009D660E">
        <w:rPr>
          <w:lang w:val="it-IT"/>
        </w:rPr>
        <w:t>ë</w:t>
      </w:r>
      <w:r w:rsidRPr="009D660E">
        <w:rPr>
          <w:lang w:val="it-IT"/>
        </w:rPr>
        <w:t>jn</w:t>
      </w:r>
      <w:r w:rsidR="00160965" w:rsidRPr="009D660E">
        <w:rPr>
          <w:lang w:val="it-IT"/>
        </w:rPr>
        <w:t>ë</w:t>
      </w:r>
      <w:r w:rsidRPr="009D660E">
        <w:rPr>
          <w:lang w:val="it-IT"/>
        </w:rPr>
        <w:t xml:space="preserve"> nj</w:t>
      </w:r>
      <w:r w:rsidR="00160965" w:rsidRPr="009D660E">
        <w:rPr>
          <w:lang w:val="it-IT"/>
        </w:rPr>
        <w:t>ë</w:t>
      </w:r>
      <w:r w:rsidRPr="009D660E">
        <w:rPr>
          <w:lang w:val="it-IT"/>
        </w:rPr>
        <w:t xml:space="preserve"> pjes</w:t>
      </w:r>
      <w:r w:rsidR="00160965" w:rsidRPr="009D660E">
        <w:rPr>
          <w:lang w:val="it-IT"/>
        </w:rPr>
        <w:t>ë</w:t>
      </w:r>
      <w:r w:rsidRPr="009D660E">
        <w:rPr>
          <w:lang w:val="it-IT"/>
        </w:rPr>
        <w:t xml:space="preserve"> integrale t</w:t>
      </w:r>
      <w:r w:rsidR="00160965" w:rsidRPr="009D660E">
        <w:rPr>
          <w:lang w:val="it-IT"/>
        </w:rPr>
        <w:t>ë</w:t>
      </w:r>
      <w:r w:rsidRPr="009D660E">
        <w:rPr>
          <w:lang w:val="it-IT"/>
        </w:rPr>
        <w:t xml:space="preserve"> strategjis</w:t>
      </w:r>
      <w:r w:rsidR="00160965" w:rsidRPr="009D660E">
        <w:rPr>
          <w:lang w:val="it-IT"/>
        </w:rPr>
        <w:t>ë</w:t>
      </w:r>
      <w:r w:rsidRPr="009D660E">
        <w:rPr>
          <w:lang w:val="it-IT"/>
        </w:rPr>
        <w:t xml:space="preserve"> s</w:t>
      </w:r>
      <w:r w:rsidR="00160965" w:rsidRPr="009D660E">
        <w:rPr>
          <w:lang w:val="it-IT"/>
        </w:rPr>
        <w:t>ë</w:t>
      </w:r>
      <w:r w:rsidRPr="009D660E">
        <w:rPr>
          <w:lang w:val="it-IT"/>
        </w:rPr>
        <w:t xml:space="preserve"> p</w:t>
      </w:r>
      <w:r w:rsidR="00160965" w:rsidRPr="009D660E">
        <w:rPr>
          <w:lang w:val="it-IT"/>
        </w:rPr>
        <w:t>ë</w:t>
      </w:r>
      <w:r w:rsidRPr="009D660E">
        <w:rPr>
          <w:lang w:val="it-IT"/>
        </w:rPr>
        <w:t>rgjithshme sektoriale t</w:t>
      </w:r>
      <w:r w:rsidR="00160965" w:rsidRPr="009D660E">
        <w:rPr>
          <w:lang w:val="it-IT"/>
        </w:rPr>
        <w:t>ë</w:t>
      </w:r>
      <w:r w:rsidRPr="009D660E">
        <w:rPr>
          <w:lang w:val="it-IT"/>
        </w:rPr>
        <w:t xml:space="preserve"> MFP-s</w:t>
      </w:r>
      <w:r w:rsidR="00160965" w:rsidRPr="009D660E">
        <w:rPr>
          <w:lang w:val="it-IT"/>
        </w:rPr>
        <w:t>ë</w:t>
      </w:r>
      <w:r w:rsidRPr="009D660E">
        <w:rPr>
          <w:lang w:val="it-IT"/>
        </w:rPr>
        <w:t xml:space="preserve"> 2023-2030 dhe kuadrit t</w:t>
      </w:r>
      <w:r w:rsidR="00160965" w:rsidRPr="009D660E">
        <w:rPr>
          <w:lang w:val="it-IT"/>
        </w:rPr>
        <w:t>ë</w:t>
      </w:r>
      <w:r w:rsidR="005A69A2" w:rsidRPr="009D660E">
        <w:rPr>
          <w:lang w:val="it-IT"/>
        </w:rPr>
        <w:t xml:space="preserve"> saj monitoru</w:t>
      </w:r>
      <w:r w:rsidRPr="009D660E">
        <w:rPr>
          <w:lang w:val="it-IT"/>
        </w:rPr>
        <w:t>es. N</w:t>
      </w:r>
      <w:r w:rsidR="00160965" w:rsidRPr="009D660E">
        <w:rPr>
          <w:lang w:val="it-IT"/>
        </w:rPr>
        <w:t>ë</w:t>
      </w:r>
      <w:r w:rsidRPr="009D660E">
        <w:rPr>
          <w:lang w:val="it-IT"/>
        </w:rPr>
        <w:t xml:space="preserve"> strategjin</w:t>
      </w:r>
      <w:r w:rsidR="00160965" w:rsidRPr="009D660E">
        <w:rPr>
          <w:lang w:val="it-IT"/>
        </w:rPr>
        <w:t>ë</w:t>
      </w:r>
      <w:r w:rsidR="00097914" w:rsidRPr="009D660E">
        <w:rPr>
          <w:lang w:val="it-IT"/>
        </w:rPr>
        <w:t xml:space="preserve"> </w:t>
      </w:r>
      <w:r w:rsidRPr="009D660E">
        <w:rPr>
          <w:lang w:val="it-IT"/>
        </w:rPr>
        <w:t>sektoriale 2023-2030 integrohen kurdoher</w:t>
      </w:r>
      <w:r w:rsidR="00160965" w:rsidRPr="009D660E">
        <w:rPr>
          <w:lang w:val="it-IT"/>
        </w:rPr>
        <w:t>ë</w:t>
      </w:r>
      <w:r w:rsidRPr="009D660E">
        <w:rPr>
          <w:lang w:val="it-IT"/>
        </w:rPr>
        <w:t xml:space="preserve"> q</w:t>
      </w:r>
      <w:r w:rsidR="00160965" w:rsidRPr="009D660E">
        <w:rPr>
          <w:lang w:val="it-IT"/>
        </w:rPr>
        <w:t>ë</w:t>
      </w:r>
      <w:r w:rsidRPr="009D660E">
        <w:rPr>
          <w:lang w:val="it-IT"/>
        </w:rPr>
        <w:t xml:space="preserve"> jan</w:t>
      </w:r>
      <w:r w:rsidR="00160965" w:rsidRPr="009D660E">
        <w:rPr>
          <w:lang w:val="it-IT"/>
        </w:rPr>
        <w:t>ë</w:t>
      </w:r>
      <w:r w:rsidRPr="009D660E">
        <w:rPr>
          <w:lang w:val="it-IT"/>
        </w:rPr>
        <w:t xml:space="preserve"> relevante objektivat, masat, aktivitetet, vlerat e synuara dhe treguesit e performanc</w:t>
      </w:r>
      <w:r w:rsidR="00160965" w:rsidRPr="009D660E">
        <w:rPr>
          <w:lang w:val="it-IT"/>
        </w:rPr>
        <w:t>ë</w:t>
      </w:r>
      <w:r w:rsidRPr="009D660E">
        <w:rPr>
          <w:lang w:val="it-IT"/>
        </w:rPr>
        <w:t>s nga k</w:t>
      </w:r>
      <w:r w:rsidR="00160965" w:rsidRPr="009D660E">
        <w:rPr>
          <w:lang w:val="it-IT"/>
        </w:rPr>
        <w:t>ë</w:t>
      </w:r>
      <w:r w:rsidRPr="009D660E">
        <w:rPr>
          <w:lang w:val="it-IT"/>
        </w:rPr>
        <w:t xml:space="preserve">to strategji. </w:t>
      </w:r>
    </w:p>
    <w:p w14:paraId="4671EF18" w14:textId="77777777" w:rsidR="007E2B4E" w:rsidRPr="009D660E" w:rsidRDefault="007E2B4E" w:rsidP="002E6AB5">
      <w:pPr>
        <w:spacing w:line="276" w:lineRule="auto"/>
        <w:jc w:val="both"/>
        <w:rPr>
          <w:highlight w:val="yellow"/>
          <w:lang w:val="it-IT"/>
        </w:rPr>
      </w:pPr>
    </w:p>
    <w:p w14:paraId="7CF347E1" w14:textId="67CD050B" w:rsidR="007A742A" w:rsidRPr="009D660E" w:rsidRDefault="004138B1" w:rsidP="002E6AB5">
      <w:pPr>
        <w:spacing w:line="276" w:lineRule="auto"/>
        <w:jc w:val="both"/>
        <w:rPr>
          <w:b/>
          <w:bCs/>
          <w:lang w:val="it-IT"/>
        </w:rPr>
      </w:pPr>
      <w:r w:rsidRPr="009D660E">
        <w:rPr>
          <w:b/>
          <w:bCs/>
          <w:lang w:val="it-IT"/>
        </w:rPr>
        <w:t>Strategjia Afatmesme e t</w:t>
      </w:r>
      <w:r w:rsidR="00160965" w:rsidRPr="009D660E">
        <w:rPr>
          <w:b/>
          <w:bCs/>
          <w:lang w:val="it-IT"/>
        </w:rPr>
        <w:t>ë</w:t>
      </w:r>
      <w:r w:rsidRPr="009D660E">
        <w:rPr>
          <w:b/>
          <w:bCs/>
          <w:lang w:val="it-IT"/>
        </w:rPr>
        <w:t xml:space="preserve"> Ardhurave</w:t>
      </w:r>
      <w:r w:rsidR="007A742A" w:rsidRPr="009D660E">
        <w:rPr>
          <w:b/>
          <w:bCs/>
          <w:lang w:val="it-IT"/>
        </w:rPr>
        <w:t xml:space="preserve"> 2022-2026</w:t>
      </w:r>
    </w:p>
    <w:p w14:paraId="1C1977A1" w14:textId="53C60A65" w:rsidR="007A742A" w:rsidRPr="009D660E" w:rsidRDefault="004138B1" w:rsidP="002E6AB5">
      <w:pPr>
        <w:spacing w:line="276" w:lineRule="auto"/>
        <w:jc w:val="both"/>
        <w:rPr>
          <w:bCs/>
          <w:lang w:val="it-IT"/>
        </w:rPr>
      </w:pPr>
      <w:r w:rsidRPr="009D660E">
        <w:rPr>
          <w:lang w:val="it-IT"/>
        </w:rPr>
        <w:t>Shqip</w:t>
      </w:r>
      <w:r w:rsidR="00160965" w:rsidRPr="009D660E">
        <w:rPr>
          <w:lang w:val="it-IT"/>
        </w:rPr>
        <w:t>ë</w:t>
      </w:r>
      <w:r w:rsidRPr="009D660E">
        <w:rPr>
          <w:lang w:val="it-IT"/>
        </w:rPr>
        <w:t>ria ka hartuar Strategjin</w:t>
      </w:r>
      <w:r w:rsidR="00160965" w:rsidRPr="009D660E">
        <w:rPr>
          <w:lang w:val="it-IT"/>
        </w:rPr>
        <w:t>ë</w:t>
      </w:r>
      <w:r w:rsidRPr="009D660E">
        <w:rPr>
          <w:lang w:val="it-IT"/>
        </w:rPr>
        <w:t xml:space="preserve"> Afatmesme t</w:t>
      </w:r>
      <w:r w:rsidR="00160965" w:rsidRPr="009D660E">
        <w:rPr>
          <w:lang w:val="it-IT"/>
        </w:rPr>
        <w:t>ë</w:t>
      </w:r>
      <w:r w:rsidRPr="009D660E">
        <w:rPr>
          <w:lang w:val="it-IT"/>
        </w:rPr>
        <w:t xml:space="preserve"> t</w:t>
      </w:r>
      <w:r w:rsidR="00160965" w:rsidRPr="009D660E">
        <w:rPr>
          <w:lang w:val="it-IT"/>
        </w:rPr>
        <w:t>ë</w:t>
      </w:r>
      <w:r w:rsidRPr="009D660E">
        <w:rPr>
          <w:lang w:val="it-IT"/>
        </w:rPr>
        <w:t xml:space="preserve"> Ardhurave 2022-2026 dhe q</w:t>
      </w:r>
      <w:r w:rsidR="00160965" w:rsidRPr="009D660E">
        <w:rPr>
          <w:lang w:val="it-IT"/>
        </w:rPr>
        <w:t>ë</w:t>
      </w:r>
      <w:r w:rsidRPr="009D660E">
        <w:rPr>
          <w:lang w:val="it-IT"/>
        </w:rPr>
        <w:t xml:space="preserve"> nga janari 2022 </w:t>
      </w:r>
      <w:r w:rsidR="00160965" w:rsidRPr="009D660E">
        <w:rPr>
          <w:lang w:val="it-IT"/>
        </w:rPr>
        <w:t>ë</w:t>
      </w:r>
      <w:r w:rsidRPr="009D660E">
        <w:rPr>
          <w:lang w:val="it-IT"/>
        </w:rPr>
        <w:t>sht</w:t>
      </w:r>
      <w:r w:rsidR="00160965" w:rsidRPr="009D660E">
        <w:rPr>
          <w:lang w:val="it-IT"/>
        </w:rPr>
        <w:t>ë</w:t>
      </w:r>
      <w:r w:rsidRPr="009D660E">
        <w:rPr>
          <w:lang w:val="it-IT"/>
        </w:rPr>
        <w:t xml:space="preserve"> n</w:t>
      </w:r>
      <w:r w:rsidR="00160965" w:rsidRPr="009D660E">
        <w:rPr>
          <w:lang w:val="it-IT"/>
        </w:rPr>
        <w:t>ë</w:t>
      </w:r>
      <w:r w:rsidRPr="009D660E">
        <w:rPr>
          <w:lang w:val="it-IT"/>
        </w:rPr>
        <w:t xml:space="preserve"> proces zbatimi i masave t</w:t>
      </w:r>
      <w:r w:rsidR="00160965" w:rsidRPr="009D660E">
        <w:rPr>
          <w:lang w:val="it-IT"/>
        </w:rPr>
        <w:t>ë</w:t>
      </w:r>
      <w:r w:rsidRPr="009D660E">
        <w:rPr>
          <w:lang w:val="it-IT"/>
        </w:rPr>
        <w:t xml:space="preserve"> p</w:t>
      </w:r>
      <w:r w:rsidR="00160965" w:rsidRPr="009D660E">
        <w:rPr>
          <w:lang w:val="it-IT"/>
        </w:rPr>
        <w:t>ë</w:t>
      </w:r>
      <w:r w:rsidRPr="009D660E">
        <w:rPr>
          <w:lang w:val="it-IT"/>
        </w:rPr>
        <w:t xml:space="preserve">rshkruara. </w:t>
      </w:r>
      <w:r w:rsidR="00CA13FD" w:rsidRPr="009D660E">
        <w:rPr>
          <w:lang w:val="it-IT"/>
        </w:rPr>
        <w:t xml:space="preserve">Strategjia </w:t>
      </w:r>
      <w:r w:rsidR="00160965" w:rsidRPr="009D660E">
        <w:rPr>
          <w:lang w:val="it-IT"/>
        </w:rPr>
        <w:t>ë</w:t>
      </w:r>
      <w:r w:rsidR="00CA13FD" w:rsidRPr="009D660E">
        <w:rPr>
          <w:lang w:val="it-IT"/>
        </w:rPr>
        <w:t>sht</w:t>
      </w:r>
      <w:r w:rsidR="00160965" w:rsidRPr="009D660E">
        <w:rPr>
          <w:lang w:val="it-IT"/>
        </w:rPr>
        <w:t>ë</w:t>
      </w:r>
      <w:r w:rsidR="00CA13FD" w:rsidRPr="009D660E">
        <w:rPr>
          <w:lang w:val="it-IT"/>
        </w:rPr>
        <w:t xml:space="preserve"> nj</w:t>
      </w:r>
      <w:r w:rsidR="00160965" w:rsidRPr="009D660E">
        <w:rPr>
          <w:lang w:val="it-IT"/>
        </w:rPr>
        <w:t>ë</w:t>
      </w:r>
      <w:r w:rsidR="00CA13FD" w:rsidRPr="009D660E">
        <w:rPr>
          <w:lang w:val="it-IT"/>
        </w:rPr>
        <w:t xml:space="preserve"> udh</w:t>
      </w:r>
      <w:r w:rsidR="00160965" w:rsidRPr="009D660E">
        <w:rPr>
          <w:lang w:val="it-IT"/>
        </w:rPr>
        <w:t>ë</w:t>
      </w:r>
      <w:r w:rsidR="00CA13FD" w:rsidRPr="009D660E">
        <w:rPr>
          <w:lang w:val="it-IT"/>
        </w:rPr>
        <w:t>rr</w:t>
      </w:r>
      <w:r w:rsidR="00160965" w:rsidRPr="009D660E">
        <w:rPr>
          <w:lang w:val="it-IT"/>
        </w:rPr>
        <w:t>ë</w:t>
      </w:r>
      <w:r w:rsidR="00CA13FD" w:rsidRPr="009D660E">
        <w:rPr>
          <w:lang w:val="it-IT"/>
        </w:rPr>
        <w:t>fyes i nivelit t</w:t>
      </w:r>
      <w:r w:rsidR="00160965" w:rsidRPr="009D660E">
        <w:rPr>
          <w:lang w:val="it-IT"/>
        </w:rPr>
        <w:t>ë</w:t>
      </w:r>
      <w:r w:rsidR="00CA13FD" w:rsidRPr="009D660E">
        <w:rPr>
          <w:lang w:val="it-IT"/>
        </w:rPr>
        <w:t xml:space="preserve"> lart</w:t>
      </w:r>
      <w:r w:rsidR="00160965" w:rsidRPr="009D660E">
        <w:rPr>
          <w:lang w:val="it-IT"/>
        </w:rPr>
        <w:t>ë</w:t>
      </w:r>
      <w:r w:rsidR="00CA13FD" w:rsidRPr="009D660E">
        <w:rPr>
          <w:lang w:val="it-IT"/>
        </w:rPr>
        <w:t xml:space="preserve"> n</w:t>
      </w:r>
      <w:r w:rsidR="00160965" w:rsidRPr="009D660E">
        <w:rPr>
          <w:lang w:val="it-IT"/>
        </w:rPr>
        <w:t>ë</w:t>
      </w:r>
      <w:r w:rsidR="00CA13FD" w:rsidRPr="009D660E">
        <w:rPr>
          <w:lang w:val="it-IT"/>
        </w:rPr>
        <w:t xml:space="preserve"> periudh</w:t>
      </w:r>
      <w:r w:rsidR="00160965" w:rsidRPr="009D660E">
        <w:rPr>
          <w:lang w:val="it-IT"/>
        </w:rPr>
        <w:t>ë</w:t>
      </w:r>
      <w:r w:rsidR="00CA13FD" w:rsidRPr="009D660E">
        <w:rPr>
          <w:lang w:val="it-IT"/>
        </w:rPr>
        <w:t>n afatmesme p</w:t>
      </w:r>
      <w:r w:rsidR="00160965" w:rsidRPr="009D660E">
        <w:rPr>
          <w:lang w:val="it-IT"/>
        </w:rPr>
        <w:t>ë</w:t>
      </w:r>
      <w:r w:rsidR="00CA13FD" w:rsidRPr="009D660E">
        <w:rPr>
          <w:lang w:val="it-IT"/>
        </w:rPr>
        <w:t>r reform</w:t>
      </w:r>
      <w:r w:rsidR="00160965" w:rsidRPr="009D660E">
        <w:rPr>
          <w:lang w:val="it-IT"/>
        </w:rPr>
        <w:t>ë</w:t>
      </w:r>
      <w:r w:rsidR="00CA13FD" w:rsidRPr="009D660E">
        <w:rPr>
          <w:lang w:val="it-IT"/>
        </w:rPr>
        <w:t>n e sistemit tatimor, e nevojshme p</w:t>
      </w:r>
      <w:r w:rsidR="00160965" w:rsidRPr="009D660E">
        <w:rPr>
          <w:lang w:val="it-IT"/>
        </w:rPr>
        <w:t>ë</w:t>
      </w:r>
      <w:r w:rsidR="00CA13FD" w:rsidRPr="009D660E">
        <w:rPr>
          <w:lang w:val="it-IT"/>
        </w:rPr>
        <w:t>r t</w:t>
      </w:r>
      <w:r w:rsidR="00160965" w:rsidRPr="009D660E">
        <w:rPr>
          <w:lang w:val="it-IT"/>
        </w:rPr>
        <w:t>ë</w:t>
      </w:r>
      <w:r w:rsidR="00CA13FD" w:rsidRPr="009D660E">
        <w:rPr>
          <w:lang w:val="it-IT"/>
        </w:rPr>
        <w:t xml:space="preserve"> ndihmuar </w:t>
      </w:r>
      <w:r w:rsidR="00020ADC" w:rsidRPr="009D660E">
        <w:rPr>
          <w:lang w:val="it-IT"/>
        </w:rPr>
        <w:t>n</w:t>
      </w:r>
      <w:r w:rsidR="00160965" w:rsidRPr="009D660E">
        <w:rPr>
          <w:lang w:val="it-IT"/>
        </w:rPr>
        <w:t>ë</w:t>
      </w:r>
      <w:r w:rsidR="00020ADC" w:rsidRPr="009D660E">
        <w:rPr>
          <w:lang w:val="it-IT"/>
        </w:rPr>
        <w:t xml:space="preserve"> financimin e o</w:t>
      </w:r>
      <w:r w:rsidR="00895716" w:rsidRPr="009D660E">
        <w:rPr>
          <w:lang w:val="it-IT"/>
        </w:rPr>
        <w:t>bjektivave strategjike te qeveris</w:t>
      </w:r>
      <w:r w:rsidR="00160965" w:rsidRPr="009D660E">
        <w:rPr>
          <w:lang w:val="it-IT"/>
        </w:rPr>
        <w:t>ë</w:t>
      </w:r>
      <w:r w:rsidR="00895716" w:rsidRPr="009D660E">
        <w:rPr>
          <w:lang w:val="it-IT"/>
        </w:rPr>
        <w:t>. Strategjia pasqyron reformat n</w:t>
      </w:r>
      <w:r w:rsidR="00160965" w:rsidRPr="009D660E">
        <w:rPr>
          <w:lang w:val="it-IT"/>
        </w:rPr>
        <w:t>ë</w:t>
      </w:r>
      <w:r w:rsidR="00895716" w:rsidRPr="009D660E">
        <w:rPr>
          <w:lang w:val="it-IT"/>
        </w:rPr>
        <w:t xml:space="preserve"> fush</w:t>
      </w:r>
      <w:r w:rsidR="00160965" w:rsidRPr="009D660E">
        <w:rPr>
          <w:lang w:val="it-IT"/>
        </w:rPr>
        <w:t>ë</w:t>
      </w:r>
      <w:r w:rsidR="00895716" w:rsidRPr="009D660E">
        <w:rPr>
          <w:lang w:val="it-IT"/>
        </w:rPr>
        <w:t>n e politikave tatimore dhe administrat</w:t>
      </w:r>
      <w:r w:rsidR="00160965" w:rsidRPr="009D660E">
        <w:rPr>
          <w:lang w:val="it-IT"/>
        </w:rPr>
        <w:t>ë</w:t>
      </w:r>
      <w:r w:rsidR="00895716" w:rsidRPr="009D660E">
        <w:rPr>
          <w:lang w:val="it-IT"/>
        </w:rPr>
        <w:t>s tatimore dhe doganore q</w:t>
      </w:r>
      <w:r w:rsidR="00160965" w:rsidRPr="009D660E">
        <w:rPr>
          <w:lang w:val="it-IT"/>
        </w:rPr>
        <w:t>ë</w:t>
      </w:r>
      <w:r w:rsidR="00895716" w:rsidRPr="009D660E">
        <w:rPr>
          <w:lang w:val="it-IT"/>
        </w:rPr>
        <w:t xml:space="preserve"> pritet t</w:t>
      </w:r>
      <w:r w:rsidR="00160965" w:rsidRPr="009D660E">
        <w:rPr>
          <w:lang w:val="it-IT"/>
        </w:rPr>
        <w:t>ë</w:t>
      </w:r>
      <w:r w:rsidR="00895716" w:rsidRPr="009D660E">
        <w:rPr>
          <w:lang w:val="it-IT"/>
        </w:rPr>
        <w:t xml:space="preserve"> nd</w:t>
      </w:r>
      <w:r w:rsidR="00160965" w:rsidRPr="009D660E">
        <w:rPr>
          <w:lang w:val="it-IT"/>
        </w:rPr>
        <w:t>ë</w:t>
      </w:r>
      <w:r w:rsidR="00895716" w:rsidRPr="009D660E">
        <w:rPr>
          <w:lang w:val="it-IT"/>
        </w:rPr>
        <w:t>rmerren gjat</w:t>
      </w:r>
      <w:r w:rsidR="00160965" w:rsidRPr="009D660E">
        <w:rPr>
          <w:lang w:val="it-IT"/>
        </w:rPr>
        <w:t>ë</w:t>
      </w:r>
      <w:r w:rsidR="00895716" w:rsidRPr="009D660E">
        <w:rPr>
          <w:lang w:val="it-IT"/>
        </w:rPr>
        <w:t xml:space="preserve"> k</w:t>
      </w:r>
      <w:r w:rsidR="00160965" w:rsidRPr="009D660E">
        <w:rPr>
          <w:lang w:val="it-IT"/>
        </w:rPr>
        <w:t>ë</w:t>
      </w:r>
      <w:r w:rsidR="00895716" w:rsidRPr="009D660E">
        <w:rPr>
          <w:lang w:val="it-IT"/>
        </w:rPr>
        <w:t>tij pes</w:t>
      </w:r>
      <w:r w:rsidR="00160965" w:rsidRPr="009D660E">
        <w:rPr>
          <w:lang w:val="it-IT"/>
        </w:rPr>
        <w:t>ë</w:t>
      </w:r>
      <w:r w:rsidR="00895716" w:rsidRPr="009D660E">
        <w:rPr>
          <w:lang w:val="it-IT"/>
        </w:rPr>
        <w:t>vjeçari, me synim p</w:t>
      </w:r>
      <w:r w:rsidR="00160965" w:rsidRPr="009D660E">
        <w:rPr>
          <w:lang w:val="it-IT"/>
        </w:rPr>
        <w:t>ë</w:t>
      </w:r>
      <w:r w:rsidR="00895716" w:rsidRPr="009D660E">
        <w:rPr>
          <w:lang w:val="it-IT"/>
        </w:rPr>
        <w:t>rmir</w:t>
      </w:r>
      <w:r w:rsidR="00160965" w:rsidRPr="009D660E">
        <w:rPr>
          <w:lang w:val="it-IT"/>
        </w:rPr>
        <w:t>ë</w:t>
      </w:r>
      <w:r w:rsidR="00895716" w:rsidRPr="009D660E">
        <w:rPr>
          <w:lang w:val="it-IT"/>
        </w:rPr>
        <w:t>simin e politikave fiskale, rritjen e t</w:t>
      </w:r>
      <w:r w:rsidR="00160965" w:rsidRPr="009D660E">
        <w:rPr>
          <w:lang w:val="it-IT"/>
        </w:rPr>
        <w:t>ë</w:t>
      </w:r>
      <w:r w:rsidR="00895716" w:rsidRPr="009D660E">
        <w:rPr>
          <w:lang w:val="it-IT"/>
        </w:rPr>
        <w:t xml:space="preserve"> ardhurave tatimore dhe efektivitetin e administrat</w:t>
      </w:r>
      <w:r w:rsidR="00160965" w:rsidRPr="009D660E">
        <w:rPr>
          <w:lang w:val="it-IT"/>
        </w:rPr>
        <w:t>ë</w:t>
      </w:r>
      <w:r w:rsidR="00895716" w:rsidRPr="009D660E">
        <w:rPr>
          <w:lang w:val="it-IT"/>
        </w:rPr>
        <w:t>s tatimore dhe doganore n</w:t>
      </w:r>
      <w:r w:rsidR="00160965" w:rsidRPr="009D660E">
        <w:rPr>
          <w:lang w:val="it-IT"/>
        </w:rPr>
        <w:t>ë</w:t>
      </w:r>
      <w:r w:rsidR="00895716" w:rsidRPr="009D660E">
        <w:rPr>
          <w:lang w:val="it-IT"/>
        </w:rPr>
        <w:t xml:space="preserve"> mbledhjen e tyre.</w:t>
      </w:r>
      <w:r w:rsidR="007A742A" w:rsidRPr="009D660E">
        <w:rPr>
          <w:bCs/>
          <w:lang w:val="it-IT"/>
        </w:rPr>
        <w:t xml:space="preserve"> </w:t>
      </w:r>
      <w:r w:rsidR="00895716" w:rsidRPr="009D660E">
        <w:rPr>
          <w:bCs/>
          <w:lang w:val="it-IT"/>
        </w:rPr>
        <w:t>N</w:t>
      </w:r>
      <w:r w:rsidR="00160965" w:rsidRPr="009D660E">
        <w:rPr>
          <w:bCs/>
          <w:lang w:val="it-IT"/>
        </w:rPr>
        <w:t>ë</w:t>
      </w:r>
      <w:r w:rsidR="00895716" w:rsidRPr="009D660E">
        <w:rPr>
          <w:bCs/>
          <w:lang w:val="it-IT"/>
        </w:rPr>
        <w:t xml:space="preserve"> t</w:t>
      </w:r>
      <w:r w:rsidR="00160965" w:rsidRPr="009D660E">
        <w:rPr>
          <w:bCs/>
          <w:lang w:val="it-IT"/>
        </w:rPr>
        <w:t>ë</w:t>
      </w:r>
      <w:r w:rsidR="00895716" w:rsidRPr="009D660E">
        <w:rPr>
          <w:bCs/>
          <w:lang w:val="it-IT"/>
        </w:rPr>
        <w:t xml:space="preserve"> nj</w:t>
      </w:r>
      <w:r w:rsidR="00160965" w:rsidRPr="009D660E">
        <w:rPr>
          <w:bCs/>
          <w:lang w:val="it-IT"/>
        </w:rPr>
        <w:t>ë</w:t>
      </w:r>
      <w:r w:rsidR="00895716" w:rsidRPr="009D660E">
        <w:rPr>
          <w:bCs/>
          <w:lang w:val="it-IT"/>
        </w:rPr>
        <w:t>jt</w:t>
      </w:r>
      <w:r w:rsidR="00160965" w:rsidRPr="009D660E">
        <w:rPr>
          <w:bCs/>
          <w:lang w:val="it-IT"/>
        </w:rPr>
        <w:t>ë</w:t>
      </w:r>
      <w:r w:rsidR="00895716" w:rsidRPr="009D660E">
        <w:rPr>
          <w:bCs/>
          <w:lang w:val="it-IT"/>
        </w:rPr>
        <w:t>n m</w:t>
      </w:r>
      <w:r w:rsidR="00160965" w:rsidRPr="009D660E">
        <w:rPr>
          <w:bCs/>
          <w:lang w:val="it-IT"/>
        </w:rPr>
        <w:t>ë</w:t>
      </w:r>
      <w:r w:rsidR="00895716" w:rsidRPr="009D660E">
        <w:rPr>
          <w:bCs/>
          <w:lang w:val="it-IT"/>
        </w:rPr>
        <w:t>nyr</w:t>
      </w:r>
      <w:r w:rsidR="00160965" w:rsidRPr="009D660E">
        <w:rPr>
          <w:bCs/>
          <w:lang w:val="it-IT"/>
        </w:rPr>
        <w:t>ë</w:t>
      </w:r>
      <w:r w:rsidR="00895716" w:rsidRPr="009D660E">
        <w:rPr>
          <w:bCs/>
          <w:lang w:val="it-IT"/>
        </w:rPr>
        <w:t xml:space="preserve"> jan</w:t>
      </w:r>
      <w:r w:rsidR="00160965" w:rsidRPr="009D660E">
        <w:rPr>
          <w:bCs/>
          <w:lang w:val="it-IT"/>
        </w:rPr>
        <w:t>ë</w:t>
      </w:r>
      <w:r w:rsidR="00895716" w:rsidRPr="009D660E">
        <w:rPr>
          <w:bCs/>
          <w:lang w:val="it-IT"/>
        </w:rPr>
        <w:t xml:space="preserve"> p</w:t>
      </w:r>
      <w:r w:rsidR="00160965" w:rsidRPr="009D660E">
        <w:rPr>
          <w:bCs/>
          <w:lang w:val="it-IT"/>
        </w:rPr>
        <w:t>ë</w:t>
      </w:r>
      <w:r w:rsidR="00895716" w:rsidRPr="009D660E">
        <w:rPr>
          <w:bCs/>
          <w:lang w:val="it-IT"/>
        </w:rPr>
        <w:t>rgatitur komponent</w:t>
      </w:r>
      <w:r w:rsidR="00160965" w:rsidRPr="009D660E">
        <w:rPr>
          <w:bCs/>
          <w:lang w:val="it-IT"/>
        </w:rPr>
        <w:t>ë</w:t>
      </w:r>
      <w:r w:rsidR="00895716" w:rsidRPr="009D660E">
        <w:rPr>
          <w:bCs/>
          <w:lang w:val="it-IT"/>
        </w:rPr>
        <w:t>t 3.1 dhe 3.3 (pjes</w:t>
      </w:r>
      <w:r w:rsidR="00160965" w:rsidRPr="009D660E">
        <w:rPr>
          <w:bCs/>
          <w:lang w:val="it-IT"/>
        </w:rPr>
        <w:t>ë</w:t>
      </w:r>
      <w:r w:rsidR="00895716" w:rsidRPr="009D660E">
        <w:rPr>
          <w:bCs/>
          <w:lang w:val="it-IT"/>
        </w:rPr>
        <w:t xml:space="preserve"> e shtyll</w:t>
      </w:r>
      <w:r w:rsidR="00160965" w:rsidRPr="009D660E">
        <w:rPr>
          <w:bCs/>
          <w:lang w:val="it-IT"/>
        </w:rPr>
        <w:t>ë</w:t>
      </w:r>
      <w:r w:rsidR="00A0133F" w:rsidRPr="009D660E">
        <w:rPr>
          <w:bCs/>
          <w:lang w:val="it-IT"/>
        </w:rPr>
        <w:t>s 3 Menaxhimi dhe M</w:t>
      </w:r>
      <w:r w:rsidR="00895716" w:rsidRPr="009D660E">
        <w:rPr>
          <w:bCs/>
          <w:lang w:val="it-IT"/>
        </w:rPr>
        <w:t>obilizimi i t</w:t>
      </w:r>
      <w:r w:rsidR="00160965" w:rsidRPr="009D660E">
        <w:rPr>
          <w:bCs/>
          <w:lang w:val="it-IT"/>
        </w:rPr>
        <w:t>ë</w:t>
      </w:r>
      <w:r w:rsidR="00A0133F" w:rsidRPr="009D660E">
        <w:rPr>
          <w:bCs/>
          <w:lang w:val="it-IT"/>
        </w:rPr>
        <w:t xml:space="preserve"> A</w:t>
      </w:r>
      <w:r w:rsidR="00895716" w:rsidRPr="009D660E">
        <w:rPr>
          <w:bCs/>
          <w:lang w:val="it-IT"/>
        </w:rPr>
        <w:t>rdhurave) ku zhvillohen masat q</w:t>
      </w:r>
      <w:r w:rsidR="00160965" w:rsidRPr="009D660E">
        <w:rPr>
          <w:bCs/>
          <w:lang w:val="it-IT"/>
        </w:rPr>
        <w:t>ë</w:t>
      </w:r>
      <w:r w:rsidR="00895716" w:rsidRPr="009D660E">
        <w:rPr>
          <w:bCs/>
          <w:lang w:val="it-IT"/>
        </w:rPr>
        <w:t xml:space="preserve"> synojn</w:t>
      </w:r>
      <w:r w:rsidR="00160965" w:rsidRPr="009D660E">
        <w:rPr>
          <w:bCs/>
          <w:lang w:val="it-IT"/>
        </w:rPr>
        <w:t>ë</w:t>
      </w:r>
      <w:r w:rsidR="00895716" w:rsidRPr="009D660E">
        <w:rPr>
          <w:bCs/>
          <w:lang w:val="it-IT"/>
        </w:rPr>
        <w:t xml:space="preserve"> rritjen e mobilizimit t</w:t>
      </w:r>
      <w:r w:rsidR="00160965" w:rsidRPr="009D660E">
        <w:rPr>
          <w:bCs/>
          <w:lang w:val="it-IT"/>
        </w:rPr>
        <w:t>ë</w:t>
      </w:r>
      <w:r w:rsidR="00895716" w:rsidRPr="009D660E">
        <w:rPr>
          <w:bCs/>
          <w:lang w:val="it-IT"/>
        </w:rPr>
        <w:t xml:space="preserve"> t</w:t>
      </w:r>
      <w:r w:rsidR="00160965" w:rsidRPr="009D660E">
        <w:rPr>
          <w:bCs/>
          <w:lang w:val="it-IT"/>
        </w:rPr>
        <w:t>ë</w:t>
      </w:r>
      <w:r w:rsidR="00895716" w:rsidRPr="009D660E">
        <w:rPr>
          <w:bCs/>
          <w:lang w:val="it-IT"/>
        </w:rPr>
        <w:t xml:space="preserve"> ardhurave. </w:t>
      </w:r>
    </w:p>
    <w:p w14:paraId="2D94A4DF" w14:textId="77777777" w:rsidR="007E2B4E" w:rsidRPr="009D660E" w:rsidRDefault="007E2B4E" w:rsidP="002E6AB5">
      <w:pPr>
        <w:spacing w:line="276" w:lineRule="auto"/>
        <w:jc w:val="both"/>
        <w:rPr>
          <w:b/>
          <w:bCs/>
          <w:highlight w:val="yellow"/>
          <w:lang w:val="it-IT"/>
        </w:rPr>
      </w:pPr>
    </w:p>
    <w:p w14:paraId="2C7E8B57" w14:textId="2B1123CC" w:rsidR="007E2B4E" w:rsidRPr="009D660E" w:rsidRDefault="00B12BD2" w:rsidP="002E6AB5">
      <w:pPr>
        <w:spacing w:line="276" w:lineRule="auto"/>
        <w:jc w:val="both"/>
        <w:rPr>
          <w:b/>
          <w:bCs/>
          <w:lang w:val="it-IT"/>
        </w:rPr>
      </w:pPr>
      <w:r w:rsidRPr="009D660E">
        <w:rPr>
          <w:b/>
          <w:bCs/>
          <w:lang w:val="it-IT"/>
        </w:rPr>
        <w:t>Strategjia e Biznesit e Administrat</w:t>
      </w:r>
      <w:r w:rsidR="00160965" w:rsidRPr="009D660E">
        <w:rPr>
          <w:b/>
          <w:bCs/>
          <w:lang w:val="it-IT"/>
        </w:rPr>
        <w:t>ë</w:t>
      </w:r>
      <w:r w:rsidRPr="009D660E">
        <w:rPr>
          <w:b/>
          <w:bCs/>
          <w:lang w:val="it-IT"/>
        </w:rPr>
        <w:t>s Doganore</w:t>
      </w:r>
      <w:r w:rsidR="007E2B4E" w:rsidRPr="009D660E">
        <w:rPr>
          <w:b/>
          <w:bCs/>
          <w:lang w:val="it-IT"/>
        </w:rPr>
        <w:t xml:space="preserve"> 2023-2027</w:t>
      </w:r>
    </w:p>
    <w:p w14:paraId="4DCABCEA" w14:textId="6B1E313D" w:rsidR="007A742A" w:rsidRPr="009D660E" w:rsidRDefault="00B12BD2" w:rsidP="002E6AB5">
      <w:pPr>
        <w:spacing w:line="276" w:lineRule="auto"/>
        <w:jc w:val="both"/>
        <w:rPr>
          <w:b/>
          <w:bCs/>
          <w:lang w:val="it-IT"/>
        </w:rPr>
      </w:pPr>
      <w:r w:rsidRPr="009D660E">
        <w:rPr>
          <w:lang w:val="it-IT"/>
        </w:rPr>
        <w:t>Strategjia e MFP-s</w:t>
      </w:r>
      <w:r w:rsidR="00160965" w:rsidRPr="009D660E">
        <w:rPr>
          <w:lang w:val="it-IT"/>
        </w:rPr>
        <w:t>ë</w:t>
      </w:r>
      <w:r w:rsidRPr="009D660E">
        <w:rPr>
          <w:lang w:val="it-IT"/>
        </w:rPr>
        <w:t xml:space="preserve"> </w:t>
      </w:r>
      <w:r w:rsidR="00160965" w:rsidRPr="009D660E">
        <w:rPr>
          <w:lang w:val="it-IT"/>
        </w:rPr>
        <w:t>ë</w:t>
      </w:r>
      <w:r w:rsidRPr="009D660E">
        <w:rPr>
          <w:lang w:val="it-IT"/>
        </w:rPr>
        <w:t>sht</w:t>
      </w:r>
      <w:r w:rsidR="00160965" w:rsidRPr="009D660E">
        <w:rPr>
          <w:lang w:val="it-IT"/>
        </w:rPr>
        <w:t>ë</w:t>
      </w:r>
      <w:r w:rsidRPr="009D660E">
        <w:rPr>
          <w:lang w:val="it-IT"/>
        </w:rPr>
        <w:t xml:space="preserve"> n</w:t>
      </w:r>
      <w:r w:rsidR="00160965" w:rsidRPr="009D660E">
        <w:rPr>
          <w:lang w:val="it-IT"/>
        </w:rPr>
        <w:t>ë</w:t>
      </w:r>
      <w:r w:rsidRPr="009D660E">
        <w:rPr>
          <w:lang w:val="it-IT"/>
        </w:rPr>
        <w:t xml:space="preserve"> p</w:t>
      </w:r>
      <w:r w:rsidR="00160965" w:rsidRPr="009D660E">
        <w:rPr>
          <w:lang w:val="it-IT"/>
        </w:rPr>
        <w:t>ë</w:t>
      </w:r>
      <w:r w:rsidRPr="009D660E">
        <w:rPr>
          <w:lang w:val="it-IT"/>
        </w:rPr>
        <w:t>rputhje edhe me draft Strategjin</w:t>
      </w:r>
      <w:r w:rsidR="00160965" w:rsidRPr="009D660E">
        <w:rPr>
          <w:lang w:val="it-IT"/>
        </w:rPr>
        <w:t>ë</w:t>
      </w:r>
      <w:r w:rsidRPr="009D660E">
        <w:rPr>
          <w:lang w:val="it-IT"/>
        </w:rPr>
        <w:t xml:space="preserve"> e Biznesit t</w:t>
      </w:r>
      <w:r w:rsidR="00160965" w:rsidRPr="009D660E">
        <w:rPr>
          <w:lang w:val="it-IT"/>
        </w:rPr>
        <w:t>ë</w:t>
      </w:r>
      <w:r w:rsidRPr="009D660E">
        <w:rPr>
          <w:lang w:val="it-IT"/>
        </w:rPr>
        <w:t xml:space="preserve"> Administrat</w:t>
      </w:r>
      <w:r w:rsidR="00160965" w:rsidRPr="009D660E">
        <w:rPr>
          <w:lang w:val="it-IT"/>
        </w:rPr>
        <w:t>ë</w:t>
      </w:r>
      <w:r w:rsidRPr="009D660E">
        <w:rPr>
          <w:lang w:val="it-IT"/>
        </w:rPr>
        <w:t xml:space="preserve">s Doganore Shqiptare 2023-2027. Strategjia </w:t>
      </w:r>
      <w:r w:rsidR="00160965" w:rsidRPr="009D660E">
        <w:rPr>
          <w:lang w:val="it-IT"/>
        </w:rPr>
        <w:t>ë</w:t>
      </w:r>
      <w:r w:rsidRPr="009D660E">
        <w:rPr>
          <w:lang w:val="it-IT"/>
        </w:rPr>
        <w:t>sht</w:t>
      </w:r>
      <w:r w:rsidR="00160965" w:rsidRPr="009D660E">
        <w:rPr>
          <w:lang w:val="it-IT"/>
        </w:rPr>
        <w:t>ë</w:t>
      </w:r>
      <w:r w:rsidRPr="009D660E">
        <w:rPr>
          <w:lang w:val="it-IT"/>
        </w:rPr>
        <w:t xml:space="preserve"> hartuar p</w:t>
      </w:r>
      <w:r w:rsidR="00160965" w:rsidRPr="009D660E">
        <w:rPr>
          <w:lang w:val="it-IT"/>
        </w:rPr>
        <w:t>ë</w:t>
      </w:r>
      <w:r w:rsidRPr="009D660E">
        <w:rPr>
          <w:lang w:val="it-IT"/>
        </w:rPr>
        <w:t>r t</w:t>
      </w:r>
      <w:r w:rsidR="00160965" w:rsidRPr="009D660E">
        <w:rPr>
          <w:lang w:val="it-IT"/>
        </w:rPr>
        <w:t>ë</w:t>
      </w:r>
      <w:r w:rsidRPr="009D660E">
        <w:rPr>
          <w:lang w:val="it-IT"/>
        </w:rPr>
        <w:t xml:space="preserve"> udh</w:t>
      </w:r>
      <w:r w:rsidR="00160965" w:rsidRPr="009D660E">
        <w:rPr>
          <w:lang w:val="it-IT"/>
        </w:rPr>
        <w:t>ë</w:t>
      </w:r>
      <w:r w:rsidRPr="009D660E">
        <w:rPr>
          <w:lang w:val="it-IT"/>
        </w:rPr>
        <w:t>hequr aktivitetet e Administrat</w:t>
      </w:r>
      <w:r w:rsidR="00160965" w:rsidRPr="009D660E">
        <w:rPr>
          <w:lang w:val="it-IT"/>
        </w:rPr>
        <w:t>ë</w:t>
      </w:r>
      <w:r w:rsidRPr="009D660E">
        <w:rPr>
          <w:lang w:val="it-IT"/>
        </w:rPr>
        <w:t>s Doganore Shqiptare n</w:t>
      </w:r>
      <w:r w:rsidR="00160965" w:rsidRPr="009D660E">
        <w:rPr>
          <w:lang w:val="it-IT"/>
        </w:rPr>
        <w:t>ë</w:t>
      </w:r>
      <w:r w:rsidRPr="009D660E">
        <w:rPr>
          <w:lang w:val="it-IT"/>
        </w:rPr>
        <w:t xml:space="preserve"> periudh</w:t>
      </w:r>
      <w:r w:rsidR="00160965" w:rsidRPr="009D660E">
        <w:rPr>
          <w:lang w:val="it-IT"/>
        </w:rPr>
        <w:t>ë</w:t>
      </w:r>
      <w:r w:rsidRPr="009D660E">
        <w:rPr>
          <w:lang w:val="it-IT"/>
        </w:rPr>
        <w:t>n nga viti 2023 deri n</w:t>
      </w:r>
      <w:r w:rsidR="00160965" w:rsidRPr="009D660E">
        <w:rPr>
          <w:lang w:val="it-IT"/>
        </w:rPr>
        <w:t>ë</w:t>
      </w:r>
      <w:r w:rsidRPr="009D660E">
        <w:rPr>
          <w:lang w:val="it-IT"/>
        </w:rPr>
        <w:t xml:space="preserve"> vitin 2027 n</w:t>
      </w:r>
      <w:r w:rsidR="00160965" w:rsidRPr="009D660E">
        <w:rPr>
          <w:lang w:val="it-IT"/>
        </w:rPr>
        <w:t>ë</w:t>
      </w:r>
      <w:r w:rsidRPr="009D660E">
        <w:rPr>
          <w:lang w:val="it-IT"/>
        </w:rPr>
        <w:t xml:space="preserve"> arritjen e misionit dhe vizionit t</w:t>
      </w:r>
      <w:r w:rsidR="00160965" w:rsidRPr="009D660E">
        <w:rPr>
          <w:lang w:val="it-IT"/>
        </w:rPr>
        <w:t>ë</w:t>
      </w:r>
      <w:r w:rsidRPr="009D660E">
        <w:rPr>
          <w:lang w:val="it-IT"/>
        </w:rPr>
        <w:t xml:space="preserve"> s</w:t>
      </w:r>
      <w:r w:rsidR="00B87B7A" w:rsidRPr="009D660E">
        <w:rPr>
          <w:lang w:val="it-IT"/>
        </w:rPr>
        <w:t>aj.</w:t>
      </w:r>
      <w:r w:rsidRPr="009D660E">
        <w:rPr>
          <w:lang w:val="it-IT"/>
        </w:rPr>
        <w:t xml:space="preserve"> </w:t>
      </w:r>
      <w:r w:rsidR="00B87B7A" w:rsidRPr="009D660E">
        <w:rPr>
          <w:lang w:val="it-IT"/>
        </w:rPr>
        <w:t>Strategjia e Biznesit t</w:t>
      </w:r>
      <w:r w:rsidR="00160965" w:rsidRPr="009D660E">
        <w:rPr>
          <w:lang w:val="it-IT"/>
        </w:rPr>
        <w:t>ë</w:t>
      </w:r>
      <w:r w:rsidR="006A7042" w:rsidRPr="009D660E">
        <w:rPr>
          <w:lang w:val="it-IT"/>
        </w:rPr>
        <w:t xml:space="preserve"> Administratë</w:t>
      </w:r>
      <w:r w:rsidR="00B87B7A" w:rsidRPr="009D660E">
        <w:rPr>
          <w:lang w:val="it-IT"/>
        </w:rPr>
        <w:t>s Doganore fokusohet n</w:t>
      </w:r>
      <w:r w:rsidR="00160965" w:rsidRPr="009D660E">
        <w:rPr>
          <w:lang w:val="it-IT"/>
        </w:rPr>
        <w:t>ë</w:t>
      </w:r>
      <w:r w:rsidR="00B87B7A" w:rsidRPr="009D660E">
        <w:rPr>
          <w:lang w:val="it-IT"/>
        </w:rPr>
        <w:t xml:space="preserve"> disa fusha kyçe, duke p</w:t>
      </w:r>
      <w:r w:rsidR="00160965" w:rsidRPr="009D660E">
        <w:rPr>
          <w:lang w:val="it-IT"/>
        </w:rPr>
        <w:t>ë</w:t>
      </w:r>
      <w:r w:rsidR="00B87B7A" w:rsidRPr="009D660E">
        <w:rPr>
          <w:lang w:val="it-IT"/>
        </w:rPr>
        <w:t>rf</w:t>
      </w:r>
      <w:r w:rsidR="00A0133F" w:rsidRPr="009D660E">
        <w:rPr>
          <w:lang w:val="it-IT"/>
        </w:rPr>
        <w:t>s</w:t>
      </w:r>
      <w:r w:rsidR="00B87B7A" w:rsidRPr="009D660E">
        <w:rPr>
          <w:lang w:val="it-IT"/>
        </w:rPr>
        <w:t>hir</w:t>
      </w:r>
      <w:r w:rsidR="00160965" w:rsidRPr="009D660E">
        <w:rPr>
          <w:lang w:val="it-IT"/>
        </w:rPr>
        <w:t>ë</w:t>
      </w:r>
      <w:r w:rsidR="00B87B7A" w:rsidRPr="009D660E">
        <w:rPr>
          <w:lang w:val="it-IT"/>
        </w:rPr>
        <w:t xml:space="preserve"> modernizimin legjislativ, leht</w:t>
      </w:r>
      <w:r w:rsidR="00160965" w:rsidRPr="009D660E">
        <w:rPr>
          <w:lang w:val="it-IT"/>
        </w:rPr>
        <w:t>ë</w:t>
      </w:r>
      <w:r w:rsidR="00B87B7A" w:rsidRPr="009D660E">
        <w:rPr>
          <w:lang w:val="it-IT"/>
        </w:rPr>
        <w:t>simin e tregtis</w:t>
      </w:r>
      <w:r w:rsidR="00160965" w:rsidRPr="009D660E">
        <w:rPr>
          <w:lang w:val="it-IT"/>
        </w:rPr>
        <w:t>ë</w:t>
      </w:r>
      <w:r w:rsidR="00B87B7A" w:rsidRPr="009D660E">
        <w:rPr>
          <w:lang w:val="it-IT"/>
        </w:rPr>
        <w:t>, kontributin p</w:t>
      </w:r>
      <w:r w:rsidR="00160965" w:rsidRPr="009D660E">
        <w:rPr>
          <w:lang w:val="it-IT"/>
        </w:rPr>
        <w:t>ë</w:t>
      </w:r>
      <w:r w:rsidR="00B87B7A" w:rsidRPr="009D660E">
        <w:rPr>
          <w:lang w:val="it-IT"/>
        </w:rPr>
        <w:t>r sigurin</w:t>
      </w:r>
      <w:r w:rsidR="00160965" w:rsidRPr="009D660E">
        <w:rPr>
          <w:lang w:val="it-IT"/>
        </w:rPr>
        <w:t>ë</w:t>
      </w:r>
      <w:r w:rsidR="00B87B7A" w:rsidRPr="009D660E">
        <w:rPr>
          <w:lang w:val="it-IT"/>
        </w:rPr>
        <w:t xml:space="preserve"> dhe sigurin</w:t>
      </w:r>
      <w:r w:rsidR="00160965" w:rsidRPr="009D660E">
        <w:rPr>
          <w:lang w:val="it-IT"/>
        </w:rPr>
        <w:t>ë</w:t>
      </w:r>
      <w:r w:rsidR="00B87B7A" w:rsidRPr="009D660E">
        <w:rPr>
          <w:lang w:val="it-IT"/>
        </w:rPr>
        <w:t xml:space="preserve"> e shoq</w:t>
      </w:r>
      <w:r w:rsidR="00160965" w:rsidRPr="009D660E">
        <w:rPr>
          <w:lang w:val="it-IT"/>
        </w:rPr>
        <w:t>ë</w:t>
      </w:r>
      <w:r w:rsidR="00B87B7A" w:rsidRPr="009D660E">
        <w:rPr>
          <w:lang w:val="it-IT"/>
        </w:rPr>
        <w:t>ris</w:t>
      </w:r>
      <w:r w:rsidR="00160965" w:rsidRPr="009D660E">
        <w:rPr>
          <w:lang w:val="it-IT"/>
        </w:rPr>
        <w:t>ë</w:t>
      </w:r>
      <w:r w:rsidR="00B87B7A" w:rsidRPr="009D660E">
        <w:rPr>
          <w:lang w:val="it-IT"/>
        </w:rPr>
        <w:t>, ruajtjen m</w:t>
      </w:r>
      <w:r w:rsidR="00160965" w:rsidRPr="009D660E">
        <w:rPr>
          <w:lang w:val="it-IT"/>
        </w:rPr>
        <w:t>ë</w:t>
      </w:r>
      <w:r w:rsidR="00B87B7A" w:rsidRPr="009D660E">
        <w:rPr>
          <w:lang w:val="it-IT"/>
        </w:rPr>
        <w:t xml:space="preserve"> t</w:t>
      </w:r>
      <w:r w:rsidR="00160965" w:rsidRPr="009D660E">
        <w:rPr>
          <w:lang w:val="it-IT"/>
        </w:rPr>
        <w:t>ë</w:t>
      </w:r>
      <w:r w:rsidR="00B87B7A" w:rsidRPr="009D660E">
        <w:rPr>
          <w:lang w:val="it-IT"/>
        </w:rPr>
        <w:t xml:space="preserve"> mir</w:t>
      </w:r>
      <w:r w:rsidR="00160965" w:rsidRPr="009D660E">
        <w:rPr>
          <w:lang w:val="it-IT"/>
        </w:rPr>
        <w:t>ë</w:t>
      </w:r>
      <w:r w:rsidR="00B87B7A" w:rsidRPr="009D660E">
        <w:rPr>
          <w:lang w:val="it-IT"/>
        </w:rPr>
        <w:t xml:space="preserve"> t</w:t>
      </w:r>
      <w:r w:rsidR="00160965" w:rsidRPr="009D660E">
        <w:rPr>
          <w:lang w:val="it-IT"/>
        </w:rPr>
        <w:t>ë</w:t>
      </w:r>
      <w:r w:rsidR="00B87B7A" w:rsidRPr="009D660E">
        <w:rPr>
          <w:lang w:val="it-IT"/>
        </w:rPr>
        <w:t xml:space="preserve"> sh</w:t>
      </w:r>
      <w:r w:rsidR="00160965" w:rsidRPr="009D660E">
        <w:rPr>
          <w:lang w:val="it-IT"/>
        </w:rPr>
        <w:t>ë</w:t>
      </w:r>
      <w:r w:rsidR="00B87B7A" w:rsidRPr="009D660E">
        <w:rPr>
          <w:lang w:val="it-IT"/>
        </w:rPr>
        <w:t>ndetit t</w:t>
      </w:r>
      <w:r w:rsidR="00160965" w:rsidRPr="009D660E">
        <w:rPr>
          <w:lang w:val="it-IT"/>
        </w:rPr>
        <w:t>ë</w:t>
      </w:r>
      <w:r w:rsidR="00B87B7A" w:rsidRPr="009D660E">
        <w:rPr>
          <w:lang w:val="it-IT"/>
        </w:rPr>
        <w:t xml:space="preserve"> qytetar</w:t>
      </w:r>
      <w:r w:rsidR="00160965" w:rsidRPr="009D660E">
        <w:rPr>
          <w:lang w:val="it-IT"/>
        </w:rPr>
        <w:t>ë</w:t>
      </w:r>
      <w:r w:rsidR="00B87B7A" w:rsidRPr="009D660E">
        <w:rPr>
          <w:lang w:val="it-IT"/>
        </w:rPr>
        <w:t>ve dhe mbrojtjen e mjedisit, ngritjen e kapaciteteve dhe modernizimin e administrat</w:t>
      </w:r>
      <w:r w:rsidR="00160965" w:rsidRPr="009D660E">
        <w:rPr>
          <w:lang w:val="it-IT"/>
        </w:rPr>
        <w:t>ë</w:t>
      </w:r>
      <w:r w:rsidR="00B87B7A" w:rsidRPr="009D660E">
        <w:rPr>
          <w:lang w:val="it-IT"/>
        </w:rPr>
        <w:t>s dhe zhvillimit t</w:t>
      </w:r>
      <w:r w:rsidR="00160965" w:rsidRPr="009D660E">
        <w:rPr>
          <w:lang w:val="it-IT"/>
        </w:rPr>
        <w:t>ë</w:t>
      </w:r>
      <w:r w:rsidR="00B87B7A" w:rsidRPr="009D660E">
        <w:rPr>
          <w:lang w:val="it-IT"/>
        </w:rPr>
        <w:t xml:space="preserve"> TI-s</w:t>
      </w:r>
      <w:r w:rsidR="00160965" w:rsidRPr="009D660E">
        <w:rPr>
          <w:lang w:val="it-IT"/>
        </w:rPr>
        <w:t>ë</w:t>
      </w:r>
      <w:r w:rsidR="00B87B7A" w:rsidRPr="009D660E">
        <w:rPr>
          <w:lang w:val="it-IT"/>
        </w:rPr>
        <w:t xml:space="preserve">. </w:t>
      </w:r>
      <w:r w:rsidR="00B87B7A" w:rsidRPr="00B87B7A">
        <w:rPr>
          <w:rStyle w:val="rynqvb"/>
          <w:lang w:val="sq-AL"/>
        </w:rPr>
        <w:t>Ajo synon të krijojë një administratë doganore moderne dhe efikase plotësisht në përputhje me standardet dhe praktikat më të mira të BE-së, e cila është e aftë të përmbushë nevojat e komunitetit të biznesit duke zbatuar në mënyrë efektive ligjet dhe rregulloret doganore.</w:t>
      </w:r>
      <w:r w:rsidR="007A742A" w:rsidRPr="009D660E">
        <w:rPr>
          <w:lang w:val="it-IT"/>
        </w:rPr>
        <w:t xml:space="preserve"> </w:t>
      </w:r>
    </w:p>
    <w:p w14:paraId="3F03FF90" w14:textId="77777777" w:rsidR="007E2B4E" w:rsidRPr="009D660E" w:rsidRDefault="007E2B4E" w:rsidP="002E6AB5">
      <w:pPr>
        <w:spacing w:line="276" w:lineRule="auto"/>
        <w:jc w:val="both"/>
        <w:rPr>
          <w:b/>
          <w:bCs/>
          <w:highlight w:val="yellow"/>
          <w:lang w:val="it-IT"/>
        </w:rPr>
      </w:pPr>
    </w:p>
    <w:p w14:paraId="626AB5C3" w14:textId="2774F45B" w:rsidR="0060231D" w:rsidRPr="009D660E" w:rsidRDefault="00F6794C" w:rsidP="002E6AB5">
      <w:pPr>
        <w:pStyle w:val="N-Bullet"/>
        <w:numPr>
          <w:ilvl w:val="0"/>
          <w:numId w:val="0"/>
        </w:numPr>
        <w:spacing w:line="276" w:lineRule="auto"/>
        <w:jc w:val="both"/>
        <w:rPr>
          <w:lang w:val="it-IT"/>
        </w:rPr>
      </w:pPr>
      <w:r w:rsidRPr="009D660E">
        <w:rPr>
          <w:b/>
          <w:bCs/>
          <w:lang w:val="it-IT"/>
        </w:rPr>
        <w:t>Strategjia Komb</w:t>
      </w:r>
      <w:r w:rsidR="00160965" w:rsidRPr="009D660E">
        <w:rPr>
          <w:b/>
          <w:bCs/>
          <w:lang w:val="it-IT"/>
        </w:rPr>
        <w:t>ë</w:t>
      </w:r>
      <w:r w:rsidRPr="009D660E">
        <w:rPr>
          <w:b/>
          <w:bCs/>
          <w:lang w:val="it-IT"/>
        </w:rPr>
        <w:t>tare p</w:t>
      </w:r>
      <w:r w:rsidR="00160965" w:rsidRPr="009D660E">
        <w:rPr>
          <w:b/>
          <w:bCs/>
          <w:lang w:val="it-IT"/>
        </w:rPr>
        <w:t>ë</w:t>
      </w:r>
      <w:r w:rsidRPr="009D660E">
        <w:rPr>
          <w:b/>
          <w:bCs/>
          <w:lang w:val="it-IT"/>
        </w:rPr>
        <w:t>r Prokurimin Publik</w:t>
      </w:r>
      <w:r w:rsidR="007E2B4E" w:rsidRPr="009D660E">
        <w:rPr>
          <w:b/>
          <w:bCs/>
          <w:lang w:val="it-IT"/>
        </w:rPr>
        <w:t xml:space="preserve"> 2020-2023</w:t>
      </w:r>
      <w:r w:rsidR="007E2B4E" w:rsidRPr="009D660E">
        <w:rPr>
          <w:lang w:val="it-IT"/>
        </w:rPr>
        <w:t xml:space="preserve"> </w:t>
      </w:r>
    </w:p>
    <w:p w14:paraId="2196BD3F" w14:textId="60C72293" w:rsidR="00097914" w:rsidRPr="009D660E" w:rsidRDefault="00F6794C" w:rsidP="002E6AB5">
      <w:pPr>
        <w:spacing w:line="276" w:lineRule="auto"/>
        <w:jc w:val="both"/>
        <w:rPr>
          <w:lang w:val="it-IT"/>
        </w:rPr>
      </w:pPr>
      <w:r w:rsidRPr="009D660E">
        <w:rPr>
          <w:lang w:val="it-IT"/>
        </w:rPr>
        <w:t>Aktualisht ekziston një Strategji Kombëtare për Prokurimin Publik 2020-2023 dhe qeveria po planifikon të miratojë një strategji të re të Prokurimit Publik për të përafruar më tej me strategjinë e MFP</w:t>
      </w:r>
      <w:r w:rsidR="006A7042" w:rsidRPr="009D660E">
        <w:rPr>
          <w:lang w:val="it-IT"/>
        </w:rPr>
        <w:t>-së</w:t>
      </w:r>
      <w:r w:rsidRPr="009D660E">
        <w:rPr>
          <w:lang w:val="it-IT"/>
        </w:rPr>
        <w:t>. Strategjia e Prokurimit parashtron një grup gjithëpërfshirës aktivitetesh në fushën e kontratave publike, koncesioneve dhe partneriteteve publiko-private (PPP) si për kuadrin ligjor ashtu edhe për atë institucional që do të ndërmerret në periudhën 2020-2023. Duke marrë parasysh fushat kryesore të ndërhyrjes, të cilat janë pjesë e pr</w:t>
      </w:r>
      <w:r w:rsidR="006A7042" w:rsidRPr="009D660E">
        <w:rPr>
          <w:lang w:val="it-IT"/>
        </w:rPr>
        <w:t>okurimit, s</w:t>
      </w:r>
      <w:r w:rsidRPr="009D660E">
        <w:rPr>
          <w:lang w:val="it-IT"/>
        </w:rPr>
        <w:t>trategjia është organizuar në pesë shtylla kryesore: (1) prokurim publik efi</w:t>
      </w:r>
      <w:r w:rsidR="006248CC" w:rsidRPr="009D660E">
        <w:rPr>
          <w:lang w:val="it-IT"/>
        </w:rPr>
        <w:t>çent dhe i</w:t>
      </w:r>
      <w:r w:rsidRPr="009D660E">
        <w:rPr>
          <w:lang w:val="it-IT"/>
        </w:rPr>
        <w:t xml:space="preserve"> qëndrueshëm; (2) përmirësimi i kuadrit ligjor për koncesionet dhe partneritetin publik-privat; (3) riorganizimi i prokurimeve në fushën e mb</w:t>
      </w:r>
      <w:r w:rsidR="006248CC" w:rsidRPr="009D660E">
        <w:rPr>
          <w:lang w:val="it-IT"/>
        </w:rPr>
        <w:t>rojtjes dhe sigurisë; (4) blerja e</w:t>
      </w:r>
      <w:r w:rsidRPr="009D660E">
        <w:rPr>
          <w:lang w:val="it-IT"/>
        </w:rPr>
        <w:t xml:space="preserve"> </w:t>
      </w:r>
      <w:r w:rsidR="006248CC" w:rsidRPr="009D660E">
        <w:rPr>
          <w:lang w:val="it-IT"/>
        </w:rPr>
        <w:t>përqendruar</w:t>
      </w:r>
      <w:r w:rsidRPr="009D660E">
        <w:rPr>
          <w:lang w:val="it-IT"/>
        </w:rPr>
        <w:t>; (5) shqyrtimi</w:t>
      </w:r>
      <w:r w:rsidR="006248CC" w:rsidRPr="009D660E">
        <w:rPr>
          <w:lang w:val="it-IT"/>
        </w:rPr>
        <w:t xml:space="preserve"> dhe kontrolli i</w:t>
      </w:r>
      <w:r w:rsidRPr="009D660E">
        <w:rPr>
          <w:lang w:val="it-IT"/>
        </w:rPr>
        <w:t xml:space="preserve"> ankesave. Shtylla 2 dhe 5 e kësaj Strategjie janë të lidhura me Shtyll</w:t>
      </w:r>
      <w:r w:rsidR="00160965" w:rsidRPr="009D660E">
        <w:rPr>
          <w:lang w:val="it-IT"/>
        </w:rPr>
        <w:t>ë</w:t>
      </w:r>
      <w:r w:rsidRPr="009D660E">
        <w:rPr>
          <w:lang w:val="it-IT"/>
        </w:rPr>
        <w:t>n 4 (Komponenti 4.</w:t>
      </w:r>
      <w:r w:rsidR="00DD7DD3" w:rsidRPr="009D660E">
        <w:rPr>
          <w:lang w:val="it-IT"/>
        </w:rPr>
        <w:t>3</w:t>
      </w:r>
      <w:r w:rsidRPr="009D660E">
        <w:rPr>
          <w:lang w:val="it-IT"/>
        </w:rPr>
        <w:t>) te Strategjia e MFP-s</w:t>
      </w:r>
      <w:r w:rsidR="00160965" w:rsidRPr="009D660E">
        <w:rPr>
          <w:lang w:val="it-IT"/>
        </w:rPr>
        <w:t>ë</w:t>
      </w:r>
      <w:r w:rsidRPr="009D660E">
        <w:rPr>
          <w:lang w:val="it-IT"/>
        </w:rPr>
        <w:t>.</w:t>
      </w:r>
    </w:p>
    <w:p w14:paraId="43A3A292" w14:textId="77777777" w:rsidR="00F6794C" w:rsidRPr="009D660E" w:rsidRDefault="00F6794C" w:rsidP="002E6AB5">
      <w:pPr>
        <w:spacing w:line="276" w:lineRule="auto"/>
        <w:jc w:val="both"/>
        <w:rPr>
          <w:highlight w:val="yellow"/>
          <w:lang w:val="it-IT"/>
        </w:rPr>
      </w:pPr>
    </w:p>
    <w:p w14:paraId="72F12C32" w14:textId="42F60141" w:rsidR="0060231D" w:rsidRPr="009D660E" w:rsidRDefault="00D306CE" w:rsidP="002E6AB5">
      <w:pPr>
        <w:spacing w:line="276" w:lineRule="auto"/>
        <w:jc w:val="both"/>
        <w:rPr>
          <w:b/>
          <w:bCs/>
          <w:lang w:val="it-IT"/>
        </w:rPr>
      </w:pPr>
      <w:r w:rsidRPr="009D660E">
        <w:rPr>
          <w:b/>
          <w:bCs/>
          <w:lang w:val="it-IT"/>
        </w:rPr>
        <w:t>Strategjia Afatmesme e Menaxhimit t</w:t>
      </w:r>
      <w:r w:rsidR="00160965" w:rsidRPr="009D660E">
        <w:rPr>
          <w:b/>
          <w:bCs/>
          <w:lang w:val="it-IT"/>
        </w:rPr>
        <w:t>ë</w:t>
      </w:r>
      <w:r w:rsidRPr="009D660E">
        <w:rPr>
          <w:b/>
          <w:bCs/>
          <w:lang w:val="it-IT"/>
        </w:rPr>
        <w:t xml:space="preserve"> Borxhit</w:t>
      </w:r>
      <w:r w:rsidR="007E2B4E" w:rsidRPr="009D660E">
        <w:rPr>
          <w:b/>
          <w:bCs/>
          <w:lang w:val="it-IT"/>
        </w:rPr>
        <w:t xml:space="preserve"> </w:t>
      </w:r>
      <w:r w:rsidR="00097914" w:rsidRPr="009D660E">
        <w:rPr>
          <w:b/>
          <w:bCs/>
          <w:lang w:val="it-IT"/>
        </w:rPr>
        <w:t>2022-2026</w:t>
      </w:r>
    </w:p>
    <w:p w14:paraId="6B891CF7" w14:textId="76E4DEB1" w:rsidR="00BB2BD0" w:rsidRPr="009D660E" w:rsidRDefault="00D306CE" w:rsidP="002E6AB5">
      <w:pPr>
        <w:spacing w:line="276" w:lineRule="auto"/>
        <w:jc w:val="both"/>
        <w:rPr>
          <w:lang w:val="it-IT"/>
        </w:rPr>
      </w:pPr>
      <w:r w:rsidRPr="009D660E">
        <w:rPr>
          <w:lang w:val="it-IT"/>
        </w:rPr>
        <w:t>Gjatë vitit 2022, Ministria e Financave dhe Ekonomisë ka miratuar Strategjinë Afatmesme të Menaxhimit të Borxhit 2022-2026 me qëllim që të përvijojë planet e financimit dhe aktivitetet që do të ndërmerren në periudhën afatmesme për të siguruar menaxhim efektiv të borxhit publik. Objektivat kryesore t</w:t>
      </w:r>
      <w:r w:rsidR="00160965" w:rsidRPr="009D660E">
        <w:rPr>
          <w:lang w:val="it-IT"/>
        </w:rPr>
        <w:t>ë</w:t>
      </w:r>
      <w:r w:rsidRPr="009D660E">
        <w:rPr>
          <w:lang w:val="it-IT"/>
        </w:rPr>
        <w:t xml:space="preserve"> </w:t>
      </w:r>
      <w:r w:rsidR="00203791" w:rsidRPr="009D660E">
        <w:rPr>
          <w:lang w:val="it-IT"/>
        </w:rPr>
        <w:t>SMB-së</w:t>
      </w:r>
      <w:r w:rsidRPr="009D660E">
        <w:rPr>
          <w:lang w:val="it-IT"/>
        </w:rPr>
        <w:t xml:space="preserve"> jan</w:t>
      </w:r>
      <w:r w:rsidR="00160965" w:rsidRPr="009D660E">
        <w:rPr>
          <w:lang w:val="it-IT"/>
        </w:rPr>
        <w:t>ë</w:t>
      </w:r>
      <w:r w:rsidRPr="009D660E">
        <w:rPr>
          <w:lang w:val="it-IT"/>
        </w:rPr>
        <w:t>: (i) plotësimi i nevojave të qeverisë në kohën e duhur, duke përfshirë nevojën për të shërbyer borxhin aktual me koston më të ulët të mundshme duke ruajtur nivele të pranueshme të ekspozimit ndaj r</w:t>
      </w:r>
      <w:r w:rsidR="006A7042" w:rsidRPr="009D660E">
        <w:rPr>
          <w:lang w:val="it-IT"/>
        </w:rPr>
        <w:t>iskut</w:t>
      </w:r>
      <w:r w:rsidRPr="009D660E">
        <w:rPr>
          <w:lang w:val="it-IT"/>
        </w:rPr>
        <w:t>; (ii) p</w:t>
      </w:r>
      <w:r w:rsidR="00160965" w:rsidRPr="009D660E">
        <w:rPr>
          <w:lang w:val="it-IT"/>
        </w:rPr>
        <w:t>ë</w:t>
      </w:r>
      <w:r w:rsidRPr="009D660E">
        <w:rPr>
          <w:lang w:val="it-IT"/>
        </w:rPr>
        <w:t>rmir</w:t>
      </w:r>
      <w:r w:rsidR="00160965" w:rsidRPr="009D660E">
        <w:rPr>
          <w:lang w:val="it-IT"/>
        </w:rPr>
        <w:t>ë</w:t>
      </w:r>
      <w:r w:rsidRPr="009D660E">
        <w:rPr>
          <w:lang w:val="it-IT"/>
        </w:rPr>
        <w:t>simi dhe mbështetja e efikasitetit t</w:t>
      </w:r>
      <w:r w:rsidR="00160965" w:rsidRPr="009D660E">
        <w:rPr>
          <w:lang w:val="it-IT"/>
        </w:rPr>
        <w:t>ë</w:t>
      </w:r>
      <w:r w:rsidRPr="009D660E">
        <w:rPr>
          <w:lang w:val="it-IT"/>
        </w:rPr>
        <w:t xml:space="preserve"> tregut primar, mbështetur nga zhvillimi i mëtejshëm i tregut sekondar; (iii) Zhvillimi i tregut të </w:t>
      </w:r>
      <w:r w:rsidR="00DD7DD3" w:rsidRPr="009D660E">
        <w:rPr>
          <w:lang w:val="it-IT"/>
        </w:rPr>
        <w:t xml:space="preserve">titujve shtetërorë </w:t>
      </w:r>
      <w:r w:rsidRPr="009D660E">
        <w:rPr>
          <w:lang w:val="it-IT"/>
        </w:rPr>
        <w:t xml:space="preserve">(iv) Hartimi dhe publikimi i një plani vjetor të huamarrjes; (v) Vlerësimi i </w:t>
      </w:r>
      <w:r w:rsidR="00DD7DD3" w:rsidRPr="009D660E">
        <w:rPr>
          <w:lang w:val="it-IT"/>
        </w:rPr>
        <w:t>mundësisë</w:t>
      </w:r>
      <w:r w:rsidRPr="009D660E">
        <w:rPr>
          <w:lang w:val="it-IT"/>
        </w:rPr>
        <w:t xml:space="preserve"> </w:t>
      </w:r>
      <w:r w:rsidR="00DD7DD3" w:rsidRPr="009D660E">
        <w:rPr>
          <w:lang w:val="it-IT"/>
        </w:rPr>
        <w:t xml:space="preserve">së përdorimit </w:t>
      </w:r>
      <w:r w:rsidRPr="009D660E">
        <w:rPr>
          <w:lang w:val="it-IT"/>
        </w:rPr>
        <w:t xml:space="preserve">të </w:t>
      </w:r>
      <w:r w:rsidR="00DD7DD3" w:rsidRPr="009D660E">
        <w:rPr>
          <w:lang w:val="it-IT"/>
        </w:rPr>
        <w:t>alternativave</w:t>
      </w:r>
      <w:r w:rsidRPr="009D660E">
        <w:rPr>
          <w:lang w:val="it-IT"/>
        </w:rPr>
        <w:t xml:space="preserve"> të reja </w:t>
      </w:r>
      <w:r w:rsidR="00DD7DD3" w:rsidRPr="009D660E">
        <w:rPr>
          <w:lang w:val="it-IT"/>
        </w:rPr>
        <w:t xml:space="preserve">të burimeve </w:t>
      </w:r>
      <w:r w:rsidRPr="009D660E">
        <w:rPr>
          <w:lang w:val="it-IT"/>
        </w:rPr>
        <w:t>të financimit (të gjelbërta, sociale, etj.). Strategjia është në linjë me Shtyll</w:t>
      </w:r>
      <w:r w:rsidR="00160965" w:rsidRPr="009D660E">
        <w:rPr>
          <w:lang w:val="it-IT"/>
        </w:rPr>
        <w:t>ë</w:t>
      </w:r>
      <w:r w:rsidRPr="009D660E">
        <w:rPr>
          <w:lang w:val="it-IT"/>
        </w:rPr>
        <w:t>n e kat</w:t>
      </w:r>
      <w:r w:rsidR="00160965" w:rsidRPr="009D660E">
        <w:rPr>
          <w:lang w:val="it-IT"/>
        </w:rPr>
        <w:t>ë</w:t>
      </w:r>
      <w:r w:rsidRPr="009D660E">
        <w:rPr>
          <w:lang w:val="it-IT"/>
        </w:rPr>
        <w:t>rt t</w:t>
      </w:r>
      <w:r w:rsidR="00160965" w:rsidRPr="009D660E">
        <w:rPr>
          <w:lang w:val="it-IT"/>
        </w:rPr>
        <w:t>ë</w:t>
      </w:r>
      <w:r w:rsidRPr="009D660E">
        <w:rPr>
          <w:lang w:val="it-IT"/>
        </w:rPr>
        <w:t xml:space="preserve"> MFP-s</w:t>
      </w:r>
      <w:r w:rsidR="00160965" w:rsidRPr="009D660E">
        <w:rPr>
          <w:lang w:val="it-IT"/>
        </w:rPr>
        <w:t>ë</w:t>
      </w:r>
      <w:r w:rsidRPr="009D660E">
        <w:rPr>
          <w:lang w:val="it-IT"/>
        </w:rPr>
        <w:t xml:space="preserve"> (Komponenti 4.</w:t>
      </w:r>
      <w:r w:rsidR="00DD7DD3" w:rsidRPr="009D660E">
        <w:rPr>
          <w:lang w:val="it-IT"/>
        </w:rPr>
        <w:t>4</w:t>
      </w:r>
      <w:r w:rsidRPr="009D660E">
        <w:rPr>
          <w:lang w:val="it-IT"/>
        </w:rPr>
        <w:t>).</w:t>
      </w:r>
    </w:p>
    <w:p w14:paraId="2AD09A22" w14:textId="77777777" w:rsidR="00D306CE" w:rsidRPr="009D660E" w:rsidRDefault="00D306CE" w:rsidP="002E6AB5">
      <w:pPr>
        <w:spacing w:line="276" w:lineRule="auto"/>
        <w:jc w:val="both"/>
        <w:rPr>
          <w:highlight w:val="yellow"/>
          <w:lang w:val="it-IT"/>
        </w:rPr>
      </w:pPr>
    </w:p>
    <w:p w14:paraId="70040A3E" w14:textId="30BA2850" w:rsidR="007A742A" w:rsidRPr="009D660E" w:rsidRDefault="00D306CE" w:rsidP="002E6AB5">
      <w:pPr>
        <w:spacing w:line="276" w:lineRule="auto"/>
        <w:jc w:val="both"/>
        <w:rPr>
          <w:b/>
          <w:bCs/>
          <w:lang w:val="it-IT"/>
        </w:rPr>
      </w:pPr>
      <w:r w:rsidRPr="009D660E">
        <w:rPr>
          <w:b/>
          <w:bCs/>
          <w:lang w:val="it-IT"/>
        </w:rPr>
        <w:t>Strategjia dhe Plani i Veprimit p</w:t>
      </w:r>
      <w:r w:rsidR="00160965" w:rsidRPr="009D660E">
        <w:rPr>
          <w:b/>
          <w:bCs/>
          <w:lang w:val="it-IT"/>
        </w:rPr>
        <w:t>ë</w:t>
      </w:r>
      <w:r w:rsidRPr="009D660E">
        <w:rPr>
          <w:b/>
          <w:bCs/>
          <w:lang w:val="it-IT"/>
        </w:rPr>
        <w:t>r Kontabilitetin e Sektorit Publik</w:t>
      </w:r>
    </w:p>
    <w:p w14:paraId="06805CA8" w14:textId="05795253" w:rsidR="00D306CE" w:rsidRPr="009D660E" w:rsidRDefault="00D73622" w:rsidP="002E6AB5">
      <w:pPr>
        <w:spacing w:line="276" w:lineRule="auto"/>
        <w:jc w:val="both"/>
        <w:rPr>
          <w:highlight w:val="yellow"/>
          <w:lang w:val="it-IT"/>
        </w:rPr>
      </w:pPr>
      <w:r w:rsidRPr="009D660E">
        <w:rPr>
          <w:lang w:val="it-IT"/>
        </w:rPr>
        <w:t>Strategjia Komb</w:t>
      </w:r>
      <w:r w:rsidR="00160965" w:rsidRPr="009D660E">
        <w:rPr>
          <w:lang w:val="it-IT"/>
        </w:rPr>
        <w:t>ë</w:t>
      </w:r>
      <w:r w:rsidRPr="009D660E">
        <w:rPr>
          <w:lang w:val="it-IT"/>
        </w:rPr>
        <w:t xml:space="preserve">tare </w:t>
      </w:r>
      <w:r w:rsidR="00D306CE" w:rsidRPr="009D660E">
        <w:rPr>
          <w:lang w:val="it-IT"/>
        </w:rPr>
        <w:t>dhe P</w:t>
      </w:r>
      <w:r w:rsidRPr="009D660E">
        <w:rPr>
          <w:lang w:val="it-IT"/>
        </w:rPr>
        <w:t xml:space="preserve">lani i Veprimit </w:t>
      </w:r>
      <w:r w:rsidR="00D306CE" w:rsidRPr="009D660E">
        <w:rPr>
          <w:lang w:val="it-IT"/>
        </w:rPr>
        <w:t>për Kontabilitetin dhe Raportimin Financiar të Sektorit Publik është finalizuar dhe miratuar nga Komiteti Drejtues në tetor 2019, duke ofruar udhëzime strategjike për zbatimin e S</w:t>
      </w:r>
      <w:r w:rsidRPr="009D660E">
        <w:rPr>
          <w:lang w:val="it-IT"/>
        </w:rPr>
        <w:t>tandardeve Nd</w:t>
      </w:r>
      <w:r w:rsidR="00160965" w:rsidRPr="009D660E">
        <w:rPr>
          <w:lang w:val="it-IT"/>
        </w:rPr>
        <w:t>ë</w:t>
      </w:r>
      <w:r w:rsidRPr="009D660E">
        <w:rPr>
          <w:lang w:val="it-IT"/>
        </w:rPr>
        <w:t>rkomb</w:t>
      </w:r>
      <w:r w:rsidR="00160965" w:rsidRPr="009D660E">
        <w:rPr>
          <w:lang w:val="it-IT"/>
        </w:rPr>
        <w:t>ë</w:t>
      </w:r>
      <w:r w:rsidRPr="009D660E">
        <w:rPr>
          <w:lang w:val="it-IT"/>
        </w:rPr>
        <w:t>tare t</w:t>
      </w:r>
      <w:r w:rsidR="00160965" w:rsidRPr="009D660E">
        <w:rPr>
          <w:lang w:val="it-IT"/>
        </w:rPr>
        <w:t>ë</w:t>
      </w:r>
      <w:r w:rsidRPr="009D660E">
        <w:rPr>
          <w:lang w:val="it-IT"/>
        </w:rPr>
        <w:t xml:space="preserve"> Kontabilitetit Publik</w:t>
      </w:r>
      <w:r w:rsidR="00D306CE" w:rsidRPr="009D660E">
        <w:rPr>
          <w:lang w:val="it-IT"/>
        </w:rPr>
        <w:t xml:space="preserve"> </w:t>
      </w:r>
      <w:r w:rsidR="001A45BE" w:rsidRPr="009D660E">
        <w:rPr>
          <w:lang w:val="it-IT"/>
        </w:rPr>
        <w:t xml:space="preserve">(SNKP) </w:t>
      </w:r>
      <w:r w:rsidR="00D306CE" w:rsidRPr="009D660E">
        <w:rPr>
          <w:lang w:val="it-IT"/>
        </w:rPr>
        <w:t>në periudhën afatmesme dhe afatgjatë. Reformat e Kontabi</w:t>
      </w:r>
      <w:r w:rsidRPr="009D660E">
        <w:rPr>
          <w:lang w:val="it-IT"/>
        </w:rPr>
        <w:t>litetit të Sektorit Publik</w:t>
      </w:r>
      <w:r w:rsidR="00D306CE" w:rsidRPr="009D660E">
        <w:rPr>
          <w:lang w:val="it-IT"/>
        </w:rPr>
        <w:t xml:space="preserve"> përfaqësojnë nisma ambicioze, veçanërisht në kontekstin e Shqipërisë. Zbatimi i suksesshëm kërkon shpërndarjen e burimeve të rëndësishme - financiare dhe njerëzore - si dhe planifikim dhe koordinim të përpiktë. Disa detyra kryesore të </w:t>
      </w:r>
      <w:r w:rsidRPr="009D660E">
        <w:rPr>
          <w:lang w:val="it-IT"/>
        </w:rPr>
        <w:t>Strategjis</w:t>
      </w:r>
      <w:r w:rsidR="00160965" w:rsidRPr="009D660E">
        <w:rPr>
          <w:lang w:val="it-IT"/>
        </w:rPr>
        <w:t>ë</w:t>
      </w:r>
      <w:r w:rsidRPr="009D660E">
        <w:rPr>
          <w:lang w:val="it-IT"/>
        </w:rPr>
        <w:t xml:space="preserve"> Komb</w:t>
      </w:r>
      <w:r w:rsidR="00160965" w:rsidRPr="009D660E">
        <w:rPr>
          <w:lang w:val="it-IT"/>
        </w:rPr>
        <w:t>ë</w:t>
      </w:r>
      <w:r w:rsidRPr="009D660E">
        <w:rPr>
          <w:lang w:val="it-IT"/>
        </w:rPr>
        <w:t>tare dhe Planit t</w:t>
      </w:r>
      <w:r w:rsidR="00160965" w:rsidRPr="009D660E">
        <w:rPr>
          <w:lang w:val="it-IT"/>
        </w:rPr>
        <w:t>ë</w:t>
      </w:r>
      <w:r w:rsidRPr="009D660E">
        <w:rPr>
          <w:lang w:val="it-IT"/>
        </w:rPr>
        <w:t xml:space="preserve"> Veprimit</w:t>
      </w:r>
      <w:r w:rsidR="00D306CE" w:rsidRPr="009D660E">
        <w:rPr>
          <w:lang w:val="it-IT"/>
        </w:rPr>
        <w:t xml:space="preserve"> janë: (i) rishikimi dhe krijimi i k</w:t>
      </w:r>
      <w:r w:rsidRPr="009D660E">
        <w:rPr>
          <w:lang w:val="it-IT"/>
        </w:rPr>
        <w:t>uadrit ligjor</w:t>
      </w:r>
      <w:r w:rsidR="00D306CE" w:rsidRPr="009D660E">
        <w:rPr>
          <w:lang w:val="it-IT"/>
        </w:rPr>
        <w:t xml:space="preserve"> për të lehtësuar miratimin dhe përgatitjen e pasqyrave financiare të sektorit publik </w:t>
      </w:r>
      <w:r w:rsidR="006A7042" w:rsidRPr="009D660E">
        <w:rPr>
          <w:lang w:val="it-IT"/>
        </w:rPr>
        <w:t>në bazë të drejtash dhe detyrimesh të konstatuara</w:t>
      </w:r>
      <w:r w:rsidR="001A45BE" w:rsidRPr="009D660E">
        <w:rPr>
          <w:lang w:val="it-IT"/>
        </w:rPr>
        <w:t>; (ii) programi i</w:t>
      </w:r>
      <w:r w:rsidR="00D306CE" w:rsidRPr="009D660E">
        <w:rPr>
          <w:lang w:val="it-IT"/>
        </w:rPr>
        <w:t xml:space="preserve"> ndërtimit të kapaciteteve; (iii) </w:t>
      </w:r>
      <w:r w:rsidR="001A45BE" w:rsidRPr="009D660E">
        <w:rPr>
          <w:lang w:val="it-IT"/>
        </w:rPr>
        <w:t>p</w:t>
      </w:r>
      <w:r w:rsidR="00160965" w:rsidRPr="009D660E">
        <w:rPr>
          <w:lang w:val="it-IT"/>
        </w:rPr>
        <w:t>ë</w:t>
      </w:r>
      <w:r w:rsidR="001A45BE" w:rsidRPr="009D660E">
        <w:rPr>
          <w:lang w:val="it-IT"/>
        </w:rPr>
        <w:t xml:space="preserve">rgatitja </w:t>
      </w:r>
      <w:r w:rsidR="00D306CE" w:rsidRPr="009D660E">
        <w:rPr>
          <w:lang w:val="it-IT"/>
        </w:rPr>
        <w:t xml:space="preserve">për miratimin e SNKSP, (iv) të krijojë korniza efektive të qeverisjes të nevojshme për të mbështetur zbatimin e suksesshëm të </w:t>
      </w:r>
      <w:r w:rsidR="00D306CE" w:rsidRPr="009D660E">
        <w:rPr>
          <w:lang w:val="it-IT"/>
        </w:rPr>
        <w:lastRenderedPageBreak/>
        <w:t xml:space="preserve">SNKSP dhe raportimin financiar të sektorit publik mbi baza akruale; (v) Hapja e SNKSP e kombinuar me shpërndarjen e sistemit të ri </w:t>
      </w:r>
      <w:r w:rsidR="001A45BE" w:rsidRPr="009D660E">
        <w:rPr>
          <w:lang w:val="it-IT"/>
        </w:rPr>
        <w:t>t</w:t>
      </w:r>
      <w:r w:rsidR="00160965" w:rsidRPr="009D660E">
        <w:rPr>
          <w:lang w:val="it-IT"/>
        </w:rPr>
        <w:t>ë</w:t>
      </w:r>
      <w:r w:rsidR="001A45BE" w:rsidRPr="009D660E">
        <w:rPr>
          <w:lang w:val="it-IT"/>
        </w:rPr>
        <w:t xml:space="preserve"> SIFQ-s</w:t>
      </w:r>
      <w:r w:rsidR="00160965" w:rsidRPr="009D660E">
        <w:rPr>
          <w:lang w:val="it-IT"/>
        </w:rPr>
        <w:t>ë</w:t>
      </w:r>
      <w:r w:rsidR="00D306CE" w:rsidRPr="009D660E">
        <w:rPr>
          <w:lang w:val="it-IT"/>
        </w:rPr>
        <w:t xml:space="preserve">; (vi) Zhvillimi i përgatitjes dhe prezantimit të pasqyrave financiare dhe disa detyrave të tjera. Disa nga aktivitetet e planifikuara deri në vitin 2026 janë të përfshira në Strategjinë e MFP-së, në kuadër të </w:t>
      </w:r>
      <w:r w:rsidR="001A45BE" w:rsidRPr="009D660E">
        <w:rPr>
          <w:lang w:val="it-IT"/>
        </w:rPr>
        <w:t>Shtyll</w:t>
      </w:r>
      <w:r w:rsidR="00160965" w:rsidRPr="009D660E">
        <w:rPr>
          <w:lang w:val="it-IT"/>
        </w:rPr>
        <w:t>ë</w:t>
      </w:r>
      <w:r w:rsidR="001A45BE" w:rsidRPr="009D660E">
        <w:rPr>
          <w:lang w:val="it-IT"/>
        </w:rPr>
        <w:t>s 4</w:t>
      </w:r>
      <w:r w:rsidR="00D306CE" w:rsidRPr="009D660E">
        <w:rPr>
          <w:lang w:val="it-IT"/>
        </w:rPr>
        <w:t>, Komponenti 4.</w:t>
      </w:r>
      <w:r w:rsidR="00DD7DD3" w:rsidRPr="009D660E">
        <w:rPr>
          <w:lang w:val="it-IT"/>
        </w:rPr>
        <w:t>2</w:t>
      </w:r>
      <w:r w:rsidR="00D306CE" w:rsidRPr="009D660E">
        <w:rPr>
          <w:lang w:val="it-IT"/>
        </w:rPr>
        <w:t>.</w:t>
      </w:r>
    </w:p>
    <w:p w14:paraId="6EB9FBF6" w14:textId="77777777" w:rsidR="007A742A" w:rsidRPr="009D660E" w:rsidRDefault="007A742A" w:rsidP="002E6AB5">
      <w:pPr>
        <w:spacing w:line="276" w:lineRule="auto"/>
        <w:jc w:val="both"/>
        <w:rPr>
          <w:highlight w:val="yellow"/>
          <w:lang w:val="it-IT"/>
        </w:rPr>
      </w:pPr>
    </w:p>
    <w:p w14:paraId="7F5ED381" w14:textId="3ADE7F32" w:rsidR="007A742A" w:rsidRPr="009D660E" w:rsidRDefault="001A45BE" w:rsidP="002E6AB5">
      <w:pPr>
        <w:spacing w:line="276" w:lineRule="auto"/>
        <w:jc w:val="both"/>
        <w:rPr>
          <w:lang w:val="it-IT"/>
        </w:rPr>
      </w:pPr>
      <w:r w:rsidRPr="009D660E">
        <w:rPr>
          <w:b/>
          <w:bCs/>
          <w:lang w:val="it-IT"/>
        </w:rPr>
        <w:t>Strategjia e Zhvillimit t</w:t>
      </w:r>
      <w:r w:rsidR="00160965" w:rsidRPr="009D660E">
        <w:rPr>
          <w:b/>
          <w:bCs/>
          <w:lang w:val="it-IT"/>
        </w:rPr>
        <w:t>ë</w:t>
      </w:r>
      <w:r w:rsidRPr="009D660E">
        <w:rPr>
          <w:b/>
          <w:bCs/>
          <w:lang w:val="it-IT"/>
        </w:rPr>
        <w:t xml:space="preserve"> Kontrollit t</w:t>
      </w:r>
      <w:r w:rsidR="00160965" w:rsidRPr="009D660E">
        <w:rPr>
          <w:b/>
          <w:bCs/>
          <w:lang w:val="it-IT"/>
        </w:rPr>
        <w:t>ë</w:t>
      </w:r>
      <w:r w:rsidRPr="009D660E">
        <w:rPr>
          <w:b/>
          <w:bCs/>
          <w:lang w:val="it-IT"/>
        </w:rPr>
        <w:t xml:space="preserve"> Lart</w:t>
      </w:r>
      <w:r w:rsidR="00160965" w:rsidRPr="009D660E">
        <w:rPr>
          <w:b/>
          <w:bCs/>
          <w:lang w:val="it-IT"/>
        </w:rPr>
        <w:t>ë</w:t>
      </w:r>
      <w:r w:rsidRPr="009D660E">
        <w:rPr>
          <w:b/>
          <w:bCs/>
          <w:lang w:val="it-IT"/>
        </w:rPr>
        <w:t xml:space="preserve"> t</w:t>
      </w:r>
      <w:r w:rsidR="00160965" w:rsidRPr="009D660E">
        <w:rPr>
          <w:b/>
          <w:bCs/>
          <w:lang w:val="it-IT"/>
        </w:rPr>
        <w:t>ë</w:t>
      </w:r>
      <w:r w:rsidRPr="009D660E">
        <w:rPr>
          <w:b/>
          <w:bCs/>
          <w:lang w:val="it-IT"/>
        </w:rPr>
        <w:t xml:space="preserve"> Shtetit</w:t>
      </w:r>
      <w:r w:rsidR="007A742A" w:rsidRPr="009D660E">
        <w:rPr>
          <w:b/>
          <w:bCs/>
          <w:lang w:val="it-IT"/>
        </w:rPr>
        <w:t xml:space="preserve"> 2023-2027</w:t>
      </w:r>
      <w:r w:rsidR="007A742A" w:rsidRPr="009D660E">
        <w:rPr>
          <w:lang w:val="it-IT"/>
        </w:rPr>
        <w:t xml:space="preserve"> </w:t>
      </w:r>
    </w:p>
    <w:p w14:paraId="4C071591" w14:textId="7ADD3E07" w:rsidR="002B7FF8" w:rsidRPr="009D660E" w:rsidRDefault="001A45BE" w:rsidP="002B1722">
      <w:pPr>
        <w:spacing w:line="276" w:lineRule="auto"/>
        <w:jc w:val="both"/>
        <w:rPr>
          <w:highlight w:val="yellow"/>
          <w:lang w:val="it-IT"/>
        </w:rPr>
      </w:pPr>
      <w:r w:rsidRPr="009D660E">
        <w:rPr>
          <w:lang w:val="it-IT"/>
        </w:rPr>
        <w:t>Strategjia e zhvillimit të KLSH-s</w:t>
      </w:r>
      <w:r w:rsidR="00160965" w:rsidRPr="009D660E">
        <w:rPr>
          <w:lang w:val="it-IT"/>
        </w:rPr>
        <w:t>ë</w:t>
      </w:r>
      <w:r w:rsidRPr="009D660E">
        <w:rPr>
          <w:lang w:val="it-IT"/>
        </w:rPr>
        <w:t xml:space="preserve"> synon zhvillimin e mëtejshëm të KLSH-së në përputhje me vlerat, parimet dhe standardet e vendosura nga ONISA. Strategjia formulon tre objektiva strategjikë: (i) Rritjen dhe përmirësimin e rolit të KLSH-së si mbështetëse e Kuvendit për llogaridhënie efektive, shqyrtim të kujdesshëm dhe të thelluar të subjekteve që përdorin fondet publike; (ii) Rritja e ndikimit të punës së auditimit në qeverisjen e mirë, nëpërmjet përmirësimit të nivelit të zbatimit të rekomandimeve dhe (iii) Optimizimit të kapaciteteve profesionale për të përvetësuar njohuri novatore në punën e auditimit. Strategjia e KLSH-së është e lidhur me </w:t>
      </w:r>
      <w:r w:rsidR="002B1722" w:rsidRPr="009D660E">
        <w:rPr>
          <w:lang w:val="it-IT"/>
        </w:rPr>
        <w:t>shtyll</w:t>
      </w:r>
      <w:r w:rsidR="00160965" w:rsidRPr="009D660E">
        <w:rPr>
          <w:lang w:val="it-IT"/>
        </w:rPr>
        <w:t>ë</w:t>
      </w:r>
      <w:r w:rsidR="002B1722" w:rsidRPr="009D660E">
        <w:rPr>
          <w:lang w:val="it-IT"/>
        </w:rPr>
        <w:t>n</w:t>
      </w:r>
      <w:r w:rsidRPr="009D660E">
        <w:rPr>
          <w:lang w:val="it-IT"/>
        </w:rPr>
        <w:t xml:space="preserve"> 6 të Strategjisë së MFP-së.</w:t>
      </w:r>
    </w:p>
    <w:p w14:paraId="4B019B21" w14:textId="77777777" w:rsidR="002B7FF8" w:rsidRPr="009D660E" w:rsidRDefault="002B7FF8">
      <w:pPr>
        <w:spacing w:after="160" w:line="259" w:lineRule="auto"/>
        <w:rPr>
          <w:rStyle w:val="IntenseReference"/>
          <w:rFonts w:eastAsiaTheme="majorEastAsia" w:cstheme="majorBidi"/>
          <w:b/>
          <w:bCs/>
          <w:i w:val="0"/>
          <w:iCs/>
          <w:color w:val="FFC000"/>
          <w:sz w:val="26"/>
          <w:szCs w:val="26"/>
          <w:lang w:val="it-IT"/>
        </w:rPr>
      </w:pPr>
    </w:p>
    <w:p w14:paraId="1583686E" w14:textId="77777777" w:rsidR="009C3A40" w:rsidRPr="009D660E" w:rsidRDefault="009C3A40">
      <w:pPr>
        <w:spacing w:after="160" w:line="259" w:lineRule="auto"/>
        <w:rPr>
          <w:rStyle w:val="IntenseReference"/>
          <w:rFonts w:eastAsiaTheme="majorEastAsia" w:cstheme="majorBidi"/>
          <w:b/>
          <w:bCs/>
          <w:i w:val="0"/>
          <w:iCs/>
          <w:sz w:val="26"/>
          <w:szCs w:val="26"/>
          <w:lang w:val="it-IT"/>
        </w:rPr>
      </w:pPr>
      <w:bookmarkStart w:id="8" w:name="_Hlk151411446"/>
      <w:r w:rsidRPr="009D660E">
        <w:rPr>
          <w:rStyle w:val="IntenseReference"/>
          <w:rFonts w:eastAsiaTheme="majorEastAsia" w:cstheme="majorBidi"/>
          <w:i w:val="0"/>
          <w:sz w:val="26"/>
          <w:szCs w:val="26"/>
          <w:lang w:val="it-IT"/>
        </w:rPr>
        <w:br w:type="page"/>
      </w:r>
    </w:p>
    <w:p w14:paraId="0D478242" w14:textId="220B7A39" w:rsidR="00096B2B" w:rsidRPr="009D660E" w:rsidRDefault="00BE4F1C" w:rsidP="003D4676">
      <w:pPr>
        <w:pStyle w:val="Heading1"/>
        <w:rPr>
          <w:rStyle w:val="IntenseReference"/>
          <w:rFonts w:eastAsiaTheme="majorEastAsia" w:cstheme="majorBidi"/>
          <w:i w:val="0"/>
          <w:sz w:val="26"/>
          <w:szCs w:val="26"/>
          <w:lang w:val="it-IT"/>
        </w:rPr>
      </w:pPr>
      <w:bookmarkStart w:id="9" w:name="_Toc161748805"/>
      <w:r w:rsidRPr="009D660E">
        <w:rPr>
          <w:rStyle w:val="IntenseReference"/>
          <w:rFonts w:eastAsiaTheme="majorEastAsia" w:cstheme="majorBidi"/>
          <w:i w:val="0"/>
          <w:sz w:val="26"/>
          <w:szCs w:val="26"/>
          <w:lang w:val="it-IT"/>
        </w:rPr>
        <w:lastRenderedPageBreak/>
        <w:t>Shtylla</w:t>
      </w:r>
      <w:r w:rsidR="00096B2B" w:rsidRPr="009D660E">
        <w:rPr>
          <w:rStyle w:val="IntenseReference"/>
          <w:rFonts w:eastAsiaTheme="majorEastAsia" w:cstheme="majorBidi"/>
          <w:i w:val="0"/>
          <w:sz w:val="26"/>
          <w:szCs w:val="26"/>
          <w:lang w:val="it-IT"/>
        </w:rPr>
        <w:t xml:space="preserve"> 1: </w:t>
      </w:r>
      <w:r w:rsidR="00A07044" w:rsidRPr="009D660E">
        <w:rPr>
          <w:rStyle w:val="IntenseReference"/>
          <w:rFonts w:cstheme="majorBidi"/>
          <w:sz w:val="26"/>
          <w:szCs w:val="26"/>
          <w:lang w:val="it-IT"/>
        </w:rPr>
        <w:t xml:space="preserve"> </w:t>
      </w:r>
      <w:r w:rsidRPr="009D660E">
        <w:rPr>
          <w:rStyle w:val="IntenseReference"/>
          <w:rFonts w:eastAsiaTheme="majorEastAsia" w:cstheme="majorBidi"/>
          <w:i w:val="0"/>
          <w:sz w:val="26"/>
          <w:szCs w:val="26"/>
          <w:lang w:val="it-IT"/>
        </w:rPr>
        <w:t>Programimi Makroekonomik dhe Monitorimi i Riskut</w:t>
      </w:r>
      <w:bookmarkEnd w:id="9"/>
    </w:p>
    <w:p w14:paraId="32897099" w14:textId="77777777" w:rsidR="00D209D0" w:rsidRPr="009D660E" w:rsidRDefault="00D209D0" w:rsidP="00D209D0">
      <w:pPr>
        <w:rPr>
          <w:lang w:val="it-IT"/>
        </w:rPr>
      </w:pPr>
    </w:p>
    <w:p w14:paraId="6B6DE13B" w14:textId="77777777" w:rsidR="0054169C" w:rsidRPr="009D660E" w:rsidRDefault="0054169C" w:rsidP="00D209D0">
      <w:pPr>
        <w:rPr>
          <w:lang w:val="it-IT"/>
        </w:rPr>
      </w:pPr>
    </w:p>
    <w:p w14:paraId="38D18690" w14:textId="68FDFD7D" w:rsidR="008476F3" w:rsidRPr="001F151E" w:rsidRDefault="00BE4F1C" w:rsidP="00C96708">
      <w:pPr>
        <w:pStyle w:val="Heading2"/>
        <w:rPr>
          <w:lang w:val="en-GB"/>
        </w:rPr>
      </w:pPr>
      <w:bookmarkStart w:id="10" w:name="_Toc161748806"/>
      <w:r>
        <w:rPr>
          <w:lang w:val="en-GB"/>
        </w:rPr>
        <w:t>Hyrje</w:t>
      </w:r>
      <w:bookmarkEnd w:id="10"/>
    </w:p>
    <w:p w14:paraId="5924122F" w14:textId="77777777" w:rsidR="008476F3" w:rsidRPr="001F151E" w:rsidRDefault="008476F3" w:rsidP="008476F3">
      <w:pPr>
        <w:rPr>
          <w:lang w:val="en-GB"/>
        </w:rPr>
      </w:pPr>
    </w:p>
    <w:p w14:paraId="3DDEF788" w14:textId="190CBD2D" w:rsidR="00A07044" w:rsidRPr="00A81790" w:rsidRDefault="00BE4F1C" w:rsidP="002E6AB5">
      <w:pPr>
        <w:spacing w:line="276" w:lineRule="auto"/>
        <w:jc w:val="both"/>
        <w:rPr>
          <w:lang w:val="en-GB"/>
        </w:rPr>
      </w:pPr>
      <w:r>
        <w:rPr>
          <w:lang w:val="en-GB"/>
        </w:rPr>
        <w:t>Objektivi Specifik</w:t>
      </w:r>
      <w:r w:rsidR="00A07044" w:rsidRPr="00A81790">
        <w:rPr>
          <w:lang w:val="en-GB"/>
        </w:rPr>
        <w:t xml:space="preserve"> </w:t>
      </w:r>
      <w:r w:rsidR="00057806">
        <w:rPr>
          <w:lang w:val="en-GB"/>
        </w:rPr>
        <w:t>i shtyll</w:t>
      </w:r>
      <w:r w:rsidR="000A70F5">
        <w:rPr>
          <w:lang w:val="en-GB"/>
        </w:rPr>
        <w:t>ë</w:t>
      </w:r>
      <w:r w:rsidR="00057806">
        <w:rPr>
          <w:lang w:val="en-GB"/>
        </w:rPr>
        <w:t>s s</w:t>
      </w:r>
      <w:r w:rsidR="000A70F5">
        <w:rPr>
          <w:lang w:val="en-GB"/>
        </w:rPr>
        <w:t>ë</w:t>
      </w:r>
      <w:r w:rsidR="00057806">
        <w:rPr>
          <w:lang w:val="en-GB"/>
        </w:rPr>
        <w:t xml:space="preserve"> par</w:t>
      </w:r>
      <w:r w:rsidR="000A70F5">
        <w:rPr>
          <w:lang w:val="en-GB"/>
        </w:rPr>
        <w:t>ë</w:t>
      </w:r>
      <w:r w:rsidR="00057806">
        <w:rPr>
          <w:lang w:val="en-GB"/>
        </w:rPr>
        <w:t xml:space="preserve"> </w:t>
      </w:r>
      <w:r w:rsidR="000A70F5">
        <w:rPr>
          <w:lang w:val="en-GB"/>
        </w:rPr>
        <w:t>ë</w:t>
      </w:r>
      <w:r w:rsidR="00057806">
        <w:rPr>
          <w:lang w:val="en-GB"/>
        </w:rPr>
        <w:t>sht</w:t>
      </w:r>
      <w:r w:rsidR="000A70F5">
        <w:rPr>
          <w:lang w:val="en-GB"/>
        </w:rPr>
        <w:t>ë</w:t>
      </w:r>
      <w:r w:rsidR="00A07044" w:rsidRPr="00A81790">
        <w:rPr>
          <w:lang w:val="en-GB"/>
        </w:rPr>
        <w:t xml:space="preserve"> “</w:t>
      </w:r>
      <w:r>
        <w:rPr>
          <w:lang w:val="en-GB"/>
        </w:rPr>
        <w:t>Programimi makroekonomik dhe monitorimi i riskut</w:t>
      </w:r>
      <w:r w:rsidR="00A07044" w:rsidRPr="00A81790">
        <w:rPr>
          <w:lang w:val="en-GB"/>
        </w:rPr>
        <w:t xml:space="preserve">” </w:t>
      </w:r>
      <w:r w:rsidR="00057806">
        <w:rPr>
          <w:lang w:val="en-GB"/>
        </w:rPr>
        <w:t xml:space="preserve">dhe </w:t>
      </w:r>
      <w:r>
        <w:rPr>
          <w:lang w:val="en-GB"/>
        </w:rPr>
        <w:t>mbulon komponent</w:t>
      </w:r>
      <w:r w:rsidR="000A70F5">
        <w:rPr>
          <w:lang w:val="en-GB"/>
        </w:rPr>
        <w:t>ë</w:t>
      </w:r>
      <w:r>
        <w:rPr>
          <w:lang w:val="en-GB"/>
        </w:rPr>
        <w:t>t e p</w:t>
      </w:r>
      <w:r w:rsidR="00940474">
        <w:rPr>
          <w:lang w:val="en-GB"/>
        </w:rPr>
        <w:t xml:space="preserve">rogramimit </w:t>
      </w:r>
      <w:r>
        <w:rPr>
          <w:lang w:val="en-GB"/>
        </w:rPr>
        <w:t>makroekonomik</w:t>
      </w:r>
      <w:r w:rsidR="00940474">
        <w:rPr>
          <w:lang w:val="en-GB"/>
        </w:rPr>
        <w:t xml:space="preserve"> t</w:t>
      </w:r>
      <w:r w:rsidR="000A70F5">
        <w:rPr>
          <w:lang w:val="en-GB"/>
        </w:rPr>
        <w:t>ë</w:t>
      </w:r>
      <w:r w:rsidR="00940474">
        <w:rPr>
          <w:lang w:val="en-GB"/>
        </w:rPr>
        <w:t xml:space="preserve"> matur dhe realist</w:t>
      </w:r>
      <w:r w:rsidR="00A07044" w:rsidRPr="00A81790">
        <w:rPr>
          <w:lang w:val="en-GB"/>
        </w:rPr>
        <w:t xml:space="preserve">, </w:t>
      </w:r>
      <w:r>
        <w:rPr>
          <w:lang w:val="en-GB"/>
        </w:rPr>
        <w:t>analiz</w:t>
      </w:r>
      <w:r w:rsidR="000A70F5">
        <w:rPr>
          <w:lang w:val="en-GB"/>
        </w:rPr>
        <w:t>ë</w:t>
      </w:r>
      <w:r w:rsidR="00940474">
        <w:rPr>
          <w:lang w:val="en-GB"/>
        </w:rPr>
        <w:t>s</w:t>
      </w:r>
      <w:r>
        <w:rPr>
          <w:lang w:val="en-GB"/>
        </w:rPr>
        <w:t xml:space="preserve"> </w:t>
      </w:r>
      <w:r w:rsidR="00940474">
        <w:rPr>
          <w:lang w:val="en-GB"/>
        </w:rPr>
        <w:t>s</w:t>
      </w:r>
      <w:r w:rsidR="000A70F5">
        <w:rPr>
          <w:lang w:val="en-GB"/>
        </w:rPr>
        <w:t>ë</w:t>
      </w:r>
      <w:r>
        <w:rPr>
          <w:lang w:val="en-GB"/>
        </w:rPr>
        <w:t xml:space="preserve"> q</w:t>
      </w:r>
      <w:r w:rsidR="000A70F5">
        <w:rPr>
          <w:lang w:val="en-GB"/>
        </w:rPr>
        <w:t>ë</w:t>
      </w:r>
      <w:r>
        <w:rPr>
          <w:lang w:val="en-GB"/>
        </w:rPr>
        <w:t>ndrueshm</w:t>
      </w:r>
      <w:r w:rsidR="000A70F5">
        <w:rPr>
          <w:lang w:val="en-GB"/>
        </w:rPr>
        <w:t>ë</w:t>
      </w:r>
      <w:r>
        <w:rPr>
          <w:lang w:val="en-GB"/>
        </w:rPr>
        <w:t>ris</w:t>
      </w:r>
      <w:r w:rsidR="000A70F5">
        <w:rPr>
          <w:lang w:val="en-GB"/>
        </w:rPr>
        <w:t>ë</w:t>
      </w:r>
      <w:r>
        <w:rPr>
          <w:lang w:val="en-GB"/>
        </w:rPr>
        <w:t xml:space="preserve"> s</w:t>
      </w:r>
      <w:r w:rsidR="000A70F5">
        <w:rPr>
          <w:lang w:val="en-GB"/>
        </w:rPr>
        <w:t>ë</w:t>
      </w:r>
      <w:r>
        <w:rPr>
          <w:lang w:val="en-GB"/>
        </w:rPr>
        <w:t xml:space="preserve"> borxhit</w:t>
      </w:r>
      <w:r w:rsidR="00940474">
        <w:rPr>
          <w:lang w:val="en-GB"/>
        </w:rPr>
        <w:t>, menaxhimit t</w:t>
      </w:r>
      <w:r w:rsidR="000A70F5">
        <w:rPr>
          <w:lang w:val="en-GB"/>
        </w:rPr>
        <w:t>ë</w:t>
      </w:r>
      <w:r w:rsidR="00940474">
        <w:rPr>
          <w:lang w:val="en-GB"/>
        </w:rPr>
        <w:t xml:space="preserve"> riskut </w:t>
      </w:r>
      <w:r w:rsidR="000067ED">
        <w:rPr>
          <w:lang w:val="en-GB"/>
        </w:rPr>
        <w:t>fisk</w:t>
      </w:r>
      <w:r w:rsidR="00940474">
        <w:rPr>
          <w:lang w:val="en-GB"/>
        </w:rPr>
        <w:t>al</w:t>
      </w:r>
      <w:r w:rsidR="000067ED">
        <w:rPr>
          <w:lang w:val="en-GB"/>
        </w:rPr>
        <w:t xml:space="preserve"> dhe mbik</w:t>
      </w:r>
      <w:r w:rsidR="000A70F5">
        <w:rPr>
          <w:lang w:val="en-GB"/>
        </w:rPr>
        <w:t>ë</w:t>
      </w:r>
      <w:r w:rsidR="000067ED">
        <w:rPr>
          <w:lang w:val="en-GB"/>
        </w:rPr>
        <w:t>qyrjes fiskale</w:t>
      </w:r>
      <w:r>
        <w:rPr>
          <w:lang w:val="en-GB"/>
        </w:rPr>
        <w:t>.</w:t>
      </w:r>
    </w:p>
    <w:p w14:paraId="16A68E79" w14:textId="579ED261" w:rsidR="009111FF" w:rsidRPr="001F151E" w:rsidRDefault="009111FF" w:rsidP="002E6AB5">
      <w:pPr>
        <w:spacing w:line="276" w:lineRule="auto"/>
        <w:jc w:val="both"/>
        <w:rPr>
          <w:lang w:val="en-GB"/>
        </w:rPr>
      </w:pPr>
    </w:p>
    <w:p w14:paraId="6A2683E8" w14:textId="77777777" w:rsidR="00293628" w:rsidRPr="001F151E" w:rsidRDefault="00293628" w:rsidP="002E6AB5">
      <w:pPr>
        <w:pStyle w:val="H5"/>
        <w:spacing w:line="276" w:lineRule="auto"/>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left w:w="85" w:type="dxa"/>
          <w:bottom w:w="57" w:type="dxa"/>
          <w:right w:w="85" w:type="dxa"/>
        </w:tblCellMar>
        <w:tblLook w:val="04A0" w:firstRow="1" w:lastRow="0" w:firstColumn="1" w:lastColumn="0" w:noHBand="0" w:noVBand="1"/>
      </w:tblPr>
      <w:tblGrid>
        <w:gridCol w:w="9016"/>
      </w:tblGrid>
      <w:tr w:rsidR="00BA761C" w:rsidRPr="001F151E" w14:paraId="5FEAD4BA" w14:textId="77777777" w:rsidTr="00BA761C">
        <w:trPr>
          <w:trHeight w:val="20"/>
        </w:trPr>
        <w:tc>
          <w:tcPr>
            <w:tcW w:w="9016" w:type="dxa"/>
            <w:shd w:val="clear" w:color="auto" w:fill="F2F2F2" w:themeFill="background1" w:themeFillShade="F2"/>
          </w:tcPr>
          <w:p w14:paraId="514B6872" w14:textId="7C559109" w:rsidR="00BA761C" w:rsidRPr="009D660E" w:rsidRDefault="009E4659" w:rsidP="002E6AB5">
            <w:pPr>
              <w:pStyle w:val="T-normal"/>
              <w:spacing w:after="60" w:line="276" w:lineRule="auto"/>
              <w:jc w:val="both"/>
              <w:rPr>
                <w:b/>
                <w:bCs/>
                <w:lang w:val="it-IT"/>
              </w:rPr>
            </w:pPr>
            <w:r w:rsidRPr="009D660E">
              <w:rPr>
                <w:b/>
                <w:bCs/>
                <w:lang w:val="it-IT"/>
              </w:rPr>
              <w:t xml:space="preserve">Komponenti </w:t>
            </w:r>
            <w:r w:rsidR="00BA761C" w:rsidRPr="009D660E">
              <w:rPr>
                <w:b/>
                <w:bCs/>
                <w:lang w:val="it-IT"/>
              </w:rPr>
              <w:t xml:space="preserve">1.1 </w:t>
            </w:r>
            <w:r w:rsidRPr="009D660E">
              <w:rPr>
                <w:b/>
                <w:bCs/>
                <w:lang w:val="it-IT"/>
              </w:rPr>
              <w:t>Programim makroekonomik i matur dhe realist</w:t>
            </w:r>
          </w:p>
          <w:p w14:paraId="1A20988D" w14:textId="51DE73B8" w:rsidR="00C52954" w:rsidRPr="009D660E" w:rsidRDefault="00F62D7B" w:rsidP="002E6AB5">
            <w:pPr>
              <w:pStyle w:val="T-normal"/>
              <w:spacing w:line="276" w:lineRule="auto"/>
              <w:jc w:val="both"/>
              <w:rPr>
                <w:lang w:val="it-IT"/>
              </w:rPr>
            </w:pPr>
            <w:r w:rsidRPr="009D660E">
              <w:rPr>
                <w:lang w:val="it-IT"/>
              </w:rPr>
              <w:t>Synimi</w:t>
            </w:r>
            <w:r w:rsidR="00A07044" w:rsidRPr="009D660E">
              <w:rPr>
                <w:lang w:val="it-IT"/>
              </w:rPr>
              <w:t xml:space="preserve"> 2030: </w:t>
            </w:r>
            <w:r w:rsidR="00E40634" w:rsidRPr="009D660E">
              <w:rPr>
                <w:lang w:val="it-IT"/>
              </w:rPr>
              <w:t>Synimi p</w:t>
            </w:r>
            <w:r w:rsidR="000A70F5" w:rsidRPr="009D660E">
              <w:rPr>
                <w:lang w:val="it-IT"/>
              </w:rPr>
              <w:t>ë</w:t>
            </w:r>
            <w:r w:rsidR="00E40634" w:rsidRPr="009D660E">
              <w:rPr>
                <w:lang w:val="it-IT"/>
              </w:rPr>
              <w:t xml:space="preserve">r vitin 2030 </w:t>
            </w:r>
            <w:r w:rsidR="000A70F5" w:rsidRPr="009D660E">
              <w:rPr>
                <w:lang w:val="it-IT"/>
              </w:rPr>
              <w:t>ë</w:t>
            </w:r>
            <w:r w:rsidR="00E40634" w:rsidRPr="009D660E">
              <w:rPr>
                <w:lang w:val="it-IT"/>
              </w:rPr>
              <w:t>sht</w:t>
            </w:r>
            <w:r w:rsidR="000A70F5" w:rsidRPr="009D660E">
              <w:rPr>
                <w:lang w:val="it-IT"/>
              </w:rPr>
              <w:t>ë</w:t>
            </w:r>
            <w:r w:rsidR="00E40634" w:rsidRPr="009D660E">
              <w:rPr>
                <w:lang w:val="it-IT"/>
              </w:rPr>
              <w:t xml:space="preserve"> t</w:t>
            </w:r>
            <w:r w:rsidR="000A70F5" w:rsidRPr="009D660E">
              <w:rPr>
                <w:lang w:val="it-IT"/>
              </w:rPr>
              <w:t>ë</w:t>
            </w:r>
            <w:r w:rsidR="00E40634" w:rsidRPr="009D660E">
              <w:rPr>
                <w:lang w:val="it-IT"/>
              </w:rPr>
              <w:t xml:space="preserve"> krijohet nj</w:t>
            </w:r>
            <w:r w:rsidR="000A70F5" w:rsidRPr="009D660E">
              <w:rPr>
                <w:lang w:val="it-IT"/>
              </w:rPr>
              <w:t>ë</w:t>
            </w:r>
            <w:r w:rsidR="00E40634" w:rsidRPr="009D660E">
              <w:rPr>
                <w:lang w:val="it-IT"/>
              </w:rPr>
              <w:t xml:space="preserve"> s</w:t>
            </w:r>
            <w:r w:rsidRPr="009D660E">
              <w:rPr>
                <w:lang w:val="it-IT"/>
              </w:rPr>
              <w:t>i</w:t>
            </w:r>
            <w:r w:rsidR="00E40634" w:rsidRPr="009D660E">
              <w:rPr>
                <w:lang w:val="it-IT"/>
              </w:rPr>
              <w:t>stem rregullash fiskale p</w:t>
            </w:r>
            <w:r w:rsidR="000A70F5" w:rsidRPr="009D660E">
              <w:rPr>
                <w:lang w:val="it-IT"/>
              </w:rPr>
              <w:t>ë</w:t>
            </w:r>
            <w:r w:rsidR="00E40634" w:rsidRPr="009D660E">
              <w:rPr>
                <w:lang w:val="it-IT"/>
              </w:rPr>
              <w:t>rgjith</w:t>
            </w:r>
            <w:r w:rsidR="000A70F5" w:rsidRPr="009D660E">
              <w:rPr>
                <w:lang w:val="it-IT"/>
              </w:rPr>
              <w:t>ë</w:t>
            </w:r>
            <w:r w:rsidR="00E40634" w:rsidRPr="009D660E">
              <w:rPr>
                <w:lang w:val="it-IT"/>
              </w:rPr>
              <w:t>sisht t</w:t>
            </w:r>
            <w:r w:rsidR="000A70F5" w:rsidRPr="009D660E">
              <w:rPr>
                <w:lang w:val="it-IT"/>
              </w:rPr>
              <w:t>ë</w:t>
            </w:r>
            <w:r w:rsidR="00E40634" w:rsidRPr="009D660E">
              <w:rPr>
                <w:lang w:val="it-IT"/>
              </w:rPr>
              <w:t xml:space="preserve"> pranuara n</w:t>
            </w:r>
            <w:r w:rsidR="000A70F5" w:rsidRPr="009D660E">
              <w:rPr>
                <w:lang w:val="it-IT"/>
              </w:rPr>
              <w:t>ë</w:t>
            </w:r>
            <w:r w:rsidR="00E40634" w:rsidRPr="009D660E">
              <w:rPr>
                <w:lang w:val="it-IT"/>
              </w:rPr>
              <w:t xml:space="preserve"> kombinim me praktika solide p</w:t>
            </w:r>
            <w:r w:rsidR="000A70F5" w:rsidRPr="009D660E">
              <w:rPr>
                <w:lang w:val="it-IT"/>
              </w:rPr>
              <w:t>ë</w:t>
            </w:r>
            <w:r w:rsidR="00E40634" w:rsidRPr="009D660E">
              <w:rPr>
                <w:lang w:val="it-IT"/>
              </w:rPr>
              <w:t xml:space="preserve">r programimin dhe parashikimin </w:t>
            </w:r>
            <w:r w:rsidRPr="009D660E">
              <w:rPr>
                <w:lang w:val="it-IT"/>
              </w:rPr>
              <w:t>makroekonomik dhe zhvillimin e nj</w:t>
            </w:r>
            <w:r w:rsidR="000A70F5" w:rsidRPr="009D660E">
              <w:rPr>
                <w:lang w:val="it-IT"/>
              </w:rPr>
              <w:t>ë</w:t>
            </w:r>
            <w:r w:rsidRPr="009D660E">
              <w:rPr>
                <w:lang w:val="it-IT"/>
              </w:rPr>
              <w:t xml:space="preserve"> kuadri fiskal afatmes</w:t>
            </w:r>
            <w:r w:rsidR="000A70F5" w:rsidRPr="009D660E">
              <w:rPr>
                <w:lang w:val="it-IT"/>
              </w:rPr>
              <w:t>ë</w:t>
            </w:r>
            <w:r w:rsidRPr="009D660E">
              <w:rPr>
                <w:lang w:val="it-IT"/>
              </w:rPr>
              <w:t>m t</w:t>
            </w:r>
            <w:r w:rsidR="000A70F5" w:rsidRPr="009D660E">
              <w:rPr>
                <w:lang w:val="it-IT"/>
              </w:rPr>
              <w:t>ë</w:t>
            </w:r>
            <w:r w:rsidRPr="009D660E">
              <w:rPr>
                <w:lang w:val="it-IT"/>
              </w:rPr>
              <w:t xml:space="preserve"> besuesh</w:t>
            </w:r>
            <w:r w:rsidR="000A70F5" w:rsidRPr="009D660E">
              <w:rPr>
                <w:lang w:val="it-IT"/>
              </w:rPr>
              <w:t>ë</w:t>
            </w:r>
            <w:r w:rsidRPr="009D660E">
              <w:rPr>
                <w:lang w:val="it-IT"/>
              </w:rPr>
              <w:t xml:space="preserve">m </w:t>
            </w:r>
            <w:r w:rsidR="00A2661B" w:rsidRPr="009D660E">
              <w:rPr>
                <w:lang w:val="it-IT"/>
              </w:rPr>
              <w:t>q</w:t>
            </w:r>
            <w:r w:rsidR="000A70F5" w:rsidRPr="009D660E">
              <w:rPr>
                <w:lang w:val="it-IT"/>
              </w:rPr>
              <w:t>ë</w:t>
            </w:r>
            <w:r w:rsidR="00A2661B" w:rsidRPr="009D660E">
              <w:rPr>
                <w:lang w:val="it-IT"/>
              </w:rPr>
              <w:t xml:space="preserve"> do t</w:t>
            </w:r>
            <w:r w:rsidR="000A70F5" w:rsidRPr="009D660E">
              <w:rPr>
                <w:lang w:val="it-IT"/>
              </w:rPr>
              <w:t>ë</w:t>
            </w:r>
            <w:r w:rsidR="00A2661B" w:rsidRPr="009D660E">
              <w:rPr>
                <w:lang w:val="it-IT"/>
              </w:rPr>
              <w:t xml:space="preserve"> formoj</w:t>
            </w:r>
            <w:r w:rsidR="000A70F5" w:rsidRPr="009D660E">
              <w:rPr>
                <w:lang w:val="it-IT"/>
              </w:rPr>
              <w:t>ë</w:t>
            </w:r>
            <w:r w:rsidR="00A2661B" w:rsidRPr="009D660E">
              <w:rPr>
                <w:lang w:val="it-IT"/>
              </w:rPr>
              <w:t xml:space="preserve"> nj</w:t>
            </w:r>
            <w:r w:rsidR="000A70F5" w:rsidRPr="009D660E">
              <w:rPr>
                <w:lang w:val="it-IT"/>
              </w:rPr>
              <w:t>ë</w:t>
            </w:r>
            <w:r w:rsidR="00A2661B" w:rsidRPr="009D660E">
              <w:rPr>
                <w:lang w:val="it-IT"/>
              </w:rPr>
              <w:t xml:space="preserve"> baz</w:t>
            </w:r>
            <w:r w:rsidR="000A70F5" w:rsidRPr="009D660E">
              <w:rPr>
                <w:lang w:val="it-IT"/>
              </w:rPr>
              <w:t>ë</w:t>
            </w:r>
            <w:r w:rsidR="00A2661B" w:rsidRPr="009D660E">
              <w:rPr>
                <w:lang w:val="it-IT"/>
              </w:rPr>
              <w:t xml:space="preserve"> t</w:t>
            </w:r>
            <w:r w:rsidR="000A70F5" w:rsidRPr="009D660E">
              <w:rPr>
                <w:lang w:val="it-IT"/>
              </w:rPr>
              <w:t>ë</w:t>
            </w:r>
            <w:r w:rsidR="00A2661B" w:rsidRPr="009D660E">
              <w:rPr>
                <w:lang w:val="it-IT"/>
              </w:rPr>
              <w:t xml:space="preserve"> sh</w:t>
            </w:r>
            <w:r w:rsidR="000A70F5" w:rsidRPr="009D660E">
              <w:rPr>
                <w:lang w:val="it-IT"/>
              </w:rPr>
              <w:t>ë</w:t>
            </w:r>
            <w:r w:rsidR="00A2661B" w:rsidRPr="009D660E">
              <w:rPr>
                <w:lang w:val="it-IT"/>
              </w:rPr>
              <w:t>ndosh</w:t>
            </w:r>
            <w:r w:rsidR="000A70F5" w:rsidRPr="009D660E">
              <w:rPr>
                <w:lang w:val="it-IT"/>
              </w:rPr>
              <w:t>ë</w:t>
            </w:r>
            <w:r w:rsidR="00A2661B" w:rsidRPr="009D660E">
              <w:rPr>
                <w:lang w:val="it-IT"/>
              </w:rPr>
              <w:t xml:space="preserve"> p</w:t>
            </w:r>
            <w:r w:rsidR="000A70F5" w:rsidRPr="009D660E">
              <w:rPr>
                <w:lang w:val="it-IT"/>
              </w:rPr>
              <w:t>ë</w:t>
            </w:r>
            <w:r w:rsidR="00A2661B" w:rsidRPr="009D660E">
              <w:rPr>
                <w:lang w:val="it-IT"/>
              </w:rPr>
              <w:t>r formulimin e politik</w:t>
            </w:r>
            <w:r w:rsidR="000A70F5" w:rsidRPr="009D660E">
              <w:rPr>
                <w:lang w:val="it-IT"/>
              </w:rPr>
              <w:t>ë</w:t>
            </w:r>
            <w:r w:rsidR="00A2661B" w:rsidRPr="009D660E">
              <w:rPr>
                <w:lang w:val="it-IT"/>
              </w:rPr>
              <w:t>s fiskale afatmesme dhe Programin Buxhetor Afatmes</w:t>
            </w:r>
            <w:r w:rsidR="000A70F5" w:rsidRPr="009D660E">
              <w:rPr>
                <w:lang w:val="it-IT"/>
              </w:rPr>
              <w:t>ë</w:t>
            </w:r>
            <w:r w:rsidR="00A2661B" w:rsidRPr="009D660E">
              <w:rPr>
                <w:lang w:val="it-IT"/>
              </w:rPr>
              <w:t xml:space="preserve">m. </w:t>
            </w:r>
          </w:p>
          <w:p w14:paraId="56364C45" w14:textId="4ADA7650" w:rsidR="00BA761C" w:rsidRPr="001F151E" w:rsidRDefault="00BA761C" w:rsidP="002E6AB5">
            <w:pPr>
              <w:pStyle w:val="T-normal"/>
              <w:spacing w:line="276" w:lineRule="auto"/>
              <w:jc w:val="both"/>
            </w:pPr>
            <w:r w:rsidRPr="001F151E">
              <w:t>M</w:t>
            </w:r>
            <w:r w:rsidR="00A2661B">
              <w:t>asat p</w:t>
            </w:r>
            <w:r w:rsidR="000A70F5">
              <w:t>ë</w:t>
            </w:r>
            <w:r w:rsidR="00A2661B">
              <w:t xml:space="preserve">r vitet </w:t>
            </w:r>
            <w:r w:rsidRPr="001F151E">
              <w:t>2023-2026:</w:t>
            </w:r>
          </w:p>
          <w:p w14:paraId="5D127343" w14:textId="3A2FF52D" w:rsidR="009654A3" w:rsidRPr="001F151E" w:rsidRDefault="00A2661B" w:rsidP="002E6AB5">
            <w:pPr>
              <w:pStyle w:val="T-bullet0"/>
              <w:spacing w:line="276" w:lineRule="auto"/>
              <w:jc w:val="both"/>
            </w:pPr>
            <w:r>
              <w:t>Masa</w:t>
            </w:r>
            <w:r w:rsidR="009654A3" w:rsidRPr="001F151E">
              <w:t xml:space="preserve"> 1.1.1 </w:t>
            </w:r>
            <w:r>
              <w:t>Parashikim i matur i treguesve makroekonomik n</w:t>
            </w:r>
            <w:r w:rsidR="000A70F5">
              <w:t>ë</w:t>
            </w:r>
            <w:r>
              <w:t xml:space="preserve"> p</w:t>
            </w:r>
            <w:r w:rsidR="000A70F5">
              <w:t>ë</w:t>
            </w:r>
            <w:r>
              <w:t>rputhje me parashikuesit e pavarur dhe nd</w:t>
            </w:r>
            <w:r w:rsidR="000A70F5">
              <w:t>ë</w:t>
            </w:r>
            <w:r>
              <w:t>rkomb</w:t>
            </w:r>
            <w:r w:rsidR="000A70F5">
              <w:t>ë</w:t>
            </w:r>
            <w:r>
              <w:t>tar</w:t>
            </w:r>
            <w:r w:rsidR="000A70F5">
              <w:t>ë</w:t>
            </w:r>
            <w:r w:rsidR="009C35E5" w:rsidRPr="001F151E">
              <w:t>;</w:t>
            </w:r>
          </w:p>
          <w:p w14:paraId="27DCB260" w14:textId="32ACD700" w:rsidR="009654A3" w:rsidRPr="001F151E" w:rsidRDefault="009654A3" w:rsidP="002E6AB5">
            <w:pPr>
              <w:pStyle w:val="T-bullet0"/>
              <w:spacing w:line="276" w:lineRule="auto"/>
              <w:jc w:val="both"/>
            </w:pPr>
            <w:r w:rsidRPr="001F151E">
              <w:t>M</w:t>
            </w:r>
            <w:r w:rsidR="00A2661B">
              <w:t>asa</w:t>
            </w:r>
            <w:r w:rsidRPr="001F151E">
              <w:t xml:space="preserve"> 1.1.2 </w:t>
            </w:r>
            <w:r w:rsidR="00A2661B">
              <w:t>Parashikim i matur dhe realist i t</w:t>
            </w:r>
            <w:r w:rsidR="000A70F5">
              <w:t>ë</w:t>
            </w:r>
            <w:r w:rsidR="00A2661B">
              <w:t xml:space="preserve"> ardhurave afatmesme n</w:t>
            </w:r>
            <w:r w:rsidR="000A70F5">
              <w:t>ë</w:t>
            </w:r>
            <w:r w:rsidR="00A2661B">
              <w:t xml:space="preserve"> p</w:t>
            </w:r>
            <w:r w:rsidR="000A70F5">
              <w:t>ë</w:t>
            </w:r>
            <w:r w:rsidR="00A2661B">
              <w:t xml:space="preserve">rputhje me parashikuesit </w:t>
            </w:r>
            <w:r w:rsidR="00BF558E">
              <w:t>e pavarur dhe nd</w:t>
            </w:r>
            <w:r w:rsidR="000A70F5">
              <w:t>ë</w:t>
            </w:r>
            <w:r w:rsidR="00BF558E">
              <w:t>rkomb</w:t>
            </w:r>
            <w:r w:rsidR="000A70F5">
              <w:t>ë</w:t>
            </w:r>
            <w:r w:rsidR="00BF558E">
              <w:t>tar</w:t>
            </w:r>
            <w:r w:rsidR="000A70F5">
              <w:t>ë</w:t>
            </w:r>
            <w:r w:rsidR="009C35E5" w:rsidRPr="001F151E">
              <w:t>;</w:t>
            </w:r>
          </w:p>
          <w:p w14:paraId="58B3C8F7" w14:textId="2455DA00" w:rsidR="009654A3" w:rsidRPr="007F5689" w:rsidRDefault="009654A3" w:rsidP="002E6AB5">
            <w:pPr>
              <w:pStyle w:val="T-bullet0"/>
              <w:spacing w:line="276" w:lineRule="auto"/>
              <w:jc w:val="both"/>
            </w:pPr>
            <w:r w:rsidRPr="001F151E">
              <w:t>M</w:t>
            </w:r>
            <w:r w:rsidR="00BF558E">
              <w:t>asa</w:t>
            </w:r>
            <w:r w:rsidRPr="001F151E">
              <w:t xml:space="preserve"> 1.1.3 </w:t>
            </w:r>
            <w:r w:rsidR="00BF558E">
              <w:t>Ruajtja e financave publike t</w:t>
            </w:r>
            <w:r w:rsidR="000A70F5">
              <w:t>ë</w:t>
            </w:r>
            <w:r w:rsidR="00BF558E">
              <w:t xml:space="preserve"> sh</w:t>
            </w:r>
            <w:r w:rsidR="000A70F5">
              <w:t>ë</w:t>
            </w:r>
            <w:r w:rsidR="00BF558E">
              <w:t>ndosha p</w:t>
            </w:r>
            <w:r w:rsidR="000A70F5">
              <w:t>ë</w:t>
            </w:r>
            <w:r w:rsidR="00BF558E">
              <w:t>rmes pajtueshm</w:t>
            </w:r>
            <w:r w:rsidR="000A70F5">
              <w:t>ë</w:t>
            </w:r>
            <w:r w:rsidR="00BF558E">
              <w:t>ris</w:t>
            </w:r>
            <w:r w:rsidR="000A70F5">
              <w:t>ë</w:t>
            </w:r>
            <w:r w:rsidR="00BF558E">
              <w:t xml:space="preserve"> s</w:t>
            </w:r>
            <w:r w:rsidR="000A70F5">
              <w:t>ë</w:t>
            </w:r>
            <w:r w:rsidR="00BF558E">
              <w:t xml:space="preserve"> p</w:t>
            </w:r>
            <w:r w:rsidR="000A70F5">
              <w:t>ë</w:t>
            </w:r>
            <w:r w:rsidR="00BF558E">
              <w:t xml:space="preserve">rhershme me rregullat fiskale. </w:t>
            </w:r>
          </w:p>
          <w:p w14:paraId="33046AB3" w14:textId="77777777" w:rsidR="00E65CA5" w:rsidRDefault="00E65CA5" w:rsidP="002E6AB5">
            <w:pPr>
              <w:pStyle w:val="T-normal"/>
              <w:spacing w:after="60" w:line="276" w:lineRule="auto"/>
              <w:jc w:val="both"/>
              <w:rPr>
                <w:b/>
                <w:bCs/>
              </w:rPr>
            </w:pPr>
          </w:p>
          <w:p w14:paraId="78BAD82F" w14:textId="2AF2FAFB" w:rsidR="00E65CA5" w:rsidRPr="00E65CA5" w:rsidRDefault="00BF558E" w:rsidP="002E6AB5">
            <w:pPr>
              <w:pStyle w:val="T-normal"/>
              <w:spacing w:after="60" w:line="276" w:lineRule="auto"/>
              <w:jc w:val="both"/>
              <w:rPr>
                <w:b/>
                <w:bCs/>
              </w:rPr>
            </w:pPr>
            <w:r>
              <w:rPr>
                <w:b/>
                <w:bCs/>
              </w:rPr>
              <w:t>Komponenti</w:t>
            </w:r>
            <w:r w:rsidR="00E65CA5" w:rsidRPr="001F151E">
              <w:rPr>
                <w:b/>
                <w:bCs/>
              </w:rPr>
              <w:t xml:space="preserve"> 1.</w:t>
            </w:r>
            <w:r w:rsidR="00E65CA5">
              <w:rPr>
                <w:b/>
                <w:bCs/>
              </w:rPr>
              <w:t>2</w:t>
            </w:r>
            <w:r w:rsidR="00E65CA5" w:rsidRPr="001F151E">
              <w:rPr>
                <w:b/>
                <w:bCs/>
              </w:rPr>
              <w:t xml:space="preserve"> </w:t>
            </w:r>
            <w:r>
              <w:rPr>
                <w:rFonts w:eastAsia="Times New Roman" w:cs="Times New Roman"/>
                <w:b/>
              </w:rPr>
              <w:t>Krijimi i nj</w:t>
            </w:r>
            <w:r w:rsidR="000A70F5">
              <w:rPr>
                <w:rFonts w:eastAsia="Times New Roman" w:cs="Times New Roman"/>
                <w:b/>
              </w:rPr>
              <w:t>ë</w:t>
            </w:r>
            <w:r>
              <w:rPr>
                <w:rFonts w:eastAsia="Times New Roman" w:cs="Times New Roman"/>
                <w:b/>
              </w:rPr>
              <w:t xml:space="preserve"> Analize gjith</w:t>
            </w:r>
            <w:r w:rsidR="000A70F5">
              <w:rPr>
                <w:rFonts w:eastAsia="Times New Roman" w:cs="Times New Roman"/>
                <w:b/>
              </w:rPr>
              <w:t>ë</w:t>
            </w:r>
            <w:r>
              <w:rPr>
                <w:rFonts w:eastAsia="Times New Roman" w:cs="Times New Roman"/>
                <w:b/>
              </w:rPr>
              <w:t>p</w:t>
            </w:r>
            <w:r w:rsidR="000A70F5">
              <w:rPr>
                <w:rFonts w:eastAsia="Times New Roman" w:cs="Times New Roman"/>
                <w:b/>
              </w:rPr>
              <w:t>ë</w:t>
            </w:r>
            <w:r>
              <w:rPr>
                <w:rFonts w:eastAsia="Times New Roman" w:cs="Times New Roman"/>
                <w:b/>
              </w:rPr>
              <w:t>rfshir</w:t>
            </w:r>
            <w:r w:rsidR="000A70F5">
              <w:rPr>
                <w:rFonts w:eastAsia="Times New Roman" w:cs="Times New Roman"/>
                <w:b/>
              </w:rPr>
              <w:t>ë</w:t>
            </w:r>
            <w:r>
              <w:rPr>
                <w:rFonts w:eastAsia="Times New Roman" w:cs="Times New Roman"/>
                <w:b/>
              </w:rPr>
              <w:t>se t</w:t>
            </w:r>
            <w:r w:rsidR="000A70F5">
              <w:rPr>
                <w:rFonts w:eastAsia="Times New Roman" w:cs="Times New Roman"/>
                <w:b/>
              </w:rPr>
              <w:t>ë</w:t>
            </w:r>
            <w:r>
              <w:rPr>
                <w:rFonts w:eastAsia="Times New Roman" w:cs="Times New Roman"/>
                <w:b/>
              </w:rPr>
              <w:t xml:space="preserve"> Q</w:t>
            </w:r>
            <w:r w:rsidR="000A70F5">
              <w:rPr>
                <w:rFonts w:eastAsia="Times New Roman" w:cs="Times New Roman"/>
                <w:b/>
              </w:rPr>
              <w:t>ë</w:t>
            </w:r>
            <w:r>
              <w:rPr>
                <w:rFonts w:eastAsia="Times New Roman" w:cs="Times New Roman"/>
                <w:b/>
              </w:rPr>
              <w:t>ndrueshm</w:t>
            </w:r>
            <w:r w:rsidR="000A70F5">
              <w:rPr>
                <w:rFonts w:eastAsia="Times New Roman" w:cs="Times New Roman"/>
                <w:b/>
              </w:rPr>
              <w:t>ë</w:t>
            </w:r>
            <w:r>
              <w:rPr>
                <w:rFonts w:eastAsia="Times New Roman" w:cs="Times New Roman"/>
                <w:b/>
              </w:rPr>
              <w:t>ris</w:t>
            </w:r>
            <w:r w:rsidR="000A70F5">
              <w:rPr>
                <w:rFonts w:eastAsia="Times New Roman" w:cs="Times New Roman"/>
                <w:b/>
              </w:rPr>
              <w:t>ë</w:t>
            </w:r>
            <w:r>
              <w:rPr>
                <w:rFonts w:eastAsia="Times New Roman" w:cs="Times New Roman"/>
                <w:b/>
              </w:rPr>
              <w:t xml:space="preserve"> s</w:t>
            </w:r>
            <w:r w:rsidR="000A70F5">
              <w:rPr>
                <w:rFonts w:eastAsia="Times New Roman" w:cs="Times New Roman"/>
                <w:b/>
              </w:rPr>
              <w:t>ë</w:t>
            </w:r>
            <w:r>
              <w:rPr>
                <w:rFonts w:eastAsia="Times New Roman" w:cs="Times New Roman"/>
                <w:b/>
              </w:rPr>
              <w:t xml:space="preserve"> Borxhit</w:t>
            </w:r>
          </w:p>
          <w:p w14:paraId="5E041124" w14:textId="504E0535" w:rsidR="009654A3" w:rsidRDefault="00C44B53" w:rsidP="002E6AB5">
            <w:pPr>
              <w:pStyle w:val="T-bullet0"/>
              <w:numPr>
                <w:ilvl w:val="0"/>
                <w:numId w:val="0"/>
              </w:numPr>
              <w:spacing w:line="276" w:lineRule="auto"/>
              <w:jc w:val="both"/>
              <w:rPr>
                <w:b/>
              </w:rPr>
            </w:pPr>
            <w:r>
              <w:t xml:space="preserve">Synimi </w:t>
            </w:r>
            <w:r w:rsidR="00E65CA5" w:rsidRPr="001F151E">
              <w:t xml:space="preserve">2030: </w:t>
            </w:r>
            <w:r>
              <w:rPr>
                <w:rFonts w:eastAsia="Calibri"/>
                <w:bCs/>
              </w:rPr>
              <w:t>Krijimi i nj</w:t>
            </w:r>
            <w:r w:rsidR="000A70F5">
              <w:rPr>
                <w:rFonts w:eastAsia="Calibri"/>
                <w:bCs/>
              </w:rPr>
              <w:t>ë</w:t>
            </w:r>
            <w:r>
              <w:rPr>
                <w:rFonts w:eastAsia="Calibri"/>
                <w:bCs/>
              </w:rPr>
              <w:t xml:space="preserve"> kuadri gjith</w:t>
            </w:r>
            <w:r w:rsidR="000A70F5">
              <w:rPr>
                <w:rFonts w:eastAsia="Calibri"/>
                <w:bCs/>
              </w:rPr>
              <w:t>ë</w:t>
            </w:r>
            <w:r>
              <w:rPr>
                <w:rFonts w:eastAsia="Calibri"/>
                <w:bCs/>
              </w:rPr>
              <w:t>p</w:t>
            </w:r>
            <w:r w:rsidR="000A70F5">
              <w:rPr>
                <w:rFonts w:eastAsia="Calibri"/>
                <w:bCs/>
              </w:rPr>
              <w:t>ë</w:t>
            </w:r>
            <w:r>
              <w:rPr>
                <w:rFonts w:eastAsia="Calibri"/>
                <w:bCs/>
              </w:rPr>
              <w:t>rfshir</w:t>
            </w:r>
            <w:r w:rsidR="000A70F5">
              <w:rPr>
                <w:rFonts w:eastAsia="Calibri"/>
                <w:bCs/>
              </w:rPr>
              <w:t>ë</w:t>
            </w:r>
            <w:r>
              <w:rPr>
                <w:rFonts w:eastAsia="Calibri"/>
                <w:bCs/>
              </w:rPr>
              <w:t>s t</w:t>
            </w:r>
            <w:r w:rsidR="000A70F5">
              <w:rPr>
                <w:rFonts w:eastAsia="Calibri"/>
                <w:bCs/>
              </w:rPr>
              <w:t>ë</w:t>
            </w:r>
            <w:r>
              <w:rPr>
                <w:rFonts w:eastAsia="Calibri"/>
                <w:bCs/>
              </w:rPr>
              <w:t xml:space="preserve"> Analiz</w:t>
            </w:r>
            <w:r w:rsidR="000A70F5">
              <w:rPr>
                <w:rFonts w:eastAsia="Calibri"/>
                <w:bCs/>
              </w:rPr>
              <w:t>ë</w:t>
            </w:r>
            <w:r>
              <w:rPr>
                <w:rFonts w:eastAsia="Calibri"/>
                <w:bCs/>
              </w:rPr>
              <w:t>s s</w:t>
            </w:r>
            <w:r w:rsidR="000A70F5">
              <w:rPr>
                <w:rFonts w:eastAsia="Calibri"/>
                <w:bCs/>
              </w:rPr>
              <w:t>ë</w:t>
            </w:r>
            <w:r>
              <w:rPr>
                <w:rFonts w:eastAsia="Calibri"/>
                <w:bCs/>
              </w:rPr>
              <w:t xml:space="preserve"> Q</w:t>
            </w:r>
            <w:r w:rsidR="000A70F5">
              <w:rPr>
                <w:rFonts w:eastAsia="Calibri"/>
                <w:bCs/>
              </w:rPr>
              <w:t>ë</w:t>
            </w:r>
            <w:r>
              <w:rPr>
                <w:rFonts w:eastAsia="Calibri"/>
                <w:bCs/>
              </w:rPr>
              <w:t>ndrueshm</w:t>
            </w:r>
            <w:r w:rsidR="000A70F5">
              <w:rPr>
                <w:rFonts w:eastAsia="Calibri"/>
                <w:bCs/>
              </w:rPr>
              <w:t>ë</w:t>
            </w:r>
            <w:r>
              <w:rPr>
                <w:rFonts w:eastAsia="Calibri"/>
                <w:bCs/>
              </w:rPr>
              <w:t>ris</w:t>
            </w:r>
            <w:r w:rsidR="000A70F5">
              <w:rPr>
                <w:rFonts w:eastAsia="Calibri"/>
                <w:bCs/>
              </w:rPr>
              <w:t>ë</w:t>
            </w:r>
            <w:r>
              <w:rPr>
                <w:rFonts w:eastAsia="Calibri"/>
                <w:bCs/>
              </w:rPr>
              <w:t xml:space="preserve"> s</w:t>
            </w:r>
            <w:r w:rsidR="000A70F5">
              <w:rPr>
                <w:rFonts w:eastAsia="Calibri"/>
                <w:bCs/>
              </w:rPr>
              <w:t>ë</w:t>
            </w:r>
            <w:r>
              <w:rPr>
                <w:rFonts w:eastAsia="Calibri"/>
                <w:bCs/>
              </w:rPr>
              <w:t xml:space="preserve"> Borxhit</w:t>
            </w:r>
            <w:r w:rsidR="00E65CA5" w:rsidRPr="00875B03">
              <w:rPr>
                <w:rFonts w:eastAsia="Calibri"/>
                <w:bCs/>
              </w:rPr>
              <w:t>.</w:t>
            </w:r>
          </w:p>
          <w:p w14:paraId="1FCDC0E7" w14:textId="77777777" w:rsidR="00E65CA5" w:rsidRDefault="00E65CA5" w:rsidP="002E6AB5">
            <w:pPr>
              <w:pStyle w:val="T-bullet0"/>
              <w:numPr>
                <w:ilvl w:val="0"/>
                <w:numId w:val="0"/>
              </w:numPr>
              <w:spacing w:line="276" w:lineRule="auto"/>
              <w:jc w:val="both"/>
              <w:rPr>
                <w:b/>
              </w:rPr>
            </w:pPr>
          </w:p>
          <w:p w14:paraId="0C128192" w14:textId="6B17865A" w:rsidR="00E65CA5" w:rsidRPr="001F151E" w:rsidRDefault="00C44B53" w:rsidP="002E6AB5">
            <w:pPr>
              <w:pStyle w:val="T-normal"/>
              <w:spacing w:line="276" w:lineRule="auto"/>
              <w:jc w:val="both"/>
            </w:pPr>
            <w:r>
              <w:t>Masat p</w:t>
            </w:r>
            <w:r w:rsidR="000A70F5">
              <w:t>ë</w:t>
            </w:r>
            <w:r>
              <w:t>r vitet</w:t>
            </w:r>
            <w:r w:rsidR="00E65CA5" w:rsidRPr="001F151E">
              <w:t xml:space="preserve"> 2023-2026:</w:t>
            </w:r>
          </w:p>
          <w:p w14:paraId="45F2BB91" w14:textId="5AD20AEF" w:rsidR="00E65CA5" w:rsidRPr="007F5689" w:rsidRDefault="00E65CA5" w:rsidP="002E6AB5">
            <w:pPr>
              <w:pStyle w:val="T-bullet0"/>
              <w:spacing w:line="276" w:lineRule="auto"/>
              <w:jc w:val="both"/>
            </w:pPr>
            <w:r w:rsidRPr="007F5689">
              <w:t>M</w:t>
            </w:r>
            <w:r w:rsidR="00C44B53">
              <w:t>asa</w:t>
            </w:r>
            <w:r w:rsidRPr="007F5689">
              <w:t xml:space="preserve"> 1.2.1 </w:t>
            </w:r>
            <w:r w:rsidR="00C44B53">
              <w:t>Ofrimi i asistenc</w:t>
            </w:r>
            <w:r w:rsidR="000A70F5">
              <w:t>ë</w:t>
            </w:r>
            <w:r w:rsidR="00C44B53">
              <w:t>s teknike p</w:t>
            </w:r>
            <w:r w:rsidR="000A70F5">
              <w:t>ë</w:t>
            </w:r>
            <w:r w:rsidR="00C44B53">
              <w:t xml:space="preserve">r procesin e </w:t>
            </w:r>
            <w:r w:rsidR="008474C8">
              <w:t>Analiz</w:t>
            </w:r>
            <w:r w:rsidR="000A70F5">
              <w:t>ë</w:t>
            </w:r>
            <w:r w:rsidR="008474C8">
              <w:t>s s</w:t>
            </w:r>
            <w:r w:rsidR="000A70F5">
              <w:t>ë</w:t>
            </w:r>
            <w:r w:rsidR="008474C8">
              <w:t xml:space="preserve"> Q</w:t>
            </w:r>
            <w:r w:rsidR="000A70F5">
              <w:t>ë</w:t>
            </w:r>
            <w:r w:rsidR="008474C8">
              <w:t>ndrueshm</w:t>
            </w:r>
            <w:r w:rsidR="000A70F5">
              <w:t>ë</w:t>
            </w:r>
            <w:r w:rsidR="008474C8">
              <w:t>ris</w:t>
            </w:r>
            <w:r w:rsidR="000A70F5">
              <w:t>ë</w:t>
            </w:r>
            <w:r w:rsidR="008474C8">
              <w:t xml:space="preserve"> s</w:t>
            </w:r>
            <w:r w:rsidR="000A70F5">
              <w:t>ë</w:t>
            </w:r>
            <w:r w:rsidR="008474C8">
              <w:t xml:space="preserve"> Borxhit;</w:t>
            </w:r>
          </w:p>
          <w:p w14:paraId="2B64AD95" w14:textId="1DEA0941" w:rsidR="00E65CA5" w:rsidRPr="007F5689" w:rsidRDefault="00E65CA5" w:rsidP="002E6AB5">
            <w:pPr>
              <w:pStyle w:val="T-bullet0"/>
              <w:spacing w:line="276" w:lineRule="auto"/>
              <w:jc w:val="both"/>
            </w:pPr>
            <w:r w:rsidRPr="007F5689">
              <w:t>M</w:t>
            </w:r>
            <w:r w:rsidR="008474C8">
              <w:t>asa</w:t>
            </w:r>
            <w:r w:rsidRPr="007F5689">
              <w:t xml:space="preserve"> 1.2.2 </w:t>
            </w:r>
            <w:r w:rsidR="008474C8">
              <w:t>Prezantimi i kuadrit t</w:t>
            </w:r>
            <w:r w:rsidR="000A70F5">
              <w:t>ë</w:t>
            </w:r>
            <w:r w:rsidR="008474C8">
              <w:t xml:space="preserve"> Analiz</w:t>
            </w:r>
            <w:r w:rsidR="000A70F5">
              <w:t>ë</w:t>
            </w:r>
            <w:r w:rsidR="008474C8">
              <w:t>s s</w:t>
            </w:r>
            <w:r w:rsidR="000A70F5">
              <w:t>ë</w:t>
            </w:r>
            <w:r w:rsidR="008474C8">
              <w:t xml:space="preserve"> Q</w:t>
            </w:r>
            <w:r w:rsidR="000A70F5">
              <w:t>ë</w:t>
            </w:r>
            <w:r w:rsidR="008474C8">
              <w:t>ndrueshm</w:t>
            </w:r>
            <w:r w:rsidR="000A70F5">
              <w:t>ë</w:t>
            </w:r>
            <w:r w:rsidR="008474C8">
              <w:t>ris</w:t>
            </w:r>
            <w:r w:rsidR="000A70F5">
              <w:t>ë</w:t>
            </w:r>
            <w:r w:rsidR="008474C8">
              <w:t xml:space="preserve"> s</w:t>
            </w:r>
            <w:r w:rsidR="000A70F5">
              <w:t>ë</w:t>
            </w:r>
            <w:r w:rsidR="008474C8">
              <w:t xml:space="preserve"> Borxhit si nj</w:t>
            </w:r>
            <w:r w:rsidR="000A70F5">
              <w:t>ë</w:t>
            </w:r>
            <w:r w:rsidR="008474C8">
              <w:t xml:space="preserve"> mjet programimi makroekonomik. </w:t>
            </w:r>
          </w:p>
          <w:p w14:paraId="254E3787" w14:textId="77777777" w:rsidR="00E65CA5" w:rsidRPr="00E65CA5" w:rsidRDefault="00E65CA5" w:rsidP="002E6AB5">
            <w:pPr>
              <w:pStyle w:val="T-bullet0"/>
              <w:numPr>
                <w:ilvl w:val="0"/>
                <w:numId w:val="0"/>
              </w:numPr>
              <w:spacing w:line="276" w:lineRule="auto"/>
              <w:ind w:left="720"/>
              <w:jc w:val="both"/>
            </w:pPr>
          </w:p>
          <w:p w14:paraId="045641D1" w14:textId="615D394F" w:rsidR="00BA761C" w:rsidRPr="001F151E" w:rsidRDefault="008474C8" w:rsidP="002E6AB5">
            <w:pPr>
              <w:pStyle w:val="T-normal"/>
              <w:spacing w:after="60" w:line="276" w:lineRule="auto"/>
              <w:jc w:val="both"/>
              <w:rPr>
                <w:b/>
                <w:bCs/>
              </w:rPr>
            </w:pPr>
            <w:r>
              <w:rPr>
                <w:b/>
                <w:bCs/>
              </w:rPr>
              <w:t>Komponenti</w:t>
            </w:r>
            <w:r w:rsidR="00BA761C" w:rsidRPr="001F151E">
              <w:rPr>
                <w:b/>
                <w:bCs/>
              </w:rPr>
              <w:t xml:space="preserve"> 1.</w:t>
            </w:r>
            <w:r w:rsidR="00E65CA5">
              <w:rPr>
                <w:b/>
                <w:bCs/>
              </w:rPr>
              <w:t>3</w:t>
            </w:r>
            <w:r w:rsidR="00BA761C" w:rsidRPr="001F151E">
              <w:rPr>
                <w:b/>
                <w:bCs/>
              </w:rPr>
              <w:t xml:space="preserve"> </w:t>
            </w:r>
            <w:r>
              <w:rPr>
                <w:b/>
                <w:bCs/>
              </w:rPr>
              <w:t>Menaxhimi i Risqeve Fiskale</w:t>
            </w:r>
          </w:p>
          <w:p w14:paraId="19D5A0D7" w14:textId="7968AD7C" w:rsidR="00BA761C" w:rsidRPr="001F151E" w:rsidRDefault="008474C8" w:rsidP="002E6AB5">
            <w:pPr>
              <w:pStyle w:val="T-normal"/>
              <w:spacing w:after="60" w:line="276" w:lineRule="auto"/>
              <w:jc w:val="both"/>
            </w:pPr>
            <w:r>
              <w:t>Synimi</w:t>
            </w:r>
            <w:r w:rsidR="00BA761C" w:rsidRPr="001F151E">
              <w:t xml:space="preserve"> 2030: </w:t>
            </w:r>
            <w:r w:rsidR="00A6769B">
              <w:t>Ekziston nj</w:t>
            </w:r>
            <w:r w:rsidR="000A70F5">
              <w:t>ë</w:t>
            </w:r>
            <w:r w:rsidR="00A6769B">
              <w:t xml:space="preserve"> sistem gjith</w:t>
            </w:r>
            <w:r w:rsidR="000A70F5">
              <w:t>ë</w:t>
            </w:r>
            <w:r w:rsidR="00A6769B">
              <w:t>p</w:t>
            </w:r>
            <w:r w:rsidR="000A70F5">
              <w:t>ë</w:t>
            </w:r>
            <w:r w:rsidR="00A6769B">
              <w:t>rfshir</w:t>
            </w:r>
            <w:r w:rsidR="000A70F5">
              <w:t>ë</w:t>
            </w:r>
            <w:r w:rsidR="00A6769B">
              <w:t>s i Menaxhimit t</w:t>
            </w:r>
            <w:r w:rsidR="000A70F5">
              <w:t>ë</w:t>
            </w:r>
            <w:r w:rsidR="00A6769B">
              <w:t xml:space="preserve"> Ris</w:t>
            </w:r>
            <w:r w:rsidR="004C3B1B">
              <w:t>qeve</w:t>
            </w:r>
            <w:r w:rsidR="00A6769B">
              <w:t xml:space="preserve"> Fiskal</w:t>
            </w:r>
            <w:r w:rsidR="004C3B1B">
              <w:t>e</w:t>
            </w:r>
            <w:r w:rsidR="00A6769B">
              <w:t xml:space="preserve"> dhe raportim q</w:t>
            </w:r>
            <w:r w:rsidR="000A70F5">
              <w:t>ë</w:t>
            </w:r>
            <w:r w:rsidR="00A6769B">
              <w:t xml:space="preserve"> adreson detyrimet </w:t>
            </w:r>
            <w:r w:rsidR="00F24803">
              <w:t xml:space="preserve">kryesore </w:t>
            </w:r>
            <w:r w:rsidR="00A6769B">
              <w:t>kontigjente p</w:t>
            </w:r>
            <w:r w:rsidR="000A70F5">
              <w:t>ë</w:t>
            </w:r>
            <w:r w:rsidR="00A6769B">
              <w:t>rkat</w:t>
            </w:r>
            <w:r w:rsidR="000A70F5">
              <w:t>ë</w:t>
            </w:r>
            <w:r w:rsidR="00A6769B">
              <w:t>se dhe risqet e tjera fiskale</w:t>
            </w:r>
            <w:r w:rsidR="00BA761C" w:rsidRPr="001F151E">
              <w:t>.</w:t>
            </w:r>
          </w:p>
          <w:p w14:paraId="338812A0" w14:textId="2EA2C997" w:rsidR="00BA761C" w:rsidRPr="001F151E" w:rsidRDefault="00BA761C" w:rsidP="002E6AB5">
            <w:pPr>
              <w:pStyle w:val="T-normal"/>
              <w:spacing w:line="276" w:lineRule="auto"/>
              <w:jc w:val="both"/>
            </w:pPr>
            <w:r w:rsidRPr="001F151E">
              <w:t>M</w:t>
            </w:r>
            <w:r w:rsidR="00A6769B">
              <w:t>asat p</w:t>
            </w:r>
            <w:r w:rsidR="000A70F5">
              <w:t>ë</w:t>
            </w:r>
            <w:r w:rsidR="00A6769B">
              <w:t>r vitet</w:t>
            </w:r>
            <w:r w:rsidRPr="001F151E">
              <w:t xml:space="preserve"> 2023-2026:</w:t>
            </w:r>
          </w:p>
          <w:p w14:paraId="063F58A6" w14:textId="3DF88B13" w:rsidR="00BA761C" w:rsidRPr="001F151E" w:rsidRDefault="00BA761C" w:rsidP="002E6AB5">
            <w:pPr>
              <w:pStyle w:val="T-bullet0"/>
              <w:spacing w:line="276" w:lineRule="auto"/>
              <w:jc w:val="both"/>
            </w:pPr>
            <w:r w:rsidRPr="001F151E">
              <w:t>M</w:t>
            </w:r>
            <w:r w:rsidR="00943959">
              <w:t>asa</w:t>
            </w:r>
            <w:r w:rsidRPr="001F151E">
              <w:t xml:space="preserve"> 1.</w:t>
            </w:r>
            <w:r w:rsidR="00E65CA5">
              <w:t>3</w:t>
            </w:r>
            <w:r w:rsidRPr="001F151E">
              <w:t xml:space="preserve">.1 </w:t>
            </w:r>
            <w:r w:rsidR="00943959">
              <w:t>Prezantimi i Deklarat</w:t>
            </w:r>
            <w:r w:rsidR="000A70F5">
              <w:t>ë</w:t>
            </w:r>
            <w:r w:rsidR="00943959">
              <w:t>s Vjetore t</w:t>
            </w:r>
            <w:r w:rsidR="000A70F5">
              <w:t>ë</w:t>
            </w:r>
            <w:r w:rsidR="00943959">
              <w:t xml:space="preserve"> Riskut Fiskal dhe zgjerimi gradual </w:t>
            </w:r>
            <w:r w:rsidR="00E80162">
              <w:t>i fush</w:t>
            </w:r>
            <w:r w:rsidR="000A70F5">
              <w:t>ë</w:t>
            </w:r>
            <w:r w:rsidR="00E80162">
              <w:t>s s</w:t>
            </w:r>
            <w:r w:rsidR="000A70F5">
              <w:t>ë</w:t>
            </w:r>
            <w:r w:rsidR="00943959">
              <w:t xml:space="preserve"> monitorimit dhe raportimit t</w:t>
            </w:r>
            <w:r w:rsidR="000A70F5">
              <w:t>ë</w:t>
            </w:r>
            <w:r w:rsidR="00943959">
              <w:t xml:space="preserve"> riskut fiskal</w:t>
            </w:r>
            <w:r w:rsidR="009C35E5" w:rsidRPr="001F151E">
              <w:t>;</w:t>
            </w:r>
          </w:p>
          <w:p w14:paraId="47388796" w14:textId="3819028A" w:rsidR="00BA761C" w:rsidRPr="009D660E" w:rsidRDefault="00BA761C" w:rsidP="002E6AB5">
            <w:pPr>
              <w:pStyle w:val="T-bullet0"/>
              <w:spacing w:line="276" w:lineRule="auto"/>
              <w:jc w:val="both"/>
              <w:rPr>
                <w:lang w:val="it-IT"/>
              </w:rPr>
            </w:pPr>
            <w:r w:rsidRPr="009D660E">
              <w:rPr>
                <w:lang w:val="it-IT"/>
              </w:rPr>
              <w:t>M</w:t>
            </w:r>
            <w:r w:rsidR="00943959" w:rsidRPr="009D660E">
              <w:rPr>
                <w:lang w:val="it-IT"/>
              </w:rPr>
              <w:t>asa</w:t>
            </w:r>
            <w:r w:rsidRPr="009D660E">
              <w:rPr>
                <w:lang w:val="it-IT"/>
              </w:rPr>
              <w:t xml:space="preserve"> 1.</w:t>
            </w:r>
            <w:r w:rsidR="00E65CA5" w:rsidRPr="009D660E">
              <w:rPr>
                <w:lang w:val="it-IT"/>
              </w:rPr>
              <w:t>3</w:t>
            </w:r>
            <w:r w:rsidRPr="009D660E">
              <w:rPr>
                <w:lang w:val="it-IT"/>
              </w:rPr>
              <w:t xml:space="preserve">.2 </w:t>
            </w:r>
            <w:r w:rsidR="00943959" w:rsidRPr="009D660E">
              <w:rPr>
                <w:lang w:val="it-IT"/>
              </w:rPr>
              <w:t>Forcimi i menaxhimit t</w:t>
            </w:r>
            <w:r w:rsidR="000A70F5" w:rsidRPr="009D660E">
              <w:rPr>
                <w:lang w:val="it-IT"/>
              </w:rPr>
              <w:t>ë</w:t>
            </w:r>
            <w:r w:rsidR="00943959" w:rsidRPr="009D660E">
              <w:rPr>
                <w:lang w:val="it-IT"/>
              </w:rPr>
              <w:t xml:space="preserve"> Riskut Fiskal lidhur me PPP-t</w:t>
            </w:r>
            <w:r w:rsidR="000A70F5" w:rsidRPr="009D660E">
              <w:rPr>
                <w:lang w:val="it-IT"/>
              </w:rPr>
              <w:t>ë</w:t>
            </w:r>
            <w:r w:rsidR="00C92CA8" w:rsidRPr="009D660E">
              <w:rPr>
                <w:lang w:val="it-IT"/>
              </w:rPr>
              <w:t xml:space="preserve"> dhe kontratat koncesionare</w:t>
            </w:r>
            <w:r w:rsidR="009C35E5" w:rsidRPr="009D660E">
              <w:rPr>
                <w:lang w:val="it-IT"/>
              </w:rPr>
              <w:t>;</w:t>
            </w:r>
          </w:p>
          <w:p w14:paraId="5EB65092" w14:textId="54FC311D" w:rsidR="00BA761C" w:rsidRPr="009D660E" w:rsidRDefault="00BA761C" w:rsidP="002E6AB5">
            <w:pPr>
              <w:pStyle w:val="T-bullet0"/>
              <w:spacing w:line="276" w:lineRule="auto"/>
              <w:jc w:val="both"/>
              <w:rPr>
                <w:lang w:val="it-IT"/>
              </w:rPr>
            </w:pPr>
            <w:r w:rsidRPr="009D660E">
              <w:rPr>
                <w:lang w:val="it-IT"/>
              </w:rPr>
              <w:t>M</w:t>
            </w:r>
            <w:r w:rsidR="00C92CA8" w:rsidRPr="009D660E">
              <w:rPr>
                <w:lang w:val="it-IT"/>
              </w:rPr>
              <w:t>asa</w:t>
            </w:r>
            <w:r w:rsidRPr="009D660E">
              <w:rPr>
                <w:lang w:val="it-IT"/>
              </w:rPr>
              <w:t xml:space="preserve"> 1.</w:t>
            </w:r>
            <w:r w:rsidR="00E65CA5" w:rsidRPr="009D660E">
              <w:rPr>
                <w:lang w:val="it-IT"/>
              </w:rPr>
              <w:t>3</w:t>
            </w:r>
            <w:r w:rsidRPr="009D660E">
              <w:rPr>
                <w:lang w:val="it-IT"/>
              </w:rPr>
              <w:t xml:space="preserve">.3 </w:t>
            </w:r>
            <w:r w:rsidR="00C92CA8" w:rsidRPr="009D660E">
              <w:rPr>
                <w:lang w:val="it-IT"/>
              </w:rPr>
              <w:t>Forcimi i mbik</w:t>
            </w:r>
            <w:r w:rsidR="000A70F5" w:rsidRPr="009D660E">
              <w:rPr>
                <w:lang w:val="it-IT"/>
              </w:rPr>
              <w:t>ë</w:t>
            </w:r>
            <w:r w:rsidR="00C92CA8" w:rsidRPr="009D660E">
              <w:rPr>
                <w:lang w:val="it-IT"/>
              </w:rPr>
              <w:t>qyrjes fiskale t</w:t>
            </w:r>
            <w:r w:rsidR="000A70F5" w:rsidRPr="009D660E">
              <w:rPr>
                <w:lang w:val="it-IT"/>
              </w:rPr>
              <w:t>ë</w:t>
            </w:r>
            <w:r w:rsidR="00C92CA8" w:rsidRPr="009D660E">
              <w:rPr>
                <w:lang w:val="it-IT"/>
              </w:rPr>
              <w:t xml:space="preserve"> Nd</w:t>
            </w:r>
            <w:r w:rsidR="000A70F5" w:rsidRPr="009D660E">
              <w:rPr>
                <w:lang w:val="it-IT"/>
              </w:rPr>
              <w:t>ë</w:t>
            </w:r>
            <w:r w:rsidR="00C92CA8" w:rsidRPr="009D660E">
              <w:rPr>
                <w:lang w:val="it-IT"/>
              </w:rPr>
              <w:t>rmarrjeve Shtet</w:t>
            </w:r>
            <w:r w:rsidR="000A70F5" w:rsidRPr="009D660E">
              <w:rPr>
                <w:lang w:val="it-IT"/>
              </w:rPr>
              <w:t>ë</w:t>
            </w:r>
            <w:r w:rsidR="00C92CA8" w:rsidRPr="009D660E">
              <w:rPr>
                <w:lang w:val="it-IT"/>
              </w:rPr>
              <w:t>rore</w:t>
            </w:r>
            <w:r w:rsidR="009C35E5" w:rsidRPr="009D660E">
              <w:rPr>
                <w:lang w:val="it-IT"/>
              </w:rPr>
              <w:t>;</w:t>
            </w:r>
          </w:p>
          <w:p w14:paraId="133DCB08" w14:textId="67EFC241" w:rsidR="00BA761C" w:rsidRPr="009D660E" w:rsidRDefault="00BA761C" w:rsidP="002E6AB5">
            <w:pPr>
              <w:pStyle w:val="T-bullet0"/>
              <w:spacing w:line="276" w:lineRule="auto"/>
              <w:jc w:val="both"/>
              <w:rPr>
                <w:b/>
                <w:bCs/>
                <w:lang w:val="it-IT"/>
              </w:rPr>
            </w:pPr>
            <w:r w:rsidRPr="009D660E">
              <w:rPr>
                <w:lang w:val="it-IT"/>
              </w:rPr>
              <w:t>M</w:t>
            </w:r>
            <w:r w:rsidR="00C92CA8" w:rsidRPr="009D660E">
              <w:rPr>
                <w:lang w:val="it-IT"/>
              </w:rPr>
              <w:t>asa</w:t>
            </w:r>
            <w:r w:rsidRPr="009D660E">
              <w:rPr>
                <w:lang w:val="it-IT"/>
              </w:rPr>
              <w:t xml:space="preserve"> 1.</w:t>
            </w:r>
            <w:r w:rsidR="00E65CA5" w:rsidRPr="009D660E">
              <w:rPr>
                <w:lang w:val="it-IT"/>
              </w:rPr>
              <w:t>3</w:t>
            </w:r>
            <w:r w:rsidRPr="009D660E">
              <w:rPr>
                <w:lang w:val="it-IT"/>
              </w:rPr>
              <w:t xml:space="preserve">.4 </w:t>
            </w:r>
            <w:r w:rsidR="009907F9" w:rsidRPr="009D660E">
              <w:rPr>
                <w:lang w:val="it-IT"/>
              </w:rPr>
              <w:t>P</w:t>
            </w:r>
            <w:r w:rsidR="000A70F5" w:rsidRPr="009D660E">
              <w:rPr>
                <w:lang w:val="it-IT"/>
              </w:rPr>
              <w:t>ë</w:t>
            </w:r>
            <w:r w:rsidR="009907F9" w:rsidRPr="009D660E">
              <w:rPr>
                <w:lang w:val="it-IT"/>
              </w:rPr>
              <w:t>rmir</w:t>
            </w:r>
            <w:r w:rsidR="000A70F5" w:rsidRPr="009D660E">
              <w:rPr>
                <w:lang w:val="it-IT"/>
              </w:rPr>
              <w:t>ë</w:t>
            </w:r>
            <w:r w:rsidR="009907F9" w:rsidRPr="009D660E">
              <w:rPr>
                <w:lang w:val="it-IT"/>
              </w:rPr>
              <w:t>simi i m</w:t>
            </w:r>
            <w:r w:rsidR="000A70F5" w:rsidRPr="009D660E">
              <w:rPr>
                <w:lang w:val="it-IT"/>
              </w:rPr>
              <w:t>ë</w:t>
            </w:r>
            <w:r w:rsidR="009907F9" w:rsidRPr="009D660E">
              <w:rPr>
                <w:lang w:val="it-IT"/>
              </w:rPr>
              <w:t>tejsh</w:t>
            </w:r>
            <w:r w:rsidR="000A70F5" w:rsidRPr="009D660E">
              <w:rPr>
                <w:lang w:val="it-IT"/>
              </w:rPr>
              <w:t>ë</w:t>
            </w:r>
            <w:r w:rsidR="009907F9" w:rsidRPr="009D660E">
              <w:rPr>
                <w:lang w:val="it-IT"/>
              </w:rPr>
              <w:t>m</w:t>
            </w:r>
            <w:r w:rsidR="00C92CA8" w:rsidRPr="009D660E">
              <w:rPr>
                <w:lang w:val="it-IT"/>
              </w:rPr>
              <w:t xml:space="preserve"> </w:t>
            </w:r>
            <w:r w:rsidR="009907F9" w:rsidRPr="009D660E">
              <w:rPr>
                <w:lang w:val="it-IT"/>
              </w:rPr>
              <w:t>i</w:t>
            </w:r>
            <w:r w:rsidR="00C92CA8" w:rsidRPr="009D660E">
              <w:rPr>
                <w:lang w:val="it-IT"/>
              </w:rPr>
              <w:t xml:space="preserve"> menaxhimit t</w:t>
            </w:r>
            <w:r w:rsidR="000A70F5" w:rsidRPr="009D660E">
              <w:rPr>
                <w:lang w:val="it-IT"/>
              </w:rPr>
              <w:t>ë</w:t>
            </w:r>
            <w:r w:rsidR="00C92CA8" w:rsidRPr="009D660E">
              <w:rPr>
                <w:lang w:val="it-IT"/>
              </w:rPr>
              <w:t xml:space="preserve"> detyrimeve t</w:t>
            </w:r>
            <w:r w:rsidR="000A70F5" w:rsidRPr="009D660E">
              <w:rPr>
                <w:lang w:val="it-IT"/>
              </w:rPr>
              <w:t>ë</w:t>
            </w:r>
            <w:r w:rsidR="00C92CA8" w:rsidRPr="009D660E">
              <w:rPr>
                <w:lang w:val="it-IT"/>
              </w:rPr>
              <w:t xml:space="preserve"> prapambetura</w:t>
            </w:r>
            <w:r w:rsidR="003E0A56" w:rsidRPr="009D660E">
              <w:rPr>
                <w:lang w:val="it-IT"/>
              </w:rPr>
              <w:t>.</w:t>
            </w:r>
          </w:p>
          <w:p w14:paraId="65A78B0B" w14:textId="77777777" w:rsidR="00A07044" w:rsidRPr="009D660E" w:rsidRDefault="00A07044" w:rsidP="002E6AB5">
            <w:pPr>
              <w:pStyle w:val="T-bullet0"/>
              <w:numPr>
                <w:ilvl w:val="0"/>
                <w:numId w:val="0"/>
              </w:numPr>
              <w:spacing w:line="276" w:lineRule="auto"/>
              <w:ind w:left="360"/>
              <w:jc w:val="both"/>
              <w:rPr>
                <w:b/>
                <w:bCs/>
                <w:lang w:val="it-IT"/>
              </w:rPr>
            </w:pPr>
          </w:p>
          <w:p w14:paraId="15A771EA" w14:textId="77777777" w:rsidR="000F2535" w:rsidRPr="009D660E" w:rsidRDefault="000F2535" w:rsidP="002E6AB5">
            <w:pPr>
              <w:pStyle w:val="T-bullet0"/>
              <w:numPr>
                <w:ilvl w:val="0"/>
                <w:numId w:val="0"/>
              </w:numPr>
              <w:spacing w:line="276" w:lineRule="auto"/>
              <w:jc w:val="both"/>
              <w:rPr>
                <w:lang w:val="it-IT"/>
              </w:rPr>
            </w:pPr>
          </w:p>
          <w:p w14:paraId="3623F6DE" w14:textId="28AC3B83" w:rsidR="000F2535" w:rsidRPr="009D660E" w:rsidRDefault="00C92CA8" w:rsidP="002E6AB5">
            <w:pPr>
              <w:pStyle w:val="T-normal"/>
              <w:spacing w:after="60" w:line="276" w:lineRule="auto"/>
              <w:jc w:val="both"/>
              <w:rPr>
                <w:b/>
                <w:bCs/>
                <w:lang w:val="it-IT"/>
              </w:rPr>
            </w:pPr>
            <w:r w:rsidRPr="009D660E">
              <w:rPr>
                <w:b/>
                <w:bCs/>
                <w:lang w:val="it-IT"/>
              </w:rPr>
              <w:t>Komponenti</w:t>
            </w:r>
            <w:r w:rsidR="000F2535" w:rsidRPr="009D660E">
              <w:rPr>
                <w:b/>
                <w:bCs/>
                <w:lang w:val="it-IT"/>
              </w:rPr>
              <w:t xml:space="preserve"> 1.</w:t>
            </w:r>
            <w:r w:rsidR="00297283" w:rsidRPr="009D660E">
              <w:rPr>
                <w:b/>
                <w:bCs/>
                <w:lang w:val="it-IT"/>
              </w:rPr>
              <w:t>4</w:t>
            </w:r>
            <w:r w:rsidR="000F2535" w:rsidRPr="009D660E">
              <w:rPr>
                <w:b/>
                <w:bCs/>
                <w:lang w:val="it-IT"/>
              </w:rPr>
              <w:t xml:space="preserve"> </w:t>
            </w:r>
            <w:r w:rsidR="00BA70D4" w:rsidRPr="009D660E">
              <w:rPr>
                <w:b/>
                <w:bCs/>
                <w:lang w:val="it-IT"/>
              </w:rPr>
              <w:t>K</w:t>
            </w:r>
            <w:r w:rsidR="000A70F5" w:rsidRPr="009D660E">
              <w:rPr>
                <w:b/>
                <w:bCs/>
                <w:lang w:val="it-IT"/>
              </w:rPr>
              <w:t>ë</w:t>
            </w:r>
            <w:r w:rsidR="00BA70D4" w:rsidRPr="009D660E">
              <w:rPr>
                <w:b/>
                <w:bCs/>
                <w:lang w:val="it-IT"/>
              </w:rPr>
              <w:t>shilli Fiskal</w:t>
            </w:r>
          </w:p>
          <w:p w14:paraId="1CC26EA1" w14:textId="3494B05C" w:rsidR="000F2535" w:rsidRPr="009D660E" w:rsidRDefault="00C92CA8" w:rsidP="002E6AB5">
            <w:pPr>
              <w:pStyle w:val="T-normal"/>
              <w:spacing w:after="60" w:line="276" w:lineRule="auto"/>
              <w:jc w:val="both"/>
              <w:rPr>
                <w:lang w:val="it-IT"/>
              </w:rPr>
            </w:pPr>
            <w:r w:rsidRPr="009D660E">
              <w:rPr>
                <w:lang w:val="it-IT"/>
              </w:rPr>
              <w:t>Synimi</w:t>
            </w:r>
            <w:r w:rsidR="000F2535" w:rsidRPr="009D660E">
              <w:rPr>
                <w:lang w:val="it-IT"/>
              </w:rPr>
              <w:t xml:space="preserve"> 2030: </w:t>
            </w:r>
            <w:r w:rsidRPr="009D660E">
              <w:rPr>
                <w:lang w:val="it-IT"/>
              </w:rPr>
              <w:t>Është krijuar K</w:t>
            </w:r>
            <w:r w:rsidR="000A70F5" w:rsidRPr="009D660E">
              <w:rPr>
                <w:lang w:val="it-IT"/>
              </w:rPr>
              <w:t>ë</w:t>
            </w:r>
            <w:r w:rsidRPr="009D660E">
              <w:rPr>
                <w:lang w:val="it-IT"/>
              </w:rPr>
              <w:t>shilli Fiskal p</w:t>
            </w:r>
            <w:r w:rsidR="000A70F5" w:rsidRPr="009D660E">
              <w:rPr>
                <w:lang w:val="it-IT"/>
              </w:rPr>
              <w:t>ë</w:t>
            </w:r>
            <w:r w:rsidRPr="009D660E">
              <w:rPr>
                <w:lang w:val="it-IT"/>
              </w:rPr>
              <w:t>r vler</w:t>
            </w:r>
            <w:r w:rsidR="000A70F5" w:rsidRPr="009D660E">
              <w:rPr>
                <w:lang w:val="it-IT"/>
              </w:rPr>
              <w:t>ë</w:t>
            </w:r>
            <w:r w:rsidRPr="009D660E">
              <w:rPr>
                <w:lang w:val="it-IT"/>
              </w:rPr>
              <w:t>simin e politik</w:t>
            </w:r>
            <w:r w:rsidR="000A70F5" w:rsidRPr="009D660E">
              <w:rPr>
                <w:lang w:val="it-IT"/>
              </w:rPr>
              <w:t>ë</w:t>
            </w:r>
            <w:r w:rsidRPr="009D660E">
              <w:rPr>
                <w:lang w:val="it-IT"/>
              </w:rPr>
              <w:t>s fiskale t</w:t>
            </w:r>
            <w:r w:rsidR="000A70F5" w:rsidRPr="009D660E">
              <w:rPr>
                <w:lang w:val="it-IT"/>
              </w:rPr>
              <w:t>ë</w:t>
            </w:r>
            <w:r w:rsidRPr="009D660E">
              <w:rPr>
                <w:lang w:val="it-IT"/>
              </w:rPr>
              <w:t xml:space="preserve"> Qeveris</w:t>
            </w:r>
            <w:r w:rsidR="000A70F5" w:rsidRPr="009D660E">
              <w:rPr>
                <w:lang w:val="it-IT"/>
              </w:rPr>
              <w:t>ë</w:t>
            </w:r>
            <w:r w:rsidR="000F2535" w:rsidRPr="009D660E">
              <w:rPr>
                <w:lang w:val="it-IT"/>
              </w:rPr>
              <w:t>.</w:t>
            </w:r>
          </w:p>
          <w:p w14:paraId="6A1AD101" w14:textId="2A4F36E1" w:rsidR="000F2535" w:rsidRPr="001F151E" w:rsidRDefault="00C92CA8" w:rsidP="002E6AB5">
            <w:pPr>
              <w:pStyle w:val="T-normal"/>
              <w:spacing w:line="276" w:lineRule="auto"/>
              <w:jc w:val="both"/>
            </w:pPr>
            <w:r>
              <w:t>Masa</w:t>
            </w:r>
            <w:r w:rsidR="000F2535" w:rsidRPr="001F151E">
              <w:t xml:space="preserve"> 2023-2026</w:t>
            </w:r>
            <w:r w:rsidR="007D242D" w:rsidRPr="001F151E">
              <w:t>:</w:t>
            </w:r>
          </w:p>
          <w:p w14:paraId="04162089" w14:textId="43B04506" w:rsidR="000F2535" w:rsidRPr="001F151E" w:rsidRDefault="000F2535" w:rsidP="00C92CA8">
            <w:pPr>
              <w:pStyle w:val="T-bullet0"/>
              <w:spacing w:line="276" w:lineRule="auto"/>
              <w:jc w:val="both"/>
            </w:pPr>
            <w:r w:rsidRPr="001F151E">
              <w:t>M</w:t>
            </w:r>
            <w:r w:rsidR="00C92CA8">
              <w:t>asa</w:t>
            </w:r>
            <w:r w:rsidRPr="001F151E">
              <w:t xml:space="preserve"> 1.</w:t>
            </w:r>
            <w:r w:rsidR="00E65CA5">
              <w:t>5</w:t>
            </w:r>
            <w:r w:rsidRPr="001F151E">
              <w:t xml:space="preserve">.1 </w:t>
            </w:r>
            <w:r w:rsidR="00C92CA8">
              <w:t>Krijimi i K</w:t>
            </w:r>
            <w:r w:rsidR="000A70F5">
              <w:t>ë</w:t>
            </w:r>
            <w:r w:rsidR="00C92CA8">
              <w:t>shillit Fiskal</w:t>
            </w:r>
            <w:r w:rsidRPr="001F151E">
              <w:t>.</w:t>
            </w:r>
          </w:p>
        </w:tc>
      </w:tr>
    </w:tbl>
    <w:p w14:paraId="04C00AAA" w14:textId="77777777" w:rsidR="009654A3" w:rsidRPr="001F151E" w:rsidRDefault="009654A3" w:rsidP="008476F3">
      <w:pPr>
        <w:pStyle w:val="H5"/>
        <w:rPr>
          <w:lang w:val="en-GB"/>
        </w:rPr>
      </w:pPr>
    </w:p>
    <w:p w14:paraId="6E278715" w14:textId="77777777" w:rsidR="00BA761C" w:rsidRPr="001F151E" w:rsidRDefault="00BA761C" w:rsidP="008476F3">
      <w:pPr>
        <w:pStyle w:val="H5"/>
        <w:rPr>
          <w:lang w:val="en-GB"/>
        </w:rPr>
      </w:pPr>
    </w:p>
    <w:p w14:paraId="60DD9B59" w14:textId="3D37464E" w:rsidR="00AB73F1" w:rsidRPr="009D660E" w:rsidRDefault="00C92CA8" w:rsidP="00AB73F1">
      <w:pPr>
        <w:pStyle w:val="Heading2"/>
        <w:rPr>
          <w:rStyle w:val="UnresolvedMention1"/>
          <w:color w:val="0070C0"/>
          <w:shd w:val="clear" w:color="auto" w:fill="auto"/>
          <w:lang w:val="it-IT"/>
        </w:rPr>
      </w:pPr>
      <w:bookmarkStart w:id="11" w:name="_Toc161748807"/>
      <w:bookmarkStart w:id="12" w:name="_Toc151048283"/>
      <w:r w:rsidRPr="009D660E">
        <w:rPr>
          <w:rStyle w:val="UnresolvedMention1"/>
          <w:color w:val="0070C0"/>
          <w:shd w:val="clear" w:color="auto" w:fill="auto"/>
          <w:lang w:val="it-IT"/>
        </w:rPr>
        <w:t>Komponenti</w:t>
      </w:r>
      <w:r w:rsidR="00AB73F1" w:rsidRPr="009D660E">
        <w:rPr>
          <w:rStyle w:val="UnresolvedMention1"/>
          <w:color w:val="0070C0"/>
          <w:shd w:val="clear" w:color="auto" w:fill="auto"/>
          <w:lang w:val="it-IT"/>
        </w:rPr>
        <w:t xml:space="preserve"> 1.1 </w:t>
      </w:r>
      <w:r w:rsidRPr="009D660E">
        <w:rPr>
          <w:rFonts w:eastAsia="Times New Roman" w:cs="Times New Roman"/>
          <w:lang w:val="it-IT"/>
        </w:rPr>
        <w:t>Programimi makroekonomik i matur dhe realist</w:t>
      </w:r>
      <w:bookmarkEnd w:id="11"/>
      <w:r w:rsidRPr="009D660E">
        <w:rPr>
          <w:rFonts w:eastAsia="Times New Roman" w:cs="Times New Roman"/>
          <w:lang w:val="it-IT"/>
        </w:rPr>
        <w:t xml:space="preserve"> </w:t>
      </w:r>
      <w:r w:rsidR="00AB73F1" w:rsidRPr="009D660E">
        <w:rPr>
          <w:rStyle w:val="UnresolvedMention1"/>
          <w:color w:val="0070C0"/>
          <w:shd w:val="clear" w:color="auto" w:fill="auto"/>
          <w:lang w:val="it-IT"/>
        </w:rPr>
        <w:t xml:space="preserve"> </w:t>
      </w:r>
      <w:bookmarkEnd w:id="12"/>
    </w:p>
    <w:p w14:paraId="309D9D71" w14:textId="77777777" w:rsidR="00AB73F1" w:rsidRPr="009D660E" w:rsidRDefault="00AB73F1" w:rsidP="00AB73F1">
      <w:pPr>
        <w:rPr>
          <w:i/>
          <w:iCs/>
          <w:lang w:val="it-IT"/>
        </w:rPr>
      </w:pPr>
    </w:p>
    <w:p w14:paraId="29ADD869" w14:textId="66C1AF25" w:rsidR="00AB73F1" w:rsidRPr="009D660E" w:rsidRDefault="00C92CA8" w:rsidP="00AB73F1">
      <w:pPr>
        <w:pStyle w:val="H5"/>
        <w:rPr>
          <w:lang w:val="it-IT"/>
        </w:rPr>
      </w:pPr>
      <w:r w:rsidRPr="009D660E">
        <w:rPr>
          <w:lang w:val="it-IT"/>
        </w:rPr>
        <w:t>Objektivi</w:t>
      </w:r>
    </w:p>
    <w:p w14:paraId="0FD2B8E4" w14:textId="7484249C" w:rsidR="00097E88" w:rsidRPr="009D660E" w:rsidRDefault="00BC0569" w:rsidP="002E6AB5">
      <w:pPr>
        <w:spacing w:line="276" w:lineRule="auto"/>
        <w:jc w:val="both"/>
        <w:rPr>
          <w:lang w:val="it-IT"/>
        </w:rPr>
      </w:pPr>
      <w:r w:rsidRPr="009D660E">
        <w:rPr>
          <w:lang w:val="it-IT"/>
        </w:rPr>
        <w:t>Synimi p</w:t>
      </w:r>
      <w:r w:rsidR="000A70F5" w:rsidRPr="009D660E">
        <w:rPr>
          <w:lang w:val="it-IT"/>
        </w:rPr>
        <w:t>ë</w:t>
      </w:r>
      <w:r w:rsidRPr="009D660E">
        <w:rPr>
          <w:lang w:val="it-IT"/>
        </w:rPr>
        <w:t xml:space="preserve">r vitin 2030 </w:t>
      </w:r>
      <w:r w:rsidR="000A70F5" w:rsidRPr="009D660E">
        <w:rPr>
          <w:lang w:val="it-IT"/>
        </w:rPr>
        <w:t>ë</w:t>
      </w:r>
      <w:r w:rsidRPr="009D660E">
        <w:rPr>
          <w:lang w:val="it-IT"/>
        </w:rPr>
        <w:t>sht</w:t>
      </w:r>
      <w:r w:rsidR="000A70F5" w:rsidRPr="009D660E">
        <w:rPr>
          <w:lang w:val="it-IT"/>
        </w:rPr>
        <w:t>ë</w:t>
      </w:r>
      <w:r w:rsidRPr="009D660E">
        <w:rPr>
          <w:lang w:val="it-IT"/>
        </w:rPr>
        <w:t xml:space="preserve"> t</w:t>
      </w:r>
      <w:r w:rsidR="000A70F5" w:rsidRPr="009D660E">
        <w:rPr>
          <w:lang w:val="it-IT"/>
        </w:rPr>
        <w:t>ë</w:t>
      </w:r>
      <w:r w:rsidRPr="009D660E">
        <w:rPr>
          <w:lang w:val="it-IT"/>
        </w:rPr>
        <w:t xml:space="preserve"> krijohet nj</w:t>
      </w:r>
      <w:r w:rsidR="000A70F5" w:rsidRPr="009D660E">
        <w:rPr>
          <w:lang w:val="it-IT"/>
        </w:rPr>
        <w:t>ë</w:t>
      </w:r>
      <w:r w:rsidRPr="009D660E">
        <w:rPr>
          <w:lang w:val="it-IT"/>
        </w:rPr>
        <w:t xml:space="preserve"> sistem rregullash fiskale p</w:t>
      </w:r>
      <w:r w:rsidR="000A70F5" w:rsidRPr="009D660E">
        <w:rPr>
          <w:lang w:val="it-IT"/>
        </w:rPr>
        <w:t>ë</w:t>
      </w:r>
      <w:r w:rsidRPr="009D660E">
        <w:rPr>
          <w:lang w:val="it-IT"/>
        </w:rPr>
        <w:t>rgjith</w:t>
      </w:r>
      <w:r w:rsidR="000A70F5" w:rsidRPr="009D660E">
        <w:rPr>
          <w:lang w:val="it-IT"/>
        </w:rPr>
        <w:t>ë</w:t>
      </w:r>
      <w:r w:rsidRPr="009D660E">
        <w:rPr>
          <w:lang w:val="it-IT"/>
        </w:rPr>
        <w:t>sisht t</w:t>
      </w:r>
      <w:r w:rsidR="000A70F5" w:rsidRPr="009D660E">
        <w:rPr>
          <w:lang w:val="it-IT"/>
        </w:rPr>
        <w:t>ë</w:t>
      </w:r>
      <w:r w:rsidRPr="009D660E">
        <w:rPr>
          <w:lang w:val="it-IT"/>
        </w:rPr>
        <w:t xml:space="preserve"> pranuara n</w:t>
      </w:r>
      <w:r w:rsidR="000A70F5" w:rsidRPr="009D660E">
        <w:rPr>
          <w:lang w:val="it-IT"/>
        </w:rPr>
        <w:t>ë</w:t>
      </w:r>
      <w:r w:rsidRPr="009D660E">
        <w:rPr>
          <w:lang w:val="it-IT"/>
        </w:rPr>
        <w:t xml:space="preserve"> kombinim me praktika solide p</w:t>
      </w:r>
      <w:r w:rsidR="000A70F5" w:rsidRPr="009D660E">
        <w:rPr>
          <w:lang w:val="it-IT"/>
        </w:rPr>
        <w:t>ë</w:t>
      </w:r>
      <w:r w:rsidRPr="009D660E">
        <w:rPr>
          <w:lang w:val="it-IT"/>
        </w:rPr>
        <w:t>r programimin dhe parashikimin makroekonomik dhe zhvillimin e nj</w:t>
      </w:r>
      <w:r w:rsidR="000A70F5" w:rsidRPr="009D660E">
        <w:rPr>
          <w:lang w:val="it-IT"/>
        </w:rPr>
        <w:t>ë</w:t>
      </w:r>
      <w:r w:rsidRPr="009D660E">
        <w:rPr>
          <w:lang w:val="it-IT"/>
        </w:rPr>
        <w:t xml:space="preserve"> kuadri fiskal afatmes</w:t>
      </w:r>
      <w:r w:rsidR="000A70F5" w:rsidRPr="009D660E">
        <w:rPr>
          <w:lang w:val="it-IT"/>
        </w:rPr>
        <w:t>ë</w:t>
      </w:r>
      <w:r w:rsidRPr="009D660E">
        <w:rPr>
          <w:lang w:val="it-IT"/>
        </w:rPr>
        <w:t>m t</w:t>
      </w:r>
      <w:r w:rsidR="000A70F5" w:rsidRPr="009D660E">
        <w:rPr>
          <w:lang w:val="it-IT"/>
        </w:rPr>
        <w:t>ë</w:t>
      </w:r>
      <w:r w:rsidRPr="009D660E">
        <w:rPr>
          <w:lang w:val="it-IT"/>
        </w:rPr>
        <w:t xml:space="preserve"> besuesh</w:t>
      </w:r>
      <w:r w:rsidR="000A70F5" w:rsidRPr="009D660E">
        <w:rPr>
          <w:lang w:val="it-IT"/>
        </w:rPr>
        <w:t>ë</w:t>
      </w:r>
      <w:r w:rsidRPr="009D660E">
        <w:rPr>
          <w:lang w:val="it-IT"/>
        </w:rPr>
        <w:t>m q</w:t>
      </w:r>
      <w:r w:rsidR="000A70F5" w:rsidRPr="009D660E">
        <w:rPr>
          <w:lang w:val="it-IT"/>
        </w:rPr>
        <w:t>ë</w:t>
      </w:r>
      <w:r w:rsidRPr="009D660E">
        <w:rPr>
          <w:lang w:val="it-IT"/>
        </w:rPr>
        <w:t xml:space="preserve"> do t</w:t>
      </w:r>
      <w:r w:rsidR="000A70F5" w:rsidRPr="009D660E">
        <w:rPr>
          <w:lang w:val="it-IT"/>
        </w:rPr>
        <w:t>ë</w:t>
      </w:r>
      <w:r w:rsidRPr="009D660E">
        <w:rPr>
          <w:lang w:val="it-IT"/>
        </w:rPr>
        <w:t xml:space="preserve"> formoj</w:t>
      </w:r>
      <w:r w:rsidR="000A70F5" w:rsidRPr="009D660E">
        <w:rPr>
          <w:lang w:val="it-IT"/>
        </w:rPr>
        <w:t>ë</w:t>
      </w:r>
      <w:r w:rsidRPr="009D660E">
        <w:rPr>
          <w:lang w:val="it-IT"/>
        </w:rPr>
        <w:t xml:space="preserve"> nj</w:t>
      </w:r>
      <w:r w:rsidR="000A70F5" w:rsidRPr="009D660E">
        <w:rPr>
          <w:lang w:val="it-IT"/>
        </w:rPr>
        <w:t>ë</w:t>
      </w:r>
      <w:r w:rsidRPr="009D660E">
        <w:rPr>
          <w:lang w:val="it-IT"/>
        </w:rPr>
        <w:t xml:space="preserve"> baz</w:t>
      </w:r>
      <w:r w:rsidR="000A70F5" w:rsidRPr="009D660E">
        <w:rPr>
          <w:lang w:val="it-IT"/>
        </w:rPr>
        <w:t>ë</w:t>
      </w:r>
      <w:r w:rsidRPr="009D660E">
        <w:rPr>
          <w:lang w:val="it-IT"/>
        </w:rPr>
        <w:t xml:space="preserve"> t</w:t>
      </w:r>
      <w:r w:rsidR="000A70F5" w:rsidRPr="009D660E">
        <w:rPr>
          <w:lang w:val="it-IT"/>
        </w:rPr>
        <w:t>ë</w:t>
      </w:r>
      <w:r w:rsidRPr="009D660E">
        <w:rPr>
          <w:lang w:val="it-IT"/>
        </w:rPr>
        <w:t xml:space="preserve"> sh</w:t>
      </w:r>
      <w:r w:rsidR="000A70F5" w:rsidRPr="009D660E">
        <w:rPr>
          <w:lang w:val="it-IT"/>
        </w:rPr>
        <w:t>ë</w:t>
      </w:r>
      <w:r w:rsidRPr="009D660E">
        <w:rPr>
          <w:lang w:val="it-IT"/>
        </w:rPr>
        <w:t>ndosh</w:t>
      </w:r>
      <w:r w:rsidR="000A70F5" w:rsidRPr="009D660E">
        <w:rPr>
          <w:lang w:val="it-IT"/>
        </w:rPr>
        <w:t>ë</w:t>
      </w:r>
      <w:r w:rsidRPr="009D660E">
        <w:rPr>
          <w:lang w:val="it-IT"/>
        </w:rPr>
        <w:t xml:space="preserve"> p</w:t>
      </w:r>
      <w:r w:rsidR="000A70F5" w:rsidRPr="009D660E">
        <w:rPr>
          <w:lang w:val="it-IT"/>
        </w:rPr>
        <w:t>ë</w:t>
      </w:r>
      <w:r w:rsidRPr="009D660E">
        <w:rPr>
          <w:lang w:val="it-IT"/>
        </w:rPr>
        <w:t>r formulimin e politik</w:t>
      </w:r>
      <w:r w:rsidR="000A70F5" w:rsidRPr="009D660E">
        <w:rPr>
          <w:lang w:val="it-IT"/>
        </w:rPr>
        <w:t>ë</w:t>
      </w:r>
      <w:r w:rsidRPr="009D660E">
        <w:rPr>
          <w:lang w:val="it-IT"/>
        </w:rPr>
        <w:t>s fiskale afatmesme dhe Programin Buxhetor Afatmes</w:t>
      </w:r>
      <w:r w:rsidR="000A70F5" w:rsidRPr="009D660E">
        <w:rPr>
          <w:lang w:val="it-IT"/>
        </w:rPr>
        <w:t>ë</w:t>
      </w:r>
      <w:r w:rsidRPr="009D660E">
        <w:rPr>
          <w:lang w:val="it-IT"/>
        </w:rPr>
        <w:t>m.</w:t>
      </w:r>
      <w:r w:rsidR="00041EF8" w:rsidRPr="009D660E">
        <w:rPr>
          <w:lang w:val="it-IT"/>
        </w:rPr>
        <w:t xml:space="preserve"> </w:t>
      </w:r>
    </w:p>
    <w:p w14:paraId="3FDB42A6" w14:textId="77777777" w:rsidR="00097E88" w:rsidRPr="009D660E" w:rsidRDefault="00097E88" w:rsidP="002E6AB5">
      <w:pPr>
        <w:spacing w:line="276" w:lineRule="auto"/>
        <w:jc w:val="both"/>
        <w:rPr>
          <w:lang w:val="it-IT"/>
        </w:rPr>
      </w:pPr>
    </w:p>
    <w:p w14:paraId="3BE29F26" w14:textId="77777777" w:rsidR="004D182B" w:rsidRPr="009D660E" w:rsidRDefault="004D182B" w:rsidP="002E6AB5">
      <w:pPr>
        <w:spacing w:after="160" w:line="276" w:lineRule="auto"/>
        <w:jc w:val="both"/>
        <w:rPr>
          <w:b/>
          <w:bCs/>
          <w:color w:val="0070C0"/>
          <w:lang w:val="it-IT"/>
        </w:rPr>
      </w:pPr>
      <w:r w:rsidRPr="009D660E">
        <w:rPr>
          <w:lang w:val="it-IT"/>
        </w:rPr>
        <w:br w:type="page"/>
      </w:r>
    </w:p>
    <w:p w14:paraId="4067B6B2" w14:textId="3BBA9672" w:rsidR="00AB73F1" w:rsidRPr="009D660E" w:rsidRDefault="00BC0569" w:rsidP="002E6AB5">
      <w:pPr>
        <w:pStyle w:val="H5"/>
        <w:spacing w:line="276" w:lineRule="auto"/>
        <w:jc w:val="both"/>
        <w:rPr>
          <w:lang w:val="it-IT"/>
        </w:rPr>
      </w:pPr>
      <w:r w:rsidRPr="009D660E">
        <w:rPr>
          <w:lang w:val="it-IT"/>
        </w:rPr>
        <w:lastRenderedPageBreak/>
        <w:t>Konteksti</w:t>
      </w:r>
    </w:p>
    <w:p w14:paraId="135A5124" w14:textId="3E572BED" w:rsidR="007E0BC1" w:rsidRPr="009D660E" w:rsidRDefault="007E0BC1" w:rsidP="007E0BC1">
      <w:pPr>
        <w:spacing w:line="276" w:lineRule="auto"/>
        <w:jc w:val="both"/>
        <w:rPr>
          <w:lang w:val="it-IT"/>
        </w:rPr>
      </w:pPr>
      <w:r w:rsidRPr="009D660E">
        <w:rPr>
          <w:lang w:val="it-IT"/>
        </w:rPr>
        <w:t>Kapaciteti për programimin makroekonomik, duke përfshirë parashikimet makro-fiskale, është zhvilluar me kalimin e viteve, i përforcuar gjithashtu nga mbështetja dhe përpjekjet bashkëpunuese me F</w:t>
      </w:r>
      <w:r w:rsidR="009E6139" w:rsidRPr="009D660E">
        <w:rPr>
          <w:lang w:val="it-IT"/>
        </w:rPr>
        <w:t xml:space="preserve">ondin </w:t>
      </w:r>
      <w:r w:rsidRPr="009D660E">
        <w:rPr>
          <w:lang w:val="it-IT"/>
        </w:rPr>
        <w:t>M</w:t>
      </w:r>
      <w:r w:rsidR="009E6139" w:rsidRPr="009D660E">
        <w:rPr>
          <w:lang w:val="it-IT"/>
        </w:rPr>
        <w:t xml:space="preserve">onetar </w:t>
      </w:r>
      <w:r w:rsidRPr="009D660E">
        <w:rPr>
          <w:lang w:val="it-IT"/>
        </w:rPr>
        <w:t>N</w:t>
      </w:r>
      <w:r w:rsidR="009E6139" w:rsidRPr="009D660E">
        <w:rPr>
          <w:lang w:val="it-IT"/>
        </w:rPr>
        <w:t>d</w:t>
      </w:r>
      <w:r w:rsidR="000A70F5" w:rsidRPr="009D660E">
        <w:rPr>
          <w:lang w:val="it-IT"/>
        </w:rPr>
        <w:t>ë</w:t>
      </w:r>
      <w:r w:rsidR="009E6139" w:rsidRPr="009D660E">
        <w:rPr>
          <w:lang w:val="it-IT"/>
        </w:rPr>
        <w:t>rkomb</w:t>
      </w:r>
      <w:r w:rsidR="000A70F5" w:rsidRPr="009D660E">
        <w:rPr>
          <w:lang w:val="it-IT"/>
        </w:rPr>
        <w:t>ë</w:t>
      </w:r>
      <w:r w:rsidR="009E6139" w:rsidRPr="009D660E">
        <w:rPr>
          <w:lang w:val="it-IT"/>
        </w:rPr>
        <w:t>tar</w:t>
      </w:r>
      <w:r w:rsidR="000A70F5" w:rsidRPr="009D660E">
        <w:rPr>
          <w:lang w:val="it-IT"/>
        </w:rPr>
        <w:t>ë</w:t>
      </w:r>
      <w:r w:rsidRPr="009D660E">
        <w:rPr>
          <w:lang w:val="it-IT"/>
        </w:rPr>
        <w:t xml:space="preserve"> </w:t>
      </w:r>
      <w:r w:rsidR="00A0133F" w:rsidRPr="009D660E">
        <w:rPr>
          <w:lang w:val="it-IT"/>
        </w:rPr>
        <w:t xml:space="preserve">(FMN) </w:t>
      </w:r>
      <w:r w:rsidRPr="009D660E">
        <w:rPr>
          <w:lang w:val="it-IT"/>
        </w:rPr>
        <w:t>dhe B</w:t>
      </w:r>
      <w:r w:rsidR="009E6139" w:rsidRPr="009D660E">
        <w:rPr>
          <w:lang w:val="it-IT"/>
        </w:rPr>
        <w:t xml:space="preserve">ashkimin </w:t>
      </w:r>
      <w:r w:rsidRPr="009D660E">
        <w:rPr>
          <w:lang w:val="it-IT"/>
        </w:rPr>
        <w:t>E</w:t>
      </w:r>
      <w:r w:rsidR="009E6139" w:rsidRPr="009D660E">
        <w:rPr>
          <w:lang w:val="it-IT"/>
        </w:rPr>
        <w:t>vropian</w:t>
      </w:r>
      <w:r w:rsidRPr="009D660E">
        <w:rPr>
          <w:lang w:val="it-IT"/>
        </w:rPr>
        <w:t xml:space="preserve">. Objektivi kryesor i programimit makroekonomik është i dyfishtë: së pari, të mbështesë dhe forcojë stabilitetin makroekonomik të vendit; së dyti, për të nxitur një mjedis të favorshëm për rritje të lartë dhe të qëndrueshme ekonomike, duke u përpjekur përfundimisht për një konvergjencë të shpejtë drejt nivelit mesatar të mirëqenies së Bashkimit Evropian. Një grup gjithëpërfshirës rregullash të forta fiskale është institucionalizuar në kuadrin legjislativ që nga viti 2016. Projeksionet makro-fiskale shërbejnë si inpute integrale për PBA-në dhe </w:t>
      </w:r>
      <w:r w:rsidR="009E6139" w:rsidRPr="009D660E">
        <w:rPr>
          <w:lang w:val="it-IT"/>
        </w:rPr>
        <w:t>Programin e Reformave Ekonomike</w:t>
      </w:r>
      <w:r w:rsidRPr="009D660E">
        <w:rPr>
          <w:lang w:val="it-IT"/>
        </w:rPr>
        <w:t xml:space="preserve">, si dhe për buxhetet vjetore (si në deklaratën para-buxhetore ashtu edhe në </w:t>
      </w:r>
      <w:r w:rsidR="009E6139" w:rsidRPr="009D660E">
        <w:rPr>
          <w:lang w:val="it-IT"/>
        </w:rPr>
        <w:t>raportin vjetor t</w:t>
      </w:r>
      <w:r w:rsidR="000A70F5" w:rsidRPr="009D660E">
        <w:rPr>
          <w:lang w:val="it-IT"/>
        </w:rPr>
        <w:t>ë</w:t>
      </w:r>
      <w:r w:rsidR="009E6139" w:rsidRPr="009D660E">
        <w:rPr>
          <w:lang w:val="it-IT"/>
        </w:rPr>
        <w:t xml:space="preserve"> </w:t>
      </w:r>
      <w:r w:rsidRPr="009D660E">
        <w:rPr>
          <w:lang w:val="it-IT"/>
        </w:rPr>
        <w:t>mo</w:t>
      </w:r>
      <w:r w:rsidR="009E6139" w:rsidRPr="009D660E">
        <w:rPr>
          <w:lang w:val="it-IT"/>
        </w:rPr>
        <w:t>nitorimit</w:t>
      </w:r>
      <w:r w:rsidRPr="009D660E">
        <w:rPr>
          <w:lang w:val="it-IT"/>
        </w:rPr>
        <w:t xml:space="preserve"> të buxhetit). Në përputh</w:t>
      </w:r>
      <w:r w:rsidR="009E6139" w:rsidRPr="009D660E">
        <w:rPr>
          <w:lang w:val="it-IT"/>
        </w:rPr>
        <w:t>je me kërkesat legjislative, MF</w:t>
      </w:r>
      <w:r w:rsidRPr="009D660E">
        <w:rPr>
          <w:lang w:val="it-IT"/>
        </w:rPr>
        <w:t>-ja i përafron projeksionet e saj të variablave kyç makroekonomikë me ato të FMN-së, një praktikë e mbajtur që nga viti 2016.</w:t>
      </w:r>
    </w:p>
    <w:p w14:paraId="0AE784CF" w14:textId="77777777" w:rsidR="007E0BC1" w:rsidRPr="009D660E" w:rsidRDefault="007E0BC1" w:rsidP="007E0BC1">
      <w:pPr>
        <w:spacing w:line="276" w:lineRule="auto"/>
        <w:jc w:val="both"/>
        <w:rPr>
          <w:lang w:val="it-IT"/>
        </w:rPr>
      </w:pPr>
    </w:p>
    <w:p w14:paraId="415030B2" w14:textId="25C644B3" w:rsidR="007E0BC1" w:rsidRPr="009D660E" w:rsidRDefault="00BD01D9" w:rsidP="007E0BC1">
      <w:pPr>
        <w:spacing w:line="276" w:lineRule="auto"/>
        <w:jc w:val="both"/>
        <w:rPr>
          <w:lang w:val="it-IT"/>
        </w:rPr>
      </w:pPr>
      <w:r w:rsidRPr="009D660E">
        <w:rPr>
          <w:lang w:val="it-IT"/>
        </w:rPr>
        <w:t xml:space="preserve">Sigurimi i një parashikimi </w:t>
      </w:r>
      <w:r w:rsidR="007E0BC1" w:rsidRPr="009D660E">
        <w:rPr>
          <w:lang w:val="it-IT"/>
        </w:rPr>
        <w:t>të matur</w:t>
      </w:r>
      <w:r w:rsidRPr="009D660E">
        <w:rPr>
          <w:lang w:val="it-IT"/>
        </w:rPr>
        <w:t>, t</w:t>
      </w:r>
      <w:r w:rsidR="000A70F5" w:rsidRPr="009D660E">
        <w:rPr>
          <w:lang w:val="it-IT"/>
        </w:rPr>
        <w:t>ë</w:t>
      </w:r>
      <w:r w:rsidRPr="009D660E">
        <w:rPr>
          <w:lang w:val="it-IT"/>
        </w:rPr>
        <w:t xml:space="preserve"> drejt</w:t>
      </w:r>
      <w:r w:rsidR="000A70F5" w:rsidRPr="009D660E">
        <w:rPr>
          <w:lang w:val="it-IT"/>
        </w:rPr>
        <w:t>ë</w:t>
      </w:r>
      <w:r w:rsidR="007E0BC1" w:rsidRPr="009D660E">
        <w:rPr>
          <w:lang w:val="it-IT"/>
        </w:rPr>
        <w:t xml:space="preserve"> dhe të kujdesshëm të treguesve makroekonomikë është një prioritet parësor. Kjo përfshin përdorimin e një qasjeje të kujdesshme dhe të mirëinformuar në parashikimin e variablave kryesore ekonomike, duke ofruar një bazë për vendime të informuara të politikave. Për më tepër, theksimi i maturisë dhe realizmit në parashikimin afatmesëm të të ardhurave është thelbësor. Kjo përfshin adoptimin e një qasjeje të kujdesshme dhe të bazuar për të parashikuar rrjedhat e të ardhurave në afat të mesëm, duke mundësuar formulimin e politikave të shëndosha fiskale dhe shpërnda</w:t>
      </w:r>
      <w:r w:rsidRPr="009D660E">
        <w:rPr>
          <w:lang w:val="it-IT"/>
        </w:rPr>
        <w:t>rjen e burimeve. Gjithashtu,</w:t>
      </w:r>
      <w:r w:rsidR="007E0BC1" w:rsidRPr="009D660E">
        <w:rPr>
          <w:lang w:val="it-IT"/>
        </w:rPr>
        <w:t xml:space="preserve"> angazhim mbetet ruajtja e financave të shëndosha publike përmes </w:t>
      </w:r>
      <w:r w:rsidRPr="009D660E">
        <w:rPr>
          <w:lang w:val="it-IT"/>
        </w:rPr>
        <w:t>pajtueshm</w:t>
      </w:r>
      <w:r w:rsidR="000A70F5" w:rsidRPr="009D660E">
        <w:rPr>
          <w:lang w:val="it-IT"/>
        </w:rPr>
        <w:t>ë</w:t>
      </w:r>
      <w:r w:rsidRPr="009D660E">
        <w:rPr>
          <w:lang w:val="it-IT"/>
        </w:rPr>
        <w:t>ris</w:t>
      </w:r>
      <w:r w:rsidR="000A70F5" w:rsidRPr="009D660E">
        <w:rPr>
          <w:lang w:val="it-IT"/>
        </w:rPr>
        <w:t>ë</w:t>
      </w:r>
      <w:r w:rsidRPr="009D660E">
        <w:rPr>
          <w:lang w:val="it-IT"/>
        </w:rPr>
        <w:t xml:space="preserve"> së përhershme</w:t>
      </w:r>
      <w:r w:rsidR="007E0BC1" w:rsidRPr="009D660E">
        <w:rPr>
          <w:lang w:val="it-IT"/>
        </w:rPr>
        <w:t xml:space="preserve"> me Rregullat Fiskale. Një fokus kryesor është</w:t>
      </w:r>
      <w:r w:rsidR="005E7C88" w:rsidRPr="009D660E">
        <w:rPr>
          <w:lang w:val="it-IT"/>
        </w:rPr>
        <w:t xml:space="preserve"> edhe</w:t>
      </w:r>
      <w:r w:rsidR="007E0BC1" w:rsidRPr="009D660E">
        <w:rPr>
          <w:lang w:val="it-IT"/>
        </w:rPr>
        <w:t xml:space="preserve"> ruajtja e integritetit të financave publike duke iu përmbajtur rregullave fiskale. Ky angazhim për pajtueshmëri siguron një kuadër të qëndrueshëm fiskal, duke nxitur përgjegjësinë fiskale dhe qëndrueshmërinë gjatë periudhës së specifikuar. Një aderim i tillë kontribuon në stabilitetin e përgjithshëm ekonomik dhe qëndrueshmërinë e vendit.</w:t>
      </w:r>
    </w:p>
    <w:p w14:paraId="21A31B51" w14:textId="77777777" w:rsidR="00A9061C" w:rsidRPr="009D660E" w:rsidRDefault="00A9061C" w:rsidP="002E6AB5">
      <w:pPr>
        <w:spacing w:line="276" w:lineRule="auto"/>
        <w:jc w:val="both"/>
        <w:rPr>
          <w:lang w:val="it-IT"/>
        </w:rPr>
      </w:pPr>
    </w:p>
    <w:p w14:paraId="07D714F4" w14:textId="593FB805" w:rsidR="00AB73F1" w:rsidRPr="001F151E" w:rsidRDefault="00AB73F1" w:rsidP="002E6AB5">
      <w:pPr>
        <w:pStyle w:val="H5"/>
        <w:spacing w:line="276" w:lineRule="auto"/>
        <w:jc w:val="both"/>
        <w:rPr>
          <w:lang w:val="en-GB"/>
        </w:rPr>
      </w:pPr>
      <w:r w:rsidRPr="001F151E">
        <w:rPr>
          <w:lang w:val="en-GB"/>
        </w:rPr>
        <w:t>Priorit</w:t>
      </w:r>
      <w:r w:rsidR="005E7C88">
        <w:rPr>
          <w:lang w:val="en-GB"/>
        </w:rPr>
        <w:t>etet</w:t>
      </w:r>
    </w:p>
    <w:p w14:paraId="13DC64B3" w14:textId="36BBE2BE" w:rsidR="00B51989" w:rsidRPr="001F151E" w:rsidRDefault="005E7C88" w:rsidP="002E6AB5">
      <w:pPr>
        <w:spacing w:line="276" w:lineRule="auto"/>
        <w:jc w:val="both"/>
        <w:rPr>
          <w:rFonts w:eastAsia="Calibri"/>
          <w:lang w:val="en-GB"/>
        </w:rPr>
      </w:pPr>
      <w:r>
        <w:rPr>
          <w:rFonts w:eastAsia="Calibri"/>
          <w:lang w:val="en-GB"/>
        </w:rPr>
        <w:t>Prioritetet p</w:t>
      </w:r>
      <w:r w:rsidR="000A70F5">
        <w:rPr>
          <w:rFonts w:eastAsia="Calibri"/>
          <w:lang w:val="en-GB"/>
        </w:rPr>
        <w:t>ë</w:t>
      </w:r>
      <w:r>
        <w:rPr>
          <w:rFonts w:eastAsia="Calibri"/>
          <w:lang w:val="en-GB"/>
        </w:rPr>
        <w:t>r periudh</w:t>
      </w:r>
      <w:r w:rsidR="000A70F5">
        <w:rPr>
          <w:rFonts w:eastAsia="Calibri"/>
          <w:lang w:val="en-GB"/>
        </w:rPr>
        <w:t>ë</w:t>
      </w:r>
      <w:r>
        <w:rPr>
          <w:rFonts w:eastAsia="Calibri"/>
          <w:lang w:val="en-GB"/>
        </w:rPr>
        <w:t>n 2023-2026 jan</w:t>
      </w:r>
      <w:r w:rsidR="000A70F5">
        <w:rPr>
          <w:rFonts w:eastAsia="Calibri"/>
          <w:lang w:val="en-GB"/>
        </w:rPr>
        <w:t>ë</w:t>
      </w:r>
      <w:r w:rsidR="00B51989" w:rsidRPr="001F151E">
        <w:rPr>
          <w:rFonts w:eastAsia="Calibri"/>
          <w:lang w:val="en-GB"/>
        </w:rPr>
        <w:t>:</w:t>
      </w:r>
    </w:p>
    <w:p w14:paraId="6DCAD01C" w14:textId="75D56D4B" w:rsidR="003C1B7A" w:rsidRDefault="005E7C88" w:rsidP="002E6AB5">
      <w:pPr>
        <w:pStyle w:val="N-Bullet"/>
        <w:spacing w:line="276" w:lineRule="auto"/>
        <w:jc w:val="both"/>
      </w:pPr>
      <w:r>
        <w:t xml:space="preserve">Parashikim </w:t>
      </w:r>
      <w:r w:rsidR="007025B6">
        <w:t>i</w:t>
      </w:r>
      <w:r>
        <w:t xml:space="preserve"> matur</w:t>
      </w:r>
      <w:r w:rsidR="007025B6">
        <w:t xml:space="preserve"> i treguesve makroekonomik</w:t>
      </w:r>
      <w:r w:rsidR="000A70F5">
        <w:t>ë</w:t>
      </w:r>
      <w:r w:rsidR="007025B6">
        <w:t xml:space="preserve"> n</w:t>
      </w:r>
      <w:r w:rsidR="000A70F5">
        <w:t>ë</w:t>
      </w:r>
      <w:r w:rsidR="007025B6">
        <w:t xml:space="preserve"> p</w:t>
      </w:r>
      <w:r w:rsidR="000A70F5">
        <w:t>ë</w:t>
      </w:r>
      <w:r w:rsidR="007025B6">
        <w:t>rputhje me parashikuesit e pavarur dhe nd</w:t>
      </w:r>
      <w:r w:rsidR="000A70F5">
        <w:t>ë</w:t>
      </w:r>
      <w:r w:rsidR="007025B6">
        <w:t>rkomb</w:t>
      </w:r>
      <w:r w:rsidR="000A70F5">
        <w:t>ë</w:t>
      </w:r>
      <w:r w:rsidR="007025B6">
        <w:t>tar</w:t>
      </w:r>
      <w:r w:rsidR="000A70F5">
        <w:t>ë</w:t>
      </w:r>
      <w:r w:rsidR="003C1B7A" w:rsidRPr="001F151E">
        <w:t>.</w:t>
      </w:r>
    </w:p>
    <w:p w14:paraId="0F127A82" w14:textId="0D8B4E46" w:rsidR="003C1B7A" w:rsidRPr="003C1B7A" w:rsidRDefault="007025B6" w:rsidP="002E6AB5">
      <w:pPr>
        <w:pStyle w:val="N-Bullet"/>
        <w:spacing w:line="276" w:lineRule="auto"/>
        <w:jc w:val="both"/>
      </w:pPr>
      <w:r>
        <w:t xml:space="preserve">Parashikim i matur dhe realist </w:t>
      </w:r>
      <w:r w:rsidR="00C17ED9">
        <w:t>i</w:t>
      </w:r>
      <w:r>
        <w:t xml:space="preserve"> t</w:t>
      </w:r>
      <w:r w:rsidR="000A70F5">
        <w:t>ë</w:t>
      </w:r>
      <w:r>
        <w:t xml:space="preserve"> ardhurave afatmesme n</w:t>
      </w:r>
      <w:r w:rsidR="000A70F5">
        <w:t>ë</w:t>
      </w:r>
      <w:r>
        <w:t xml:space="preserve"> p</w:t>
      </w:r>
      <w:r w:rsidR="000A70F5">
        <w:t>ë</w:t>
      </w:r>
      <w:r>
        <w:t>rputhje me parashikuesit e pavarur dhe nd</w:t>
      </w:r>
      <w:r w:rsidR="000A70F5">
        <w:t>ë</w:t>
      </w:r>
      <w:r>
        <w:t>rkomb</w:t>
      </w:r>
      <w:r w:rsidR="000A70F5">
        <w:t>ë</w:t>
      </w:r>
      <w:r>
        <w:t>tar</w:t>
      </w:r>
      <w:r w:rsidR="000A70F5">
        <w:t>ë</w:t>
      </w:r>
      <w:r w:rsidR="003C1B7A" w:rsidRPr="003C1B7A">
        <w:t>.</w:t>
      </w:r>
    </w:p>
    <w:p w14:paraId="60FD0CE3" w14:textId="175008F2" w:rsidR="00AB73F1" w:rsidRPr="003C1B7A" w:rsidRDefault="007025B6" w:rsidP="002E6AB5">
      <w:pPr>
        <w:pStyle w:val="N-Bullet"/>
        <w:spacing w:line="276" w:lineRule="auto"/>
        <w:jc w:val="both"/>
      </w:pPr>
      <w:r>
        <w:t>Ruajtja e financave t</w:t>
      </w:r>
      <w:r w:rsidR="000A70F5">
        <w:t>ë</w:t>
      </w:r>
      <w:r>
        <w:t xml:space="preserve"> sh</w:t>
      </w:r>
      <w:r w:rsidR="000A70F5">
        <w:t>ë</w:t>
      </w:r>
      <w:r>
        <w:t>ndosha publike n</w:t>
      </w:r>
      <w:r w:rsidR="000A70F5">
        <w:t>ë</w:t>
      </w:r>
      <w:r>
        <w:t>p</w:t>
      </w:r>
      <w:r w:rsidR="000A70F5">
        <w:t>ë</w:t>
      </w:r>
      <w:r>
        <w:t>rmjet pajtueshm</w:t>
      </w:r>
      <w:r w:rsidR="000A70F5">
        <w:t>ë</w:t>
      </w:r>
      <w:r>
        <w:t>ris</w:t>
      </w:r>
      <w:r w:rsidR="000A70F5">
        <w:t>ë</w:t>
      </w:r>
      <w:r>
        <w:t xml:space="preserve"> s</w:t>
      </w:r>
      <w:r w:rsidR="000A70F5">
        <w:t>ë</w:t>
      </w:r>
      <w:r>
        <w:t xml:space="preserve"> p</w:t>
      </w:r>
      <w:r w:rsidR="000A70F5">
        <w:t>ë</w:t>
      </w:r>
      <w:r>
        <w:t>rhershme me Rregullat Fiskale</w:t>
      </w:r>
      <w:r w:rsidR="003C1B7A" w:rsidRPr="003C1B7A">
        <w:t xml:space="preserve">.  </w:t>
      </w:r>
    </w:p>
    <w:p w14:paraId="6B6D6C7C" w14:textId="77777777" w:rsidR="003C1B7A" w:rsidRPr="001F151E" w:rsidRDefault="003C1B7A" w:rsidP="002E6AB5">
      <w:pPr>
        <w:spacing w:line="276" w:lineRule="auto"/>
        <w:jc w:val="both"/>
        <w:rPr>
          <w:lang w:val="en-GB"/>
        </w:rPr>
      </w:pPr>
    </w:p>
    <w:p w14:paraId="66E437E7" w14:textId="621C5890" w:rsidR="00AB73F1" w:rsidRPr="001F151E" w:rsidRDefault="00AB73F1" w:rsidP="00AB73F1">
      <w:pPr>
        <w:pStyle w:val="H5"/>
        <w:rPr>
          <w:lang w:val="en-GB"/>
        </w:rPr>
      </w:pPr>
      <w:r w:rsidRPr="001F151E">
        <w:rPr>
          <w:lang w:val="en-GB"/>
        </w:rPr>
        <w:t>M</w:t>
      </w:r>
      <w:r w:rsidR="007025B6">
        <w:rPr>
          <w:lang w:val="en-GB"/>
        </w:rPr>
        <w:t>asat dhe aktivitetet</w:t>
      </w:r>
    </w:p>
    <w:tbl>
      <w:tblPr>
        <w:tblStyle w:val="TableGrid"/>
        <w:tblW w:w="5000" w:type="pct"/>
        <w:tblCellMar>
          <w:top w:w="28" w:type="dxa"/>
          <w:left w:w="85" w:type="dxa"/>
          <w:bottom w:w="28" w:type="dxa"/>
          <w:right w:w="85" w:type="dxa"/>
        </w:tblCellMar>
        <w:tblLook w:val="04A0" w:firstRow="1" w:lastRow="0" w:firstColumn="1" w:lastColumn="0" w:noHBand="0" w:noVBand="1"/>
      </w:tblPr>
      <w:tblGrid>
        <w:gridCol w:w="2035"/>
        <w:gridCol w:w="3607"/>
        <w:gridCol w:w="796"/>
        <w:gridCol w:w="795"/>
        <w:gridCol w:w="1783"/>
      </w:tblGrid>
      <w:tr w:rsidR="00EA3152" w:rsidRPr="001F151E" w14:paraId="13E0EF37" w14:textId="77777777" w:rsidTr="00F75C8C">
        <w:trPr>
          <w:cantSplit/>
          <w:trHeight w:val="20"/>
          <w:tblHeader/>
        </w:trPr>
        <w:tc>
          <w:tcPr>
            <w:tcW w:w="2035" w:type="dxa"/>
            <w:shd w:val="clear" w:color="auto" w:fill="D9D9D9"/>
          </w:tcPr>
          <w:p w14:paraId="31550E1C" w14:textId="35B97B10" w:rsidR="00B51989" w:rsidRPr="001F151E" w:rsidRDefault="00B51989" w:rsidP="007025B6">
            <w:pPr>
              <w:spacing w:line="200" w:lineRule="exact"/>
              <w:jc w:val="both"/>
              <w:rPr>
                <w:rFonts w:eastAsia="Calibri"/>
                <w:b/>
                <w:bCs/>
                <w:sz w:val="16"/>
                <w:szCs w:val="16"/>
              </w:rPr>
            </w:pPr>
            <w:r w:rsidRPr="001F151E">
              <w:rPr>
                <w:rFonts w:eastAsia="Calibri"/>
                <w:b/>
                <w:bCs/>
                <w:sz w:val="16"/>
                <w:szCs w:val="16"/>
              </w:rPr>
              <w:t>M</w:t>
            </w:r>
            <w:r w:rsidR="007025B6">
              <w:rPr>
                <w:rFonts w:eastAsia="Calibri"/>
                <w:b/>
                <w:bCs/>
                <w:sz w:val="16"/>
                <w:szCs w:val="16"/>
              </w:rPr>
              <w:t>asa</w:t>
            </w:r>
          </w:p>
        </w:tc>
        <w:tc>
          <w:tcPr>
            <w:tcW w:w="3607" w:type="dxa"/>
            <w:shd w:val="clear" w:color="auto" w:fill="D9D9D9"/>
          </w:tcPr>
          <w:p w14:paraId="270B1C65" w14:textId="3015AC33" w:rsidR="00B51989" w:rsidRPr="001F151E" w:rsidRDefault="00B51989" w:rsidP="007025B6">
            <w:pPr>
              <w:spacing w:line="200" w:lineRule="exact"/>
              <w:jc w:val="both"/>
              <w:rPr>
                <w:rFonts w:eastAsia="Calibri"/>
                <w:b/>
                <w:bCs/>
                <w:sz w:val="16"/>
                <w:szCs w:val="16"/>
              </w:rPr>
            </w:pPr>
            <w:r w:rsidRPr="001F151E">
              <w:rPr>
                <w:rFonts w:eastAsia="Calibri"/>
                <w:b/>
                <w:bCs/>
                <w:sz w:val="16"/>
                <w:szCs w:val="16"/>
              </w:rPr>
              <w:t>A</w:t>
            </w:r>
            <w:r w:rsidR="007025B6">
              <w:rPr>
                <w:rFonts w:eastAsia="Calibri"/>
                <w:b/>
                <w:bCs/>
                <w:sz w:val="16"/>
                <w:szCs w:val="16"/>
              </w:rPr>
              <w:t>ktiviteti</w:t>
            </w:r>
          </w:p>
        </w:tc>
        <w:tc>
          <w:tcPr>
            <w:tcW w:w="796" w:type="dxa"/>
            <w:shd w:val="clear" w:color="auto" w:fill="D9D9D9"/>
          </w:tcPr>
          <w:p w14:paraId="704D0875" w14:textId="0562A9A5" w:rsidR="00B51989" w:rsidRPr="001F151E" w:rsidRDefault="007025B6" w:rsidP="003472DA">
            <w:pPr>
              <w:spacing w:line="200" w:lineRule="exact"/>
              <w:jc w:val="both"/>
              <w:rPr>
                <w:rFonts w:eastAsia="Calibri"/>
                <w:b/>
                <w:bCs/>
                <w:sz w:val="16"/>
                <w:szCs w:val="16"/>
              </w:rPr>
            </w:pPr>
            <w:r>
              <w:rPr>
                <w:rFonts w:eastAsia="Calibri"/>
                <w:b/>
                <w:bCs/>
                <w:sz w:val="16"/>
                <w:szCs w:val="16"/>
              </w:rPr>
              <w:t>Fillimi</w:t>
            </w:r>
          </w:p>
        </w:tc>
        <w:tc>
          <w:tcPr>
            <w:tcW w:w="795" w:type="dxa"/>
            <w:shd w:val="clear" w:color="auto" w:fill="D9D9D9"/>
          </w:tcPr>
          <w:p w14:paraId="564A726E" w14:textId="0400E3AE" w:rsidR="00B51989" w:rsidRPr="001F151E" w:rsidRDefault="007025B6" w:rsidP="003472DA">
            <w:pPr>
              <w:spacing w:line="200" w:lineRule="exact"/>
              <w:jc w:val="both"/>
              <w:rPr>
                <w:rFonts w:eastAsia="Calibri"/>
                <w:b/>
                <w:bCs/>
                <w:sz w:val="16"/>
                <w:szCs w:val="16"/>
              </w:rPr>
            </w:pPr>
            <w:r>
              <w:rPr>
                <w:rFonts w:eastAsia="Calibri"/>
                <w:b/>
                <w:bCs/>
                <w:sz w:val="16"/>
                <w:szCs w:val="16"/>
              </w:rPr>
              <w:t>Mbarimi</w:t>
            </w:r>
          </w:p>
        </w:tc>
        <w:tc>
          <w:tcPr>
            <w:tcW w:w="1783" w:type="dxa"/>
            <w:shd w:val="clear" w:color="auto" w:fill="D9D9D9"/>
          </w:tcPr>
          <w:p w14:paraId="0114BE9B" w14:textId="49D5321A" w:rsidR="00B51989" w:rsidRPr="001F151E" w:rsidRDefault="007025B6" w:rsidP="003472DA">
            <w:pPr>
              <w:spacing w:line="200" w:lineRule="exact"/>
              <w:jc w:val="both"/>
              <w:rPr>
                <w:rFonts w:eastAsia="Calibri"/>
                <w:b/>
                <w:bCs/>
                <w:sz w:val="16"/>
                <w:szCs w:val="16"/>
              </w:rPr>
            </w:pPr>
            <w:r>
              <w:rPr>
                <w:rFonts w:eastAsia="Calibri"/>
                <w:b/>
                <w:bCs/>
                <w:sz w:val="16"/>
                <w:szCs w:val="16"/>
              </w:rPr>
              <w:t>Grupet e Interesit</w:t>
            </w:r>
          </w:p>
        </w:tc>
      </w:tr>
      <w:tr w:rsidR="00EA3152" w:rsidRPr="001F151E" w14:paraId="5BE8E15A" w14:textId="77777777" w:rsidTr="00F75C8C">
        <w:trPr>
          <w:cantSplit/>
          <w:trHeight w:val="456"/>
        </w:trPr>
        <w:tc>
          <w:tcPr>
            <w:tcW w:w="2035" w:type="dxa"/>
            <w:vMerge w:val="restart"/>
            <w:shd w:val="clear" w:color="auto" w:fill="auto"/>
          </w:tcPr>
          <w:p w14:paraId="127ACD7B" w14:textId="66B1E038" w:rsidR="00E24B2C" w:rsidRPr="009D660E" w:rsidRDefault="00B51989" w:rsidP="003472DA">
            <w:pPr>
              <w:spacing w:line="200" w:lineRule="exact"/>
              <w:rPr>
                <w:rFonts w:eastAsia="Calibri"/>
                <w:b/>
                <w:bCs/>
                <w:sz w:val="16"/>
                <w:szCs w:val="16"/>
                <w:lang w:val="it-IT"/>
              </w:rPr>
            </w:pPr>
            <w:r w:rsidRPr="009D660E">
              <w:rPr>
                <w:rFonts w:eastAsia="Calibri"/>
                <w:b/>
                <w:bCs/>
                <w:sz w:val="16"/>
                <w:szCs w:val="16"/>
                <w:lang w:val="it-IT"/>
              </w:rPr>
              <w:t>M</w:t>
            </w:r>
            <w:r w:rsidR="007025B6" w:rsidRPr="009D660E">
              <w:rPr>
                <w:rFonts w:eastAsia="Calibri"/>
                <w:b/>
                <w:bCs/>
                <w:sz w:val="16"/>
                <w:szCs w:val="16"/>
                <w:lang w:val="it-IT"/>
              </w:rPr>
              <w:t>asa</w:t>
            </w:r>
            <w:r w:rsidRPr="009D660E">
              <w:rPr>
                <w:rFonts w:eastAsia="Calibri"/>
                <w:b/>
                <w:bCs/>
                <w:sz w:val="16"/>
                <w:szCs w:val="16"/>
                <w:lang w:val="it-IT"/>
              </w:rPr>
              <w:t xml:space="preserve"> 1.1.1 </w:t>
            </w:r>
          </w:p>
          <w:p w14:paraId="6E82B948" w14:textId="0B75983A" w:rsidR="00B51989" w:rsidRPr="009D660E" w:rsidRDefault="00A0133F" w:rsidP="003472DA">
            <w:pPr>
              <w:spacing w:line="200" w:lineRule="exact"/>
              <w:rPr>
                <w:rFonts w:eastAsia="Calibri"/>
                <w:b/>
                <w:sz w:val="16"/>
                <w:szCs w:val="16"/>
                <w:lang w:val="it-IT"/>
              </w:rPr>
            </w:pPr>
            <w:r w:rsidRPr="009D660E">
              <w:rPr>
                <w:rFonts w:eastAsia="Calibri"/>
                <w:b/>
                <w:sz w:val="16"/>
                <w:szCs w:val="16"/>
                <w:lang w:val="it-IT"/>
              </w:rPr>
              <w:t>Parashikim i matur i</w:t>
            </w:r>
            <w:r w:rsidR="00EE1D6E" w:rsidRPr="009D660E">
              <w:rPr>
                <w:rFonts w:eastAsia="Calibri"/>
                <w:b/>
                <w:sz w:val="16"/>
                <w:szCs w:val="16"/>
                <w:lang w:val="it-IT"/>
              </w:rPr>
              <w:t xml:space="preserve"> treguesve makroekonomik n</w:t>
            </w:r>
            <w:r w:rsidR="000A70F5" w:rsidRPr="009D660E">
              <w:rPr>
                <w:rFonts w:eastAsia="Calibri"/>
                <w:b/>
                <w:sz w:val="16"/>
                <w:szCs w:val="16"/>
                <w:lang w:val="it-IT"/>
              </w:rPr>
              <w:t>ë</w:t>
            </w:r>
            <w:r w:rsidR="00EE1D6E" w:rsidRPr="009D660E">
              <w:rPr>
                <w:rFonts w:eastAsia="Calibri"/>
                <w:b/>
                <w:sz w:val="16"/>
                <w:szCs w:val="16"/>
                <w:lang w:val="it-IT"/>
              </w:rPr>
              <w:t xml:space="preserve"> p</w:t>
            </w:r>
            <w:r w:rsidR="000A70F5" w:rsidRPr="009D660E">
              <w:rPr>
                <w:rFonts w:eastAsia="Calibri"/>
                <w:b/>
                <w:sz w:val="16"/>
                <w:szCs w:val="16"/>
                <w:lang w:val="it-IT"/>
              </w:rPr>
              <w:t>ë</w:t>
            </w:r>
            <w:r w:rsidR="00EE1D6E" w:rsidRPr="009D660E">
              <w:rPr>
                <w:rFonts w:eastAsia="Calibri"/>
                <w:b/>
                <w:sz w:val="16"/>
                <w:szCs w:val="16"/>
                <w:lang w:val="it-IT"/>
              </w:rPr>
              <w:t>rputhje me parashikuesit e pavarur dhe nd</w:t>
            </w:r>
            <w:r w:rsidR="000A70F5" w:rsidRPr="009D660E">
              <w:rPr>
                <w:rFonts w:eastAsia="Calibri"/>
                <w:b/>
                <w:sz w:val="16"/>
                <w:szCs w:val="16"/>
                <w:lang w:val="it-IT"/>
              </w:rPr>
              <w:t>ë</w:t>
            </w:r>
            <w:r w:rsidR="00EE1D6E" w:rsidRPr="009D660E">
              <w:rPr>
                <w:rFonts w:eastAsia="Calibri"/>
                <w:b/>
                <w:sz w:val="16"/>
                <w:szCs w:val="16"/>
                <w:lang w:val="it-IT"/>
              </w:rPr>
              <w:t>rkomb</w:t>
            </w:r>
            <w:r w:rsidR="000A70F5" w:rsidRPr="009D660E">
              <w:rPr>
                <w:rFonts w:eastAsia="Calibri"/>
                <w:b/>
                <w:sz w:val="16"/>
                <w:szCs w:val="16"/>
                <w:lang w:val="it-IT"/>
              </w:rPr>
              <w:t>ë</w:t>
            </w:r>
            <w:r w:rsidR="00EE1D6E" w:rsidRPr="009D660E">
              <w:rPr>
                <w:rFonts w:eastAsia="Calibri"/>
                <w:b/>
                <w:sz w:val="16"/>
                <w:szCs w:val="16"/>
                <w:lang w:val="it-IT"/>
              </w:rPr>
              <w:t>tar</w:t>
            </w:r>
          </w:p>
          <w:p w14:paraId="3745DF95" w14:textId="56604873" w:rsidR="004635FB" w:rsidRPr="009D660E" w:rsidRDefault="004635FB" w:rsidP="003472DA">
            <w:pPr>
              <w:spacing w:line="200" w:lineRule="exact"/>
              <w:rPr>
                <w:rFonts w:eastAsia="Times New Roman"/>
                <w:b/>
                <w:bCs/>
                <w:sz w:val="16"/>
                <w:szCs w:val="16"/>
                <w:lang w:val="it-IT"/>
              </w:rPr>
            </w:pPr>
          </w:p>
        </w:tc>
        <w:tc>
          <w:tcPr>
            <w:tcW w:w="3607" w:type="dxa"/>
            <w:vAlign w:val="center"/>
          </w:tcPr>
          <w:p w14:paraId="0E9F2ADD" w14:textId="5D906F78" w:rsidR="00B51989" w:rsidRPr="009D660E" w:rsidRDefault="00EE1D6E" w:rsidP="00AF6A3A">
            <w:pPr>
              <w:pStyle w:val="T-number"/>
              <w:rPr>
                <w:lang w:val="it-IT"/>
              </w:rPr>
            </w:pPr>
            <w:r w:rsidRPr="009D660E">
              <w:rPr>
                <w:lang w:val="it-IT"/>
              </w:rPr>
              <w:t>Krahasimet e vazhdueshme t</w:t>
            </w:r>
            <w:r w:rsidR="000A70F5" w:rsidRPr="009D660E">
              <w:rPr>
                <w:lang w:val="it-IT"/>
              </w:rPr>
              <w:t>ë</w:t>
            </w:r>
            <w:r w:rsidRPr="009D660E">
              <w:rPr>
                <w:lang w:val="it-IT"/>
              </w:rPr>
              <w:t xml:space="preserve"> projeksioneve t</w:t>
            </w:r>
            <w:r w:rsidR="000A70F5" w:rsidRPr="009D660E">
              <w:rPr>
                <w:lang w:val="it-IT"/>
              </w:rPr>
              <w:t>ë</w:t>
            </w:r>
            <w:r w:rsidRPr="009D660E">
              <w:rPr>
                <w:lang w:val="it-IT"/>
              </w:rPr>
              <w:t xml:space="preserve"> treguesve makroekonomik t</w:t>
            </w:r>
            <w:r w:rsidR="000A70F5" w:rsidRPr="009D660E">
              <w:rPr>
                <w:lang w:val="it-IT"/>
              </w:rPr>
              <w:t>ë</w:t>
            </w:r>
            <w:r w:rsidRPr="009D660E">
              <w:rPr>
                <w:lang w:val="it-IT"/>
              </w:rPr>
              <w:t xml:space="preserve"> MF-s</w:t>
            </w:r>
            <w:r w:rsidR="000A70F5" w:rsidRPr="009D660E">
              <w:rPr>
                <w:lang w:val="it-IT"/>
              </w:rPr>
              <w:t>ë</w:t>
            </w:r>
            <w:r w:rsidRPr="009D660E">
              <w:rPr>
                <w:lang w:val="it-IT"/>
              </w:rPr>
              <w:t xml:space="preserve"> me parashikuesit e pavarur dhe nd</w:t>
            </w:r>
            <w:r w:rsidR="000A70F5" w:rsidRPr="009D660E">
              <w:rPr>
                <w:lang w:val="it-IT"/>
              </w:rPr>
              <w:t>ë</w:t>
            </w:r>
            <w:r w:rsidRPr="009D660E">
              <w:rPr>
                <w:lang w:val="it-IT"/>
              </w:rPr>
              <w:t>rkomb</w:t>
            </w:r>
            <w:r w:rsidR="000A70F5" w:rsidRPr="009D660E">
              <w:rPr>
                <w:lang w:val="it-IT"/>
              </w:rPr>
              <w:t>ë</w:t>
            </w:r>
            <w:r w:rsidRPr="009D660E">
              <w:rPr>
                <w:lang w:val="it-IT"/>
              </w:rPr>
              <w:t>tar</w:t>
            </w:r>
            <w:r w:rsidR="000A70F5" w:rsidRPr="009D660E">
              <w:rPr>
                <w:lang w:val="it-IT"/>
              </w:rPr>
              <w:t>ë</w:t>
            </w:r>
            <w:r w:rsidRPr="009D660E">
              <w:rPr>
                <w:lang w:val="it-IT"/>
              </w:rPr>
              <w:t xml:space="preserve"> dhe publikimi i k</w:t>
            </w:r>
            <w:r w:rsidR="000A70F5" w:rsidRPr="009D660E">
              <w:rPr>
                <w:lang w:val="it-IT"/>
              </w:rPr>
              <w:t>ë</w:t>
            </w:r>
            <w:r w:rsidRPr="009D660E">
              <w:rPr>
                <w:lang w:val="it-IT"/>
              </w:rPr>
              <w:t>tyre krahasimeve çdo vit. Kjo analiz</w:t>
            </w:r>
            <w:r w:rsidR="000A70F5" w:rsidRPr="009D660E">
              <w:rPr>
                <w:lang w:val="it-IT"/>
              </w:rPr>
              <w:t>ë</w:t>
            </w:r>
            <w:r w:rsidRPr="009D660E">
              <w:rPr>
                <w:lang w:val="it-IT"/>
              </w:rPr>
              <w:t xml:space="preserve"> krahasuese do t</w:t>
            </w:r>
            <w:r w:rsidR="000A70F5" w:rsidRPr="009D660E">
              <w:rPr>
                <w:lang w:val="it-IT"/>
              </w:rPr>
              <w:t>ë</w:t>
            </w:r>
            <w:r w:rsidRPr="009D660E">
              <w:rPr>
                <w:lang w:val="it-IT"/>
              </w:rPr>
              <w:t xml:space="preserve"> shp</w:t>
            </w:r>
            <w:r w:rsidR="000A70F5" w:rsidRPr="009D660E">
              <w:rPr>
                <w:lang w:val="it-IT"/>
              </w:rPr>
              <w:t>ë</w:t>
            </w:r>
            <w:r w:rsidRPr="009D660E">
              <w:rPr>
                <w:lang w:val="it-IT"/>
              </w:rPr>
              <w:t>rndahet p</w:t>
            </w:r>
            <w:r w:rsidR="000A70F5" w:rsidRPr="009D660E">
              <w:rPr>
                <w:lang w:val="it-IT"/>
              </w:rPr>
              <w:t>ë</w:t>
            </w:r>
            <w:r w:rsidRPr="009D660E">
              <w:rPr>
                <w:lang w:val="it-IT"/>
              </w:rPr>
              <w:t>rmes: “Kuadrit Makroekonomik dhe Fiskal” &amp; “Programit t</w:t>
            </w:r>
            <w:r w:rsidR="000A70F5" w:rsidRPr="009D660E">
              <w:rPr>
                <w:lang w:val="it-IT"/>
              </w:rPr>
              <w:t>ë</w:t>
            </w:r>
            <w:r w:rsidRPr="009D660E">
              <w:rPr>
                <w:lang w:val="it-IT"/>
              </w:rPr>
              <w:t xml:space="preserve"> Reformave Ekonomike”. </w:t>
            </w:r>
          </w:p>
        </w:tc>
        <w:tc>
          <w:tcPr>
            <w:tcW w:w="796" w:type="dxa"/>
            <w:shd w:val="clear" w:color="auto" w:fill="auto"/>
            <w:vAlign w:val="center"/>
          </w:tcPr>
          <w:p w14:paraId="0B3C2646" w14:textId="4AA2C612" w:rsidR="00B51989" w:rsidRPr="001F151E" w:rsidRDefault="00EE1D6E" w:rsidP="003472DA">
            <w:pPr>
              <w:spacing w:line="200" w:lineRule="exact"/>
              <w:jc w:val="both"/>
              <w:rPr>
                <w:rFonts w:eastAsia="Calibri"/>
                <w:sz w:val="16"/>
                <w:szCs w:val="16"/>
                <w:highlight w:val="yellow"/>
              </w:rPr>
            </w:pPr>
            <w:r>
              <w:rPr>
                <w:rFonts w:eastAsia="Calibri"/>
                <w:sz w:val="16"/>
                <w:szCs w:val="16"/>
              </w:rPr>
              <w:t>T</w:t>
            </w:r>
            <w:r w:rsidR="00B51989" w:rsidRPr="001F151E">
              <w:rPr>
                <w:rFonts w:eastAsia="Calibri"/>
                <w:sz w:val="16"/>
                <w:szCs w:val="16"/>
              </w:rPr>
              <w:t>1 2023</w:t>
            </w:r>
          </w:p>
        </w:tc>
        <w:tc>
          <w:tcPr>
            <w:tcW w:w="795" w:type="dxa"/>
            <w:vAlign w:val="center"/>
          </w:tcPr>
          <w:p w14:paraId="1D94F192" w14:textId="412DEE43" w:rsidR="00B51989" w:rsidRPr="001F151E" w:rsidRDefault="00EE1D6E" w:rsidP="003472DA">
            <w:pPr>
              <w:spacing w:line="200" w:lineRule="exact"/>
              <w:jc w:val="both"/>
              <w:rPr>
                <w:rFonts w:eastAsia="Calibri"/>
                <w:sz w:val="16"/>
                <w:szCs w:val="16"/>
                <w:highlight w:val="yellow"/>
              </w:rPr>
            </w:pPr>
            <w:r>
              <w:rPr>
                <w:rFonts w:eastAsia="Calibri"/>
                <w:sz w:val="16"/>
                <w:szCs w:val="16"/>
              </w:rPr>
              <w:t>T</w:t>
            </w:r>
            <w:r w:rsidR="00B51989" w:rsidRPr="001F151E">
              <w:rPr>
                <w:rFonts w:eastAsia="Calibri"/>
                <w:sz w:val="16"/>
                <w:szCs w:val="16"/>
              </w:rPr>
              <w:t>4 2026</w:t>
            </w:r>
          </w:p>
        </w:tc>
        <w:tc>
          <w:tcPr>
            <w:tcW w:w="1783" w:type="dxa"/>
            <w:vMerge w:val="restart"/>
          </w:tcPr>
          <w:p w14:paraId="760432F8" w14:textId="5A8650F9" w:rsidR="00B51989" w:rsidRPr="001F151E" w:rsidRDefault="007025B6" w:rsidP="003472DA">
            <w:pPr>
              <w:spacing w:line="200" w:lineRule="exact"/>
              <w:jc w:val="both"/>
              <w:rPr>
                <w:rFonts w:eastAsia="Calibri"/>
                <w:b/>
                <w:bCs/>
                <w:sz w:val="16"/>
                <w:szCs w:val="16"/>
              </w:rPr>
            </w:pPr>
            <w:r>
              <w:rPr>
                <w:rFonts w:eastAsia="Calibri"/>
                <w:b/>
                <w:bCs/>
                <w:sz w:val="16"/>
                <w:szCs w:val="16"/>
              </w:rPr>
              <w:t>Nj</w:t>
            </w:r>
            <w:r w:rsidR="000A70F5">
              <w:rPr>
                <w:rFonts w:eastAsia="Calibri"/>
                <w:b/>
                <w:bCs/>
                <w:sz w:val="16"/>
                <w:szCs w:val="16"/>
              </w:rPr>
              <w:t>ë</w:t>
            </w:r>
            <w:r>
              <w:rPr>
                <w:rFonts w:eastAsia="Calibri"/>
                <w:b/>
                <w:bCs/>
                <w:sz w:val="16"/>
                <w:szCs w:val="16"/>
              </w:rPr>
              <w:t>sit</w:t>
            </w:r>
            <w:r w:rsidR="000A70F5">
              <w:rPr>
                <w:rFonts w:eastAsia="Calibri"/>
                <w:b/>
                <w:bCs/>
                <w:sz w:val="16"/>
                <w:szCs w:val="16"/>
              </w:rPr>
              <w:t>ë</w:t>
            </w:r>
            <w:r>
              <w:rPr>
                <w:rFonts w:eastAsia="Calibri"/>
                <w:b/>
                <w:bCs/>
                <w:sz w:val="16"/>
                <w:szCs w:val="16"/>
              </w:rPr>
              <w:t xml:space="preserve"> p</w:t>
            </w:r>
            <w:r w:rsidR="000A70F5">
              <w:rPr>
                <w:rFonts w:eastAsia="Calibri"/>
                <w:b/>
                <w:bCs/>
                <w:sz w:val="16"/>
                <w:szCs w:val="16"/>
              </w:rPr>
              <w:t>ë</w:t>
            </w:r>
            <w:r>
              <w:rPr>
                <w:rFonts w:eastAsia="Calibri"/>
                <w:b/>
                <w:bCs/>
                <w:sz w:val="16"/>
                <w:szCs w:val="16"/>
              </w:rPr>
              <w:t>rgjegj</w:t>
            </w:r>
            <w:r w:rsidR="000A70F5">
              <w:rPr>
                <w:rFonts w:eastAsia="Calibri"/>
                <w:b/>
                <w:bCs/>
                <w:sz w:val="16"/>
                <w:szCs w:val="16"/>
              </w:rPr>
              <w:t>ë</w:t>
            </w:r>
            <w:r>
              <w:rPr>
                <w:rFonts w:eastAsia="Calibri"/>
                <w:b/>
                <w:bCs/>
                <w:sz w:val="16"/>
                <w:szCs w:val="16"/>
              </w:rPr>
              <w:t>se</w:t>
            </w:r>
            <w:r w:rsidR="00B51989" w:rsidRPr="001F151E">
              <w:rPr>
                <w:rFonts w:eastAsia="Calibri"/>
                <w:b/>
                <w:bCs/>
                <w:sz w:val="16"/>
                <w:szCs w:val="16"/>
              </w:rPr>
              <w:t>:</w:t>
            </w:r>
          </w:p>
          <w:p w14:paraId="1A24587F" w14:textId="1A69B2B1" w:rsidR="00B51989" w:rsidRPr="001F151E" w:rsidRDefault="00EE1D6E" w:rsidP="003472DA">
            <w:pPr>
              <w:spacing w:line="200" w:lineRule="exact"/>
              <w:jc w:val="both"/>
              <w:rPr>
                <w:rFonts w:eastAsia="Calibri"/>
                <w:sz w:val="16"/>
                <w:szCs w:val="16"/>
              </w:rPr>
            </w:pPr>
            <w:r>
              <w:rPr>
                <w:rFonts w:eastAsia="Calibri"/>
                <w:sz w:val="16"/>
                <w:szCs w:val="16"/>
              </w:rPr>
              <w:t>DPP</w:t>
            </w:r>
            <w:r w:rsidR="00B51989" w:rsidRPr="001F151E">
              <w:rPr>
                <w:rFonts w:eastAsia="Calibri"/>
                <w:sz w:val="16"/>
                <w:szCs w:val="16"/>
              </w:rPr>
              <w:t>M</w:t>
            </w:r>
            <w:r>
              <w:rPr>
                <w:rFonts w:eastAsia="Calibri"/>
                <w:sz w:val="16"/>
                <w:szCs w:val="16"/>
              </w:rPr>
              <w:t xml:space="preserve"> (lider</w:t>
            </w:r>
            <w:r w:rsidR="00B51989" w:rsidRPr="001F151E">
              <w:rPr>
                <w:rFonts w:eastAsia="Calibri"/>
                <w:sz w:val="16"/>
                <w:szCs w:val="16"/>
              </w:rPr>
              <w:t>)</w:t>
            </w:r>
            <w:r w:rsidR="00B51989" w:rsidRPr="001F151E">
              <w:rPr>
                <w:rFonts w:eastAsia="Calibri" w:cs="Open Sans Light"/>
                <w:sz w:val="16"/>
                <w:szCs w:val="16"/>
                <w:vertAlign w:val="superscript"/>
              </w:rPr>
              <w:footnoteReference w:id="5"/>
            </w:r>
          </w:p>
          <w:p w14:paraId="7F63B21C" w14:textId="77777777" w:rsidR="00B51989" w:rsidRPr="001F151E" w:rsidRDefault="00B51989" w:rsidP="003472DA">
            <w:pPr>
              <w:spacing w:line="200" w:lineRule="exact"/>
              <w:jc w:val="both"/>
              <w:rPr>
                <w:rFonts w:eastAsia="Calibri"/>
                <w:b/>
                <w:bCs/>
                <w:sz w:val="8"/>
                <w:szCs w:val="8"/>
              </w:rPr>
            </w:pPr>
          </w:p>
          <w:p w14:paraId="2EB4E24B" w14:textId="5CA1D54E" w:rsidR="00B51989" w:rsidRPr="001F151E" w:rsidRDefault="00B51989" w:rsidP="003472DA">
            <w:pPr>
              <w:spacing w:line="200" w:lineRule="exact"/>
              <w:jc w:val="both"/>
              <w:rPr>
                <w:rFonts w:eastAsia="Calibri"/>
                <w:sz w:val="16"/>
                <w:szCs w:val="16"/>
              </w:rPr>
            </w:pPr>
            <w:r w:rsidRPr="001F151E">
              <w:rPr>
                <w:rFonts w:eastAsia="Calibri"/>
                <w:b/>
                <w:bCs/>
                <w:sz w:val="16"/>
                <w:szCs w:val="16"/>
              </w:rPr>
              <w:t>Part</w:t>
            </w:r>
            <w:r w:rsidR="007025B6">
              <w:rPr>
                <w:rFonts w:eastAsia="Calibri"/>
                <w:b/>
                <w:bCs/>
                <w:sz w:val="16"/>
                <w:szCs w:val="16"/>
              </w:rPr>
              <w:t>er</w:t>
            </w:r>
            <w:r w:rsidR="000A70F5">
              <w:rPr>
                <w:rFonts w:eastAsia="Calibri"/>
                <w:b/>
                <w:bCs/>
                <w:sz w:val="16"/>
                <w:szCs w:val="16"/>
              </w:rPr>
              <w:t>ë</w:t>
            </w:r>
            <w:r w:rsidR="007025B6">
              <w:rPr>
                <w:rFonts w:eastAsia="Calibri"/>
                <w:b/>
                <w:bCs/>
                <w:sz w:val="16"/>
                <w:szCs w:val="16"/>
              </w:rPr>
              <w:t>t</w:t>
            </w:r>
            <w:r w:rsidRPr="001F151E">
              <w:rPr>
                <w:rFonts w:eastAsia="Calibri"/>
                <w:b/>
                <w:bCs/>
                <w:sz w:val="16"/>
                <w:szCs w:val="16"/>
              </w:rPr>
              <w:t>:</w:t>
            </w:r>
            <w:r w:rsidRPr="001F151E">
              <w:rPr>
                <w:rFonts w:eastAsia="Calibri"/>
                <w:sz w:val="16"/>
                <w:szCs w:val="16"/>
              </w:rPr>
              <w:t xml:space="preserve"> </w:t>
            </w:r>
          </w:p>
          <w:p w14:paraId="6C5A367A" w14:textId="42F1129C" w:rsidR="00B51989" w:rsidRPr="001F151E" w:rsidRDefault="00EE1D6E" w:rsidP="003472DA">
            <w:pPr>
              <w:spacing w:line="200" w:lineRule="exact"/>
              <w:jc w:val="both"/>
              <w:rPr>
                <w:rFonts w:eastAsia="Calibri"/>
                <w:b/>
                <w:bCs/>
                <w:sz w:val="16"/>
                <w:szCs w:val="16"/>
              </w:rPr>
            </w:pPr>
            <w:r>
              <w:rPr>
                <w:rFonts w:eastAsia="Calibri"/>
                <w:sz w:val="16"/>
                <w:szCs w:val="16"/>
              </w:rPr>
              <w:t>FMN</w:t>
            </w:r>
          </w:p>
        </w:tc>
      </w:tr>
      <w:tr w:rsidR="00EA3152" w:rsidRPr="001F151E" w14:paraId="50B1267C" w14:textId="77777777" w:rsidTr="00F75C8C">
        <w:trPr>
          <w:cantSplit/>
          <w:trHeight w:val="20"/>
        </w:trPr>
        <w:tc>
          <w:tcPr>
            <w:tcW w:w="2035" w:type="dxa"/>
            <w:vMerge/>
            <w:shd w:val="clear" w:color="auto" w:fill="auto"/>
          </w:tcPr>
          <w:p w14:paraId="101A1D6E" w14:textId="77777777" w:rsidR="00B51989" w:rsidRPr="001F151E" w:rsidRDefault="00B51989" w:rsidP="003472DA">
            <w:pPr>
              <w:spacing w:line="200" w:lineRule="exact"/>
              <w:jc w:val="both"/>
              <w:rPr>
                <w:rFonts w:eastAsia="Calibri"/>
                <w:b/>
                <w:bCs/>
                <w:sz w:val="16"/>
                <w:szCs w:val="16"/>
              </w:rPr>
            </w:pPr>
          </w:p>
        </w:tc>
        <w:tc>
          <w:tcPr>
            <w:tcW w:w="3607" w:type="dxa"/>
            <w:vAlign w:val="center"/>
          </w:tcPr>
          <w:p w14:paraId="54E7AF5F" w14:textId="70CA2BF3" w:rsidR="00B51989" w:rsidRPr="001F151E" w:rsidRDefault="00EE1D6E" w:rsidP="00E24B2C">
            <w:pPr>
              <w:pStyle w:val="T-number"/>
            </w:pPr>
            <w:r>
              <w:t>Adresimi i vendeve t</w:t>
            </w:r>
            <w:r w:rsidR="000A70F5">
              <w:t>ë</w:t>
            </w:r>
            <w:r>
              <w:t xml:space="preserve"> lira t</w:t>
            </w:r>
            <w:r w:rsidR="000A70F5">
              <w:t>ë</w:t>
            </w:r>
            <w:r>
              <w:t xml:space="preserve"> pun</w:t>
            </w:r>
            <w:r w:rsidR="000A70F5">
              <w:t>ë</w:t>
            </w:r>
            <w:r>
              <w:t>s p</w:t>
            </w:r>
            <w:r w:rsidR="000A70F5">
              <w:t>ë</w:t>
            </w:r>
            <w:r>
              <w:t>r staf t</w:t>
            </w:r>
            <w:r w:rsidR="000A70F5">
              <w:t>ë</w:t>
            </w:r>
            <w:r>
              <w:t xml:space="preserve"> </w:t>
            </w:r>
            <w:r w:rsidR="00D868E6">
              <w:t>specializuar dhe zhvillimi dhe zbatimi i trajnimeve t</w:t>
            </w:r>
            <w:r w:rsidR="000A70F5">
              <w:t>ë</w:t>
            </w:r>
            <w:r w:rsidR="00D868E6">
              <w:t xml:space="preserve"> specializuara t</w:t>
            </w:r>
            <w:r w:rsidR="000A70F5">
              <w:t>ë</w:t>
            </w:r>
            <w:r w:rsidR="00D868E6">
              <w:t xml:space="preserve"> stafit t</w:t>
            </w:r>
            <w:r w:rsidR="000A70F5">
              <w:t>ë</w:t>
            </w:r>
            <w:r w:rsidR="00D868E6">
              <w:t xml:space="preserve"> DPPM.</w:t>
            </w:r>
            <w:r w:rsidR="00B51989" w:rsidRPr="001F151E">
              <w:t xml:space="preserve"> </w:t>
            </w:r>
          </w:p>
        </w:tc>
        <w:tc>
          <w:tcPr>
            <w:tcW w:w="796" w:type="dxa"/>
            <w:shd w:val="clear" w:color="auto" w:fill="auto"/>
            <w:vAlign w:val="center"/>
          </w:tcPr>
          <w:p w14:paraId="573FA202" w14:textId="7D4DA78C" w:rsidR="00B51989" w:rsidRPr="001F151E" w:rsidRDefault="00EE1D6E" w:rsidP="003472DA">
            <w:pPr>
              <w:spacing w:line="200" w:lineRule="exact"/>
              <w:jc w:val="both"/>
              <w:rPr>
                <w:rFonts w:eastAsia="Calibri"/>
                <w:sz w:val="16"/>
                <w:szCs w:val="16"/>
              </w:rPr>
            </w:pPr>
            <w:r>
              <w:rPr>
                <w:rFonts w:eastAsia="Calibri"/>
                <w:sz w:val="16"/>
                <w:szCs w:val="16"/>
              </w:rPr>
              <w:t>T</w:t>
            </w:r>
            <w:r w:rsidR="00B51989" w:rsidRPr="001F151E">
              <w:rPr>
                <w:rFonts w:eastAsia="Calibri"/>
                <w:sz w:val="16"/>
                <w:szCs w:val="16"/>
              </w:rPr>
              <w:t>4 2023</w:t>
            </w:r>
          </w:p>
        </w:tc>
        <w:tc>
          <w:tcPr>
            <w:tcW w:w="795" w:type="dxa"/>
            <w:vAlign w:val="center"/>
          </w:tcPr>
          <w:p w14:paraId="3F37000B" w14:textId="50376DA2" w:rsidR="00B51989" w:rsidRPr="001F151E" w:rsidRDefault="00EE1D6E" w:rsidP="003472DA">
            <w:pPr>
              <w:spacing w:line="200" w:lineRule="exact"/>
              <w:jc w:val="both"/>
              <w:rPr>
                <w:rFonts w:eastAsia="Calibri"/>
                <w:sz w:val="16"/>
                <w:szCs w:val="16"/>
              </w:rPr>
            </w:pPr>
            <w:r>
              <w:rPr>
                <w:rFonts w:eastAsia="Calibri"/>
                <w:sz w:val="16"/>
                <w:szCs w:val="16"/>
              </w:rPr>
              <w:t>T</w:t>
            </w:r>
            <w:r w:rsidR="00B51989" w:rsidRPr="001F151E">
              <w:rPr>
                <w:rFonts w:eastAsia="Calibri"/>
                <w:sz w:val="16"/>
                <w:szCs w:val="16"/>
              </w:rPr>
              <w:t>4 2026</w:t>
            </w:r>
          </w:p>
        </w:tc>
        <w:tc>
          <w:tcPr>
            <w:tcW w:w="1783" w:type="dxa"/>
            <w:vMerge/>
          </w:tcPr>
          <w:p w14:paraId="3C096D41" w14:textId="77777777" w:rsidR="00B51989" w:rsidRPr="001F151E" w:rsidRDefault="00B51989" w:rsidP="003472DA">
            <w:pPr>
              <w:spacing w:line="200" w:lineRule="exact"/>
              <w:jc w:val="both"/>
              <w:rPr>
                <w:rFonts w:eastAsia="Calibri"/>
                <w:b/>
                <w:bCs/>
                <w:sz w:val="16"/>
                <w:szCs w:val="16"/>
              </w:rPr>
            </w:pPr>
          </w:p>
        </w:tc>
      </w:tr>
      <w:tr w:rsidR="00EA3152" w:rsidRPr="001F151E" w14:paraId="436075CB" w14:textId="77777777" w:rsidTr="00F75C8C">
        <w:trPr>
          <w:cantSplit/>
          <w:trHeight w:val="13"/>
        </w:trPr>
        <w:tc>
          <w:tcPr>
            <w:tcW w:w="2035" w:type="dxa"/>
            <w:shd w:val="clear" w:color="auto" w:fill="auto"/>
          </w:tcPr>
          <w:p w14:paraId="18660A7C" w14:textId="77777777" w:rsidR="00E24B2C" w:rsidRPr="001F151E" w:rsidRDefault="00B51989" w:rsidP="003472DA">
            <w:pPr>
              <w:spacing w:line="200" w:lineRule="exact"/>
              <w:rPr>
                <w:rFonts w:eastAsia="Calibri"/>
                <w:b/>
                <w:bCs/>
                <w:sz w:val="16"/>
                <w:szCs w:val="16"/>
              </w:rPr>
            </w:pPr>
            <w:r w:rsidRPr="001F151E">
              <w:rPr>
                <w:rFonts w:eastAsia="Calibri"/>
                <w:b/>
                <w:bCs/>
                <w:sz w:val="16"/>
                <w:szCs w:val="16"/>
              </w:rPr>
              <w:t xml:space="preserve">Measure 1.1.2 </w:t>
            </w:r>
          </w:p>
          <w:p w14:paraId="371E5504" w14:textId="5ED506BC" w:rsidR="00B51989" w:rsidRPr="001F151E" w:rsidRDefault="00D868E6" w:rsidP="00E74613">
            <w:pPr>
              <w:spacing w:line="200" w:lineRule="exact"/>
              <w:rPr>
                <w:rFonts w:eastAsia="Calibri"/>
                <w:b/>
                <w:sz w:val="16"/>
                <w:szCs w:val="16"/>
              </w:rPr>
            </w:pPr>
            <w:r>
              <w:rPr>
                <w:rFonts w:eastAsia="Calibri"/>
                <w:b/>
                <w:bCs/>
                <w:sz w:val="16"/>
                <w:szCs w:val="16"/>
              </w:rPr>
              <w:t>Parashikim i matur dhe realist i t</w:t>
            </w:r>
            <w:r w:rsidR="000A70F5">
              <w:rPr>
                <w:rFonts w:eastAsia="Calibri"/>
                <w:b/>
                <w:bCs/>
                <w:sz w:val="16"/>
                <w:szCs w:val="16"/>
              </w:rPr>
              <w:t>ë</w:t>
            </w:r>
            <w:r>
              <w:rPr>
                <w:rFonts w:eastAsia="Calibri"/>
                <w:b/>
                <w:bCs/>
                <w:sz w:val="16"/>
                <w:szCs w:val="16"/>
              </w:rPr>
              <w:t xml:space="preserve"> ardhurave afatmesme n</w:t>
            </w:r>
            <w:r w:rsidR="000A70F5">
              <w:rPr>
                <w:rFonts w:eastAsia="Calibri"/>
                <w:b/>
                <w:bCs/>
                <w:sz w:val="16"/>
                <w:szCs w:val="16"/>
              </w:rPr>
              <w:t>ë</w:t>
            </w:r>
            <w:r>
              <w:rPr>
                <w:rFonts w:eastAsia="Calibri"/>
                <w:b/>
                <w:bCs/>
                <w:sz w:val="16"/>
                <w:szCs w:val="16"/>
              </w:rPr>
              <w:t xml:space="preserve"> p</w:t>
            </w:r>
            <w:r w:rsidR="000A70F5">
              <w:rPr>
                <w:rFonts w:eastAsia="Calibri"/>
                <w:b/>
                <w:bCs/>
                <w:sz w:val="16"/>
                <w:szCs w:val="16"/>
              </w:rPr>
              <w:t>ë</w:t>
            </w:r>
            <w:r>
              <w:rPr>
                <w:rFonts w:eastAsia="Calibri"/>
                <w:b/>
                <w:bCs/>
                <w:sz w:val="16"/>
                <w:szCs w:val="16"/>
              </w:rPr>
              <w:t>rputhje me parashikuesit e pavarur dhe nd</w:t>
            </w:r>
            <w:r w:rsidR="000A70F5">
              <w:rPr>
                <w:rFonts w:eastAsia="Calibri"/>
                <w:b/>
                <w:bCs/>
                <w:sz w:val="16"/>
                <w:szCs w:val="16"/>
              </w:rPr>
              <w:t>ë</w:t>
            </w:r>
            <w:r>
              <w:rPr>
                <w:rFonts w:eastAsia="Calibri"/>
                <w:b/>
                <w:bCs/>
                <w:sz w:val="16"/>
                <w:szCs w:val="16"/>
              </w:rPr>
              <w:t>rkomb</w:t>
            </w:r>
            <w:r w:rsidR="000A70F5">
              <w:rPr>
                <w:rFonts w:eastAsia="Calibri"/>
                <w:b/>
                <w:bCs/>
                <w:sz w:val="16"/>
                <w:szCs w:val="16"/>
              </w:rPr>
              <w:t>ë</w:t>
            </w:r>
            <w:r>
              <w:rPr>
                <w:rFonts w:eastAsia="Calibri"/>
                <w:b/>
                <w:bCs/>
                <w:sz w:val="16"/>
                <w:szCs w:val="16"/>
              </w:rPr>
              <w:t>tar</w:t>
            </w:r>
            <w:r w:rsidR="000A70F5">
              <w:rPr>
                <w:rFonts w:eastAsia="Calibri"/>
                <w:b/>
                <w:bCs/>
                <w:sz w:val="16"/>
                <w:szCs w:val="16"/>
              </w:rPr>
              <w:t>ë</w:t>
            </w:r>
          </w:p>
        </w:tc>
        <w:tc>
          <w:tcPr>
            <w:tcW w:w="3607" w:type="dxa"/>
          </w:tcPr>
          <w:p w14:paraId="21B0387F" w14:textId="0CB88AAB" w:rsidR="00B51989" w:rsidRPr="001F151E" w:rsidRDefault="00D868E6" w:rsidP="00CD7428">
            <w:pPr>
              <w:pStyle w:val="T-number"/>
              <w:numPr>
                <w:ilvl w:val="0"/>
                <w:numId w:val="84"/>
              </w:numPr>
            </w:pPr>
            <w:r>
              <w:t>Krahasimi dhe shpalosja e vazhdueshme e projeksioneve t</w:t>
            </w:r>
            <w:r w:rsidR="000A70F5">
              <w:t>ë</w:t>
            </w:r>
            <w:r>
              <w:t xml:space="preserve"> t</w:t>
            </w:r>
            <w:r w:rsidR="000A70F5">
              <w:t>ë</w:t>
            </w:r>
            <w:r>
              <w:t xml:space="preserve"> ardhurave afatmesme t</w:t>
            </w:r>
            <w:r w:rsidR="000A70F5">
              <w:t>ë</w:t>
            </w:r>
            <w:r>
              <w:t xml:space="preserve"> MF-s</w:t>
            </w:r>
            <w:r w:rsidR="000A70F5">
              <w:t>ë</w:t>
            </w:r>
            <w:r>
              <w:t xml:space="preserve"> me parashikuesit e pavarur dhe nd</w:t>
            </w:r>
            <w:r w:rsidR="000A70F5">
              <w:t>ë</w:t>
            </w:r>
            <w:r>
              <w:t>rkomb</w:t>
            </w:r>
            <w:r w:rsidR="000A70F5">
              <w:t>ë</w:t>
            </w:r>
            <w:r>
              <w:t>tar</w:t>
            </w:r>
            <w:r w:rsidR="000A70F5">
              <w:t>ë</w:t>
            </w:r>
            <w:r w:rsidR="009C38C0">
              <w:t xml:space="preserve">. </w:t>
            </w:r>
            <w:r>
              <w:t xml:space="preserve"> </w:t>
            </w:r>
            <w:r w:rsidR="009C38C0">
              <w:t>Kjo analiz</w:t>
            </w:r>
            <w:r w:rsidR="000A70F5">
              <w:t>ë</w:t>
            </w:r>
            <w:r w:rsidR="009C38C0">
              <w:t xml:space="preserve"> krahasuese do t</w:t>
            </w:r>
            <w:r w:rsidR="000A70F5">
              <w:t>ë</w:t>
            </w:r>
            <w:r w:rsidR="009C38C0">
              <w:t xml:space="preserve"> shp</w:t>
            </w:r>
            <w:r w:rsidR="000A70F5">
              <w:t>ë</w:t>
            </w:r>
            <w:r w:rsidR="009C38C0">
              <w:t>rndahet p</w:t>
            </w:r>
            <w:r w:rsidR="000A70F5">
              <w:t>ë</w:t>
            </w:r>
            <w:r w:rsidR="009C38C0">
              <w:t>rmes: “Kuadrit Makroekonomik dhe Fiskal” &amp; “Programit t</w:t>
            </w:r>
            <w:r w:rsidR="000A70F5">
              <w:t>ë</w:t>
            </w:r>
            <w:r w:rsidR="009C38C0">
              <w:t xml:space="preserve"> Reformave Ekonomike”.</w:t>
            </w:r>
          </w:p>
        </w:tc>
        <w:tc>
          <w:tcPr>
            <w:tcW w:w="796" w:type="dxa"/>
            <w:vAlign w:val="center"/>
          </w:tcPr>
          <w:p w14:paraId="007422E7" w14:textId="3E781918" w:rsidR="00B51989" w:rsidRPr="001F151E" w:rsidRDefault="00D868E6" w:rsidP="003472DA">
            <w:pPr>
              <w:spacing w:line="200" w:lineRule="exact"/>
              <w:jc w:val="both"/>
              <w:rPr>
                <w:rFonts w:eastAsia="Calibri"/>
                <w:sz w:val="16"/>
                <w:szCs w:val="16"/>
              </w:rPr>
            </w:pPr>
            <w:r>
              <w:rPr>
                <w:rFonts w:eastAsia="Calibri"/>
                <w:sz w:val="16"/>
                <w:szCs w:val="16"/>
              </w:rPr>
              <w:t>T</w:t>
            </w:r>
            <w:r w:rsidR="00B51989" w:rsidRPr="001F151E">
              <w:rPr>
                <w:rFonts w:eastAsia="Calibri"/>
                <w:sz w:val="16"/>
                <w:szCs w:val="16"/>
              </w:rPr>
              <w:t>1 2025</w:t>
            </w:r>
          </w:p>
        </w:tc>
        <w:tc>
          <w:tcPr>
            <w:tcW w:w="795" w:type="dxa"/>
            <w:vAlign w:val="center"/>
          </w:tcPr>
          <w:p w14:paraId="026BA554" w14:textId="408E7630" w:rsidR="00B51989" w:rsidRPr="001F151E" w:rsidRDefault="00D868E6" w:rsidP="003472DA">
            <w:pPr>
              <w:spacing w:line="200" w:lineRule="exact"/>
              <w:jc w:val="both"/>
              <w:rPr>
                <w:rFonts w:eastAsia="Calibri"/>
                <w:sz w:val="16"/>
                <w:szCs w:val="16"/>
              </w:rPr>
            </w:pPr>
            <w:r>
              <w:rPr>
                <w:rFonts w:eastAsia="Calibri"/>
                <w:sz w:val="16"/>
                <w:szCs w:val="16"/>
              </w:rPr>
              <w:t>T</w:t>
            </w:r>
            <w:r w:rsidR="00B51989" w:rsidRPr="001F151E">
              <w:rPr>
                <w:rFonts w:eastAsia="Calibri"/>
                <w:sz w:val="16"/>
                <w:szCs w:val="16"/>
              </w:rPr>
              <w:t>4 2026</w:t>
            </w:r>
          </w:p>
        </w:tc>
        <w:tc>
          <w:tcPr>
            <w:tcW w:w="1783" w:type="dxa"/>
          </w:tcPr>
          <w:p w14:paraId="76B23DD6" w14:textId="76274228" w:rsidR="00B51989" w:rsidRPr="001F151E" w:rsidRDefault="00D868E6" w:rsidP="003472DA">
            <w:pPr>
              <w:spacing w:line="200" w:lineRule="exact"/>
              <w:jc w:val="both"/>
              <w:rPr>
                <w:rFonts w:eastAsia="Calibri"/>
                <w:b/>
                <w:bCs/>
                <w:sz w:val="16"/>
                <w:szCs w:val="16"/>
              </w:rPr>
            </w:pPr>
            <w:r>
              <w:rPr>
                <w:rFonts w:eastAsia="Calibri"/>
                <w:b/>
                <w:bCs/>
                <w:sz w:val="16"/>
                <w:szCs w:val="16"/>
              </w:rPr>
              <w:t>Nj</w:t>
            </w:r>
            <w:r w:rsidR="000A70F5">
              <w:rPr>
                <w:rFonts w:eastAsia="Calibri"/>
                <w:b/>
                <w:bCs/>
                <w:sz w:val="16"/>
                <w:szCs w:val="16"/>
              </w:rPr>
              <w:t>ë</w:t>
            </w:r>
            <w:r>
              <w:rPr>
                <w:rFonts w:eastAsia="Calibri"/>
                <w:b/>
                <w:bCs/>
                <w:sz w:val="16"/>
                <w:szCs w:val="16"/>
              </w:rPr>
              <w:t>sit</w:t>
            </w:r>
            <w:r w:rsidR="000A70F5">
              <w:rPr>
                <w:rFonts w:eastAsia="Calibri"/>
                <w:b/>
                <w:bCs/>
                <w:sz w:val="16"/>
                <w:szCs w:val="16"/>
              </w:rPr>
              <w:t>ë</w:t>
            </w:r>
            <w:r>
              <w:rPr>
                <w:rFonts w:eastAsia="Calibri"/>
                <w:b/>
                <w:bCs/>
                <w:sz w:val="16"/>
                <w:szCs w:val="16"/>
              </w:rPr>
              <w:t xml:space="preserve"> p</w:t>
            </w:r>
            <w:r w:rsidR="000A70F5">
              <w:rPr>
                <w:rFonts w:eastAsia="Calibri"/>
                <w:b/>
                <w:bCs/>
                <w:sz w:val="16"/>
                <w:szCs w:val="16"/>
              </w:rPr>
              <w:t>ë</w:t>
            </w:r>
            <w:r>
              <w:rPr>
                <w:rFonts w:eastAsia="Calibri"/>
                <w:b/>
                <w:bCs/>
                <w:sz w:val="16"/>
                <w:szCs w:val="16"/>
              </w:rPr>
              <w:t>rgjegj</w:t>
            </w:r>
            <w:r w:rsidR="000A70F5">
              <w:rPr>
                <w:rFonts w:eastAsia="Calibri"/>
                <w:b/>
                <w:bCs/>
                <w:sz w:val="16"/>
                <w:szCs w:val="16"/>
              </w:rPr>
              <w:t>ë</w:t>
            </w:r>
            <w:r>
              <w:rPr>
                <w:rFonts w:eastAsia="Calibri"/>
                <w:b/>
                <w:bCs/>
                <w:sz w:val="16"/>
                <w:szCs w:val="16"/>
              </w:rPr>
              <w:t>se</w:t>
            </w:r>
            <w:r w:rsidR="00B51989" w:rsidRPr="001F151E">
              <w:rPr>
                <w:rFonts w:eastAsia="Calibri"/>
                <w:b/>
                <w:bCs/>
                <w:sz w:val="16"/>
                <w:szCs w:val="16"/>
              </w:rPr>
              <w:t xml:space="preserve">: </w:t>
            </w:r>
          </w:p>
          <w:p w14:paraId="2EFB3A88" w14:textId="23A44596" w:rsidR="00B51989" w:rsidRPr="001F151E" w:rsidRDefault="00B51989" w:rsidP="003472DA">
            <w:pPr>
              <w:spacing w:line="200" w:lineRule="exact"/>
              <w:jc w:val="both"/>
              <w:rPr>
                <w:rFonts w:eastAsia="Calibri"/>
                <w:sz w:val="16"/>
                <w:szCs w:val="16"/>
              </w:rPr>
            </w:pPr>
            <w:r w:rsidRPr="001F151E">
              <w:rPr>
                <w:rFonts w:eastAsia="Calibri"/>
                <w:sz w:val="16"/>
                <w:szCs w:val="16"/>
              </w:rPr>
              <w:t>D</w:t>
            </w:r>
            <w:r w:rsidR="00D868E6">
              <w:rPr>
                <w:rFonts w:eastAsia="Calibri"/>
                <w:sz w:val="16"/>
                <w:szCs w:val="16"/>
              </w:rPr>
              <w:t>PPM (li</w:t>
            </w:r>
            <w:r w:rsidRPr="001F151E">
              <w:rPr>
                <w:rFonts w:eastAsia="Calibri"/>
                <w:sz w:val="16"/>
                <w:szCs w:val="16"/>
              </w:rPr>
              <w:t>d</w:t>
            </w:r>
            <w:r w:rsidR="00D868E6">
              <w:rPr>
                <w:rFonts w:eastAsia="Calibri"/>
                <w:sz w:val="16"/>
                <w:szCs w:val="16"/>
              </w:rPr>
              <w:t>er</w:t>
            </w:r>
            <w:r w:rsidRPr="001F151E">
              <w:rPr>
                <w:rFonts w:eastAsia="Calibri"/>
                <w:sz w:val="16"/>
                <w:szCs w:val="16"/>
              </w:rPr>
              <w:t>)</w:t>
            </w:r>
          </w:p>
          <w:p w14:paraId="77014167" w14:textId="77777777" w:rsidR="00B51989" w:rsidRPr="001F151E" w:rsidRDefault="00B51989" w:rsidP="003472DA">
            <w:pPr>
              <w:spacing w:line="200" w:lineRule="exact"/>
              <w:jc w:val="both"/>
              <w:rPr>
                <w:rFonts w:eastAsia="Calibri"/>
                <w:b/>
                <w:bCs/>
                <w:sz w:val="8"/>
                <w:szCs w:val="8"/>
              </w:rPr>
            </w:pPr>
          </w:p>
          <w:p w14:paraId="06370FFF" w14:textId="42B48602" w:rsidR="00B51989" w:rsidRPr="001F151E" w:rsidRDefault="00B51989" w:rsidP="003472DA">
            <w:pPr>
              <w:spacing w:line="200" w:lineRule="exact"/>
              <w:jc w:val="both"/>
              <w:rPr>
                <w:rFonts w:eastAsia="Calibri"/>
                <w:b/>
                <w:bCs/>
                <w:sz w:val="16"/>
                <w:szCs w:val="16"/>
              </w:rPr>
            </w:pPr>
            <w:r w:rsidRPr="001F151E">
              <w:rPr>
                <w:rFonts w:eastAsia="Calibri"/>
                <w:b/>
                <w:bCs/>
                <w:sz w:val="16"/>
                <w:szCs w:val="16"/>
              </w:rPr>
              <w:t>Partner</w:t>
            </w:r>
            <w:r w:rsidR="000A70F5">
              <w:rPr>
                <w:rFonts w:eastAsia="Calibri"/>
                <w:b/>
                <w:bCs/>
                <w:sz w:val="16"/>
                <w:szCs w:val="16"/>
              </w:rPr>
              <w:t>ë</w:t>
            </w:r>
            <w:r w:rsidR="00D868E6">
              <w:rPr>
                <w:rFonts w:eastAsia="Calibri"/>
                <w:b/>
                <w:bCs/>
                <w:sz w:val="16"/>
                <w:szCs w:val="16"/>
              </w:rPr>
              <w:t>t</w:t>
            </w:r>
            <w:r w:rsidRPr="001F151E">
              <w:rPr>
                <w:rFonts w:eastAsia="Calibri"/>
                <w:b/>
                <w:bCs/>
                <w:sz w:val="16"/>
                <w:szCs w:val="16"/>
              </w:rPr>
              <w:t>:</w:t>
            </w:r>
          </w:p>
          <w:p w14:paraId="096D5B9E" w14:textId="5F7C3209" w:rsidR="00B51989" w:rsidRPr="001F151E" w:rsidRDefault="00D868E6" w:rsidP="003472DA">
            <w:pPr>
              <w:spacing w:line="200" w:lineRule="exact"/>
              <w:jc w:val="both"/>
              <w:rPr>
                <w:rFonts w:eastAsia="Calibri"/>
                <w:sz w:val="16"/>
                <w:szCs w:val="16"/>
              </w:rPr>
            </w:pPr>
            <w:r>
              <w:rPr>
                <w:rFonts w:eastAsia="Calibri"/>
                <w:sz w:val="16"/>
                <w:szCs w:val="16"/>
              </w:rPr>
              <w:t>FMN</w:t>
            </w:r>
          </w:p>
        </w:tc>
      </w:tr>
      <w:tr w:rsidR="00EA3152" w:rsidRPr="001F151E" w14:paraId="0FDA76CB" w14:textId="77777777" w:rsidTr="00F75C8C">
        <w:trPr>
          <w:cantSplit/>
          <w:trHeight w:val="420"/>
        </w:trPr>
        <w:tc>
          <w:tcPr>
            <w:tcW w:w="2035" w:type="dxa"/>
            <w:vMerge w:val="restart"/>
            <w:shd w:val="clear" w:color="auto" w:fill="auto"/>
          </w:tcPr>
          <w:p w14:paraId="6693CBD4" w14:textId="1CC1DB24" w:rsidR="00B51989" w:rsidRPr="001F151E" w:rsidRDefault="00B51989" w:rsidP="009C38C0">
            <w:pPr>
              <w:spacing w:line="200" w:lineRule="exact"/>
              <w:rPr>
                <w:rFonts w:eastAsia="Calibri"/>
                <w:b/>
                <w:bCs/>
                <w:sz w:val="16"/>
                <w:szCs w:val="16"/>
              </w:rPr>
            </w:pPr>
            <w:r w:rsidRPr="001F151E">
              <w:rPr>
                <w:rFonts w:eastAsia="Calibri"/>
                <w:b/>
                <w:bCs/>
                <w:sz w:val="16"/>
                <w:szCs w:val="16"/>
              </w:rPr>
              <w:lastRenderedPageBreak/>
              <w:t>M</w:t>
            </w:r>
            <w:r w:rsidR="00D868E6">
              <w:rPr>
                <w:rFonts w:eastAsia="Calibri"/>
                <w:b/>
                <w:bCs/>
                <w:sz w:val="16"/>
                <w:szCs w:val="16"/>
              </w:rPr>
              <w:t>asa</w:t>
            </w:r>
            <w:r w:rsidRPr="001F151E">
              <w:rPr>
                <w:rFonts w:eastAsia="Calibri"/>
                <w:b/>
                <w:bCs/>
                <w:sz w:val="16"/>
                <w:szCs w:val="16"/>
              </w:rPr>
              <w:t xml:space="preserve"> 1.1.3 </w:t>
            </w:r>
            <w:r w:rsidR="009C38C0">
              <w:rPr>
                <w:rFonts w:eastAsia="Calibri"/>
                <w:b/>
                <w:bCs/>
                <w:sz w:val="16"/>
                <w:szCs w:val="16"/>
              </w:rPr>
              <w:t>Ruajtja e financave publike t</w:t>
            </w:r>
            <w:r w:rsidR="000A70F5">
              <w:rPr>
                <w:rFonts w:eastAsia="Calibri"/>
                <w:b/>
                <w:bCs/>
                <w:sz w:val="16"/>
                <w:szCs w:val="16"/>
              </w:rPr>
              <w:t>ë</w:t>
            </w:r>
            <w:r w:rsidR="009C38C0">
              <w:rPr>
                <w:rFonts w:eastAsia="Calibri"/>
                <w:b/>
                <w:bCs/>
                <w:sz w:val="16"/>
                <w:szCs w:val="16"/>
              </w:rPr>
              <w:t xml:space="preserve"> sh</w:t>
            </w:r>
            <w:r w:rsidR="000A70F5">
              <w:rPr>
                <w:rFonts w:eastAsia="Calibri"/>
                <w:b/>
                <w:bCs/>
                <w:sz w:val="16"/>
                <w:szCs w:val="16"/>
              </w:rPr>
              <w:t>ë</w:t>
            </w:r>
            <w:r w:rsidR="009C38C0">
              <w:rPr>
                <w:rFonts w:eastAsia="Calibri"/>
                <w:b/>
                <w:bCs/>
                <w:sz w:val="16"/>
                <w:szCs w:val="16"/>
              </w:rPr>
              <w:t>ndosha p</w:t>
            </w:r>
            <w:r w:rsidR="000A70F5">
              <w:rPr>
                <w:rFonts w:eastAsia="Calibri"/>
                <w:b/>
                <w:bCs/>
                <w:sz w:val="16"/>
                <w:szCs w:val="16"/>
              </w:rPr>
              <w:t>ë</w:t>
            </w:r>
            <w:r w:rsidR="009C38C0">
              <w:rPr>
                <w:rFonts w:eastAsia="Calibri"/>
                <w:b/>
                <w:bCs/>
                <w:sz w:val="16"/>
                <w:szCs w:val="16"/>
              </w:rPr>
              <w:t>rmes pajtueshm</w:t>
            </w:r>
            <w:r w:rsidR="000A70F5">
              <w:rPr>
                <w:rFonts w:eastAsia="Calibri"/>
                <w:b/>
                <w:bCs/>
                <w:sz w:val="16"/>
                <w:szCs w:val="16"/>
              </w:rPr>
              <w:t>ë</w:t>
            </w:r>
            <w:r w:rsidR="009C38C0">
              <w:rPr>
                <w:rFonts w:eastAsia="Calibri"/>
                <w:b/>
                <w:bCs/>
                <w:sz w:val="16"/>
                <w:szCs w:val="16"/>
              </w:rPr>
              <w:t>ris</w:t>
            </w:r>
            <w:r w:rsidR="000A70F5">
              <w:rPr>
                <w:rFonts w:eastAsia="Calibri"/>
                <w:b/>
                <w:bCs/>
                <w:sz w:val="16"/>
                <w:szCs w:val="16"/>
              </w:rPr>
              <w:t>ë</w:t>
            </w:r>
            <w:r w:rsidR="009C38C0">
              <w:rPr>
                <w:rFonts w:eastAsia="Calibri"/>
                <w:b/>
                <w:bCs/>
                <w:sz w:val="16"/>
                <w:szCs w:val="16"/>
              </w:rPr>
              <w:t xml:space="preserve"> s</w:t>
            </w:r>
            <w:r w:rsidR="000A70F5">
              <w:rPr>
                <w:rFonts w:eastAsia="Calibri"/>
                <w:b/>
                <w:bCs/>
                <w:sz w:val="16"/>
                <w:szCs w:val="16"/>
              </w:rPr>
              <w:t>ë</w:t>
            </w:r>
            <w:r w:rsidR="009C38C0">
              <w:rPr>
                <w:rFonts w:eastAsia="Calibri"/>
                <w:b/>
                <w:bCs/>
                <w:sz w:val="16"/>
                <w:szCs w:val="16"/>
              </w:rPr>
              <w:t xml:space="preserve"> p</w:t>
            </w:r>
            <w:r w:rsidR="000A70F5">
              <w:rPr>
                <w:rFonts w:eastAsia="Calibri"/>
                <w:b/>
                <w:bCs/>
                <w:sz w:val="16"/>
                <w:szCs w:val="16"/>
              </w:rPr>
              <w:t>ë</w:t>
            </w:r>
            <w:r w:rsidR="009C38C0">
              <w:rPr>
                <w:rFonts w:eastAsia="Calibri"/>
                <w:b/>
                <w:bCs/>
                <w:sz w:val="16"/>
                <w:szCs w:val="16"/>
              </w:rPr>
              <w:t xml:space="preserve">rhershme me Rregullat Fiskale </w:t>
            </w:r>
          </w:p>
        </w:tc>
        <w:tc>
          <w:tcPr>
            <w:tcW w:w="3607" w:type="dxa"/>
          </w:tcPr>
          <w:p w14:paraId="4EFF711C" w14:textId="56098704" w:rsidR="00B51989" w:rsidRPr="009D660E" w:rsidRDefault="00360312" w:rsidP="00CD7428">
            <w:pPr>
              <w:pStyle w:val="T-number"/>
              <w:numPr>
                <w:ilvl w:val="0"/>
                <w:numId w:val="83"/>
              </w:numPr>
              <w:rPr>
                <w:rFonts w:eastAsia="Calibri"/>
                <w:lang w:val="it-IT"/>
              </w:rPr>
            </w:pPr>
            <w:r w:rsidRPr="009D660E">
              <w:rPr>
                <w:rFonts w:eastAsia="Calibri"/>
                <w:lang w:val="it-IT"/>
              </w:rPr>
              <w:t>Garantimi i pajtueshm</w:t>
            </w:r>
            <w:r w:rsidR="000A70F5" w:rsidRPr="009D660E">
              <w:rPr>
                <w:rFonts w:eastAsia="Calibri"/>
                <w:lang w:val="it-IT"/>
              </w:rPr>
              <w:t>ë</w:t>
            </w:r>
            <w:r w:rsidRPr="009D660E">
              <w:rPr>
                <w:rFonts w:eastAsia="Calibri"/>
                <w:lang w:val="it-IT"/>
              </w:rPr>
              <w:t>ris</w:t>
            </w:r>
            <w:r w:rsidR="000A70F5" w:rsidRPr="009D660E">
              <w:rPr>
                <w:rFonts w:eastAsia="Calibri"/>
                <w:lang w:val="it-IT"/>
              </w:rPr>
              <w:t>ë</w:t>
            </w:r>
            <w:r w:rsidRPr="009D660E">
              <w:rPr>
                <w:rFonts w:eastAsia="Calibri"/>
                <w:lang w:val="it-IT"/>
              </w:rPr>
              <w:t xml:space="preserve"> strikte me rregullat fiskale t</w:t>
            </w:r>
            <w:r w:rsidR="000A70F5" w:rsidRPr="009D660E">
              <w:rPr>
                <w:rFonts w:eastAsia="Calibri"/>
                <w:lang w:val="it-IT"/>
              </w:rPr>
              <w:t>ë</w:t>
            </w:r>
            <w:r w:rsidRPr="009D660E">
              <w:rPr>
                <w:rFonts w:eastAsia="Calibri"/>
                <w:lang w:val="it-IT"/>
              </w:rPr>
              <w:t xml:space="preserve"> mandatuara me ligj. </w:t>
            </w:r>
            <w:r w:rsidR="00265453" w:rsidRPr="009D660E">
              <w:rPr>
                <w:rFonts w:eastAsia="Calibri"/>
                <w:lang w:val="it-IT"/>
              </w:rPr>
              <w:t>Ky angazhim n</w:t>
            </w:r>
            <w:r w:rsidR="000A70F5" w:rsidRPr="009D660E">
              <w:rPr>
                <w:rFonts w:eastAsia="Calibri"/>
                <w:lang w:val="it-IT"/>
              </w:rPr>
              <w:t>ë</w:t>
            </w:r>
            <w:r w:rsidR="00265453" w:rsidRPr="009D660E">
              <w:rPr>
                <w:rFonts w:eastAsia="Calibri"/>
                <w:lang w:val="it-IT"/>
              </w:rPr>
              <w:t>nvizon p</w:t>
            </w:r>
            <w:r w:rsidR="000A70F5" w:rsidRPr="009D660E">
              <w:rPr>
                <w:rFonts w:eastAsia="Calibri"/>
                <w:lang w:val="it-IT"/>
              </w:rPr>
              <w:t>ë</w:t>
            </w:r>
            <w:r w:rsidR="00265453" w:rsidRPr="009D660E">
              <w:rPr>
                <w:rFonts w:eastAsia="Calibri"/>
                <w:lang w:val="it-IT"/>
              </w:rPr>
              <w:t>rkushtimin ndaj respektimit t</w:t>
            </w:r>
            <w:r w:rsidR="000A70F5" w:rsidRPr="009D660E">
              <w:rPr>
                <w:rFonts w:eastAsia="Calibri"/>
                <w:lang w:val="it-IT"/>
              </w:rPr>
              <w:t>ë</w:t>
            </w:r>
            <w:r w:rsidR="00265453" w:rsidRPr="009D660E">
              <w:rPr>
                <w:rFonts w:eastAsia="Calibri"/>
                <w:lang w:val="it-IT"/>
              </w:rPr>
              <w:t xml:space="preserve"> rregulloreve fiskale t</w:t>
            </w:r>
            <w:r w:rsidR="000A70F5" w:rsidRPr="009D660E">
              <w:rPr>
                <w:rFonts w:eastAsia="Calibri"/>
                <w:lang w:val="it-IT"/>
              </w:rPr>
              <w:t>ë</w:t>
            </w:r>
            <w:r w:rsidR="00265453" w:rsidRPr="009D660E">
              <w:rPr>
                <w:rFonts w:eastAsia="Calibri"/>
                <w:lang w:val="it-IT"/>
              </w:rPr>
              <w:t xml:space="preserve"> vendosura, nxitjes s</w:t>
            </w:r>
            <w:r w:rsidR="000A70F5" w:rsidRPr="009D660E">
              <w:rPr>
                <w:rFonts w:eastAsia="Calibri"/>
                <w:lang w:val="it-IT"/>
              </w:rPr>
              <w:t>ë</w:t>
            </w:r>
            <w:r w:rsidR="00265453" w:rsidRPr="009D660E">
              <w:rPr>
                <w:rFonts w:eastAsia="Calibri"/>
                <w:lang w:val="it-IT"/>
              </w:rPr>
              <w:t xml:space="preserve"> nj</w:t>
            </w:r>
            <w:r w:rsidR="000A70F5" w:rsidRPr="009D660E">
              <w:rPr>
                <w:rFonts w:eastAsia="Calibri"/>
                <w:lang w:val="it-IT"/>
              </w:rPr>
              <w:t>ë</w:t>
            </w:r>
            <w:r w:rsidR="00A0133F" w:rsidRPr="009D660E">
              <w:rPr>
                <w:rFonts w:eastAsia="Calibri"/>
                <w:lang w:val="it-IT"/>
              </w:rPr>
              <w:t xml:space="preserve"> kuadri fiskal elastik</w:t>
            </w:r>
            <w:r w:rsidR="00265453" w:rsidRPr="009D660E">
              <w:rPr>
                <w:rFonts w:eastAsia="Calibri"/>
                <w:lang w:val="it-IT"/>
              </w:rPr>
              <w:t xml:space="preserve"> dhe forcimit t</w:t>
            </w:r>
            <w:r w:rsidR="000A70F5" w:rsidRPr="009D660E">
              <w:rPr>
                <w:rFonts w:eastAsia="Calibri"/>
                <w:lang w:val="it-IT"/>
              </w:rPr>
              <w:t>ë</w:t>
            </w:r>
            <w:r w:rsidR="00265453" w:rsidRPr="009D660E">
              <w:rPr>
                <w:rFonts w:eastAsia="Calibri"/>
                <w:lang w:val="it-IT"/>
              </w:rPr>
              <w:t xml:space="preserve"> stabilitetit dhe llogaridh</w:t>
            </w:r>
            <w:r w:rsidR="000A70F5" w:rsidRPr="009D660E">
              <w:rPr>
                <w:rFonts w:eastAsia="Calibri"/>
                <w:lang w:val="it-IT"/>
              </w:rPr>
              <w:t>ë</w:t>
            </w:r>
            <w:r w:rsidR="00265453" w:rsidRPr="009D660E">
              <w:rPr>
                <w:rFonts w:eastAsia="Calibri"/>
                <w:lang w:val="it-IT"/>
              </w:rPr>
              <w:t>nies s</w:t>
            </w:r>
            <w:r w:rsidR="000A70F5" w:rsidRPr="009D660E">
              <w:rPr>
                <w:rFonts w:eastAsia="Calibri"/>
                <w:lang w:val="it-IT"/>
              </w:rPr>
              <w:t>ë</w:t>
            </w:r>
            <w:r w:rsidR="00265453" w:rsidRPr="009D660E">
              <w:rPr>
                <w:rFonts w:eastAsia="Calibri"/>
                <w:lang w:val="it-IT"/>
              </w:rPr>
              <w:t xml:space="preserve"> financave publike. </w:t>
            </w:r>
          </w:p>
        </w:tc>
        <w:tc>
          <w:tcPr>
            <w:tcW w:w="796" w:type="dxa"/>
            <w:vAlign w:val="center"/>
          </w:tcPr>
          <w:p w14:paraId="38A32AFF" w14:textId="0FE5E21F" w:rsidR="00B51989" w:rsidRPr="001F151E" w:rsidRDefault="00265453" w:rsidP="003472DA">
            <w:pPr>
              <w:spacing w:line="200" w:lineRule="exact"/>
              <w:jc w:val="both"/>
              <w:rPr>
                <w:rFonts w:eastAsia="Calibri"/>
                <w:sz w:val="16"/>
                <w:szCs w:val="16"/>
              </w:rPr>
            </w:pPr>
            <w:r>
              <w:rPr>
                <w:rFonts w:eastAsia="Calibri"/>
                <w:sz w:val="16"/>
                <w:szCs w:val="16"/>
              </w:rPr>
              <w:t>T</w:t>
            </w:r>
            <w:r w:rsidR="00B51989" w:rsidRPr="001F151E">
              <w:rPr>
                <w:rFonts w:eastAsia="Calibri"/>
                <w:sz w:val="16"/>
                <w:szCs w:val="16"/>
              </w:rPr>
              <w:t>1 2023</w:t>
            </w:r>
          </w:p>
        </w:tc>
        <w:tc>
          <w:tcPr>
            <w:tcW w:w="795" w:type="dxa"/>
            <w:vAlign w:val="center"/>
          </w:tcPr>
          <w:p w14:paraId="66B53AB9" w14:textId="54BC0FE2" w:rsidR="00B51989" w:rsidRPr="001F151E" w:rsidRDefault="00265453" w:rsidP="003472DA">
            <w:pPr>
              <w:spacing w:line="200" w:lineRule="exact"/>
              <w:jc w:val="both"/>
              <w:rPr>
                <w:rFonts w:eastAsia="Calibri"/>
                <w:sz w:val="16"/>
                <w:szCs w:val="16"/>
              </w:rPr>
            </w:pPr>
            <w:r>
              <w:rPr>
                <w:rFonts w:eastAsia="Calibri"/>
                <w:sz w:val="16"/>
                <w:szCs w:val="16"/>
              </w:rPr>
              <w:t>T</w:t>
            </w:r>
            <w:r w:rsidR="00B51989" w:rsidRPr="001F151E">
              <w:rPr>
                <w:rFonts w:eastAsia="Calibri"/>
                <w:sz w:val="16"/>
                <w:szCs w:val="16"/>
              </w:rPr>
              <w:t>4 2026</w:t>
            </w:r>
          </w:p>
        </w:tc>
        <w:tc>
          <w:tcPr>
            <w:tcW w:w="1783" w:type="dxa"/>
            <w:vMerge w:val="restart"/>
          </w:tcPr>
          <w:p w14:paraId="519AACFD" w14:textId="5D36759A" w:rsidR="00B51989" w:rsidRPr="001F151E" w:rsidRDefault="00294431" w:rsidP="003472DA">
            <w:pPr>
              <w:spacing w:line="200" w:lineRule="exact"/>
              <w:jc w:val="both"/>
              <w:rPr>
                <w:rFonts w:eastAsia="Calibri"/>
                <w:b/>
                <w:bCs/>
                <w:sz w:val="16"/>
                <w:szCs w:val="16"/>
              </w:rPr>
            </w:pPr>
            <w:r>
              <w:rPr>
                <w:rFonts w:eastAsia="Calibri"/>
                <w:b/>
                <w:bCs/>
                <w:sz w:val="16"/>
                <w:szCs w:val="16"/>
              </w:rPr>
              <w:t>Nj</w:t>
            </w:r>
            <w:r w:rsidR="000A70F5">
              <w:rPr>
                <w:rFonts w:eastAsia="Calibri"/>
                <w:b/>
                <w:bCs/>
                <w:sz w:val="16"/>
                <w:szCs w:val="16"/>
              </w:rPr>
              <w:t>ë</w:t>
            </w:r>
            <w:r>
              <w:rPr>
                <w:rFonts w:eastAsia="Calibri"/>
                <w:b/>
                <w:bCs/>
                <w:sz w:val="16"/>
                <w:szCs w:val="16"/>
              </w:rPr>
              <w:t>sit</w:t>
            </w:r>
            <w:r w:rsidR="000A70F5">
              <w:rPr>
                <w:rFonts w:eastAsia="Calibri"/>
                <w:b/>
                <w:bCs/>
                <w:sz w:val="16"/>
                <w:szCs w:val="16"/>
              </w:rPr>
              <w:t>ë</w:t>
            </w:r>
            <w:r>
              <w:rPr>
                <w:rFonts w:eastAsia="Calibri"/>
                <w:b/>
                <w:bCs/>
                <w:sz w:val="16"/>
                <w:szCs w:val="16"/>
              </w:rPr>
              <w:t xml:space="preserve"> p</w:t>
            </w:r>
            <w:r w:rsidR="000A70F5">
              <w:rPr>
                <w:rFonts w:eastAsia="Calibri"/>
                <w:b/>
                <w:bCs/>
                <w:sz w:val="16"/>
                <w:szCs w:val="16"/>
              </w:rPr>
              <w:t>ë</w:t>
            </w:r>
            <w:r>
              <w:rPr>
                <w:rFonts w:eastAsia="Calibri"/>
                <w:b/>
                <w:bCs/>
                <w:sz w:val="16"/>
                <w:szCs w:val="16"/>
              </w:rPr>
              <w:t>rgjegj</w:t>
            </w:r>
            <w:r w:rsidR="000A70F5">
              <w:rPr>
                <w:rFonts w:eastAsia="Calibri"/>
                <w:b/>
                <w:bCs/>
                <w:sz w:val="16"/>
                <w:szCs w:val="16"/>
              </w:rPr>
              <w:t>ë</w:t>
            </w:r>
            <w:r>
              <w:rPr>
                <w:rFonts w:eastAsia="Calibri"/>
                <w:b/>
                <w:bCs/>
                <w:sz w:val="16"/>
                <w:szCs w:val="16"/>
              </w:rPr>
              <w:t>se</w:t>
            </w:r>
            <w:r w:rsidR="00B51989" w:rsidRPr="001F151E">
              <w:rPr>
                <w:rFonts w:eastAsia="Calibri"/>
                <w:b/>
                <w:bCs/>
                <w:sz w:val="16"/>
                <w:szCs w:val="16"/>
              </w:rPr>
              <w:t xml:space="preserve">: </w:t>
            </w:r>
          </w:p>
          <w:p w14:paraId="35EB4153" w14:textId="1483D9F4" w:rsidR="00B51989" w:rsidRPr="001F151E" w:rsidRDefault="00B51989" w:rsidP="003472DA">
            <w:pPr>
              <w:spacing w:line="200" w:lineRule="exact"/>
              <w:jc w:val="both"/>
              <w:rPr>
                <w:rFonts w:eastAsia="Calibri"/>
                <w:bCs/>
                <w:sz w:val="16"/>
                <w:szCs w:val="16"/>
              </w:rPr>
            </w:pPr>
            <w:r w:rsidRPr="001F151E">
              <w:rPr>
                <w:rFonts w:eastAsia="Calibri"/>
                <w:bCs/>
                <w:sz w:val="16"/>
                <w:szCs w:val="16"/>
              </w:rPr>
              <w:t>D</w:t>
            </w:r>
            <w:r w:rsidR="00294431">
              <w:rPr>
                <w:rFonts w:eastAsia="Calibri"/>
                <w:bCs/>
                <w:sz w:val="16"/>
                <w:szCs w:val="16"/>
              </w:rPr>
              <w:t>PPM</w:t>
            </w:r>
            <w:r w:rsidRPr="001F151E">
              <w:rPr>
                <w:rFonts w:eastAsia="Calibri"/>
                <w:bCs/>
                <w:sz w:val="16"/>
                <w:szCs w:val="16"/>
              </w:rPr>
              <w:t xml:space="preserve"> (l</w:t>
            </w:r>
            <w:r w:rsidR="00294431">
              <w:rPr>
                <w:rFonts w:eastAsia="Calibri"/>
                <w:bCs/>
                <w:sz w:val="16"/>
                <w:szCs w:val="16"/>
              </w:rPr>
              <w:t>ider</w:t>
            </w:r>
            <w:r w:rsidRPr="001F151E">
              <w:rPr>
                <w:rFonts w:eastAsia="Calibri"/>
                <w:bCs/>
                <w:sz w:val="16"/>
                <w:szCs w:val="16"/>
              </w:rPr>
              <w:t>)</w:t>
            </w:r>
          </w:p>
          <w:p w14:paraId="1D35D7B5" w14:textId="77777777" w:rsidR="00B51989" w:rsidRPr="001F151E" w:rsidRDefault="00B51989" w:rsidP="003472DA">
            <w:pPr>
              <w:spacing w:line="200" w:lineRule="exact"/>
              <w:jc w:val="both"/>
              <w:rPr>
                <w:rFonts w:eastAsia="Calibri"/>
                <w:bCs/>
                <w:sz w:val="16"/>
                <w:szCs w:val="16"/>
              </w:rPr>
            </w:pPr>
          </w:p>
          <w:p w14:paraId="35A10A54" w14:textId="7E99A362" w:rsidR="00B51989" w:rsidRPr="001F151E" w:rsidRDefault="00B51989" w:rsidP="003472DA">
            <w:pPr>
              <w:spacing w:line="200" w:lineRule="exact"/>
              <w:jc w:val="both"/>
              <w:rPr>
                <w:rFonts w:eastAsia="Calibri"/>
                <w:b/>
                <w:bCs/>
                <w:sz w:val="16"/>
                <w:szCs w:val="16"/>
              </w:rPr>
            </w:pPr>
            <w:r w:rsidRPr="001F151E">
              <w:rPr>
                <w:rFonts w:eastAsia="Calibri"/>
                <w:b/>
                <w:bCs/>
                <w:sz w:val="16"/>
                <w:szCs w:val="16"/>
              </w:rPr>
              <w:t>Partner</w:t>
            </w:r>
            <w:r w:rsidR="000A70F5">
              <w:rPr>
                <w:rFonts w:eastAsia="Calibri"/>
                <w:b/>
                <w:bCs/>
                <w:sz w:val="16"/>
                <w:szCs w:val="16"/>
              </w:rPr>
              <w:t>ë</w:t>
            </w:r>
            <w:r w:rsidR="00294431">
              <w:rPr>
                <w:rFonts w:eastAsia="Calibri"/>
                <w:b/>
                <w:bCs/>
                <w:sz w:val="16"/>
                <w:szCs w:val="16"/>
              </w:rPr>
              <w:t>t</w:t>
            </w:r>
            <w:r w:rsidRPr="001F151E">
              <w:rPr>
                <w:rFonts w:eastAsia="Calibri"/>
                <w:b/>
                <w:bCs/>
                <w:sz w:val="16"/>
                <w:szCs w:val="16"/>
              </w:rPr>
              <w:t>:</w:t>
            </w:r>
          </w:p>
          <w:p w14:paraId="7E160E9B" w14:textId="405C6EF1" w:rsidR="00B51989" w:rsidRPr="001F151E" w:rsidRDefault="00294431" w:rsidP="003472DA">
            <w:pPr>
              <w:spacing w:line="200" w:lineRule="exact"/>
              <w:jc w:val="both"/>
              <w:rPr>
                <w:rFonts w:eastAsia="Calibri"/>
                <w:bCs/>
                <w:sz w:val="16"/>
                <w:szCs w:val="16"/>
              </w:rPr>
            </w:pPr>
            <w:r>
              <w:rPr>
                <w:rFonts w:eastAsia="Calibri"/>
                <w:bCs/>
                <w:sz w:val="16"/>
                <w:szCs w:val="16"/>
              </w:rPr>
              <w:t>FMN</w:t>
            </w:r>
          </w:p>
          <w:p w14:paraId="2F3B4533" w14:textId="77777777" w:rsidR="00B51989" w:rsidRPr="001F151E" w:rsidRDefault="00B51989" w:rsidP="003472DA">
            <w:pPr>
              <w:spacing w:line="200" w:lineRule="exact"/>
              <w:jc w:val="both"/>
              <w:rPr>
                <w:rFonts w:eastAsia="Calibri"/>
                <w:bCs/>
                <w:sz w:val="16"/>
                <w:szCs w:val="16"/>
              </w:rPr>
            </w:pPr>
          </w:p>
        </w:tc>
      </w:tr>
      <w:tr w:rsidR="00EA3152" w:rsidRPr="001F151E" w14:paraId="7DE735E9" w14:textId="77777777" w:rsidTr="00F75C8C">
        <w:trPr>
          <w:cantSplit/>
          <w:trHeight w:val="20"/>
        </w:trPr>
        <w:tc>
          <w:tcPr>
            <w:tcW w:w="2035" w:type="dxa"/>
            <w:vMerge/>
            <w:shd w:val="clear" w:color="auto" w:fill="auto"/>
          </w:tcPr>
          <w:p w14:paraId="4B0C053D" w14:textId="77777777" w:rsidR="00B51989" w:rsidRPr="001F151E" w:rsidRDefault="00B51989" w:rsidP="003472DA">
            <w:pPr>
              <w:spacing w:line="200" w:lineRule="exact"/>
              <w:rPr>
                <w:rFonts w:eastAsia="Calibri"/>
                <w:b/>
                <w:bCs/>
                <w:sz w:val="16"/>
                <w:szCs w:val="16"/>
              </w:rPr>
            </w:pPr>
          </w:p>
        </w:tc>
        <w:tc>
          <w:tcPr>
            <w:tcW w:w="3607" w:type="dxa"/>
          </w:tcPr>
          <w:p w14:paraId="2731D78B" w14:textId="1A244889" w:rsidR="00B51989" w:rsidRPr="001F151E" w:rsidRDefault="00265453" w:rsidP="00294431">
            <w:pPr>
              <w:pStyle w:val="T-number"/>
              <w:rPr>
                <w:rFonts w:eastAsia="Calibri"/>
              </w:rPr>
            </w:pPr>
            <w:r>
              <w:rPr>
                <w:rFonts w:eastAsia="Calibri"/>
              </w:rPr>
              <w:t>Rritja e transparenc</w:t>
            </w:r>
            <w:r w:rsidR="000A70F5">
              <w:rPr>
                <w:rFonts w:eastAsia="Calibri"/>
              </w:rPr>
              <w:t>ë</w:t>
            </w:r>
            <w:r>
              <w:rPr>
                <w:rFonts w:eastAsia="Calibri"/>
              </w:rPr>
              <w:t>s dhe dh</w:t>
            </w:r>
            <w:r w:rsidR="000A70F5">
              <w:rPr>
                <w:rFonts w:eastAsia="Calibri"/>
              </w:rPr>
              <w:t>ë</w:t>
            </w:r>
            <w:r>
              <w:rPr>
                <w:rFonts w:eastAsia="Calibri"/>
              </w:rPr>
              <w:t>nia e shpjegimeve gjith</w:t>
            </w:r>
            <w:r w:rsidR="000A70F5">
              <w:rPr>
                <w:rFonts w:eastAsia="Calibri"/>
              </w:rPr>
              <w:t>ë</w:t>
            </w:r>
            <w:r>
              <w:rPr>
                <w:rFonts w:eastAsia="Calibri"/>
              </w:rPr>
              <w:t>p</w:t>
            </w:r>
            <w:r w:rsidR="000A70F5">
              <w:rPr>
                <w:rFonts w:eastAsia="Calibri"/>
              </w:rPr>
              <w:t>ë</w:t>
            </w:r>
            <w:r>
              <w:rPr>
                <w:rFonts w:eastAsia="Calibri"/>
              </w:rPr>
              <w:t>rfshir</w:t>
            </w:r>
            <w:r w:rsidR="000A70F5">
              <w:rPr>
                <w:rFonts w:eastAsia="Calibri"/>
              </w:rPr>
              <w:t>ë</w:t>
            </w:r>
            <w:r>
              <w:rPr>
                <w:rFonts w:eastAsia="Calibri"/>
              </w:rPr>
              <w:t>se n</w:t>
            </w:r>
            <w:r w:rsidR="000A70F5">
              <w:rPr>
                <w:rFonts w:eastAsia="Calibri"/>
              </w:rPr>
              <w:t>ë</w:t>
            </w:r>
            <w:r>
              <w:rPr>
                <w:rFonts w:eastAsia="Calibri"/>
              </w:rPr>
              <w:t xml:space="preserve"> lidhje me respektimin e rregullave fiskale. Ky angazhim</w:t>
            </w:r>
            <w:r w:rsidR="00B51989" w:rsidRPr="001F151E">
              <w:rPr>
                <w:rFonts w:eastAsia="Calibri"/>
              </w:rPr>
              <w:t xml:space="preserve"> </w:t>
            </w:r>
            <w:r>
              <w:rPr>
                <w:rFonts w:eastAsia="Calibri"/>
              </w:rPr>
              <w:t>do t</w:t>
            </w:r>
            <w:r w:rsidR="000A70F5">
              <w:rPr>
                <w:rFonts w:eastAsia="Calibri"/>
              </w:rPr>
              <w:t>ë</w:t>
            </w:r>
            <w:r>
              <w:rPr>
                <w:rFonts w:eastAsia="Calibri"/>
              </w:rPr>
              <w:t xml:space="preserve"> p</w:t>
            </w:r>
            <w:r w:rsidR="000A70F5">
              <w:rPr>
                <w:rFonts w:eastAsia="Calibri"/>
              </w:rPr>
              <w:t>ë</w:t>
            </w:r>
            <w:r>
              <w:rPr>
                <w:rFonts w:eastAsia="Calibri"/>
              </w:rPr>
              <w:t>rmbushet p</w:t>
            </w:r>
            <w:r w:rsidR="000A70F5">
              <w:rPr>
                <w:rFonts w:eastAsia="Calibri"/>
              </w:rPr>
              <w:t>ë</w:t>
            </w:r>
            <w:r>
              <w:rPr>
                <w:rFonts w:eastAsia="Calibri"/>
              </w:rPr>
              <w:t>rmes shp</w:t>
            </w:r>
            <w:r w:rsidR="000A70F5">
              <w:rPr>
                <w:rFonts w:eastAsia="Calibri"/>
              </w:rPr>
              <w:t>ë</w:t>
            </w:r>
            <w:r>
              <w:rPr>
                <w:rFonts w:eastAsia="Calibri"/>
              </w:rPr>
              <w:t>rndarjes s</w:t>
            </w:r>
            <w:r w:rsidR="000A70F5">
              <w:rPr>
                <w:rFonts w:eastAsia="Calibri"/>
              </w:rPr>
              <w:t>ë</w:t>
            </w:r>
            <w:r>
              <w:rPr>
                <w:rFonts w:eastAsia="Calibri"/>
              </w:rPr>
              <w:t xml:space="preserve"> rregullt n</w:t>
            </w:r>
            <w:r w:rsidR="000A70F5">
              <w:rPr>
                <w:rFonts w:eastAsia="Calibri"/>
              </w:rPr>
              <w:t>ë</w:t>
            </w:r>
            <w:r>
              <w:rPr>
                <w:rFonts w:eastAsia="Calibri"/>
              </w:rPr>
              <w:t xml:space="preserve">: “Kuadrin Makroekonomik dhe Fiskal”; </w:t>
            </w:r>
            <w:r w:rsidR="00A07044">
              <w:rPr>
                <w:rFonts w:eastAsia="Calibri"/>
              </w:rPr>
              <w:t>"</w:t>
            </w:r>
            <w:r>
              <w:rPr>
                <w:rFonts w:eastAsia="Calibri"/>
              </w:rPr>
              <w:t>Programin e Reformave Ekonomike</w:t>
            </w:r>
            <w:r w:rsidR="00A07044">
              <w:rPr>
                <w:rFonts w:eastAsia="Calibri"/>
              </w:rPr>
              <w:t>";</w:t>
            </w:r>
            <w:r w:rsidR="00A07044" w:rsidRPr="005C6B26">
              <w:rPr>
                <w:rFonts w:eastAsia="Calibri"/>
              </w:rPr>
              <w:t xml:space="preserve"> </w:t>
            </w:r>
            <w:r>
              <w:rPr>
                <w:rFonts w:eastAsia="Calibri"/>
              </w:rPr>
              <w:t>dhe n</w:t>
            </w:r>
            <w:r w:rsidR="000A70F5">
              <w:rPr>
                <w:rFonts w:eastAsia="Calibri"/>
              </w:rPr>
              <w:t>ë</w:t>
            </w:r>
            <w:r w:rsidR="00A07044" w:rsidRPr="005C6B26">
              <w:rPr>
                <w:rFonts w:eastAsia="Calibri"/>
              </w:rPr>
              <w:t xml:space="preserve"> "</w:t>
            </w:r>
            <w:r w:rsidR="00294431">
              <w:rPr>
                <w:rFonts w:eastAsia="Calibri"/>
              </w:rPr>
              <w:t>Raportin e Zbatimit t</w:t>
            </w:r>
            <w:r w:rsidR="000A70F5">
              <w:rPr>
                <w:rFonts w:eastAsia="Calibri"/>
              </w:rPr>
              <w:t>ë</w:t>
            </w:r>
            <w:r w:rsidR="00294431">
              <w:rPr>
                <w:rFonts w:eastAsia="Calibri"/>
              </w:rPr>
              <w:t xml:space="preserve"> Buxhetit Vjetor, Situata Makroekonomike dhe Fiskale” </w:t>
            </w:r>
          </w:p>
        </w:tc>
        <w:tc>
          <w:tcPr>
            <w:tcW w:w="796" w:type="dxa"/>
            <w:vAlign w:val="center"/>
          </w:tcPr>
          <w:p w14:paraId="3E26B5EE" w14:textId="5B60E663" w:rsidR="00B51989" w:rsidRPr="001F151E" w:rsidRDefault="00294431" w:rsidP="00EA3152">
            <w:pPr>
              <w:spacing w:line="200" w:lineRule="exact"/>
              <w:jc w:val="center"/>
              <w:rPr>
                <w:rFonts w:eastAsia="Calibri"/>
                <w:sz w:val="16"/>
                <w:szCs w:val="16"/>
              </w:rPr>
            </w:pPr>
            <w:r>
              <w:rPr>
                <w:rFonts w:eastAsia="Calibri"/>
                <w:sz w:val="16"/>
                <w:szCs w:val="16"/>
              </w:rPr>
              <w:t>T</w:t>
            </w:r>
            <w:r w:rsidR="00B51989" w:rsidRPr="001F151E">
              <w:rPr>
                <w:rFonts w:eastAsia="Calibri"/>
                <w:sz w:val="16"/>
                <w:szCs w:val="16"/>
              </w:rPr>
              <w:t>1 2023</w:t>
            </w:r>
          </w:p>
        </w:tc>
        <w:tc>
          <w:tcPr>
            <w:tcW w:w="795" w:type="dxa"/>
            <w:vAlign w:val="center"/>
          </w:tcPr>
          <w:p w14:paraId="6E1E3B68" w14:textId="76AEB01F" w:rsidR="00B51989" w:rsidRPr="001F151E" w:rsidRDefault="00294431" w:rsidP="00EA3152">
            <w:pPr>
              <w:spacing w:line="200" w:lineRule="exact"/>
              <w:jc w:val="center"/>
              <w:rPr>
                <w:rFonts w:eastAsia="Calibri"/>
                <w:sz w:val="16"/>
                <w:szCs w:val="16"/>
              </w:rPr>
            </w:pPr>
            <w:r>
              <w:rPr>
                <w:rFonts w:eastAsia="Calibri"/>
                <w:sz w:val="16"/>
                <w:szCs w:val="16"/>
              </w:rPr>
              <w:t>T</w:t>
            </w:r>
            <w:r w:rsidR="00B51989" w:rsidRPr="001F151E">
              <w:rPr>
                <w:rFonts w:eastAsia="Calibri"/>
                <w:sz w:val="16"/>
                <w:szCs w:val="16"/>
              </w:rPr>
              <w:t>4 2026</w:t>
            </w:r>
          </w:p>
        </w:tc>
        <w:tc>
          <w:tcPr>
            <w:tcW w:w="1783" w:type="dxa"/>
            <w:vMerge/>
          </w:tcPr>
          <w:p w14:paraId="18D9FDB8" w14:textId="77777777" w:rsidR="00B51989" w:rsidRPr="001F151E" w:rsidRDefault="00B51989" w:rsidP="003472DA">
            <w:pPr>
              <w:spacing w:line="200" w:lineRule="exact"/>
              <w:jc w:val="both"/>
              <w:rPr>
                <w:rFonts w:eastAsia="Calibri"/>
                <w:b/>
                <w:bCs/>
                <w:sz w:val="16"/>
                <w:szCs w:val="16"/>
              </w:rPr>
            </w:pPr>
          </w:p>
        </w:tc>
      </w:tr>
    </w:tbl>
    <w:p w14:paraId="585D8010" w14:textId="77777777" w:rsidR="000D65EC" w:rsidRDefault="000D65EC" w:rsidP="00B51989">
      <w:pPr>
        <w:pStyle w:val="H5"/>
        <w:rPr>
          <w:lang w:val="en-GB"/>
        </w:rPr>
      </w:pPr>
    </w:p>
    <w:p w14:paraId="408CA944" w14:textId="7040EF02" w:rsidR="00B51989" w:rsidRPr="009D660E" w:rsidRDefault="00294431" w:rsidP="00B51989">
      <w:pPr>
        <w:pStyle w:val="H5"/>
        <w:rPr>
          <w:lang w:val="it-IT"/>
        </w:rPr>
      </w:pPr>
      <w:r w:rsidRPr="009D660E">
        <w:rPr>
          <w:lang w:val="it-IT"/>
        </w:rPr>
        <w:t>Treguesit e performanc</w:t>
      </w:r>
      <w:r w:rsidR="000A70F5" w:rsidRPr="009D660E">
        <w:rPr>
          <w:lang w:val="it-IT"/>
        </w:rPr>
        <w:t>ë</w:t>
      </w:r>
      <w:r w:rsidRPr="009D660E">
        <w:rPr>
          <w:lang w:val="it-IT"/>
        </w:rPr>
        <w:t>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B51989" w:rsidRPr="001F151E" w14:paraId="19B44346" w14:textId="77777777" w:rsidTr="003472DA">
        <w:tc>
          <w:tcPr>
            <w:tcW w:w="311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F466A5F" w14:textId="0DB2AFF1" w:rsidR="00B51989" w:rsidRPr="001F151E" w:rsidRDefault="00294431" w:rsidP="003472DA">
            <w:pPr>
              <w:spacing w:line="264" w:lineRule="auto"/>
              <w:jc w:val="center"/>
              <w:rPr>
                <w:rFonts w:eastAsia="Calibri"/>
                <w:b/>
                <w:bCs/>
                <w:sz w:val="16"/>
                <w:szCs w:val="16"/>
              </w:rPr>
            </w:pPr>
            <w:r>
              <w:rPr>
                <w:rFonts w:eastAsia="Calibri"/>
                <w:b/>
                <w:bCs/>
                <w:sz w:val="16"/>
                <w:szCs w:val="16"/>
              </w:rP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7B6BA217" w14:textId="2FDD1DB4" w:rsidR="00B51989" w:rsidRPr="001F151E" w:rsidRDefault="00294431" w:rsidP="00294431">
            <w:pPr>
              <w:spacing w:line="264" w:lineRule="auto"/>
              <w:jc w:val="center"/>
              <w:rPr>
                <w:rFonts w:eastAsia="Calibri"/>
                <w:b/>
                <w:bCs/>
                <w:sz w:val="16"/>
                <w:szCs w:val="16"/>
              </w:rPr>
            </w:pPr>
            <w:r>
              <w:rPr>
                <w:rFonts w:eastAsia="Calibri"/>
                <w:b/>
                <w:bCs/>
                <w:sz w:val="16"/>
                <w:szCs w:val="16"/>
              </w:rPr>
              <w:t>Vlera bazë</w:t>
            </w:r>
            <w:r w:rsidR="00B51989" w:rsidRPr="001F151E">
              <w:rPr>
                <w:rFonts w:eastAsia="Calibri"/>
                <w:b/>
                <w:bCs/>
                <w:sz w:val="16"/>
                <w:szCs w:val="16"/>
              </w:rPr>
              <w:t xml:space="preserve"> (</w:t>
            </w:r>
            <w:r>
              <w:rPr>
                <w:rFonts w:eastAsia="Calibri"/>
                <w:b/>
                <w:bCs/>
                <w:sz w:val="16"/>
                <w:szCs w:val="16"/>
              </w:rPr>
              <w:t>viti</w:t>
            </w:r>
            <w:r w:rsidR="00B51989" w:rsidRPr="001F151E">
              <w:rPr>
                <w:rFonts w:eastAsia="Calibri"/>
                <w:b/>
                <w:bCs/>
                <w:sz w:val="16"/>
                <w:szCs w:val="16"/>
              </w:rPr>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B3635A1" w14:textId="664EC195" w:rsidR="00B51989" w:rsidRPr="001F151E" w:rsidRDefault="00294431" w:rsidP="003472DA">
            <w:pPr>
              <w:spacing w:line="264" w:lineRule="auto"/>
              <w:jc w:val="center"/>
              <w:rPr>
                <w:rFonts w:eastAsia="Calibri"/>
                <w:b/>
                <w:bCs/>
                <w:sz w:val="16"/>
                <w:szCs w:val="16"/>
              </w:rPr>
            </w:pPr>
            <w:r>
              <w:rPr>
                <w:rFonts w:eastAsia="Calibri"/>
                <w:b/>
                <w:bCs/>
                <w:sz w:val="16"/>
                <w:szCs w:val="16"/>
              </w:rPr>
              <w:t>Vlera e synuar</w:t>
            </w:r>
          </w:p>
        </w:tc>
      </w:tr>
      <w:tr w:rsidR="00B51989" w:rsidRPr="001F151E" w14:paraId="419A514D" w14:textId="77777777" w:rsidTr="003472DA">
        <w:tc>
          <w:tcPr>
            <w:tcW w:w="3114" w:type="dxa"/>
            <w:vMerge/>
            <w:tcBorders>
              <w:top w:val="single" w:sz="4" w:space="0" w:color="auto"/>
              <w:left w:val="single" w:sz="4" w:space="0" w:color="auto"/>
              <w:bottom w:val="single" w:sz="4" w:space="0" w:color="auto"/>
              <w:right w:val="single" w:sz="4" w:space="0" w:color="auto"/>
            </w:tcBorders>
            <w:vAlign w:val="center"/>
            <w:hideMark/>
          </w:tcPr>
          <w:p w14:paraId="3385898E" w14:textId="77777777" w:rsidR="00B51989" w:rsidRPr="001F151E" w:rsidRDefault="00B51989" w:rsidP="003472DA">
            <w:pPr>
              <w:spacing w:line="264" w:lineRule="auto"/>
              <w:jc w:val="both"/>
              <w:rPr>
                <w:rFonts w:eastAsia="Calibri"/>
                <w:b/>
                <w:bCs/>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4FADE1C" w14:textId="77777777" w:rsidR="00B51989" w:rsidRPr="001F151E" w:rsidRDefault="00B51989" w:rsidP="003472DA">
            <w:pPr>
              <w:spacing w:line="264" w:lineRule="auto"/>
              <w:jc w:val="both"/>
              <w:rPr>
                <w:rFonts w:eastAsia="Calibri"/>
                <w:b/>
                <w:bCs/>
                <w:sz w:val="16"/>
                <w:szCs w:val="16"/>
              </w:rPr>
            </w:pP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27A3A0" w14:textId="77777777" w:rsidR="00B51989" w:rsidRPr="001F151E" w:rsidRDefault="00B51989" w:rsidP="003472DA">
            <w:pPr>
              <w:spacing w:line="264" w:lineRule="auto"/>
              <w:jc w:val="center"/>
              <w:rPr>
                <w:rFonts w:eastAsia="Calibri"/>
                <w:b/>
                <w:bCs/>
                <w:sz w:val="16"/>
                <w:szCs w:val="16"/>
              </w:rPr>
            </w:pPr>
            <w:r w:rsidRPr="001F151E">
              <w:rPr>
                <w:rFonts w:eastAsia="Calibri"/>
                <w:b/>
                <w:bCs/>
                <w:sz w:val="16"/>
                <w:szCs w:val="16"/>
              </w:rPr>
              <w:t>2023</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BD0797" w14:textId="77777777" w:rsidR="00B51989" w:rsidRPr="001F151E" w:rsidRDefault="00B51989" w:rsidP="003472DA">
            <w:pPr>
              <w:spacing w:line="264" w:lineRule="auto"/>
              <w:jc w:val="center"/>
              <w:rPr>
                <w:rFonts w:eastAsia="Calibri"/>
                <w:b/>
                <w:bCs/>
                <w:sz w:val="16"/>
                <w:szCs w:val="16"/>
              </w:rPr>
            </w:pPr>
            <w:r w:rsidRPr="001F151E">
              <w:rPr>
                <w:rFonts w:eastAsia="Calibri"/>
                <w:b/>
                <w:bCs/>
                <w:sz w:val="16"/>
                <w:szCs w:val="16"/>
              </w:rPr>
              <w:t>2024</w:t>
            </w: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D91D39" w14:textId="77777777" w:rsidR="00B51989" w:rsidRPr="001F151E" w:rsidRDefault="00B51989" w:rsidP="003472DA">
            <w:pPr>
              <w:spacing w:line="264" w:lineRule="auto"/>
              <w:jc w:val="center"/>
              <w:rPr>
                <w:rFonts w:eastAsia="Calibri"/>
                <w:b/>
                <w:bCs/>
                <w:sz w:val="16"/>
                <w:szCs w:val="16"/>
              </w:rPr>
            </w:pPr>
            <w:r w:rsidRPr="001F151E">
              <w:rPr>
                <w:rFonts w:eastAsia="Calibri"/>
                <w:b/>
                <w:bCs/>
                <w:sz w:val="16"/>
                <w:szCs w:val="16"/>
              </w:rPr>
              <w:t>2025</w:t>
            </w: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42E6BB" w14:textId="77777777" w:rsidR="00B51989" w:rsidRPr="001F151E" w:rsidRDefault="00B51989" w:rsidP="003472DA">
            <w:pPr>
              <w:spacing w:line="264" w:lineRule="auto"/>
              <w:jc w:val="center"/>
              <w:rPr>
                <w:rFonts w:eastAsia="Calibri"/>
                <w:b/>
                <w:bCs/>
                <w:sz w:val="16"/>
                <w:szCs w:val="16"/>
              </w:rPr>
            </w:pPr>
            <w:r w:rsidRPr="001F151E">
              <w:rPr>
                <w:rFonts w:eastAsia="Calibri"/>
                <w:b/>
                <w:bCs/>
                <w:sz w:val="16"/>
                <w:szCs w:val="16"/>
              </w:rPr>
              <w:t>2026</w:t>
            </w:r>
          </w:p>
        </w:tc>
      </w:tr>
      <w:tr w:rsidR="00B51989" w:rsidRPr="001F151E" w14:paraId="113699F2" w14:textId="77777777" w:rsidTr="003472DA">
        <w:tc>
          <w:tcPr>
            <w:tcW w:w="3114" w:type="dxa"/>
            <w:tcBorders>
              <w:top w:val="single" w:sz="4" w:space="0" w:color="auto"/>
              <w:left w:val="single" w:sz="4" w:space="0" w:color="auto"/>
              <w:bottom w:val="single" w:sz="4" w:space="0" w:color="auto"/>
              <w:right w:val="single" w:sz="4" w:space="0" w:color="auto"/>
            </w:tcBorders>
          </w:tcPr>
          <w:p w14:paraId="582DC7BF" w14:textId="123A7E56" w:rsidR="00B51989" w:rsidRPr="001F151E" w:rsidRDefault="00294431" w:rsidP="00294431">
            <w:pPr>
              <w:numPr>
                <w:ilvl w:val="0"/>
                <w:numId w:val="33"/>
              </w:numPr>
              <w:contextualSpacing/>
              <w:rPr>
                <w:rFonts w:eastAsia="Calibri"/>
                <w:sz w:val="16"/>
                <w:szCs w:val="16"/>
              </w:rPr>
            </w:pPr>
            <w:r>
              <w:rPr>
                <w:rFonts w:eastAsia="Calibri"/>
                <w:sz w:val="16"/>
                <w:szCs w:val="16"/>
              </w:rPr>
              <w:t>PBB nominale</w:t>
            </w:r>
            <w:r w:rsidR="00B51989" w:rsidRPr="001F151E">
              <w:rPr>
                <w:rFonts w:eastAsia="Calibri"/>
                <w:sz w:val="16"/>
                <w:szCs w:val="16"/>
              </w:rPr>
              <w:t xml:space="preserve">: </w:t>
            </w:r>
            <w:r>
              <w:rPr>
                <w:rFonts w:eastAsia="Calibri"/>
                <w:sz w:val="16"/>
                <w:szCs w:val="16"/>
              </w:rPr>
              <w:t>diferenca e vlerave t</w:t>
            </w:r>
            <w:r w:rsidR="000A70F5">
              <w:rPr>
                <w:rFonts w:eastAsia="Calibri"/>
                <w:sz w:val="16"/>
                <w:szCs w:val="16"/>
              </w:rPr>
              <w:t>ë</w:t>
            </w:r>
            <w:r>
              <w:rPr>
                <w:rFonts w:eastAsia="Calibri"/>
                <w:sz w:val="16"/>
                <w:szCs w:val="16"/>
              </w:rPr>
              <w:t xml:space="preserve"> parashikuara nd</w:t>
            </w:r>
            <w:r w:rsidR="000A70F5">
              <w:rPr>
                <w:rFonts w:eastAsia="Calibri"/>
                <w:sz w:val="16"/>
                <w:szCs w:val="16"/>
              </w:rPr>
              <w:t>ë</w:t>
            </w:r>
            <w:r>
              <w:rPr>
                <w:rFonts w:eastAsia="Calibri"/>
                <w:sz w:val="16"/>
                <w:szCs w:val="16"/>
              </w:rPr>
              <w:t>rmjet MF-s</w:t>
            </w:r>
            <w:r w:rsidR="000A70F5">
              <w:rPr>
                <w:rFonts w:eastAsia="Calibri"/>
                <w:sz w:val="16"/>
                <w:szCs w:val="16"/>
              </w:rPr>
              <w:t>ë</w:t>
            </w:r>
            <w:r>
              <w:rPr>
                <w:rFonts w:eastAsia="Calibri"/>
                <w:sz w:val="16"/>
                <w:szCs w:val="16"/>
              </w:rPr>
              <w:t xml:space="preserve"> dhe FMN-s</w:t>
            </w:r>
            <w:r w:rsidR="000A70F5">
              <w:rPr>
                <w:rFonts w:eastAsia="Calibri"/>
                <w:sz w:val="16"/>
                <w:szCs w:val="16"/>
              </w:rPr>
              <w:t>ë</w:t>
            </w:r>
            <w:r>
              <w:rPr>
                <w:rFonts w:eastAsia="Calibri"/>
                <w:sz w:val="16"/>
                <w:szCs w:val="16"/>
              </w:rPr>
              <w:t xml:space="preserve"> nuk duhet t</w:t>
            </w:r>
            <w:r w:rsidR="000A70F5">
              <w:rPr>
                <w:rFonts w:eastAsia="Calibri"/>
                <w:sz w:val="16"/>
                <w:szCs w:val="16"/>
              </w:rPr>
              <w:t>ë</w:t>
            </w:r>
            <w:r>
              <w:rPr>
                <w:rFonts w:eastAsia="Calibri"/>
                <w:sz w:val="16"/>
                <w:szCs w:val="16"/>
              </w:rPr>
              <w:t xml:space="preserve"> jet</w:t>
            </w:r>
            <w:r w:rsidR="000A70F5">
              <w:rPr>
                <w:rFonts w:eastAsia="Calibri"/>
                <w:sz w:val="16"/>
                <w:szCs w:val="16"/>
              </w:rPr>
              <w:t>ë</w:t>
            </w:r>
            <w:r>
              <w:rPr>
                <w:rFonts w:eastAsia="Calibri"/>
                <w:sz w:val="16"/>
                <w:szCs w:val="16"/>
              </w:rPr>
              <w:t xml:space="preserve"> m</w:t>
            </w:r>
            <w:r w:rsidR="000A70F5">
              <w:rPr>
                <w:rFonts w:eastAsia="Calibri"/>
                <w:sz w:val="16"/>
                <w:szCs w:val="16"/>
              </w:rPr>
              <w:t>ë</w:t>
            </w:r>
            <w:r>
              <w:rPr>
                <w:rFonts w:eastAsia="Calibri"/>
                <w:sz w:val="16"/>
                <w:szCs w:val="16"/>
              </w:rPr>
              <w:t xml:space="preserve"> e madhe se zero</w:t>
            </w:r>
            <w:r w:rsidR="00B51989" w:rsidRPr="001F151E">
              <w:rPr>
                <w:rFonts w:eastAsia="Calibri"/>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7DF67362" w14:textId="77777777" w:rsidR="00B51989" w:rsidRPr="001F151E" w:rsidRDefault="00B51989" w:rsidP="003472DA">
            <w:pPr>
              <w:spacing w:line="264" w:lineRule="auto"/>
              <w:jc w:val="center"/>
              <w:rPr>
                <w:rFonts w:eastAsia="Calibri"/>
                <w:sz w:val="16"/>
                <w:szCs w:val="16"/>
              </w:rPr>
            </w:pPr>
            <w:r w:rsidRPr="001F151E">
              <w:rPr>
                <w:rFonts w:eastAsia="Calibri"/>
                <w:sz w:val="16"/>
                <w:szCs w:val="16"/>
              </w:rPr>
              <w:t>0.0</w:t>
            </w:r>
          </w:p>
          <w:p w14:paraId="6F54BCE1" w14:textId="70FD686F" w:rsidR="000909BA" w:rsidRPr="001F151E" w:rsidRDefault="000909BA" w:rsidP="003472DA">
            <w:pPr>
              <w:spacing w:line="264" w:lineRule="auto"/>
              <w:jc w:val="center"/>
              <w:rPr>
                <w:rFonts w:eastAsia="Calibri"/>
                <w:sz w:val="16"/>
                <w:szCs w:val="16"/>
              </w:rPr>
            </w:pPr>
            <w:r w:rsidRPr="001F151E">
              <w:rPr>
                <w:rFonts w:eastAsia="Calibri"/>
                <w:sz w:val="16"/>
                <w:szCs w:val="16"/>
              </w:rPr>
              <w:t>(2022)</w:t>
            </w:r>
          </w:p>
        </w:tc>
        <w:tc>
          <w:tcPr>
            <w:tcW w:w="1181" w:type="dxa"/>
            <w:tcBorders>
              <w:top w:val="single" w:sz="4" w:space="0" w:color="auto"/>
              <w:left w:val="single" w:sz="4" w:space="0" w:color="auto"/>
              <w:bottom w:val="single" w:sz="4" w:space="0" w:color="auto"/>
              <w:right w:val="single" w:sz="4" w:space="0" w:color="auto"/>
            </w:tcBorders>
            <w:vAlign w:val="center"/>
          </w:tcPr>
          <w:p w14:paraId="20DF036B" w14:textId="77777777" w:rsidR="00B51989" w:rsidRPr="001F151E" w:rsidRDefault="00B51989" w:rsidP="003472DA">
            <w:pPr>
              <w:spacing w:line="264" w:lineRule="auto"/>
              <w:jc w:val="center"/>
              <w:rPr>
                <w:rFonts w:eastAsia="Calibri"/>
                <w:sz w:val="16"/>
                <w:szCs w:val="16"/>
                <w:u w:val="single"/>
              </w:rPr>
            </w:pPr>
            <w:r w:rsidRPr="001F151E">
              <w:rPr>
                <w:rFonts w:eastAsia="Calibri"/>
                <w:sz w:val="16"/>
                <w:szCs w:val="16"/>
                <w:u w:val="single"/>
              </w:rPr>
              <w:t>&lt;</w:t>
            </w:r>
            <w:r w:rsidRPr="001F151E">
              <w:rPr>
                <w:rFonts w:eastAsia="Calibri"/>
                <w:sz w:val="16"/>
                <w:szCs w:val="16"/>
              </w:rPr>
              <w:t xml:space="preserve"> 0</w:t>
            </w:r>
          </w:p>
        </w:tc>
        <w:tc>
          <w:tcPr>
            <w:tcW w:w="1180" w:type="dxa"/>
            <w:tcBorders>
              <w:top w:val="single" w:sz="4" w:space="0" w:color="auto"/>
              <w:left w:val="single" w:sz="4" w:space="0" w:color="auto"/>
              <w:bottom w:val="single" w:sz="4" w:space="0" w:color="auto"/>
              <w:right w:val="single" w:sz="4" w:space="0" w:color="auto"/>
            </w:tcBorders>
            <w:vAlign w:val="center"/>
          </w:tcPr>
          <w:p w14:paraId="2692E721" w14:textId="77777777" w:rsidR="00B51989" w:rsidRPr="001F151E" w:rsidRDefault="00B51989" w:rsidP="003472DA">
            <w:pPr>
              <w:jc w:val="center"/>
              <w:rPr>
                <w:rFonts w:eastAsia="Calibri"/>
                <w:sz w:val="16"/>
                <w:szCs w:val="16"/>
              </w:rPr>
            </w:pPr>
            <w:r w:rsidRPr="001F151E">
              <w:rPr>
                <w:rFonts w:eastAsia="Calibri"/>
                <w:sz w:val="16"/>
                <w:szCs w:val="16"/>
                <w:u w:val="single"/>
              </w:rPr>
              <w:t>&lt;</w:t>
            </w:r>
            <w:r w:rsidRPr="001F151E">
              <w:rPr>
                <w:rFonts w:eastAsia="Calibri"/>
                <w:sz w:val="16"/>
                <w:szCs w:val="16"/>
              </w:rPr>
              <w:t xml:space="preserve"> 0</w:t>
            </w:r>
          </w:p>
        </w:tc>
        <w:tc>
          <w:tcPr>
            <w:tcW w:w="1181" w:type="dxa"/>
            <w:tcBorders>
              <w:top w:val="single" w:sz="4" w:space="0" w:color="auto"/>
              <w:left w:val="single" w:sz="4" w:space="0" w:color="auto"/>
              <w:bottom w:val="single" w:sz="4" w:space="0" w:color="auto"/>
              <w:right w:val="single" w:sz="4" w:space="0" w:color="auto"/>
            </w:tcBorders>
            <w:vAlign w:val="center"/>
          </w:tcPr>
          <w:p w14:paraId="6CB9ACDC" w14:textId="77777777" w:rsidR="00B51989" w:rsidRPr="001F151E" w:rsidRDefault="00B51989" w:rsidP="003472DA">
            <w:pPr>
              <w:jc w:val="center"/>
              <w:rPr>
                <w:rFonts w:eastAsia="Calibri"/>
                <w:sz w:val="16"/>
                <w:szCs w:val="16"/>
              </w:rPr>
            </w:pPr>
            <w:r w:rsidRPr="001F151E">
              <w:rPr>
                <w:rFonts w:eastAsia="Calibri"/>
                <w:sz w:val="16"/>
                <w:szCs w:val="16"/>
                <w:u w:val="single"/>
              </w:rPr>
              <w:t>&lt;</w:t>
            </w:r>
            <w:r w:rsidRPr="001F151E">
              <w:rPr>
                <w:rFonts w:eastAsia="Calibri"/>
                <w:sz w:val="16"/>
                <w:szCs w:val="16"/>
              </w:rPr>
              <w:t xml:space="preserve"> 0</w:t>
            </w:r>
          </w:p>
        </w:tc>
        <w:tc>
          <w:tcPr>
            <w:tcW w:w="1181" w:type="dxa"/>
            <w:tcBorders>
              <w:top w:val="single" w:sz="4" w:space="0" w:color="auto"/>
              <w:left w:val="single" w:sz="4" w:space="0" w:color="auto"/>
              <w:bottom w:val="single" w:sz="4" w:space="0" w:color="auto"/>
              <w:right w:val="single" w:sz="4" w:space="0" w:color="auto"/>
            </w:tcBorders>
            <w:vAlign w:val="center"/>
          </w:tcPr>
          <w:p w14:paraId="2A2965E4" w14:textId="77777777" w:rsidR="00B51989" w:rsidRPr="001F151E" w:rsidRDefault="00B51989" w:rsidP="003472DA">
            <w:pPr>
              <w:jc w:val="center"/>
              <w:rPr>
                <w:rFonts w:eastAsia="Calibri"/>
                <w:sz w:val="16"/>
                <w:szCs w:val="16"/>
              </w:rPr>
            </w:pPr>
            <w:r w:rsidRPr="001F151E">
              <w:rPr>
                <w:rFonts w:eastAsia="Calibri"/>
                <w:sz w:val="16"/>
                <w:szCs w:val="16"/>
                <w:u w:val="single"/>
              </w:rPr>
              <w:t>&lt;</w:t>
            </w:r>
            <w:r w:rsidRPr="001F151E">
              <w:rPr>
                <w:rFonts w:eastAsia="Calibri"/>
                <w:sz w:val="16"/>
                <w:szCs w:val="16"/>
              </w:rPr>
              <w:t xml:space="preserve"> 0</w:t>
            </w:r>
          </w:p>
        </w:tc>
      </w:tr>
      <w:tr w:rsidR="00B51989" w:rsidRPr="001F151E" w14:paraId="67F5C340" w14:textId="77777777" w:rsidTr="003472DA">
        <w:tc>
          <w:tcPr>
            <w:tcW w:w="3114" w:type="dxa"/>
            <w:tcBorders>
              <w:top w:val="single" w:sz="4" w:space="0" w:color="auto"/>
              <w:left w:val="single" w:sz="4" w:space="0" w:color="auto"/>
              <w:bottom w:val="single" w:sz="4" w:space="0" w:color="auto"/>
              <w:right w:val="single" w:sz="4" w:space="0" w:color="auto"/>
            </w:tcBorders>
          </w:tcPr>
          <w:p w14:paraId="76BCA2A4" w14:textId="4255FEA8" w:rsidR="00B51989" w:rsidRPr="001F151E" w:rsidRDefault="00294431" w:rsidP="00A023E3">
            <w:pPr>
              <w:numPr>
                <w:ilvl w:val="0"/>
                <w:numId w:val="33"/>
              </w:numPr>
              <w:contextualSpacing/>
              <w:rPr>
                <w:rFonts w:eastAsia="Calibri"/>
                <w:sz w:val="16"/>
                <w:szCs w:val="16"/>
              </w:rPr>
            </w:pPr>
            <w:r>
              <w:rPr>
                <w:rFonts w:eastAsia="Calibri"/>
                <w:sz w:val="16"/>
                <w:szCs w:val="16"/>
              </w:rPr>
              <w:t>Balanca Primare</w:t>
            </w:r>
            <w:r w:rsidR="00B51989" w:rsidRPr="001F151E">
              <w:rPr>
                <w:rFonts w:eastAsia="Calibri"/>
                <w:sz w:val="16"/>
                <w:szCs w:val="16"/>
              </w:rPr>
              <w:t xml:space="preserve">: </w:t>
            </w:r>
            <w:r>
              <w:rPr>
                <w:rFonts w:eastAsia="Calibri"/>
                <w:sz w:val="16"/>
                <w:szCs w:val="16"/>
              </w:rPr>
              <w:t>duke filluar nga viti 2024, Balanca Primare do t</w:t>
            </w:r>
            <w:r w:rsidR="000A70F5">
              <w:rPr>
                <w:rFonts w:eastAsia="Calibri"/>
                <w:sz w:val="16"/>
                <w:szCs w:val="16"/>
              </w:rPr>
              <w:t>ë</w:t>
            </w:r>
            <w:r>
              <w:rPr>
                <w:rFonts w:eastAsia="Calibri"/>
                <w:sz w:val="16"/>
                <w:szCs w:val="16"/>
              </w:rPr>
              <w:t xml:space="preserve"> mandatohet ligj</w:t>
            </w:r>
            <w:r w:rsidR="000A70F5">
              <w:rPr>
                <w:rFonts w:eastAsia="Calibri"/>
                <w:sz w:val="16"/>
                <w:szCs w:val="16"/>
              </w:rPr>
              <w:t>ë</w:t>
            </w:r>
            <w:r>
              <w:rPr>
                <w:rFonts w:eastAsia="Calibri"/>
                <w:sz w:val="16"/>
                <w:szCs w:val="16"/>
              </w:rPr>
              <w:t>risht si rregull i ri fis</w:t>
            </w:r>
            <w:r w:rsidR="00A023E3">
              <w:rPr>
                <w:rFonts w:eastAsia="Calibri"/>
                <w:sz w:val="16"/>
                <w:szCs w:val="16"/>
              </w:rPr>
              <w:t>k</w:t>
            </w:r>
            <w:r>
              <w:rPr>
                <w:rFonts w:eastAsia="Calibri"/>
                <w:sz w:val="16"/>
                <w:szCs w:val="16"/>
              </w:rPr>
              <w:t>al dhe parashikohet t</w:t>
            </w:r>
            <w:r w:rsidR="000A70F5">
              <w:rPr>
                <w:rFonts w:eastAsia="Calibri"/>
                <w:sz w:val="16"/>
                <w:szCs w:val="16"/>
              </w:rPr>
              <w:t>ë</w:t>
            </w:r>
            <w:r>
              <w:rPr>
                <w:rFonts w:eastAsia="Calibri"/>
                <w:sz w:val="16"/>
                <w:szCs w:val="16"/>
              </w:rPr>
              <w:t xml:space="preserve"> jet</w:t>
            </w:r>
            <w:r w:rsidR="000A70F5">
              <w:rPr>
                <w:rFonts w:eastAsia="Calibri"/>
                <w:sz w:val="16"/>
                <w:szCs w:val="16"/>
              </w:rPr>
              <w:t>ë</w:t>
            </w:r>
            <w:r>
              <w:rPr>
                <w:rFonts w:eastAsia="Calibri"/>
                <w:sz w:val="16"/>
                <w:szCs w:val="16"/>
              </w:rPr>
              <w:t xml:space="preserve"> jo m</w:t>
            </w:r>
            <w:r w:rsidR="000A70F5">
              <w:rPr>
                <w:rFonts w:eastAsia="Calibri"/>
                <w:sz w:val="16"/>
                <w:szCs w:val="16"/>
              </w:rPr>
              <w:t>ë</w:t>
            </w:r>
            <w:r>
              <w:rPr>
                <w:rFonts w:eastAsia="Calibri"/>
                <w:sz w:val="16"/>
                <w:szCs w:val="16"/>
              </w:rPr>
              <w:t xml:space="preserve"> pak se zero. </w:t>
            </w:r>
          </w:p>
        </w:tc>
        <w:tc>
          <w:tcPr>
            <w:tcW w:w="1180" w:type="dxa"/>
            <w:tcBorders>
              <w:top w:val="single" w:sz="4" w:space="0" w:color="auto"/>
              <w:left w:val="single" w:sz="4" w:space="0" w:color="auto"/>
              <w:bottom w:val="single" w:sz="4" w:space="0" w:color="auto"/>
              <w:right w:val="single" w:sz="4" w:space="0" w:color="auto"/>
            </w:tcBorders>
            <w:vAlign w:val="center"/>
          </w:tcPr>
          <w:p w14:paraId="484EE825" w14:textId="77777777" w:rsidR="00B51989" w:rsidRPr="001F151E" w:rsidRDefault="00B51989" w:rsidP="003472DA">
            <w:pPr>
              <w:spacing w:line="264" w:lineRule="auto"/>
              <w:jc w:val="center"/>
              <w:rPr>
                <w:rFonts w:eastAsia="Calibri"/>
                <w:sz w:val="16"/>
                <w:szCs w:val="16"/>
              </w:rPr>
            </w:pPr>
            <w:r w:rsidRPr="001F151E">
              <w:rPr>
                <w:rFonts w:eastAsia="Calibri"/>
                <w:sz w:val="16"/>
                <w:szCs w:val="16"/>
              </w:rPr>
              <w:t>-1.8</w:t>
            </w:r>
          </w:p>
          <w:p w14:paraId="3DB86397" w14:textId="11257E63" w:rsidR="000909BA" w:rsidRPr="001F151E" w:rsidRDefault="000909BA" w:rsidP="003472DA">
            <w:pPr>
              <w:spacing w:line="264" w:lineRule="auto"/>
              <w:jc w:val="center"/>
              <w:rPr>
                <w:rFonts w:eastAsia="Calibri"/>
                <w:sz w:val="16"/>
                <w:szCs w:val="16"/>
              </w:rPr>
            </w:pPr>
            <w:r w:rsidRPr="001F151E">
              <w:rPr>
                <w:rFonts w:eastAsia="Calibri"/>
                <w:sz w:val="16"/>
                <w:szCs w:val="16"/>
              </w:rPr>
              <w:t>(2022)</w:t>
            </w:r>
          </w:p>
        </w:tc>
        <w:tc>
          <w:tcPr>
            <w:tcW w:w="1181" w:type="dxa"/>
            <w:tcBorders>
              <w:top w:val="single" w:sz="4" w:space="0" w:color="auto"/>
              <w:left w:val="single" w:sz="4" w:space="0" w:color="auto"/>
              <w:bottom w:val="single" w:sz="4" w:space="0" w:color="auto"/>
              <w:right w:val="single" w:sz="4" w:space="0" w:color="auto"/>
            </w:tcBorders>
            <w:vAlign w:val="center"/>
          </w:tcPr>
          <w:p w14:paraId="65D174FD" w14:textId="77777777" w:rsidR="00B51989" w:rsidRPr="001F151E" w:rsidRDefault="00B51989" w:rsidP="003472DA">
            <w:pPr>
              <w:spacing w:line="264" w:lineRule="auto"/>
              <w:jc w:val="center"/>
              <w:rPr>
                <w:rFonts w:eastAsia="Calibri"/>
                <w:sz w:val="16"/>
                <w:szCs w:val="16"/>
              </w:rPr>
            </w:pPr>
            <w:r w:rsidRPr="001F151E">
              <w:rPr>
                <w:rFonts w:eastAsia="Calibri"/>
                <w:sz w:val="16"/>
                <w:szCs w:val="16"/>
                <w:u w:val="single"/>
              </w:rPr>
              <w:t>&gt;</w:t>
            </w:r>
            <w:r w:rsidRPr="001F151E">
              <w:rPr>
                <w:rFonts w:eastAsia="Calibri"/>
                <w:sz w:val="16"/>
                <w:szCs w:val="16"/>
              </w:rPr>
              <w:t xml:space="preserve"> 0</w:t>
            </w:r>
          </w:p>
        </w:tc>
        <w:tc>
          <w:tcPr>
            <w:tcW w:w="1180" w:type="dxa"/>
            <w:tcBorders>
              <w:top w:val="single" w:sz="4" w:space="0" w:color="auto"/>
              <w:left w:val="single" w:sz="4" w:space="0" w:color="auto"/>
              <w:bottom w:val="single" w:sz="4" w:space="0" w:color="auto"/>
              <w:right w:val="single" w:sz="4" w:space="0" w:color="auto"/>
            </w:tcBorders>
            <w:vAlign w:val="center"/>
          </w:tcPr>
          <w:p w14:paraId="2F8205A6" w14:textId="77777777" w:rsidR="00B51989" w:rsidRPr="001F151E" w:rsidRDefault="00B51989" w:rsidP="003472DA">
            <w:pPr>
              <w:jc w:val="center"/>
              <w:rPr>
                <w:rFonts w:eastAsia="Calibri"/>
                <w:sz w:val="16"/>
                <w:szCs w:val="16"/>
              </w:rPr>
            </w:pPr>
            <w:r w:rsidRPr="001F151E">
              <w:rPr>
                <w:rFonts w:eastAsia="Calibri"/>
                <w:sz w:val="16"/>
                <w:szCs w:val="16"/>
                <w:u w:val="single"/>
              </w:rPr>
              <w:t>&gt;</w:t>
            </w:r>
            <w:r w:rsidRPr="001F151E">
              <w:rPr>
                <w:rFonts w:eastAsia="Calibri"/>
                <w:sz w:val="16"/>
                <w:szCs w:val="16"/>
              </w:rPr>
              <w:t xml:space="preserve"> 0</w:t>
            </w:r>
          </w:p>
        </w:tc>
        <w:tc>
          <w:tcPr>
            <w:tcW w:w="1181" w:type="dxa"/>
            <w:tcBorders>
              <w:top w:val="single" w:sz="4" w:space="0" w:color="auto"/>
              <w:left w:val="single" w:sz="4" w:space="0" w:color="auto"/>
              <w:bottom w:val="single" w:sz="4" w:space="0" w:color="auto"/>
              <w:right w:val="single" w:sz="4" w:space="0" w:color="auto"/>
            </w:tcBorders>
            <w:vAlign w:val="center"/>
          </w:tcPr>
          <w:p w14:paraId="2A1F6ED3" w14:textId="77777777" w:rsidR="00B51989" w:rsidRPr="001F151E" w:rsidRDefault="00B51989" w:rsidP="003472DA">
            <w:pPr>
              <w:jc w:val="center"/>
              <w:rPr>
                <w:rFonts w:eastAsia="Calibri"/>
                <w:sz w:val="16"/>
                <w:szCs w:val="16"/>
              </w:rPr>
            </w:pPr>
            <w:r w:rsidRPr="001F151E">
              <w:rPr>
                <w:rFonts w:eastAsia="Calibri"/>
                <w:sz w:val="16"/>
                <w:szCs w:val="16"/>
                <w:u w:val="single"/>
              </w:rPr>
              <w:t>&gt;</w:t>
            </w:r>
            <w:r w:rsidRPr="001F151E">
              <w:rPr>
                <w:rFonts w:eastAsia="Calibri"/>
                <w:sz w:val="16"/>
                <w:szCs w:val="16"/>
              </w:rPr>
              <w:t xml:space="preserve"> 0</w:t>
            </w:r>
          </w:p>
        </w:tc>
        <w:tc>
          <w:tcPr>
            <w:tcW w:w="1181" w:type="dxa"/>
            <w:tcBorders>
              <w:top w:val="single" w:sz="4" w:space="0" w:color="auto"/>
              <w:left w:val="single" w:sz="4" w:space="0" w:color="auto"/>
              <w:bottom w:val="single" w:sz="4" w:space="0" w:color="auto"/>
              <w:right w:val="single" w:sz="4" w:space="0" w:color="auto"/>
            </w:tcBorders>
            <w:vAlign w:val="center"/>
          </w:tcPr>
          <w:p w14:paraId="12EB4D00" w14:textId="77777777" w:rsidR="00B51989" w:rsidRPr="001F151E" w:rsidRDefault="00B51989" w:rsidP="003472DA">
            <w:pPr>
              <w:jc w:val="center"/>
              <w:rPr>
                <w:rFonts w:eastAsia="Calibri"/>
                <w:sz w:val="16"/>
                <w:szCs w:val="16"/>
              </w:rPr>
            </w:pPr>
            <w:r w:rsidRPr="001F151E">
              <w:rPr>
                <w:rFonts w:eastAsia="Calibri"/>
                <w:sz w:val="16"/>
                <w:szCs w:val="16"/>
                <w:u w:val="single"/>
              </w:rPr>
              <w:t>&gt;</w:t>
            </w:r>
            <w:r w:rsidRPr="001F151E">
              <w:rPr>
                <w:rFonts w:eastAsia="Calibri"/>
                <w:sz w:val="16"/>
                <w:szCs w:val="16"/>
              </w:rPr>
              <w:t xml:space="preserve"> 0</w:t>
            </w:r>
          </w:p>
        </w:tc>
      </w:tr>
    </w:tbl>
    <w:p w14:paraId="16515BE6" w14:textId="77777777" w:rsidR="000909BA" w:rsidRPr="001F151E" w:rsidRDefault="000909BA" w:rsidP="00B51989">
      <w:pPr>
        <w:jc w:val="both"/>
        <w:rPr>
          <w:rFonts w:eastAsia="Calibri"/>
          <w:lang w:val="en-GB"/>
        </w:rPr>
      </w:pPr>
    </w:p>
    <w:p w14:paraId="00D3F014" w14:textId="77777777" w:rsidR="00FA1898" w:rsidRDefault="00FA1898" w:rsidP="00AB73F1">
      <w:pPr>
        <w:rPr>
          <w:lang w:val="en-GB"/>
        </w:rPr>
      </w:pPr>
    </w:p>
    <w:p w14:paraId="4732AA7F" w14:textId="777BF945" w:rsidR="00942755" w:rsidRDefault="00B17F9E" w:rsidP="006F368A">
      <w:pPr>
        <w:pStyle w:val="Heading2"/>
        <w:spacing w:before="120" w:after="120"/>
        <w:ind w:left="562"/>
        <w:rPr>
          <w:rFonts w:eastAsia="Times New Roman" w:cs="Times New Roman"/>
          <w:lang w:val="en-GB"/>
        </w:rPr>
      </w:pPr>
      <w:bookmarkStart w:id="13" w:name="_Toc161748808"/>
      <w:r>
        <w:rPr>
          <w:rStyle w:val="UnresolvedMention1"/>
          <w:color w:val="0070C0"/>
          <w:shd w:val="clear" w:color="auto" w:fill="auto"/>
          <w:lang w:val="en-GB"/>
        </w:rPr>
        <w:t>Komponenti</w:t>
      </w:r>
      <w:r w:rsidR="00942755">
        <w:rPr>
          <w:rStyle w:val="UnresolvedMention1"/>
          <w:color w:val="0070C0"/>
          <w:shd w:val="clear" w:color="auto" w:fill="auto"/>
          <w:lang w:val="en-GB"/>
        </w:rPr>
        <w:t xml:space="preserve"> 1.2</w:t>
      </w:r>
      <w:r w:rsidR="00942755" w:rsidRPr="001F151E">
        <w:rPr>
          <w:rStyle w:val="UnresolvedMention1"/>
          <w:color w:val="0070C0"/>
          <w:shd w:val="clear" w:color="auto" w:fill="auto"/>
          <w:lang w:val="en-GB"/>
        </w:rPr>
        <w:t xml:space="preserve"> </w:t>
      </w:r>
      <w:r w:rsidR="00C17ED9">
        <w:rPr>
          <w:rFonts w:eastAsia="Times New Roman" w:cs="Times New Roman"/>
        </w:rPr>
        <w:t>Krijimi i nj</w:t>
      </w:r>
      <w:r w:rsidR="000A70F5">
        <w:rPr>
          <w:rFonts w:eastAsia="Times New Roman" w:cs="Times New Roman"/>
        </w:rPr>
        <w:t>ë</w:t>
      </w:r>
      <w:r w:rsidR="00C17ED9">
        <w:rPr>
          <w:rFonts w:eastAsia="Times New Roman" w:cs="Times New Roman"/>
        </w:rPr>
        <w:t xml:space="preserve"> Analize gjith</w:t>
      </w:r>
      <w:r w:rsidR="000A70F5">
        <w:rPr>
          <w:rFonts w:eastAsia="Times New Roman" w:cs="Times New Roman"/>
        </w:rPr>
        <w:t>ë</w:t>
      </w:r>
      <w:r w:rsidR="00C17ED9">
        <w:rPr>
          <w:rFonts w:eastAsia="Times New Roman" w:cs="Times New Roman"/>
        </w:rPr>
        <w:t>p</w:t>
      </w:r>
      <w:r w:rsidR="000A70F5">
        <w:rPr>
          <w:rFonts w:eastAsia="Times New Roman" w:cs="Times New Roman"/>
        </w:rPr>
        <w:t>ë</w:t>
      </w:r>
      <w:r w:rsidR="00C17ED9">
        <w:rPr>
          <w:rFonts w:eastAsia="Times New Roman" w:cs="Times New Roman"/>
        </w:rPr>
        <w:t>rfshir</w:t>
      </w:r>
      <w:r w:rsidR="000A70F5">
        <w:rPr>
          <w:rFonts w:eastAsia="Times New Roman" w:cs="Times New Roman"/>
        </w:rPr>
        <w:t>ë</w:t>
      </w:r>
      <w:r w:rsidR="00C17ED9">
        <w:rPr>
          <w:rFonts w:eastAsia="Times New Roman" w:cs="Times New Roman"/>
        </w:rPr>
        <w:t>se t</w:t>
      </w:r>
      <w:r w:rsidR="000A70F5">
        <w:rPr>
          <w:rFonts w:eastAsia="Times New Roman" w:cs="Times New Roman"/>
        </w:rPr>
        <w:t>ë</w:t>
      </w:r>
      <w:r w:rsidR="00C17ED9">
        <w:rPr>
          <w:rFonts w:eastAsia="Times New Roman" w:cs="Times New Roman"/>
        </w:rPr>
        <w:t xml:space="preserve"> Q</w:t>
      </w:r>
      <w:r w:rsidR="000A70F5">
        <w:rPr>
          <w:rFonts w:eastAsia="Times New Roman" w:cs="Times New Roman"/>
        </w:rPr>
        <w:t>ë</w:t>
      </w:r>
      <w:r w:rsidR="00C17ED9">
        <w:rPr>
          <w:rFonts w:eastAsia="Times New Roman" w:cs="Times New Roman"/>
        </w:rPr>
        <w:t>ndrueshm</w:t>
      </w:r>
      <w:r w:rsidR="000A70F5">
        <w:rPr>
          <w:rFonts w:eastAsia="Times New Roman" w:cs="Times New Roman"/>
        </w:rPr>
        <w:t>ë</w:t>
      </w:r>
      <w:r w:rsidR="00C17ED9">
        <w:rPr>
          <w:rFonts w:eastAsia="Times New Roman" w:cs="Times New Roman"/>
        </w:rPr>
        <w:t>ris</w:t>
      </w:r>
      <w:r w:rsidR="000A70F5">
        <w:rPr>
          <w:rFonts w:eastAsia="Times New Roman" w:cs="Times New Roman"/>
        </w:rPr>
        <w:t>ë</w:t>
      </w:r>
      <w:r w:rsidR="00C17ED9">
        <w:rPr>
          <w:rFonts w:eastAsia="Times New Roman" w:cs="Times New Roman"/>
        </w:rPr>
        <w:t xml:space="preserve"> s</w:t>
      </w:r>
      <w:r w:rsidR="000A70F5">
        <w:rPr>
          <w:rFonts w:eastAsia="Times New Roman" w:cs="Times New Roman"/>
        </w:rPr>
        <w:t>ë</w:t>
      </w:r>
      <w:r w:rsidR="00C17ED9">
        <w:rPr>
          <w:rFonts w:eastAsia="Times New Roman" w:cs="Times New Roman"/>
        </w:rPr>
        <w:t xml:space="preserve"> Borxhit</w:t>
      </w:r>
      <w:bookmarkEnd w:id="13"/>
      <w:r w:rsidR="000D65EC" w:rsidRPr="001F151E">
        <w:rPr>
          <w:rFonts w:eastAsia="Times New Roman" w:cs="Times New Roman"/>
          <w:lang w:val="en-GB"/>
        </w:rPr>
        <w:t xml:space="preserve"> </w:t>
      </w:r>
    </w:p>
    <w:p w14:paraId="456CD53A" w14:textId="77777777" w:rsidR="00060175" w:rsidRPr="00060175" w:rsidRDefault="00060175" w:rsidP="00060175">
      <w:pPr>
        <w:rPr>
          <w:lang w:val="en-GB"/>
        </w:rPr>
      </w:pPr>
    </w:p>
    <w:p w14:paraId="0735215D" w14:textId="04E87BAF" w:rsidR="00E74613" w:rsidRPr="00060175" w:rsidRDefault="00C17ED9" w:rsidP="002E6AB5">
      <w:pPr>
        <w:pStyle w:val="H5"/>
        <w:spacing w:line="276" w:lineRule="auto"/>
        <w:jc w:val="both"/>
      </w:pPr>
      <w:r>
        <w:t>Objektivi</w:t>
      </w:r>
    </w:p>
    <w:p w14:paraId="2199CC69" w14:textId="77C8EC77" w:rsidR="00C17ED9" w:rsidRDefault="00C17ED9" w:rsidP="002E6AB5">
      <w:pPr>
        <w:spacing w:line="276" w:lineRule="auto"/>
        <w:jc w:val="both"/>
      </w:pPr>
      <w:r>
        <w:t>Synimi</w:t>
      </w:r>
      <w:r w:rsidRPr="00C17ED9">
        <w:t xml:space="preserve"> është krijimi i një kuadri gjithëpërfshirës të Analizës së Q</w:t>
      </w:r>
      <w:r>
        <w:t xml:space="preserve">ëndrueshmërisë së Borxhit </w:t>
      </w:r>
      <w:r w:rsidRPr="00C17ED9">
        <w:t>(deri në vitin 2027). Kjo nismë synon të forcojë qëndrueshmërinë e borxhit, të identifikojë në mënyrë proaktive r</w:t>
      </w:r>
      <w:r>
        <w:t>isqet</w:t>
      </w:r>
      <w:r w:rsidRPr="00C17ED9">
        <w:t xml:space="preserve"> e mundshme që lidhen me borxhin në të ardhmen, të vlerësojë ndikimin e politikave aktuale në trajektoren e borxhit dhe të nënvizojë domosdoshmërinë për ndërhyrje të politikave në kohë. Kuadri i Analizës së Q</w:t>
      </w:r>
      <w:r>
        <w:t>ëndrueshmërisë së Borxhit</w:t>
      </w:r>
      <w:r w:rsidRPr="00C17ED9">
        <w:t xml:space="preserve"> do të shërbejë si një mjet strategjik shtesë për programimin makroekonomik për të informuar më mirë vendimmarrësit për implikimet afatgjata të dinamikës së borxhit, duke kontribuar në praktikat e </w:t>
      </w:r>
      <w:r>
        <w:t xml:space="preserve">matshme </w:t>
      </w:r>
      <w:r w:rsidRPr="00C17ED9">
        <w:t xml:space="preserve">të menaxhimit të borxhit dhe qëndrueshmërinë e përgjithshme të financave publike </w:t>
      </w:r>
      <w:r>
        <w:t xml:space="preserve">si </w:t>
      </w:r>
      <w:r w:rsidRPr="00C17ED9">
        <w:t>dhe stabilitetin makroekonomik të vendit.</w:t>
      </w:r>
    </w:p>
    <w:p w14:paraId="0CDD1FF0" w14:textId="77777777" w:rsidR="00060175" w:rsidRDefault="00060175" w:rsidP="002E6AB5">
      <w:pPr>
        <w:spacing w:line="276" w:lineRule="auto"/>
        <w:jc w:val="both"/>
      </w:pPr>
    </w:p>
    <w:p w14:paraId="487B3128" w14:textId="487AF8BF" w:rsidR="000D65EC" w:rsidRDefault="00C17ED9" w:rsidP="002E6AB5">
      <w:pPr>
        <w:pStyle w:val="H5"/>
        <w:spacing w:line="276" w:lineRule="auto"/>
        <w:jc w:val="both"/>
      </w:pPr>
      <w:r>
        <w:t>Konteksti</w:t>
      </w:r>
    </w:p>
    <w:p w14:paraId="7306D457" w14:textId="13AAF11C" w:rsidR="005561C1" w:rsidRDefault="005561C1" w:rsidP="002E6AB5">
      <w:pPr>
        <w:spacing w:line="276" w:lineRule="auto"/>
        <w:jc w:val="both"/>
      </w:pPr>
      <w:r>
        <w:t>Imperativi i vazhduesh</w:t>
      </w:r>
      <w:r w:rsidR="000A70F5">
        <w:t>ë</w:t>
      </w:r>
      <w:r>
        <w:t>m p</w:t>
      </w:r>
      <w:r w:rsidR="000A70F5">
        <w:t>ë</w:t>
      </w:r>
      <w:r>
        <w:t>r t</w:t>
      </w:r>
      <w:r w:rsidR="000A70F5">
        <w:t>ë</w:t>
      </w:r>
      <w:r>
        <w:t xml:space="preserve"> avancuar vazhdimisht programimin makroekonomik n</w:t>
      </w:r>
      <w:r w:rsidR="000A70F5">
        <w:t>ë</w:t>
      </w:r>
      <w:r>
        <w:t>nvizon nevoj</w:t>
      </w:r>
      <w:r w:rsidR="000A70F5">
        <w:t>ë</w:t>
      </w:r>
      <w:r>
        <w:t>n p</w:t>
      </w:r>
      <w:r w:rsidR="000A70F5">
        <w:t>ë</w:t>
      </w:r>
      <w:r>
        <w:t>r nj</w:t>
      </w:r>
      <w:r w:rsidR="000A70F5">
        <w:t>ë</w:t>
      </w:r>
      <w:r>
        <w:t xml:space="preserve"> hap t</w:t>
      </w:r>
      <w:r w:rsidR="000A70F5">
        <w:t>ë</w:t>
      </w:r>
      <w:r>
        <w:t xml:space="preserve"> r</w:t>
      </w:r>
      <w:r w:rsidR="000A70F5">
        <w:t>ë</w:t>
      </w:r>
      <w:r>
        <w:t>nd</w:t>
      </w:r>
      <w:r w:rsidR="000A70F5">
        <w:t>ë</w:t>
      </w:r>
      <w:r>
        <w:t>sish</w:t>
      </w:r>
      <w:r w:rsidR="000A70F5">
        <w:t>ë</w:t>
      </w:r>
      <w:r>
        <w:t>m p</w:t>
      </w:r>
      <w:r w:rsidR="000A70F5">
        <w:t>ë</w:t>
      </w:r>
      <w:r>
        <w:t xml:space="preserve">rpara. </w:t>
      </w:r>
      <w:r w:rsidRPr="005561C1">
        <w:t>Në mënyrë të veçantë, zhvillimi i një kuadri të dedikuar të Analizës së Q</w:t>
      </w:r>
      <w:r>
        <w:t xml:space="preserve">ëndrueshmërisë së Borxhit </w:t>
      </w:r>
      <w:r w:rsidRPr="005561C1">
        <w:t xml:space="preserve">konsiderohet thelbësor për të shtuar paketën ekzistuese të mjeteve makroekonomike. Ky mjet analitik strategjik shtesë do të sigurohet duke alokuar burimet, personelin dhe teknologjinë e nevojshme, si dhe do të mbështetet dhe udhëhiqet nga një asistencë teknike profesionale e dedikuar. Objektivi përfundimtar është formalizimi sistematik i një kuadri të fortë dhe të përshtatur të </w:t>
      </w:r>
      <w:r w:rsidR="00E66E67" w:rsidRPr="00C17ED9">
        <w:t>Analizës së Q</w:t>
      </w:r>
      <w:r w:rsidR="00E66E67">
        <w:t>ëndrueshmërisë së Borxhit</w:t>
      </w:r>
      <w:r w:rsidRPr="005561C1">
        <w:t>, i cili do të nxisë një kuptim më të plotë të dinamikës së borxhit publik të vendit, duke përforcuar kështu efikasitetin e përgjithshëm të programimit makroekonomik.</w:t>
      </w:r>
    </w:p>
    <w:p w14:paraId="25D916FB" w14:textId="77777777" w:rsidR="000D65EC" w:rsidRDefault="000D65EC" w:rsidP="002E6AB5">
      <w:pPr>
        <w:spacing w:line="276" w:lineRule="auto"/>
        <w:jc w:val="both"/>
      </w:pPr>
    </w:p>
    <w:p w14:paraId="47A81620" w14:textId="77777777" w:rsidR="0003786A" w:rsidRDefault="0003786A" w:rsidP="002E6AB5">
      <w:pPr>
        <w:spacing w:line="276" w:lineRule="auto"/>
        <w:jc w:val="both"/>
      </w:pPr>
    </w:p>
    <w:p w14:paraId="166592FC" w14:textId="77777777" w:rsidR="0003786A" w:rsidRDefault="0003786A" w:rsidP="002E6AB5">
      <w:pPr>
        <w:spacing w:line="276" w:lineRule="auto"/>
        <w:jc w:val="both"/>
      </w:pPr>
    </w:p>
    <w:p w14:paraId="31B9FCA8" w14:textId="77777777" w:rsidR="000A70F5" w:rsidRPr="00875B03" w:rsidRDefault="000A70F5" w:rsidP="002E6AB5">
      <w:pPr>
        <w:spacing w:line="276" w:lineRule="auto"/>
        <w:jc w:val="both"/>
      </w:pPr>
    </w:p>
    <w:p w14:paraId="5F530925" w14:textId="275E7851" w:rsidR="000D65EC" w:rsidRDefault="0003786A" w:rsidP="002E6AB5">
      <w:pPr>
        <w:pStyle w:val="H5"/>
        <w:spacing w:line="276" w:lineRule="auto"/>
        <w:jc w:val="both"/>
      </w:pPr>
      <w:r>
        <w:lastRenderedPageBreak/>
        <w:t>Prioritetet</w:t>
      </w:r>
    </w:p>
    <w:p w14:paraId="0F92BE5D" w14:textId="0EAF91BC" w:rsidR="000D65EC" w:rsidRDefault="0003786A" w:rsidP="002E6AB5">
      <w:pPr>
        <w:spacing w:line="276" w:lineRule="auto"/>
        <w:jc w:val="both"/>
        <w:rPr>
          <w:rFonts w:eastAsia="Calibri"/>
        </w:rPr>
      </w:pPr>
      <w:r>
        <w:rPr>
          <w:rFonts w:eastAsia="Calibri"/>
        </w:rPr>
        <w:t>Prioritetet p</w:t>
      </w:r>
      <w:r w:rsidR="000A70F5">
        <w:rPr>
          <w:rFonts w:eastAsia="Calibri"/>
        </w:rPr>
        <w:t>ë</w:t>
      </w:r>
      <w:r>
        <w:rPr>
          <w:rFonts w:eastAsia="Calibri"/>
        </w:rPr>
        <w:t>r periudh</w:t>
      </w:r>
      <w:r w:rsidR="000A70F5">
        <w:rPr>
          <w:rFonts w:eastAsia="Calibri"/>
        </w:rPr>
        <w:t>ë</w:t>
      </w:r>
      <w:r>
        <w:rPr>
          <w:rFonts w:eastAsia="Calibri"/>
        </w:rPr>
        <w:t>n 2023-2026 jan</w:t>
      </w:r>
      <w:r w:rsidR="000A70F5">
        <w:rPr>
          <w:rFonts w:eastAsia="Calibri"/>
        </w:rPr>
        <w:t>ë</w:t>
      </w:r>
      <w:r w:rsidR="000D65EC" w:rsidRPr="00467498">
        <w:rPr>
          <w:rFonts w:eastAsia="Calibri"/>
        </w:rPr>
        <w:t>:</w:t>
      </w:r>
    </w:p>
    <w:p w14:paraId="0B9DBB2C" w14:textId="6F1F2116" w:rsidR="000D65EC" w:rsidRDefault="0003786A" w:rsidP="002E6AB5">
      <w:pPr>
        <w:pStyle w:val="N-Bullet"/>
        <w:spacing w:line="276" w:lineRule="auto"/>
        <w:jc w:val="both"/>
      </w:pPr>
      <w:r>
        <w:t>Sigurimi i asistenc</w:t>
      </w:r>
      <w:r w:rsidR="000A70F5">
        <w:t>ë</w:t>
      </w:r>
      <w:r>
        <w:t>s teknike adekuate p</w:t>
      </w:r>
      <w:r w:rsidR="000A70F5">
        <w:t>ë</w:t>
      </w:r>
      <w:r>
        <w:t xml:space="preserve">r procesin e </w:t>
      </w:r>
      <w:r w:rsidRPr="005561C1">
        <w:t>Analizës së Q</w:t>
      </w:r>
      <w:r>
        <w:t>ëndrueshmërisë së Borxhit</w:t>
      </w:r>
    </w:p>
    <w:p w14:paraId="3D22421A" w14:textId="2A65398F" w:rsidR="000D65EC" w:rsidRPr="00467498" w:rsidRDefault="0003786A" w:rsidP="002E6AB5">
      <w:pPr>
        <w:pStyle w:val="N-Bullet"/>
        <w:spacing w:line="276" w:lineRule="auto"/>
        <w:jc w:val="both"/>
      </w:pPr>
      <w:r>
        <w:t>Prezantimi i kuadrit t</w:t>
      </w:r>
      <w:r w:rsidR="000A70F5">
        <w:t>ë</w:t>
      </w:r>
      <w:r>
        <w:t xml:space="preserve"> </w:t>
      </w:r>
      <w:r w:rsidRPr="005561C1">
        <w:t>Analizës së Q</w:t>
      </w:r>
      <w:r>
        <w:t>ëndrueshmërisë së Borxhit si nj</w:t>
      </w:r>
      <w:r w:rsidR="000A70F5">
        <w:t>ë</w:t>
      </w:r>
      <w:r>
        <w:t xml:space="preserve"> mjet analitik shtes</w:t>
      </w:r>
      <w:r w:rsidR="000A70F5">
        <w:t>ë</w:t>
      </w:r>
      <w:r>
        <w:t xml:space="preserve"> i programimit makroekonomik</w:t>
      </w:r>
      <w:r w:rsidR="000D65EC" w:rsidRPr="00EF6DB9">
        <w:t>.</w:t>
      </w:r>
    </w:p>
    <w:p w14:paraId="76F5C25E" w14:textId="77777777" w:rsidR="000D65EC" w:rsidRDefault="000D65EC" w:rsidP="003E5F43"/>
    <w:p w14:paraId="4D2E8496" w14:textId="4BB29534" w:rsidR="000D65EC" w:rsidRPr="00B259EB" w:rsidRDefault="0003786A" w:rsidP="000D65EC">
      <w:pPr>
        <w:spacing w:after="60"/>
        <w:jc w:val="both"/>
        <w:rPr>
          <w:rFonts w:eastAsia="Calibri"/>
          <w:b/>
          <w:bCs/>
          <w:color w:val="0070C0"/>
        </w:rPr>
      </w:pPr>
      <w:r>
        <w:rPr>
          <w:rFonts w:eastAsia="Calibri"/>
          <w:b/>
          <w:bCs/>
          <w:color w:val="0070C0"/>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46"/>
        <w:gridCol w:w="3587"/>
        <w:gridCol w:w="801"/>
        <w:gridCol w:w="814"/>
        <w:gridCol w:w="1768"/>
      </w:tblGrid>
      <w:tr w:rsidR="000D65EC" w:rsidRPr="00B259EB" w14:paraId="567CEEAC" w14:textId="77777777" w:rsidTr="00456298">
        <w:trPr>
          <w:trHeight w:val="20"/>
          <w:tblHeader/>
        </w:trPr>
        <w:tc>
          <w:tcPr>
            <w:tcW w:w="2046" w:type="dxa"/>
            <w:shd w:val="clear" w:color="auto" w:fill="D9D9D9"/>
          </w:tcPr>
          <w:p w14:paraId="0CA152D3" w14:textId="4AFC926D" w:rsidR="000D65EC" w:rsidRPr="00B259EB" w:rsidRDefault="000D65EC" w:rsidP="0003786A">
            <w:pPr>
              <w:jc w:val="both"/>
              <w:rPr>
                <w:rFonts w:eastAsia="Calibri"/>
                <w:b/>
                <w:bCs/>
                <w:sz w:val="16"/>
                <w:szCs w:val="16"/>
              </w:rPr>
            </w:pPr>
            <w:r w:rsidRPr="00B259EB">
              <w:rPr>
                <w:rFonts w:eastAsia="Calibri"/>
                <w:b/>
                <w:bCs/>
                <w:sz w:val="16"/>
                <w:szCs w:val="16"/>
              </w:rPr>
              <w:t>M</w:t>
            </w:r>
            <w:r w:rsidR="0003786A">
              <w:rPr>
                <w:rFonts w:eastAsia="Calibri"/>
                <w:b/>
                <w:bCs/>
                <w:sz w:val="16"/>
                <w:szCs w:val="16"/>
              </w:rPr>
              <w:t>asa</w:t>
            </w:r>
          </w:p>
        </w:tc>
        <w:tc>
          <w:tcPr>
            <w:tcW w:w="3587" w:type="dxa"/>
            <w:shd w:val="clear" w:color="auto" w:fill="D9D9D9"/>
          </w:tcPr>
          <w:p w14:paraId="23F32472" w14:textId="2BEE5A71" w:rsidR="000D65EC" w:rsidRPr="00B259EB" w:rsidRDefault="000D65EC" w:rsidP="0003786A">
            <w:pPr>
              <w:jc w:val="both"/>
              <w:rPr>
                <w:rFonts w:eastAsia="Calibri"/>
                <w:b/>
                <w:bCs/>
                <w:sz w:val="16"/>
                <w:szCs w:val="16"/>
              </w:rPr>
            </w:pPr>
            <w:r w:rsidRPr="00B259EB">
              <w:rPr>
                <w:rFonts w:eastAsia="Calibri"/>
                <w:b/>
                <w:bCs/>
                <w:sz w:val="16"/>
                <w:szCs w:val="16"/>
              </w:rPr>
              <w:t>A</w:t>
            </w:r>
            <w:r w:rsidR="0003786A">
              <w:rPr>
                <w:rFonts w:eastAsia="Calibri"/>
                <w:b/>
                <w:bCs/>
                <w:sz w:val="16"/>
                <w:szCs w:val="16"/>
              </w:rPr>
              <w:t>ktiviteti</w:t>
            </w:r>
          </w:p>
        </w:tc>
        <w:tc>
          <w:tcPr>
            <w:tcW w:w="801" w:type="dxa"/>
            <w:shd w:val="clear" w:color="auto" w:fill="D9D9D9"/>
          </w:tcPr>
          <w:p w14:paraId="41CA014E" w14:textId="156DA171" w:rsidR="000D65EC" w:rsidRPr="00B259EB" w:rsidRDefault="0003786A" w:rsidP="000D65EC">
            <w:pPr>
              <w:jc w:val="both"/>
              <w:rPr>
                <w:rFonts w:eastAsia="Calibri"/>
                <w:b/>
                <w:bCs/>
                <w:sz w:val="16"/>
                <w:szCs w:val="16"/>
              </w:rPr>
            </w:pPr>
            <w:r>
              <w:rPr>
                <w:rFonts w:eastAsia="Calibri"/>
                <w:b/>
                <w:bCs/>
                <w:sz w:val="16"/>
                <w:szCs w:val="16"/>
              </w:rPr>
              <w:t>Fillimi</w:t>
            </w:r>
          </w:p>
        </w:tc>
        <w:tc>
          <w:tcPr>
            <w:tcW w:w="814" w:type="dxa"/>
            <w:shd w:val="clear" w:color="auto" w:fill="D9D9D9"/>
          </w:tcPr>
          <w:p w14:paraId="7DA0E9A5" w14:textId="5FAA80FC" w:rsidR="000D65EC" w:rsidRPr="00B259EB" w:rsidRDefault="0003786A" w:rsidP="000D65EC">
            <w:pPr>
              <w:jc w:val="both"/>
              <w:rPr>
                <w:rFonts w:eastAsia="Calibri"/>
                <w:b/>
                <w:bCs/>
                <w:sz w:val="16"/>
                <w:szCs w:val="16"/>
              </w:rPr>
            </w:pPr>
            <w:r>
              <w:rPr>
                <w:rFonts w:eastAsia="Calibri"/>
                <w:b/>
                <w:bCs/>
                <w:sz w:val="16"/>
                <w:szCs w:val="16"/>
              </w:rPr>
              <w:t>Mbarimi</w:t>
            </w:r>
          </w:p>
        </w:tc>
        <w:tc>
          <w:tcPr>
            <w:tcW w:w="1768" w:type="dxa"/>
            <w:shd w:val="clear" w:color="auto" w:fill="D9D9D9"/>
          </w:tcPr>
          <w:p w14:paraId="213056C1" w14:textId="4A9A1596" w:rsidR="000D65EC" w:rsidRPr="00B259EB" w:rsidRDefault="0003786A" w:rsidP="000D65EC">
            <w:pPr>
              <w:jc w:val="both"/>
              <w:rPr>
                <w:rFonts w:eastAsia="Calibri"/>
                <w:b/>
                <w:bCs/>
                <w:sz w:val="16"/>
                <w:szCs w:val="16"/>
              </w:rPr>
            </w:pPr>
            <w:r>
              <w:rPr>
                <w:rFonts w:eastAsia="Calibri"/>
                <w:b/>
                <w:bCs/>
                <w:sz w:val="16"/>
                <w:szCs w:val="16"/>
              </w:rPr>
              <w:t>Grupet e Interesit</w:t>
            </w:r>
          </w:p>
        </w:tc>
      </w:tr>
      <w:tr w:rsidR="000D65EC" w:rsidRPr="00B259EB" w14:paraId="4893C82C" w14:textId="77777777" w:rsidTr="00456298">
        <w:trPr>
          <w:trHeight w:val="20"/>
        </w:trPr>
        <w:tc>
          <w:tcPr>
            <w:tcW w:w="2046" w:type="dxa"/>
            <w:vMerge w:val="restart"/>
            <w:shd w:val="clear" w:color="auto" w:fill="auto"/>
          </w:tcPr>
          <w:p w14:paraId="11DD1E0B" w14:textId="3528C0F0" w:rsidR="000D65EC" w:rsidRPr="00B259EB" w:rsidRDefault="000D65EC" w:rsidP="0003786A">
            <w:pPr>
              <w:spacing w:line="264" w:lineRule="auto"/>
              <w:rPr>
                <w:rFonts w:eastAsia="Times New Roman"/>
                <w:b/>
                <w:bCs/>
                <w:sz w:val="16"/>
                <w:szCs w:val="16"/>
              </w:rPr>
            </w:pPr>
            <w:r>
              <w:rPr>
                <w:rFonts w:eastAsia="Times New Roman"/>
                <w:b/>
                <w:bCs/>
                <w:sz w:val="16"/>
                <w:szCs w:val="16"/>
              </w:rPr>
              <w:t xml:space="preserve">1.2.1 </w:t>
            </w:r>
            <w:r w:rsidR="0003786A">
              <w:rPr>
                <w:rFonts w:eastAsia="Times New Roman"/>
                <w:b/>
                <w:bCs/>
                <w:sz w:val="16"/>
                <w:szCs w:val="16"/>
              </w:rPr>
              <w:t>Ofrimi i asistenc</w:t>
            </w:r>
            <w:r w:rsidR="000A70F5">
              <w:rPr>
                <w:rFonts w:eastAsia="Times New Roman"/>
                <w:b/>
                <w:bCs/>
                <w:sz w:val="16"/>
                <w:szCs w:val="16"/>
              </w:rPr>
              <w:t>ë</w:t>
            </w:r>
            <w:r w:rsidR="0003786A">
              <w:rPr>
                <w:rFonts w:eastAsia="Times New Roman"/>
                <w:b/>
                <w:bCs/>
                <w:sz w:val="16"/>
                <w:szCs w:val="16"/>
              </w:rPr>
              <w:t>s teknike p</w:t>
            </w:r>
            <w:r w:rsidR="000A70F5">
              <w:rPr>
                <w:rFonts w:eastAsia="Times New Roman"/>
                <w:b/>
                <w:bCs/>
                <w:sz w:val="16"/>
                <w:szCs w:val="16"/>
              </w:rPr>
              <w:t>ë</w:t>
            </w:r>
            <w:r w:rsidR="0003786A">
              <w:rPr>
                <w:rFonts w:eastAsia="Times New Roman"/>
                <w:b/>
                <w:bCs/>
                <w:sz w:val="16"/>
                <w:szCs w:val="16"/>
              </w:rPr>
              <w:t>r procesin e Analiz</w:t>
            </w:r>
            <w:r w:rsidR="000A70F5">
              <w:rPr>
                <w:rFonts w:eastAsia="Times New Roman"/>
                <w:b/>
                <w:bCs/>
                <w:sz w:val="16"/>
                <w:szCs w:val="16"/>
              </w:rPr>
              <w:t>ë</w:t>
            </w:r>
            <w:r w:rsidR="0003786A">
              <w:rPr>
                <w:rFonts w:eastAsia="Times New Roman"/>
                <w:b/>
                <w:bCs/>
                <w:sz w:val="16"/>
                <w:szCs w:val="16"/>
              </w:rPr>
              <w:t>s s</w:t>
            </w:r>
            <w:r w:rsidR="000A70F5">
              <w:rPr>
                <w:rFonts w:eastAsia="Times New Roman"/>
                <w:b/>
                <w:bCs/>
                <w:sz w:val="16"/>
                <w:szCs w:val="16"/>
              </w:rPr>
              <w:t>ë</w:t>
            </w:r>
            <w:r w:rsidR="0003786A">
              <w:rPr>
                <w:rFonts w:eastAsia="Times New Roman"/>
                <w:b/>
                <w:bCs/>
                <w:sz w:val="16"/>
                <w:szCs w:val="16"/>
              </w:rPr>
              <w:t xml:space="preserve"> Q</w:t>
            </w:r>
            <w:r w:rsidR="000A70F5">
              <w:rPr>
                <w:rFonts w:eastAsia="Times New Roman"/>
                <w:b/>
                <w:bCs/>
                <w:sz w:val="16"/>
                <w:szCs w:val="16"/>
              </w:rPr>
              <w:t>ë</w:t>
            </w:r>
            <w:r w:rsidR="0003786A">
              <w:rPr>
                <w:rFonts w:eastAsia="Times New Roman"/>
                <w:b/>
                <w:bCs/>
                <w:sz w:val="16"/>
                <w:szCs w:val="16"/>
              </w:rPr>
              <w:t>ndrueshm</w:t>
            </w:r>
            <w:r w:rsidR="000A70F5">
              <w:rPr>
                <w:rFonts w:eastAsia="Times New Roman"/>
                <w:b/>
                <w:bCs/>
                <w:sz w:val="16"/>
                <w:szCs w:val="16"/>
              </w:rPr>
              <w:t>ë</w:t>
            </w:r>
            <w:r w:rsidR="0003786A">
              <w:rPr>
                <w:rFonts w:eastAsia="Times New Roman"/>
                <w:b/>
                <w:bCs/>
                <w:sz w:val="16"/>
                <w:szCs w:val="16"/>
              </w:rPr>
              <w:t>ris</w:t>
            </w:r>
            <w:r w:rsidR="000A70F5">
              <w:rPr>
                <w:rFonts w:eastAsia="Times New Roman"/>
                <w:b/>
                <w:bCs/>
                <w:sz w:val="16"/>
                <w:szCs w:val="16"/>
              </w:rPr>
              <w:t>ë</w:t>
            </w:r>
            <w:r w:rsidR="0003786A">
              <w:rPr>
                <w:rFonts w:eastAsia="Times New Roman"/>
                <w:b/>
                <w:bCs/>
                <w:sz w:val="16"/>
                <w:szCs w:val="16"/>
              </w:rPr>
              <w:t xml:space="preserve"> s</w:t>
            </w:r>
            <w:r w:rsidR="000A70F5">
              <w:rPr>
                <w:rFonts w:eastAsia="Times New Roman"/>
                <w:b/>
                <w:bCs/>
                <w:sz w:val="16"/>
                <w:szCs w:val="16"/>
              </w:rPr>
              <w:t>ë</w:t>
            </w:r>
            <w:r w:rsidR="0003786A">
              <w:rPr>
                <w:rFonts w:eastAsia="Times New Roman"/>
                <w:b/>
                <w:bCs/>
                <w:sz w:val="16"/>
                <w:szCs w:val="16"/>
              </w:rPr>
              <w:t xml:space="preserve"> Borxhit</w:t>
            </w:r>
          </w:p>
        </w:tc>
        <w:tc>
          <w:tcPr>
            <w:tcW w:w="3587" w:type="dxa"/>
          </w:tcPr>
          <w:p w14:paraId="6AD65280" w14:textId="4A303203" w:rsidR="000D65EC" w:rsidRPr="00B259EB" w:rsidRDefault="007F1AB9" w:rsidP="00CD7428">
            <w:pPr>
              <w:numPr>
                <w:ilvl w:val="0"/>
                <w:numId w:val="87"/>
              </w:numPr>
              <w:autoSpaceDE w:val="0"/>
              <w:autoSpaceDN w:val="0"/>
              <w:adjustRightInd w:val="0"/>
              <w:spacing w:line="240" w:lineRule="auto"/>
              <w:contextualSpacing/>
              <w:rPr>
                <w:rFonts w:eastAsia="Times New Roman"/>
                <w:bCs/>
                <w:sz w:val="16"/>
                <w:szCs w:val="16"/>
              </w:rPr>
            </w:pPr>
            <w:r>
              <w:rPr>
                <w:rFonts w:eastAsia="Times New Roman"/>
                <w:bCs/>
                <w:sz w:val="16"/>
                <w:szCs w:val="16"/>
              </w:rPr>
              <w:t>Alo</w:t>
            </w:r>
            <w:r w:rsidR="00456298">
              <w:rPr>
                <w:rFonts w:eastAsia="Times New Roman"/>
                <w:bCs/>
                <w:sz w:val="16"/>
                <w:szCs w:val="16"/>
              </w:rPr>
              <w:t>kimi i burimeve (stafi dhe teknologjia) p</w:t>
            </w:r>
            <w:r w:rsidR="000A70F5">
              <w:rPr>
                <w:rFonts w:eastAsia="Times New Roman"/>
                <w:bCs/>
                <w:sz w:val="16"/>
                <w:szCs w:val="16"/>
              </w:rPr>
              <w:t>ë</w:t>
            </w:r>
            <w:r w:rsidR="00456298">
              <w:rPr>
                <w:rFonts w:eastAsia="Times New Roman"/>
                <w:bCs/>
                <w:sz w:val="16"/>
                <w:szCs w:val="16"/>
              </w:rPr>
              <w:t xml:space="preserve">r procesin e </w:t>
            </w:r>
            <w:r w:rsidR="00456298" w:rsidRPr="00456298">
              <w:rPr>
                <w:rFonts w:eastAsia="Times New Roman"/>
                <w:bCs/>
                <w:sz w:val="16"/>
                <w:szCs w:val="16"/>
              </w:rPr>
              <w:t>Analizës së Qëndrueshmërisë së Borxhit</w:t>
            </w:r>
            <w:r w:rsidR="00456298">
              <w:rPr>
                <w:rFonts w:eastAsia="Times New Roman"/>
                <w:bCs/>
                <w:sz w:val="16"/>
                <w:szCs w:val="16"/>
              </w:rPr>
              <w:t xml:space="preserve"> </w:t>
            </w:r>
            <w:r w:rsidR="000D65EC">
              <w:rPr>
                <w:rFonts w:eastAsia="Times New Roman"/>
                <w:bCs/>
                <w:sz w:val="16"/>
                <w:szCs w:val="16"/>
              </w:rPr>
              <w:t xml:space="preserve"> </w:t>
            </w:r>
          </w:p>
        </w:tc>
        <w:tc>
          <w:tcPr>
            <w:tcW w:w="801" w:type="dxa"/>
            <w:shd w:val="clear" w:color="auto" w:fill="auto"/>
            <w:vAlign w:val="center"/>
          </w:tcPr>
          <w:p w14:paraId="3B27F5C8" w14:textId="61D2D03F" w:rsidR="000D65EC" w:rsidRPr="00B259EB" w:rsidRDefault="00456298" w:rsidP="000D65EC">
            <w:pPr>
              <w:jc w:val="both"/>
              <w:rPr>
                <w:rFonts w:eastAsia="Calibri"/>
                <w:sz w:val="16"/>
                <w:szCs w:val="16"/>
              </w:rPr>
            </w:pPr>
            <w:r>
              <w:rPr>
                <w:rFonts w:eastAsia="Calibri"/>
                <w:sz w:val="16"/>
                <w:szCs w:val="16"/>
              </w:rPr>
              <w:t>T</w:t>
            </w:r>
            <w:r w:rsidR="000D65EC">
              <w:rPr>
                <w:rFonts w:eastAsia="Calibri"/>
                <w:sz w:val="16"/>
                <w:szCs w:val="16"/>
              </w:rPr>
              <w:t>4 2024</w:t>
            </w:r>
          </w:p>
        </w:tc>
        <w:tc>
          <w:tcPr>
            <w:tcW w:w="814" w:type="dxa"/>
            <w:shd w:val="clear" w:color="auto" w:fill="auto"/>
            <w:vAlign w:val="center"/>
          </w:tcPr>
          <w:p w14:paraId="070CC81C" w14:textId="65F384FA" w:rsidR="000D65EC" w:rsidRPr="00B259EB" w:rsidRDefault="00456298" w:rsidP="000D65EC">
            <w:pPr>
              <w:jc w:val="both"/>
              <w:rPr>
                <w:rFonts w:eastAsia="Calibri"/>
                <w:sz w:val="16"/>
                <w:szCs w:val="16"/>
              </w:rPr>
            </w:pPr>
            <w:r>
              <w:rPr>
                <w:rFonts w:eastAsia="Calibri"/>
                <w:sz w:val="16"/>
                <w:szCs w:val="16"/>
              </w:rPr>
              <w:t>T</w:t>
            </w:r>
            <w:r w:rsidR="000D65EC">
              <w:rPr>
                <w:rFonts w:eastAsia="Calibri"/>
                <w:sz w:val="16"/>
                <w:szCs w:val="16"/>
              </w:rPr>
              <w:t>4 2026</w:t>
            </w:r>
          </w:p>
        </w:tc>
        <w:tc>
          <w:tcPr>
            <w:tcW w:w="1768" w:type="dxa"/>
            <w:vMerge w:val="restart"/>
          </w:tcPr>
          <w:p w14:paraId="10659478" w14:textId="3B66725C" w:rsidR="000D65EC" w:rsidRPr="00B259EB" w:rsidRDefault="00456298" w:rsidP="000D65EC">
            <w:pPr>
              <w:jc w:val="both"/>
              <w:rPr>
                <w:rFonts w:eastAsia="Calibri"/>
                <w:b/>
                <w:bCs/>
                <w:sz w:val="16"/>
                <w:szCs w:val="16"/>
              </w:rPr>
            </w:pPr>
            <w:r>
              <w:rPr>
                <w:rFonts w:eastAsia="Calibri"/>
                <w:b/>
                <w:bCs/>
                <w:sz w:val="16"/>
                <w:szCs w:val="16"/>
              </w:rPr>
              <w:t>Nj</w:t>
            </w:r>
            <w:r w:rsidR="000A70F5">
              <w:rPr>
                <w:rFonts w:eastAsia="Calibri"/>
                <w:b/>
                <w:bCs/>
                <w:sz w:val="16"/>
                <w:szCs w:val="16"/>
              </w:rPr>
              <w:t>ë</w:t>
            </w:r>
            <w:r>
              <w:rPr>
                <w:rFonts w:eastAsia="Calibri"/>
                <w:b/>
                <w:bCs/>
                <w:sz w:val="16"/>
                <w:szCs w:val="16"/>
              </w:rPr>
              <w:t>sit</w:t>
            </w:r>
            <w:r w:rsidR="000A70F5">
              <w:rPr>
                <w:rFonts w:eastAsia="Calibri"/>
                <w:b/>
                <w:bCs/>
                <w:sz w:val="16"/>
                <w:szCs w:val="16"/>
              </w:rPr>
              <w:t>ë</w:t>
            </w:r>
            <w:r>
              <w:rPr>
                <w:rFonts w:eastAsia="Calibri"/>
                <w:b/>
                <w:bCs/>
                <w:sz w:val="16"/>
                <w:szCs w:val="16"/>
              </w:rPr>
              <w:t xml:space="preserve"> p</w:t>
            </w:r>
            <w:r w:rsidR="000A70F5">
              <w:rPr>
                <w:rFonts w:eastAsia="Calibri"/>
                <w:b/>
                <w:bCs/>
                <w:sz w:val="16"/>
                <w:szCs w:val="16"/>
              </w:rPr>
              <w:t>ë</w:t>
            </w:r>
            <w:r>
              <w:rPr>
                <w:rFonts w:eastAsia="Calibri"/>
                <w:b/>
                <w:bCs/>
                <w:sz w:val="16"/>
                <w:szCs w:val="16"/>
              </w:rPr>
              <w:t>rgjegj</w:t>
            </w:r>
            <w:r w:rsidR="000A70F5">
              <w:rPr>
                <w:rFonts w:eastAsia="Calibri"/>
                <w:b/>
                <w:bCs/>
                <w:sz w:val="16"/>
                <w:szCs w:val="16"/>
              </w:rPr>
              <w:t>ë</w:t>
            </w:r>
            <w:r>
              <w:rPr>
                <w:rFonts w:eastAsia="Calibri"/>
                <w:b/>
                <w:bCs/>
                <w:sz w:val="16"/>
                <w:szCs w:val="16"/>
              </w:rPr>
              <w:t>se</w:t>
            </w:r>
            <w:r w:rsidR="000D65EC" w:rsidRPr="00B259EB">
              <w:rPr>
                <w:rFonts w:eastAsia="Calibri"/>
                <w:b/>
                <w:bCs/>
                <w:sz w:val="16"/>
                <w:szCs w:val="16"/>
              </w:rPr>
              <w:t>:</w:t>
            </w:r>
          </w:p>
          <w:p w14:paraId="23FD7F36" w14:textId="284D54A8" w:rsidR="000D65EC" w:rsidRPr="00B259EB" w:rsidRDefault="00456298" w:rsidP="000D65EC">
            <w:pPr>
              <w:spacing w:line="264" w:lineRule="auto"/>
              <w:jc w:val="both"/>
              <w:rPr>
                <w:rFonts w:eastAsia="Calibri"/>
                <w:sz w:val="16"/>
                <w:szCs w:val="16"/>
              </w:rPr>
            </w:pPr>
            <w:r>
              <w:rPr>
                <w:rFonts w:eastAsia="Calibri"/>
                <w:sz w:val="16"/>
                <w:szCs w:val="16"/>
              </w:rPr>
              <w:t>MF</w:t>
            </w:r>
            <w:r w:rsidR="000D65EC" w:rsidRPr="00B259EB">
              <w:rPr>
                <w:rFonts w:eastAsia="Calibri"/>
                <w:sz w:val="16"/>
                <w:szCs w:val="16"/>
              </w:rPr>
              <w:t xml:space="preserve"> </w:t>
            </w:r>
            <w:r w:rsidR="000D65EC">
              <w:rPr>
                <w:rFonts w:eastAsia="Calibri"/>
                <w:sz w:val="16"/>
                <w:szCs w:val="16"/>
              </w:rPr>
              <w:t>D</w:t>
            </w:r>
            <w:r w:rsidR="00FA5C99">
              <w:rPr>
                <w:rFonts w:eastAsia="Calibri"/>
                <w:sz w:val="16"/>
                <w:szCs w:val="16"/>
              </w:rPr>
              <w:t>PPM (lider</w:t>
            </w:r>
            <w:r w:rsidR="000D65EC" w:rsidRPr="00B259EB">
              <w:rPr>
                <w:rFonts w:eastAsia="Calibri"/>
                <w:sz w:val="16"/>
                <w:szCs w:val="16"/>
              </w:rPr>
              <w:t>)</w:t>
            </w:r>
          </w:p>
          <w:p w14:paraId="4F05F642" w14:textId="77777777" w:rsidR="000D65EC" w:rsidRPr="00B259EB" w:rsidRDefault="000D65EC" w:rsidP="000D65EC">
            <w:pPr>
              <w:spacing w:line="264" w:lineRule="auto"/>
              <w:jc w:val="both"/>
              <w:rPr>
                <w:rFonts w:eastAsia="Calibri"/>
                <w:b/>
                <w:bCs/>
                <w:sz w:val="16"/>
                <w:szCs w:val="16"/>
              </w:rPr>
            </w:pPr>
          </w:p>
          <w:p w14:paraId="32C5324C" w14:textId="3895D749" w:rsidR="000D65EC" w:rsidRPr="00B259EB" w:rsidRDefault="000D65EC" w:rsidP="000D65EC">
            <w:pPr>
              <w:spacing w:line="264" w:lineRule="auto"/>
              <w:jc w:val="both"/>
              <w:rPr>
                <w:rFonts w:eastAsia="Calibri"/>
                <w:sz w:val="16"/>
                <w:szCs w:val="16"/>
              </w:rPr>
            </w:pPr>
            <w:r w:rsidRPr="00B259EB">
              <w:rPr>
                <w:rFonts w:eastAsia="Calibri"/>
                <w:b/>
                <w:bCs/>
                <w:sz w:val="16"/>
                <w:szCs w:val="16"/>
              </w:rPr>
              <w:t>Partner</w:t>
            </w:r>
            <w:r w:rsidR="000A70F5">
              <w:rPr>
                <w:rFonts w:eastAsia="Calibri"/>
                <w:b/>
                <w:bCs/>
                <w:sz w:val="16"/>
                <w:szCs w:val="16"/>
              </w:rPr>
              <w:t>ë</w:t>
            </w:r>
            <w:r w:rsidR="00FA5C99">
              <w:rPr>
                <w:rFonts w:eastAsia="Calibri"/>
                <w:b/>
                <w:bCs/>
                <w:sz w:val="16"/>
                <w:szCs w:val="16"/>
              </w:rPr>
              <w:t>t</w:t>
            </w:r>
            <w:r w:rsidRPr="00B259EB">
              <w:rPr>
                <w:rFonts w:eastAsia="Calibri"/>
                <w:b/>
                <w:bCs/>
                <w:sz w:val="16"/>
                <w:szCs w:val="16"/>
              </w:rPr>
              <w:t>:</w:t>
            </w:r>
            <w:r w:rsidRPr="00B259EB">
              <w:rPr>
                <w:rFonts w:eastAsia="Calibri"/>
                <w:sz w:val="16"/>
                <w:szCs w:val="16"/>
              </w:rPr>
              <w:t xml:space="preserve"> </w:t>
            </w:r>
          </w:p>
          <w:p w14:paraId="52274BCD" w14:textId="06DC8AC0" w:rsidR="000D65EC" w:rsidRPr="00B259EB" w:rsidRDefault="00FA5C99" w:rsidP="00255E1B">
            <w:pPr>
              <w:spacing w:line="264" w:lineRule="auto"/>
              <w:jc w:val="both"/>
              <w:rPr>
                <w:rFonts w:eastAsia="Calibri"/>
                <w:b/>
                <w:bCs/>
                <w:sz w:val="16"/>
                <w:szCs w:val="16"/>
              </w:rPr>
            </w:pPr>
            <w:r>
              <w:rPr>
                <w:rFonts w:eastAsia="Calibri"/>
                <w:sz w:val="16"/>
                <w:szCs w:val="16"/>
              </w:rPr>
              <w:t>FMN</w:t>
            </w:r>
            <w:r w:rsidR="000D65EC">
              <w:rPr>
                <w:rFonts w:eastAsia="Calibri"/>
                <w:sz w:val="16"/>
                <w:szCs w:val="16"/>
              </w:rPr>
              <w:t xml:space="preserve">, </w:t>
            </w:r>
            <w:r w:rsidR="00255E1B">
              <w:rPr>
                <w:rFonts w:eastAsia="Calibri"/>
                <w:sz w:val="16"/>
                <w:szCs w:val="16"/>
              </w:rPr>
              <w:t>BE</w:t>
            </w:r>
            <w:r w:rsidR="000D65EC" w:rsidRPr="00B259EB">
              <w:rPr>
                <w:rFonts w:eastAsia="Calibri" w:cs="Open Sans Light"/>
                <w:sz w:val="16"/>
                <w:szCs w:val="16"/>
                <w:vertAlign w:val="superscript"/>
              </w:rPr>
              <w:footnoteReference w:id="6"/>
            </w:r>
          </w:p>
        </w:tc>
      </w:tr>
      <w:tr w:rsidR="000D65EC" w:rsidRPr="00B259EB" w14:paraId="3302C616" w14:textId="77777777" w:rsidTr="00456298">
        <w:trPr>
          <w:trHeight w:val="464"/>
        </w:trPr>
        <w:tc>
          <w:tcPr>
            <w:tcW w:w="2046" w:type="dxa"/>
            <w:vMerge/>
            <w:shd w:val="clear" w:color="auto" w:fill="auto"/>
          </w:tcPr>
          <w:p w14:paraId="68730B83" w14:textId="77777777" w:rsidR="000D65EC" w:rsidRPr="00B259EB" w:rsidRDefault="000D65EC" w:rsidP="000D65EC">
            <w:pPr>
              <w:numPr>
                <w:ilvl w:val="0"/>
                <w:numId w:val="17"/>
              </w:numPr>
              <w:jc w:val="both"/>
              <w:rPr>
                <w:rFonts w:eastAsia="Calibri"/>
                <w:sz w:val="16"/>
                <w:szCs w:val="16"/>
              </w:rPr>
            </w:pPr>
          </w:p>
        </w:tc>
        <w:tc>
          <w:tcPr>
            <w:tcW w:w="3587" w:type="dxa"/>
          </w:tcPr>
          <w:p w14:paraId="208D7E07" w14:textId="6DF9D02C" w:rsidR="000D65EC" w:rsidRPr="009D660E" w:rsidRDefault="00456298" w:rsidP="00CD7428">
            <w:pPr>
              <w:numPr>
                <w:ilvl w:val="0"/>
                <w:numId w:val="87"/>
              </w:numPr>
              <w:autoSpaceDE w:val="0"/>
              <w:autoSpaceDN w:val="0"/>
              <w:adjustRightInd w:val="0"/>
              <w:spacing w:line="240" w:lineRule="auto"/>
              <w:contextualSpacing/>
              <w:rPr>
                <w:rFonts w:eastAsia="Times New Roman"/>
                <w:bCs/>
                <w:sz w:val="16"/>
                <w:szCs w:val="16"/>
                <w:lang w:val="it-IT"/>
              </w:rPr>
            </w:pPr>
            <w:r w:rsidRPr="009D660E">
              <w:rPr>
                <w:rFonts w:eastAsia="Times New Roman"/>
                <w:bCs/>
                <w:sz w:val="16"/>
                <w:szCs w:val="16"/>
                <w:lang w:val="it-IT"/>
              </w:rPr>
              <w:t>Zhvillimi dhe zbatimi i aktiviteteve p</w:t>
            </w:r>
            <w:r w:rsidR="000A70F5" w:rsidRPr="009D660E">
              <w:rPr>
                <w:rFonts w:eastAsia="Times New Roman"/>
                <w:bCs/>
                <w:sz w:val="16"/>
                <w:szCs w:val="16"/>
                <w:lang w:val="it-IT"/>
              </w:rPr>
              <w:t>ë</w:t>
            </w:r>
            <w:r w:rsidRPr="009D660E">
              <w:rPr>
                <w:rFonts w:eastAsia="Times New Roman"/>
                <w:bCs/>
                <w:sz w:val="16"/>
                <w:szCs w:val="16"/>
                <w:lang w:val="it-IT"/>
              </w:rPr>
              <w:t>r zhvillimin e kapaciteteve</w:t>
            </w:r>
            <w:r w:rsidR="000D65EC" w:rsidRPr="009D660E">
              <w:rPr>
                <w:rFonts w:eastAsia="Times New Roman"/>
                <w:bCs/>
                <w:sz w:val="16"/>
                <w:szCs w:val="16"/>
                <w:lang w:val="it-IT"/>
              </w:rPr>
              <w:t xml:space="preserve"> </w:t>
            </w:r>
          </w:p>
        </w:tc>
        <w:tc>
          <w:tcPr>
            <w:tcW w:w="801" w:type="dxa"/>
          </w:tcPr>
          <w:p w14:paraId="6F28996C" w14:textId="49D920AE" w:rsidR="000D65EC" w:rsidRPr="00B259EB" w:rsidRDefault="00456298" w:rsidP="000D65EC">
            <w:pPr>
              <w:jc w:val="both"/>
              <w:rPr>
                <w:rFonts w:eastAsia="Calibri"/>
                <w:sz w:val="16"/>
                <w:szCs w:val="16"/>
              </w:rPr>
            </w:pPr>
            <w:r>
              <w:rPr>
                <w:rFonts w:eastAsia="Calibri"/>
                <w:sz w:val="16"/>
                <w:szCs w:val="16"/>
              </w:rPr>
              <w:t>T</w:t>
            </w:r>
            <w:r w:rsidR="000D65EC">
              <w:rPr>
                <w:rFonts w:eastAsia="Calibri"/>
                <w:sz w:val="16"/>
                <w:szCs w:val="16"/>
              </w:rPr>
              <w:t>4 2024</w:t>
            </w:r>
          </w:p>
        </w:tc>
        <w:tc>
          <w:tcPr>
            <w:tcW w:w="814" w:type="dxa"/>
          </w:tcPr>
          <w:p w14:paraId="0392BDFF" w14:textId="685B334E" w:rsidR="000D65EC" w:rsidRPr="00B259EB" w:rsidRDefault="00456298" w:rsidP="000D65EC">
            <w:pPr>
              <w:jc w:val="both"/>
              <w:rPr>
                <w:rFonts w:eastAsia="Calibri"/>
                <w:sz w:val="16"/>
                <w:szCs w:val="16"/>
              </w:rPr>
            </w:pPr>
            <w:r>
              <w:rPr>
                <w:rFonts w:eastAsia="Calibri"/>
                <w:sz w:val="16"/>
                <w:szCs w:val="16"/>
              </w:rPr>
              <w:t>T</w:t>
            </w:r>
            <w:r w:rsidR="000D65EC">
              <w:rPr>
                <w:rFonts w:eastAsia="Calibri"/>
                <w:sz w:val="16"/>
                <w:szCs w:val="16"/>
              </w:rPr>
              <w:t>4 2026</w:t>
            </w:r>
          </w:p>
        </w:tc>
        <w:tc>
          <w:tcPr>
            <w:tcW w:w="1768" w:type="dxa"/>
            <w:vMerge/>
          </w:tcPr>
          <w:p w14:paraId="2F8F998F" w14:textId="77777777" w:rsidR="000D65EC" w:rsidRPr="00B259EB" w:rsidRDefault="000D65EC" w:rsidP="000D65EC">
            <w:pPr>
              <w:jc w:val="both"/>
              <w:rPr>
                <w:rFonts w:eastAsia="Calibri"/>
                <w:sz w:val="16"/>
                <w:szCs w:val="16"/>
              </w:rPr>
            </w:pPr>
          </w:p>
        </w:tc>
      </w:tr>
      <w:tr w:rsidR="000D65EC" w:rsidRPr="00B259EB" w14:paraId="25140BB2" w14:textId="77777777" w:rsidTr="00456298">
        <w:trPr>
          <w:trHeight w:val="374"/>
        </w:trPr>
        <w:tc>
          <w:tcPr>
            <w:tcW w:w="2046" w:type="dxa"/>
            <w:vMerge w:val="restart"/>
            <w:shd w:val="clear" w:color="auto" w:fill="auto"/>
          </w:tcPr>
          <w:p w14:paraId="0C760A3E" w14:textId="33367447" w:rsidR="000D65EC" w:rsidRPr="00890C33" w:rsidRDefault="000D65EC" w:rsidP="0003786A">
            <w:pPr>
              <w:rPr>
                <w:rFonts w:eastAsia="Calibri"/>
                <w:b/>
                <w:sz w:val="16"/>
                <w:szCs w:val="16"/>
              </w:rPr>
            </w:pPr>
            <w:r w:rsidRPr="00890C33">
              <w:rPr>
                <w:rFonts w:eastAsia="Calibri"/>
                <w:b/>
                <w:sz w:val="16"/>
                <w:szCs w:val="16"/>
              </w:rPr>
              <w:t>1.2.2</w:t>
            </w:r>
            <w:r>
              <w:rPr>
                <w:rFonts w:eastAsia="Calibri"/>
                <w:b/>
                <w:sz w:val="16"/>
                <w:szCs w:val="16"/>
              </w:rPr>
              <w:t xml:space="preserve"> </w:t>
            </w:r>
            <w:r w:rsidR="0003786A">
              <w:rPr>
                <w:rFonts w:eastAsia="Calibri"/>
                <w:b/>
                <w:sz w:val="16"/>
                <w:szCs w:val="16"/>
              </w:rPr>
              <w:t>Prezantimi i kuadrit t</w:t>
            </w:r>
            <w:r w:rsidR="000A70F5">
              <w:rPr>
                <w:rFonts w:eastAsia="Calibri"/>
                <w:b/>
                <w:sz w:val="16"/>
                <w:szCs w:val="16"/>
              </w:rPr>
              <w:t>ë</w:t>
            </w:r>
            <w:r w:rsidR="0003786A">
              <w:rPr>
                <w:rFonts w:eastAsia="Calibri"/>
                <w:b/>
                <w:sz w:val="16"/>
                <w:szCs w:val="16"/>
              </w:rPr>
              <w:t xml:space="preserve"> Analiz</w:t>
            </w:r>
            <w:r w:rsidR="000A70F5">
              <w:rPr>
                <w:rFonts w:eastAsia="Calibri"/>
                <w:b/>
                <w:sz w:val="16"/>
                <w:szCs w:val="16"/>
              </w:rPr>
              <w:t>ë</w:t>
            </w:r>
            <w:r w:rsidR="0003786A">
              <w:rPr>
                <w:rFonts w:eastAsia="Calibri"/>
                <w:b/>
                <w:sz w:val="16"/>
                <w:szCs w:val="16"/>
              </w:rPr>
              <w:t>s s</w:t>
            </w:r>
            <w:r w:rsidR="000A70F5">
              <w:rPr>
                <w:rFonts w:eastAsia="Calibri"/>
                <w:b/>
                <w:sz w:val="16"/>
                <w:szCs w:val="16"/>
              </w:rPr>
              <w:t>ë</w:t>
            </w:r>
            <w:r w:rsidR="0003786A">
              <w:rPr>
                <w:rFonts w:eastAsia="Calibri"/>
                <w:b/>
                <w:sz w:val="16"/>
                <w:szCs w:val="16"/>
              </w:rPr>
              <w:t xml:space="preserve"> </w:t>
            </w:r>
            <w:r w:rsidR="007F1AB9">
              <w:rPr>
                <w:rFonts w:eastAsia="Times New Roman"/>
                <w:b/>
                <w:bCs/>
                <w:sz w:val="16"/>
                <w:szCs w:val="16"/>
              </w:rPr>
              <w:t>Q</w:t>
            </w:r>
            <w:r w:rsidR="000A70F5">
              <w:rPr>
                <w:rFonts w:eastAsia="Times New Roman"/>
                <w:b/>
                <w:bCs/>
                <w:sz w:val="16"/>
                <w:szCs w:val="16"/>
              </w:rPr>
              <w:t>ë</w:t>
            </w:r>
            <w:r w:rsidR="007F1AB9">
              <w:rPr>
                <w:rFonts w:eastAsia="Times New Roman"/>
                <w:b/>
                <w:bCs/>
                <w:sz w:val="16"/>
                <w:szCs w:val="16"/>
              </w:rPr>
              <w:t>ndrueshm</w:t>
            </w:r>
            <w:r w:rsidR="000A70F5">
              <w:rPr>
                <w:rFonts w:eastAsia="Times New Roman"/>
                <w:b/>
                <w:bCs/>
                <w:sz w:val="16"/>
                <w:szCs w:val="16"/>
              </w:rPr>
              <w:t>ë</w:t>
            </w:r>
            <w:r w:rsidR="007F1AB9">
              <w:rPr>
                <w:rFonts w:eastAsia="Times New Roman"/>
                <w:b/>
                <w:bCs/>
                <w:sz w:val="16"/>
                <w:szCs w:val="16"/>
              </w:rPr>
              <w:t>ris</w:t>
            </w:r>
            <w:r w:rsidR="000A70F5">
              <w:rPr>
                <w:rFonts w:eastAsia="Times New Roman"/>
                <w:b/>
                <w:bCs/>
                <w:sz w:val="16"/>
                <w:szCs w:val="16"/>
              </w:rPr>
              <w:t>ë</w:t>
            </w:r>
            <w:r w:rsidR="007F1AB9">
              <w:rPr>
                <w:rFonts w:eastAsia="Times New Roman"/>
                <w:b/>
                <w:bCs/>
                <w:sz w:val="16"/>
                <w:szCs w:val="16"/>
              </w:rPr>
              <w:t xml:space="preserve"> s</w:t>
            </w:r>
            <w:r w:rsidR="000A70F5">
              <w:rPr>
                <w:rFonts w:eastAsia="Times New Roman"/>
                <w:b/>
                <w:bCs/>
                <w:sz w:val="16"/>
                <w:szCs w:val="16"/>
              </w:rPr>
              <w:t>ë</w:t>
            </w:r>
            <w:r w:rsidR="007F1AB9">
              <w:rPr>
                <w:rFonts w:eastAsia="Times New Roman"/>
                <w:b/>
                <w:bCs/>
                <w:sz w:val="16"/>
                <w:szCs w:val="16"/>
              </w:rPr>
              <w:t xml:space="preserve"> Borxhit si nj</w:t>
            </w:r>
            <w:r w:rsidR="000A70F5">
              <w:rPr>
                <w:rFonts w:eastAsia="Times New Roman"/>
                <w:b/>
                <w:bCs/>
                <w:sz w:val="16"/>
                <w:szCs w:val="16"/>
              </w:rPr>
              <w:t>ë</w:t>
            </w:r>
            <w:r w:rsidR="007F1AB9">
              <w:rPr>
                <w:rFonts w:eastAsia="Times New Roman"/>
                <w:b/>
                <w:bCs/>
                <w:sz w:val="16"/>
                <w:szCs w:val="16"/>
              </w:rPr>
              <w:t xml:space="preserve"> mjet programimi makroekonomik</w:t>
            </w:r>
          </w:p>
        </w:tc>
        <w:tc>
          <w:tcPr>
            <w:tcW w:w="3587" w:type="dxa"/>
          </w:tcPr>
          <w:p w14:paraId="2773B49B" w14:textId="2ACF7486" w:rsidR="000D65EC" w:rsidRPr="00B259EB" w:rsidRDefault="00456298" w:rsidP="00CD7428">
            <w:pPr>
              <w:numPr>
                <w:ilvl w:val="0"/>
                <w:numId w:val="88"/>
              </w:numPr>
              <w:autoSpaceDE w:val="0"/>
              <w:autoSpaceDN w:val="0"/>
              <w:adjustRightInd w:val="0"/>
              <w:spacing w:line="240" w:lineRule="auto"/>
              <w:contextualSpacing/>
              <w:jc w:val="both"/>
              <w:rPr>
                <w:rFonts w:eastAsia="Times New Roman"/>
                <w:bCs/>
                <w:sz w:val="16"/>
                <w:szCs w:val="16"/>
              </w:rPr>
            </w:pPr>
            <w:r>
              <w:rPr>
                <w:rFonts w:eastAsia="Times New Roman"/>
                <w:bCs/>
                <w:sz w:val="16"/>
                <w:szCs w:val="16"/>
              </w:rPr>
              <w:t>P</w:t>
            </w:r>
            <w:r w:rsidR="000A70F5">
              <w:rPr>
                <w:rFonts w:eastAsia="Times New Roman"/>
                <w:bCs/>
                <w:sz w:val="16"/>
                <w:szCs w:val="16"/>
              </w:rPr>
              <w:t>ë</w:t>
            </w:r>
            <w:r>
              <w:rPr>
                <w:rFonts w:eastAsia="Times New Roman"/>
                <w:bCs/>
                <w:sz w:val="16"/>
                <w:szCs w:val="16"/>
              </w:rPr>
              <w:t>rgatitja e kuadrit t</w:t>
            </w:r>
            <w:r w:rsidR="000A70F5">
              <w:rPr>
                <w:rFonts w:eastAsia="Times New Roman"/>
                <w:bCs/>
                <w:sz w:val="16"/>
                <w:szCs w:val="16"/>
              </w:rPr>
              <w:t>ë</w:t>
            </w:r>
            <w:r>
              <w:rPr>
                <w:rFonts w:eastAsia="Times New Roman"/>
                <w:bCs/>
                <w:sz w:val="16"/>
                <w:szCs w:val="16"/>
              </w:rPr>
              <w:t xml:space="preserve"> personalizuar t</w:t>
            </w:r>
            <w:r w:rsidR="000A70F5">
              <w:rPr>
                <w:rFonts w:eastAsia="Times New Roman"/>
                <w:bCs/>
                <w:sz w:val="16"/>
                <w:szCs w:val="16"/>
              </w:rPr>
              <w:t>ë</w:t>
            </w:r>
            <w:r>
              <w:rPr>
                <w:rFonts w:eastAsia="Times New Roman"/>
                <w:bCs/>
                <w:sz w:val="16"/>
                <w:szCs w:val="16"/>
              </w:rPr>
              <w:t xml:space="preserve"> Analiz</w:t>
            </w:r>
            <w:r w:rsidR="000A70F5">
              <w:rPr>
                <w:rFonts w:eastAsia="Times New Roman"/>
                <w:bCs/>
                <w:sz w:val="16"/>
                <w:szCs w:val="16"/>
              </w:rPr>
              <w:t>ë</w:t>
            </w:r>
            <w:r>
              <w:rPr>
                <w:rFonts w:eastAsia="Times New Roman"/>
                <w:bCs/>
                <w:sz w:val="16"/>
                <w:szCs w:val="16"/>
              </w:rPr>
              <w:t>s s</w:t>
            </w:r>
            <w:r w:rsidR="000A70F5">
              <w:rPr>
                <w:rFonts w:eastAsia="Times New Roman"/>
                <w:bCs/>
                <w:sz w:val="16"/>
                <w:szCs w:val="16"/>
              </w:rPr>
              <w:t>ë</w:t>
            </w:r>
            <w:r>
              <w:rPr>
                <w:rFonts w:eastAsia="Times New Roman"/>
                <w:bCs/>
                <w:sz w:val="16"/>
                <w:szCs w:val="16"/>
              </w:rPr>
              <w:t xml:space="preserve"> Q</w:t>
            </w:r>
            <w:r w:rsidR="000A70F5">
              <w:rPr>
                <w:rFonts w:eastAsia="Times New Roman"/>
                <w:bCs/>
                <w:sz w:val="16"/>
                <w:szCs w:val="16"/>
              </w:rPr>
              <w:t>ë</w:t>
            </w:r>
            <w:r>
              <w:rPr>
                <w:rFonts w:eastAsia="Times New Roman"/>
                <w:bCs/>
                <w:sz w:val="16"/>
                <w:szCs w:val="16"/>
              </w:rPr>
              <w:t>ndrueshm</w:t>
            </w:r>
            <w:r w:rsidR="000A70F5">
              <w:rPr>
                <w:rFonts w:eastAsia="Times New Roman"/>
                <w:bCs/>
                <w:sz w:val="16"/>
                <w:szCs w:val="16"/>
              </w:rPr>
              <w:t>ë</w:t>
            </w:r>
            <w:r>
              <w:rPr>
                <w:rFonts w:eastAsia="Times New Roman"/>
                <w:bCs/>
                <w:sz w:val="16"/>
                <w:szCs w:val="16"/>
              </w:rPr>
              <w:t>ris</w:t>
            </w:r>
            <w:r w:rsidR="000A70F5">
              <w:rPr>
                <w:rFonts w:eastAsia="Times New Roman"/>
                <w:bCs/>
                <w:sz w:val="16"/>
                <w:szCs w:val="16"/>
              </w:rPr>
              <w:t>ë</w:t>
            </w:r>
            <w:r>
              <w:rPr>
                <w:rFonts w:eastAsia="Times New Roman"/>
                <w:bCs/>
                <w:sz w:val="16"/>
                <w:szCs w:val="16"/>
              </w:rPr>
              <w:t xml:space="preserve"> s</w:t>
            </w:r>
            <w:r w:rsidR="000A70F5">
              <w:rPr>
                <w:rFonts w:eastAsia="Times New Roman"/>
                <w:bCs/>
                <w:sz w:val="16"/>
                <w:szCs w:val="16"/>
              </w:rPr>
              <w:t>ë</w:t>
            </w:r>
            <w:r>
              <w:rPr>
                <w:rFonts w:eastAsia="Times New Roman"/>
                <w:bCs/>
                <w:sz w:val="16"/>
                <w:szCs w:val="16"/>
              </w:rPr>
              <w:t xml:space="preserve"> Borxhit</w:t>
            </w:r>
            <w:r w:rsidR="000D65EC">
              <w:rPr>
                <w:rFonts w:eastAsia="Times New Roman"/>
                <w:bCs/>
                <w:sz w:val="16"/>
                <w:szCs w:val="16"/>
              </w:rPr>
              <w:t xml:space="preserve"> </w:t>
            </w:r>
          </w:p>
        </w:tc>
        <w:tc>
          <w:tcPr>
            <w:tcW w:w="801" w:type="dxa"/>
            <w:vAlign w:val="center"/>
          </w:tcPr>
          <w:p w14:paraId="1CE46E1C" w14:textId="514BC9BA" w:rsidR="000D65EC" w:rsidRPr="00B259EB" w:rsidRDefault="00456298" w:rsidP="000D65EC">
            <w:pPr>
              <w:jc w:val="both"/>
              <w:rPr>
                <w:rFonts w:eastAsia="Calibri"/>
                <w:sz w:val="16"/>
                <w:szCs w:val="16"/>
              </w:rPr>
            </w:pPr>
            <w:r>
              <w:rPr>
                <w:rFonts w:eastAsia="Calibri"/>
                <w:sz w:val="16"/>
                <w:szCs w:val="16"/>
              </w:rPr>
              <w:t>T</w:t>
            </w:r>
            <w:r w:rsidR="000D65EC">
              <w:rPr>
                <w:rFonts w:eastAsia="Calibri"/>
                <w:sz w:val="16"/>
                <w:szCs w:val="16"/>
              </w:rPr>
              <w:t>1 2025</w:t>
            </w:r>
          </w:p>
        </w:tc>
        <w:tc>
          <w:tcPr>
            <w:tcW w:w="814" w:type="dxa"/>
            <w:vAlign w:val="center"/>
          </w:tcPr>
          <w:p w14:paraId="0260ECCF" w14:textId="41B125EC" w:rsidR="000D65EC" w:rsidRPr="00B259EB" w:rsidRDefault="00456298" w:rsidP="000D65EC">
            <w:pPr>
              <w:jc w:val="both"/>
              <w:rPr>
                <w:rFonts w:eastAsia="Calibri"/>
                <w:sz w:val="16"/>
                <w:szCs w:val="16"/>
              </w:rPr>
            </w:pPr>
            <w:r>
              <w:rPr>
                <w:rFonts w:eastAsia="Calibri"/>
                <w:sz w:val="16"/>
                <w:szCs w:val="16"/>
              </w:rPr>
              <w:t>T</w:t>
            </w:r>
            <w:r w:rsidR="000D65EC">
              <w:rPr>
                <w:rFonts w:eastAsia="Calibri"/>
                <w:sz w:val="16"/>
                <w:szCs w:val="16"/>
              </w:rPr>
              <w:t>4 2026</w:t>
            </w:r>
          </w:p>
        </w:tc>
        <w:tc>
          <w:tcPr>
            <w:tcW w:w="1768" w:type="dxa"/>
            <w:vMerge w:val="restart"/>
          </w:tcPr>
          <w:p w14:paraId="5B69835C" w14:textId="1C6CEE60" w:rsidR="000D65EC" w:rsidRPr="00B259EB" w:rsidRDefault="00FA5C99" w:rsidP="000D65EC">
            <w:pPr>
              <w:jc w:val="both"/>
              <w:rPr>
                <w:rFonts w:eastAsia="Calibri"/>
                <w:b/>
                <w:bCs/>
                <w:sz w:val="16"/>
                <w:szCs w:val="16"/>
              </w:rPr>
            </w:pPr>
            <w:r>
              <w:rPr>
                <w:rFonts w:eastAsia="Calibri"/>
                <w:b/>
                <w:bCs/>
                <w:sz w:val="16"/>
                <w:szCs w:val="16"/>
              </w:rPr>
              <w:t>Nj</w:t>
            </w:r>
            <w:r w:rsidR="000A70F5">
              <w:rPr>
                <w:rFonts w:eastAsia="Calibri"/>
                <w:b/>
                <w:bCs/>
                <w:sz w:val="16"/>
                <w:szCs w:val="16"/>
              </w:rPr>
              <w:t>ë</w:t>
            </w:r>
            <w:r>
              <w:rPr>
                <w:rFonts w:eastAsia="Calibri"/>
                <w:b/>
                <w:bCs/>
                <w:sz w:val="16"/>
                <w:szCs w:val="16"/>
              </w:rPr>
              <w:t>sit</w:t>
            </w:r>
            <w:r w:rsidR="000A70F5">
              <w:rPr>
                <w:rFonts w:eastAsia="Calibri"/>
                <w:b/>
                <w:bCs/>
                <w:sz w:val="16"/>
                <w:szCs w:val="16"/>
              </w:rPr>
              <w:t>ë</w:t>
            </w:r>
            <w:r>
              <w:rPr>
                <w:rFonts w:eastAsia="Calibri"/>
                <w:b/>
                <w:bCs/>
                <w:sz w:val="16"/>
                <w:szCs w:val="16"/>
              </w:rPr>
              <w:t xml:space="preserve"> p</w:t>
            </w:r>
            <w:r w:rsidR="000A70F5">
              <w:rPr>
                <w:rFonts w:eastAsia="Calibri"/>
                <w:b/>
                <w:bCs/>
                <w:sz w:val="16"/>
                <w:szCs w:val="16"/>
              </w:rPr>
              <w:t>ë</w:t>
            </w:r>
            <w:r>
              <w:rPr>
                <w:rFonts w:eastAsia="Calibri"/>
                <w:b/>
                <w:bCs/>
                <w:sz w:val="16"/>
                <w:szCs w:val="16"/>
              </w:rPr>
              <w:t>rgjegj</w:t>
            </w:r>
            <w:r w:rsidR="000A70F5">
              <w:rPr>
                <w:rFonts w:eastAsia="Calibri"/>
                <w:b/>
                <w:bCs/>
                <w:sz w:val="16"/>
                <w:szCs w:val="16"/>
              </w:rPr>
              <w:t>ë</w:t>
            </w:r>
            <w:r>
              <w:rPr>
                <w:rFonts w:eastAsia="Calibri"/>
                <w:b/>
                <w:bCs/>
                <w:sz w:val="16"/>
                <w:szCs w:val="16"/>
              </w:rPr>
              <w:t>se</w:t>
            </w:r>
            <w:r w:rsidR="000D65EC" w:rsidRPr="00B259EB">
              <w:rPr>
                <w:rFonts w:eastAsia="Calibri"/>
                <w:b/>
                <w:bCs/>
                <w:sz w:val="16"/>
                <w:szCs w:val="16"/>
              </w:rPr>
              <w:t xml:space="preserve">: </w:t>
            </w:r>
          </w:p>
          <w:p w14:paraId="79E1492C" w14:textId="30684D78" w:rsidR="000D65EC" w:rsidRPr="00B259EB" w:rsidRDefault="000D65EC" w:rsidP="000D65EC">
            <w:pPr>
              <w:spacing w:line="264" w:lineRule="auto"/>
              <w:jc w:val="both"/>
              <w:rPr>
                <w:rFonts w:eastAsia="Calibri"/>
                <w:sz w:val="16"/>
                <w:szCs w:val="16"/>
              </w:rPr>
            </w:pPr>
            <w:r>
              <w:rPr>
                <w:rFonts w:eastAsia="Calibri"/>
                <w:sz w:val="16"/>
                <w:szCs w:val="16"/>
              </w:rPr>
              <w:t>D</w:t>
            </w:r>
            <w:r w:rsidR="00FA5C99">
              <w:rPr>
                <w:rFonts w:eastAsia="Calibri"/>
                <w:sz w:val="16"/>
                <w:szCs w:val="16"/>
              </w:rPr>
              <w:t>PPM</w:t>
            </w:r>
            <w:r>
              <w:rPr>
                <w:rFonts w:eastAsia="Calibri"/>
                <w:sz w:val="16"/>
                <w:szCs w:val="16"/>
              </w:rPr>
              <w:t xml:space="preserve"> </w:t>
            </w:r>
            <w:r w:rsidR="00FA5C99">
              <w:rPr>
                <w:rFonts w:eastAsia="Calibri"/>
                <w:sz w:val="16"/>
                <w:szCs w:val="16"/>
              </w:rPr>
              <w:t>(lider</w:t>
            </w:r>
            <w:r w:rsidRPr="00B259EB">
              <w:rPr>
                <w:rFonts w:eastAsia="Calibri"/>
                <w:sz w:val="16"/>
                <w:szCs w:val="16"/>
              </w:rPr>
              <w:t>)</w:t>
            </w:r>
          </w:p>
          <w:p w14:paraId="52C10B47" w14:textId="77777777" w:rsidR="000D65EC" w:rsidRPr="00B259EB" w:rsidRDefault="000D65EC" w:rsidP="000D65EC">
            <w:pPr>
              <w:spacing w:line="264" w:lineRule="auto"/>
              <w:jc w:val="both"/>
              <w:rPr>
                <w:rFonts w:eastAsia="Calibri"/>
                <w:b/>
                <w:bCs/>
                <w:sz w:val="16"/>
                <w:szCs w:val="16"/>
              </w:rPr>
            </w:pPr>
          </w:p>
          <w:p w14:paraId="52DA8B04" w14:textId="77777777" w:rsidR="000D65EC" w:rsidRPr="00B259EB" w:rsidRDefault="000D65EC" w:rsidP="000D65EC">
            <w:pPr>
              <w:spacing w:line="264" w:lineRule="auto"/>
              <w:jc w:val="both"/>
              <w:rPr>
                <w:rFonts w:eastAsia="Calibri"/>
                <w:sz w:val="16"/>
                <w:szCs w:val="16"/>
              </w:rPr>
            </w:pPr>
          </w:p>
        </w:tc>
      </w:tr>
      <w:tr w:rsidR="000D65EC" w:rsidRPr="00B259EB" w14:paraId="0F5A7FD3" w14:textId="77777777" w:rsidTr="00456298">
        <w:trPr>
          <w:trHeight w:val="20"/>
        </w:trPr>
        <w:tc>
          <w:tcPr>
            <w:tcW w:w="2046" w:type="dxa"/>
            <w:vMerge/>
            <w:shd w:val="clear" w:color="auto" w:fill="auto"/>
          </w:tcPr>
          <w:p w14:paraId="0D116D14" w14:textId="77777777" w:rsidR="000D65EC" w:rsidRPr="00B259EB" w:rsidRDefault="000D65EC" w:rsidP="000D65EC">
            <w:pPr>
              <w:jc w:val="both"/>
              <w:rPr>
                <w:rFonts w:eastAsia="Calibri"/>
                <w:sz w:val="16"/>
                <w:szCs w:val="16"/>
              </w:rPr>
            </w:pPr>
          </w:p>
        </w:tc>
        <w:tc>
          <w:tcPr>
            <w:tcW w:w="3587" w:type="dxa"/>
          </w:tcPr>
          <w:p w14:paraId="709261B1" w14:textId="316FF0B3" w:rsidR="000D65EC" w:rsidRPr="00EF6DB9" w:rsidRDefault="00456298" w:rsidP="00CD7428">
            <w:pPr>
              <w:pStyle w:val="ListParagraph"/>
              <w:numPr>
                <w:ilvl w:val="0"/>
                <w:numId w:val="90"/>
              </w:numPr>
              <w:autoSpaceDE w:val="0"/>
              <w:autoSpaceDN w:val="0"/>
              <w:adjustRightInd w:val="0"/>
              <w:spacing w:line="240" w:lineRule="auto"/>
              <w:rPr>
                <w:rFonts w:eastAsia="Times New Roman"/>
                <w:bCs/>
                <w:sz w:val="16"/>
                <w:szCs w:val="16"/>
              </w:rPr>
            </w:pPr>
            <w:r>
              <w:rPr>
                <w:rFonts w:eastAsia="Times New Roman"/>
                <w:bCs/>
                <w:sz w:val="16"/>
                <w:szCs w:val="16"/>
              </w:rPr>
              <w:t>P</w:t>
            </w:r>
            <w:r w:rsidR="000A70F5">
              <w:rPr>
                <w:rFonts w:eastAsia="Times New Roman"/>
                <w:bCs/>
                <w:sz w:val="16"/>
                <w:szCs w:val="16"/>
              </w:rPr>
              <w:t>ë</w:t>
            </w:r>
            <w:r>
              <w:rPr>
                <w:rFonts w:eastAsia="Times New Roman"/>
                <w:bCs/>
                <w:sz w:val="16"/>
                <w:szCs w:val="16"/>
              </w:rPr>
              <w:t>rfshirja e kuadrit t</w:t>
            </w:r>
            <w:r w:rsidR="000A70F5">
              <w:rPr>
                <w:rFonts w:eastAsia="Times New Roman"/>
                <w:bCs/>
                <w:sz w:val="16"/>
                <w:szCs w:val="16"/>
              </w:rPr>
              <w:t>ë</w:t>
            </w:r>
            <w:r>
              <w:rPr>
                <w:rFonts w:eastAsia="Times New Roman"/>
                <w:bCs/>
                <w:sz w:val="16"/>
                <w:szCs w:val="16"/>
              </w:rPr>
              <w:t xml:space="preserve"> </w:t>
            </w:r>
            <w:r w:rsidRPr="00456298">
              <w:rPr>
                <w:rFonts w:eastAsia="Times New Roman"/>
                <w:bCs/>
                <w:sz w:val="16"/>
                <w:szCs w:val="16"/>
              </w:rPr>
              <w:t>Analizës së Qëndrueshmërisë së Borxhit</w:t>
            </w:r>
            <w:r>
              <w:rPr>
                <w:rFonts w:eastAsia="Times New Roman"/>
                <w:bCs/>
                <w:sz w:val="16"/>
                <w:szCs w:val="16"/>
              </w:rPr>
              <w:t xml:space="preserve">  dhe gjetjeve n</w:t>
            </w:r>
            <w:r w:rsidR="000A70F5">
              <w:rPr>
                <w:rFonts w:eastAsia="Times New Roman"/>
                <w:bCs/>
                <w:sz w:val="16"/>
                <w:szCs w:val="16"/>
              </w:rPr>
              <w:t>ë</w:t>
            </w:r>
            <w:r>
              <w:rPr>
                <w:rFonts w:eastAsia="Times New Roman"/>
                <w:bCs/>
                <w:sz w:val="16"/>
                <w:szCs w:val="16"/>
              </w:rPr>
              <w:t xml:space="preserve"> programimin makroekonomik </w:t>
            </w:r>
            <w:r w:rsidR="000D65EC" w:rsidRPr="00EF6DB9">
              <w:rPr>
                <w:rFonts w:eastAsia="Times New Roman"/>
                <w:bCs/>
                <w:sz w:val="16"/>
                <w:szCs w:val="16"/>
              </w:rPr>
              <w:t xml:space="preserve"> </w:t>
            </w:r>
          </w:p>
        </w:tc>
        <w:tc>
          <w:tcPr>
            <w:tcW w:w="801" w:type="dxa"/>
            <w:vAlign w:val="center"/>
          </w:tcPr>
          <w:p w14:paraId="3ABAC3CE" w14:textId="1B601F44" w:rsidR="000D65EC" w:rsidRPr="00B259EB" w:rsidRDefault="00456298" w:rsidP="000D65EC">
            <w:pPr>
              <w:jc w:val="both"/>
              <w:rPr>
                <w:rFonts w:eastAsia="Calibri"/>
                <w:sz w:val="16"/>
                <w:szCs w:val="16"/>
              </w:rPr>
            </w:pPr>
            <w:r>
              <w:rPr>
                <w:rFonts w:eastAsia="Calibri"/>
                <w:sz w:val="16"/>
                <w:szCs w:val="16"/>
              </w:rPr>
              <w:t>T</w:t>
            </w:r>
            <w:r w:rsidR="000D65EC">
              <w:rPr>
                <w:rFonts w:eastAsia="Calibri"/>
                <w:sz w:val="16"/>
                <w:szCs w:val="16"/>
              </w:rPr>
              <w:t>4 2026</w:t>
            </w:r>
          </w:p>
        </w:tc>
        <w:tc>
          <w:tcPr>
            <w:tcW w:w="814" w:type="dxa"/>
            <w:vAlign w:val="center"/>
          </w:tcPr>
          <w:p w14:paraId="29F67D18" w14:textId="7160C14F" w:rsidR="000D65EC" w:rsidRPr="00B259EB" w:rsidRDefault="00456298" w:rsidP="000D65EC">
            <w:pPr>
              <w:jc w:val="both"/>
              <w:rPr>
                <w:rFonts w:eastAsia="Calibri"/>
                <w:sz w:val="16"/>
                <w:szCs w:val="16"/>
              </w:rPr>
            </w:pPr>
            <w:r>
              <w:rPr>
                <w:rFonts w:eastAsia="Calibri"/>
                <w:sz w:val="16"/>
                <w:szCs w:val="16"/>
              </w:rPr>
              <w:t>T</w:t>
            </w:r>
            <w:r w:rsidR="000D65EC">
              <w:rPr>
                <w:rFonts w:eastAsia="Calibri"/>
                <w:sz w:val="16"/>
                <w:szCs w:val="16"/>
              </w:rPr>
              <w:t>4 2026</w:t>
            </w:r>
          </w:p>
        </w:tc>
        <w:tc>
          <w:tcPr>
            <w:tcW w:w="1768" w:type="dxa"/>
            <w:vMerge/>
          </w:tcPr>
          <w:p w14:paraId="7029D197" w14:textId="77777777" w:rsidR="000D65EC" w:rsidRPr="00B259EB" w:rsidRDefault="000D65EC" w:rsidP="000D65EC">
            <w:pPr>
              <w:jc w:val="both"/>
              <w:rPr>
                <w:rFonts w:eastAsia="Calibri"/>
                <w:sz w:val="16"/>
                <w:szCs w:val="16"/>
              </w:rPr>
            </w:pPr>
          </w:p>
        </w:tc>
      </w:tr>
      <w:tr w:rsidR="000D65EC" w:rsidRPr="00B259EB" w14:paraId="6FE1BD44" w14:textId="77777777" w:rsidTr="00456298">
        <w:trPr>
          <w:trHeight w:val="20"/>
        </w:trPr>
        <w:tc>
          <w:tcPr>
            <w:tcW w:w="2046" w:type="dxa"/>
            <w:vMerge/>
            <w:shd w:val="clear" w:color="auto" w:fill="auto"/>
          </w:tcPr>
          <w:p w14:paraId="1DE67FC5" w14:textId="77777777" w:rsidR="000D65EC" w:rsidRPr="00B259EB" w:rsidRDefault="000D65EC" w:rsidP="000D65EC">
            <w:pPr>
              <w:jc w:val="both"/>
              <w:rPr>
                <w:rFonts w:eastAsia="Calibri"/>
                <w:sz w:val="16"/>
                <w:szCs w:val="16"/>
              </w:rPr>
            </w:pPr>
          </w:p>
        </w:tc>
        <w:tc>
          <w:tcPr>
            <w:tcW w:w="3587" w:type="dxa"/>
          </w:tcPr>
          <w:p w14:paraId="2EC0724C" w14:textId="2522BB2A" w:rsidR="000D65EC" w:rsidRDefault="00456298" w:rsidP="00CD7428">
            <w:pPr>
              <w:numPr>
                <w:ilvl w:val="0"/>
                <w:numId w:val="91"/>
              </w:numPr>
              <w:autoSpaceDE w:val="0"/>
              <w:autoSpaceDN w:val="0"/>
              <w:adjustRightInd w:val="0"/>
              <w:spacing w:line="240" w:lineRule="auto"/>
              <w:contextualSpacing/>
              <w:rPr>
                <w:rFonts w:eastAsia="Times New Roman"/>
                <w:bCs/>
                <w:sz w:val="16"/>
                <w:szCs w:val="16"/>
              </w:rPr>
            </w:pPr>
            <w:r>
              <w:rPr>
                <w:rFonts w:eastAsia="Times New Roman"/>
                <w:bCs/>
                <w:sz w:val="16"/>
                <w:szCs w:val="16"/>
              </w:rPr>
              <w:t>Sigurimi i transparenc</w:t>
            </w:r>
            <w:r w:rsidR="000A70F5">
              <w:rPr>
                <w:rFonts w:eastAsia="Times New Roman"/>
                <w:bCs/>
                <w:sz w:val="16"/>
                <w:szCs w:val="16"/>
              </w:rPr>
              <w:t>ë</w:t>
            </w:r>
            <w:r>
              <w:rPr>
                <w:rFonts w:eastAsia="Times New Roman"/>
                <w:bCs/>
                <w:sz w:val="16"/>
                <w:szCs w:val="16"/>
              </w:rPr>
              <w:t>s n</w:t>
            </w:r>
            <w:r w:rsidR="000A70F5">
              <w:rPr>
                <w:rFonts w:eastAsia="Times New Roman"/>
                <w:bCs/>
                <w:sz w:val="16"/>
                <w:szCs w:val="16"/>
              </w:rPr>
              <w:t>ë</w:t>
            </w:r>
            <w:r>
              <w:rPr>
                <w:rFonts w:eastAsia="Times New Roman"/>
                <w:bCs/>
                <w:sz w:val="16"/>
                <w:szCs w:val="16"/>
              </w:rPr>
              <w:t xml:space="preserve"> raportimin dhe publikimin e procesit t</w:t>
            </w:r>
            <w:r w:rsidR="000A70F5">
              <w:rPr>
                <w:rFonts w:eastAsia="Times New Roman"/>
                <w:bCs/>
                <w:sz w:val="16"/>
                <w:szCs w:val="16"/>
              </w:rPr>
              <w:t>ë</w:t>
            </w:r>
            <w:r>
              <w:rPr>
                <w:rFonts w:eastAsia="Times New Roman"/>
                <w:bCs/>
                <w:sz w:val="16"/>
                <w:szCs w:val="16"/>
              </w:rPr>
              <w:t xml:space="preserve"> Analiz</w:t>
            </w:r>
            <w:r w:rsidR="000A70F5">
              <w:rPr>
                <w:rFonts w:eastAsia="Times New Roman"/>
                <w:bCs/>
                <w:sz w:val="16"/>
                <w:szCs w:val="16"/>
              </w:rPr>
              <w:t>ë</w:t>
            </w:r>
            <w:r>
              <w:rPr>
                <w:rFonts w:eastAsia="Times New Roman"/>
                <w:bCs/>
                <w:sz w:val="16"/>
                <w:szCs w:val="16"/>
              </w:rPr>
              <w:t>s s</w:t>
            </w:r>
            <w:r w:rsidR="000A70F5">
              <w:rPr>
                <w:rFonts w:eastAsia="Times New Roman"/>
                <w:bCs/>
                <w:sz w:val="16"/>
                <w:szCs w:val="16"/>
              </w:rPr>
              <w:t>ë</w:t>
            </w:r>
            <w:r>
              <w:rPr>
                <w:rFonts w:eastAsia="Times New Roman"/>
                <w:bCs/>
                <w:sz w:val="16"/>
                <w:szCs w:val="16"/>
              </w:rPr>
              <w:t xml:space="preserve"> Q</w:t>
            </w:r>
            <w:r w:rsidR="000A70F5">
              <w:rPr>
                <w:rFonts w:eastAsia="Times New Roman"/>
                <w:bCs/>
                <w:sz w:val="16"/>
                <w:szCs w:val="16"/>
              </w:rPr>
              <w:t>ë</w:t>
            </w:r>
            <w:r>
              <w:rPr>
                <w:rFonts w:eastAsia="Times New Roman"/>
                <w:bCs/>
                <w:sz w:val="16"/>
                <w:szCs w:val="16"/>
              </w:rPr>
              <w:t>ndrueshm</w:t>
            </w:r>
            <w:r w:rsidR="000A70F5">
              <w:rPr>
                <w:rFonts w:eastAsia="Times New Roman"/>
                <w:bCs/>
                <w:sz w:val="16"/>
                <w:szCs w:val="16"/>
              </w:rPr>
              <w:t>ë</w:t>
            </w:r>
            <w:r>
              <w:rPr>
                <w:rFonts w:eastAsia="Times New Roman"/>
                <w:bCs/>
                <w:sz w:val="16"/>
                <w:szCs w:val="16"/>
              </w:rPr>
              <w:t>ris</w:t>
            </w:r>
            <w:r w:rsidR="000A70F5">
              <w:rPr>
                <w:rFonts w:eastAsia="Times New Roman"/>
                <w:bCs/>
                <w:sz w:val="16"/>
                <w:szCs w:val="16"/>
              </w:rPr>
              <w:t>ë</w:t>
            </w:r>
            <w:r>
              <w:rPr>
                <w:rFonts w:eastAsia="Times New Roman"/>
                <w:bCs/>
                <w:sz w:val="16"/>
                <w:szCs w:val="16"/>
              </w:rPr>
              <w:t xml:space="preserve"> s</w:t>
            </w:r>
            <w:r w:rsidR="000A70F5">
              <w:rPr>
                <w:rFonts w:eastAsia="Times New Roman"/>
                <w:bCs/>
                <w:sz w:val="16"/>
                <w:szCs w:val="16"/>
              </w:rPr>
              <w:t>ë</w:t>
            </w:r>
            <w:r>
              <w:rPr>
                <w:rFonts w:eastAsia="Times New Roman"/>
                <w:bCs/>
                <w:sz w:val="16"/>
                <w:szCs w:val="16"/>
              </w:rPr>
              <w:t xml:space="preserve"> Borxhit</w:t>
            </w:r>
            <w:r w:rsidR="000D65EC">
              <w:rPr>
                <w:rFonts w:eastAsia="Times New Roman"/>
                <w:bCs/>
                <w:sz w:val="16"/>
                <w:szCs w:val="16"/>
              </w:rPr>
              <w:t xml:space="preserve">. </w:t>
            </w:r>
          </w:p>
        </w:tc>
        <w:tc>
          <w:tcPr>
            <w:tcW w:w="801" w:type="dxa"/>
            <w:vAlign w:val="center"/>
          </w:tcPr>
          <w:p w14:paraId="27ED9D43" w14:textId="11ADA1DD" w:rsidR="000D65EC" w:rsidRPr="00B259EB" w:rsidRDefault="00456298" w:rsidP="000D65EC">
            <w:pPr>
              <w:jc w:val="both"/>
              <w:rPr>
                <w:rFonts w:eastAsia="Calibri"/>
                <w:sz w:val="16"/>
                <w:szCs w:val="16"/>
              </w:rPr>
            </w:pPr>
            <w:r>
              <w:rPr>
                <w:rFonts w:eastAsia="Calibri"/>
                <w:sz w:val="16"/>
                <w:szCs w:val="16"/>
              </w:rPr>
              <w:t>T</w:t>
            </w:r>
            <w:r w:rsidR="000D65EC">
              <w:rPr>
                <w:rFonts w:eastAsia="Calibri"/>
                <w:sz w:val="16"/>
                <w:szCs w:val="16"/>
              </w:rPr>
              <w:t>4 2026</w:t>
            </w:r>
          </w:p>
        </w:tc>
        <w:tc>
          <w:tcPr>
            <w:tcW w:w="814" w:type="dxa"/>
            <w:vAlign w:val="center"/>
          </w:tcPr>
          <w:p w14:paraId="61B6CA09" w14:textId="180529B5" w:rsidR="000D65EC" w:rsidRPr="00B259EB" w:rsidRDefault="00456298" w:rsidP="000D65EC">
            <w:pPr>
              <w:jc w:val="both"/>
              <w:rPr>
                <w:rFonts w:eastAsia="Calibri"/>
                <w:sz w:val="16"/>
                <w:szCs w:val="16"/>
              </w:rPr>
            </w:pPr>
            <w:r>
              <w:rPr>
                <w:rFonts w:eastAsia="Calibri"/>
                <w:sz w:val="16"/>
                <w:szCs w:val="16"/>
              </w:rPr>
              <w:t>N</w:t>
            </w:r>
            <w:r w:rsidR="000A70F5">
              <w:rPr>
                <w:rFonts w:eastAsia="Calibri"/>
                <w:sz w:val="16"/>
                <w:szCs w:val="16"/>
              </w:rPr>
              <w:t>ë</w:t>
            </w:r>
            <w:r>
              <w:rPr>
                <w:rFonts w:eastAsia="Calibri"/>
                <w:sz w:val="16"/>
                <w:szCs w:val="16"/>
              </w:rPr>
              <w:t xml:space="preserve"> vazhdim</w:t>
            </w:r>
          </w:p>
        </w:tc>
        <w:tc>
          <w:tcPr>
            <w:tcW w:w="1768" w:type="dxa"/>
            <w:vMerge/>
          </w:tcPr>
          <w:p w14:paraId="3C71AC0A" w14:textId="77777777" w:rsidR="000D65EC" w:rsidRPr="00B259EB" w:rsidRDefault="000D65EC" w:rsidP="000D65EC">
            <w:pPr>
              <w:jc w:val="both"/>
              <w:rPr>
                <w:rFonts w:eastAsia="Calibri"/>
                <w:b/>
                <w:bCs/>
                <w:sz w:val="16"/>
                <w:szCs w:val="16"/>
              </w:rPr>
            </w:pPr>
          </w:p>
        </w:tc>
      </w:tr>
    </w:tbl>
    <w:p w14:paraId="4226DE67" w14:textId="77777777" w:rsidR="000D65EC" w:rsidRPr="000B34C9" w:rsidRDefault="000D65EC" w:rsidP="003E5F43"/>
    <w:p w14:paraId="69D19D57" w14:textId="2670673E" w:rsidR="000D65EC" w:rsidRPr="009D660E" w:rsidRDefault="00FA5C99" w:rsidP="000D65EC">
      <w:pPr>
        <w:spacing w:after="60"/>
        <w:jc w:val="both"/>
        <w:rPr>
          <w:rFonts w:eastAsia="Calibri"/>
          <w:b/>
          <w:bCs/>
          <w:color w:val="0070C0"/>
          <w:lang w:val="it-IT"/>
        </w:rPr>
      </w:pPr>
      <w:r w:rsidRPr="009D660E">
        <w:rPr>
          <w:rFonts w:eastAsia="Calibri"/>
          <w:b/>
          <w:bCs/>
          <w:color w:val="0070C0"/>
          <w:lang w:val="it-IT"/>
        </w:rPr>
        <w:t>Treguesit e performanc</w:t>
      </w:r>
      <w:r w:rsidR="000A70F5" w:rsidRPr="009D660E">
        <w:rPr>
          <w:rFonts w:eastAsia="Calibri"/>
          <w:b/>
          <w:bCs/>
          <w:color w:val="0070C0"/>
          <w:lang w:val="it-IT"/>
        </w:rPr>
        <w:t>ë</w:t>
      </w:r>
      <w:r w:rsidRPr="009D660E">
        <w:rPr>
          <w:rFonts w:eastAsia="Calibri"/>
          <w:b/>
          <w:bCs/>
          <w:color w:val="0070C0"/>
          <w:lang w:val="it-IT"/>
        </w:rPr>
        <w:t>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0D65EC" w:rsidRPr="00B259EB" w14:paraId="69761C13" w14:textId="77777777" w:rsidTr="000D65EC">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98DF331" w14:textId="7199EA3E" w:rsidR="000D65EC" w:rsidRPr="00B259EB" w:rsidRDefault="00FA5C99" w:rsidP="000D65EC">
            <w:pPr>
              <w:spacing w:line="264" w:lineRule="auto"/>
              <w:jc w:val="both"/>
              <w:rPr>
                <w:rFonts w:eastAsia="Calibri"/>
                <w:b/>
                <w:bCs/>
                <w:sz w:val="16"/>
                <w:szCs w:val="16"/>
              </w:rPr>
            </w:pPr>
            <w:r>
              <w:rPr>
                <w:rFonts w:eastAsia="Calibri"/>
                <w:b/>
                <w:bCs/>
                <w:sz w:val="16"/>
                <w:szCs w:val="16"/>
              </w:rPr>
              <w:t xml:space="preserve">Treguesi </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5B75772" w14:textId="3BEF954E" w:rsidR="000D65EC" w:rsidRPr="00B259EB" w:rsidRDefault="00FA5C99" w:rsidP="00FA5C99">
            <w:pPr>
              <w:spacing w:line="264" w:lineRule="auto"/>
              <w:jc w:val="center"/>
              <w:rPr>
                <w:rFonts w:eastAsia="Calibri"/>
                <w:b/>
                <w:bCs/>
                <w:sz w:val="16"/>
                <w:szCs w:val="16"/>
              </w:rPr>
            </w:pPr>
            <w:r>
              <w:rPr>
                <w:rFonts w:eastAsia="Calibri"/>
                <w:b/>
                <w:bCs/>
                <w:sz w:val="16"/>
                <w:szCs w:val="16"/>
              </w:rPr>
              <w:t>Vlera baz</w:t>
            </w:r>
            <w:r w:rsidR="000A70F5">
              <w:rPr>
                <w:rFonts w:eastAsia="Calibri"/>
                <w:b/>
                <w:bCs/>
                <w:sz w:val="16"/>
                <w:szCs w:val="16"/>
              </w:rPr>
              <w:t>ë</w:t>
            </w:r>
            <w:r w:rsidR="000D65EC" w:rsidRPr="00B259EB">
              <w:rPr>
                <w:rFonts w:eastAsia="Calibri"/>
                <w:b/>
                <w:bCs/>
                <w:sz w:val="16"/>
                <w:szCs w:val="16"/>
              </w:rPr>
              <w:t xml:space="preserve"> (</w:t>
            </w:r>
            <w:r w:rsidR="000D65EC">
              <w:rPr>
                <w:rFonts w:eastAsia="Calibri"/>
                <w:b/>
                <w:bCs/>
                <w:sz w:val="16"/>
                <w:szCs w:val="16"/>
              </w:rPr>
              <w:t>2022</w:t>
            </w:r>
            <w:r w:rsidR="000D65EC" w:rsidRPr="00B259EB">
              <w:rPr>
                <w:rFonts w:eastAsia="Calibri"/>
                <w:b/>
                <w:bCs/>
                <w:sz w:val="16"/>
                <w:szCs w:val="16"/>
              </w:rPr>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5A2968B" w14:textId="5A4AACA0" w:rsidR="000D65EC" w:rsidRPr="00B259EB" w:rsidRDefault="00FA5C99" w:rsidP="000D65EC">
            <w:pPr>
              <w:spacing w:line="264" w:lineRule="auto"/>
              <w:jc w:val="both"/>
              <w:rPr>
                <w:rFonts w:eastAsia="Calibri"/>
                <w:b/>
                <w:bCs/>
                <w:sz w:val="16"/>
                <w:szCs w:val="16"/>
              </w:rPr>
            </w:pPr>
            <w:r>
              <w:rPr>
                <w:rFonts w:eastAsia="Calibri"/>
                <w:b/>
                <w:bCs/>
                <w:sz w:val="16"/>
                <w:szCs w:val="16"/>
              </w:rPr>
              <w:t>Vlera e synuar</w:t>
            </w:r>
          </w:p>
        </w:tc>
      </w:tr>
      <w:tr w:rsidR="000D65EC" w:rsidRPr="00B259EB" w14:paraId="259679CD" w14:textId="77777777" w:rsidTr="000D65EC">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31FECFA" w14:textId="77777777" w:rsidR="000D65EC" w:rsidRPr="00B259EB" w:rsidRDefault="000D65EC" w:rsidP="000D65EC">
            <w:pPr>
              <w:spacing w:line="264" w:lineRule="auto"/>
              <w:jc w:val="both"/>
              <w:rPr>
                <w:rFonts w:eastAsia="Calibri"/>
                <w:b/>
                <w:bCs/>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AD31820" w14:textId="77777777" w:rsidR="000D65EC" w:rsidRPr="00B259EB" w:rsidRDefault="000D65EC" w:rsidP="000D65EC">
            <w:pPr>
              <w:spacing w:line="264" w:lineRule="auto"/>
              <w:jc w:val="both"/>
              <w:rPr>
                <w:rFonts w:eastAsia="Calibri"/>
                <w:b/>
                <w:bCs/>
                <w:sz w:val="16"/>
                <w:szCs w:val="16"/>
              </w:rPr>
            </w:pP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514D47" w14:textId="77777777" w:rsidR="000D65EC" w:rsidRPr="00B259EB" w:rsidRDefault="000D65EC" w:rsidP="000D65EC">
            <w:pPr>
              <w:spacing w:line="264" w:lineRule="auto"/>
              <w:jc w:val="center"/>
              <w:rPr>
                <w:rFonts w:eastAsia="Calibri"/>
                <w:b/>
                <w:bCs/>
                <w:sz w:val="16"/>
                <w:szCs w:val="16"/>
              </w:rPr>
            </w:pPr>
            <w:r w:rsidRPr="00B259EB">
              <w:rPr>
                <w:rFonts w:eastAsia="Calibri"/>
                <w:b/>
                <w:bCs/>
                <w:sz w:val="16"/>
                <w:szCs w:val="16"/>
              </w:rPr>
              <w:t>2023</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0E8BD6" w14:textId="77777777" w:rsidR="000D65EC" w:rsidRPr="00B259EB" w:rsidRDefault="000D65EC" w:rsidP="000D65EC">
            <w:pPr>
              <w:spacing w:line="264" w:lineRule="auto"/>
              <w:jc w:val="center"/>
              <w:rPr>
                <w:rFonts w:eastAsia="Calibri"/>
                <w:b/>
                <w:bCs/>
                <w:sz w:val="16"/>
                <w:szCs w:val="16"/>
              </w:rPr>
            </w:pPr>
            <w:r w:rsidRPr="00B259EB">
              <w:rPr>
                <w:rFonts w:eastAsia="Calibri"/>
                <w:b/>
                <w:bCs/>
                <w:sz w:val="16"/>
                <w:szCs w:val="16"/>
              </w:rPr>
              <w:t>2024</w:t>
            </w: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177213" w14:textId="77777777" w:rsidR="000D65EC" w:rsidRPr="00B259EB" w:rsidRDefault="000D65EC" w:rsidP="000D65EC">
            <w:pPr>
              <w:spacing w:line="264" w:lineRule="auto"/>
              <w:jc w:val="center"/>
              <w:rPr>
                <w:rFonts w:eastAsia="Calibri"/>
                <w:b/>
                <w:bCs/>
                <w:sz w:val="16"/>
                <w:szCs w:val="16"/>
              </w:rPr>
            </w:pPr>
            <w:r w:rsidRPr="00B259EB">
              <w:rPr>
                <w:rFonts w:eastAsia="Calibri"/>
                <w:b/>
                <w:bCs/>
                <w:sz w:val="16"/>
                <w:szCs w:val="16"/>
              </w:rPr>
              <w:t>2025</w:t>
            </w: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801AF2" w14:textId="77777777" w:rsidR="000D65EC" w:rsidRPr="00B259EB" w:rsidRDefault="000D65EC" w:rsidP="000D65EC">
            <w:pPr>
              <w:spacing w:line="264" w:lineRule="auto"/>
              <w:jc w:val="center"/>
              <w:rPr>
                <w:rFonts w:eastAsia="Calibri"/>
                <w:b/>
                <w:bCs/>
                <w:sz w:val="16"/>
                <w:szCs w:val="16"/>
              </w:rPr>
            </w:pPr>
            <w:r w:rsidRPr="00B259EB">
              <w:rPr>
                <w:rFonts w:eastAsia="Calibri"/>
                <w:b/>
                <w:bCs/>
                <w:sz w:val="16"/>
                <w:szCs w:val="16"/>
              </w:rPr>
              <w:t>2026</w:t>
            </w:r>
          </w:p>
        </w:tc>
      </w:tr>
      <w:tr w:rsidR="000D65EC" w:rsidRPr="00B259EB" w14:paraId="1864A273" w14:textId="77777777" w:rsidTr="000D65EC">
        <w:tc>
          <w:tcPr>
            <w:tcW w:w="3114" w:type="dxa"/>
            <w:tcBorders>
              <w:top w:val="single" w:sz="4" w:space="0" w:color="auto"/>
              <w:left w:val="single" w:sz="4" w:space="0" w:color="auto"/>
              <w:bottom w:val="single" w:sz="4" w:space="0" w:color="auto"/>
              <w:right w:val="single" w:sz="4" w:space="0" w:color="auto"/>
            </w:tcBorders>
            <w:vAlign w:val="center"/>
          </w:tcPr>
          <w:p w14:paraId="18CB76AE" w14:textId="7E1C33D9" w:rsidR="000D65EC" w:rsidRDefault="00FA5C99" w:rsidP="00CD7428">
            <w:pPr>
              <w:numPr>
                <w:ilvl w:val="0"/>
                <w:numId w:val="89"/>
              </w:numPr>
              <w:contextualSpacing/>
              <w:jc w:val="both"/>
              <w:rPr>
                <w:rFonts w:eastAsia="Calibri"/>
                <w:sz w:val="16"/>
                <w:szCs w:val="16"/>
              </w:rPr>
            </w:pPr>
            <w:r>
              <w:rPr>
                <w:rFonts w:eastAsia="Calibri"/>
                <w:sz w:val="16"/>
                <w:szCs w:val="16"/>
              </w:rPr>
              <w:t>P</w:t>
            </w:r>
            <w:r w:rsidR="000A70F5">
              <w:rPr>
                <w:rFonts w:eastAsia="Calibri"/>
                <w:sz w:val="16"/>
                <w:szCs w:val="16"/>
              </w:rPr>
              <w:t>ë</w:t>
            </w:r>
            <w:r>
              <w:rPr>
                <w:rFonts w:eastAsia="Calibri"/>
                <w:sz w:val="16"/>
                <w:szCs w:val="16"/>
              </w:rPr>
              <w:t>rfundimi i asistenc</w:t>
            </w:r>
            <w:r w:rsidR="000A70F5">
              <w:rPr>
                <w:rFonts w:eastAsia="Calibri"/>
                <w:sz w:val="16"/>
                <w:szCs w:val="16"/>
              </w:rPr>
              <w:t>ë</w:t>
            </w:r>
            <w:r>
              <w:rPr>
                <w:rFonts w:eastAsia="Calibri"/>
                <w:sz w:val="16"/>
                <w:szCs w:val="16"/>
              </w:rPr>
              <w:t>s teknike p</w:t>
            </w:r>
            <w:r w:rsidR="000A70F5">
              <w:rPr>
                <w:rFonts w:eastAsia="Calibri"/>
                <w:sz w:val="16"/>
                <w:szCs w:val="16"/>
              </w:rPr>
              <w:t>ë</w:t>
            </w:r>
            <w:r>
              <w:rPr>
                <w:rFonts w:eastAsia="Calibri"/>
                <w:sz w:val="16"/>
                <w:szCs w:val="16"/>
              </w:rPr>
              <w:t>r Analiz</w:t>
            </w:r>
            <w:r w:rsidR="000A70F5">
              <w:rPr>
                <w:rFonts w:eastAsia="Calibri"/>
                <w:sz w:val="16"/>
                <w:szCs w:val="16"/>
              </w:rPr>
              <w:t>ë</w:t>
            </w:r>
            <w:r>
              <w:rPr>
                <w:rFonts w:eastAsia="Calibri"/>
                <w:sz w:val="16"/>
                <w:szCs w:val="16"/>
              </w:rPr>
              <w:t>n e Q</w:t>
            </w:r>
            <w:r w:rsidR="000A70F5">
              <w:rPr>
                <w:rFonts w:eastAsia="Calibri"/>
                <w:sz w:val="16"/>
                <w:szCs w:val="16"/>
              </w:rPr>
              <w:t>ë</w:t>
            </w:r>
            <w:r>
              <w:rPr>
                <w:rFonts w:eastAsia="Calibri"/>
                <w:sz w:val="16"/>
                <w:szCs w:val="16"/>
              </w:rPr>
              <w:t>ndrueshm</w:t>
            </w:r>
            <w:r w:rsidR="000A70F5">
              <w:rPr>
                <w:rFonts w:eastAsia="Calibri"/>
                <w:sz w:val="16"/>
                <w:szCs w:val="16"/>
              </w:rPr>
              <w:t>ë</w:t>
            </w:r>
            <w:r>
              <w:rPr>
                <w:rFonts w:eastAsia="Calibri"/>
                <w:sz w:val="16"/>
                <w:szCs w:val="16"/>
              </w:rPr>
              <w:t>ris</w:t>
            </w:r>
            <w:r w:rsidR="000A70F5">
              <w:rPr>
                <w:rFonts w:eastAsia="Calibri"/>
                <w:sz w:val="16"/>
                <w:szCs w:val="16"/>
              </w:rPr>
              <w:t>ë</w:t>
            </w:r>
            <w:r>
              <w:rPr>
                <w:rFonts w:eastAsia="Calibri"/>
                <w:sz w:val="16"/>
                <w:szCs w:val="16"/>
              </w:rPr>
              <w:t xml:space="preserve"> s</w:t>
            </w:r>
            <w:r w:rsidR="000A70F5">
              <w:rPr>
                <w:rFonts w:eastAsia="Calibri"/>
                <w:sz w:val="16"/>
                <w:szCs w:val="16"/>
              </w:rPr>
              <w:t>ë</w:t>
            </w:r>
            <w:r>
              <w:rPr>
                <w:rFonts w:eastAsia="Calibri"/>
                <w:sz w:val="16"/>
                <w:szCs w:val="16"/>
              </w:rPr>
              <w:t xml:space="preserve"> Borxhit</w:t>
            </w:r>
          </w:p>
          <w:p w14:paraId="5094B672" w14:textId="77777777" w:rsidR="000D65EC" w:rsidRPr="00B259EB" w:rsidRDefault="000D65EC" w:rsidP="000D65EC">
            <w:pPr>
              <w:contextualSpacing/>
              <w:jc w:val="both"/>
              <w:rPr>
                <w:rFonts w:eastAsia="Calibri"/>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tcPr>
          <w:p w14:paraId="742806F5" w14:textId="77777777" w:rsidR="000D65EC" w:rsidRPr="00B259EB" w:rsidRDefault="000D65EC" w:rsidP="000D65EC">
            <w:pPr>
              <w:jc w:val="center"/>
              <w:rPr>
                <w:rFonts w:eastAsia="Calibri"/>
                <w:sz w:val="16"/>
                <w:szCs w:val="16"/>
              </w:rPr>
            </w:pPr>
            <w:r>
              <w:rPr>
                <w:rFonts w:eastAsia="Calibri"/>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3E9FD326" w14:textId="77777777" w:rsidR="000D65EC" w:rsidRPr="00B259EB" w:rsidRDefault="000D65EC" w:rsidP="000D65EC">
            <w:pPr>
              <w:jc w:val="center"/>
              <w:rPr>
                <w:rFonts w:eastAsia="Calibri"/>
                <w:sz w:val="16"/>
                <w:szCs w:val="16"/>
              </w:rPr>
            </w:pPr>
            <w:r>
              <w:rPr>
                <w:rFonts w:eastAsia="Calibri"/>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1474333F" w14:textId="3C68270E" w:rsidR="000D65EC" w:rsidRPr="00B259EB" w:rsidRDefault="00FA5C99" w:rsidP="000D65EC">
            <w:pPr>
              <w:jc w:val="center"/>
              <w:rPr>
                <w:rFonts w:eastAsia="Calibri"/>
                <w:sz w:val="16"/>
                <w:szCs w:val="16"/>
              </w:rPr>
            </w:pPr>
            <w:r>
              <w:rPr>
                <w:rFonts w:eastAsia="Calibri"/>
                <w:sz w:val="16"/>
                <w:szCs w:val="16"/>
              </w:rPr>
              <w:t>K</w:t>
            </w:r>
            <w:r w:rsidR="000A70F5">
              <w:rPr>
                <w:rFonts w:eastAsia="Calibri"/>
                <w:sz w:val="16"/>
                <w:szCs w:val="16"/>
              </w:rPr>
              <w:t>ë</w:t>
            </w:r>
            <w:r>
              <w:rPr>
                <w:rFonts w:eastAsia="Calibri"/>
                <w:sz w:val="16"/>
                <w:szCs w:val="16"/>
              </w:rPr>
              <w:t>rkesa p</w:t>
            </w:r>
            <w:r w:rsidR="000A70F5">
              <w:rPr>
                <w:rFonts w:eastAsia="Calibri"/>
                <w:sz w:val="16"/>
                <w:szCs w:val="16"/>
              </w:rPr>
              <w:t>ë</w:t>
            </w:r>
            <w:r>
              <w:rPr>
                <w:rFonts w:eastAsia="Calibri"/>
                <w:sz w:val="16"/>
                <w:szCs w:val="16"/>
              </w:rPr>
              <w:t>r Asistenc</w:t>
            </w:r>
            <w:r w:rsidR="000A70F5">
              <w:rPr>
                <w:rFonts w:eastAsia="Calibri"/>
                <w:sz w:val="16"/>
                <w:szCs w:val="16"/>
              </w:rPr>
              <w:t>ë</w:t>
            </w:r>
            <w:r>
              <w:rPr>
                <w:rFonts w:eastAsia="Calibri"/>
                <w:sz w:val="16"/>
                <w:szCs w:val="16"/>
              </w:rPr>
              <w:t xml:space="preserve"> Teknike</w:t>
            </w:r>
          </w:p>
        </w:tc>
        <w:tc>
          <w:tcPr>
            <w:tcW w:w="1181" w:type="dxa"/>
            <w:tcBorders>
              <w:top w:val="single" w:sz="4" w:space="0" w:color="auto"/>
              <w:left w:val="single" w:sz="4" w:space="0" w:color="auto"/>
              <w:bottom w:val="single" w:sz="4" w:space="0" w:color="auto"/>
              <w:right w:val="single" w:sz="4" w:space="0" w:color="auto"/>
            </w:tcBorders>
            <w:vAlign w:val="center"/>
          </w:tcPr>
          <w:p w14:paraId="48DEB494" w14:textId="13835A1E" w:rsidR="000D65EC" w:rsidRPr="00B259EB" w:rsidRDefault="00FA5C99" w:rsidP="000D65EC">
            <w:pPr>
              <w:jc w:val="center"/>
              <w:rPr>
                <w:rFonts w:eastAsia="Calibri"/>
                <w:sz w:val="16"/>
                <w:szCs w:val="16"/>
              </w:rPr>
            </w:pPr>
            <w:r>
              <w:rPr>
                <w:rFonts w:eastAsia="Calibri"/>
                <w:sz w:val="16"/>
                <w:szCs w:val="16"/>
              </w:rPr>
              <w:t>Vazhdimi i asistenc</w:t>
            </w:r>
            <w:r w:rsidR="000A70F5">
              <w:rPr>
                <w:rFonts w:eastAsia="Calibri"/>
                <w:sz w:val="16"/>
                <w:szCs w:val="16"/>
              </w:rPr>
              <w:t>ë</w:t>
            </w:r>
            <w:r>
              <w:rPr>
                <w:rFonts w:eastAsia="Calibri"/>
                <w:sz w:val="16"/>
                <w:szCs w:val="16"/>
              </w:rPr>
              <w:t>s teknike</w:t>
            </w:r>
            <w:r w:rsidR="000D65EC">
              <w:rPr>
                <w:rFonts w:eastAsia="Calibri"/>
                <w:sz w:val="16"/>
                <w:szCs w:val="16"/>
              </w:rPr>
              <w:t xml:space="preserve"> </w:t>
            </w:r>
          </w:p>
        </w:tc>
        <w:tc>
          <w:tcPr>
            <w:tcW w:w="1181" w:type="dxa"/>
            <w:tcBorders>
              <w:top w:val="single" w:sz="4" w:space="0" w:color="auto"/>
              <w:left w:val="single" w:sz="4" w:space="0" w:color="auto"/>
              <w:bottom w:val="single" w:sz="4" w:space="0" w:color="auto"/>
              <w:right w:val="single" w:sz="4" w:space="0" w:color="auto"/>
            </w:tcBorders>
            <w:vAlign w:val="center"/>
          </w:tcPr>
          <w:p w14:paraId="22C2708D" w14:textId="700C5787" w:rsidR="000D65EC" w:rsidRPr="00B259EB" w:rsidRDefault="00FA5C99" w:rsidP="000D65EC">
            <w:pPr>
              <w:jc w:val="center"/>
              <w:rPr>
                <w:rFonts w:eastAsia="Calibri"/>
                <w:sz w:val="16"/>
                <w:szCs w:val="16"/>
              </w:rPr>
            </w:pPr>
            <w:r>
              <w:rPr>
                <w:rFonts w:eastAsia="Calibri"/>
                <w:sz w:val="16"/>
                <w:szCs w:val="16"/>
              </w:rPr>
              <w:t>Asistenca teknike e p</w:t>
            </w:r>
            <w:r w:rsidR="000A70F5">
              <w:rPr>
                <w:rFonts w:eastAsia="Calibri"/>
                <w:sz w:val="16"/>
                <w:szCs w:val="16"/>
              </w:rPr>
              <w:t>ë</w:t>
            </w:r>
            <w:r>
              <w:rPr>
                <w:rFonts w:eastAsia="Calibri"/>
                <w:sz w:val="16"/>
                <w:szCs w:val="16"/>
              </w:rPr>
              <w:t>rfunduar</w:t>
            </w:r>
            <w:r w:rsidR="000D65EC">
              <w:rPr>
                <w:rFonts w:eastAsia="Calibri"/>
                <w:sz w:val="16"/>
                <w:szCs w:val="16"/>
              </w:rPr>
              <w:t xml:space="preserve"> </w:t>
            </w:r>
          </w:p>
        </w:tc>
      </w:tr>
      <w:tr w:rsidR="000D65EC" w:rsidRPr="00B259EB" w14:paraId="4AF4576F" w14:textId="77777777" w:rsidTr="000D65EC">
        <w:tc>
          <w:tcPr>
            <w:tcW w:w="3114" w:type="dxa"/>
            <w:tcBorders>
              <w:top w:val="single" w:sz="4" w:space="0" w:color="auto"/>
              <w:left w:val="single" w:sz="4" w:space="0" w:color="auto"/>
              <w:bottom w:val="single" w:sz="4" w:space="0" w:color="auto"/>
              <w:right w:val="single" w:sz="4" w:space="0" w:color="auto"/>
            </w:tcBorders>
            <w:vAlign w:val="center"/>
          </w:tcPr>
          <w:p w14:paraId="67B8C55B" w14:textId="0F497652" w:rsidR="000D65EC" w:rsidRPr="00EF6DB9" w:rsidRDefault="00FA5C99" w:rsidP="00CD7428">
            <w:pPr>
              <w:numPr>
                <w:ilvl w:val="0"/>
                <w:numId w:val="89"/>
              </w:numPr>
              <w:contextualSpacing/>
              <w:jc w:val="both"/>
              <w:rPr>
                <w:rFonts w:eastAsia="Calibri"/>
                <w:sz w:val="16"/>
                <w:szCs w:val="16"/>
              </w:rPr>
            </w:pPr>
            <w:r>
              <w:rPr>
                <w:rFonts w:eastAsia="Calibri"/>
                <w:sz w:val="16"/>
                <w:szCs w:val="16"/>
              </w:rPr>
              <w:t>Krijimi i kuadrit t</w:t>
            </w:r>
            <w:r w:rsidR="000A70F5">
              <w:rPr>
                <w:rFonts w:eastAsia="Calibri"/>
                <w:sz w:val="16"/>
                <w:szCs w:val="16"/>
              </w:rPr>
              <w:t>ë</w:t>
            </w:r>
            <w:r>
              <w:rPr>
                <w:rFonts w:eastAsia="Calibri"/>
                <w:sz w:val="16"/>
                <w:szCs w:val="16"/>
              </w:rPr>
              <w:t xml:space="preserve"> analiz</w:t>
            </w:r>
            <w:r w:rsidR="000A70F5">
              <w:rPr>
                <w:rFonts w:eastAsia="Calibri"/>
                <w:sz w:val="16"/>
                <w:szCs w:val="16"/>
              </w:rPr>
              <w:t>ë</w:t>
            </w:r>
            <w:r>
              <w:rPr>
                <w:rFonts w:eastAsia="Calibri"/>
                <w:sz w:val="16"/>
                <w:szCs w:val="16"/>
              </w:rPr>
              <w:t>s s</w:t>
            </w:r>
            <w:r w:rsidR="000A70F5">
              <w:rPr>
                <w:rFonts w:eastAsia="Calibri"/>
                <w:sz w:val="16"/>
                <w:szCs w:val="16"/>
              </w:rPr>
              <w:t>ë</w:t>
            </w:r>
            <w:r>
              <w:rPr>
                <w:rFonts w:eastAsia="Calibri"/>
                <w:sz w:val="16"/>
                <w:szCs w:val="16"/>
              </w:rPr>
              <w:t xml:space="preserve"> Q</w:t>
            </w:r>
            <w:r w:rsidR="000A70F5">
              <w:rPr>
                <w:rFonts w:eastAsia="Calibri"/>
                <w:sz w:val="16"/>
                <w:szCs w:val="16"/>
              </w:rPr>
              <w:t>ë</w:t>
            </w:r>
            <w:r>
              <w:rPr>
                <w:rFonts w:eastAsia="Calibri"/>
                <w:sz w:val="16"/>
                <w:szCs w:val="16"/>
              </w:rPr>
              <w:t>ndrueshm</w:t>
            </w:r>
            <w:r w:rsidR="000A70F5">
              <w:rPr>
                <w:rFonts w:eastAsia="Calibri"/>
                <w:sz w:val="16"/>
                <w:szCs w:val="16"/>
              </w:rPr>
              <w:t>ë</w:t>
            </w:r>
            <w:r>
              <w:rPr>
                <w:rFonts w:eastAsia="Calibri"/>
                <w:sz w:val="16"/>
                <w:szCs w:val="16"/>
              </w:rPr>
              <w:t>ris</w:t>
            </w:r>
            <w:r w:rsidR="000A70F5">
              <w:rPr>
                <w:rFonts w:eastAsia="Calibri"/>
                <w:sz w:val="16"/>
                <w:szCs w:val="16"/>
              </w:rPr>
              <w:t>ë</w:t>
            </w:r>
            <w:r>
              <w:rPr>
                <w:rFonts w:eastAsia="Calibri"/>
                <w:sz w:val="16"/>
                <w:szCs w:val="16"/>
              </w:rPr>
              <w:t xml:space="preserve"> s</w:t>
            </w:r>
            <w:r w:rsidR="000A70F5">
              <w:rPr>
                <w:rFonts w:eastAsia="Calibri"/>
                <w:sz w:val="16"/>
                <w:szCs w:val="16"/>
              </w:rPr>
              <w:t>ë</w:t>
            </w:r>
            <w:r>
              <w:rPr>
                <w:rFonts w:eastAsia="Calibri"/>
                <w:sz w:val="16"/>
                <w:szCs w:val="16"/>
              </w:rPr>
              <w:t xml:space="preserve"> Borxhit</w:t>
            </w:r>
          </w:p>
        </w:tc>
        <w:tc>
          <w:tcPr>
            <w:tcW w:w="1180" w:type="dxa"/>
            <w:tcBorders>
              <w:top w:val="single" w:sz="4" w:space="0" w:color="auto"/>
              <w:left w:val="single" w:sz="4" w:space="0" w:color="auto"/>
              <w:bottom w:val="single" w:sz="4" w:space="0" w:color="auto"/>
              <w:right w:val="single" w:sz="4" w:space="0" w:color="auto"/>
            </w:tcBorders>
            <w:vAlign w:val="center"/>
          </w:tcPr>
          <w:p w14:paraId="36781B03" w14:textId="77777777" w:rsidR="000D65EC" w:rsidRDefault="000D65EC" w:rsidP="000D65EC">
            <w:pPr>
              <w:jc w:val="center"/>
              <w:rPr>
                <w:rFonts w:eastAsia="Calibri"/>
                <w:sz w:val="16"/>
                <w:szCs w:val="16"/>
              </w:rPr>
            </w:pPr>
            <w:r>
              <w:rPr>
                <w:rFonts w:eastAsia="Calibri"/>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38B10B98" w14:textId="77777777" w:rsidR="000D65EC" w:rsidRDefault="000D65EC" w:rsidP="000D65EC">
            <w:pPr>
              <w:jc w:val="center"/>
              <w:rPr>
                <w:rFonts w:eastAsia="Calibri"/>
                <w:sz w:val="16"/>
                <w:szCs w:val="16"/>
              </w:rPr>
            </w:pPr>
            <w:r>
              <w:rPr>
                <w:rFonts w:eastAsia="Calibri"/>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7B16A753" w14:textId="77777777" w:rsidR="000D65EC" w:rsidRPr="00B259EB" w:rsidRDefault="000D65EC" w:rsidP="000D65EC">
            <w:pPr>
              <w:jc w:val="center"/>
              <w:rPr>
                <w:rFonts w:eastAsia="Calibri"/>
                <w:sz w:val="16"/>
                <w:szCs w:val="16"/>
              </w:rPr>
            </w:pPr>
            <w:r>
              <w:rPr>
                <w:rFonts w:eastAsia="Calibri"/>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2F1E0494" w14:textId="4A84D6DA" w:rsidR="000D65EC" w:rsidRPr="00B259EB" w:rsidRDefault="00430532" w:rsidP="000D65EC">
            <w:pPr>
              <w:jc w:val="center"/>
              <w:rPr>
                <w:rFonts w:eastAsia="Calibri"/>
                <w:sz w:val="16"/>
                <w:szCs w:val="16"/>
              </w:rPr>
            </w:pPr>
            <w:r>
              <w:rPr>
                <w:rFonts w:eastAsia="Calibri"/>
                <w:sz w:val="16"/>
                <w:szCs w:val="16"/>
              </w:rPr>
              <w:t>Prezantimi i nj</w:t>
            </w:r>
            <w:r w:rsidR="000A70F5">
              <w:rPr>
                <w:rFonts w:eastAsia="Calibri"/>
                <w:sz w:val="16"/>
                <w:szCs w:val="16"/>
              </w:rPr>
              <w:t>ë</w:t>
            </w:r>
            <w:r>
              <w:rPr>
                <w:rFonts w:eastAsia="Calibri"/>
                <w:sz w:val="16"/>
                <w:szCs w:val="16"/>
              </w:rPr>
              <w:t xml:space="preserve"> kuadri </w:t>
            </w:r>
            <w:r w:rsidR="00E73B45">
              <w:rPr>
                <w:rFonts w:eastAsia="Calibri"/>
                <w:sz w:val="16"/>
                <w:szCs w:val="16"/>
              </w:rPr>
              <w:t>baz</w:t>
            </w:r>
            <w:r w:rsidR="000A70F5">
              <w:rPr>
                <w:rFonts w:eastAsia="Calibri"/>
                <w:sz w:val="16"/>
                <w:szCs w:val="16"/>
              </w:rPr>
              <w:t>ë</w:t>
            </w:r>
            <w:r w:rsidR="00E73B45">
              <w:rPr>
                <w:rFonts w:eastAsia="Calibri"/>
                <w:sz w:val="16"/>
                <w:szCs w:val="16"/>
              </w:rPr>
              <w:t xml:space="preserve"> t</w:t>
            </w:r>
            <w:r w:rsidR="000A70F5">
              <w:rPr>
                <w:rFonts w:eastAsia="Calibri"/>
                <w:sz w:val="16"/>
                <w:szCs w:val="16"/>
              </w:rPr>
              <w:t>ë</w:t>
            </w:r>
            <w:r w:rsidR="00E73B45">
              <w:rPr>
                <w:rFonts w:eastAsia="Calibri"/>
                <w:sz w:val="16"/>
                <w:szCs w:val="16"/>
              </w:rPr>
              <w:t xml:space="preserve"> Analiz</w:t>
            </w:r>
            <w:r w:rsidR="000A70F5">
              <w:rPr>
                <w:rFonts w:eastAsia="Calibri"/>
                <w:sz w:val="16"/>
                <w:szCs w:val="16"/>
              </w:rPr>
              <w:t>ë</w:t>
            </w:r>
            <w:r w:rsidR="00E73B45">
              <w:rPr>
                <w:rFonts w:eastAsia="Calibri"/>
                <w:sz w:val="16"/>
                <w:szCs w:val="16"/>
              </w:rPr>
              <w:t>s s</w:t>
            </w:r>
            <w:r w:rsidR="000A70F5">
              <w:rPr>
                <w:rFonts w:eastAsia="Calibri"/>
                <w:sz w:val="16"/>
                <w:szCs w:val="16"/>
              </w:rPr>
              <w:t>ë</w:t>
            </w:r>
            <w:r w:rsidR="00E73B45">
              <w:rPr>
                <w:rFonts w:eastAsia="Calibri"/>
                <w:sz w:val="16"/>
                <w:szCs w:val="16"/>
              </w:rPr>
              <w:t xml:space="preserve"> Q</w:t>
            </w:r>
            <w:r w:rsidR="000A70F5">
              <w:rPr>
                <w:rFonts w:eastAsia="Calibri"/>
                <w:sz w:val="16"/>
                <w:szCs w:val="16"/>
              </w:rPr>
              <w:t>ë</w:t>
            </w:r>
            <w:r w:rsidR="00E73B45">
              <w:rPr>
                <w:rFonts w:eastAsia="Calibri"/>
                <w:sz w:val="16"/>
                <w:szCs w:val="16"/>
              </w:rPr>
              <w:t>ndrueshm</w:t>
            </w:r>
            <w:r w:rsidR="000A70F5">
              <w:rPr>
                <w:rFonts w:eastAsia="Calibri"/>
                <w:sz w:val="16"/>
                <w:szCs w:val="16"/>
              </w:rPr>
              <w:t>ë</w:t>
            </w:r>
            <w:r w:rsidR="00E73B45">
              <w:rPr>
                <w:rFonts w:eastAsia="Calibri"/>
                <w:sz w:val="16"/>
                <w:szCs w:val="16"/>
              </w:rPr>
              <w:t>ris</w:t>
            </w:r>
            <w:r w:rsidR="000A70F5">
              <w:rPr>
                <w:rFonts w:eastAsia="Calibri"/>
                <w:sz w:val="16"/>
                <w:szCs w:val="16"/>
              </w:rPr>
              <w:t>ë</w:t>
            </w:r>
            <w:r w:rsidR="00E73B45">
              <w:rPr>
                <w:rFonts w:eastAsia="Calibri"/>
                <w:sz w:val="16"/>
                <w:szCs w:val="16"/>
              </w:rPr>
              <w:t xml:space="preserve"> s</w:t>
            </w:r>
            <w:r w:rsidR="000A70F5">
              <w:rPr>
                <w:rFonts w:eastAsia="Calibri"/>
                <w:sz w:val="16"/>
                <w:szCs w:val="16"/>
              </w:rPr>
              <w:t>ë</w:t>
            </w:r>
            <w:r w:rsidR="00E73B45">
              <w:rPr>
                <w:rFonts w:eastAsia="Calibri"/>
                <w:sz w:val="16"/>
                <w:szCs w:val="16"/>
              </w:rPr>
              <w:t xml:space="preserve"> Borxhit</w:t>
            </w:r>
            <w:r w:rsidR="000D65EC">
              <w:rPr>
                <w:rFonts w:eastAsia="Calibri"/>
                <w:sz w:val="16"/>
                <w:szCs w:val="16"/>
              </w:rPr>
              <w:t xml:space="preserve"> </w:t>
            </w:r>
          </w:p>
        </w:tc>
        <w:tc>
          <w:tcPr>
            <w:tcW w:w="1181" w:type="dxa"/>
            <w:tcBorders>
              <w:top w:val="single" w:sz="4" w:space="0" w:color="auto"/>
              <w:left w:val="single" w:sz="4" w:space="0" w:color="auto"/>
              <w:bottom w:val="single" w:sz="4" w:space="0" w:color="auto"/>
              <w:right w:val="single" w:sz="4" w:space="0" w:color="auto"/>
            </w:tcBorders>
            <w:vAlign w:val="center"/>
          </w:tcPr>
          <w:p w14:paraId="2DA26B1F" w14:textId="15AB010A" w:rsidR="000D65EC" w:rsidRPr="00B259EB" w:rsidRDefault="00E73B45" w:rsidP="000D65EC">
            <w:pPr>
              <w:jc w:val="center"/>
              <w:rPr>
                <w:rFonts w:eastAsia="Calibri"/>
                <w:sz w:val="16"/>
                <w:szCs w:val="16"/>
              </w:rPr>
            </w:pPr>
            <w:r>
              <w:rPr>
                <w:rFonts w:eastAsia="Calibri"/>
                <w:sz w:val="16"/>
                <w:szCs w:val="16"/>
              </w:rPr>
              <w:t>U krijua Analiza e Q</w:t>
            </w:r>
            <w:r w:rsidR="000A70F5">
              <w:rPr>
                <w:rFonts w:eastAsia="Calibri"/>
                <w:sz w:val="16"/>
                <w:szCs w:val="16"/>
              </w:rPr>
              <w:t>ë</w:t>
            </w:r>
            <w:r>
              <w:rPr>
                <w:rFonts w:eastAsia="Calibri"/>
                <w:sz w:val="16"/>
                <w:szCs w:val="16"/>
              </w:rPr>
              <w:t>ndrueshm</w:t>
            </w:r>
            <w:r w:rsidR="000A70F5">
              <w:rPr>
                <w:rFonts w:eastAsia="Calibri"/>
                <w:sz w:val="16"/>
                <w:szCs w:val="16"/>
              </w:rPr>
              <w:t>ë</w:t>
            </w:r>
            <w:r>
              <w:rPr>
                <w:rFonts w:eastAsia="Calibri"/>
                <w:sz w:val="16"/>
                <w:szCs w:val="16"/>
              </w:rPr>
              <w:t>ris</w:t>
            </w:r>
            <w:r w:rsidR="000A70F5">
              <w:rPr>
                <w:rFonts w:eastAsia="Calibri"/>
                <w:sz w:val="16"/>
                <w:szCs w:val="16"/>
              </w:rPr>
              <w:t>ë</w:t>
            </w:r>
            <w:r>
              <w:rPr>
                <w:rFonts w:eastAsia="Calibri"/>
                <w:sz w:val="16"/>
                <w:szCs w:val="16"/>
              </w:rPr>
              <w:t xml:space="preserve"> s</w:t>
            </w:r>
            <w:r w:rsidR="000A70F5">
              <w:rPr>
                <w:rFonts w:eastAsia="Calibri"/>
                <w:sz w:val="16"/>
                <w:szCs w:val="16"/>
              </w:rPr>
              <w:t>ë</w:t>
            </w:r>
            <w:r>
              <w:rPr>
                <w:rFonts w:eastAsia="Calibri"/>
                <w:sz w:val="16"/>
                <w:szCs w:val="16"/>
              </w:rPr>
              <w:t xml:space="preserve"> Borxhit</w:t>
            </w:r>
            <w:r w:rsidR="000D65EC">
              <w:rPr>
                <w:rFonts w:eastAsia="Calibri"/>
                <w:sz w:val="16"/>
                <w:szCs w:val="16"/>
              </w:rPr>
              <w:t xml:space="preserve"> </w:t>
            </w:r>
          </w:p>
        </w:tc>
      </w:tr>
    </w:tbl>
    <w:p w14:paraId="1ACB08A1" w14:textId="77777777" w:rsidR="000D65EC" w:rsidRDefault="000D65EC" w:rsidP="003E5F43"/>
    <w:p w14:paraId="0E7204E6" w14:textId="77777777" w:rsidR="00942755" w:rsidRPr="001F151E" w:rsidRDefault="00942755" w:rsidP="00AB73F1">
      <w:pPr>
        <w:rPr>
          <w:lang w:val="en-GB"/>
        </w:rPr>
      </w:pPr>
    </w:p>
    <w:p w14:paraId="391C34B4" w14:textId="2B257A66" w:rsidR="00FA1898" w:rsidRPr="001F151E" w:rsidRDefault="00E73B45" w:rsidP="00FA1898">
      <w:pPr>
        <w:pStyle w:val="Heading2"/>
        <w:rPr>
          <w:rStyle w:val="IntenseReference"/>
          <w:rFonts w:eastAsiaTheme="majorEastAsia" w:cstheme="majorBidi"/>
          <w:i w:val="0"/>
          <w:sz w:val="22"/>
          <w:szCs w:val="22"/>
          <w:lang w:val="en-GB"/>
        </w:rPr>
      </w:pPr>
      <w:bookmarkStart w:id="14" w:name="_Toc151048284"/>
      <w:bookmarkStart w:id="15" w:name="_Toc161748809"/>
      <w:r>
        <w:rPr>
          <w:rStyle w:val="IntenseReference"/>
          <w:rFonts w:eastAsiaTheme="majorEastAsia" w:cstheme="majorBidi"/>
          <w:i w:val="0"/>
          <w:sz w:val="22"/>
          <w:szCs w:val="22"/>
          <w:lang w:val="en-GB"/>
        </w:rPr>
        <w:t>Komponenti</w:t>
      </w:r>
      <w:r w:rsidR="00942755">
        <w:rPr>
          <w:rStyle w:val="IntenseReference"/>
          <w:rFonts w:eastAsiaTheme="majorEastAsia" w:cstheme="majorBidi"/>
          <w:i w:val="0"/>
          <w:sz w:val="22"/>
          <w:szCs w:val="22"/>
          <w:lang w:val="en-GB"/>
        </w:rPr>
        <w:t xml:space="preserve"> 1.3</w:t>
      </w:r>
      <w:r w:rsidR="00FA1898" w:rsidRPr="001F151E">
        <w:rPr>
          <w:rStyle w:val="IntenseReference"/>
          <w:rFonts w:eastAsiaTheme="majorEastAsia" w:cstheme="majorBidi"/>
          <w:i w:val="0"/>
          <w:sz w:val="22"/>
          <w:szCs w:val="22"/>
          <w:lang w:val="en-GB"/>
        </w:rPr>
        <w:t xml:space="preserve"> </w:t>
      </w:r>
      <w:bookmarkEnd w:id="14"/>
      <w:r>
        <w:rPr>
          <w:rStyle w:val="IntenseReference"/>
          <w:rFonts w:eastAsiaTheme="majorEastAsia" w:cstheme="majorBidi"/>
          <w:i w:val="0"/>
          <w:sz w:val="22"/>
          <w:szCs w:val="22"/>
          <w:lang w:val="en-GB"/>
        </w:rPr>
        <w:t>Menaxhimi i Ris</w:t>
      </w:r>
      <w:r w:rsidR="00B34A83">
        <w:rPr>
          <w:rStyle w:val="IntenseReference"/>
          <w:rFonts w:eastAsiaTheme="majorEastAsia" w:cstheme="majorBidi"/>
          <w:i w:val="0"/>
          <w:sz w:val="22"/>
          <w:szCs w:val="22"/>
          <w:lang w:val="en-GB"/>
        </w:rPr>
        <w:t>qeve</w:t>
      </w:r>
      <w:r>
        <w:rPr>
          <w:rStyle w:val="IntenseReference"/>
          <w:rFonts w:eastAsiaTheme="majorEastAsia" w:cstheme="majorBidi"/>
          <w:i w:val="0"/>
          <w:sz w:val="22"/>
          <w:szCs w:val="22"/>
          <w:lang w:val="en-GB"/>
        </w:rPr>
        <w:t xml:space="preserve"> Fiskal</w:t>
      </w:r>
      <w:r w:rsidR="00B34A83">
        <w:rPr>
          <w:rStyle w:val="IntenseReference"/>
          <w:rFonts w:eastAsiaTheme="majorEastAsia" w:cstheme="majorBidi"/>
          <w:i w:val="0"/>
          <w:sz w:val="22"/>
          <w:szCs w:val="22"/>
          <w:lang w:val="en-GB"/>
        </w:rPr>
        <w:t>e</w:t>
      </w:r>
      <w:bookmarkEnd w:id="15"/>
    </w:p>
    <w:p w14:paraId="0A1EA686" w14:textId="77777777" w:rsidR="00FA1898" w:rsidRPr="001F151E" w:rsidRDefault="00FA1898" w:rsidP="00FA1898">
      <w:pPr>
        <w:rPr>
          <w:lang w:val="en-GB"/>
        </w:rPr>
      </w:pPr>
    </w:p>
    <w:p w14:paraId="54E720F2" w14:textId="0B939C6F" w:rsidR="00FA1898" w:rsidRPr="00060175" w:rsidRDefault="00FA1898" w:rsidP="002E6AB5">
      <w:pPr>
        <w:pStyle w:val="H5"/>
        <w:spacing w:line="276" w:lineRule="auto"/>
        <w:jc w:val="both"/>
      </w:pPr>
      <w:r w:rsidRPr="00060175">
        <w:t>Obje</w:t>
      </w:r>
      <w:r w:rsidR="004C3B1B">
        <w:t>ktivi</w:t>
      </w:r>
    </w:p>
    <w:p w14:paraId="41E7BB95" w14:textId="14CABE6C" w:rsidR="00FA1898" w:rsidRPr="001F151E" w:rsidRDefault="00F903A9" w:rsidP="002E6AB5">
      <w:pPr>
        <w:spacing w:line="276" w:lineRule="auto"/>
        <w:jc w:val="both"/>
        <w:rPr>
          <w:lang w:val="en-GB"/>
        </w:rPr>
      </w:pPr>
      <w:r>
        <w:rPr>
          <w:lang w:val="en-GB"/>
        </w:rPr>
        <w:t>Synimi p</w:t>
      </w:r>
      <w:r w:rsidR="000A70F5">
        <w:rPr>
          <w:lang w:val="en-GB"/>
        </w:rPr>
        <w:t>ë</w:t>
      </w:r>
      <w:r>
        <w:rPr>
          <w:lang w:val="en-GB"/>
        </w:rPr>
        <w:t xml:space="preserve">r vitin 2030 </w:t>
      </w:r>
      <w:r w:rsidR="000A70F5">
        <w:rPr>
          <w:lang w:val="en-GB"/>
        </w:rPr>
        <w:t>ë</w:t>
      </w:r>
      <w:r>
        <w:rPr>
          <w:lang w:val="en-GB"/>
        </w:rPr>
        <w:t>sht</w:t>
      </w:r>
      <w:r w:rsidR="000A70F5">
        <w:rPr>
          <w:lang w:val="en-GB"/>
        </w:rPr>
        <w:t>ë</w:t>
      </w:r>
      <w:r>
        <w:rPr>
          <w:lang w:val="en-GB"/>
        </w:rPr>
        <w:t xml:space="preserve"> q</w:t>
      </w:r>
      <w:r w:rsidR="000A70F5">
        <w:rPr>
          <w:lang w:val="en-GB"/>
        </w:rPr>
        <w:t>ë</w:t>
      </w:r>
      <w:r>
        <w:rPr>
          <w:lang w:val="en-GB"/>
        </w:rPr>
        <w:t xml:space="preserve"> t</w:t>
      </w:r>
      <w:r w:rsidR="000A70F5">
        <w:rPr>
          <w:lang w:val="en-GB"/>
        </w:rPr>
        <w:t>ë</w:t>
      </w:r>
      <w:r>
        <w:rPr>
          <w:lang w:val="en-GB"/>
        </w:rPr>
        <w:t xml:space="preserve"> ket</w:t>
      </w:r>
      <w:r w:rsidR="000A70F5">
        <w:rPr>
          <w:lang w:val="en-GB"/>
        </w:rPr>
        <w:t>ë</w:t>
      </w:r>
      <w:r>
        <w:rPr>
          <w:lang w:val="en-GB"/>
        </w:rPr>
        <w:t xml:space="preserve"> nj</w:t>
      </w:r>
      <w:r w:rsidR="000A70F5">
        <w:rPr>
          <w:lang w:val="en-GB"/>
        </w:rPr>
        <w:t>ë</w:t>
      </w:r>
      <w:r>
        <w:rPr>
          <w:lang w:val="en-GB"/>
        </w:rPr>
        <w:t xml:space="preserve"> sistem gjith</w:t>
      </w:r>
      <w:r w:rsidR="000A70F5">
        <w:rPr>
          <w:lang w:val="en-GB"/>
        </w:rPr>
        <w:t>ë</w:t>
      </w:r>
      <w:r>
        <w:rPr>
          <w:lang w:val="en-GB"/>
        </w:rPr>
        <w:t>p</w:t>
      </w:r>
      <w:r w:rsidR="000A70F5">
        <w:rPr>
          <w:lang w:val="en-GB"/>
        </w:rPr>
        <w:t>ë</w:t>
      </w:r>
      <w:r>
        <w:rPr>
          <w:lang w:val="en-GB"/>
        </w:rPr>
        <w:t>rfshir</w:t>
      </w:r>
      <w:r w:rsidR="000A70F5">
        <w:rPr>
          <w:lang w:val="en-GB"/>
        </w:rPr>
        <w:t>ë</w:t>
      </w:r>
      <w:r>
        <w:rPr>
          <w:lang w:val="en-GB"/>
        </w:rPr>
        <w:t>s t</w:t>
      </w:r>
      <w:r w:rsidR="000A70F5">
        <w:rPr>
          <w:lang w:val="en-GB"/>
        </w:rPr>
        <w:t>ë</w:t>
      </w:r>
      <w:r>
        <w:rPr>
          <w:lang w:val="en-GB"/>
        </w:rPr>
        <w:t xml:space="preserve"> Menaxhimit t</w:t>
      </w:r>
      <w:r w:rsidR="000A70F5">
        <w:rPr>
          <w:lang w:val="en-GB"/>
        </w:rPr>
        <w:t>ë</w:t>
      </w:r>
      <w:r>
        <w:rPr>
          <w:lang w:val="en-GB"/>
        </w:rPr>
        <w:t xml:space="preserve"> Risqeve Fiskale dhe raportim q</w:t>
      </w:r>
      <w:r w:rsidR="000A70F5">
        <w:rPr>
          <w:lang w:val="en-GB"/>
        </w:rPr>
        <w:t>ë</w:t>
      </w:r>
      <w:r>
        <w:rPr>
          <w:lang w:val="en-GB"/>
        </w:rPr>
        <w:t xml:space="preserve"> adreson detyrimet kryesore p</w:t>
      </w:r>
      <w:r w:rsidR="000A70F5">
        <w:rPr>
          <w:lang w:val="en-GB"/>
        </w:rPr>
        <w:t>ë</w:t>
      </w:r>
      <w:r>
        <w:rPr>
          <w:lang w:val="en-GB"/>
        </w:rPr>
        <w:t>rkat</w:t>
      </w:r>
      <w:r w:rsidR="000A70F5">
        <w:rPr>
          <w:lang w:val="en-GB"/>
        </w:rPr>
        <w:t>ë</w:t>
      </w:r>
      <w:r>
        <w:rPr>
          <w:lang w:val="en-GB"/>
        </w:rPr>
        <w:t xml:space="preserve">se kontigjente dhe risqet e tjera fiskale. </w:t>
      </w:r>
    </w:p>
    <w:p w14:paraId="72140A88" w14:textId="77777777" w:rsidR="00FA1898" w:rsidRPr="001F151E" w:rsidRDefault="00FA1898" w:rsidP="002E6AB5">
      <w:pPr>
        <w:pStyle w:val="H5"/>
        <w:spacing w:line="276" w:lineRule="auto"/>
        <w:jc w:val="both"/>
        <w:rPr>
          <w:lang w:val="en-GB"/>
        </w:rPr>
      </w:pPr>
    </w:p>
    <w:p w14:paraId="05E50795" w14:textId="65F01002" w:rsidR="00FA1898" w:rsidRPr="001F151E" w:rsidRDefault="00F903A9" w:rsidP="002E6AB5">
      <w:pPr>
        <w:pStyle w:val="H5"/>
        <w:spacing w:line="276" w:lineRule="auto"/>
        <w:jc w:val="both"/>
        <w:rPr>
          <w:lang w:val="en-GB"/>
        </w:rPr>
      </w:pPr>
      <w:r>
        <w:rPr>
          <w:lang w:val="en-GB"/>
        </w:rPr>
        <w:t>Konteksti</w:t>
      </w:r>
    </w:p>
    <w:p w14:paraId="19E63AE0" w14:textId="3E5224E4" w:rsidR="00621ACF" w:rsidRDefault="001024A2" w:rsidP="002E6AB5">
      <w:pPr>
        <w:pStyle w:val="CommentText"/>
        <w:spacing w:line="276" w:lineRule="auto"/>
        <w:rPr>
          <w:rFonts w:ascii="Arial" w:hAnsi="Arial" w:cs="Arial"/>
          <w:sz w:val="18"/>
          <w:szCs w:val="18"/>
        </w:rPr>
      </w:pPr>
      <w:r w:rsidRPr="001024A2">
        <w:rPr>
          <w:rFonts w:ascii="Arial" w:hAnsi="Arial" w:cs="Arial"/>
          <w:sz w:val="18"/>
          <w:szCs w:val="18"/>
        </w:rPr>
        <w:t>Procesi i menaxhimit të risqeve fiskale në Shqipëri është përmirësuar në mënyrë të vazhdueshme që nga viti 2016, me krijimin e Sektorit të Risqeve Fiskale si pjesë e Drejtorisë së Menaxhimit të Buxhetit / Drejtorisë së Përgjithshme të Buxhetit. Sektori i Risqeve Fiskale është fokusuar në monitorimin e detyrimeve të prapambetura, monitorimin dhe raportimin e pagesave faktike dhe të planifikuara për kontratat e koncesioneve/ PPP me mbështetje buxhetore, monitorimin e detyrimeve kontigjente për vendimet gjyqësore (Vendimet e Arbitrazhit dhe G</w:t>
      </w:r>
      <w:r w:rsidR="00644365">
        <w:rPr>
          <w:rFonts w:ascii="Arial" w:hAnsi="Arial" w:cs="Arial"/>
          <w:sz w:val="18"/>
          <w:szCs w:val="18"/>
        </w:rPr>
        <w:t xml:space="preserve">jykatës Evropiane të të </w:t>
      </w:r>
      <w:r w:rsidRPr="001024A2">
        <w:rPr>
          <w:rFonts w:ascii="Arial" w:hAnsi="Arial" w:cs="Arial"/>
          <w:sz w:val="18"/>
          <w:szCs w:val="18"/>
        </w:rPr>
        <w:t>D</w:t>
      </w:r>
      <w:r w:rsidR="00644365">
        <w:rPr>
          <w:rFonts w:ascii="Arial" w:hAnsi="Arial" w:cs="Arial"/>
          <w:sz w:val="18"/>
          <w:szCs w:val="18"/>
        </w:rPr>
        <w:t xml:space="preserve">rejtave të </w:t>
      </w:r>
      <w:r w:rsidRPr="001024A2">
        <w:rPr>
          <w:rFonts w:ascii="Arial" w:hAnsi="Arial" w:cs="Arial"/>
          <w:sz w:val="18"/>
          <w:szCs w:val="18"/>
        </w:rPr>
        <w:t>N</w:t>
      </w:r>
      <w:r w:rsidR="00644365">
        <w:rPr>
          <w:rFonts w:ascii="Arial" w:hAnsi="Arial" w:cs="Arial"/>
          <w:sz w:val="18"/>
          <w:szCs w:val="18"/>
        </w:rPr>
        <w:t>jeriut</w:t>
      </w:r>
      <w:r w:rsidRPr="001024A2">
        <w:rPr>
          <w:rFonts w:ascii="Arial" w:hAnsi="Arial" w:cs="Arial"/>
          <w:sz w:val="18"/>
          <w:szCs w:val="18"/>
        </w:rPr>
        <w:t xml:space="preserve">), vlerësimin e risqeve që vijnë nga ndërmarrjet shtetërore. Gjatë viteve të fundit, janë bërë disa përmirësime në drejtim të forcimit të monitorimit </w:t>
      </w:r>
      <w:r>
        <w:rPr>
          <w:rFonts w:ascii="Arial" w:hAnsi="Arial" w:cs="Arial"/>
          <w:sz w:val="18"/>
          <w:szCs w:val="18"/>
        </w:rPr>
        <w:t>të ndërmarrjeve shtetërore (NSH)</w:t>
      </w:r>
      <w:r w:rsidRPr="001024A2">
        <w:rPr>
          <w:rFonts w:ascii="Arial" w:hAnsi="Arial" w:cs="Arial"/>
          <w:sz w:val="18"/>
          <w:szCs w:val="18"/>
        </w:rPr>
        <w:t xml:space="preserve">, nëpërmjet zgjerimit të monitorimit të </w:t>
      </w:r>
      <w:r>
        <w:rPr>
          <w:rFonts w:ascii="Arial" w:hAnsi="Arial" w:cs="Arial"/>
          <w:sz w:val="18"/>
          <w:szCs w:val="18"/>
        </w:rPr>
        <w:t>NSH</w:t>
      </w:r>
      <w:r w:rsidRPr="001024A2">
        <w:rPr>
          <w:rFonts w:ascii="Arial" w:hAnsi="Arial" w:cs="Arial"/>
          <w:sz w:val="18"/>
          <w:szCs w:val="18"/>
        </w:rPr>
        <w:t xml:space="preserve">-ve duke përfshirë dhe ndërmarrjet e Shoqërive të Ujësjellës Kanalizime, dhe ndërmarrje të tjera </w:t>
      </w:r>
      <w:r w:rsidRPr="001024A2">
        <w:rPr>
          <w:rFonts w:ascii="Arial" w:hAnsi="Arial" w:cs="Arial"/>
          <w:sz w:val="18"/>
          <w:szCs w:val="18"/>
        </w:rPr>
        <w:lastRenderedPageBreak/>
        <w:t>shtetërore të cilat mund të kenë impakt buxhetor. Në këtë mënyrë objektivi i MFP-së është përmbushur çdo vit. Për më tepër, me nënshkrimin e urdhrit të përbashkët të Ministrisë së Infrastrukturës dhe Energjisë (MIE) dhe MF-së Nr. 304 datë 17.12.2020 “Për miratimin e planit të veprimit për uljen e detyrimeve të prapambetura në sektorin e energjisë elektrike” dhe urdhrin e përbashkët të MIE-së dhe MF-së nr. 379 datë 30.09.2021 “Për zbatimin e planit të masave për uljen e detyrimeve të prapambetura në sektorin e energjisë elektrike”, Sektori i Risqeve Fiskale në baza mujore mbledh informacion lidhur detyrimet e ndërsjella që kanë ndërmarrjet shtetërore të sektorit të energjisë ndërmjet tyure dhe me entet e tjera shtetërore (Ujësjellës-kanalizime, DPT etj.), modalitetet e të cilave përfshihen në udhëzimin plotësues vjetor të Ministrisë së Financave. Shtrirja e risqeve fiskale që po monitorohen dhe raportohen është rritur gradualisht dhe përfshin aktualisht risqet që lidhen me borxhin, zhvillimet makroekonomike, NSH-të, PPP-të dhe kontratat koncesionare, detyrimet e prapambetura, të ardhurat, pushtetin vendor, procedurat ligjore dhe çështjet gjyqësore. Parashikohet përmirësimi i cilësisë dhe zgjerimi i fushës së menaxhimit të riskut fiskal, për shembull duke përfshirë gradualisht në kuadrin e monitorimit risqet që lidhen me fatkeqësitë natyrore dhe ndryshimet klimatike. Krahas kapitujve të dedikuar në Raportet Buxhetore si: Relacioni i Projektbuxhetit për vitin pasardhës, Raporti i konsoliduar i Buxhetit vjetor dhe Raporti i Mesvitit, në fund të muajit Maj 2024 do të publikohet për herë të parë Deklarata e Risqeve Fiskale për vitin 2023, si një dokument i mirëfilltë dhe gjithëpërfshirës mbi vlerësimin dhe monitorimin e risqeve fiskale që karakterizojnë menaxhimin e financave publike (përfshirë risqet nga fatkeqësitë natyrore), në linjë me kriteret dhe rekomandimet e partnerëve ndërkombëtarë. Me qëllim përmirësimin e mëtejshëm të procesit të menaxhimit të risqeve fiskale, në strukturën e re organike të MF</w:t>
      </w:r>
      <w:r>
        <w:rPr>
          <w:rFonts w:ascii="Arial" w:hAnsi="Arial" w:cs="Arial"/>
          <w:sz w:val="18"/>
          <w:szCs w:val="18"/>
        </w:rPr>
        <w:t>-së</w:t>
      </w:r>
      <w:r w:rsidRPr="001024A2">
        <w:rPr>
          <w:rFonts w:ascii="Arial" w:hAnsi="Arial" w:cs="Arial"/>
          <w:sz w:val="18"/>
          <w:szCs w:val="18"/>
        </w:rPr>
        <w:t>, miratuar në Shkurt 2024, është krijuar “Drejtoria e Risqeve Fiskale (DRF)”, e cila tashmë do të jetë lider në koordinimin, zhvillimin dhe shtyrjen përpara të punës në MF, në drejtim të menaxhimit të risqeve fiskale në tërësi, dhe Sektori i Risqeve Buxhetore (SRB) si pjesë e Drejtorisë së Menaxhimit të Buxhetit / Drejtorisë së Përgjithshme të Buxhetit, me fokus ndjekjen e performancës së zbatimit të buxhetit të shtetit, me qëllim monitorimin dhe raportimin e risqeve që shoqërojnë zbatimin e tij</w:t>
      </w:r>
      <w:r w:rsidR="00065954" w:rsidRPr="00065954">
        <w:rPr>
          <w:rFonts w:ascii="Arial" w:hAnsi="Arial" w:cs="Arial"/>
          <w:sz w:val="18"/>
          <w:szCs w:val="18"/>
        </w:rPr>
        <w:t>.</w:t>
      </w:r>
      <w:r w:rsidR="00065954">
        <w:rPr>
          <w:rStyle w:val="rynqvb"/>
          <w:lang w:val="sq-AL"/>
        </w:rPr>
        <w:t xml:space="preserve"> </w:t>
      </w:r>
      <w:r w:rsidR="00065954">
        <w:rPr>
          <w:rFonts w:ascii="Arial" w:hAnsi="Arial" w:cs="Arial"/>
          <w:sz w:val="18"/>
          <w:szCs w:val="18"/>
        </w:rPr>
        <w:t xml:space="preserve">  </w:t>
      </w:r>
      <w:r w:rsidR="00621ACF">
        <w:rPr>
          <w:rFonts w:ascii="Arial" w:hAnsi="Arial" w:cs="Arial"/>
          <w:sz w:val="18"/>
          <w:szCs w:val="18"/>
        </w:rPr>
        <w:t xml:space="preserve"> </w:t>
      </w:r>
    </w:p>
    <w:p w14:paraId="1C467A91" w14:textId="77777777" w:rsidR="00FA1898" w:rsidRPr="001F151E" w:rsidRDefault="00FA1898" w:rsidP="002E6AB5">
      <w:pPr>
        <w:pStyle w:val="EcorysBody"/>
        <w:spacing w:line="276" w:lineRule="auto"/>
        <w:jc w:val="both"/>
        <w:rPr>
          <w:rFonts w:ascii="Arial" w:hAnsi="Arial" w:cs="Arial"/>
          <w:lang w:val="en-GB"/>
        </w:rPr>
      </w:pPr>
    </w:p>
    <w:p w14:paraId="56D8C864" w14:textId="1482D6E5" w:rsidR="00FA1898" w:rsidRPr="001F151E" w:rsidRDefault="00FA1898" w:rsidP="002E6AB5">
      <w:pPr>
        <w:pStyle w:val="H5"/>
        <w:spacing w:line="276" w:lineRule="auto"/>
        <w:jc w:val="both"/>
        <w:rPr>
          <w:lang w:val="en-GB"/>
        </w:rPr>
      </w:pPr>
      <w:r w:rsidRPr="001F151E">
        <w:rPr>
          <w:lang w:val="en-GB"/>
        </w:rPr>
        <w:t>Priorit</w:t>
      </w:r>
      <w:r w:rsidR="00F903A9">
        <w:rPr>
          <w:lang w:val="en-GB"/>
        </w:rPr>
        <w:t>etet</w:t>
      </w:r>
    </w:p>
    <w:p w14:paraId="558C9B9D" w14:textId="0C6C64CE" w:rsidR="00FA1898" w:rsidRPr="001F151E" w:rsidRDefault="00F903A9" w:rsidP="002E6AB5">
      <w:pPr>
        <w:spacing w:line="276" w:lineRule="auto"/>
        <w:jc w:val="both"/>
        <w:rPr>
          <w:lang w:val="en-GB"/>
        </w:rPr>
      </w:pPr>
      <w:r>
        <w:rPr>
          <w:lang w:val="en-GB"/>
        </w:rPr>
        <w:t>Prioritetet p</w:t>
      </w:r>
      <w:r w:rsidR="000A70F5">
        <w:rPr>
          <w:lang w:val="en-GB"/>
        </w:rPr>
        <w:t>ë</w:t>
      </w:r>
      <w:r>
        <w:rPr>
          <w:lang w:val="en-GB"/>
        </w:rPr>
        <w:t>r periudh</w:t>
      </w:r>
      <w:r w:rsidR="000A70F5">
        <w:rPr>
          <w:lang w:val="en-GB"/>
        </w:rPr>
        <w:t>ë</w:t>
      </w:r>
      <w:r>
        <w:rPr>
          <w:lang w:val="en-GB"/>
        </w:rPr>
        <w:t>n 2023-2026 jan</w:t>
      </w:r>
      <w:r w:rsidR="000A70F5">
        <w:rPr>
          <w:lang w:val="en-GB"/>
        </w:rPr>
        <w:t>ë</w:t>
      </w:r>
      <w:r w:rsidR="00FA1898" w:rsidRPr="001F151E">
        <w:rPr>
          <w:lang w:val="en-GB"/>
        </w:rPr>
        <w:t>:</w:t>
      </w:r>
    </w:p>
    <w:p w14:paraId="0E3AB679" w14:textId="1327770F" w:rsidR="00FA1898" w:rsidRPr="001F151E" w:rsidRDefault="00123657" w:rsidP="002E6AB5">
      <w:pPr>
        <w:pStyle w:val="EcorysBody"/>
        <w:numPr>
          <w:ilvl w:val="0"/>
          <w:numId w:val="1"/>
        </w:numPr>
        <w:spacing w:line="276" w:lineRule="auto"/>
        <w:ind w:left="357" w:hanging="357"/>
        <w:jc w:val="both"/>
        <w:rPr>
          <w:rFonts w:ascii="Arial" w:hAnsi="Arial" w:cs="Arial"/>
          <w:lang w:val="en-GB"/>
        </w:rPr>
      </w:pPr>
      <w:r>
        <w:rPr>
          <w:rFonts w:ascii="Arial" w:hAnsi="Arial" w:cs="Arial"/>
          <w:lang w:val="en-GB"/>
        </w:rPr>
        <w:t xml:space="preserve">Prezantimi i </w:t>
      </w:r>
      <w:r w:rsidR="001F17DD">
        <w:rPr>
          <w:rFonts w:ascii="Arial" w:hAnsi="Arial" w:cs="Arial"/>
          <w:lang w:val="en-GB"/>
        </w:rPr>
        <w:t>Deklarat</w:t>
      </w:r>
      <w:r w:rsidR="000A70F5">
        <w:rPr>
          <w:rFonts w:ascii="Arial" w:hAnsi="Arial" w:cs="Arial"/>
          <w:lang w:val="en-GB"/>
        </w:rPr>
        <w:t>ë</w:t>
      </w:r>
      <w:r w:rsidR="001F17DD">
        <w:rPr>
          <w:rFonts w:ascii="Arial" w:hAnsi="Arial" w:cs="Arial"/>
          <w:lang w:val="en-GB"/>
        </w:rPr>
        <w:t>s</w:t>
      </w:r>
      <w:r>
        <w:rPr>
          <w:rFonts w:ascii="Arial" w:hAnsi="Arial" w:cs="Arial"/>
          <w:lang w:val="en-GB"/>
        </w:rPr>
        <w:t xml:space="preserve"> Vjetore t</w:t>
      </w:r>
      <w:r w:rsidR="000A70F5">
        <w:rPr>
          <w:rFonts w:ascii="Arial" w:hAnsi="Arial" w:cs="Arial"/>
          <w:lang w:val="en-GB"/>
        </w:rPr>
        <w:t>ë</w:t>
      </w:r>
      <w:r>
        <w:rPr>
          <w:rFonts w:ascii="Arial" w:hAnsi="Arial" w:cs="Arial"/>
          <w:lang w:val="en-GB"/>
        </w:rPr>
        <w:t xml:space="preserve"> Riskut Fiskal i prezantuar si nj</w:t>
      </w:r>
      <w:r w:rsidR="000A70F5">
        <w:rPr>
          <w:rFonts w:ascii="Arial" w:hAnsi="Arial" w:cs="Arial"/>
          <w:lang w:val="en-GB"/>
        </w:rPr>
        <w:t>ë</w:t>
      </w:r>
      <w:r>
        <w:rPr>
          <w:rFonts w:ascii="Arial" w:hAnsi="Arial" w:cs="Arial"/>
          <w:lang w:val="en-GB"/>
        </w:rPr>
        <w:t xml:space="preserve"> raport i veçant</w:t>
      </w:r>
      <w:r w:rsidR="000A70F5">
        <w:rPr>
          <w:rFonts w:ascii="Arial" w:hAnsi="Arial" w:cs="Arial"/>
          <w:lang w:val="en-GB"/>
        </w:rPr>
        <w:t>ë</w:t>
      </w:r>
      <w:r>
        <w:rPr>
          <w:rFonts w:ascii="Arial" w:hAnsi="Arial" w:cs="Arial"/>
          <w:lang w:val="en-GB"/>
        </w:rPr>
        <w:t xml:space="preserve"> q</w:t>
      </w:r>
      <w:r w:rsidR="000A70F5">
        <w:rPr>
          <w:rFonts w:ascii="Arial" w:hAnsi="Arial" w:cs="Arial"/>
          <w:lang w:val="en-GB"/>
        </w:rPr>
        <w:t>ë</w:t>
      </w:r>
      <w:r>
        <w:rPr>
          <w:rFonts w:ascii="Arial" w:hAnsi="Arial" w:cs="Arial"/>
          <w:lang w:val="en-GB"/>
        </w:rPr>
        <w:t xml:space="preserve"> paraqet risqet kryesore fiskale t</w:t>
      </w:r>
      <w:r w:rsidR="000A70F5">
        <w:rPr>
          <w:rFonts w:ascii="Arial" w:hAnsi="Arial" w:cs="Arial"/>
          <w:lang w:val="en-GB"/>
        </w:rPr>
        <w:t>ë</w:t>
      </w:r>
      <w:r>
        <w:rPr>
          <w:rFonts w:ascii="Arial" w:hAnsi="Arial" w:cs="Arial"/>
          <w:lang w:val="en-GB"/>
        </w:rPr>
        <w:t xml:space="preserve"> vler</w:t>
      </w:r>
      <w:r w:rsidR="000A70F5">
        <w:rPr>
          <w:rFonts w:ascii="Arial" w:hAnsi="Arial" w:cs="Arial"/>
          <w:lang w:val="en-GB"/>
        </w:rPr>
        <w:t>ë</w:t>
      </w:r>
      <w:r>
        <w:rPr>
          <w:rFonts w:ascii="Arial" w:hAnsi="Arial" w:cs="Arial"/>
          <w:lang w:val="en-GB"/>
        </w:rPr>
        <w:t>suara;</w:t>
      </w:r>
    </w:p>
    <w:p w14:paraId="7D76EAAA" w14:textId="6B588869" w:rsidR="00FA1898" w:rsidRPr="001F151E" w:rsidRDefault="00123657" w:rsidP="002E6AB5">
      <w:pPr>
        <w:pStyle w:val="EcorysBody"/>
        <w:numPr>
          <w:ilvl w:val="0"/>
          <w:numId w:val="1"/>
        </w:numPr>
        <w:spacing w:line="276" w:lineRule="auto"/>
        <w:ind w:left="357" w:hanging="357"/>
        <w:jc w:val="both"/>
        <w:rPr>
          <w:rFonts w:ascii="Arial" w:hAnsi="Arial" w:cs="Arial"/>
          <w:lang w:val="en-GB"/>
        </w:rPr>
      </w:pPr>
      <w:r>
        <w:rPr>
          <w:rFonts w:ascii="Arial" w:hAnsi="Arial" w:cs="Arial"/>
          <w:lang w:val="en-GB"/>
        </w:rPr>
        <w:t>Monitorimi i riskut fis</w:t>
      </w:r>
      <w:r w:rsidR="00E80162">
        <w:rPr>
          <w:rFonts w:ascii="Arial" w:hAnsi="Arial" w:cs="Arial"/>
          <w:lang w:val="en-GB"/>
        </w:rPr>
        <w:t>k</w:t>
      </w:r>
      <w:r>
        <w:rPr>
          <w:rFonts w:ascii="Arial" w:hAnsi="Arial" w:cs="Arial"/>
          <w:lang w:val="en-GB"/>
        </w:rPr>
        <w:t>al duke p</w:t>
      </w:r>
      <w:r w:rsidR="000A70F5">
        <w:rPr>
          <w:rFonts w:ascii="Arial" w:hAnsi="Arial" w:cs="Arial"/>
          <w:lang w:val="en-GB"/>
        </w:rPr>
        <w:t>ë</w:t>
      </w:r>
      <w:r>
        <w:rPr>
          <w:rFonts w:ascii="Arial" w:hAnsi="Arial" w:cs="Arial"/>
          <w:lang w:val="en-GB"/>
        </w:rPr>
        <w:t>rfshir</w:t>
      </w:r>
      <w:r w:rsidR="000A70F5">
        <w:rPr>
          <w:rFonts w:ascii="Arial" w:hAnsi="Arial" w:cs="Arial"/>
          <w:lang w:val="en-GB"/>
        </w:rPr>
        <w:t>ë</w:t>
      </w:r>
      <w:r>
        <w:rPr>
          <w:rFonts w:ascii="Arial" w:hAnsi="Arial" w:cs="Arial"/>
          <w:lang w:val="en-GB"/>
        </w:rPr>
        <w:t xml:space="preserve"> fatkeq</w:t>
      </w:r>
      <w:r w:rsidR="000A70F5">
        <w:rPr>
          <w:rFonts w:ascii="Arial" w:hAnsi="Arial" w:cs="Arial"/>
          <w:lang w:val="en-GB"/>
        </w:rPr>
        <w:t>ë</w:t>
      </w:r>
      <w:r>
        <w:rPr>
          <w:rFonts w:ascii="Arial" w:hAnsi="Arial" w:cs="Arial"/>
          <w:lang w:val="en-GB"/>
        </w:rPr>
        <w:t>sit</w:t>
      </w:r>
      <w:r w:rsidR="000A70F5">
        <w:rPr>
          <w:rFonts w:ascii="Arial" w:hAnsi="Arial" w:cs="Arial"/>
          <w:lang w:val="en-GB"/>
        </w:rPr>
        <w:t>ë</w:t>
      </w:r>
      <w:r>
        <w:rPr>
          <w:rFonts w:ascii="Arial" w:hAnsi="Arial" w:cs="Arial"/>
          <w:lang w:val="en-GB"/>
        </w:rPr>
        <w:t xml:space="preserve"> natyrore dhe risqet e ndryshimeve klimatike</w:t>
      </w:r>
      <w:r w:rsidR="00FA1898" w:rsidRPr="001F151E">
        <w:rPr>
          <w:rFonts w:ascii="Arial" w:hAnsi="Arial" w:cs="Arial"/>
          <w:lang w:val="en-GB"/>
        </w:rPr>
        <w:t xml:space="preserve">. </w:t>
      </w:r>
    </w:p>
    <w:p w14:paraId="56156A20" w14:textId="77777777" w:rsidR="00FA1898" w:rsidRPr="001F151E" w:rsidRDefault="00FA1898" w:rsidP="00FA1898">
      <w:pPr>
        <w:pStyle w:val="EcorysBody"/>
        <w:rPr>
          <w:rFonts w:ascii="Arial" w:hAnsi="Arial" w:cs="Arial"/>
          <w:lang w:val="en-GB"/>
        </w:rPr>
      </w:pPr>
    </w:p>
    <w:p w14:paraId="0E4DECEB" w14:textId="35BA2DEF" w:rsidR="00FA1898" w:rsidRPr="001F151E" w:rsidRDefault="00E80162" w:rsidP="00FA1898">
      <w:pPr>
        <w:pStyle w:val="H5"/>
        <w:rPr>
          <w:lang w:val="en-GB"/>
        </w:rPr>
      </w:pPr>
      <w:r>
        <w:rPr>
          <w:lang w:val="en-G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05"/>
        <w:gridCol w:w="3587"/>
        <w:gridCol w:w="789"/>
        <w:gridCol w:w="864"/>
        <w:gridCol w:w="1771"/>
      </w:tblGrid>
      <w:tr w:rsidR="004B51E9" w:rsidRPr="001F151E" w14:paraId="477F357E" w14:textId="77777777" w:rsidTr="0032215C">
        <w:trPr>
          <w:trHeight w:val="20"/>
          <w:tblHeader/>
        </w:trPr>
        <w:tc>
          <w:tcPr>
            <w:tcW w:w="2005" w:type="dxa"/>
            <w:shd w:val="clear" w:color="auto" w:fill="D9D9D9" w:themeFill="background1" w:themeFillShade="D9"/>
          </w:tcPr>
          <w:p w14:paraId="01DD9577" w14:textId="77777777" w:rsidR="004B51E9" w:rsidRPr="001F151E" w:rsidRDefault="004B51E9" w:rsidP="0032215C">
            <w:pPr>
              <w:pStyle w:val="T-bold"/>
              <w:spacing w:line="288" w:lineRule="auto"/>
            </w:pPr>
            <w:r w:rsidRPr="001F151E">
              <w:t>M</w:t>
            </w:r>
            <w:r>
              <w:t>asa</w:t>
            </w:r>
          </w:p>
        </w:tc>
        <w:tc>
          <w:tcPr>
            <w:tcW w:w="3587" w:type="dxa"/>
            <w:shd w:val="clear" w:color="auto" w:fill="D9D9D9" w:themeFill="background1" w:themeFillShade="D9"/>
          </w:tcPr>
          <w:p w14:paraId="2CBBB1F3" w14:textId="77777777" w:rsidR="004B51E9" w:rsidRPr="001F151E" w:rsidRDefault="004B51E9" w:rsidP="0032215C">
            <w:pPr>
              <w:pStyle w:val="T-bold"/>
              <w:spacing w:line="288" w:lineRule="auto"/>
            </w:pPr>
            <w:r w:rsidRPr="001F151E">
              <w:t>A</w:t>
            </w:r>
            <w:r>
              <w:t>ktiviteti</w:t>
            </w:r>
          </w:p>
        </w:tc>
        <w:tc>
          <w:tcPr>
            <w:tcW w:w="789" w:type="dxa"/>
            <w:shd w:val="clear" w:color="auto" w:fill="D9D9D9" w:themeFill="background1" w:themeFillShade="D9"/>
          </w:tcPr>
          <w:p w14:paraId="37A68834" w14:textId="77777777" w:rsidR="004B51E9" w:rsidRPr="001F151E" w:rsidRDefault="004B51E9" w:rsidP="0032215C">
            <w:pPr>
              <w:pStyle w:val="T-bold"/>
              <w:spacing w:line="288" w:lineRule="auto"/>
              <w:jc w:val="center"/>
            </w:pPr>
            <w:r>
              <w:t>Fillimi</w:t>
            </w:r>
          </w:p>
        </w:tc>
        <w:tc>
          <w:tcPr>
            <w:tcW w:w="864" w:type="dxa"/>
            <w:shd w:val="clear" w:color="auto" w:fill="D9D9D9" w:themeFill="background1" w:themeFillShade="D9"/>
          </w:tcPr>
          <w:p w14:paraId="0AC403F7" w14:textId="77777777" w:rsidR="004B51E9" w:rsidRPr="001F151E" w:rsidRDefault="004B51E9" w:rsidP="0032215C">
            <w:pPr>
              <w:pStyle w:val="T-bold"/>
              <w:spacing w:line="288" w:lineRule="auto"/>
              <w:jc w:val="center"/>
            </w:pPr>
            <w:r>
              <w:t>Mbarimi</w:t>
            </w:r>
          </w:p>
        </w:tc>
        <w:tc>
          <w:tcPr>
            <w:tcW w:w="1771" w:type="dxa"/>
            <w:shd w:val="clear" w:color="auto" w:fill="D9D9D9" w:themeFill="background1" w:themeFillShade="D9"/>
          </w:tcPr>
          <w:p w14:paraId="1CD8E2BD" w14:textId="77777777" w:rsidR="004B51E9" w:rsidRPr="001F151E" w:rsidRDefault="004B51E9" w:rsidP="0032215C">
            <w:pPr>
              <w:pStyle w:val="T-bold"/>
              <w:spacing w:line="288" w:lineRule="auto"/>
            </w:pPr>
            <w:r>
              <w:t>Grupet e Interesit</w:t>
            </w:r>
          </w:p>
        </w:tc>
      </w:tr>
      <w:tr w:rsidR="004B51E9" w:rsidRPr="001F151E" w14:paraId="2F5A22CA" w14:textId="77777777" w:rsidTr="0032215C">
        <w:trPr>
          <w:trHeight w:val="473"/>
        </w:trPr>
        <w:tc>
          <w:tcPr>
            <w:tcW w:w="2005" w:type="dxa"/>
            <w:vMerge w:val="restart"/>
            <w:shd w:val="clear" w:color="auto" w:fill="auto"/>
          </w:tcPr>
          <w:p w14:paraId="7633EB87" w14:textId="77777777" w:rsidR="004B51E9" w:rsidRPr="001F151E" w:rsidRDefault="004B51E9" w:rsidP="0032215C">
            <w:pPr>
              <w:pStyle w:val="EcorysBody"/>
              <w:rPr>
                <w:rFonts w:ascii="Arial" w:hAnsi="Arial" w:cs="Arial"/>
                <w:b/>
                <w:bCs/>
                <w:sz w:val="16"/>
                <w:szCs w:val="16"/>
              </w:rPr>
            </w:pPr>
            <w:r w:rsidRPr="001F151E">
              <w:rPr>
                <w:rFonts w:ascii="Arial" w:hAnsi="Arial" w:cs="Arial"/>
                <w:b/>
                <w:bCs/>
                <w:sz w:val="16"/>
                <w:szCs w:val="16"/>
              </w:rPr>
              <w:t>M</w:t>
            </w:r>
            <w:r>
              <w:rPr>
                <w:rFonts w:ascii="Arial" w:hAnsi="Arial" w:cs="Arial"/>
                <w:b/>
                <w:bCs/>
                <w:sz w:val="16"/>
                <w:szCs w:val="16"/>
              </w:rPr>
              <w:t>asa</w:t>
            </w:r>
            <w:r w:rsidRPr="001F151E">
              <w:rPr>
                <w:rFonts w:ascii="Arial" w:hAnsi="Arial" w:cs="Arial"/>
                <w:b/>
                <w:bCs/>
                <w:sz w:val="16"/>
                <w:szCs w:val="16"/>
              </w:rPr>
              <w:t xml:space="preserve"> 1.</w:t>
            </w:r>
            <w:r>
              <w:rPr>
                <w:rFonts w:ascii="Arial" w:hAnsi="Arial" w:cs="Arial"/>
                <w:b/>
                <w:bCs/>
                <w:sz w:val="16"/>
                <w:szCs w:val="16"/>
              </w:rPr>
              <w:t>3</w:t>
            </w:r>
            <w:r w:rsidRPr="001F151E">
              <w:rPr>
                <w:rFonts w:ascii="Arial" w:hAnsi="Arial" w:cs="Arial"/>
                <w:b/>
                <w:bCs/>
                <w:sz w:val="16"/>
                <w:szCs w:val="16"/>
              </w:rPr>
              <w:t xml:space="preserve">.1 </w:t>
            </w:r>
            <w:r>
              <w:rPr>
                <w:rFonts w:ascii="Arial" w:hAnsi="Arial" w:cs="Arial"/>
                <w:b/>
                <w:bCs/>
                <w:sz w:val="16"/>
                <w:szCs w:val="16"/>
              </w:rPr>
              <w:t>Prezantimi i Deklaratës vjetore të Risqeve Fiskale dhe zgjerimi gradual i fushës së monitorimit dhe raportimit të risqeve fiskale</w:t>
            </w:r>
          </w:p>
        </w:tc>
        <w:tc>
          <w:tcPr>
            <w:tcW w:w="3587" w:type="dxa"/>
          </w:tcPr>
          <w:p w14:paraId="40DF8232" w14:textId="77777777" w:rsidR="004B51E9" w:rsidRPr="00772648" w:rsidRDefault="004B51E9" w:rsidP="004B51E9">
            <w:pPr>
              <w:pStyle w:val="T-number"/>
              <w:numPr>
                <w:ilvl w:val="0"/>
                <w:numId w:val="29"/>
              </w:numPr>
            </w:pPr>
            <w:r w:rsidRPr="00772648">
              <w:t xml:space="preserve">Zhvillimi dhe zbatimi i ngritjes së kapaciteteve të stafit për menaxhimin e risqeve </w:t>
            </w:r>
            <w:r>
              <w:t>f</w:t>
            </w:r>
            <w:r w:rsidRPr="00772648">
              <w:t>iskale</w:t>
            </w:r>
          </w:p>
        </w:tc>
        <w:tc>
          <w:tcPr>
            <w:tcW w:w="789" w:type="dxa"/>
            <w:shd w:val="clear" w:color="auto" w:fill="auto"/>
            <w:vAlign w:val="center"/>
          </w:tcPr>
          <w:p w14:paraId="59927E39" w14:textId="77777777" w:rsidR="004B51E9" w:rsidRPr="00772648" w:rsidRDefault="004B51E9" w:rsidP="0032215C">
            <w:pPr>
              <w:rPr>
                <w:color w:val="FF0000"/>
                <w:sz w:val="16"/>
                <w:szCs w:val="16"/>
              </w:rPr>
            </w:pPr>
            <w:r w:rsidRPr="00772648">
              <w:rPr>
                <w:sz w:val="16"/>
                <w:szCs w:val="16"/>
              </w:rPr>
              <w:t>T1 2024</w:t>
            </w:r>
          </w:p>
        </w:tc>
        <w:tc>
          <w:tcPr>
            <w:tcW w:w="864" w:type="dxa"/>
            <w:shd w:val="clear" w:color="auto" w:fill="auto"/>
            <w:vAlign w:val="center"/>
          </w:tcPr>
          <w:p w14:paraId="6401242D" w14:textId="77777777" w:rsidR="004B51E9" w:rsidRPr="00772648" w:rsidRDefault="004B51E9" w:rsidP="0032215C">
            <w:pPr>
              <w:rPr>
                <w:color w:val="FF0000"/>
                <w:sz w:val="16"/>
                <w:szCs w:val="16"/>
              </w:rPr>
            </w:pPr>
            <w:r w:rsidRPr="00772648">
              <w:rPr>
                <w:sz w:val="16"/>
                <w:szCs w:val="16"/>
              </w:rPr>
              <w:t>T4 2026</w:t>
            </w:r>
          </w:p>
        </w:tc>
        <w:tc>
          <w:tcPr>
            <w:tcW w:w="1771" w:type="dxa"/>
            <w:vMerge w:val="restart"/>
          </w:tcPr>
          <w:p w14:paraId="1AD5B987" w14:textId="77777777" w:rsidR="004B51E9" w:rsidRPr="001F151E" w:rsidRDefault="004B51E9" w:rsidP="0032215C">
            <w:pPr>
              <w:rPr>
                <w:b/>
                <w:bCs/>
                <w:sz w:val="16"/>
                <w:szCs w:val="16"/>
              </w:rPr>
            </w:pPr>
            <w:r>
              <w:rPr>
                <w:b/>
                <w:bCs/>
                <w:sz w:val="16"/>
                <w:szCs w:val="16"/>
              </w:rPr>
              <w:t>Njësitë Përgjegjëse</w:t>
            </w:r>
            <w:r w:rsidRPr="001F151E">
              <w:rPr>
                <w:b/>
                <w:bCs/>
                <w:sz w:val="16"/>
                <w:szCs w:val="16"/>
              </w:rPr>
              <w:t>:</w:t>
            </w:r>
          </w:p>
          <w:p w14:paraId="143B2818" w14:textId="77777777" w:rsidR="004B51E9" w:rsidRPr="001F151E" w:rsidRDefault="004B51E9" w:rsidP="0032215C">
            <w:pPr>
              <w:pStyle w:val="EcorysBody"/>
              <w:rPr>
                <w:rFonts w:ascii="Arial" w:hAnsi="Arial" w:cs="Arial"/>
                <w:sz w:val="16"/>
                <w:szCs w:val="16"/>
              </w:rPr>
            </w:pPr>
            <w:r>
              <w:rPr>
                <w:rFonts w:ascii="Arial" w:hAnsi="Arial" w:cs="Arial"/>
                <w:sz w:val="16"/>
                <w:szCs w:val="16"/>
              </w:rPr>
              <w:t>DRF (lider</w:t>
            </w:r>
            <w:r w:rsidRPr="001F151E">
              <w:rPr>
                <w:rFonts w:ascii="Arial" w:hAnsi="Arial" w:cs="Arial"/>
                <w:sz w:val="16"/>
                <w:szCs w:val="16"/>
              </w:rPr>
              <w:t>)</w:t>
            </w:r>
          </w:p>
          <w:p w14:paraId="3C7DCF1A" w14:textId="77777777" w:rsidR="004B51E9" w:rsidRPr="001F151E" w:rsidRDefault="004B51E9" w:rsidP="0032215C">
            <w:pPr>
              <w:pStyle w:val="EcorysBody"/>
              <w:rPr>
                <w:rFonts w:ascii="Arial" w:hAnsi="Arial" w:cs="Arial"/>
                <w:b/>
                <w:bCs/>
                <w:sz w:val="16"/>
                <w:szCs w:val="16"/>
              </w:rPr>
            </w:pPr>
          </w:p>
          <w:p w14:paraId="417EDCA1" w14:textId="77777777" w:rsidR="004B51E9" w:rsidRPr="001F151E" w:rsidRDefault="004B51E9" w:rsidP="0032215C">
            <w:pPr>
              <w:pStyle w:val="EcorysBody"/>
              <w:rPr>
                <w:rFonts w:ascii="Arial" w:hAnsi="Arial" w:cs="Arial"/>
                <w:sz w:val="16"/>
                <w:szCs w:val="16"/>
              </w:rPr>
            </w:pPr>
            <w:r>
              <w:rPr>
                <w:rFonts w:ascii="Arial" w:hAnsi="Arial" w:cs="Arial"/>
                <w:b/>
                <w:bCs/>
                <w:sz w:val="16"/>
                <w:szCs w:val="16"/>
              </w:rPr>
              <w:t>Partnerët</w:t>
            </w:r>
            <w:r w:rsidRPr="001F151E">
              <w:rPr>
                <w:rFonts w:ascii="Arial" w:hAnsi="Arial" w:cs="Arial"/>
                <w:b/>
                <w:bCs/>
                <w:sz w:val="16"/>
                <w:szCs w:val="16"/>
              </w:rPr>
              <w:t>:</w:t>
            </w:r>
            <w:r w:rsidRPr="001F151E">
              <w:rPr>
                <w:rFonts w:ascii="Arial" w:hAnsi="Arial" w:cs="Arial"/>
                <w:sz w:val="16"/>
                <w:szCs w:val="16"/>
              </w:rPr>
              <w:t xml:space="preserve"> </w:t>
            </w:r>
          </w:p>
          <w:p w14:paraId="3AE2F191" w14:textId="77777777" w:rsidR="004B51E9" w:rsidRPr="001F151E" w:rsidRDefault="004B51E9" w:rsidP="0032215C">
            <w:pPr>
              <w:pStyle w:val="EcorysBody"/>
              <w:rPr>
                <w:b/>
                <w:bCs/>
                <w:sz w:val="16"/>
                <w:szCs w:val="16"/>
              </w:rPr>
            </w:pPr>
            <w:r w:rsidRPr="001F151E">
              <w:rPr>
                <w:rFonts w:ascii="Arial" w:hAnsi="Arial" w:cs="Arial"/>
                <w:sz w:val="16"/>
                <w:szCs w:val="16"/>
              </w:rPr>
              <w:t>IMF</w:t>
            </w:r>
            <w:r w:rsidRPr="001F151E">
              <w:rPr>
                <w:rStyle w:val="FootnoteReference"/>
                <w:sz w:val="16"/>
                <w:szCs w:val="16"/>
              </w:rPr>
              <w:footnoteReference w:id="7"/>
            </w:r>
          </w:p>
        </w:tc>
      </w:tr>
      <w:tr w:rsidR="004B51E9" w:rsidRPr="001F151E" w14:paraId="3B16BAA7" w14:textId="77777777" w:rsidTr="0032215C">
        <w:trPr>
          <w:trHeight w:val="20"/>
        </w:trPr>
        <w:tc>
          <w:tcPr>
            <w:tcW w:w="2005" w:type="dxa"/>
            <w:vMerge/>
            <w:shd w:val="clear" w:color="auto" w:fill="auto"/>
          </w:tcPr>
          <w:p w14:paraId="2FF5746D" w14:textId="77777777" w:rsidR="004B51E9" w:rsidRPr="001F151E" w:rsidRDefault="004B51E9" w:rsidP="0032215C">
            <w:pPr>
              <w:pStyle w:val="EcorysBody"/>
              <w:rPr>
                <w:rFonts w:ascii="Arial" w:eastAsia="Times New Roman" w:hAnsi="Arial" w:cs="Arial"/>
                <w:b/>
                <w:bCs/>
                <w:sz w:val="16"/>
                <w:szCs w:val="16"/>
              </w:rPr>
            </w:pPr>
          </w:p>
        </w:tc>
        <w:tc>
          <w:tcPr>
            <w:tcW w:w="3587" w:type="dxa"/>
          </w:tcPr>
          <w:p w14:paraId="768059A7" w14:textId="77777777" w:rsidR="004B51E9" w:rsidRPr="001F151E" w:rsidRDefault="004B51E9" w:rsidP="004B51E9">
            <w:pPr>
              <w:pStyle w:val="T-number"/>
              <w:numPr>
                <w:ilvl w:val="0"/>
                <w:numId w:val="29"/>
              </w:numPr>
            </w:pPr>
            <w:r>
              <w:t>Zhvillimi, pilotimi dhe publikimi çdo vit I Deklaratës Vjetore të Riskut Fiskal</w:t>
            </w:r>
          </w:p>
        </w:tc>
        <w:tc>
          <w:tcPr>
            <w:tcW w:w="789" w:type="dxa"/>
            <w:shd w:val="clear" w:color="auto" w:fill="auto"/>
            <w:vAlign w:val="center"/>
          </w:tcPr>
          <w:p w14:paraId="34FC56A0" w14:textId="77777777" w:rsidR="004B51E9" w:rsidRPr="001F151E" w:rsidRDefault="004B51E9" w:rsidP="0032215C">
            <w:pPr>
              <w:jc w:val="center"/>
              <w:rPr>
                <w:sz w:val="16"/>
                <w:szCs w:val="16"/>
              </w:rPr>
            </w:pPr>
            <w:r>
              <w:rPr>
                <w:sz w:val="16"/>
                <w:szCs w:val="16"/>
              </w:rPr>
              <w:t>T</w:t>
            </w:r>
            <w:r w:rsidRPr="001F151E">
              <w:rPr>
                <w:sz w:val="16"/>
                <w:szCs w:val="16"/>
              </w:rPr>
              <w:t>1 2023</w:t>
            </w:r>
          </w:p>
        </w:tc>
        <w:tc>
          <w:tcPr>
            <w:tcW w:w="864" w:type="dxa"/>
            <w:shd w:val="clear" w:color="auto" w:fill="auto"/>
            <w:vAlign w:val="center"/>
          </w:tcPr>
          <w:p w14:paraId="4F9414D0" w14:textId="77777777" w:rsidR="004B51E9" w:rsidRPr="001F151E" w:rsidRDefault="004B51E9" w:rsidP="0032215C">
            <w:pPr>
              <w:jc w:val="center"/>
              <w:rPr>
                <w:sz w:val="16"/>
                <w:szCs w:val="16"/>
              </w:rPr>
            </w:pPr>
            <w:r>
              <w:rPr>
                <w:sz w:val="16"/>
                <w:szCs w:val="16"/>
              </w:rPr>
              <w:t>T</w:t>
            </w:r>
            <w:r w:rsidRPr="001F151E">
              <w:rPr>
                <w:sz w:val="16"/>
                <w:szCs w:val="16"/>
              </w:rPr>
              <w:t>4 2025</w:t>
            </w:r>
          </w:p>
        </w:tc>
        <w:tc>
          <w:tcPr>
            <w:tcW w:w="1771" w:type="dxa"/>
            <w:vMerge/>
          </w:tcPr>
          <w:p w14:paraId="7EEF3D7C" w14:textId="77777777" w:rsidR="004B51E9" w:rsidRPr="001F151E" w:rsidRDefault="004B51E9" w:rsidP="0032215C">
            <w:pPr>
              <w:pStyle w:val="EcorysBody"/>
              <w:rPr>
                <w:rFonts w:ascii="Arial" w:hAnsi="Arial" w:cs="Arial"/>
                <w:b/>
                <w:bCs/>
                <w:sz w:val="16"/>
                <w:szCs w:val="16"/>
              </w:rPr>
            </w:pPr>
          </w:p>
        </w:tc>
      </w:tr>
      <w:tr w:rsidR="004B51E9" w:rsidRPr="001F151E" w14:paraId="7DFA7864" w14:textId="77777777" w:rsidTr="0032215C">
        <w:trPr>
          <w:trHeight w:val="20"/>
        </w:trPr>
        <w:tc>
          <w:tcPr>
            <w:tcW w:w="2005" w:type="dxa"/>
            <w:vMerge/>
            <w:shd w:val="clear" w:color="auto" w:fill="auto"/>
          </w:tcPr>
          <w:p w14:paraId="72037534" w14:textId="77777777" w:rsidR="004B51E9" w:rsidRPr="001F151E" w:rsidRDefault="004B51E9" w:rsidP="0032215C">
            <w:pPr>
              <w:pStyle w:val="EcorysBody"/>
              <w:numPr>
                <w:ilvl w:val="0"/>
                <w:numId w:val="17"/>
              </w:numPr>
              <w:spacing w:line="288" w:lineRule="auto"/>
              <w:rPr>
                <w:rFonts w:ascii="Arial" w:hAnsi="Arial" w:cs="Arial"/>
                <w:sz w:val="16"/>
                <w:szCs w:val="16"/>
              </w:rPr>
            </w:pPr>
          </w:p>
        </w:tc>
        <w:tc>
          <w:tcPr>
            <w:tcW w:w="3587" w:type="dxa"/>
          </w:tcPr>
          <w:p w14:paraId="09B4323F" w14:textId="77777777" w:rsidR="004B51E9" w:rsidRPr="001F151E" w:rsidRDefault="004B51E9" w:rsidP="004B51E9">
            <w:pPr>
              <w:pStyle w:val="T-number"/>
              <w:numPr>
                <w:ilvl w:val="0"/>
                <w:numId w:val="5"/>
              </w:numPr>
            </w:pPr>
            <w:r>
              <w:t xml:space="preserve">Zgjerimi i fushës së risqeve fiskale të raportuara në Deklaratën e Risqeve Fiskale duke përfshirë edhe risqet që lidhen me fatkeqësitë natyrore dhe ndryshimet klimatike. </w:t>
            </w:r>
          </w:p>
        </w:tc>
        <w:tc>
          <w:tcPr>
            <w:tcW w:w="789" w:type="dxa"/>
            <w:vAlign w:val="center"/>
          </w:tcPr>
          <w:p w14:paraId="60F85328" w14:textId="77777777" w:rsidR="004B51E9" w:rsidRPr="001F151E" w:rsidRDefault="004B51E9" w:rsidP="0032215C">
            <w:pPr>
              <w:jc w:val="center"/>
              <w:rPr>
                <w:sz w:val="16"/>
                <w:szCs w:val="16"/>
              </w:rPr>
            </w:pPr>
            <w:r>
              <w:rPr>
                <w:sz w:val="16"/>
                <w:szCs w:val="16"/>
              </w:rPr>
              <w:t>T</w:t>
            </w:r>
            <w:r w:rsidRPr="001F151E">
              <w:rPr>
                <w:sz w:val="16"/>
                <w:szCs w:val="16"/>
              </w:rPr>
              <w:t>2 2024</w:t>
            </w:r>
          </w:p>
        </w:tc>
        <w:tc>
          <w:tcPr>
            <w:tcW w:w="864" w:type="dxa"/>
            <w:vAlign w:val="center"/>
          </w:tcPr>
          <w:p w14:paraId="319B0F2E" w14:textId="77777777" w:rsidR="004B51E9" w:rsidRPr="001F151E" w:rsidRDefault="004B51E9" w:rsidP="0032215C">
            <w:pPr>
              <w:jc w:val="center"/>
              <w:rPr>
                <w:sz w:val="16"/>
                <w:szCs w:val="16"/>
              </w:rPr>
            </w:pPr>
            <w:r w:rsidRPr="00E80162">
              <w:rPr>
                <w:sz w:val="16"/>
                <w:szCs w:val="16"/>
              </w:rPr>
              <w:t>&gt;2026</w:t>
            </w:r>
          </w:p>
        </w:tc>
        <w:tc>
          <w:tcPr>
            <w:tcW w:w="1771" w:type="dxa"/>
            <w:vMerge/>
          </w:tcPr>
          <w:p w14:paraId="24A235E6" w14:textId="77777777" w:rsidR="004B51E9" w:rsidRPr="001F151E" w:rsidRDefault="004B51E9" w:rsidP="0032215C">
            <w:pPr>
              <w:rPr>
                <w:sz w:val="16"/>
                <w:szCs w:val="16"/>
              </w:rPr>
            </w:pPr>
          </w:p>
        </w:tc>
      </w:tr>
      <w:tr w:rsidR="004B51E9" w:rsidRPr="001F151E" w14:paraId="34AA3925" w14:textId="77777777" w:rsidTr="0032215C">
        <w:trPr>
          <w:trHeight w:val="251"/>
        </w:trPr>
        <w:tc>
          <w:tcPr>
            <w:tcW w:w="2005" w:type="dxa"/>
            <w:shd w:val="clear" w:color="auto" w:fill="auto"/>
          </w:tcPr>
          <w:p w14:paraId="0CE98B3E" w14:textId="77777777" w:rsidR="004B51E9" w:rsidRPr="009D660E" w:rsidRDefault="004B51E9" w:rsidP="0032215C">
            <w:pPr>
              <w:pStyle w:val="EcorysBody"/>
              <w:spacing w:line="288" w:lineRule="auto"/>
              <w:rPr>
                <w:rFonts w:ascii="Arial" w:hAnsi="Arial" w:cs="Arial"/>
                <w:sz w:val="16"/>
                <w:szCs w:val="16"/>
                <w:lang w:val="it-IT"/>
              </w:rPr>
            </w:pPr>
            <w:r w:rsidRPr="009D660E">
              <w:rPr>
                <w:rFonts w:ascii="Arial" w:hAnsi="Arial" w:cs="Arial"/>
                <w:b/>
                <w:bCs/>
                <w:sz w:val="16"/>
                <w:szCs w:val="16"/>
                <w:lang w:val="it-IT"/>
              </w:rPr>
              <w:t>Masa 1.3.2 Forcimi i menaxhimit të risqeve fiskale në lidhje me PPP-të dhe kontratat koncesionare</w:t>
            </w:r>
          </w:p>
        </w:tc>
        <w:tc>
          <w:tcPr>
            <w:tcW w:w="3587" w:type="dxa"/>
          </w:tcPr>
          <w:p w14:paraId="768F8730" w14:textId="77777777" w:rsidR="004B51E9" w:rsidRPr="00F80475" w:rsidRDefault="004B51E9" w:rsidP="00F80475">
            <w:pPr>
              <w:pStyle w:val="T-number"/>
              <w:numPr>
                <w:ilvl w:val="0"/>
                <w:numId w:val="113"/>
              </w:numPr>
              <w:rPr>
                <w:lang w:val="it-IT"/>
              </w:rPr>
            </w:pPr>
            <w:r w:rsidRPr="00F80475">
              <w:rPr>
                <w:lang w:val="it-IT"/>
              </w:rPr>
              <w:t xml:space="preserve">Përmirësimi i metodologjisë dhe rregulloreve për vlerësimin dhe monitorimin e risqeve fiskale të të gjitha PPP-ve dhe kontratave koncesionare në nivel kombëtar dhe vendor. </w:t>
            </w:r>
          </w:p>
        </w:tc>
        <w:tc>
          <w:tcPr>
            <w:tcW w:w="789" w:type="dxa"/>
            <w:vAlign w:val="center"/>
          </w:tcPr>
          <w:p w14:paraId="7B422915" w14:textId="77777777" w:rsidR="004B51E9" w:rsidRPr="001F151E" w:rsidRDefault="004B51E9" w:rsidP="0032215C">
            <w:pPr>
              <w:jc w:val="center"/>
              <w:rPr>
                <w:sz w:val="16"/>
                <w:szCs w:val="16"/>
              </w:rPr>
            </w:pPr>
            <w:r>
              <w:rPr>
                <w:sz w:val="16"/>
                <w:szCs w:val="16"/>
              </w:rPr>
              <w:t>T</w:t>
            </w:r>
            <w:r w:rsidRPr="001F151E">
              <w:rPr>
                <w:sz w:val="16"/>
                <w:szCs w:val="16"/>
              </w:rPr>
              <w:t>2 2025</w:t>
            </w:r>
          </w:p>
        </w:tc>
        <w:tc>
          <w:tcPr>
            <w:tcW w:w="864" w:type="dxa"/>
            <w:vAlign w:val="center"/>
          </w:tcPr>
          <w:p w14:paraId="342EF328" w14:textId="77777777" w:rsidR="004B51E9" w:rsidRPr="001F151E" w:rsidRDefault="004B51E9" w:rsidP="0032215C">
            <w:pPr>
              <w:jc w:val="center"/>
              <w:rPr>
                <w:sz w:val="16"/>
                <w:szCs w:val="16"/>
              </w:rPr>
            </w:pPr>
            <w:r>
              <w:rPr>
                <w:sz w:val="16"/>
                <w:szCs w:val="16"/>
              </w:rPr>
              <w:t>T</w:t>
            </w:r>
            <w:r w:rsidRPr="001F151E">
              <w:rPr>
                <w:sz w:val="16"/>
                <w:szCs w:val="16"/>
              </w:rPr>
              <w:t>2 2026</w:t>
            </w:r>
          </w:p>
        </w:tc>
        <w:tc>
          <w:tcPr>
            <w:tcW w:w="1771" w:type="dxa"/>
          </w:tcPr>
          <w:p w14:paraId="083307FF" w14:textId="77777777" w:rsidR="004B51E9" w:rsidRPr="001F151E" w:rsidRDefault="004B51E9" w:rsidP="0032215C">
            <w:pPr>
              <w:rPr>
                <w:b/>
                <w:bCs/>
                <w:sz w:val="16"/>
                <w:szCs w:val="16"/>
              </w:rPr>
            </w:pPr>
            <w:r>
              <w:rPr>
                <w:b/>
                <w:bCs/>
                <w:sz w:val="16"/>
                <w:szCs w:val="16"/>
              </w:rPr>
              <w:t>Njësitë Përgjegjëse</w:t>
            </w:r>
            <w:r w:rsidRPr="001F151E">
              <w:rPr>
                <w:b/>
                <w:bCs/>
                <w:sz w:val="16"/>
                <w:szCs w:val="16"/>
              </w:rPr>
              <w:t xml:space="preserve">: </w:t>
            </w:r>
          </w:p>
          <w:p w14:paraId="28C67989" w14:textId="77777777" w:rsidR="004B51E9" w:rsidRPr="001F151E" w:rsidRDefault="004B51E9" w:rsidP="0032215C">
            <w:pPr>
              <w:pStyle w:val="EcorysBody"/>
              <w:rPr>
                <w:rFonts w:ascii="Arial" w:hAnsi="Arial" w:cs="Arial"/>
                <w:sz w:val="16"/>
                <w:szCs w:val="16"/>
              </w:rPr>
            </w:pPr>
            <w:r w:rsidRPr="001F151E">
              <w:rPr>
                <w:rFonts w:ascii="Arial" w:hAnsi="Arial" w:cs="Arial"/>
                <w:sz w:val="16"/>
                <w:szCs w:val="16"/>
              </w:rPr>
              <w:t>D</w:t>
            </w:r>
            <w:r>
              <w:rPr>
                <w:rFonts w:ascii="Arial" w:hAnsi="Arial" w:cs="Arial"/>
                <w:sz w:val="16"/>
                <w:szCs w:val="16"/>
              </w:rPr>
              <w:t>K (lider</w:t>
            </w:r>
            <w:r w:rsidRPr="001F151E">
              <w:rPr>
                <w:rFonts w:ascii="Arial" w:hAnsi="Arial" w:cs="Arial"/>
                <w:sz w:val="16"/>
                <w:szCs w:val="16"/>
              </w:rPr>
              <w:t>)</w:t>
            </w:r>
          </w:p>
          <w:p w14:paraId="61314393" w14:textId="77777777" w:rsidR="004B51E9" w:rsidRPr="001F151E" w:rsidRDefault="004B51E9" w:rsidP="0032215C">
            <w:pPr>
              <w:pStyle w:val="EcorysBody"/>
              <w:rPr>
                <w:rFonts w:ascii="Arial" w:hAnsi="Arial" w:cs="Arial"/>
                <w:b/>
                <w:bCs/>
                <w:sz w:val="16"/>
                <w:szCs w:val="16"/>
              </w:rPr>
            </w:pPr>
          </w:p>
          <w:p w14:paraId="39FA5131" w14:textId="77777777" w:rsidR="004B51E9" w:rsidRPr="001F151E" w:rsidRDefault="004B51E9" w:rsidP="0032215C">
            <w:pPr>
              <w:pStyle w:val="EcorysBody"/>
              <w:rPr>
                <w:rFonts w:ascii="Arial" w:hAnsi="Arial" w:cs="Arial"/>
                <w:b/>
                <w:bCs/>
                <w:sz w:val="16"/>
                <w:szCs w:val="16"/>
              </w:rPr>
            </w:pPr>
            <w:r>
              <w:rPr>
                <w:rFonts w:ascii="Arial" w:hAnsi="Arial" w:cs="Arial"/>
                <w:b/>
                <w:bCs/>
                <w:sz w:val="16"/>
                <w:szCs w:val="16"/>
              </w:rPr>
              <w:t>Partnerët</w:t>
            </w:r>
            <w:r w:rsidRPr="001F151E">
              <w:rPr>
                <w:rFonts w:ascii="Arial" w:hAnsi="Arial" w:cs="Arial"/>
                <w:b/>
                <w:bCs/>
                <w:sz w:val="16"/>
                <w:szCs w:val="16"/>
              </w:rPr>
              <w:t>:</w:t>
            </w:r>
          </w:p>
          <w:p w14:paraId="5309A921" w14:textId="77777777" w:rsidR="004B51E9" w:rsidRPr="001F151E" w:rsidRDefault="004B51E9" w:rsidP="0032215C">
            <w:pPr>
              <w:pStyle w:val="EcorysBody"/>
              <w:rPr>
                <w:rFonts w:ascii="Arial" w:hAnsi="Arial" w:cs="Arial"/>
                <w:sz w:val="16"/>
                <w:szCs w:val="16"/>
              </w:rPr>
            </w:pPr>
            <w:r>
              <w:rPr>
                <w:rFonts w:ascii="Arial" w:hAnsi="Arial" w:cs="Arial"/>
                <w:sz w:val="16"/>
                <w:szCs w:val="16"/>
              </w:rPr>
              <w:t>FMN</w:t>
            </w:r>
          </w:p>
        </w:tc>
      </w:tr>
      <w:tr w:rsidR="004B51E9" w:rsidRPr="001F151E" w14:paraId="234B45D0" w14:textId="77777777" w:rsidTr="0032215C">
        <w:trPr>
          <w:trHeight w:val="20"/>
        </w:trPr>
        <w:tc>
          <w:tcPr>
            <w:tcW w:w="2005" w:type="dxa"/>
            <w:vMerge w:val="restart"/>
            <w:shd w:val="clear" w:color="auto" w:fill="auto"/>
          </w:tcPr>
          <w:p w14:paraId="015F1856" w14:textId="77777777" w:rsidR="004B51E9" w:rsidRPr="001F151E" w:rsidRDefault="004B51E9" w:rsidP="0032215C">
            <w:pPr>
              <w:pStyle w:val="EcorysBody"/>
              <w:spacing w:line="288" w:lineRule="auto"/>
              <w:rPr>
                <w:rFonts w:ascii="Arial" w:hAnsi="Arial" w:cs="Arial"/>
                <w:sz w:val="16"/>
                <w:szCs w:val="16"/>
              </w:rPr>
            </w:pPr>
            <w:r>
              <w:rPr>
                <w:rFonts w:ascii="Arial" w:hAnsi="Arial" w:cs="Arial"/>
                <w:b/>
                <w:bCs/>
                <w:sz w:val="16"/>
                <w:szCs w:val="16"/>
              </w:rPr>
              <w:t>Masa</w:t>
            </w:r>
            <w:r w:rsidRPr="001F151E">
              <w:rPr>
                <w:rFonts w:ascii="Arial" w:hAnsi="Arial" w:cs="Arial"/>
                <w:b/>
                <w:bCs/>
                <w:sz w:val="16"/>
                <w:szCs w:val="16"/>
              </w:rPr>
              <w:t xml:space="preserve"> 1.</w:t>
            </w:r>
            <w:r>
              <w:rPr>
                <w:rFonts w:ascii="Arial" w:hAnsi="Arial" w:cs="Arial"/>
                <w:b/>
                <w:bCs/>
                <w:sz w:val="16"/>
                <w:szCs w:val="16"/>
              </w:rPr>
              <w:t>3</w:t>
            </w:r>
            <w:r w:rsidRPr="001F151E">
              <w:rPr>
                <w:rFonts w:ascii="Arial" w:hAnsi="Arial" w:cs="Arial"/>
                <w:b/>
                <w:bCs/>
                <w:sz w:val="16"/>
                <w:szCs w:val="16"/>
              </w:rPr>
              <w:t xml:space="preserve">.3 </w:t>
            </w:r>
            <w:r>
              <w:rPr>
                <w:rFonts w:ascii="Arial" w:hAnsi="Arial" w:cs="Arial"/>
                <w:b/>
                <w:bCs/>
                <w:sz w:val="16"/>
                <w:szCs w:val="16"/>
              </w:rPr>
              <w:t xml:space="preserve">Forcimi i mbikëqyrjes fiskale të </w:t>
            </w:r>
            <w:r>
              <w:rPr>
                <w:rFonts w:ascii="Arial" w:hAnsi="Arial" w:cs="Arial"/>
                <w:b/>
                <w:bCs/>
                <w:sz w:val="16"/>
                <w:szCs w:val="16"/>
              </w:rPr>
              <w:lastRenderedPageBreak/>
              <w:t xml:space="preserve">Ndërmarrjeve Shtetërore. </w:t>
            </w:r>
          </w:p>
        </w:tc>
        <w:tc>
          <w:tcPr>
            <w:tcW w:w="3587" w:type="dxa"/>
            <w:shd w:val="clear" w:color="auto" w:fill="auto"/>
          </w:tcPr>
          <w:p w14:paraId="38355131" w14:textId="77777777" w:rsidR="004B51E9" w:rsidRPr="002932AC" w:rsidRDefault="004B51E9" w:rsidP="00F80475">
            <w:pPr>
              <w:pStyle w:val="T-number"/>
              <w:numPr>
                <w:ilvl w:val="0"/>
                <w:numId w:val="114"/>
              </w:numPr>
            </w:pPr>
            <w:r w:rsidRPr="002932AC">
              <w:lastRenderedPageBreak/>
              <w:t xml:space="preserve">Përmirësimi i metodologjisë dhe rregulloreve për vlerësimin, monitorimin dhe mbikëqyrjen e risqeve fiskale që lidhen me </w:t>
            </w:r>
            <w:r w:rsidRPr="002932AC">
              <w:lastRenderedPageBreak/>
              <w:t>Ndërmarrjet Shtetërore</w:t>
            </w:r>
            <w:r w:rsidRPr="00A023E3">
              <w:rPr>
                <w:vertAlign w:val="superscript"/>
              </w:rPr>
              <w:footnoteReference w:id="8"/>
            </w:r>
            <w:r w:rsidRPr="002932AC">
              <w:t xml:space="preserve"> në nivel kombëtar dhe vendor</w:t>
            </w:r>
          </w:p>
        </w:tc>
        <w:tc>
          <w:tcPr>
            <w:tcW w:w="789" w:type="dxa"/>
            <w:shd w:val="clear" w:color="auto" w:fill="auto"/>
            <w:vAlign w:val="center"/>
          </w:tcPr>
          <w:p w14:paraId="7078963F" w14:textId="609DDF3B" w:rsidR="004B51E9" w:rsidRPr="002932AC" w:rsidRDefault="004B51E9" w:rsidP="00E9019F">
            <w:pPr>
              <w:jc w:val="center"/>
              <w:rPr>
                <w:sz w:val="16"/>
                <w:szCs w:val="16"/>
              </w:rPr>
            </w:pPr>
            <w:r w:rsidRPr="002932AC">
              <w:rPr>
                <w:sz w:val="16"/>
                <w:szCs w:val="16"/>
              </w:rPr>
              <w:lastRenderedPageBreak/>
              <w:t>T1 202</w:t>
            </w:r>
            <w:r w:rsidR="00E9019F">
              <w:rPr>
                <w:sz w:val="16"/>
                <w:szCs w:val="16"/>
              </w:rPr>
              <w:t>5</w:t>
            </w:r>
          </w:p>
        </w:tc>
        <w:tc>
          <w:tcPr>
            <w:tcW w:w="864" w:type="dxa"/>
            <w:shd w:val="clear" w:color="auto" w:fill="auto"/>
            <w:vAlign w:val="center"/>
          </w:tcPr>
          <w:p w14:paraId="5D28E532" w14:textId="76094543" w:rsidR="004B51E9" w:rsidRPr="002932AC" w:rsidRDefault="004B51E9" w:rsidP="00E9019F">
            <w:pPr>
              <w:jc w:val="center"/>
              <w:rPr>
                <w:sz w:val="16"/>
                <w:szCs w:val="16"/>
              </w:rPr>
            </w:pPr>
            <w:r w:rsidRPr="002932AC">
              <w:rPr>
                <w:sz w:val="16"/>
                <w:szCs w:val="16"/>
              </w:rPr>
              <w:t>T4 202</w:t>
            </w:r>
            <w:r w:rsidR="00E9019F">
              <w:rPr>
                <w:sz w:val="16"/>
                <w:szCs w:val="16"/>
              </w:rPr>
              <w:t>6</w:t>
            </w:r>
          </w:p>
        </w:tc>
        <w:tc>
          <w:tcPr>
            <w:tcW w:w="1771" w:type="dxa"/>
            <w:vMerge w:val="restart"/>
          </w:tcPr>
          <w:p w14:paraId="04EDA82D" w14:textId="77777777" w:rsidR="004B51E9" w:rsidRPr="001F151E" w:rsidRDefault="004B51E9" w:rsidP="0032215C">
            <w:pPr>
              <w:rPr>
                <w:b/>
                <w:bCs/>
                <w:sz w:val="16"/>
                <w:szCs w:val="16"/>
              </w:rPr>
            </w:pPr>
            <w:r>
              <w:rPr>
                <w:b/>
                <w:bCs/>
                <w:sz w:val="16"/>
                <w:szCs w:val="16"/>
              </w:rPr>
              <w:t>Njësitë Përgjegjëse</w:t>
            </w:r>
            <w:r w:rsidRPr="001F151E">
              <w:rPr>
                <w:b/>
                <w:bCs/>
                <w:sz w:val="16"/>
                <w:szCs w:val="16"/>
              </w:rPr>
              <w:t xml:space="preserve">: </w:t>
            </w:r>
          </w:p>
          <w:p w14:paraId="2C59873D" w14:textId="77777777" w:rsidR="004B51E9" w:rsidRPr="001F151E" w:rsidRDefault="004B51E9" w:rsidP="0032215C">
            <w:pPr>
              <w:rPr>
                <w:sz w:val="16"/>
                <w:szCs w:val="16"/>
              </w:rPr>
            </w:pPr>
            <w:r>
              <w:rPr>
                <w:sz w:val="16"/>
                <w:szCs w:val="16"/>
              </w:rPr>
              <w:lastRenderedPageBreak/>
              <w:t>DRF,</w:t>
            </w:r>
            <w:r w:rsidRPr="001F151E">
              <w:rPr>
                <w:sz w:val="16"/>
                <w:szCs w:val="16"/>
              </w:rPr>
              <w:t xml:space="preserve"> (l</w:t>
            </w:r>
            <w:r>
              <w:rPr>
                <w:sz w:val="16"/>
                <w:szCs w:val="16"/>
              </w:rPr>
              <w:t>ider për metodologjinë</w:t>
            </w:r>
            <w:r w:rsidRPr="001F151E">
              <w:rPr>
                <w:sz w:val="16"/>
                <w:szCs w:val="16"/>
              </w:rPr>
              <w:t>)</w:t>
            </w:r>
            <w:r>
              <w:rPr>
                <w:sz w:val="16"/>
                <w:szCs w:val="16"/>
              </w:rPr>
              <w:t>, MF, MEKI (1.3.3.2)</w:t>
            </w:r>
          </w:p>
          <w:p w14:paraId="01A5EE2E" w14:textId="77777777" w:rsidR="004B51E9" w:rsidRPr="001F151E" w:rsidRDefault="004B51E9" w:rsidP="0032215C">
            <w:pPr>
              <w:pStyle w:val="EcorysBody"/>
              <w:rPr>
                <w:rFonts w:ascii="Arial" w:hAnsi="Arial" w:cs="Arial"/>
                <w:b/>
                <w:bCs/>
                <w:sz w:val="16"/>
                <w:szCs w:val="16"/>
              </w:rPr>
            </w:pPr>
          </w:p>
          <w:p w14:paraId="55AF04F8" w14:textId="77777777" w:rsidR="004B51E9" w:rsidRPr="001F151E" w:rsidRDefault="004B51E9" w:rsidP="0032215C">
            <w:pPr>
              <w:pStyle w:val="EcorysBody"/>
              <w:rPr>
                <w:rFonts w:ascii="Arial" w:hAnsi="Arial" w:cs="Arial"/>
                <w:b/>
                <w:bCs/>
                <w:sz w:val="16"/>
                <w:szCs w:val="16"/>
              </w:rPr>
            </w:pPr>
            <w:r w:rsidRPr="001F151E">
              <w:rPr>
                <w:rFonts w:ascii="Arial" w:hAnsi="Arial" w:cs="Arial"/>
                <w:b/>
                <w:bCs/>
                <w:sz w:val="16"/>
                <w:szCs w:val="16"/>
              </w:rPr>
              <w:t>Partner</w:t>
            </w:r>
            <w:r>
              <w:rPr>
                <w:rFonts w:ascii="Arial" w:hAnsi="Arial" w:cs="Arial"/>
                <w:b/>
                <w:bCs/>
                <w:sz w:val="16"/>
                <w:szCs w:val="16"/>
              </w:rPr>
              <w:t>ët</w:t>
            </w:r>
            <w:r w:rsidRPr="001F151E">
              <w:rPr>
                <w:rFonts w:ascii="Arial" w:hAnsi="Arial" w:cs="Arial"/>
                <w:b/>
                <w:bCs/>
                <w:sz w:val="16"/>
                <w:szCs w:val="16"/>
              </w:rPr>
              <w:t>:</w:t>
            </w:r>
          </w:p>
          <w:p w14:paraId="365E8905" w14:textId="77777777" w:rsidR="004B51E9" w:rsidRPr="001F151E" w:rsidRDefault="004B51E9" w:rsidP="0032215C">
            <w:pPr>
              <w:pStyle w:val="EcorysBody"/>
              <w:rPr>
                <w:rFonts w:ascii="Arial" w:hAnsi="Arial" w:cs="Arial"/>
                <w:sz w:val="16"/>
                <w:szCs w:val="16"/>
              </w:rPr>
            </w:pPr>
            <w:r>
              <w:rPr>
                <w:rFonts w:ascii="Arial" w:hAnsi="Arial" w:cs="Arial"/>
                <w:sz w:val="16"/>
                <w:szCs w:val="16"/>
              </w:rPr>
              <w:t>FMN</w:t>
            </w:r>
          </w:p>
          <w:p w14:paraId="63BB4B79" w14:textId="77777777" w:rsidR="004B51E9" w:rsidRPr="001F151E" w:rsidRDefault="004B51E9" w:rsidP="0032215C">
            <w:pPr>
              <w:rPr>
                <w:sz w:val="16"/>
                <w:szCs w:val="16"/>
              </w:rPr>
            </w:pPr>
          </w:p>
        </w:tc>
      </w:tr>
      <w:tr w:rsidR="004B51E9" w:rsidRPr="001F151E" w14:paraId="06D7DCE0" w14:textId="77777777" w:rsidTr="0032215C">
        <w:trPr>
          <w:trHeight w:val="20"/>
        </w:trPr>
        <w:tc>
          <w:tcPr>
            <w:tcW w:w="2005" w:type="dxa"/>
            <w:vMerge/>
            <w:shd w:val="clear" w:color="auto" w:fill="auto"/>
          </w:tcPr>
          <w:p w14:paraId="19C202C6" w14:textId="77777777" w:rsidR="004B51E9" w:rsidRPr="001F151E" w:rsidRDefault="004B51E9" w:rsidP="0032215C">
            <w:pPr>
              <w:pStyle w:val="EcorysBody"/>
              <w:numPr>
                <w:ilvl w:val="0"/>
                <w:numId w:val="17"/>
              </w:numPr>
              <w:spacing w:line="288" w:lineRule="auto"/>
              <w:rPr>
                <w:rFonts w:ascii="Arial" w:hAnsi="Arial" w:cs="Arial"/>
                <w:sz w:val="16"/>
                <w:szCs w:val="16"/>
              </w:rPr>
            </w:pPr>
          </w:p>
        </w:tc>
        <w:tc>
          <w:tcPr>
            <w:tcW w:w="3587" w:type="dxa"/>
            <w:shd w:val="clear" w:color="auto" w:fill="auto"/>
          </w:tcPr>
          <w:p w14:paraId="42F120F9" w14:textId="77777777" w:rsidR="004B51E9" w:rsidRPr="002932AC" w:rsidRDefault="004B51E9" w:rsidP="004B51E9">
            <w:pPr>
              <w:pStyle w:val="T-number"/>
              <w:numPr>
                <w:ilvl w:val="0"/>
                <w:numId w:val="5"/>
              </w:numPr>
            </w:pPr>
            <w:r w:rsidRPr="002932AC">
              <w:t>Forcimi i kapaciteteve për monitorim dhe raportim të rregullt të risqeve fiskale në lidhje me Ndërmarrjet Shtetërore</w:t>
            </w:r>
          </w:p>
        </w:tc>
        <w:tc>
          <w:tcPr>
            <w:tcW w:w="789" w:type="dxa"/>
            <w:shd w:val="clear" w:color="auto" w:fill="auto"/>
            <w:vAlign w:val="center"/>
          </w:tcPr>
          <w:p w14:paraId="378ACF64" w14:textId="77777777" w:rsidR="004B51E9" w:rsidRPr="002932AC" w:rsidRDefault="004B51E9" w:rsidP="0032215C">
            <w:pPr>
              <w:jc w:val="center"/>
              <w:rPr>
                <w:sz w:val="16"/>
                <w:szCs w:val="16"/>
              </w:rPr>
            </w:pPr>
            <w:r w:rsidRPr="002932AC">
              <w:rPr>
                <w:sz w:val="16"/>
                <w:szCs w:val="16"/>
              </w:rPr>
              <w:t>T1 2026</w:t>
            </w:r>
          </w:p>
        </w:tc>
        <w:tc>
          <w:tcPr>
            <w:tcW w:w="864" w:type="dxa"/>
            <w:shd w:val="clear" w:color="auto" w:fill="auto"/>
            <w:vAlign w:val="center"/>
          </w:tcPr>
          <w:p w14:paraId="63430E7C" w14:textId="77777777" w:rsidR="004B51E9" w:rsidRPr="002932AC" w:rsidRDefault="004B51E9" w:rsidP="0032215C">
            <w:pPr>
              <w:jc w:val="center"/>
              <w:rPr>
                <w:sz w:val="16"/>
                <w:szCs w:val="16"/>
              </w:rPr>
            </w:pPr>
            <w:r w:rsidRPr="002932AC">
              <w:rPr>
                <w:sz w:val="16"/>
                <w:szCs w:val="16"/>
              </w:rPr>
              <w:t>T4 2026</w:t>
            </w:r>
          </w:p>
        </w:tc>
        <w:tc>
          <w:tcPr>
            <w:tcW w:w="1771" w:type="dxa"/>
            <w:vMerge/>
          </w:tcPr>
          <w:p w14:paraId="1E8F9F1D" w14:textId="77777777" w:rsidR="004B51E9" w:rsidRPr="001F151E" w:rsidRDefault="004B51E9" w:rsidP="0032215C">
            <w:pPr>
              <w:rPr>
                <w:sz w:val="16"/>
                <w:szCs w:val="16"/>
              </w:rPr>
            </w:pPr>
          </w:p>
        </w:tc>
      </w:tr>
      <w:tr w:rsidR="004B51E9" w:rsidRPr="001F151E" w14:paraId="717785C6" w14:textId="77777777" w:rsidTr="0032215C">
        <w:trPr>
          <w:trHeight w:val="883"/>
        </w:trPr>
        <w:tc>
          <w:tcPr>
            <w:tcW w:w="2005" w:type="dxa"/>
            <w:shd w:val="clear" w:color="auto" w:fill="auto"/>
          </w:tcPr>
          <w:p w14:paraId="22413FD7" w14:textId="77777777" w:rsidR="004B51E9" w:rsidRPr="001F151E" w:rsidRDefault="004B51E9" w:rsidP="0032215C">
            <w:pPr>
              <w:pStyle w:val="EcorysBody"/>
              <w:spacing w:line="288" w:lineRule="auto"/>
              <w:rPr>
                <w:rFonts w:ascii="Arial" w:hAnsi="Arial" w:cs="Arial"/>
                <w:b/>
                <w:bCs/>
                <w:sz w:val="16"/>
                <w:szCs w:val="16"/>
              </w:rPr>
            </w:pPr>
            <w:r w:rsidRPr="001F151E">
              <w:rPr>
                <w:rFonts w:ascii="Arial" w:hAnsi="Arial" w:cs="Arial"/>
                <w:b/>
                <w:bCs/>
                <w:sz w:val="16"/>
                <w:szCs w:val="16"/>
              </w:rPr>
              <w:t>M</w:t>
            </w:r>
            <w:r>
              <w:rPr>
                <w:rFonts w:ascii="Arial" w:hAnsi="Arial" w:cs="Arial"/>
                <w:b/>
                <w:bCs/>
                <w:sz w:val="16"/>
                <w:szCs w:val="16"/>
              </w:rPr>
              <w:t>asa</w:t>
            </w:r>
            <w:r w:rsidRPr="001F151E">
              <w:rPr>
                <w:rFonts w:ascii="Arial" w:hAnsi="Arial" w:cs="Arial"/>
                <w:b/>
                <w:bCs/>
                <w:sz w:val="16"/>
                <w:szCs w:val="16"/>
              </w:rPr>
              <w:t xml:space="preserve"> 1.</w:t>
            </w:r>
            <w:r>
              <w:rPr>
                <w:rFonts w:ascii="Arial" w:hAnsi="Arial" w:cs="Arial"/>
                <w:b/>
                <w:bCs/>
                <w:sz w:val="16"/>
                <w:szCs w:val="16"/>
              </w:rPr>
              <w:t>3</w:t>
            </w:r>
            <w:r w:rsidRPr="001F151E">
              <w:rPr>
                <w:rFonts w:ascii="Arial" w:hAnsi="Arial" w:cs="Arial"/>
                <w:b/>
                <w:bCs/>
                <w:sz w:val="16"/>
                <w:szCs w:val="16"/>
              </w:rPr>
              <w:t xml:space="preserve">.4 </w:t>
            </w:r>
            <w:r>
              <w:rPr>
                <w:rFonts w:ascii="Arial" w:hAnsi="Arial" w:cs="Arial"/>
                <w:b/>
                <w:bCs/>
                <w:sz w:val="16"/>
                <w:szCs w:val="16"/>
              </w:rPr>
              <w:t>Përmirësimi i mëtejshëm i menaxhimit të detyrimeve të prapambetura</w:t>
            </w:r>
          </w:p>
        </w:tc>
        <w:tc>
          <w:tcPr>
            <w:tcW w:w="3587" w:type="dxa"/>
          </w:tcPr>
          <w:p w14:paraId="3C3AD301" w14:textId="77777777" w:rsidR="004B51E9" w:rsidRPr="002932AC" w:rsidRDefault="004B51E9" w:rsidP="00F80475">
            <w:pPr>
              <w:pStyle w:val="T-number"/>
              <w:numPr>
                <w:ilvl w:val="0"/>
                <w:numId w:val="115"/>
              </w:numPr>
            </w:pPr>
            <w:r w:rsidRPr="002932AC">
              <w:t xml:space="preserve">Konsolidimi dhe përmirësimi i mëtejshëm </w:t>
            </w:r>
            <w:r>
              <w:t>i</w:t>
            </w:r>
            <w:r w:rsidRPr="002932AC">
              <w:t xml:space="preserve"> metodologjisë së monitorimit dhe raportimit të detyrimeve të prapambetura</w:t>
            </w:r>
          </w:p>
        </w:tc>
        <w:tc>
          <w:tcPr>
            <w:tcW w:w="789" w:type="dxa"/>
            <w:vAlign w:val="center"/>
          </w:tcPr>
          <w:p w14:paraId="37BD942C" w14:textId="77777777" w:rsidR="004B51E9" w:rsidRPr="002932AC" w:rsidRDefault="004B51E9" w:rsidP="0032215C">
            <w:pPr>
              <w:jc w:val="center"/>
              <w:rPr>
                <w:sz w:val="16"/>
                <w:szCs w:val="16"/>
              </w:rPr>
            </w:pPr>
            <w:r>
              <w:rPr>
                <w:sz w:val="16"/>
                <w:szCs w:val="16"/>
              </w:rPr>
              <w:t xml:space="preserve">T1 </w:t>
            </w:r>
            <w:r w:rsidRPr="002932AC">
              <w:rPr>
                <w:sz w:val="16"/>
                <w:szCs w:val="16"/>
              </w:rPr>
              <w:t>2024</w:t>
            </w:r>
          </w:p>
        </w:tc>
        <w:tc>
          <w:tcPr>
            <w:tcW w:w="864" w:type="dxa"/>
            <w:vAlign w:val="center"/>
          </w:tcPr>
          <w:p w14:paraId="7EEA2868" w14:textId="77777777" w:rsidR="004B51E9" w:rsidRPr="002932AC" w:rsidRDefault="004B51E9" w:rsidP="0032215C">
            <w:pPr>
              <w:jc w:val="center"/>
              <w:rPr>
                <w:sz w:val="16"/>
                <w:szCs w:val="16"/>
              </w:rPr>
            </w:pPr>
            <w:r>
              <w:rPr>
                <w:sz w:val="16"/>
                <w:szCs w:val="16"/>
              </w:rPr>
              <w:t xml:space="preserve">T4 </w:t>
            </w:r>
            <w:r w:rsidRPr="002932AC">
              <w:rPr>
                <w:sz w:val="16"/>
                <w:szCs w:val="16"/>
              </w:rPr>
              <w:t>2026</w:t>
            </w:r>
          </w:p>
        </w:tc>
        <w:tc>
          <w:tcPr>
            <w:tcW w:w="1771" w:type="dxa"/>
          </w:tcPr>
          <w:p w14:paraId="781D2878" w14:textId="77777777" w:rsidR="004B51E9" w:rsidRPr="009D660E" w:rsidRDefault="004B51E9" w:rsidP="0032215C">
            <w:pPr>
              <w:rPr>
                <w:b/>
                <w:bCs/>
                <w:sz w:val="16"/>
                <w:szCs w:val="16"/>
                <w:lang w:val="it-IT"/>
              </w:rPr>
            </w:pPr>
            <w:r w:rsidRPr="009D660E">
              <w:rPr>
                <w:b/>
                <w:bCs/>
                <w:sz w:val="16"/>
                <w:szCs w:val="16"/>
                <w:lang w:val="it-IT"/>
              </w:rPr>
              <w:t xml:space="preserve">Njësitë përgjegjëse: </w:t>
            </w:r>
          </w:p>
          <w:p w14:paraId="11A68C31" w14:textId="77777777" w:rsidR="004B51E9" w:rsidRPr="009D660E" w:rsidRDefault="004B51E9" w:rsidP="0032215C">
            <w:pPr>
              <w:rPr>
                <w:sz w:val="16"/>
                <w:szCs w:val="16"/>
                <w:lang w:val="it-IT"/>
              </w:rPr>
            </w:pPr>
            <w:r w:rsidRPr="009D660E">
              <w:rPr>
                <w:sz w:val="16"/>
                <w:szCs w:val="16"/>
                <w:lang w:val="it-IT"/>
              </w:rPr>
              <w:t>Grupi i Punës i monitorimit të detyrimeve të prapambetura (lider), MF</w:t>
            </w:r>
          </w:p>
          <w:p w14:paraId="3D5CEC5F" w14:textId="77777777" w:rsidR="004B51E9" w:rsidRPr="009D660E" w:rsidRDefault="004B51E9" w:rsidP="0032215C">
            <w:pPr>
              <w:pStyle w:val="EcorysBody"/>
              <w:rPr>
                <w:rFonts w:ascii="Arial" w:hAnsi="Arial" w:cs="Arial"/>
                <w:b/>
                <w:bCs/>
                <w:sz w:val="16"/>
                <w:szCs w:val="16"/>
                <w:lang w:val="it-IT"/>
              </w:rPr>
            </w:pPr>
          </w:p>
          <w:p w14:paraId="30E4D7AC" w14:textId="77777777" w:rsidR="004B51E9" w:rsidRPr="001F151E" w:rsidRDefault="004B51E9" w:rsidP="0032215C">
            <w:pPr>
              <w:pStyle w:val="EcorysBody"/>
              <w:rPr>
                <w:rFonts w:ascii="Arial" w:hAnsi="Arial" w:cs="Arial"/>
                <w:b/>
                <w:bCs/>
                <w:sz w:val="16"/>
                <w:szCs w:val="16"/>
              </w:rPr>
            </w:pPr>
            <w:r w:rsidRPr="001F151E">
              <w:rPr>
                <w:rFonts w:ascii="Arial" w:hAnsi="Arial" w:cs="Arial"/>
                <w:b/>
                <w:bCs/>
                <w:sz w:val="16"/>
                <w:szCs w:val="16"/>
              </w:rPr>
              <w:t>Partner</w:t>
            </w:r>
            <w:r>
              <w:rPr>
                <w:rFonts w:ascii="Arial" w:hAnsi="Arial" w:cs="Arial"/>
                <w:b/>
                <w:bCs/>
                <w:sz w:val="16"/>
                <w:szCs w:val="16"/>
              </w:rPr>
              <w:t>ët</w:t>
            </w:r>
            <w:r w:rsidRPr="001F151E">
              <w:rPr>
                <w:rFonts w:ascii="Arial" w:hAnsi="Arial" w:cs="Arial"/>
                <w:b/>
                <w:bCs/>
                <w:sz w:val="16"/>
                <w:szCs w:val="16"/>
              </w:rPr>
              <w:t>:</w:t>
            </w:r>
          </w:p>
          <w:p w14:paraId="5632AF2F" w14:textId="77777777" w:rsidR="004B51E9" w:rsidRPr="001F151E" w:rsidRDefault="004B51E9" w:rsidP="0032215C">
            <w:pPr>
              <w:pStyle w:val="EcorysBody"/>
              <w:rPr>
                <w:rFonts w:ascii="Arial" w:hAnsi="Arial" w:cs="Arial"/>
                <w:sz w:val="16"/>
                <w:szCs w:val="16"/>
              </w:rPr>
            </w:pPr>
            <w:r>
              <w:rPr>
                <w:rFonts w:ascii="Arial" w:hAnsi="Arial" w:cs="Arial"/>
                <w:sz w:val="16"/>
                <w:szCs w:val="16"/>
              </w:rPr>
              <w:t>BE</w:t>
            </w:r>
            <w:r w:rsidRPr="001F151E">
              <w:rPr>
                <w:rStyle w:val="FootnoteReference"/>
              </w:rPr>
              <w:footnoteReference w:id="9"/>
            </w:r>
          </w:p>
        </w:tc>
      </w:tr>
    </w:tbl>
    <w:p w14:paraId="3B7832AB" w14:textId="77777777" w:rsidR="007F494D" w:rsidRDefault="007F494D" w:rsidP="00FA1898">
      <w:pPr>
        <w:pStyle w:val="H5"/>
        <w:rPr>
          <w:lang w:val="en-GB"/>
        </w:rPr>
      </w:pPr>
    </w:p>
    <w:p w14:paraId="0D3CA3E3" w14:textId="77777777" w:rsidR="007F494D" w:rsidRDefault="007F494D" w:rsidP="00FA1898">
      <w:pPr>
        <w:pStyle w:val="H5"/>
        <w:rPr>
          <w:lang w:val="en-GB"/>
        </w:rPr>
      </w:pPr>
    </w:p>
    <w:p w14:paraId="70DB081F" w14:textId="3EB90674" w:rsidR="00FA1898" w:rsidRPr="009D660E" w:rsidRDefault="005D1322" w:rsidP="00FA1898">
      <w:pPr>
        <w:pStyle w:val="H5"/>
        <w:rPr>
          <w:lang w:val="it-IT"/>
        </w:rPr>
      </w:pPr>
      <w:r w:rsidRPr="009D660E">
        <w:rPr>
          <w:lang w:val="it-IT"/>
        </w:rPr>
        <w:t>Tregue</w:t>
      </w:r>
      <w:r w:rsidR="00286DE7" w:rsidRPr="009D660E">
        <w:rPr>
          <w:lang w:val="it-IT"/>
        </w:rPr>
        <w:t>sit e performanc</w:t>
      </w:r>
      <w:r w:rsidR="000A70F5" w:rsidRPr="009D660E">
        <w:rPr>
          <w:lang w:val="it-IT"/>
        </w:rPr>
        <w:t>ë</w:t>
      </w:r>
      <w:r w:rsidR="00286DE7" w:rsidRPr="009D660E">
        <w:rPr>
          <w:lang w:val="it-IT"/>
        </w:rPr>
        <w:t>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4B51E9" w:rsidRPr="001F151E" w14:paraId="78D6A7FB" w14:textId="77777777" w:rsidTr="0032215C">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3DE22" w14:textId="77777777" w:rsidR="004B51E9" w:rsidRPr="001F151E" w:rsidRDefault="004B51E9" w:rsidP="0032215C">
            <w:pPr>
              <w:pStyle w:val="T-bold"/>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0DAE5F" w14:textId="77777777" w:rsidR="004B51E9" w:rsidRPr="001F151E" w:rsidRDefault="004B51E9" w:rsidP="0032215C">
            <w:pPr>
              <w:pStyle w:val="T-bold"/>
              <w:jc w:val="center"/>
            </w:pPr>
            <w:r>
              <w:t>Vlera bazë</w:t>
            </w:r>
            <w:r w:rsidRPr="001F151E">
              <w:t xml:space="preserve"> (</w:t>
            </w:r>
            <w:r>
              <w:t>viti</w:t>
            </w:r>
            <w:r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E73B32" w14:textId="77777777" w:rsidR="004B51E9" w:rsidRPr="001F151E" w:rsidRDefault="004B51E9" w:rsidP="0032215C">
            <w:pPr>
              <w:pStyle w:val="T-bold"/>
              <w:jc w:val="center"/>
            </w:pPr>
            <w:r>
              <w:t>Vlera e synuar</w:t>
            </w:r>
          </w:p>
        </w:tc>
      </w:tr>
      <w:tr w:rsidR="004B51E9" w:rsidRPr="001F151E" w14:paraId="57BC8978" w14:textId="77777777" w:rsidTr="0032215C">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DF73893" w14:textId="77777777" w:rsidR="004B51E9" w:rsidRPr="001F151E" w:rsidRDefault="004B51E9" w:rsidP="0032215C">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0424AEC" w14:textId="77777777" w:rsidR="004B51E9" w:rsidRPr="001F151E" w:rsidRDefault="004B51E9" w:rsidP="0032215C">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4132AD" w14:textId="77777777" w:rsidR="004B51E9" w:rsidRPr="001F151E" w:rsidRDefault="004B51E9" w:rsidP="0032215C">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41E2E6" w14:textId="77777777" w:rsidR="004B51E9" w:rsidRPr="001F151E" w:rsidRDefault="004B51E9" w:rsidP="0032215C">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AA7967" w14:textId="77777777" w:rsidR="004B51E9" w:rsidRPr="001F151E" w:rsidRDefault="004B51E9" w:rsidP="0032215C">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05B53" w14:textId="77777777" w:rsidR="004B51E9" w:rsidRPr="001F151E" w:rsidRDefault="004B51E9" w:rsidP="0032215C">
            <w:pPr>
              <w:pStyle w:val="T-bold"/>
              <w:jc w:val="center"/>
            </w:pPr>
            <w:r w:rsidRPr="001F151E">
              <w:t>2026</w:t>
            </w:r>
          </w:p>
        </w:tc>
      </w:tr>
      <w:tr w:rsidR="004B51E9" w:rsidRPr="001F151E" w14:paraId="10E3148A" w14:textId="77777777" w:rsidTr="0032215C">
        <w:tc>
          <w:tcPr>
            <w:tcW w:w="3114" w:type="dxa"/>
            <w:tcBorders>
              <w:top w:val="single" w:sz="4" w:space="0" w:color="auto"/>
              <w:left w:val="single" w:sz="4" w:space="0" w:color="auto"/>
              <w:bottom w:val="single" w:sz="4" w:space="0" w:color="auto"/>
              <w:right w:val="single" w:sz="4" w:space="0" w:color="auto"/>
            </w:tcBorders>
            <w:vAlign w:val="center"/>
          </w:tcPr>
          <w:p w14:paraId="76F2A66B" w14:textId="77777777" w:rsidR="004B51E9" w:rsidRPr="009D660E" w:rsidRDefault="004B51E9" w:rsidP="0032215C">
            <w:pPr>
              <w:pStyle w:val="ListParagraph"/>
              <w:numPr>
                <w:ilvl w:val="0"/>
                <w:numId w:val="85"/>
              </w:numPr>
              <w:rPr>
                <w:sz w:val="16"/>
                <w:szCs w:val="16"/>
                <w:lang w:val="it-IT"/>
              </w:rPr>
            </w:pPr>
            <w:r w:rsidRPr="009D660E">
              <w:rPr>
                <w:sz w:val="16"/>
                <w:szCs w:val="16"/>
                <w:lang w:val="it-IT"/>
              </w:rPr>
              <w:t>Prezantimi i Deklaratës vjetore të Riskut Fiskal</w:t>
            </w:r>
          </w:p>
        </w:tc>
        <w:tc>
          <w:tcPr>
            <w:tcW w:w="1180" w:type="dxa"/>
            <w:tcBorders>
              <w:top w:val="single" w:sz="4" w:space="0" w:color="auto"/>
              <w:left w:val="single" w:sz="4" w:space="0" w:color="auto"/>
              <w:bottom w:val="single" w:sz="4" w:space="0" w:color="auto"/>
              <w:right w:val="single" w:sz="4" w:space="0" w:color="auto"/>
            </w:tcBorders>
            <w:vAlign w:val="center"/>
          </w:tcPr>
          <w:p w14:paraId="55E7514E" w14:textId="77777777" w:rsidR="004B51E9" w:rsidRPr="001F151E" w:rsidRDefault="004B51E9" w:rsidP="0032215C">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2626EFAF" w14:textId="77777777" w:rsidR="004B51E9" w:rsidRPr="001F151E" w:rsidRDefault="004B51E9" w:rsidP="0032215C">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3EC5D7F4" w14:textId="77777777" w:rsidR="004B51E9" w:rsidRPr="001F151E" w:rsidRDefault="004B51E9" w:rsidP="0032215C">
            <w:pPr>
              <w:pStyle w:val="T-normal"/>
              <w:jc w:val="center"/>
            </w:pPr>
            <w:r>
              <w:t>E pilotuar</w:t>
            </w:r>
          </w:p>
        </w:tc>
        <w:tc>
          <w:tcPr>
            <w:tcW w:w="1181" w:type="dxa"/>
            <w:tcBorders>
              <w:top w:val="single" w:sz="4" w:space="0" w:color="auto"/>
              <w:left w:val="single" w:sz="4" w:space="0" w:color="auto"/>
              <w:bottom w:val="single" w:sz="4" w:space="0" w:color="auto"/>
              <w:right w:val="single" w:sz="4" w:space="0" w:color="auto"/>
            </w:tcBorders>
            <w:vAlign w:val="center"/>
          </w:tcPr>
          <w:p w14:paraId="46FA7B24" w14:textId="77777777" w:rsidR="004B51E9" w:rsidRPr="001F151E" w:rsidRDefault="004B51E9" w:rsidP="0032215C">
            <w:pPr>
              <w:pStyle w:val="T-normal"/>
              <w:jc w:val="center"/>
            </w:pPr>
            <w:r>
              <w:t>E përfunduar</w:t>
            </w:r>
          </w:p>
        </w:tc>
        <w:tc>
          <w:tcPr>
            <w:tcW w:w="1181" w:type="dxa"/>
            <w:tcBorders>
              <w:top w:val="single" w:sz="4" w:space="0" w:color="auto"/>
              <w:left w:val="single" w:sz="4" w:space="0" w:color="auto"/>
              <w:bottom w:val="single" w:sz="4" w:space="0" w:color="auto"/>
              <w:right w:val="single" w:sz="4" w:space="0" w:color="auto"/>
            </w:tcBorders>
            <w:vAlign w:val="center"/>
          </w:tcPr>
          <w:p w14:paraId="1252E335" w14:textId="77777777" w:rsidR="004B51E9" w:rsidRPr="001F151E" w:rsidRDefault="004B51E9" w:rsidP="0032215C">
            <w:pPr>
              <w:pStyle w:val="T-normal"/>
              <w:jc w:val="center"/>
            </w:pPr>
            <w:r>
              <w:t>E konsoliduar</w:t>
            </w:r>
          </w:p>
        </w:tc>
      </w:tr>
      <w:tr w:rsidR="004B51E9" w:rsidRPr="001F151E" w14:paraId="1AD81359" w14:textId="77777777" w:rsidTr="0032215C">
        <w:tc>
          <w:tcPr>
            <w:tcW w:w="3114" w:type="dxa"/>
            <w:tcBorders>
              <w:top w:val="single" w:sz="4" w:space="0" w:color="auto"/>
              <w:left w:val="single" w:sz="4" w:space="0" w:color="auto"/>
              <w:bottom w:val="single" w:sz="4" w:space="0" w:color="auto"/>
              <w:right w:val="single" w:sz="4" w:space="0" w:color="auto"/>
            </w:tcBorders>
            <w:vAlign w:val="center"/>
          </w:tcPr>
          <w:p w14:paraId="7297B305" w14:textId="77777777" w:rsidR="004B51E9" w:rsidRPr="009D660E" w:rsidRDefault="004B51E9" w:rsidP="0032215C">
            <w:pPr>
              <w:pStyle w:val="ListParagraph"/>
              <w:numPr>
                <w:ilvl w:val="0"/>
                <w:numId w:val="85"/>
              </w:numPr>
              <w:rPr>
                <w:sz w:val="16"/>
                <w:szCs w:val="16"/>
                <w:lang w:val="it-IT"/>
              </w:rPr>
            </w:pPr>
            <w:r w:rsidRPr="009D660E">
              <w:rPr>
                <w:sz w:val="16"/>
                <w:szCs w:val="16"/>
                <w:lang w:val="it-IT"/>
              </w:rPr>
              <w:t>Vlerësimi PEFA Treguesi i Performancës 10.3 Detyrime kontigjente dhe risqe të tjera fiskale</w:t>
            </w:r>
          </w:p>
        </w:tc>
        <w:tc>
          <w:tcPr>
            <w:tcW w:w="1180" w:type="dxa"/>
            <w:tcBorders>
              <w:top w:val="single" w:sz="4" w:space="0" w:color="auto"/>
              <w:left w:val="single" w:sz="4" w:space="0" w:color="auto"/>
              <w:bottom w:val="single" w:sz="4" w:space="0" w:color="auto"/>
              <w:right w:val="single" w:sz="4" w:space="0" w:color="auto"/>
            </w:tcBorders>
            <w:vAlign w:val="center"/>
          </w:tcPr>
          <w:p w14:paraId="40BBAC32" w14:textId="77777777" w:rsidR="004B51E9" w:rsidRPr="001F151E" w:rsidRDefault="004B51E9" w:rsidP="0032215C">
            <w:pPr>
              <w:pStyle w:val="T-normal"/>
              <w:jc w:val="center"/>
            </w:pPr>
            <w:r w:rsidRPr="001F151E">
              <w:t xml:space="preserve">C </w:t>
            </w:r>
          </w:p>
          <w:p w14:paraId="7AC9CADC" w14:textId="77777777" w:rsidR="004B51E9" w:rsidRPr="001F151E" w:rsidRDefault="004B51E9" w:rsidP="0032215C">
            <w:pPr>
              <w:pStyle w:val="T-normal"/>
              <w:jc w:val="center"/>
            </w:pPr>
            <w:r w:rsidRPr="001F151E">
              <w:t>(2017)</w:t>
            </w:r>
          </w:p>
        </w:tc>
        <w:tc>
          <w:tcPr>
            <w:tcW w:w="1181" w:type="dxa"/>
            <w:tcBorders>
              <w:top w:val="single" w:sz="4" w:space="0" w:color="auto"/>
              <w:left w:val="single" w:sz="4" w:space="0" w:color="auto"/>
              <w:bottom w:val="single" w:sz="4" w:space="0" w:color="auto"/>
              <w:right w:val="single" w:sz="4" w:space="0" w:color="auto"/>
            </w:tcBorders>
            <w:vAlign w:val="center"/>
          </w:tcPr>
          <w:p w14:paraId="2A784BD1" w14:textId="77777777" w:rsidR="004B51E9" w:rsidRPr="001F151E" w:rsidRDefault="004B51E9" w:rsidP="0032215C">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640147FF" w14:textId="77777777" w:rsidR="004B51E9" w:rsidRPr="001F151E" w:rsidRDefault="004B51E9" w:rsidP="0032215C">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2033EEE2" w14:textId="77777777" w:rsidR="004B51E9" w:rsidRPr="001F151E" w:rsidRDefault="004B51E9" w:rsidP="0032215C">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03602780" w14:textId="77777777" w:rsidR="004B51E9" w:rsidRPr="001F151E" w:rsidRDefault="004B51E9" w:rsidP="0032215C">
            <w:pPr>
              <w:pStyle w:val="T-normal"/>
              <w:jc w:val="center"/>
            </w:pPr>
            <w:r w:rsidRPr="001F151E">
              <w:t xml:space="preserve">B </w:t>
            </w:r>
          </w:p>
        </w:tc>
      </w:tr>
      <w:tr w:rsidR="004B51E9" w:rsidRPr="00772648" w14:paraId="0B6CB048" w14:textId="77777777" w:rsidTr="0032215C">
        <w:tc>
          <w:tcPr>
            <w:tcW w:w="3114" w:type="dxa"/>
            <w:tcBorders>
              <w:top w:val="single" w:sz="4" w:space="0" w:color="auto"/>
              <w:left w:val="single" w:sz="4" w:space="0" w:color="auto"/>
              <w:bottom w:val="single" w:sz="4" w:space="0" w:color="auto"/>
              <w:right w:val="single" w:sz="4" w:space="0" w:color="auto"/>
            </w:tcBorders>
            <w:vAlign w:val="center"/>
          </w:tcPr>
          <w:p w14:paraId="6E6AF97F" w14:textId="77777777" w:rsidR="004B51E9" w:rsidRPr="009D660E" w:rsidRDefault="004B51E9" w:rsidP="0032215C">
            <w:pPr>
              <w:pStyle w:val="ListParagraph"/>
              <w:numPr>
                <w:ilvl w:val="0"/>
                <w:numId w:val="85"/>
              </w:numPr>
              <w:rPr>
                <w:sz w:val="16"/>
                <w:szCs w:val="16"/>
                <w:lang w:val="it-IT"/>
              </w:rPr>
            </w:pPr>
            <w:r w:rsidRPr="009D660E">
              <w:rPr>
                <w:sz w:val="16"/>
                <w:szCs w:val="16"/>
                <w:lang w:val="it-IT"/>
              </w:rPr>
              <w:t>Vlerësimi PEFA Treguesi i Performancës 10.1 Monitorimi i korporatave publike.</w:t>
            </w:r>
          </w:p>
        </w:tc>
        <w:tc>
          <w:tcPr>
            <w:tcW w:w="1180" w:type="dxa"/>
            <w:tcBorders>
              <w:top w:val="single" w:sz="4" w:space="0" w:color="auto"/>
              <w:left w:val="single" w:sz="4" w:space="0" w:color="auto"/>
              <w:bottom w:val="single" w:sz="4" w:space="0" w:color="auto"/>
              <w:right w:val="single" w:sz="4" w:space="0" w:color="auto"/>
            </w:tcBorders>
            <w:vAlign w:val="center"/>
          </w:tcPr>
          <w:p w14:paraId="18F277DF" w14:textId="77777777" w:rsidR="004B51E9" w:rsidRPr="00772648" w:rsidRDefault="004B51E9" w:rsidP="0032215C">
            <w:pPr>
              <w:pStyle w:val="T-normal"/>
              <w:jc w:val="center"/>
            </w:pPr>
            <w:r w:rsidRPr="00772648">
              <w:t xml:space="preserve">C </w:t>
            </w:r>
          </w:p>
          <w:p w14:paraId="28ED6DDF" w14:textId="77777777" w:rsidR="004B51E9" w:rsidRPr="00772648" w:rsidRDefault="004B51E9" w:rsidP="0032215C">
            <w:pPr>
              <w:pStyle w:val="T-normal"/>
              <w:jc w:val="center"/>
            </w:pPr>
            <w:r w:rsidRPr="00772648">
              <w:t>(2017)</w:t>
            </w:r>
          </w:p>
        </w:tc>
        <w:tc>
          <w:tcPr>
            <w:tcW w:w="1181" w:type="dxa"/>
            <w:tcBorders>
              <w:top w:val="single" w:sz="4" w:space="0" w:color="auto"/>
              <w:left w:val="single" w:sz="4" w:space="0" w:color="auto"/>
              <w:bottom w:val="single" w:sz="4" w:space="0" w:color="auto"/>
              <w:right w:val="single" w:sz="4" w:space="0" w:color="auto"/>
            </w:tcBorders>
            <w:vAlign w:val="center"/>
          </w:tcPr>
          <w:p w14:paraId="379CBEE8" w14:textId="77777777" w:rsidR="004B51E9" w:rsidRPr="00772648" w:rsidRDefault="004B51E9" w:rsidP="0032215C">
            <w:pPr>
              <w:pStyle w:val="T-normal"/>
              <w:jc w:val="center"/>
              <w:rPr>
                <w:color w:val="FF0000"/>
              </w:rPr>
            </w:pPr>
            <w:r w:rsidRPr="00772648">
              <w:t>-</w:t>
            </w:r>
          </w:p>
        </w:tc>
        <w:tc>
          <w:tcPr>
            <w:tcW w:w="1180" w:type="dxa"/>
            <w:tcBorders>
              <w:top w:val="single" w:sz="4" w:space="0" w:color="auto"/>
              <w:left w:val="single" w:sz="4" w:space="0" w:color="auto"/>
              <w:bottom w:val="single" w:sz="4" w:space="0" w:color="auto"/>
              <w:right w:val="single" w:sz="4" w:space="0" w:color="auto"/>
            </w:tcBorders>
            <w:vAlign w:val="center"/>
          </w:tcPr>
          <w:p w14:paraId="13549B48" w14:textId="77777777" w:rsidR="004B51E9" w:rsidRPr="00772648" w:rsidRDefault="004B51E9" w:rsidP="0032215C">
            <w:pPr>
              <w:pStyle w:val="T-normal"/>
              <w:jc w:val="center"/>
            </w:pPr>
            <w:r w:rsidRPr="00772648">
              <w:t>-</w:t>
            </w:r>
          </w:p>
        </w:tc>
        <w:tc>
          <w:tcPr>
            <w:tcW w:w="1181" w:type="dxa"/>
            <w:tcBorders>
              <w:top w:val="single" w:sz="4" w:space="0" w:color="auto"/>
              <w:left w:val="single" w:sz="4" w:space="0" w:color="auto"/>
              <w:bottom w:val="single" w:sz="4" w:space="0" w:color="auto"/>
              <w:right w:val="single" w:sz="4" w:space="0" w:color="auto"/>
            </w:tcBorders>
            <w:vAlign w:val="center"/>
          </w:tcPr>
          <w:p w14:paraId="2FD5DA32" w14:textId="77777777" w:rsidR="004B51E9" w:rsidRPr="00772648" w:rsidRDefault="004B51E9" w:rsidP="0032215C">
            <w:pPr>
              <w:pStyle w:val="T-normal"/>
              <w:jc w:val="center"/>
            </w:pPr>
            <w:r w:rsidRPr="00772648">
              <w:t>-</w:t>
            </w:r>
          </w:p>
        </w:tc>
        <w:tc>
          <w:tcPr>
            <w:tcW w:w="1181" w:type="dxa"/>
            <w:tcBorders>
              <w:top w:val="single" w:sz="4" w:space="0" w:color="auto"/>
              <w:left w:val="single" w:sz="4" w:space="0" w:color="auto"/>
              <w:bottom w:val="single" w:sz="4" w:space="0" w:color="auto"/>
              <w:right w:val="single" w:sz="4" w:space="0" w:color="auto"/>
            </w:tcBorders>
            <w:vAlign w:val="center"/>
          </w:tcPr>
          <w:p w14:paraId="3A207D1E" w14:textId="77777777" w:rsidR="004B51E9" w:rsidRPr="00772648" w:rsidRDefault="004B51E9" w:rsidP="0032215C">
            <w:pPr>
              <w:pStyle w:val="T-normal"/>
              <w:jc w:val="center"/>
              <w:rPr>
                <w:color w:val="FF0000"/>
              </w:rPr>
            </w:pPr>
            <w:r w:rsidRPr="00772648">
              <w:t>B</w:t>
            </w:r>
          </w:p>
        </w:tc>
      </w:tr>
      <w:tr w:rsidR="004B51E9" w:rsidRPr="00772648" w14:paraId="553D988B" w14:textId="77777777" w:rsidTr="0032215C">
        <w:tc>
          <w:tcPr>
            <w:tcW w:w="3114" w:type="dxa"/>
            <w:tcBorders>
              <w:top w:val="single" w:sz="4" w:space="0" w:color="auto"/>
              <w:left w:val="single" w:sz="4" w:space="0" w:color="auto"/>
              <w:bottom w:val="single" w:sz="4" w:space="0" w:color="auto"/>
              <w:right w:val="single" w:sz="4" w:space="0" w:color="auto"/>
            </w:tcBorders>
            <w:vAlign w:val="center"/>
          </w:tcPr>
          <w:p w14:paraId="63B37F77" w14:textId="77777777" w:rsidR="004B51E9" w:rsidRPr="00772648" w:rsidRDefault="004B51E9" w:rsidP="0032215C">
            <w:pPr>
              <w:pStyle w:val="ListParagraph"/>
              <w:numPr>
                <w:ilvl w:val="0"/>
                <w:numId w:val="85"/>
              </w:numPr>
              <w:rPr>
                <w:sz w:val="16"/>
                <w:szCs w:val="16"/>
              </w:rPr>
            </w:pPr>
            <w:r w:rsidRPr="00772648">
              <w:rPr>
                <w:sz w:val="16"/>
                <w:szCs w:val="16"/>
              </w:rPr>
              <w:t>Për</w:t>
            </w:r>
            <w:r>
              <w:rPr>
                <w:sz w:val="16"/>
                <w:szCs w:val="16"/>
              </w:rPr>
              <w:t>mirësimi i</w:t>
            </w:r>
            <w:r w:rsidRPr="00772648">
              <w:rPr>
                <w:sz w:val="16"/>
                <w:szCs w:val="16"/>
              </w:rPr>
              <w:t xml:space="preserve"> metodologjisë për vlerësimin, monitorimin dhe mbikëqyrjen e risqeve fiskale në lidhje me NSH-të e përgatitur </w:t>
            </w:r>
          </w:p>
        </w:tc>
        <w:tc>
          <w:tcPr>
            <w:tcW w:w="1180" w:type="dxa"/>
            <w:tcBorders>
              <w:top w:val="single" w:sz="4" w:space="0" w:color="auto"/>
              <w:left w:val="single" w:sz="4" w:space="0" w:color="auto"/>
              <w:bottom w:val="single" w:sz="4" w:space="0" w:color="auto"/>
              <w:right w:val="single" w:sz="4" w:space="0" w:color="auto"/>
            </w:tcBorders>
            <w:vAlign w:val="center"/>
          </w:tcPr>
          <w:p w14:paraId="782DD2BE" w14:textId="77777777" w:rsidR="004B51E9" w:rsidRPr="00772648" w:rsidRDefault="004B51E9" w:rsidP="0032215C">
            <w:pPr>
              <w:pStyle w:val="T-normal"/>
              <w:jc w:val="center"/>
              <w:rPr>
                <w:color w:val="FF0000"/>
              </w:rPr>
            </w:pPr>
            <w:r w:rsidRPr="00772648">
              <w:rPr>
                <w:color w:val="FF0000"/>
              </w:rPr>
              <w:t>-</w:t>
            </w:r>
          </w:p>
          <w:p w14:paraId="10FAAD0D" w14:textId="77777777" w:rsidR="004B51E9" w:rsidRPr="00772648" w:rsidRDefault="004B51E9" w:rsidP="0032215C">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7BCD8018" w14:textId="77777777" w:rsidR="004B51E9" w:rsidRPr="00772648" w:rsidRDefault="004B51E9" w:rsidP="0032215C">
            <w:pPr>
              <w:pStyle w:val="T-normal"/>
              <w:jc w:val="center"/>
            </w:pPr>
            <w:r w:rsidRPr="00772648">
              <w:t>-</w:t>
            </w:r>
          </w:p>
        </w:tc>
        <w:tc>
          <w:tcPr>
            <w:tcW w:w="1180" w:type="dxa"/>
            <w:tcBorders>
              <w:top w:val="single" w:sz="4" w:space="0" w:color="auto"/>
              <w:left w:val="single" w:sz="4" w:space="0" w:color="auto"/>
              <w:bottom w:val="single" w:sz="4" w:space="0" w:color="auto"/>
              <w:right w:val="single" w:sz="4" w:space="0" w:color="auto"/>
            </w:tcBorders>
            <w:vAlign w:val="center"/>
          </w:tcPr>
          <w:p w14:paraId="15B817A6" w14:textId="77777777" w:rsidR="004B51E9" w:rsidRPr="00772648" w:rsidRDefault="004B51E9" w:rsidP="0032215C">
            <w:pPr>
              <w:pStyle w:val="T-normal"/>
              <w:jc w:val="center"/>
            </w:pPr>
            <w:r w:rsidRPr="00772648">
              <w:t>-</w:t>
            </w:r>
          </w:p>
        </w:tc>
        <w:tc>
          <w:tcPr>
            <w:tcW w:w="1181" w:type="dxa"/>
            <w:tcBorders>
              <w:top w:val="single" w:sz="4" w:space="0" w:color="auto"/>
              <w:left w:val="single" w:sz="4" w:space="0" w:color="auto"/>
              <w:bottom w:val="single" w:sz="4" w:space="0" w:color="auto"/>
              <w:right w:val="single" w:sz="4" w:space="0" w:color="auto"/>
            </w:tcBorders>
            <w:vAlign w:val="center"/>
          </w:tcPr>
          <w:p w14:paraId="527009C1" w14:textId="77777777" w:rsidR="004B51E9" w:rsidRPr="00772648" w:rsidRDefault="004B51E9" w:rsidP="0032215C">
            <w:pPr>
              <w:pStyle w:val="T-normal"/>
              <w:jc w:val="center"/>
            </w:pPr>
            <w:r w:rsidRPr="00772648">
              <w:t>-</w:t>
            </w:r>
          </w:p>
        </w:tc>
        <w:tc>
          <w:tcPr>
            <w:tcW w:w="1181" w:type="dxa"/>
            <w:tcBorders>
              <w:top w:val="single" w:sz="4" w:space="0" w:color="auto"/>
              <w:left w:val="single" w:sz="4" w:space="0" w:color="auto"/>
              <w:bottom w:val="single" w:sz="4" w:space="0" w:color="auto"/>
              <w:right w:val="single" w:sz="4" w:space="0" w:color="auto"/>
            </w:tcBorders>
            <w:vAlign w:val="center"/>
          </w:tcPr>
          <w:p w14:paraId="2F3311C6" w14:textId="77777777" w:rsidR="004B51E9" w:rsidRPr="00772648" w:rsidRDefault="004B51E9" w:rsidP="0032215C">
            <w:pPr>
              <w:pStyle w:val="T-normal"/>
              <w:jc w:val="center"/>
            </w:pPr>
            <w:r w:rsidRPr="00772648">
              <w:t>E përmirësuar</w:t>
            </w:r>
          </w:p>
        </w:tc>
      </w:tr>
    </w:tbl>
    <w:p w14:paraId="2C63C2E3" w14:textId="77777777" w:rsidR="00AB73F1" w:rsidRPr="001F151E" w:rsidRDefault="00AB73F1" w:rsidP="00096B2B">
      <w:pPr>
        <w:rPr>
          <w:lang w:val="en-GB"/>
        </w:rPr>
      </w:pPr>
    </w:p>
    <w:p w14:paraId="67873949" w14:textId="77777777" w:rsidR="00A67FA8" w:rsidRPr="001F151E" w:rsidRDefault="00A67FA8" w:rsidP="000F2535">
      <w:pPr>
        <w:rPr>
          <w:lang w:val="en-GB"/>
        </w:rPr>
      </w:pPr>
    </w:p>
    <w:p w14:paraId="2B604278" w14:textId="3E579730" w:rsidR="000F2535" w:rsidRPr="001F151E" w:rsidRDefault="000C5D56" w:rsidP="000F2535">
      <w:pPr>
        <w:pStyle w:val="Heading2"/>
        <w:rPr>
          <w:lang w:val="en-GB"/>
        </w:rPr>
      </w:pPr>
      <w:bookmarkStart w:id="16" w:name="_Toc161748810"/>
      <w:bookmarkStart w:id="17" w:name="_Hlk151411707"/>
      <w:bookmarkEnd w:id="8"/>
      <w:r>
        <w:rPr>
          <w:lang w:val="en-GB"/>
        </w:rPr>
        <w:t xml:space="preserve">Komponenti </w:t>
      </w:r>
      <w:r w:rsidR="00942755">
        <w:rPr>
          <w:lang w:val="en-GB"/>
        </w:rPr>
        <w:t>1.</w:t>
      </w:r>
      <w:r w:rsidR="00297283">
        <w:rPr>
          <w:lang w:val="en-GB"/>
        </w:rPr>
        <w:t>4</w:t>
      </w:r>
      <w:r w:rsidR="000F2535" w:rsidRPr="001F151E">
        <w:rPr>
          <w:lang w:val="en-GB"/>
        </w:rPr>
        <w:t xml:space="preserve"> </w:t>
      </w:r>
      <w:r>
        <w:rPr>
          <w:lang w:val="en-GB"/>
        </w:rPr>
        <w:t>K</w:t>
      </w:r>
      <w:r w:rsidR="000A70F5">
        <w:rPr>
          <w:lang w:val="en-GB"/>
        </w:rPr>
        <w:t>ë</w:t>
      </w:r>
      <w:r>
        <w:rPr>
          <w:lang w:val="en-GB"/>
        </w:rPr>
        <w:t>shilli Fiskal</w:t>
      </w:r>
      <w:bookmarkEnd w:id="16"/>
    </w:p>
    <w:p w14:paraId="61C2F401" w14:textId="77777777" w:rsidR="000F2535" w:rsidRPr="001F151E" w:rsidRDefault="000F2535" w:rsidP="000F2535">
      <w:pPr>
        <w:rPr>
          <w:lang w:val="en-GB"/>
        </w:rPr>
      </w:pPr>
    </w:p>
    <w:p w14:paraId="0469DF26" w14:textId="3C84EB52" w:rsidR="000F2535" w:rsidRPr="001F151E" w:rsidRDefault="000F2535" w:rsidP="000F2535">
      <w:pPr>
        <w:pStyle w:val="H5"/>
        <w:rPr>
          <w:lang w:val="en-GB"/>
        </w:rPr>
      </w:pPr>
      <w:r w:rsidRPr="001F151E">
        <w:rPr>
          <w:lang w:val="en-GB"/>
        </w:rPr>
        <w:t>Obje</w:t>
      </w:r>
      <w:r w:rsidR="00BA70D4">
        <w:rPr>
          <w:lang w:val="en-GB"/>
        </w:rPr>
        <w:t>ktivi</w:t>
      </w:r>
    </w:p>
    <w:p w14:paraId="6CA2668E" w14:textId="64ECC2A2" w:rsidR="000F2535" w:rsidRPr="001F151E" w:rsidRDefault="00BA70D4" w:rsidP="000F2535">
      <w:pPr>
        <w:jc w:val="both"/>
        <w:rPr>
          <w:lang w:val="en-GB"/>
        </w:rPr>
      </w:pPr>
      <w:r>
        <w:rPr>
          <w:lang w:val="en-GB"/>
        </w:rPr>
        <w:t>Synimi p</w:t>
      </w:r>
      <w:r w:rsidR="000A70F5">
        <w:rPr>
          <w:lang w:val="en-GB"/>
        </w:rPr>
        <w:t>ë</w:t>
      </w:r>
      <w:r>
        <w:rPr>
          <w:lang w:val="en-GB"/>
        </w:rPr>
        <w:t xml:space="preserve">r vitin 2030 </w:t>
      </w:r>
      <w:r w:rsidR="000A70F5">
        <w:rPr>
          <w:lang w:val="en-GB"/>
        </w:rPr>
        <w:t>ë</w:t>
      </w:r>
      <w:r>
        <w:rPr>
          <w:lang w:val="en-GB"/>
        </w:rPr>
        <w:t>sht</w:t>
      </w:r>
      <w:r w:rsidR="000A70F5">
        <w:rPr>
          <w:lang w:val="en-GB"/>
        </w:rPr>
        <w:t>ë</w:t>
      </w:r>
      <w:r>
        <w:rPr>
          <w:lang w:val="en-GB"/>
        </w:rPr>
        <w:t xml:space="preserve"> krijimi i nj</w:t>
      </w:r>
      <w:r w:rsidR="000A70F5">
        <w:rPr>
          <w:lang w:val="en-GB"/>
        </w:rPr>
        <w:t>ë</w:t>
      </w:r>
      <w:r>
        <w:rPr>
          <w:lang w:val="en-GB"/>
        </w:rPr>
        <w:t xml:space="preserve"> k</w:t>
      </w:r>
      <w:r w:rsidR="000A70F5">
        <w:rPr>
          <w:lang w:val="en-GB"/>
        </w:rPr>
        <w:t>ë</w:t>
      </w:r>
      <w:r>
        <w:rPr>
          <w:lang w:val="en-GB"/>
        </w:rPr>
        <w:t>shilli fiskal t</w:t>
      </w:r>
      <w:r w:rsidR="000A70F5">
        <w:rPr>
          <w:lang w:val="en-GB"/>
        </w:rPr>
        <w:t>ë</w:t>
      </w:r>
      <w:r>
        <w:rPr>
          <w:lang w:val="en-GB"/>
        </w:rPr>
        <w:t xml:space="preserve"> plot</w:t>
      </w:r>
      <w:r w:rsidR="000A70F5">
        <w:rPr>
          <w:lang w:val="en-GB"/>
        </w:rPr>
        <w:t>ë</w:t>
      </w:r>
      <w:r>
        <w:rPr>
          <w:lang w:val="en-GB"/>
        </w:rPr>
        <w:t xml:space="preserve"> p</w:t>
      </w:r>
      <w:r w:rsidR="000A70F5">
        <w:rPr>
          <w:lang w:val="en-GB"/>
        </w:rPr>
        <w:t>ë</w:t>
      </w:r>
      <w:r>
        <w:rPr>
          <w:lang w:val="en-GB"/>
        </w:rPr>
        <w:t>r t</w:t>
      </w:r>
      <w:r w:rsidR="000A70F5">
        <w:rPr>
          <w:lang w:val="en-GB"/>
        </w:rPr>
        <w:t>ë</w:t>
      </w:r>
      <w:r>
        <w:rPr>
          <w:lang w:val="en-GB"/>
        </w:rPr>
        <w:t xml:space="preserve"> vler</w:t>
      </w:r>
      <w:r w:rsidR="000A70F5">
        <w:rPr>
          <w:lang w:val="en-GB"/>
        </w:rPr>
        <w:t>ë</w:t>
      </w:r>
      <w:r>
        <w:rPr>
          <w:lang w:val="en-GB"/>
        </w:rPr>
        <w:t>suar politik</w:t>
      </w:r>
      <w:r w:rsidR="000A70F5">
        <w:rPr>
          <w:lang w:val="en-GB"/>
        </w:rPr>
        <w:t>ë</w:t>
      </w:r>
      <w:r>
        <w:rPr>
          <w:lang w:val="en-GB"/>
        </w:rPr>
        <w:t>n fiskale t</w:t>
      </w:r>
      <w:r w:rsidR="000A70F5">
        <w:rPr>
          <w:lang w:val="en-GB"/>
        </w:rPr>
        <w:t>ë</w:t>
      </w:r>
      <w:r>
        <w:rPr>
          <w:lang w:val="en-GB"/>
        </w:rPr>
        <w:t xml:space="preserve"> qeveris</w:t>
      </w:r>
      <w:r w:rsidR="000A70F5">
        <w:rPr>
          <w:lang w:val="en-GB"/>
        </w:rPr>
        <w:t>ë</w:t>
      </w:r>
      <w:r>
        <w:rPr>
          <w:lang w:val="en-GB"/>
        </w:rPr>
        <w:t xml:space="preserve">. </w:t>
      </w:r>
    </w:p>
    <w:p w14:paraId="7D30654D" w14:textId="77777777" w:rsidR="000F2535" w:rsidRPr="001F151E" w:rsidRDefault="000F2535" w:rsidP="000F2535">
      <w:pPr>
        <w:pStyle w:val="H5"/>
        <w:rPr>
          <w:lang w:val="en-GB"/>
        </w:rPr>
      </w:pPr>
    </w:p>
    <w:p w14:paraId="65841100" w14:textId="2C548DE5" w:rsidR="000F2535" w:rsidRPr="001F151E" w:rsidRDefault="00BA70D4" w:rsidP="000F2535">
      <w:pPr>
        <w:pStyle w:val="H5"/>
        <w:rPr>
          <w:lang w:val="en-GB"/>
        </w:rPr>
      </w:pPr>
      <w:r>
        <w:rPr>
          <w:lang w:val="en-GB"/>
        </w:rPr>
        <w:t>Konteksti</w:t>
      </w:r>
    </w:p>
    <w:p w14:paraId="3BFF9D69" w14:textId="331FA5DD" w:rsidR="000F2535" w:rsidRPr="001F151E" w:rsidRDefault="00BA70D4" w:rsidP="006F1382">
      <w:pPr>
        <w:jc w:val="both"/>
        <w:rPr>
          <w:lang w:val="en-GB"/>
        </w:rPr>
      </w:pPr>
      <w:r>
        <w:rPr>
          <w:lang w:val="en-GB"/>
        </w:rPr>
        <w:t>N</w:t>
      </w:r>
      <w:r w:rsidR="000A70F5">
        <w:rPr>
          <w:lang w:val="en-GB"/>
        </w:rPr>
        <w:t>ë</w:t>
      </w:r>
      <w:r>
        <w:rPr>
          <w:lang w:val="en-GB"/>
        </w:rPr>
        <w:t xml:space="preserve"> p</w:t>
      </w:r>
      <w:r w:rsidR="000A70F5">
        <w:rPr>
          <w:lang w:val="en-GB"/>
        </w:rPr>
        <w:t>ë</w:t>
      </w:r>
      <w:r>
        <w:rPr>
          <w:lang w:val="en-GB"/>
        </w:rPr>
        <w:t>rputhje me udh</w:t>
      </w:r>
      <w:r w:rsidR="000A70F5">
        <w:rPr>
          <w:lang w:val="en-GB"/>
        </w:rPr>
        <w:t>ë</w:t>
      </w:r>
      <w:r>
        <w:rPr>
          <w:lang w:val="en-GB"/>
        </w:rPr>
        <w:t>rr</w:t>
      </w:r>
      <w:r w:rsidR="000A70F5">
        <w:rPr>
          <w:lang w:val="en-GB"/>
        </w:rPr>
        <w:t>ë</w:t>
      </w:r>
      <w:r>
        <w:rPr>
          <w:lang w:val="en-GB"/>
        </w:rPr>
        <w:t>fyesin e Reform</w:t>
      </w:r>
      <w:r w:rsidR="000A70F5">
        <w:rPr>
          <w:lang w:val="en-GB"/>
        </w:rPr>
        <w:t>ë</w:t>
      </w:r>
      <w:r>
        <w:rPr>
          <w:lang w:val="en-GB"/>
        </w:rPr>
        <w:t>s n</w:t>
      </w:r>
      <w:r w:rsidR="000A70F5">
        <w:rPr>
          <w:lang w:val="en-GB"/>
        </w:rPr>
        <w:t>ë</w:t>
      </w:r>
      <w:r>
        <w:rPr>
          <w:lang w:val="en-GB"/>
        </w:rPr>
        <w:t xml:space="preserve"> Administrat</w:t>
      </w:r>
      <w:r w:rsidR="000A70F5">
        <w:rPr>
          <w:lang w:val="en-GB"/>
        </w:rPr>
        <w:t>ë</w:t>
      </w:r>
      <w:r>
        <w:rPr>
          <w:lang w:val="en-GB"/>
        </w:rPr>
        <w:t>n Publike</w:t>
      </w:r>
      <w:r w:rsidR="00861795" w:rsidRPr="001F151E">
        <w:rPr>
          <w:rStyle w:val="FootnoteReference"/>
          <w:lang w:val="en-GB"/>
        </w:rPr>
        <w:footnoteReference w:id="10"/>
      </w:r>
      <w:r w:rsidR="000F2535" w:rsidRPr="001F151E">
        <w:rPr>
          <w:lang w:val="en-GB"/>
        </w:rPr>
        <w:t xml:space="preserve"> </w:t>
      </w:r>
      <w:r>
        <w:rPr>
          <w:lang w:val="en-GB"/>
        </w:rPr>
        <w:t>si dhe rekomandimet dhe rregulloret e BE-s</w:t>
      </w:r>
      <w:r w:rsidR="000A70F5">
        <w:rPr>
          <w:lang w:val="en-GB"/>
        </w:rPr>
        <w:t>ë</w:t>
      </w:r>
      <w:r w:rsidR="000F2535" w:rsidRPr="001F151E">
        <w:rPr>
          <w:rStyle w:val="FootnoteReference"/>
          <w:lang w:val="en-GB"/>
        </w:rPr>
        <w:footnoteReference w:id="11"/>
      </w:r>
      <w:r w:rsidR="000F2535" w:rsidRPr="001F151E">
        <w:rPr>
          <w:lang w:val="en-GB"/>
        </w:rPr>
        <w:t xml:space="preserve">, </w:t>
      </w:r>
      <w:r>
        <w:rPr>
          <w:lang w:val="en-GB"/>
        </w:rPr>
        <w:t>do t</w:t>
      </w:r>
      <w:r w:rsidR="000A70F5">
        <w:rPr>
          <w:lang w:val="en-GB"/>
        </w:rPr>
        <w:t>ë</w:t>
      </w:r>
      <w:r>
        <w:rPr>
          <w:lang w:val="en-GB"/>
        </w:rPr>
        <w:t xml:space="preserve"> krijohet nj</w:t>
      </w:r>
      <w:r w:rsidR="000A70F5">
        <w:rPr>
          <w:lang w:val="en-GB"/>
        </w:rPr>
        <w:t>ë</w:t>
      </w:r>
      <w:r w:rsidR="00077FD4">
        <w:rPr>
          <w:lang w:val="en-GB"/>
        </w:rPr>
        <w:t xml:space="preserve"> institucion i pavarur fisk</w:t>
      </w:r>
      <w:r>
        <w:rPr>
          <w:lang w:val="en-GB"/>
        </w:rPr>
        <w:t>al (K</w:t>
      </w:r>
      <w:r w:rsidR="000A70F5">
        <w:rPr>
          <w:lang w:val="en-GB"/>
        </w:rPr>
        <w:t>ë</w:t>
      </w:r>
      <w:r>
        <w:rPr>
          <w:lang w:val="en-GB"/>
        </w:rPr>
        <w:t>shilli Fiskal) n</w:t>
      </w:r>
      <w:r w:rsidR="000A70F5">
        <w:rPr>
          <w:lang w:val="en-GB"/>
        </w:rPr>
        <w:t>ë</w:t>
      </w:r>
      <w:r>
        <w:rPr>
          <w:lang w:val="en-GB"/>
        </w:rPr>
        <w:t xml:space="preserve"> kuad</w:t>
      </w:r>
      <w:r w:rsidR="000A70F5">
        <w:rPr>
          <w:lang w:val="en-GB"/>
        </w:rPr>
        <w:t>ë</w:t>
      </w:r>
      <w:r>
        <w:rPr>
          <w:lang w:val="en-GB"/>
        </w:rPr>
        <w:t>r t</w:t>
      </w:r>
      <w:r w:rsidR="000A70F5">
        <w:rPr>
          <w:lang w:val="en-GB"/>
        </w:rPr>
        <w:t>ë</w:t>
      </w:r>
      <w:r>
        <w:rPr>
          <w:lang w:val="en-GB"/>
        </w:rPr>
        <w:t xml:space="preserve"> procesit t</w:t>
      </w:r>
      <w:r w:rsidR="000A70F5">
        <w:rPr>
          <w:lang w:val="en-GB"/>
        </w:rPr>
        <w:t>ë</w:t>
      </w:r>
      <w:r>
        <w:rPr>
          <w:lang w:val="en-GB"/>
        </w:rPr>
        <w:t xml:space="preserve"> integrimit n</w:t>
      </w:r>
      <w:r w:rsidR="000A70F5">
        <w:rPr>
          <w:lang w:val="en-GB"/>
        </w:rPr>
        <w:t>ë</w:t>
      </w:r>
      <w:r>
        <w:rPr>
          <w:lang w:val="en-GB"/>
        </w:rPr>
        <w:t xml:space="preserve"> BE</w:t>
      </w:r>
      <w:r w:rsidR="000F2535" w:rsidRPr="001F151E">
        <w:rPr>
          <w:lang w:val="en-GB"/>
        </w:rPr>
        <w:t xml:space="preserve">. </w:t>
      </w:r>
      <w:r>
        <w:rPr>
          <w:lang w:val="en-GB"/>
        </w:rPr>
        <w:t>Mandati i K</w:t>
      </w:r>
      <w:r w:rsidR="000A70F5">
        <w:rPr>
          <w:lang w:val="en-GB"/>
        </w:rPr>
        <w:t>ë</w:t>
      </w:r>
      <w:r>
        <w:rPr>
          <w:lang w:val="en-GB"/>
        </w:rPr>
        <w:t>shillit Fiskal do t</w:t>
      </w:r>
      <w:r w:rsidR="000A70F5">
        <w:rPr>
          <w:lang w:val="en-GB"/>
        </w:rPr>
        <w:t>ë</w:t>
      </w:r>
      <w:r w:rsidR="00891E24">
        <w:rPr>
          <w:lang w:val="en-GB"/>
        </w:rPr>
        <w:t xml:space="preserve"> jetë</w:t>
      </w:r>
      <w:r>
        <w:rPr>
          <w:lang w:val="en-GB"/>
        </w:rPr>
        <w:t>, nd</w:t>
      </w:r>
      <w:r w:rsidR="000A70F5">
        <w:rPr>
          <w:lang w:val="en-GB"/>
        </w:rPr>
        <w:t>ë</w:t>
      </w:r>
      <w:r>
        <w:rPr>
          <w:lang w:val="en-GB"/>
        </w:rPr>
        <w:t>r t</w:t>
      </w:r>
      <w:r w:rsidR="000A70F5">
        <w:rPr>
          <w:lang w:val="en-GB"/>
        </w:rPr>
        <w:t>ë</w:t>
      </w:r>
      <w:r>
        <w:rPr>
          <w:lang w:val="en-GB"/>
        </w:rPr>
        <w:t xml:space="preserve"> tjera, </w:t>
      </w:r>
      <w:r w:rsidR="00891E24">
        <w:rPr>
          <w:lang w:val="en-GB"/>
        </w:rPr>
        <w:t>vlerësimi i</w:t>
      </w:r>
      <w:r>
        <w:rPr>
          <w:lang w:val="en-GB"/>
        </w:rPr>
        <w:t xml:space="preserve"> politik</w:t>
      </w:r>
      <w:r w:rsidR="000A70F5">
        <w:rPr>
          <w:lang w:val="en-GB"/>
        </w:rPr>
        <w:t>ë</w:t>
      </w:r>
      <w:r w:rsidR="00891E24">
        <w:rPr>
          <w:lang w:val="en-GB"/>
        </w:rPr>
        <w:t>s</w:t>
      </w:r>
      <w:r>
        <w:rPr>
          <w:lang w:val="en-GB"/>
        </w:rPr>
        <w:t xml:space="preserve"> fiskale t</w:t>
      </w:r>
      <w:r w:rsidR="000A70F5">
        <w:rPr>
          <w:lang w:val="en-GB"/>
        </w:rPr>
        <w:t>ë</w:t>
      </w:r>
      <w:r>
        <w:rPr>
          <w:lang w:val="en-GB"/>
        </w:rPr>
        <w:t xml:space="preserve"> Qeveris</w:t>
      </w:r>
      <w:r w:rsidR="000A70F5">
        <w:rPr>
          <w:lang w:val="en-GB"/>
        </w:rPr>
        <w:t>ë</w:t>
      </w:r>
      <w:r w:rsidR="000F2535" w:rsidRPr="001F151E">
        <w:rPr>
          <w:lang w:val="en-GB"/>
        </w:rPr>
        <w:t>.</w:t>
      </w:r>
      <w:r w:rsidR="000F2535" w:rsidRPr="001F151E">
        <w:rPr>
          <w:rStyle w:val="FootnoteReference"/>
          <w:lang w:val="en-GB"/>
        </w:rPr>
        <w:footnoteReference w:id="12"/>
      </w:r>
      <w:r w:rsidR="000F2535" w:rsidRPr="001F151E">
        <w:rPr>
          <w:lang w:val="en-GB"/>
        </w:rPr>
        <w:t xml:space="preserve"> </w:t>
      </w:r>
    </w:p>
    <w:p w14:paraId="757CF6D4" w14:textId="77777777" w:rsidR="000F2535" w:rsidRPr="001F151E" w:rsidRDefault="000F2535" w:rsidP="006F1382">
      <w:pPr>
        <w:jc w:val="both"/>
        <w:rPr>
          <w:lang w:val="en-GB"/>
        </w:rPr>
      </w:pPr>
    </w:p>
    <w:p w14:paraId="5B2ED40C" w14:textId="2E41FDCE" w:rsidR="00861795" w:rsidRPr="001F151E" w:rsidRDefault="00861795" w:rsidP="00861795">
      <w:pPr>
        <w:pStyle w:val="H5"/>
        <w:rPr>
          <w:lang w:val="en-GB"/>
        </w:rPr>
      </w:pPr>
      <w:r w:rsidRPr="001F151E">
        <w:rPr>
          <w:lang w:val="en-GB"/>
        </w:rPr>
        <w:lastRenderedPageBreak/>
        <w:t>Priorit</w:t>
      </w:r>
      <w:r w:rsidR="00BA70D4">
        <w:rPr>
          <w:lang w:val="en-GB"/>
        </w:rPr>
        <w:t>etet</w:t>
      </w:r>
    </w:p>
    <w:p w14:paraId="2E89A6D4" w14:textId="5C74545C" w:rsidR="00861795" w:rsidRPr="001F151E" w:rsidRDefault="00BA70D4" w:rsidP="006F1382">
      <w:pPr>
        <w:jc w:val="both"/>
        <w:rPr>
          <w:lang w:val="en-GB"/>
        </w:rPr>
      </w:pPr>
      <w:r>
        <w:rPr>
          <w:lang w:val="en-GB"/>
        </w:rPr>
        <w:t>Prioritetet p</w:t>
      </w:r>
      <w:r w:rsidR="000A70F5">
        <w:rPr>
          <w:lang w:val="en-GB"/>
        </w:rPr>
        <w:t>ë</w:t>
      </w:r>
      <w:r>
        <w:rPr>
          <w:lang w:val="en-GB"/>
        </w:rPr>
        <w:t>r periudh</w:t>
      </w:r>
      <w:r w:rsidR="000A70F5">
        <w:rPr>
          <w:lang w:val="en-GB"/>
        </w:rPr>
        <w:t>ë</w:t>
      </w:r>
      <w:r>
        <w:rPr>
          <w:lang w:val="en-GB"/>
        </w:rPr>
        <w:t>n 2023-2026 jan</w:t>
      </w:r>
      <w:r w:rsidR="000A70F5">
        <w:rPr>
          <w:lang w:val="en-GB"/>
        </w:rPr>
        <w:t>ë</w:t>
      </w:r>
      <w:r w:rsidR="00861795" w:rsidRPr="001F151E">
        <w:rPr>
          <w:lang w:val="en-GB"/>
        </w:rPr>
        <w:t>:</w:t>
      </w:r>
    </w:p>
    <w:p w14:paraId="1B3F38D7" w14:textId="120470D4" w:rsidR="00861795" w:rsidRPr="001F151E" w:rsidRDefault="00BA70D4" w:rsidP="006F1382">
      <w:pPr>
        <w:pStyle w:val="N-Bullet"/>
        <w:jc w:val="both"/>
        <w:rPr>
          <w:lang w:val="en-GB"/>
        </w:rPr>
      </w:pPr>
      <w:r>
        <w:rPr>
          <w:lang w:val="en-GB"/>
        </w:rPr>
        <w:t>Krijimi i K</w:t>
      </w:r>
      <w:r w:rsidR="000A70F5">
        <w:rPr>
          <w:lang w:val="en-GB"/>
        </w:rPr>
        <w:t>ë</w:t>
      </w:r>
      <w:r>
        <w:rPr>
          <w:lang w:val="en-GB"/>
        </w:rPr>
        <w:t>shillit Fiskal (Institucion i Pavarur Fiskal)</w:t>
      </w:r>
    </w:p>
    <w:p w14:paraId="7499ACF2" w14:textId="77777777" w:rsidR="00BA70D4" w:rsidRDefault="00BA70D4" w:rsidP="00861795">
      <w:pPr>
        <w:pStyle w:val="H5"/>
        <w:rPr>
          <w:lang w:val="en-GB"/>
        </w:rPr>
      </w:pPr>
    </w:p>
    <w:p w14:paraId="1C0B475D" w14:textId="449072A5" w:rsidR="00861795" w:rsidRPr="001F151E" w:rsidRDefault="00CB5AF2" w:rsidP="00861795">
      <w:pPr>
        <w:pStyle w:val="H5"/>
        <w:rPr>
          <w:lang w:val="en-GB"/>
        </w:rPr>
      </w:pPr>
      <w:r>
        <w:rPr>
          <w:lang w:val="en-G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18"/>
        <w:gridCol w:w="3637"/>
        <w:gridCol w:w="794"/>
        <w:gridCol w:w="794"/>
        <w:gridCol w:w="1773"/>
      </w:tblGrid>
      <w:tr w:rsidR="00861795" w:rsidRPr="001F151E" w14:paraId="77F131C8" w14:textId="77777777" w:rsidTr="003472DA">
        <w:trPr>
          <w:trHeight w:val="20"/>
          <w:tblHeader/>
        </w:trPr>
        <w:tc>
          <w:tcPr>
            <w:tcW w:w="2018" w:type="dxa"/>
            <w:shd w:val="clear" w:color="auto" w:fill="D9D9D9" w:themeFill="background1" w:themeFillShade="D9"/>
          </w:tcPr>
          <w:p w14:paraId="77BD8CE7" w14:textId="1AD7F95F" w:rsidR="00861795" w:rsidRPr="001F151E" w:rsidRDefault="00861795" w:rsidP="00CB5AF2">
            <w:pPr>
              <w:pStyle w:val="T-bold"/>
              <w:spacing w:line="200" w:lineRule="exact"/>
            </w:pPr>
            <w:r w:rsidRPr="001F151E">
              <w:t>M</w:t>
            </w:r>
            <w:r w:rsidR="00CB5AF2">
              <w:t>asa</w:t>
            </w:r>
          </w:p>
        </w:tc>
        <w:tc>
          <w:tcPr>
            <w:tcW w:w="3637" w:type="dxa"/>
            <w:shd w:val="clear" w:color="auto" w:fill="D9D9D9" w:themeFill="background1" w:themeFillShade="D9"/>
          </w:tcPr>
          <w:p w14:paraId="3DD37D1E" w14:textId="55B5FEB3" w:rsidR="00861795" w:rsidRPr="001F151E" w:rsidRDefault="00861795" w:rsidP="00CB5AF2">
            <w:pPr>
              <w:pStyle w:val="T-bold"/>
              <w:spacing w:line="200" w:lineRule="exact"/>
            </w:pPr>
            <w:r w:rsidRPr="001F151E">
              <w:t>A</w:t>
            </w:r>
            <w:r w:rsidR="00CB5AF2">
              <w:t>ktiviteti</w:t>
            </w:r>
          </w:p>
        </w:tc>
        <w:tc>
          <w:tcPr>
            <w:tcW w:w="794" w:type="dxa"/>
            <w:shd w:val="clear" w:color="auto" w:fill="D9D9D9" w:themeFill="background1" w:themeFillShade="D9"/>
          </w:tcPr>
          <w:p w14:paraId="7573C3D5" w14:textId="5B254D00" w:rsidR="00861795" w:rsidRPr="001F151E" w:rsidRDefault="00CB5AF2" w:rsidP="003472DA">
            <w:pPr>
              <w:pStyle w:val="T-bold"/>
              <w:spacing w:line="200" w:lineRule="exact"/>
              <w:jc w:val="center"/>
            </w:pPr>
            <w:r>
              <w:t>Fillimi</w:t>
            </w:r>
          </w:p>
        </w:tc>
        <w:tc>
          <w:tcPr>
            <w:tcW w:w="794" w:type="dxa"/>
            <w:shd w:val="clear" w:color="auto" w:fill="D9D9D9" w:themeFill="background1" w:themeFillShade="D9"/>
          </w:tcPr>
          <w:p w14:paraId="752CBDB5" w14:textId="4253F6B5" w:rsidR="00861795" w:rsidRPr="001F151E" w:rsidRDefault="00CB5AF2" w:rsidP="003472DA">
            <w:pPr>
              <w:pStyle w:val="T-bold"/>
              <w:spacing w:line="200" w:lineRule="exact"/>
              <w:jc w:val="center"/>
            </w:pPr>
            <w:r>
              <w:t>Mbarimi</w:t>
            </w:r>
          </w:p>
        </w:tc>
        <w:tc>
          <w:tcPr>
            <w:tcW w:w="1773" w:type="dxa"/>
            <w:shd w:val="clear" w:color="auto" w:fill="D9D9D9" w:themeFill="background1" w:themeFillShade="D9"/>
          </w:tcPr>
          <w:p w14:paraId="5076C85B" w14:textId="6373A5F4" w:rsidR="00861795" w:rsidRPr="001F151E" w:rsidRDefault="00CB5AF2" w:rsidP="003472DA">
            <w:pPr>
              <w:pStyle w:val="T-bold"/>
              <w:spacing w:line="200" w:lineRule="exact"/>
            </w:pPr>
            <w:r>
              <w:t>Grupet e Interesit</w:t>
            </w:r>
          </w:p>
        </w:tc>
      </w:tr>
      <w:tr w:rsidR="00861795" w:rsidRPr="001F151E" w14:paraId="422A68F8" w14:textId="77777777" w:rsidTr="003472DA">
        <w:trPr>
          <w:trHeight w:val="1104"/>
        </w:trPr>
        <w:tc>
          <w:tcPr>
            <w:tcW w:w="2018" w:type="dxa"/>
            <w:vMerge w:val="restart"/>
            <w:shd w:val="clear" w:color="auto" w:fill="auto"/>
          </w:tcPr>
          <w:p w14:paraId="47F9EA26" w14:textId="2FDE8C04" w:rsidR="00861795" w:rsidRPr="001F151E" w:rsidRDefault="00861795" w:rsidP="003472DA">
            <w:pPr>
              <w:pStyle w:val="EcorysBody"/>
              <w:spacing w:line="200" w:lineRule="exact"/>
              <w:rPr>
                <w:rFonts w:ascii="Arial" w:hAnsi="Arial" w:cs="Arial"/>
                <w:b/>
                <w:bCs/>
                <w:sz w:val="16"/>
                <w:szCs w:val="16"/>
              </w:rPr>
            </w:pPr>
            <w:r w:rsidRPr="001F151E">
              <w:rPr>
                <w:rFonts w:ascii="Arial" w:hAnsi="Arial" w:cs="Arial"/>
                <w:b/>
                <w:bCs/>
                <w:sz w:val="16"/>
                <w:szCs w:val="16"/>
              </w:rPr>
              <w:t>M</w:t>
            </w:r>
            <w:r w:rsidR="00CB5AF2">
              <w:rPr>
                <w:rFonts w:ascii="Arial" w:hAnsi="Arial" w:cs="Arial"/>
                <w:b/>
                <w:bCs/>
                <w:sz w:val="16"/>
                <w:szCs w:val="16"/>
              </w:rPr>
              <w:t>asa</w:t>
            </w:r>
            <w:r w:rsidRPr="001F151E">
              <w:rPr>
                <w:rFonts w:ascii="Arial" w:hAnsi="Arial" w:cs="Arial"/>
                <w:b/>
                <w:bCs/>
                <w:sz w:val="16"/>
                <w:szCs w:val="16"/>
              </w:rPr>
              <w:t xml:space="preserve"> 1.</w:t>
            </w:r>
            <w:r w:rsidR="00297283">
              <w:rPr>
                <w:rFonts w:ascii="Arial" w:hAnsi="Arial" w:cs="Arial"/>
                <w:b/>
                <w:bCs/>
                <w:sz w:val="16"/>
                <w:szCs w:val="16"/>
              </w:rPr>
              <w:t>4</w:t>
            </w:r>
            <w:r w:rsidRPr="001F151E">
              <w:rPr>
                <w:rFonts w:ascii="Arial" w:hAnsi="Arial" w:cs="Arial"/>
                <w:b/>
                <w:bCs/>
                <w:sz w:val="16"/>
                <w:szCs w:val="16"/>
              </w:rPr>
              <w:t xml:space="preserve">.1 </w:t>
            </w:r>
          </w:p>
          <w:p w14:paraId="59989F67" w14:textId="10267CBE" w:rsidR="00861795" w:rsidRPr="001F151E" w:rsidRDefault="00CB5AF2" w:rsidP="003472DA">
            <w:pPr>
              <w:pStyle w:val="EcorysBody"/>
              <w:spacing w:line="200" w:lineRule="exact"/>
              <w:rPr>
                <w:rFonts w:ascii="Arial" w:hAnsi="Arial" w:cs="Arial"/>
                <w:sz w:val="16"/>
                <w:szCs w:val="16"/>
              </w:rPr>
            </w:pPr>
            <w:r>
              <w:rPr>
                <w:rFonts w:ascii="Arial" w:hAnsi="Arial" w:cs="Arial"/>
                <w:b/>
                <w:bCs/>
                <w:sz w:val="16"/>
                <w:szCs w:val="16"/>
              </w:rPr>
              <w:t>Krijimi i K</w:t>
            </w:r>
            <w:r w:rsidR="000A70F5">
              <w:rPr>
                <w:rFonts w:ascii="Arial" w:hAnsi="Arial" w:cs="Arial"/>
                <w:b/>
                <w:bCs/>
                <w:sz w:val="16"/>
                <w:szCs w:val="16"/>
              </w:rPr>
              <w:t>ë</w:t>
            </w:r>
            <w:r>
              <w:rPr>
                <w:rFonts w:ascii="Arial" w:hAnsi="Arial" w:cs="Arial"/>
                <w:b/>
                <w:bCs/>
                <w:sz w:val="16"/>
                <w:szCs w:val="16"/>
              </w:rPr>
              <w:t>shillit Fiskal</w:t>
            </w:r>
          </w:p>
        </w:tc>
        <w:tc>
          <w:tcPr>
            <w:tcW w:w="3637" w:type="dxa"/>
          </w:tcPr>
          <w:p w14:paraId="4F2805F6" w14:textId="3E83DB28" w:rsidR="00861795" w:rsidRPr="00AF1126" w:rsidRDefault="005A6681" w:rsidP="00891E24">
            <w:pPr>
              <w:pStyle w:val="ListParagraph"/>
              <w:numPr>
                <w:ilvl w:val="0"/>
                <w:numId w:val="18"/>
              </w:numPr>
              <w:autoSpaceDE w:val="0"/>
              <w:autoSpaceDN w:val="0"/>
              <w:adjustRightInd w:val="0"/>
              <w:spacing w:line="200" w:lineRule="exact"/>
              <w:rPr>
                <w:rFonts w:eastAsia="Times New Roman"/>
                <w:bCs/>
                <w:sz w:val="16"/>
                <w:szCs w:val="16"/>
              </w:rPr>
            </w:pPr>
            <w:r w:rsidRPr="00AF1126">
              <w:rPr>
                <w:sz w:val="16"/>
                <w:szCs w:val="16"/>
              </w:rPr>
              <w:t>P</w:t>
            </w:r>
            <w:r w:rsidR="000A70F5" w:rsidRPr="00AF1126">
              <w:rPr>
                <w:sz w:val="16"/>
                <w:szCs w:val="16"/>
              </w:rPr>
              <w:t>ë</w:t>
            </w:r>
            <w:r w:rsidRPr="00AF1126">
              <w:rPr>
                <w:sz w:val="16"/>
                <w:szCs w:val="16"/>
              </w:rPr>
              <w:t>rgatitja e nj</w:t>
            </w:r>
            <w:r w:rsidR="000A70F5" w:rsidRPr="00AF1126">
              <w:rPr>
                <w:sz w:val="16"/>
                <w:szCs w:val="16"/>
              </w:rPr>
              <w:t>ë</w:t>
            </w:r>
            <w:r w:rsidRPr="00AF1126">
              <w:rPr>
                <w:sz w:val="16"/>
                <w:szCs w:val="16"/>
              </w:rPr>
              <w:t xml:space="preserve"> </w:t>
            </w:r>
            <w:r w:rsidR="00891E24">
              <w:rPr>
                <w:sz w:val="16"/>
                <w:szCs w:val="16"/>
              </w:rPr>
              <w:t>raporti</w:t>
            </w:r>
            <w:r w:rsidRPr="00AF1126">
              <w:rPr>
                <w:sz w:val="16"/>
                <w:szCs w:val="16"/>
              </w:rPr>
              <w:t xml:space="preserve"> me opsione q</w:t>
            </w:r>
            <w:r w:rsidR="000A70F5" w:rsidRPr="00AF1126">
              <w:rPr>
                <w:sz w:val="16"/>
                <w:szCs w:val="16"/>
              </w:rPr>
              <w:t>ë</w:t>
            </w:r>
            <w:r w:rsidRPr="00AF1126">
              <w:rPr>
                <w:sz w:val="16"/>
                <w:szCs w:val="16"/>
              </w:rPr>
              <w:t xml:space="preserve"> paraqet modalitetet e mundshme p</w:t>
            </w:r>
            <w:r w:rsidR="000A70F5" w:rsidRPr="00AF1126">
              <w:rPr>
                <w:sz w:val="16"/>
                <w:szCs w:val="16"/>
              </w:rPr>
              <w:t>ë</w:t>
            </w:r>
            <w:r w:rsidRPr="00AF1126">
              <w:rPr>
                <w:sz w:val="16"/>
                <w:szCs w:val="16"/>
              </w:rPr>
              <w:t>r nj</w:t>
            </w:r>
            <w:r w:rsidR="000A70F5" w:rsidRPr="00AF1126">
              <w:rPr>
                <w:sz w:val="16"/>
                <w:szCs w:val="16"/>
              </w:rPr>
              <w:t>ë</w:t>
            </w:r>
            <w:r w:rsidRPr="00AF1126">
              <w:rPr>
                <w:sz w:val="16"/>
                <w:szCs w:val="16"/>
              </w:rPr>
              <w:t xml:space="preserve"> K</w:t>
            </w:r>
            <w:r w:rsidR="000A70F5" w:rsidRPr="00AF1126">
              <w:rPr>
                <w:sz w:val="16"/>
                <w:szCs w:val="16"/>
              </w:rPr>
              <w:t>ë</w:t>
            </w:r>
            <w:r w:rsidRPr="00AF1126">
              <w:rPr>
                <w:sz w:val="16"/>
                <w:szCs w:val="16"/>
              </w:rPr>
              <w:t>shill Fiskal t</w:t>
            </w:r>
            <w:r w:rsidR="000A70F5" w:rsidRPr="00AF1126">
              <w:rPr>
                <w:sz w:val="16"/>
                <w:szCs w:val="16"/>
              </w:rPr>
              <w:t>ë</w:t>
            </w:r>
            <w:r w:rsidRPr="00AF1126">
              <w:rPr>
                <w:sz w:val="16"/>
                <w:szCs w:val="16"/>
              </w:rPr>
              <w:t xml:space="preserve"> p</w:t>
            </w:r>
            <w:r w:rsidR="000A70F5" w:rsidRPr="00AF1126">
              <w:rPr>
                <w:sz w:val="16"/>
                <w:szCs w:val="16"/>
              </w:rPr>
              <w:t>ë</w:t>
            </w:r>
            <w:r w:rsidRPr="00AF1126">
              <w:rPr>
                <w:sz w:val="16"/>
                <w:szCs w:val="16"/>
              </w:rPr>
              <w:t>rshtatur me kontekstin shqiptar. Identifikimi i opsionit t</w:t>
            </w:r>
            <w:r w:rsidR="000A70F5" w:rsidRPr="00AF1126">
              <w:rPr>
                <w:sz w:val="16"/>
                <w:szCs w:val="16"/>
              </w:rPr>
              <w:t>ë</w:t>
            </w:r>
            <w:r w:rsidRPr="00AF1126">
              <w:rPr>
                <w:sz w:val="16"/>
                <w:szCs w:val="16"/>
              </w:rPr>
              <w:t xml:space="preserve"> preferuar dhe zhvillimi i nj</w:t>
            </w:r>
            <w:r w:rsidR="000A70F5" w:rsidRPr="00AF1126">
              <w:rPr>
                <w:sz w:val="16"/>
                <w:szCs w:val="16"/>
              </w:rPr>
              <w:t>ë</w:t>
            </w:r>
            <w:r w:rsidRPr="00AF1126">
              <w:rPr>
                <w:sz w:val="16"/>
                <w:szCs w:val="16"/>
              </w:rPr>
              <w:t xml:space="preserve"> plani t</w:t>
            </w:r>
            <w:r w:rsidR="000A70F5" w:rsidRPr="00AF1126">
              <w:rPr>
                <w:sz w:val="16"/>
                <w:szCs w:val="16"/>
              </w:rPr>
              <w:t>ë</w:t>
            </w:r>
            <w:r w:rsidRPr="00AF1126">
              <w:rPr>
                <w:sz w:val="16"/>
                <w:szCs w:val="16"/>
              </w:rPr>
              <w:t xml:space="preserve"> kostuar p</w:t>
            </w:r>
            <w:r w:rsidR="000A70F5" w:rsidRPr="00AF1126">
              <w:rPr>
                <w:sz w:val="16"/>
                <w:szCs w:val="16"/>
              </w:rPr>
              <w:t>ë</w:t>
            </w:r>
            <w:r w:rsidRPr="00AF1126">
              <w:rPr>
                <w:sz w:val="16"/>
                <w:szCs w:val="16"/>
              </w:rPr>
              <w:t>r krijimin dhe funksionimin e K</w:t>
            </w:r>
            <w:r w:rsidR="000A70F5" w:rsidRPr="00AF1126">
              <w:rPr>
                <w:sz w:val="16"/>
                <w:szCs w:val="16"/>
              </w:rPr>
              <w:t>ë</w:t>
            </w:r>
            <w:r w:rsidRPr="00AF1126">
              <w:rPr>
                <w:sz w:val="16"/>
                <w:szCs w:val="16"/>
              </w:rPr>
              <w:t>shillit Fiskal</w:t>
            </w:r>
          </w:p>
        </w:tc>
        <w:tc>
          <w:tcPr>
            <w:tcW w:w="794" w:type="dxa"/>
            <w:vAlign w:val="center"/>
          </w:tcPr>
          <w:p w14:paraId="4D799C83" w14:textId="40F58BBE" w:rsidR="00861795" w:rsidRPr="00AF1126" w:rsidRDefault="00AF1126" w:rsidP="003472DA">
            <w:pPr>
              <w:spacing w:line="200" w:lineRule="exact"/>
              <w:jc w:val="center"/>
              <w:rPr>
                <w:sz w:val="16"/>
                <w:szCs w:val="16"/>
              </w:rPr>
            </w:pPr>
            <w:r w:rsidRPr="00AF1126">
              <w:rPr>
                <w:sz w:val="16"/>
                <w:szCs w:val="16"/>
              </w:rPr>
              <w:t>T1 2024</w:t>
            </w:r>
          </w:p>
        </w:tc>
        <w:tc>
          <w:tcPr>
            <w:tcW w:w="794" w:type="dxa"/>
            <w:vAlign w:val="center"/>
          </w:tcPr>
          <w:p w14:paraId="4D7627E1" w14:textId="5A343568" w:rsidR="00861795" w:rsidRPr="00AF1126" w:rsidRDefault="00AF1126" w:rsidP="003472DA">
            <w:pPr>
              <w:spacing w:line="200" w:lineRule="exact"/>
              <w:jc w:val="center"/>
              <w:rPr>
                <w:sz w:val="16"/>
                <w:szCs w:val="16"/>
              </w:rPr>
            </w:pPr>
            <w:r w:rsidRPr="00AF1126">
              <w:rPr>
                <w:sz w:val="16"/>
                <w:szCs w:val="16"/>
              </w:rPr>
              <w:t>T4 2024</w:t>
            </w:r>
          </w:p>
        </w:tc>
        <w:tc>
          <w:tcPr>
            <w:tcW w:w="1773" w:type="dxa"/>
            <w:vMerge w:val="restart"/>
          </w:tcPr>
          <w:p w14:paraId="48E4B7DB" w14:textId="00E6AA00" w:rsidR="00861795" w:rsidRPr="001F151E" w:rsidRDefault="00CB5AF2" w:rsidP="003472DA">
            <w:pPr>
              <w:spacing w:line="200" w:lineRule="exact"/>
              <w:rPr>
                <w:b/>
                <w:bCs/>
                <w:sz w:val="16"/>
                <w:szCs w:val="16"/>
              </w:rPr>
            </w:pPr>
            <w:r>
              <w:rPr>
                <w:b/>
                <w:bCs/>
                <w:sz w:val="16"/>
                <w:szCs w:val="16"/>
              </w:rPr>
              <w:t>Nj</w:t>
            </w:r>
            <w:r w:rsidR="000A70F5">
              <w:rPr>
                <w:b/>
                <w:bCs/>
                <w:sz w:val="16"/>
                <w:szCs w:val="16"/>
              </w:rPr>
              <w:t>ë</w:t>
            </w:r>
            <w:r>
              <w:rPr>
                <w:b/>
                <w:bCs/>
                <w:sz w:val="16"/>
                <w:szCs w:val="16"/>
              </w:rPr>
              <w:t>sit</w:t>
            </w:r>
            <w:r w:rsidR="000A70F5">
              <w:rPr>
                <w:b/>
                <w:bCs/>
                <w:sz w:val="16"/>
                <w:szCs w:val="16"/>
              </w:rPr>
              <w:t>ë</w:t>
            </w:r>
            <w:r>
              <w:rPr>
                <w:b/>
                <w:bCs/>
                <w:sz w:val="16"/>
                <w:szCs w:val="16"/>
              </w:rPr>
              <w:t xml:space="preserve"> p</w:t>
            </w:r>
            <w:r w:rsidR="000A70F5">
              <w:rPr>
                <w:b/>
                <w:bCs/>
                <w:sz w:val="16"/>
                <w:szCs w:val="16"/>
              </w:rPr>
              <w:t>ë</w:t>
            </w:r>
            <w:r>
              <w:rPr>
                <w:b/>
                <w:bCs/>
                <w:sz w:val="16"/>
                <w:szCs w:val="16"/>
              </w:rPr>
              <w:t>rgjegj</w:t>
            </w:r>
            <w:r w:rsidR="000A70F5">
              <w:rPr>
                <w:b/>
                <w:bCs/>
                <w:sz w:val="16"/>
                <w:szCs w:val="16"/>
              </w:rPr>
              <w:t>ë</w:t>
            </w:r>
            <w:r>
              <w:rPr>
                <w:b/>
                <w:bCs/>
                <w:sz w:val="16"/>
                <w:szCs w:val="16"/>
              </w:rPr>
              <w:t>se</w:t>
            </w:r>
            <w:r w:rsidR="00861795" w:rsidRPr="001F151E">
              <w:rPr>
                <w:b/>
                <w:bCs/>
                <w:sz w:val="16"/>
                <w:szCs w:val="16"/>
              </w:rPr>
              <w:t xml:space="preserve">: </w:t>
            </w:r>
          </w:p>
          <w:p w14:paraId="096E3397" w14:textId="66A8C5E3" w:rsidR="00861795" w:rsidRPr="00AF1126" w:rsidRDefault="00AF1126" w:rsidP="003472DA">
            <w:pPr>
              <w:spacing w:line="200" w:lineRule="exact"/>
              <w:rPr>
                <w:sz w:val="16"/>
                <w:szCs w:val="16"/>
              </w:rPr>
            </w:pPr>
            <w:r w:rsidRPr="00AF1126">
              <w:rPr>
                <w:sz w:val="16"/>
                <w:szCs w:val="16"/>
              </w:rPr>
              <w:t>Grupi i punës për ngritjen e Këshillit Fiskal</w:t>
            </w:r>
            <w:r w:rsidR="00861795" w:rsidRPr="00AF1126">
              <w:rPr>
                <w:sz w:val="16"/>
                <w:szCs w:val="16"/>
              </w:rPr>
              <w:t xml:space="preserve"> (</w:t>
            </w:r>
            <w:r>
              <w:rPr>
                <w:sz w:val="16"/>
                <w:szCs w:val="16"/>
              </w:rPr>
              <w:t>l</w:t>
            </w:r>
            <w:r w:rsidR="00CB5AF2" w:rsidRPr="00AF1126">
              <w:rPr>
                <w:sz w:val="16"/>
                <w:szCs w:val="16"/>
              </w:rPr>
              <w:t>ider</w:t>
            </w:r>
            <w:r w:rsidR="00861795" w:rsidRPr="00AF1126">
              <w:rPr>
                <w:sz w:val="16"/>
                <w:szCs w:val="16"/>
              </w:rPr>
              <w:t>)</w:t>
            </w:r>
          </w:p>
          <w:p w14:paraId="63BDD1F7" w14:textId="77777777" w:rsidR="00861795" w:rsidRPr="001F151E" w:rsidRDefault="00861795" w:rsidP="003472DA">
            <w:pPr>
              <w:pStyle w:val="EcorysBody"/>
              <w:spacing w:line="200" w:lineRule="exact"/>
              <w:rPr>
                <w:rFonts w:ascii="Arial" w:hAnsi="Arial" w:cs="Arial"/>
                <w:b/>
                <w:bCs/>
                <w:sz w:val="8"/>
                <w:szCs w:val="8"/>
              </w:rPr>
            </w:pPr>
          </w:p>
          <w:p w14:paraId="042CCDB8" w14:textId="26256F6E" w:rsidR="00861795" w:rsidRPr="001F151E" w:rsidRDefault="00CB5AF2" w:rsidP="003472DA">
            <w:pPr>
              <w:pStyle w:val="EcorysBody"/>
              <w:spacing w:line="200" w:lineRule="exact"/>
              <w:rPr>
                <w:rFonts w:ascii="Arial" w:hAnsi="Arial" w:cs="Arial"/>
                <w:b/>
                <w:bCs/>
                <w:sz w:val="16"/>
                <w:szCs w:val="16"/>
              </w:rPr>
            </w:pPr>
            <w:r>
              <w:rPr>
                <w:rFonts w:ascii="Arial" w:hAnsi="Arial" w:cs="Arial"/>
                <w:b/>
                <w:bCs/>
                <w:sz w:val="16"/>
                <w:szCs w:val="16"/>
              </w:rPr>
              <w:t>Partner</w:t>
            </w:r>
            <w:r w:rsidR="000A70F5">
              <w:rPr>
                <w:rFonts w:ascii="Arial" w:hAnsi="Arial" w:cs="Arial"/>
                <w:b/>
                <w:bCs/>
                <w:sz w:val="16"/>
                <w:szCs w:val="16"/>
              </w:rPr>
              <w:t>ë</w:t>
            </w:r>
            <w:r>
              <w:rPr>
                <w:rFonts w:ascii="Arial" w:hAnsi="Arial" w:cs="Arial"/>
                <w:b/>
                <w:bCs/>
                <w:sz w:val="16"/>
                <w:szCs w:val="16"/>
              </w:rPr>
              <w:t>t</w:t>
            </w:r>
            <w:r w:rsidR="00861795" w:rsidRPr="001F151E">
              <w:rPr>
                <w:rFonts w:ascii="Arial" w:hAnsi="Arial" w:cs="Arial"/>
                <w:b/>
                <w:bCs/>
                <w:sz w:val="16"/>
                <w:szCs w:val="16"/>
              </w:rPr>
              <w:t>:</w:t>
            </w:r>
          </w:p>
          <w:p w14:paraId="4308C2EA" w14:textId="29EA1B22" w:rsidR="00861795" w:rsidRPr="001F151E" w:rsidRDefault="00F006E3" w:rsidP="00AF1126">
            <w:pPr>
              <w:pStyle w:val="EcorysBody"/>
              <w:spacing w:line="200" w:lineRule="exact"/>
              <w:rPr>
                <w:sz w:val="16"/>
                <w:szCs w:val="16"/>
              </w:rPr>
            </w:pPr>
            <w:r w:rsidRPr="00F006E3">
              <w:rPr>
                <w:sz w:val="16"/>
                <w:szCs w:val="16"/>
              </w:rPr>
              <w:t>BB/</w:t>
            </w:r>
            <w:r w:rsidR="00AE4679" w:rsidRPr="00F006E3">
              <w:rPr>
                <w:sz w:val="16"/>
                <w:szCs w:val="16"/>
              </w:rPr>
              <w:t>Regional EU Trust Fund</w:t>
            </w:r>
          </w:p>
        </w:tc>
      </w:tr>
      <w:tr w:rsidR="00861795" w:rsidRPr="001F151E" w14:paraId="56197A02" w14:textId="77777777" w:rsidTr="003472DA">
        <w:trPr>
          <w:trHeight w:val="20"/>
        </w:trPr>
        <w:tc>
          <w:tcPr>
            <w:tcW w:w="2018" w:type="dxa"/>
            <w:vMerge/>
            <w:shd w:val="clear" w:color="auto" w:fill="auto"/>
          </w:tcPr>
          <w:p w14:paraId="7009C363" w14:textId="77777777" w:rsidR="00861795" w:rsidRPr="001F151E" w:rsidRDefault="00861795" w:rsidP="00897DDC">
            <w:pPr>
              <w:pStyle w:val="EcorysBody"/>
              <w:numPr>
                <w:ilvl w:val="0"/>
                <w:numId w:val="17"/>
              </w:numPr>
              <w:spacing w:line="200" w:lineRule="exact"/>
              <w:rPr>
                <w:rFonts w:ascii="Arial" w:hAnsi="Arial" w:cs="Arial"/>
                <w:sz w:val="16"/>
                <w:szCs w:val="16"/>
              </w:rPr>
            </w:pPr>
          </w:p>
        </w:tc>
        <w:tc>
          <w:tcPr>
            <w:tcW w:w="3637" w:type="dxa"/>
          </w:tcPr>
          <w:p w14:paraId="4199B03D" w14:textId="637B7275" w:rsidR="00861795" w:rsidRPr="00AF1126" w:rsidRDefault="005A6681" w:rsidP="00897DDC">
            <w:pPr>
              <w:pStyle w:val="ListParagraph"/>
              <w:numPr>
                <w:ilvl w:val="0"/>
                <w:numId w:val="18"/>
              </w:numPr>
              <w:autoSpaceDE w:val="0"/>
              <w:autoSpaceDN w:val="0"/>
              <w:adjustRightInd w:val="0"/>
              <w:spacing w:line="200" w:lineRule="exact"/>
              <w:rPr>
                <w:rFonts w:eastAsia="Times New Roman"/>
                <w:bCs/>
                <w:sz w:val="16"/>
                <w:szCs w:val="16"/>
              </w:rPr>
            </w:pPr>
            <w:r w:rsidRPr="00AF1126">
              <w:rPr>
                <w:sz w:val="16"/>
                <w:szCs w:val="16"/>
              </w:rPr>
              <w:t>P</w:t>
            </w:r>
            <w:r w:rsidR="000A70F5" w:rsidRPr="00AF1126">
              <w:rPr>
                <w:sz w:val="16"/>
                <w:szCs w:val="16"/>
              </w:rPr>
              <w:t>ë</w:t>
            </w:r>
            <w:r w:rsidRPr="00AF1126">
              <w:rPr>
                <w:sz w:val="16"/>
                <w:szCs w:val="16"/>
              </w:rPr>
              <w:t>rgatitja dhe zbatimi i ndryshimeve t</w:t>
            </w:r>
            <w:r w:rsidR="000A70F5" w:rsidRPr="00AF1126">
              <w:rPr>
                <w:sz w:val="16"/>
                <w:szCs w:val="16"/>
              </w:rPr>
              <w:t>ë</w:t>
            </w:r>
            <w:r w:rsidRPr="00AF1126">
              <w:rPr>
                <w:sz w:val="16"/>
                <w:szCs w:val="16"/>
              </w:rPr>
              <w:t xml:space="preserve"> nevojshme n</w:t>
            </w:r>
            <w:r w:rsidR="000A70F5" w:rsidRPr="00AF1126">
              <w:rPr>
                <w:sz w:val="16"/>
                <w:szCs w:val="16"/>
              </w:rPr>
              <w:t>ë</w:t>
            </w:r>
            <w:r w:rsidRPr="00AF1126">
              <w:rPr>
                <w:sz w:val="16"/>
                <w:szCs w:val="16"/>
              </w:rPr>
              <w:t xml:space="preserve"> legjislacionin</w:t>
            </w:r>
            <w:r w:rsidR="00891E24">
              <w:rPr>
                <w:sz w:val="16"/>
                <w:szCs w:val="16"/>
              </w:rPr>
              <w:t xml:space="preserve"> </w:t>
            </w:r>
            <w:r w:rsidRPr="00AF1126">
              <w:rPr>
                <w:sz w:val="16"/>
                <w:szCs w:val="16"/>
              </w:rPr>
              <w:t>p</w:t>
            </w:r>
            <w:r w:rsidR="000A70F5" w:rsidRPr="00AF1126">
              <w:rPr>
                <w:sz w:val="16"/>
                <w:szCs w:val="16"/>
              </w:rPr>
              <w:t>ë</w:t>
            </w:r>
            <w:r w:rsidRPr="00AF1126">
              <w:rPr>
                <w:sz w:val="16"/>
                <w:szCs w:val="16"/>
              </w:rPr>
              <w:t>rkat</w:t>
            </w:r>
            <w:r w:rsidR="000A70F5" w:rsidRPr="00AF1126">
              <w:rPr>
                <w:sz w:val="16"/>
                <w:szCs w:val="16"/>
              </w:rPr>
              <w:t>ë</w:t>
            </w:r>
            <w:r w:rsidRPr="00AF1126">
              <w:rPr>
                <w:sz w:val="16"/>
                <w:szCs w:val="16"/>
              </w:rPr>
              <w:t>s duke p</w:t>
            </w:r>
            <w:r w:rsidR="000A70F5" w:rsidRPr="00AF1126">
              <w:rPr>
                <w:sz w:val="16"/>
                <w:szCs w:val="16"/>
              </w:rPr>
              <w:t>ë</w:t>
            </w:r>
            <w:r w:rsidRPr="00AF1126">
              <w:rPr>
                <w:sz w:val="16"/>
                <w:szCs w:val="16"/>
              </w:rPr>
              <w:t>rfshir</w:t>
            </w:r>
            <w:r w:rsidR="000A70F5" w:rsidRPr="00AF1126">
              <w:rPr>
                <w:sz w:val="16"/>
                <w:szCs w:val="16"/>
              </w:rPr>
              <w:t>ë</w:t>
            </w:r>
            <w:r w:rsidRPr="00AF1126">
              <w:rPr>
                <w:sz w:val="16"/>
                <w:szCs w:val="16"/>
              </w:rPr>
              <w:t xml:space="preserve"> nj</w:t>
            </w:r>
            <w:r w:rsidR="000A70F5" w:rsidRPr="00AF1126">
              <w:rPr>
                <w:sz w:val="16"/>
                <w:szCs w:val="16"/>
              </w:rPr>
              <w:t>ë</w:t>
            </w:r>
            <w:r w:rsidRPr="00AF1126">
              <w:rPr>
                <w:sz w:val="16"/>
                <w:szCs w:val="16"/>
              </w:rPr>
              <w:t xml:space="preserve"> akt n</w:t>
            </w:r>
            <w:r w:rsidR="000A70F5" w:rsidRPr="00AF1126">
              <w:rPr>
                <w:sz w:val="16"/>
                <w:szCs w:val="16"/>
              </w:rPr>
              <w:t>ë</w:t>
            </w:r>
            <w:r w:rsidRPr="00AF1126">
              <w:rPr>
                <w:sz w:val="16"/>
                <w:szCs w:val="16"/>
              </w:rPr>
              <w:t>nligjor p</w:t>
            </w:r>
            <w:r w:rsidR="000A70F5" w:rsidRPr="00AF1126">
              <w:rPr>
                <w:sz w:val="16"/>
                <w:szCs w:val="16"/>
              </w:rPr>
              <w:t>ë</w:t>
            </w:r>
            <w:r w:rsidRPr="00AF1126">
              <w:rPr>
                <w:sz w:val="16"/>
                <w:szCs w:val="16"/>
              </w:rPr>
              <w:t>r funksionimin e K</w:t>
            </w:r>
            <w:r w:rsidR="000A70F5" w:rsidRPr="00AF1126">
              <w:rPr>
                <w:sz w:val="16"/>
                <w:szCs w:val="16"/>
              </w:rPr>
              <w:t>ë</w:t>
            </w:r>
            <w:r w:rsidRPr="00AF1126">
              <w:rPr>
                <w:sz w:val="16"/>
                <w:szCs w:val="16"/>
              </w:rPr>
              <w:t>shillit Fiskal</w:t>
            </w:r>
          </w:p>
        </w:tc>
        <w:tc>
          <w:tcPr>
            <w:tcW w:w="794" w:type="dxa"/>
            <w:vAlign w:val="center"/>
          </w:tcPr>
          <w:p w14:paraId="400AF6FE" w14:textId="26A7ABD8" w:rsidR="00861795" w:rsidRPr="00AF1126" w:rsidRDefault="00AF1126" w:rsidP="00AF1126">
            <w:pPr>
              <w:spacing w:line="200" w:lineRule="exact"/>
              <w:jc w:val="center"/>
              <w:rPr>
                <w:sz w:val="16"/>
                <w:szCs w:val="16"/>
              </w:rPr>
            </w:pPr>
            <w:r w:rsidRPr="00AF1126">
              <w:rPr>
                <w:sz w:val="16"/>
                <w:szCs w:val="16"/>
              </w:rPr>
              <w:t>T1 2025</w:t>
            </w:r>
          </w:p>
        </w:tc>
        <w:tc>
          <w:tcPr>
            <w:tcW w:w="794" w:type="dxa"/>
            <w:vAlign w:val="center"/>
          </w:tcPr>
          <w:p w14:paraId="7FB23826" w14:textId="3FDBB06D" w:rsidR="00861795" w:rsidRPr="00AF1126" w:rsidRDefault="00AF1126" w:rsidP="003472DA">
            <w:pPr>
              <w:spacing w:line="200" w:lineRule="exact"/>
              <w:jc w:val="center"/>
              <w:rPr>
                <w:sz w:val="16"/>
                <w:szCs w:val="16"/>
              </w:rPr>
            </w:pPr>
            <w:r w:rsidRPr="00AF1126">
              <w:rPr>
                <w:sz w:val="16"/>
                <w:szCs w:val="16"/>
              </w:rPr>
              <w:t>T4 2024</w:t>
            </w:r>
          </w:p>
        </w:tc>
        <w:tc>
          <w:tcPr>
            <w:tcW w:w="1773" w:type="dxa"/>
            <w:vMerge/>
          </w:tcPr>
          <w:p w14:paraId="73210DC0" w14:textId="77777777" w:rsidR="00861795" w:rsidRPr="001F151E" w:rsidRDefault="00861795" w:rsidP="003472DA">
            <w:pPr>
              <w:spacing w:line="200" w:lineRule="exact"/>
              <w:rPr>
                <w:sz w:val="16"/>
                <w:szCs w:val="16"/>
              </w:rPr>
            </w:pPr>
          </w:p>
        </w:tc>
      </w:tr>
      <w:tr w:rsidR="00861795" w:rsidRPr="001F151E" w14:paraId="3D4766C9" w14:textId="77777777" w:rsidTr="003472DA">
        <w:trPr>
          <w:trHeight w:val="20"/>
        </w:trPr>
        <w:tc>
          <w:tcPr>
            <w:tcW w:w="2018" w:type="dxa"/>
            <w:vMerge/>
            <w:shd w:val="clear" w:color="auto" w:fill="auto"/>
          </w:tcPr>
          <w:p w14:paraId="2A6A70ED" w14:textId="77777777" w:rsidR="00861795" w:rsidRPr="001F151E" w:rsidRDefault="00861795" w:rsidP="00897DDC">
            <w:pPr>
              <w:pStyle w:val="EcorysBody"/>
              <w:numPr>
                <w:ilvl w:val="0"/>
                <w:numId w:val="17"/>
              </w:numPr>
              <w:spacing w:line="200" w:lineRule="exact"/>
              <w:rPr>
                <w:rFonts w:ascii="Arial" w:hAnsi="Arial" w:cs="Arial"/>
                <w:sz w:val="16"/>
                <w:szCs w:val="16"/>
              </w:rPr>
            </w:pPr>
          </w:p>
        </w:tc>
        <w:tc>
          <w:tcPr>
            <w:tcW w:w="3637" w:type="dxa"/>
          </w:tcPr>
          <w:p w14:paraId="507AF18A" w14:textId="4EFA32E4" w:rsidR="00861795" w:rsidRPr="00AF1126" w:rsidRDefault="005A6681" w:rsidP="00AF1126">
            <w:pPr>
              <w:pStyle w:val="ListParagraph"/>
              <w:numPr>
                <w:ilvl w:val="0"/>
                <w:numId w:val="18"/>
              </w:numPr>
              <w:autoSpaceDE w:val="0"/>
              <w:autoSpaceDN w:val="0"/>
              <w:adjustRightInd w:val="0"/>
              <w:spacing w:line="200" w:lineRule="exact"/>
              <w:rPr>
                <w:rFonts w:eastAsia="Times New Roman"/>
                <w:bCs/>
                <w:sz w:val="16"/>
                <w:szCs w:val="16"/>
              </w:rPr>
            </w:pPr>
            <w:r w:rsidRPr="00AF1126">
              <w:rPr>
                <w:rFonts w:eastAsia="Times New Roman"/>
                <w:bCs/>
                <w:sz w:val="16"/>
                <w:szCs w:val="16"/>
              </w:rPr>
              <w:t>Krijimi i K</w:t>
            </w:r>
            <w:r w:rsidR="000A70F5" w:rsidRPr="00AF1126">
              <w:rPr>
                <w:rFonts w:eastAsia="Times New Roman"/>
                <w:bCs/>
                <w:sz w:val="16"/>
                <w:szCs w:val="16"/>
              </w:rPr>
              <w:t>ë</w:t>
            </w:r>
            <w:r w:rsidRPr="00AF1126">
              <w:rPr>
                <w:rFonts w:eastAsia="Times New Roman"/>
                <w:bCs/>
                <w:sz w:val="16"/>
                <w:szCs w:val="16"/>
              </w:rPr>
              <w:t>shillit Fiskal</w:t>
            </w:r>
          </w:p>
        </w:tc>
        <w:tc>
          <w:tcPr>
            <w:tcW w:w="794" w:type="dxa"/>
            <w:vAlign w:val="center"/>
          </w:tcPr>
          <w:p w14:paraId="179112E0" w14:textId="7C57093B" w:rsidR="00861795" w:rsidRPr="00AF1126" w:rsidRDefault="00AF1126" w:rsidP="003472DA">
            <w:pPr>
              <w:spacing w:line="200" w:lineRule="exact"/>
              <w:jc w:val="center"/>
              <w:rPr>
                <w:sz w:val="16"/>
                <w:szCs w:val="16"/>
              </w:rPr>
            </w:pPr>
            <w:r w:rsidRPr="00AF1126">
              <w:rPr>
                <w:sz w:val="16"/>
                <w:szCs w:val="16"/>
              </w:rPr>
              <w:t>T1 2026</w:t>
            </w:r>
          </w:p>
        </w:tc>
        <w:tc>
          <w:tcPr>
            <w:tcW w:w="794" w:type="dxa"/>
            <w:vAlign w:val="center"/>
          </w:tcPr>
          <w:p w14:paraId="338DE9C0" w14:textId="15BC8EDA" w:rsidR="00861795" w:rsidRPr="00AF1126" w:rsidRDefault="00AF1126" w:rsidP="003472DA">
            <w:pPr>
              <w:spacing w:line="200" w:lineRule="exact"/>
              <w:jc w:val="center"/>
              <w:rPr>
                <w:sz w:val="16"/>
                <w:szCs w:val="16"/>
              </w:rPr>
            </w:pPr>
            <w:r w:rsidRPr="00AF1126">
              <w:rPr>
                <w:sz w:val="16"/>
                <w:szCs w:val="16"/>
              </w:rPr>
              <w:t>T4 2026</w:t>
            </w:r>
          </w:p>
        </w:tc>
        <w:tc>
          <w:tcPr>
            <w:tcW w:w="1773" w:type="dxa"/>
            <w:vMerge/>
          </w:tcPr>
          <w:p w14:paraId="664D4470" w14:textId="77777777" w:rsidR="00861795" w:rsidRPr="001F151E" w:rsidRDefault="00861795" w:rsidP="003472DA">
            <w:pPr>
              <w:spacing w:line="200" w:lineRule="exact"/>
              <w:rPr>
                <w:sz w:val="16"/>
                <w:szCs w:val="16"/>
              </w:rPr>
            </w:pPr>
          </w:p>
        </w:tc>
      </w:tr>
    </w:tbl>
    <w:p w14:paraId="773F0EA6" w14:textId="77777777" w:rsidR="00861795" w:rsidRPr="001F151E" w:rsidRDefault="00861795" w:rsidP="00861795">
      <w:pPr>
        <w:rPr>
          <w:lang w:val="en-GB"/>
        </w:rPr>
      </w:pPr>
    </w:p>
    <w:p w14:paraId="4921EA25" w14:textId="53D1C4A5" w:rsidR="00861795" w:rsidRPr="009D660E" w:rsidRDefault="005A6681" w:rsidP="00861795">
      <w:pPr>
        <w:pStyle w:val="H5"/>
        <w:rPr>
          <w:lang w:val="it-IT"/>
        </w:rPr>
      </w:pPr>
      <w:r w:rsidRPr="009D660E">
        <w:rPr>
          <w:lang w:val="it-IT"/>
        </w:rPr>
        <w:t>Treguesit e performanc</w:t>
      </w:r>
      <w:r w:rsidR="000A70F5" w:rsidRPr="009D660E">
        <w:rPr>
          <w:lang w:val="it-IT"/>
        </w:rPr>
        <w:t>ë</w:t>
      </w:r>
      <w:r w:rsidRPr="009D660E">
        <w:rPr>
          <w:lang w:val="it-IT"/>
        </w:rPr>
        <w:t>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861795" w:rsidRPr="001F151E" w14:paraId="016AAD5B" w14:textId="77777777" w:rsidTr="003472DA">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206063" w14:textId="0BDF6EA9" w:rsidR="00861795" w:rsidRPr="001F151E" w:rsidRDefault="00882E42" w:rsidP="003472DA">
            <w:pPr>
              <w:pStyle w:val="T-bold"/>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E92BA" w14:textId="73D3A34B" w:rsidR="00861795" w:rsidRPr="001F151E" w:rsidRDefault="00882E42" w:rsidP="00882E42">
            <w:pPr>
              <w:pStyle w:val="T-bold"/>
              <w:jc w:val="center"/>
            </w:pPr>
            <w:r>
              <w:t>Vlera baz</w:t>
            </w:r>
            <w:r w:rsidR="000A70F5">
              <w:t>ë</w:t>
            </w:r>
            <w:r>
              <w:t xml:space="preserve"> (viti</w:t>
            </w:r>
            <w:r w:rsidR="00861795"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FBE77" w14:textId="2E58FC45" w:rsidR="00861795" w:rsidRPr="001F151E" w:rsidRDefault="00882E42" w:rsidP="00882E42">
            <w:pPr>
              <w:pStyle w:val="T-bold"/>
              <w:jc w:val="center"/>
            </w:pPr>
            <w:r>
              <w:t>Vlera e synuar</w:t>
            </w:r>
          </w:p>
        </w:tc>
      </w:tr>
      <w:tr w:rsidR="00861795" w:rsidRPr="001F151E" w14:paraId="76916568" w14:textId="77777777" w:rsidTr="003472DA">
        <w:tc>
          <w:tcPr>
            <w:tcW w:w="3114" w:type="dxa"/>
            <w:vMerge/>
            <w:tcBorders>
              <w:top w:val="single" w:sz="4" w:space="0" w:color="auto"/>
              <w:left w:val="single" w:sz="4" w:space="0" w:color="auto"/>
              <w:bottom w:val="single" w:sz="4" w:space="0" w:color="auto"/>
              <w:right w:val="single" w:sz="4" w:space="0" w:color="auto"/>
            </w:tcBorders>
            <w:vAlign w:val="center"/>
            <w:hideMark/>
          </w:tcPr>
          <w:p w14:paraId="74893287" w14:textId="77777777" w:rsidR="00861795" w:rsidRPr="001F151E" w:rsidRDefault="00861795" w:rsidP="003472DA">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E646745" w14:textId="77777777" w:rsidR="00861795" w:rsidRPr="001F151E" w:rsidRDefault="00861795" w:rsidP="003472DA">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DA9B9A" w14:textId="77777777" w:rsidR="00861795" w:rsidRPr="001F151E" w:rsidRDefault="00861795" w:rsidP="003472DA">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906578" w14:textId="77777777" w:rsidR="00861795" w:rsidRPr="001F151E" w:rsidRDefault="00861795" w:rsidP="003472DA">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91969E" w14:textId="77777777" w:rsidR="00861795" w:rsidRPr="001F151E" w:rsidRDefault="00861795" w:rsidP="003472DA">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4C060F" w14:textId="77777777" w:rsidR="00861795" w:rsidRPr="001F151E" w:rsidRDefault="00861795" w:rsidP="003472DA">
            <w:pPr>
              <w:pStyle w:val="T-bold"/>
              <w:jc w:val="center"/>
            </w:pPr>
            <w:r w:rsidRPr="001F151E">
              <w:t>2026</w:t>
            </w:r>
          </w:p>
        </w:tc>
      </w:tr>
      <w:tr w:rsidR="00861795" w:rsidRPr="001F151E" w14:paraId="4D1107F8" w14:textId="77777777" w:rsidTr="003472DA">
        <w:tc>
          <w:tcPr>
            <w:tcW w:w="3114" w:type="dxa"/>
            <w:tcBorders>
              <w:top w:val="single" w:sz="4" w:space="0" w:color="auto"/>
              <w:left w:val="single" w:sz="4" w:space="0" w:color="auto"/>
              <w:bottom w:val="single" w:sz="4" w:space="0" w:color="auto"/>
              <w:right w:val="single" w:sz="4" w:space="0" w:color="auto"/>
            </w:tcBorders>
          </w:tcPr>
          <w:p w14:paraId="42EC3F91" w14:textId="57208CAE" w:rsidR="00861795" w:rsidRPr="001F151E" w:rsidRDefault="00C3643C" w:rsidP="00CD7428">
            <w:pPr>
              <w:pStyle w:val="ListParagraph"/>
              <w:numPr>
                <w:ilvl w:val="0"/>
                <w:numId w:val="92"/>
              </w:numPr>
              <w:rPr>
                <w:sz w:val="16"/>
                <w:szCs w:val="16"/>
              </w:rPr>
            </w:pPr>
            <w:r>
              <w:rPr>
                <w:sz w:val="16"/>
                <w:szCs w:val="16"/>
              </w:rPr>
              <w:t>Krijimi i K</w:t>
            </w:r>
            <w:r w:rsidR="000A70F5">
              <w:rPr>
                <w:sz w:val="16"/>
                <w:szCs w:val="16"/>
              </w:rPr>
              <w:t>ë</w:t>
            </w:r>
            <w:r>
              <w:rPr>
                <w:sz w:val="16"/>
                <w:szCs w:val="16"/>
              </w:rPr>
              <w:t>shillit Fiskal</w:t>
            </w:r>
          </w:p>
        </w:tc>
        <w:tc>
          <w:tcPr>
            <w:tcW w:w="1180" w:type="dxa"/>
            <w:tcBorders>
              <w:top w:val="single" w:sz="4" w:space="0" w:color="auto"/>
              <w:left w:val="single" w:sz="4" w:space="0" w:color="auto"/>
              <w:bottom w:val="single" w:sz="4" w:space="0" w:color="auto"/>
              <w:right w:val="single" w:sz="4" w:space="0" w:color="auto"/>
            </w:tcBorders>
            <w:vAlign w:val="center"/>
          </w:tcPr>
          <w:p w14:paraId="7C4F7005" w14:textId="77777777" w:rsidR="00861795" w:rsidRPr="001F151E" w:rsidRDefault="00861795" w:rsidP="003472DA">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0E896190" w14:textId="77777777" w:rsidR="00861795" w:rsidRPr="001F151E" w:rsidRDefault="00861795" w:rsidP="003472DA">
            <w:pPr>
              <w:pStyle w:val="EcorysBody"/>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tcPr>
          <w:p w14:paraId="47707A99" w14:textId="3FC3D677" w:rsidR="00861795" w:rsidRPr="00AF1126" w:rsidRDefault="00C3643C" w:rsidP="00891E24">
            <w:pPr>
              <w:pStyle w:val="T-normal"/>
              <w:jc w:val="center"/>
            </w:pPr>
            <w:r w:rsidRPr="00AF1126">
              <w:t>P</w:t>
            </w:r>
            <w:r w:rsidR="000A70F5" w:rsidRPr="00AF1126">
              <w:t>ë</w:t>
            </w:r>
            <w:r w:rsidRPr="00AF1126">
              <w:t xml:space="preserve">rgatitja e </w:t>
            </w:r>
            <w:r w:rsidR="00891E24">
              <w:t>raportit</w:t>
            </w:r>
            <w:r w:rsidRPr="00AF1126">
              <w:t xml:space="preserve"> me opsionet mbi K</w:t>
            </w:r>
            <w:r w:rsidR="000A70F5" w:rsidRPr="00AF1126">
              <w:t>ë</w:t>
            </w:r>
            <w:r w:rsidRPr="00AF1126">
              <w:t>shillin Fiskal</w:t>
            </w:r>
          </w:p>
        </w:tc>
        <w:tc>
          <w:tcPr>
            <w:tcW w:w="1181" w:type="dxa"/>
            <w:tcBorders>
              <w:top w:val="single" w:sz="4" w:space="0" w:color="auto"/>
              <w:left w:val="single" w:sz="4" w:space="0" w:color="auto"/>
              <w:bottom w:val="single" w:sz="4" w:space="0" w:color="auto"/>
              <w:right w:val="single" w:sz="4" w:space="0" w:color="auto"/>
            </w:tcBorders>
          </w:tcPr>
          <w:p w14:paraId="411C1CA5" w14:textId="0C8CF8DE" w:rsidR="00861795" w:rsidRPr="00AF1126" w:rsidRDefault="00EF67B4" w:rsidP="003472DA">
            <w:pPr>
              <w:pStyle w:val="T-normal"/>
              <w:jc w:val="center"/>
            </w:pPr>
            <w:r>
              <w:t>Hartimi i</w:t>
            </w:r>
            <w:r w:rsidR="00C3643C" w:rsidRPr="00AF1126">
              <w:t xml:space="preserve"> kuadrit ligjor t</w:t>
            </w:r>
            <w:r w:rsidR="000A70F5" w:rsidRPr="00AF1126">
              <w:t>ë</w:t>
            </w:r>
            <w:r w:rsidR="00C3643C" w:rsidRPr="00AF1126">
              <w:t xml:space="preserve"> K</w:t>
            </w:r>
            <w:r w:rsidR="000A70F5" w:rsidRPr="00AF1126">
              <w:t>ë</w:t>
            </w:r>
            <w:r w:rsidR="00C3643C" w:rsidRPr="00AF1126">
              <w:t>shillit Fiskal</w:t>
            </w:r>
          </w:p>
        </w:tc>
        <w:tc>
          <w:tcPr>
            <w:tcW w:w="1181" w:type="dxa"/>
            <w:tcBorders>
              <w:top w:val="single" w:sz="4" w:space="0" w:color="auto"/>
              <w:left w:val="single" w:sz="4" w:space="0" w:color="auto"/>
              <w:bottom w:val="single" w:sz="4" w:space="0" w:color="auto"/>
              <w:right w:val="single" w:sz="4" w:space="0" w:color="auto"/>
            </w:tcBorders>
          </w:tcPr>
          <w:p w14:paraId="6E83B058" w14:textId="566F880A" w:rsidR="00861795" w:rsidRPr="00AF1126" w:rsidRDefault="00EF67B4" w:rsidP="003472DA">
            <w:pPr>
              <w:pStyle w:val="T-normal"/>
              <w:jc w:val="center"/>
            </w:pPr>
            <w:r>
              <w:t>Miratimi i</w:t>
            </w:r>
            <w:r w:rsidRPr="00AF1126">
              <w:t xml:space="preserve"> kuadrit ligjor të Këshillit Fiskal</w:t>
            </w:r>
          </w:p>
        </w:tc>
      </w:tr>
    </w:tbl>
    <w:p w14:paraId="0CDB011D" w14:textId="77777777" w:rsidR="00C3643C" w:rsidRDefault="00C3643C" w:rsidP="00C3643C">
      <w:pPr>
        <w:pStyle w:val="Heading1"/>
        <w:numPr>
          <w:ilvl w:val="0"/>
          <w:numId w:val="0"/>
        </w:numPr>
        <w:ind w:left="432"/>
        <w:rPr>
          <w:rStyle w:val="IntenseReference"/>
          <w:rFonts w:eastAsiaTheme="majorEastAsia" w:cstheme="majorBidi"/>
          <w:i w:val="0"/>
          <w:sz w:val="26"/>
          <w:szCs w:val="26"/>
          <w:lang w:val="en-GB"/>
        </w:rPr>
      </w:pPr>
    </w:p>
    <w:p w14:paraId="48C67FDD" w14:textId="77777777" w:rsidR="00C3643C" w:rsidRDefault="00C3643C" w:rsidP="00C3643C">
      <w:pPr>
        <w:pStyle w:val="Heading1"/>
        <w:numPr>
          <w:ilvl w:val="0"/>
          <w:numId w:val="0"/>
        </w:numPr>
        <w:rPr>
          <w:rStyle w:val="IntenseReference"/>
          <w:rFonts w:eastAsiaTheme="majorEastAsia" w:cstheme="majorBidi"/>
          <w:i w:val="0"/>
          <w:sz w:val="26"/>
          <w:szCs w:val="26"/>
          <w:lang w:val="en-GB"/>
        </w:rPr>
      </w:pPr>
    </w:p>
    <w:p w14:paraId="52D66C19" w14:textId="3359CD9E" w:rsidR="003D4676" w:rsidRPr="009D660E" w:rsidRDefault="00C3643C" w:rsidP="003D4676">
      <w:pPr>
        <w:pStyle w:val="Heading1"/>
        <w:rPr>
          <w:rStyle w:val="IntenseReference"/>
          <w:rFonts w:eastAsiaTheme="majorEastAsia" w:cstheme="majorBidi"/>
          <w:i w:val="0"/>
          <w:sz w:val="26"/>
          <w:szCs w:val="26"/>
          <w:lang w:val="it-IT"/>
        </w:rPr>
      </w:pPr>
      <w:bookmarkStart w:id="18" w:name="_Toc161748811"/>
      <w:r w:rsidRPr="009D660E">
        <w:rPr>
          <w:rStyle w:val="IntenseReference"/>
          <w:rFonts w:eastAsiaTheme="majorEastAsia" w:cstheme="majorBidi"/>
          <w:i w:val="0"/>
          <w:sz w:val="26"/>
          <w:szCs w:val="26"/>
          <w:lang w:val="it-IT"/>
        </w:rPr>
        <w:t>Shtylla</w:t>
      </w:r>
      <w:r w:rsidR="003D4676" w:rsidRPr="009D660E">
        <w:rPr>
          <w:rStyle w:val="IntenseReference"/>
          <w:rFonts w:eastAsiaTheme="majorEastAsia" w:cstheme="majorBidi"/>
          <w:i w:val="0"/>
          <w:sz w:val="26"/>
          <w:szCs w:val="26"/>
          <w:lang w:val="it-IT"/>
        </w:rPr>
        <w:t xml:space="preserve"> </w:t>
      </w:r>
      <w:r w:rsidR="003779B6" w:rsidRPr="009D660E">
        <w:rPr>
          <w:rStyle w:val="IntenseReference"/>
          <w:rFonts w:eastAsiaTheme="majorEastAsia" w:cstheme="majorBidi"/>
          <w:i w:val="0"/>
          <w:sz w:val="26"/>
          <w:szCs w:val="26"/>
          <w:lang w:val="it-IT"/>
        </w:rPr>
        <w:t>2</w:t>
      </w:r>
      <w:r w:rsidR="003D4676" w:rsidRPr="009D660E">
        <w:rPr>
          <w:rStyle w:val="IntenseReference"/>
          <w:rFonts w:eastAsiaTheme="majorEastAsia" w:cstheme="majorBidi"/>
          <w:i w:val="0"/>
          <w:sz w:val="26"/>
          <w:szCs w:val="26"/>
          <w:lang w:val="it-IT"/>
        </w:rPr>
        <w:t xml:space="preserve"> </w:t>
      </w:r>
      <w:r w:rsidR="00057806" w:rsidRPr="009D660E">
        <w:rPr>
          <w:rStyle w:val="IntenseReference"/>
          <w:rFonts w:eastAsiaTheme="majorEastAsia" w:cstheme="majorBidi"/>
          <w:i w:val="0"/>
          <w:sz w:val="26"/>
          <w:szCs w:val="26"/>
          <w:lang w:val="it-IT"/>
        </w:rPr>
        <w:t>Planifikimi i integruar strategjik dhe buxhetor, monitorimi dhe raportimi transparent</w:t>
      </w:r>
      <w:bookmarkEnd w:id="18"/>
    </w:p>
    <w:p w14:paraId="55C6B1E9" w14:textId="77777777" w:rsidR="003D4676" w:rsidRPr="009D660E" w:rsidRDefault="003D4676" w:rsidP="00375486">
      <w:pPr>
        <w:rPr>
          <w:rStyle w:val="IntenseReference"/>
          <w:rFonts w:eastAsiaTheme="majorEastAsia" w:cstheme="majorBidi"/>
          <w:i w:val="0"/>
          <w:iCs/>
          <w:sz w:val="22"/>
          <w:szCs w:val="22"/>
          <w:lang w:val="it-IT"/>
        </w:rPr>
      </w:pPr>
    </w:p>
    <w:p w14:paraId="57A26833" w14:textId="72AE0E36" w:rsidR="00B05174" w:rsidRPr="001F151E" w:rsidRDefault="00057806" w:rsidP="00C96708">
      <w:pPr>
        <w:pStyle w:val="Heading2"/>
        <w:rPr>
          <w:lang w:val="en-GB"/>
        </w:rPr>
      </w:pPr>
      <w:bookmarkStart w:id="19" w:name="_Toc161748812"/>
      <w:r>
        <w:rPr>
          <w:lang w:val="en-GB"/>
        </w:rPr>
        <w:t>Hyrje</w:t>
      </w:r>
      <w:bookmarkEnd w:id="19"/>
    </w:p>
    <w:p w14:paraId="0C845BF3" w14:textId="77777777" w:rsidR="00B05174" w:rsidRPr="001F151E" w:rsidRDefault="00B05174" w:rsidP="006F1382">
      <w:pPr>
        <w:jc w:val="both"/>
        <w:rPr>
          <w:lang w:val="en-GB"/>
        </w:rPr>
      </w:pPr>
    </w:p>
    <w:p w14:paraId="5C843B8B" w14:textId="23C31D20" w:rsidR="0054169C" w:rsidRPr="001F151E" w:rsidRDefault="00057806" w:rsidP="006F1382">
      <w:pPr>
        <w:jc w:val="both"/>
        <w:rPr>
          <w:lang w:val="en-GB"/>
        </w:rPr>
      </w:pPr>
      <w:r>
        <w:rPr>
          <w:lang w:val="en-GB"/>
        </w:rPr>
        <w:t>Objektivi specifik i shtyll</w:t>
      </w:r>
      <w:r w:rsidR="000A70F5">
        <w:rPr>
          <w:lang w:val="en-GB"/>
        </w:rPr>
        <w:t>ë</w:t>
      </w:r>
      <w:r>
        <w:rPr>
          <w:lang w:val="en-GB"/>
        </w:rPr>
        <w:t>s s</w:t>
      </w:r>
      <w:r w:rsidR="000A70F5">
        <w:rPr>
          <w:lang w:val="en-GB"/>
        </w:rPr>
        <w:t>ë</w:t>
      </w:r>
      <w:r>
        <w:rPr>
          <w:lang w:val="en-GB"/>
        </w:rPr>
        <w:t xml:space="preserve"> dyt</w:t>
      </w:r>
      <w:r w:rsidR="000A70F5">
        <w:rPr>
          <w:lang w:val="en-GB"/>
        </w:rPr>
        <w:t>ë</w:t>
      </w:r>
      <w:r>
        <w:rPr>
          <w:lang w:val="en-GB"/>
        </w:rPr>
        <w:t xml:space="preserve"> </w:t>
      </w:r>
      <w:r w:rsidR="000A70F5">
        <w:rPr>
          <w:lang w:val="en-GB"/>
        </w:rPr>
        <w:t>ë</w:t>
      </w:r>
      <w:r>
        <w:rPr>
          <w:lang w:val="en-GB"/>
        </w:rPr>
        <w:t>sht</w:t>
      </w:r>
      <w:r w:rsidR="000A70F5">
        <w:rPr>
          <w:lang w:val="en-GB"/>
        </w:rPr>
        <w:t>ë</w:t>
      </w:r>
      <w:r w:rsidR="0054169C" w:rsidRPr="001F151E">
        <w:rPr>
          <w:lang w:val="en-GB"/>
        </w:rPr>
        <w:t xml:space="preserve"> </w:t>
      </w:r>
      <w:r w:rsidR="00015AC9" w:rsidRPr="001F151E">
        <w:rPr>
          <w:lang w:val="en-GB"/>
        </w:rPr>
        <w:t>“</w:t>
      </w:r>
      <w:r w:rsidR="007A368E">
        <w:rPr>
          <w:lang w:val="en-GB"/>
        </w:rPr>
        <w:t>P</w:t>
      </w:r>
      <w:r w:rsidR="000A70F5">
        <w:rPr>
          <w:lang w:val="en-GB"/>
        </w:rPr>
        <w:t>ë</w:t>
      </w:r>
      <w:r w:rsidR="007A368E">
        <w:rPr>
          <w:lang w:val="en-GB"/>
        </w:rPr>
        <w:t>rmir</w:t>
      </w:r>
      <w:r w:rsidR="000A70F5">
        <w:rPr>
          <w:lang w:val="en-GB"/>
        </w:rPr>
        <w:t>ë</w:t>
      </w:r>
      <w:r w:rsidR="007A368E">
        <w:rPr>
          <w:lang w:val="en-GB"/>
        </w:rPr>
        <w:t>simi i planifikimit buxhetor dhe praktikave t</w:t>
      </w:r>
      <w:r w:rsidR="000A70F5">
        <w:rPr>
          <w:lang w:val="en-GB"/>
        </w:rPr>
        <w:t>ë</w:t>
      </w:r>
      <w:r w:rsidR="007A368E">
        <w:rPr>
          <w:lang w:val="en-GB"/>
        </w:rPr>
        <w:t xml:space="preserve"> monitorimit t</w:t>
      </w:r>
      <w:r w:rsidR="000A70F5">
        <w:rPr>
          <w:lang w:val="en-GB"/>
        </w:rPr>
        <w:t>ë</w:t>
      </w:r>
      <w:r w:rsidR="007A368E">
        <w:rPr>
          <w:lang w:val="en-GB"/>
        </w:rPr>
        <w:t xml:space="preserve"> ekzekutimit t</w:t>
      </w:r>
      <w:r w:rsidR="000A70F5">
        <w:rPr>
          <w:lang w:val="en-GB"/>
        </w:rPr>
        <w:t>ë</w:t>
      </w:r>
      <w:r w:rsidR="007A368E">
        <w:rPr>
          <w:lang w:val="en-GB"/>
        </w:rPr>
        <w:t xml:space="preserve"> buxhetit” dhe mbulon komponent</w:t>
      </w:r>
      <w:r w:rsidR="000A70F5">
        <w:rPr>
          <w:lang w:val="en-GB"/>
        </w:rPr>
        <w:t>ë</w:t>
      </w:r>
      <w:r w:rsidR="007A368E">
        <w:rPr>
          <w:lang w:val="en-GB"/>
        </w:rPr>
        <w:t>t</w:t>
      </w:r>
      <w:r w:rsidR="005C0B4F">
        <w:rPr>
          <w:lang w:val="en-GB"/>
        </w:rPr>
        <w:t xml:space="preserve">: </w:t>
      </w:r>
      <w:r w:rsidR="00EC76BD">
        <w:rPr>
          <w:lang w:val="en-GB"/>
        </w:rPr>
        <w:t>P</w:t>
      </w:r>
      <w:r w:rsidR="005C0B4F">
        <w:rPr>
          <w:lang w:val="en-GB"/>
        </w:rPr>
        <w:t>lanifikimi</w:t>
      </w:r>
      <w:r w:rsidR="00EC76BD">
        <w:rPr>
          <w:lang w:val="en-GB"/>
        </w:rPr>
        <w:t xml:space="preserve"> Strategjik </w:t>
      </w:r>
      <w:r w:rsidR="005C0B4F">
        <w:rPr>
          <w:lang w:val="en-GB"/>
        </w:rPr>
        <w:t>i</w:t>
      </w:r>
      <w:r w:rsidR="00EC76BD">
        <w:rPr>
          <w:lang w:val="en-GB"/>
        </w:rPr>
        <w:t xml:space="preserve"> Integruar, </w:t>
      </w:r>
      <w:r w:rsidR="005C0B4F">
        <w:rPr>
          <w:lang w:val="en-GB"/>
        </w:rPr>
        <w:t>Planifikimi Buxhetor Afatmes</w:t>
      </w:r>
      <w:r w:rsidR="000A70F5">
        <w:rPr>
          <w:lang w:val="en-GB"/>
        </w:rPr>
        <w:t>ë</w:t>
      </w:r>
      <w:r w:rsidR="005C0B4F">
        <w:rPr>
          <w:lang w:val="en-GB"/>
        </w:rPr>
        <w:t>m, Menaxhimi i Investimeve Publike, Financat Vendore, Monitorimi dhe Raportimi i Zbatimit t</w:t>
      </w:r>
      <w:r w:rsidR="000A70F5">
        <w:rPr>
          <w:lang w:val="en-GB"/>
        </w:rPr>
        <w:t>ë</w:t>
      </w:r>
      <w:r w:rsidR="005C0B4F">
        <w:rPr>
          <w:lang w:val="en-GB"/>
        </w:rPr>
        <w:t xml:space="preserve"> Buxhetit. Objektivat afatgjata dhe masat afatmesme jan</w:t>
      </w:r>
      <w:r w:rsidR="000A70F5">
        <w:rPr>
          <w:lang w:val="en-GB"/>
        </w:rPr>
        <w:t>ë</w:t>
      </w:r>
      <w:r w:rsidR="005C0B4F">
        <w:rPr>
          <w:lang w:val="en-GB"/>
        </w:rPr>
        <w:t xml:space="preserve"> p</w:t>
      </w:r>
      <w:r w:rsidR="000A70F5">
        <w:rPr>
          <w:lang w:val="en-GB"/>
        </w:rPr>
        <w:t>ë</w:t>
      </w:r>
      <w:r w:rsidR="005C0B4F">
        <w:rPr>
          <w:lang w:val="en-GB"/>
        </w:rPr>
        <w:t>rmbledhur</w:t>
      </w:r>
      <w:r w:rsidR="00D77DEC">
        <w:rPr>
          <w:lang w:val="en-GB"/>
        </w:rPr>
        <w:t xml:space="preserve"> si m</w:t>
      </w:r>
      <w:r w:rsidR="000A70F5">
        <w:rPr>
          <w:lang w:val="en-GB"/>
        </w:rPr>
        <w:t>ë</w:t>
      </w:r>
      <w:r w:rsidR="00D77DEC">
        <w:rPr>
          <w:lang w:val="en-GB"/>
        </w:rPr>
        <w:t>posht</w:t>
      </w:r>
      <w:r w:rsidR="000A70F5">
        <w:rPr>
          <w:lang w:val="en-GB"/>
        </w:rPr>
        <w:t>ë</w:t>
      </w:r>
      <w:r w:rsidR="00D77DEC">
        <w:rPr>
          <w:lang w:val="en-GB"/>
        </w:rPr>
        <w:t xml:space="preserve">: </w:t>
      </w:r>
      <w:r w:rsidR="005C0B4F">
        <w:rPr>
          <w:lang w:val="en-GB"/>
        </w:rPr>
        <w:t xml:space="preserve"> </w:t>
      </w:r>
      <w:r w:rsidR="007A368E">
        <w:rPr>
          <w:lang w:val="en-GB"/>
        </w:rPr>
        <w:t xml:space="preserve">  </w:t>
      </w:r>
    </w:p>
    <w:p w14:paraId="16DC07B5" w14:textId="77777777" w:rsidR="00015AC9" w:rsidRPr="001F151E" w:rsidRDefault="00015AC9" w:rsidP="00015AC9">
      <w:pPr>
        <w:rPr>
          <w:b/>
          <w:b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left w:w="85" w:type="dxa"/>
          <w:bottom w:w="57" w:type="dxa"/>
          <w:right w:w="85" w:type="dxa"/>
        </w:tblCellMar>
        <w:tblLook w:val="04A0" w:firstRow="1" w:lastRow="0" w:firstColumn="1" w:lastColumn="0" w:noHBand="0" w:noVBand="1"/>
      </w:tblPr>
      <w:tblGrid>
        <w:gridCol w:w="9016"/>
      </w:tblGrid>
      <w:tr w:rsidR="00BA761C" w:rsidRPr="0059094E" w14:paraId="4BA618D7" w14:textId="77777777" w:rsidTr="006F1382">
        <w:trPr>
          <w:trHeight w:val="20"/>
        </w:trPr>
        <w:tc>
          <w:tcPr>
            <w:tcW w:w="9016" w:type="dxa"/>
            <w:shd w:val="clear" w:color="auto" w:fill="F2F2F2" w:themeFill="background1" w:themeFillShade="F2"/>
          </w:tcPr>
          <w:p w14:paraId="11557F23" w14:textId="48357121" w:rsidR="00BA761C" w:rsidRPr="001F151E" w:rsidRDefault="000F0ED7" w:rsidP="00322D0B">
            <w:pPr>
              <w:pStyle w:val="T-normal"/>
              <w:spacing w:after="60" w:line="220" w:lineRule="exact"/>
              <w:rPr>
                <w:b/>
                <w:bCs/>
              </w:rPr>
            </w:pPr>
            <w:r>
              <w:rPr>
                <w:b/>
                <w:bCs/>
              </w:rPr>
              <w:t>Komponenti</w:t>
            </w:r>
            <w:r w:rsidR="00BA761C" w:rsidRPr="001F151E">
              <w:rPr>
                <w:b/>
                <w:bCs/>
              </w:rPr>
              <w:t xml:space="preserve"> 2.1 </w:t>
            </w:r>
            <w:r>
              <w:rPr>
                <w:b/>
                <w:bCs/>
              </w:rPr>
              <w:t>Planifikimi Strategjik i Integruar</w:t>
            </w:r>
          </w:p>
          <w:p w14:paraId="17FB2BBF" w14:textId="1311ECD8" w:rsidR="00BA761C" w:rsidRPr="001F151E" w:rsidRDefault="000F0ED7" w:rsidP="00322D0B">
            <w:pPr>
              <w:pStyle w:val="T-normal"/>
              <w:spacing w:after="60" w:line="220" w:lineRule="exact"/>
            </w:pPr>
            <w:r>
              <w:t>Synimi</w:t>
            </w:r>
            <w:r w:rsidR="00BA761C" w:rsidRPr="001F151E">
              <w:t xml:space="preserve"> </w:t>
            </w:r>
            <w:r w:rsidR="00BA761C" w:rsidRPr="001F151E">
              <w:rPr>
                <w:rStyle w:val="IntenseReference"/>
                <w:i w:val="0"/>
                <w:color w:val="auto"/>
                <w:sz w:val="16"/>
                <w:szCs w:val="16"/>
              </w:rPr>
              <w:t>2030</w:t>
            </w:r>
            <w:r w:rsidR="00BA761C" w:rsidRPr="001F151E">
              <w:t xml:space="preserve">: </w:t>
            </w:r>
            <w:r>
              <w:t>T</w:t>
            </w:r>
            <w:r w:rsidR="000A70F5">
              <w:t>ë</w:t>
            </w:r>
            <w:r>
              <w:t xml:space="preserve"> funksionoj</w:t>
            </w:r>
            <w:r w:rsidR="000A70F5">
              <w:t>ë</w:t>
            </w:r>
            <w:r>
              <w:t xml:space="preserve"> nj</w:t>
            </w:r>
            <w:r w:rsidR="000A70F5">
              <w:t>ë</w:t>
            </w:r>
            <w:r w:rsidR="000A502B">
              <w:t xml:space="preserve"> Sistem P</w:t>
            </w:r>
            <w:r>
              <w:t xml:space="preserve">lanifikimi </w:t>
            </w:r>
            <w:r w:rsidR="000A502B">
              <w:t>i I</w:t>
            </w:r>
            <w:r>
              <w:t>ntegruar (SPI) p</w:t>
            </w:r>
            <w:r w:rsidR="000A70F5">
              <w:t>ë</w:t>
            </w:r>
            <w:r>
              <w:t>r t</w:t>
            </w:r>
            <w:r w:rsidR="000A70F5">
              <w:t>ë</w:t>
            </w:r>
            <w:r>
              <w:t xml:space="preserve"> zhvilluar, monitoruar dhe vler</w:t>
            </w:r>
            <w:r w:rsidR="000A70F5">
              <w:t>ë</w:t>
            </w:r>
            <w:r>
              <w:t>suar n</w:t>
            </w:r>
            <w:r w:rsidR="000A70F5">
              <w:t>ë</w:t>
            </w:r>
            <w:r>
              <w:t xml:space="preserve"> m</w:t>
            </w:r>
            <w:r w:rsidR="000A70F5">
              <w:t>ë</w:t>
            </w:r>
            <w:r>
              <w:t>nyr</w:t>
            </w:r>
            <w:r w:rsidR="000A70F5">
              <w:t>ë</w:t>
            </w:r>
            <w:r>
              <w:t xml:space="preserve"> efektive </w:t>
            </w:r>
            <w:r w:rsidR="00C52954">
              <w:t>strategjit</w:t>
            </w:r>
            <w:r w:rsidR="000A70F5">
              <w:t>ë</w:t>
            </w:r>
            <w:r w:rsidR="00C52954">
              <w:t xml:space="preserve"> komb</w:t>
            </w:r>
            <w:r w:rsidR="000A70F5">
              <w:t>ë</w:t>
            </w:r>
            <w:r w:rsidR="00C52954">
              <w:t>tare, sektoriale, nd</w:t>
            </w:r>
            <w:r w:rsidR="000A70F5">
              <w:t>ë</w:t>
            </w:r>
            <w:r w:rsidR="00C52954">
              <w:t>rsektoriale dhe rajonale t</w:t>
            </w:r>
            <w:r w:rsidR="000A70F5">
              <w:t>ë</w:t>
            </w:r>
            <w:r w:rsidR="00C52954">
              <w:t xml:space="preserve"> nd</w:t>
            </w:r>
            <w:r w:rsidR="000A70F5">
              <w:t>ë</w:t>
            </w:r>
            <w:r w:rsidR="00C52954">
              <w:t>rlidhura dhe investimet publike t</w:t>
            </w:r>
            <w:r w:rsidR="000A70F5">
              <w:t>ë</w:t>
            </w:r>
            <w:r w:rsidR="00C52954">
              <w:t xml:space="preserve"> prioritizuara n</w:t>
            </w:r>
            <w:r w:rsidR="000A70F5">
              <w:t>ë</w:t>
            </w:r>
            <w:r w:rsidR="00C52954">
              <w:t xml:space="preserve"> lidhje me burimet buxhetore. </w:t>
            </w:r>
            <w:r>
              <w:t xml:space="preserve"> </w:t>
            </w:r>
          </w:p>
          <w:p w14:paraId="19CA038C" w14:textId="7374F0C9" w:rsidR="00BA761C" w:rsidRPr="001F151E" w:rsidRDefault="00C52954" w:rsidP="00322D0B">
            <w:pPr>
              <w:spacing w:line="220" w:lineRule="exact"/>
              <w:jc w:val="both"/>
              <w:rPr>
                <w:sz w:val="16"/>
                <w:szCs w:val="16"/>
              </w:rPr>
            </w:pPr>
            <w:r>
              <w:rPr>
                <w:sz w:val="16"/>
                <w:szCs w:val="16"/>
              </w:rPr>
              <w:t>Masat p</w:t>
            </w:r>
            <w:r w:rsidR="000A70F5">
              <w:rPr>
                <w:sz w:val="16"/>
                <w:szCs w:val="16"/>
              </w:rPr>
              <w:t>ë</w:t>
            </w:r>
            <w:r>
              <w:rPr>
                <w:sz w:val="16"/>
                <w:szCs w:val="16"/>
              </w:rPr>
              <w:t>r vitet</w:t>
            </w:r>
            <w:r w:rsidR="00BA761C" w:rsidRPr="001F151E">
              <w:rPr>
                <w:sz w:val="16"/>
                <w:szCs w:val="16"/>
              </w:rPr>
              <w:t xml:space="preserve"> 2023-2026:</w:t>
            </w:r>
          </w:p>
          <w:p w14:paraId="75F6DE6F" w14:textId="2C93A9D2" w:rsidR="00BA761C" w:rsidRPr="001F151E" w:rsidRDefault="00BA761C" w:rsidP="00322D0B">
            <w:pPr>
              <w:pStyle w:val="T-bullet0"/>
              <w:spacing w:line="220" w:lineRule="exact"/>
              <w:ind w:left="284" w:hanging="284"/>
              <w:rPr>
                <w:rStyle w:val="IntenseReference"/>
                <w:rFonts w:eastAsiaTheme="majorEastAsia"/>
                <w:i w:val="0"/>
                <w:color w:val="auto"/>
                <w:sz w:val="16"/>
                <w:szCs w:val="16"/>
              </w:rPr>
            </w:pPr>
            <w:r w:rsidRPr="001F151E">
              <w:rPr>
                <w:rStyle w:val="IntenseReference"/>
                <w:rFonts w:eastAsiaTheme="majorEastAsia"/>
                <w:i w:val="0"/>
                <w:color w:val="auto"/>
                <w:sz w:val="16"/>
                <w:szCs w:val="16"/>
              </w:rPr>
              <w:t>M</w:t>
            </w:r>
            <w:r w:rsidR="00040B89">
              <w:rPr>
                <w:rStyle w:val="IntenseReference"/>
                <w:rFonts w:eastAsiaTheme="majorEastAsia"/>
                <w:i w:val="0"/>
                <w:color w:val="auto"/>
                <w:sz w:val="16"/>
                <w:szCs w:val="16"/>
              </w:rPr>
              <w:t>asa</w:t>
            </w:r>
            <w:r w:rsidRPr="001F151E">
              <w:rPr>
                <w:rStyle w:val="IntenseReference"/>
                <w:rFonts w:eastAsiaTheme="majorEastAsia"/>
                <w:i w:val="0"/>
                <w:color w:val="auto"/>
                <w:sz w:val="16"/>
                <w:szCs w:val="16"/>
              </w:rPr>
              <w:t xml:space="preserve"> 2.</w:t>
            </w:r>
            <w:r w:rsidR="00040B89">
              <w:rPr>
                <w:rStyle w:val="IntenseReference"/>
                <w:rFonts w:eastAsiaTheme="majorEastAsia"/>
                <w:i w:val="0"/>
                <w:color w:val="auto"/>
                <w:sz w:val="16"/>
                <w:szCs w:val="16"/>
              </w:rPr>
              <w:t>1</w:t>
            </w:r>
            <w:r w:rsidRPr="001F151E">
              <w:rPr>
                <w:rStyle w:val="IntenseReference"/>
                <w:rFonts w:eastAsiaTheme="majorEastAsia"/>
                <w:i w:val="0"/>
                <w:color w:val="auto"/>
                <w:sz w:val="16"/>
                <w:szCs w:val="16"/>
              </w:rPr>
              <w:t xml:space="preserve">.1 </w:t>
            </w:r>
            <w:r w:rsidR="00195C58">
              <w:rPr>
                <w:rStyle w:val="IntenseReference"/>
                <w:rFonts w:eastAsiaTheme="majorEastAsia"/>
                <w:i w:val="0"/>
                <w:color w:val="auto"/>
                <w:sz w:val="16"/>
                <w:szCs w:val="16"/>
              </w:rPr>
              <w:t>P</w:t>
            </w:r>
            <w:r w:rsidR="000A70F5">
              <w:rPr>
                <w:rStyle w:val="IntenseReference"/>
                <w:rFonts w:eastAsiaTheme="majorEastAsia"/>
                <w:i w:val="0"/>
                <w:color w:val="auto"/>
                <w:sz w:val="16"/>
                <w:szCs w:val="16"/>
              </w:rPr>
              <w:t>ë</w:t>
            </w:r>
            <w:r w:rsidR="00195C58">
              <w:rPr>
                <w:rStyle w:val="IntenseReference"/>
                <w:rFonts w:eastAsiaTheme="majorEastAsia"/>
                <w:i w:val="0"/>
                <w:color w:val="auto"/>
                <w:sz w:val="16"/>
                <w:szCs w:val="16"/>
              </w:rPr>
              <w:t>rmir</w:t>
            </w:r>
            <w:r w:rsidR="000A70F5">
              <w:rPr>
                <w:rStyle w:val="IntenseReference"/>
                <w:rFonts w:eastAsiaTheme="majorEastAsia"/>
                <w:i w:val="0"/>
                <w:color w:val="auto"/>
                <w:sz w:val="16"/>
                <w:szCs w:val="16"/>
              </w:rPr>
              <w:t>ë</w:t>
            </w:r>
            <w:r w:rsidR="00195C58">
              <w:rPr>
                <w:rStyle w:val="IntenseReference"/>
                <w:rFonts w:eastAsiaTheme="majorEastAsia"/>
                <w:i w:val="0"/>
                <w:color w:val="auto"/>
                <w:sz w:val="16"/>
                <w:szCs w:val="16"/>
              </w:rPr>
              <w:t>simi i Sistemit t</w:t>
            </w:r>
            <w:r w:rsidR="000A70F5">
              <w:rPr>
                <w:rStyle w:val="IntenseReference"/>
                <w:rFonts w:eastAsiaTheme="majorEastAsia"/>
                <w:i w:val="0"/>
                <w:color w:val="auto"/>
                <w:sz w:val="16"/>
                <w:szCs w:val="16"/>
              </w:rPr>
              <w:t>ë</w:t>
            </w:r>
            <w:r w:rsidR="00195C58">
              <w:rPr>
                <w:rStyle w:val="IntenseReference"/>
                <w:rFonts w:eastAsiaTheme="majorEastAsia"/>
                <w:i w:val="0"/>
                <w:color w:val="auto"/>
                <w:sz w:val="16"/>
                <w:szCs w:val="16"/>
              </w:rPr>
              <w:t xml:space="preserve"> Planifikimit t</w:t>
            </w:r>
            <w:r w:rsidR="000A70F5">
              <w:rPr>
                <w:rStyle w:val="IntenseReference"/>
                <w:rFonts w:eastAsiaTheme="majorEastAsia"/>
                <w:i w:val="0"/>
                <w:color w:val="auto"/>
                <w:sz w:val="16"/>
                <w:szCs w:val="16"/>
              </w:rPr>
              <w:t>ë</w:t>
            </w:r>
            <w:r w:rsidR="00195C58">
              <w:rPr>
                <w:rStyle w:val="IntenseReference"/>
                <w:rFonts w:eastAsiaTheme="majorEastAsia"/>
                <w:i w:val="0"/>
                <w:color w:val="auto"/>
                <w:sz w:val="16"/>
                <w:szCs w:val="16"/>
              </w:rPr>
              <w:t xml:space="preserve"> Integruar t</w:t>
            </w:r>
            <w:r w:rsidR="000A70F5">
              <w:rPr>
                <w:rStyle w:val="IntenseReference"/>
                <w:rFonts w:eastAsiaTheme="majorEastAsia"/>
                <w:i w:val="0"/>
                <w:color w:val="auto"/>
                <w:sz w:val="16"/>
                <w:szCs w:val="16"/>
              </w:rPr>
              <w:t>ë</w:t>
            </w:r>
            <w:r w:rsidR="00195C58">
              <w:rPr>
                <w:rStyle w:val="IntenseReference"/>
                <w:rFonts w:eastAsiaTheme="majorEastAsia"/>
                <w:i w:val="0"/>
                <w:color w:val="auto"/>
                <w:sz w:val="16"/>
                <w:szCs w:val="16"/>
              </w:rPr>
              <w:t xml:space="preserve"> mb</w:t>
            </w:r>
            <w:r w:rsidR="000A70F5">
              <w:rPr>
                <w:rStyle w:val="IntenseReference"/>
                <w:rFonts w:eastAsiaTheme="majorEastAsia"/>
                <w:i w:val="0"/>
                <w:color w:val="auto"/>
                <w:sz w:val="16"/>
                <w:szCs w:val="16"/>
              </w:rPr>
              <w:t>ë</w:t>
            </w:r>
            <w:r w:rsidR="00195C58">
              <w:rPr>
                <w:rStyle w:val="IntenseReference"/>
                <w:rFonts w:eastAsiaTheme="majorEastAsia"/>
                <w:i w:val="0"/>
                <w:color w:val="auto"/>
                <w:sz w:val="16"/>
                <w:szCs w:val="16"/>
              </w:rPr>
              <w:t>shtetur nga Teknologjia e Informacionit p</w:t>
            </w:r>
            <w:r w:rsidR="000A70F5">
              <w:rPr>
                <w:rStyle w:val="IntenseReference"/>
                <w:rFonts w:eastAsiaTheme="majorEastAsia"/>
                <w:i w:val="0"/>
                <w:color w:val="auto"/>
                <w:sz w:val="16"/>
                <w:szCs w:val="16"/>
              </w:rPr>
              <w:t>ë</w:t>
            </w:r>
            <w:r w:rsidR="00195C58">
              <w:rPr>
                <w:rStyle w:val="IntenseReference"/>
                <w:rFonts w:eastAsiaTheme="majorEastAsia"/>
                <w:i w:val="0"/>
                <w:color w:val="auto"/>
                <w:sz w:val="16"/>
                <w:szCs w:val="16"/>
              </w:rPr>
              <w:t>r formulimin dhe monitorimin e strategjive</w:t>
            </w:r>
            <w:r w:rsidR="0011538B" w:rsidRPr="001F151E">
              <w:rPr>
                <w:rStyle w:val="IntenseReference"/>
                <w:rFonts w:eastAsiaTheme="majorEastAsia"/>
                <w:i w:val="0"/>
                <w:color w:val="auto"/>
                <w:sz w:val="16"/>
                <w:szCs w:val="16"/>
              </w:rPr>
              <w:t>;</w:t>
            </w:r>
          </w:p>
          <w:p w14:paraId="1AC03A98" w14:textId="0633C180" w:rsidR="00BA761C" w:rsidRPr="001F151E" w:rsidRDefault="00040B89" w:rsidP="00322D0B">
            <w:pPr>
              <w:pStyle w:val="T-bullet0"/>
              <w:spacing w:line="220" w:lineRule="exact"/>
              <w:ind w:left="284" w:hanging="284"/>
              <w:rPr>
                <w:b/>
                <w:bCs/>
              </w:rPr>
            </w:pPr>
            <w:r>
              <w:rPr>
                <w:rStyle w:val="IntenseReference"/>
                <w:rFonts w:eastAsiaTheme="majorEastAsia"/>
                <w:i w:val="0"/>
                <w:color w:val="auto"/>
                <w:sz w:val="16"/>
                <w:szCs w:val="16"/>
              </w:rPr>
              <w:t>Masa</w:t>
            </w:r>
            <w:r w:rsidR="00BA761C" w:rsidRPr="001F151E">
              <w:rPr>
                <w:rStyle w:val="IntenseReference"/>
                <w:rFonts w:eastAsiaTheme="majorEastAsia"/>
                <w:i w:val="0"/>
                <w:color w:val="auto"/>
                <w:sz w:val="16"/>
                <w:szCs w:val="16"/>
              </w:rPr>
              <w:t xml:space="preserve"> 2</w:t>
            </w:r>
            <w:r w:rsidR="00F30C59">
              <w:rPr>
                <w:rStyle w:val="IntenseReference"/>
                <w:rFonts w:eastAsiaTheme="majorEastAsia"/>
                <w:i w:val="0"/>
                <w:color w:val="auto"/>
                <w:sz w:val="16"/>
                <w:szCs w:val="16"/>
              </w:rPr>
              <w:t>.</w:t>
            </w:r>
            <w:r>
              <w:rPr>
                <w:rStyle w:val="IntenseReference"/>
                <w:rFonts w:eastAsiaTheme="majorEastAsia"/>
                <w:i w:val="0"/>
                <w:color w:val="auto"/>
                <w:sz w:val="16"/>
                <w:szCs w:val="16"/>
              </w:rPr>
              <w:t>1</w:t>
            </w:r>
            <w:r w:rsidR="00BA761C" w:rsidRPr="001F151E">
              <w:rPr>
                <w:rStyle w:val="IntenseReference"/>
                <w:rFonts w:eastAsiaTheme="majorEastAsia"/>
                <w:i w:val="0"/>
                <w:color w:val="auto"/>
                <w:sz w:val="16"/>
                <w:szCs w:val="16"/>
              </w:rPr>
              <w:t xml:space="preserve">.2 </w:t>
            </w:r>
            <w:r w:rsidR="00195C58">
              <w:rPr>
                <w:rStyle w:val="IntenseReference"/>
                <w:rFonts w:eastAsiaTheme="majorEastAsia"/>
                <w:i w:val="0"/>
                <w:color w:val="auto"/>
                <w:sz w:val="16"/>
                <w:szCs w:val="16"/>
              </w:rPr>
              <w:t>Zgjerimi i rishikimit afatmes</w:t>
            </w:r>
            <w:r w:rsidR="000A70F5">
              <w:rPr>
                <w:rStyle w:val="IntenseReference"/>
                <w:rFonts w:eastAsiaTheme="majorEastAsia"/>
                <w:i w:val="0"/>
                <w:color w:val="auto"/>
                <w:sz w:val="16"/>
                <w:szCs w:val="16"/>
              </w:rPr>
              <w:t>ë</w:t>
            </w:r>
            <w:r w:rsidR="00195C58">
              <w:rPr>
                <w:rStyle w:val="IntenseReference"/>
                <w:rFonts w:eastAsiaTheme="majorEastAsia"/>
                <w:i w:val="0"/>
                <w:color w:val="auto"/>
                <w:sz w:val="16"/>
                <w:szCs w:val="16"/>
              </w:rPr>
              <w:t>m dhe vler</w:t>
            </w:r>
            <w:r w:rsidR="000A70F5">
              <w:rPr>
                <w:rStyle w:val="IntenseReference"/>
                <w:rFonts w:eastAsiaTheme="majorEastAsia"/>
                <w:i w:val="0"/>
                <w:color w:val="auto"/>
                <w:sz w:val="16"/>
                <w:szCs w:val="16"/>
              </w:rPr>
              <w:t>ë</w:t>
            </w:r>
            <w:r w:rsidR="00195C58">
              <w:rPr>
                <w:rStyle w:val="IntenseReference"/>
                <w:rFonts w:eastAsiaTheme="majorEastAsia"/>
                <w:i w:val="0"/>
                <w:color w:val="auto"/>
                <w:sz w:val="16"/>
                <w:szCs w:val="16"/>
              </w:rPr>
              <w:t>simit ex-post t</w:t>
            </w:r>
            <w:r w:rsidR="000A70F5">
              <w:rPr>
                <w:rStyle w:val="IntenseReference"/>
                <w:rFonts w:eastAsiaTheme="majorEastAsia"/>
                <w:i w:val="0"/>
                <w:color w:val="auto"/>
                <w:sz w:val="16"/>
                <w:szCs w:val="16"/>
              </w:rPr>
              <w:t>ë</w:t>
            </w:r>
            <w:r w:rsidR="00195C58">
              <w:rPr>
                <w:rStyle w:val="IntenseReference"/>
                <w:rFonts w:eastAsiaTheme="majorEastAsia"/>
                <w:i w:val="0"/>
                <w:color w:val="auto"/>
                <w:sz w:val="16"/>
                <w:szCs w:val="16"/>
              </w:rPr>
              <w:t xml:space="preserve"> strategjive dhe planeve t</w:t>
            </w:r>
            <w:r w:rsidR="000A70F5">
              <w:rPr>
                <w:rStyle w:val="IntenseReference"/>
                <w:rFonts w:eastAsiaTheme="majorEastAsia"/>
                <w:i w:val="0"/>
                <w:color w:val="auto"/>
                <w:sz w:val="16"/>
                <w:szCs w:val="16"/>
              </w:rPr>
              <w:t>ë</w:t>
            </w:r>
            <w:r w:rsidR="00195C58">
              <w:rPr>
                <w:rStyle w:val="IntenseReference"/>
                <w:rFonts w:eastAsiaTheme="majorEastAsia"/>
                <w:i w:val="0"/>
                <w:color w:val="auto"/>
                <w:sz w:val="16"/>
                <w:szCs w:val="16"/>
              </w:rPr>
              <w:t xml:space="preserve"> veprimit</w:t>
            </w:r>
            <w:r w:rsidR="0011538B" w:rsidRPr="001F151E">
              <w:rPr>
                <w:rStyle w:val="IntenseReference"/>
                <w:rFonts w:eastAsiaTheme="majorEastAsia"/>
                <w:i w:val="0"/>
                <w:color w:val="auto"/>
                <w:sz w:val="16"/>
                <w:szCs w:val="16"/>
              </w:rPr>
              <w:t>.</w:t>
            </w:r>
          </w:p>
          <w:p w14:paraId="458D0006" w14:textId="77777777" w:rsidR="00BA761C" w:rsidRPr="001F151E" w:rsidRDefault="00BA761C" w:rsidP="00322D0B">
            <w:pPr>
              <w:pStyle w:val="T-normal"/>
              <w:spacing w:line="220" w:lineRule="exact"/>
              <w:rPr>
                <w:b/>
                <w:bCs/>
              </w:rPr>
            </w:pPr>
          </w:p>
          <w:p w14:paraId="5B948CD8" w14:textId="421647F8" w:rsidR="00BA761C" w:rsidRPr="001F151E" w:rsidRDefault="00F30C59" w:rsidP="00322D0B">
            <w:pPr>
              <w:pStyle w:val="T-normal"/>
              <w:spacing w:after="60" w:line="220" w:lineRule="exact"/>
              <w:rPr>
                <w:b/>
                <w:bCs/>
              </w:rPr>
            </w:pPr>
            <w:r>
              <w:rPr>
                <w:b/>
                <w:bCs/>
              </w:rPr>
              <w:t>Komponenti</w:t>
            </w:r>
            <w:r w:rsidR="00BA761C" w:rsidRPr="001F151E">
              <w:rPr>
                <w:b/>
                <w:bCs/>
              </w:rPr>
              <w:t xml:space="preserve"> 2.2 </w:t>
            </w:r>
            <w:r>
              <w:rPr>
                <w:b/>
                <w:bCs/>
              </w:rPr>
              <w:t>Planifikimi Buxhetor Afatmes</w:t>
            </w:r>
            <w:r w:rsidR="000A70F5">
              <w:rPr>
                <w:b/>
                <w:bCs/>
              </w:rPr>
              <w:t>ë</w:t>
            </w:r>
            <w:r>
              <w:rPr>
                <w:b/>
                <w:bCs/>
              </w:rPr>
              <w:t>m</w:t>
            </w:r>
          </w:p>
          <w:p w14:paraId="6CEC1A13" w14:textId="7A067186" w:rsidR="00BA761C" w:rsidRPr="001F151E" w:rsidRDefault="00F30C59" w:rsidP="00322D0B">
            <w:pPr>
              <w:pStyle w:val="T-normal"/>
              <w:spacing w:after="60" w:line="220" w:lineRule="exact"/>
            </w:pPr>
            <w:r>
              <w:t xml:space="preserve">Synimi </w:t>
            </w:r>
            <w:r w:rsidR="00BA761C" w:rsidRPr="001F151E">
              <w:t xml:space="preserve">2030: </w:t>
            </w:r>
            <w:r>
              <w:t>t</w:t>
            </w:r>
            <w:r w:rsidR="000A70F5">
              <w:t>ë</w:t>
            </w:r>
            <w:r>
              <w:t xml:space="preserve"> ket</w:t>
            </w:r>
            <w:r w:rsidR="000A70F5">
              <w:t>ë</w:t>
            </w:r>
            <w:r>
              <w:t xml:space="preserve"> sisteme p</w:t>
            </w:r>
            <w:r w:rsidR="000A70F5">
              <w:t>ë</w:t>
            </w:r>
            <w:r>
              <w:t>r t</w:t>
            </w:r>
            <w:r w:rsidR="000A70F5">
              <w:t>ë</w:t>
            </w:r>
            <w:r>
              <w:t xml:space="preserve"> garantuar PBA</w:t>
            </w:r>
            <w:r w:rsidR="008100C3">
              <w:t>-n</w:t>
            </w:r>
            <w:r w:rsidR="000A70F5">
              <w:t>ë</w:t>
            </w:r>
            <w:r>
              <w:t xml:space="preserve"> (si deklarata para buxhetore ashtu edhe </w:t>
            </w:r>
            <w:r w:rsidR="00A023E3">
              <w:t>ligji i</w:t>
            </w:r>
            <w:r w:rsidR="00A646C6">
              <w:t xml:space="preserve"> buxhetit vjetor) me cil</w:t>
            </w:r>
            <w:r w:rsidR="000A70F5">
              <w:t>ë</w:t>
            </w:r>
            <w:r w:rsidR="00A646C6">
              <w:t>si t</w:t>
            </w:r>
            <w:r w:rsidR="000A70F5">
              <w:t>ë</w:t>
            </w:r>
            <w:r w:rsidR="00A646C6">
              <w:t xml:space="preserve"> lart</w:t>
            </w:r>
            <w:r w:rsidR="000A70F5">
              <w:t>ë</w:t>
            </w:r>
            <w:r w:rsidR="00A646C6">
              <w:t xml:space="preserve"> dhe t</w:t>
            </w:r>
            <w:r w:rsidR="000A70F5">
              <w:t>ë</w:t>
            </w:r>
            <w:r w:rsidR="00A646C6">
              <w:t xml:space="preserve"> besueshme n</w:t>
            </w:r>
            <w:r w:rsidR="000A70F5">
              <w:t>ë</w:t>
            </w:r>
            <w:r w:rsidR="00A646C6">
              <w:t xml:space="preserve"> sh</w:t>
            </w:r>
            <w:r w:rsidR="000A70F5">
              <w:t>ë</w:t>
            </w:r>
            <w:r w:rsidR="00A646C6">
              <w:t>rbim t</w:t>
            </w:r>
            <w:r w:rsidR="000A70F5">
              <w:t>ë</w:t>
            </w:r>
            <w:r w:rsidR="00A646C6">
              <w:t xml:space="preserve"> zbatimit t</w:t>
            </w:r>
            <w:r w:rsidR="000A70F5">
              <w:t>ë</w:t>
            </w:r>
            <w:r w:rsidR="00A646C6">
              <w:t xml:space="preserve"> prioriteteve dhe politikave t</w:t>
            </w:r>
            <w:r w:rsidR="000A70F5">
              <w:t>ë</w:t>
            </w:r>
            <w:r w:rsidR="00A646C6">
              <w:t xml:space="preserve"> qeveris</w:t>
            </w:r>
            <w:r w:rsidR="000A70F5">
              <w:t>ë</w:t>
            </w:r>
            <w:r w:rsidR="00A646C6">
              <w:t xml:space="preserve"> dhe ofrimit t</w:t>
            </w:r>
            <w:r w:rsidR="000A70F5">
              <w:t>ë</w:t>
            </w:r>
            <w:r w:rsidR="00A646C6">
              <w:t xml:space="preserve"> sh</w:t>
            </w:r>
            <w:r w:rsidR="000A70F5">
              <w:t>ë</w:t>
            </w:r>
            <w:r w:rsidR="00A646C6">
              <w:t xml:space="preserve">rbimeve publike.  </w:t>
            </w:r>
          </w:p>
          <w:p w14:paraId="38B1426A" w14:textId="7ECEAEB2" w:rsidR="00BA761C" w:rsidRPr="001F151E" w:rsidRDefault="00A646C6" w:rsidP="00322D0B">
            <w:pPr>
              <w:spacing w:line="220" w:lineRule="exact"/>
              <w:jc w:val="both"/>
              <w:rPr>
                <w:sz w:val="16"/>
                <w:szCs w:val="16"/>
              </w:rPr>
            </w:pPr>
            <w:r>
              <w:rPr>
                <w:sz w:val="16"/>
                <w:szCs w:val="16"/>
              </w:rPr>
              <w:t>Masat p</w:t>
            </w:r>
            <w:r w:rsidR="000A70F5">
              <w:rPr>
                <w:sz w:val="16"/>
                <w:szCs w:val="16"/>
              </w:rPr>
              <w:t>ë</w:t>
            </w:r>
            <w:r>
              <w:rPr>
                <w:sz w:val="16"/>
                <w:szCs w:val="16"/>
              </w:rPr>
              <w:t>r vitet</w:t>
            </w:r>
            <w:r w:rsidR="00BA761C" w:rsidRPr="001F151E">
              <w:rPr>
                <w:sz w:val="16"/>
                <w:szCs w:val="16"/>
              </w:rPr>
              <w:t xml:space="preserve"> 2023-2026:</w:t>
            </w:r>
          </w:p>
          <w:p w14:paraId="034DAB90" w14:textId="297C6EC2" w:rsidR="00BA761C" w:rsidRPr="009D660E" w:rsidRDefault="00BA761C" w:rsidP="00322D0B">
            <w:pPr>
              <w:pStyle w:val="T-bullet0"/>
              <w:spacing w:line="220" w:lineRule="exact"/>
              <w:ind w:left="284" w:hanging="284"/>
              <w:rPr>
                <w:rStyle w:val="IntenseReference"/>
                <w:rFonts w:eastAsiaTheme="majorEastAsia"/>
                <w:i w:val="0"/>
                <w:color w:val="auto"/>
                <w:sz w:val="16"/>
                <w:szCs w:val="16"/>
                <w:lang w:val="it-IT"/>
              </w:rPr>
            </w:pPr>
            <w:r w:rsidRPr="009D660E">
              <w:rPr>
                <w:rStyle w:val="IntenseReference"/>
                <w:rFonts w:eastAsiaTheme="majorEastAsia"/>
                <w:i w:val="0"/>
                <w:color w:val="auto"/>
                <w:sz w:val="16"/>
                <w:szCs w:val="16"/>
                <w:lang w:val="it-IT"/>
              </w:rPr>
              <w:t>M</w:t>
            </w:r>
            <w:r w:rsidR="00A646C6" w:rsidRPr="009D660E">
              <w:rPr>
                <w:rStyle w:val="IntenseReference"/>
                <w:rFonts w:eastAsiaTheme="majorEastAsia"/>
                <w:i w:val="0"/>
                <w:color w:val="auto"/>
                <w:sz w:val="16"/>
                <w:szCs w:val="16"/>
                <w:lang w:val="it-IT"/>
              </w:rPr>
              <w:t>asa</w:t>
            </w:r>
            <w:r w:rsidRPr="009D660E">
              <w:rPr>
                <w:rStyle w:val="IntenseReference"/>
                <w:rFonts w:eastAsiaTheme="majorEastAsia"/>
                <w:i w:val="0"/>
                <w:color w:val="auto"/>
                <w:sz w:val="16"/>
                <w:szCs w:val="16"/>
                <w:lang w:val="it-IT"/>
              </w:rPr>
              <w:t xml:space="preserve"> 2.2.1 </w:t>
            </w:r>
            <w:r w:rsidR="00A646C6" w:rsidRPr="009D660E">
              <w:rPr>
                <w:rStyle w:val="IntenseReference"/>
                <w:rFonts w:eastAsiaTheme="majorEastAsia"/>
                <w:i w:val="0"/>
                <w:color w:val="auto"/>
                <w:sz w:val="16"/>
                <w:szCs w:val="16"/>
                <w:lang w:val="it-IT"/>
              </w:rPr>
              <w:t>P</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rmir</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simi i m</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tejsh</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m i metodave, procedurave dhe llogaridh</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nies menaxheriale p</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r formulimin e PBA-s</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 xml:space="preserve">. </w:t>
            </w:r>
          </w:p>
          <w:p w14:paraId="55BB58A0" w14:textId="4CDAB523" w:rsidR="00BA761C" w:rsidRPr="009D660E" w:rsidRDefault="00BA761C" w:rsidP="00322D0B">
            <w:pPr>
              <w:pStyle w:val="T-bullet0"/>
              <w:spacing w:line="220" w:lineRule="exact"/>
              <w:ind w:left="284" w:hanging="284"/>
              <w:rPr>
                <w:rStyle w:val="IntenseReference"/>
                <w:rFonts w:eastAsiaTheme="majorEastAsia"/>
                <w:i w:val="0"/>
                <w:color w:val="auto"/>
                <w:sz w:val="16"/>
                <w:szCs w:val="16"/>
                <w:lang w:val="it-IT"/>
              </w:rPr>
            </w:pPr>
            <w:r w:rsidRPr="009D660E">
              <w:rPr>
                <w:rStyle w:val="IntenseReference"/>
                <w:rFonts w:eastAsiaTheme="majorEastAsia"/>
                <w:i w:val="0"/>
                <w:color w:val="auto"/>
                <w:sz w:val="16"/>
                <w:szCs w:val="16"/>
                <w:lang w:val="it-IT"/>
              </w:rPr>
              <w:lastRenderedPageBreak/>
              <w:t>M</w:t>
            </w:r>
            <w:r w:rsidR="00A646C6" w:rsidRPr="009D660E">
              <w:rPr>
                <w:rStyle w:val="IntenseReference"/>
                <w:rFonts w:eastAsiaTheme="majorEastAsia"/>
                <w:i w:val="0"/>
                <w:color w:val="auto"/>
                <w:sz w:val="16"/>
                <w:szCs w:val="16"/>
                <w:lang w:val="it-IT"/>
              </w:rPr>
              <w:t>asa</w:t>
            </w:r>
            <w:r w:rsidRPr="009D660E">
              <w:rPr>
                <w:rStyle w:val="IntenseReference"/>
                <w:rFonts w:eastAsiaTheme="majorEastAsia"/>
                <w:i w:val="0"/>
                <w:color w:val="auto"/>
                <w:sz w:val="16"/>
                <w:szCs w:val="16"/>
                <w:lang w:val="it-IT"/>
              </w:rPr>
              <w:t xml:space="preserve"> 2.2.2 </w:t>
            </w:r>
            <w:r w:rsidR="00A646C6" w:rsidRPr="009D660E">
              <w:rPr>
                <w:rStyle w:val="IntenseReference"/>
                <w:rFonts w:eastAsiaTheme="majorEastAsia"/>
                <w:i w:val="0"/>
                <w:color w:val="auto"/>
                <w:sz w:val="16"/>
                <w:szCs w:val="16"/>
                <w:lang w:val="it-IT"/>
              </w:rPr>
              <w:t>P</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rmir</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simi i dokumentacionit buxhetor dhe n</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 xml:space="preserve"> veçanti elementit t</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 xml:space="preserve"> informacionit t</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 xml:space="preserve"> performanc</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s</w:t>
            </w:r>
          </w:p>
          <w:p w14:paraId="0F43DD81" w14:textId="79ADB9D2" w:rsidR="00BA761C" w:rsidRPr="009D660E" w:rsidRDefault="00BA761C" w:rsidP="00322D0B">
            <w:pPr>
              <w:pStyle w:val="T-bullet0"/>
              <w:spacing w:line="220" w:lineRule="exact"/>
              <w:ind w:left="284" w:hanging="284"/>
              <w:rPr>
                <w:rStyle w:val="IntenseReference"/>
                <w:rFonts w:eastAsiaTheme="majorEastAsia"/>
                <w:i w:val="0"/>
                <w:color w:val="auto"/>
                <w:sz w:val="16"/>
                <w:szCs w:val="16"/>
                <w:lang w:val="it-IT"/>
              </w:rPr>
            </w:pPr>
            <w:r w:rsidRPr="009D660E">
              <w:rPr>
                <w:rStyle w:val="IntenseReference"/>
                <w:rFonts w:eastAsiaTheme="majorEastAsia"/>
                <w:i w:val="0"/>
                <w:color w:val="auto"/>
                <w:sz w:val="16"/>
                <w:szCs w:val="16"/>
                <w:lang w:val="it-IT"/>
              </w:rPr>
              <w:t>M</w:t>
            </w:r>
            <w:r w:rsidR="00A646C6" w:rsidRPr="009D660E">
              <w:rPr>
                <w:rStyle w:val="IntenseReference"/>
                <w:rFonts w:eastAsiaTheme="majorEastAsia"/>
                <w:i w:val="0"/>
                <w:color w:val="auto"/>
                <w:sz w:val="16"/>
                <w:szCs w:val="16"/>
                <w:lang w:val="it-IT"/>
              </w:rPr>
              <w:t>asa</w:t>
            </w:r>
            <w:r w:rsidRPr="009D660E">
              <w:rPr>
                <w:rStyle w:val="IntenseReference"/>
                <w:rFonts w:eastAsiaTheme="majorEastAsia"/>
                <w:i w:val="0"/>
                <w:color w:val="auto"/>
                <w:sz w:val="16"/>
                <w:szCs w:val="16"/>
                <w:lang w:val="it-IT"/>
              </w:rPr>
              <w:t xml:space="preserve"> 2.2.3 </w:t>
            </w:r>
            <w:r w:rsidR="00E51921" w:rsidRPr="00E51921">
              <w:rPr>
                <w:rStyle w:val="IntenseReference"/>
                <w:rFonts w:eastAsiaTheme="majorEastAsia"/>
                <w:i w:val="0"/>
                <w:color w:val="auto"/>
                <w:sz w:val="16"/>
                <w:szCs w:val="16"/>
              </w:rPr>
              <w:t>Prezantimi i rishikimeve të shpenzimeve</w:t>
            </w:r>
          </w:p>
          <w:p w14:paraId="39954D25" w14:textId="1E3B3297" w:rsidR="00BA761C" w:rsidRPr="009D660E" w:rsidRDefault="00BA761C" w:rsidP="00322D0B">
            <w:pPr>
              <w:pStyle w:val="T-bullet0"/>
              <w:spacing w:line="220" w:lineRule="exact"/>
              <w:ind w:left="284" w:hanging="284"/>
              <w:rPr>
                <w:rStyle w:val="IntenseReference"/>
                <w:b/>
                <w:bCs/>
                <w:i w:val="0"/>
                <w:color w:val="auto"/>
                <w:sz w:val="16"/>
                <w:szCs w:val="16"/>
                <w:lang w:val="it-IT"/>
              </w:rPr>
            </w:pPr>
            <w:r w:rsidRPr="009D660E">
              <w:rPr>
                <w:rStyle w:val="IntenseReference"/>
                <w:rFonts w:eastAsiaTheme="majorEastAsia"/>
                <w:i w:val="0"/>
                <w:color w:val="auto"/>
                <w:sz w:val="16"/>
                <w:szCs w:val="16"/>
                <w:lang w:val="it-IT"/>
              </w:rPr>
              <w:t>M</w:t>
            </w:r>
            <w:r w:rsidR="00A646C6" w:rsidRPr="009D660E">
              <w:rPr>
                <w:rStyle w:val="IntenseReference"/>
                <w:rFonts w:eastAsiaTheme="majorEastAsia"/>
                <w:i w:val="0"/>
                <w:color w:val="auto"/>
                <w:sz w:val="16"/>
                <w:szCs w:val="16"/>
                <w:lang w:val="it-IT"/>
              </w:rPr>
              <w:t>asa</w:t>
            </w:r>
            <w:r w:rsidRPr="009D660E">
              <w:rPr>
                <w:rStyle w:val="IntenseReference"/>
                <w:rFonts w:eastAsiaTheme="majorEastAsia"/>
                <w:i w:val="0"/>
                <w:color w:val="auto"/>
                <w:sz w:val="16"/>
                <w:szCs w:val="16"/>
                <w:lang w:val="it-IT"/>
              </w:rPr>
              <w:t xml:space="preserve"> 2.2.4 </w:t>
            </w:r>
            <w:r w:rsidR="00A646C6" w:rsidRPr="009D660E">
              <w:rPr>
                <w:rStyle w:val="IntenseReference"/>
                <w:rFonts w:eastAsiaTheme="majorEastAsia"/>
                <w:i w:val="0"/>
                <w:color w:val="auto"/>
                <w:sz w:val="16"/>
                <w:szCs w:val="16"/>
                <w:lang w:val="it-IT"/>
              </w:rPr>
              <w:t>Zhvillimi dhe prezantimi i m</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tejsh</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m i buxhetimit t</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 xml:space="preserve"> p</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rgj</w:t>
            </w:r>
            <w:r w:rsidR="008165C9" w:rsidRPr="009D660E">
              <w:rPr>
                <w:rStyle w:val="IntenseReference"/>
                <w:rFonts w:eastAsiaTheme="majorEastAsia"/>
                <w:i w:val="0"/>
                <w:color w:val="auto"/>
                <w:sz w:val="16"/>
                <w:szCs w:val="16"/>
                <w:lang w:val="it-IT"/>
              </w:rPr>
              <w:t>i</w:t>
            </w:r>
            <w:r w:rsidR="00A646C6" w:rsidRPr="009D660E">
              <w:rPr>
                <w:rStyle w:val="IntenseReference"/>
                <w:rFonts w:eastAsiaTheme="majorEastAsia"/>
                <w:i w:val="0"/>
                <w:color w:val="auto"/>
                <w:sz w:val="16"/>
                <w:szCs w:val="16"/>
                <w:lang w:val="it-IT"/>
              </w:rPr>
              <w:t>gjsh</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m gjinor dhe buxhetimit t</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 xml:space="preserve"> p</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rgj</w:t>
            </w:r>
            <w:r w:rsidR="008165C9" w:rsidRPr="009D660E">
              <w:rPr>
                <w:rStyle w:val="IntenseReference"/>
                <w:rFonts w:eastAsiaTheme="majorEastAsia"/>
                <w:i w:val="0"/>
                <w:color w:val="auto"/>
                <w:sz w:val="16"/>
                <w:szCs w:val="16"/>
                <w:lang w:val="it-IT"/>
              </w:rPr>
              <w:t>i</w:t>
            </w:r>
            <w:r w:rsidR="00A646C6" w:rsidRPr="009D660E">
              <w:rPr>
                <w:rStyle w:val="IntenseReference"/>
                <w:rFonts w:eastAsiaTheme="majorEastAsia"/>
                <w:i w:val="0"/>
                <w:color w:val="auto"/>
                <w:sz w:val="16"/>
                <w:szCs w:val="16"/>
                <w:lang w:val="it-IT"/>
              </w:rPr>
              <w:t>gjsh</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m ndaj klim</w:t>
            </w:r>
            <w:r w:rsidR="000A70F5" w:rsidRPr="009D660E">
              <w:rPr>
                <w:rStyle w:val="IntenseReference"/>
                <w:rFonts w:eastAsiaTheme="majorEastAsia"/>
                <w:i w:val="0"/>
                <w:color w:val="auto"/>
                <w:sz w:val="16"/>
                <w:szCs w:val="16"/>
                <w:lang w:val="it-IT"/>
              </w:rPr>
              <w:t>ë</w:t>
            </w:r>
            <w:r w:rsidR="00A646C6" w:rsidRPr="009D660E">
              <w:rPr>
                <w:rStyle w:val="IntenseReference"/>
                <w:rFonts w:eastAsiaTheme="majorEastAsia"/>
                <w:i w:val="0"/>
                <w:color w:val="auto"/>
                <w:sz w:val="16"/>
                <w:szCs w:val="16"/>
                <w:lang w:val="it-IT"/>
              </w:rPr>
              <w:t>s</w:t>
            </w:r>
          </w:p>
          <w:p w14:paraId="49151F15" w14:textId="20063BE6" w:rsidR="00F006E3" w:rsidRPr="009D660E" w:rsidRDefault="008A250D" w:rsidP="00322D0B">
            <w:pPr>
              <w:pStyle w:val="T-bullet0"/>
              <w:spacing w:line="220" w:lineRule="exact"/>
              <w:ind w:left="284" w:hanging="284"/>
              <w:rPr>
                <w:b/>
                <w:bCs/>
                <w:lang w:val="it-IT"/>
              </w:rPr>
            </w:pPr>
            <w:r>
              <w:rPr>
                <w:rStyle w:val="IntenseReference"/>
                <w:rFonts w:eastAsiaTheme="majorEastAsia"/>
                <w:i w:val="0"/>
                <w:color w:val="auto"/>
                <w:sz w:val="16"/>
                <w:szCs w:val="16"/>
                <w:lang w:val="it-IT"/>
              </w:rPr>
              <w:t xml:space="preserve">Masa 2.2.5 </w:t>
            </w:r>
            <w:r w:rsidR="00F006E3" w:rsidRPr="009D660E">
              <w:rPr>
                <w:rStyle w:val="IntenseReference"/>
                <w:rFonts w:eastAsiaTheme="majorEastAsia"/>
                <w:i w:val="0"/>
                <w:color w:val="auto"/>
                <w:sz w:val="16"/>
                <w:szCs w:val="16"/>
                <w:lang w:val="it-IT"/>
              </w:rPr>
              <w:t>Miratimi i Dokumentit të Politikave Prioritare së bashku me Listën Unike</w:t>
            </w:r>
            <w:r w:rsidR="003E4147" w:rsidRPr="009D660E">
              <w:rPr>
                <w:rStyle w:val="IntenseReference"/>
                <w:rFonts w:eastAsiaTheme="majorEastAsia"/>
                <w:i w:val="0"/>
                <w:color w:val="auto"/>
                <w:sz w:val="16"/>
                <w:szCs w:val="16"/>
                <w:lang w:val="it-IT"/>
              </w:rPr>
              <w:t xml:space="preserve"> të Projekteve</w:t>
            </w:r>
            <w:r w:rsidR="00F006E3" w:rsidRPr="009D660E">
              <w:rPr>
                <w:rStyle w:val="IntenseReference"/>
                <w:rFonts w:eastAsiaTheme="majorEastAsia"/>
                <w:i w:val="0"/>
                <w:color w:val="auto"/>
                <w:sz w:val="16"/>
                <w:szCs w:val="16"/>
                <w:lang w:val="it-IT"/>
              </w:rPr>
              <w:t xml:space="preserve"> me Rëndësi Kombëtare si pjesë integrale e saj. </w:t>
            </w:r>
          </w:p>
          <w:p w14:paraId="2FD0DF83" w14:textId="77777777" w:rsidR="00BA761C" w:rsidRPr="009D660E" w:rsidRDefault="00BA761C" w:rsidP="00322D0B">
            <w:pPr>
              <w:pStyle w:val="T-normal"/>
              <w:spacing w:line="220" w:lineRule="exact"/>
              <w:rPr>
                <w:b/>
                <w:bCs/>
                <w:lang w:val="it-IT"/>
              </w:rPr>
            </w:pPr>
          </w:p>
          <w:p w14:paraId="2FBD4F85" w14:textId="0B842860" w:rsidR="00BA761C" w:rsidRPr="009D660E" w:rsidRDefault="00A646C6" w:rsidP="00322D0B">
            <w:pPr>
              <w:pStyle w:val="T-normal"/>
              <w:spacing w:after="60" w:line="220" w:lineRule="exact"/>
              <w:rPr>
                <w:b/>
                <w:bCs/>
                <w:lang w:val="it-IT"/>
              </w:rPr>
            </w:pPr>
            <w:r w:rsidRPr="009D660E">
              <w:rPr>
                <w:b/>
                <w:bCs/>
                <w:lang w:val="it-IT"/>
              </w:rPr>
              <w:t>Komponenti</w:t>
            </w:r>
            <w:r w:rsidR="00BA761C" w:rsidRPr="009D660E">
              <w:rPr>
                <w:b/>
                <w:bCs/>
                <w:lang w:val="it-IT"/>
              </w:rPr>
              <w:t xml:space="preserve"> 2.3 </w:t>
            </w:r>
            <w:r w:rsidRPr="009D660E">
              <w:rPr>
                <w:b/>
                <w:bCs/>
                <w:lang w:val="it-IT"/>
              </w:rPr>
              <w:t>Menaxhimi i Investimeve Publike</w:t>
            </w:r>
          </w:p>
          <w:p w14:paraId="0CA07B4F" w14:textId="6CA7DF2F" w:rsidR="00BA761C" w:rsidRPr="009D660E" w:rsidRDefault="00A646C6" w:rsidP="00322D0B">
            <w:pPr>
              <w:pStyle w:val="T-normal"/>
              <w:spacing w:after="60" w:line="220" w:lineRule="exact"/>
              <w:rPr>
                <w:lang w:val="it-IT"/>
              </w:rPr>
            </w:pPr>
            <w:r w:rsidRPr="009D660E">
              <w:rPr>
                <w:lang w:val="it-IT"/>
              </w:rPr>
              <w:t xml:space="preserve">Synimi </w:t>
            </w:r>
            <w:r w:rsidR="00BA761C" w:rsidRPr="009D660E">
              <w:rPr>
                <w:lang w:val="it-IT"/>
              </w:rPr>
              <w:t xml:space="preserve"> 2030: </w:t>
            </w:r>
            <w:r w:rsidR="00BB5AF0" w:rsidRPr="009D660E">
              <w:rPr>
                <w:lang w:val="it-IT"/>
              </w:rPr>
              <w:t>Nj</w:t>
            </w:r>
            <w:r w:rsidR="000A70F5" w:rsidRPr="009D660E">
              <w:rPr>
                <w:lang w:val="it-IT"/>
              </w:rPr>
              <w:t>ë</w:t>
            </w:r>
            <w:r w:rsidR="00BB5AF0" w:rsidRPr="009D660E">
              <w:rPr>
                <w:lang w:val="it-IT"/>
              </w:rPr>
              <w:t xml:space="preserve"> s</w:t>
            </w:r>
            <w:r w:rsidR="00A023E3" w:rsidRPr="009D660E">
              <w:rPr>
                <w:lang w:val="it-IT"/>
              </w:rPr>
              <w:t>i</w:t>
            </w:r>
            <w:r w:rsidR="00BB5AF0" w:rsidRPr="009D660E">
              <w:rPr>
                <w:lang w:val="it-IT"/>
              </w:rPr>
              <w:t>stem i sh</w:t>
            </w:r>
            <w:r w:rsidR="000A70F5" w:rsidRPr="009D660E">
              <w:rPr>
                <w:lang w:val="it-IT"/>
              </w:rPr>
              <w:t>ë</w:t>
            </w:r>
            <w:r w:rsidR="00BB5AF0" w:rsidRPr="009D660E">
              <w:rPr>
                <w:lang w:val="it-IT"/>
              </w:rPr>
              <w:t>ndosh</w:t>
            </w:r>
            <w:r w:rsidR="000A70F5" w:rsidRPr="009D660E">
              <w:rPr>
                <w:lang w:val="it-IT"/>
              </w:rPr>
              <w:t>ë</w:t>
            </w:r>
            <w:r w:rsidR="00BB5AF0" w:rsidRPr="009D660E">
              <w:rPr>
                <w:lang w:val="it-IT"/>
              </w:rPr>
              <w:t xml:space="preserve"> p</w:t>
            </w:r>
            <w:r w:rsidR="000A70F5" w:rsidRPr="009D660E">
              <w:rPr>
                <w:lang w:val="it-IT"/>
              </w:rPr>
              <w:t>ë</w:t>
            </w:r>
            <w:r w:rsidR="00BB5AF0" w:rsidRPr="009D660E">
              <w:rPr>
                <w:lang w:val="it-IT"/>
              </w:rPr>
              <w:t>r menaxhimin e investimeve publike bazuar n</w:t>
            </w:r>
            <w:r w:rsidR="000A70F5" w:rsidRPr="009D660E">
              <w:rPr>
                <w:lang w:val="it-IT"/>
              </w:rPr>
              <w:t>ë</w:t>
            </w:r>
            <w:r w:rsidR="00BB5AF0" w:rsidRPr="009D660E">
              <w:rPr>
                <w:lang w:val="it-IT"/>
              </w:rPr>
              <w:t xml:space="preserve"> List</w:t>
            </w:r>
            <w:r w:rsidR="000A70F5" w:rsidRPr="009D660E">
              <w:rPr>
                <w:lang w:val="it-IT"/>
              </w:rPr>
              <w:t>ë</w:t>
            </w:r>
            <w:r w:rsidR="00BB5AF0" w:rsidRPr="009D660E">
              <w:rPr>
                <w:lang w:val="it-IT"/>
              </w:rPr>
              <w:t>n Unike t</w:t>
            </w:r>
            <w:r w:rsidR="000A70F5" w:rsidRPr="009D660E">
              <w:rPr>
                <w:lang w:val="it-IT"/>
              </w:rPr>
              <w:t>ë</w:t>
            </w:r>
            <w:r w:rsidR="00A023E3" w:rsidRPr="009D660E">
              <w:rPr>
                <w:lang w:val="it-IT"/>
              </w:rPr>
              <w:t xml:space="preserve"> Projekteve me R</w:t>
            </w:r>
            <w:r w:rsidR="000A70F5" w:rsidRPr="009D660E">
              <w:rPr>
                <w:lang w:val="it-IT"/>
              </w:rPr>
              <w:t>ë</w:t>
            </w:r>
            <w:r w:rsidR="00BB5AF0" w:rsidRPr="009D660E">
              <w:rPr>
                <w:lang w:val="it-IT"/>
              </w:rPr>
              <w:t>nd</w:t>
            </w:r>
            <w:r w:rsidR="000A70F5" w:rsidRPr="009D660E">
              <w:rPr>
                <w:lang w:val="it-IT"/>
              </w:rPr>
              <w:t>ë</w:t>
            </w:r>
            <w:r w:rsidR="00BB5AF0" w:rsidRPr="009D660E">
              <w:rPr>
                <w:lang w:val="it-IT"/>
              </w:rPr>
              <w:t>si Komb</w:t>
            </w:r>
            <w:r w:rsidR="000A70F5" w:rsidRPr="009D660E">
              <w:rPr>
                <w:lang w:val="it-IT"/>
              </w:rPr>
              <w:t>ë</w:t>
            </w:r>
            <w:r w:rsidR="00BB5AF0" w:rsidRPr="009D660E">
              <w:rPr>
                <w:lang w:val="it-IT"/>
              </w:rPr>
              <w:t>tare, praktikat e bazuara n</w:t>
            </w:r>
            <w:r w:rsidR="000A70F5" w:rsidRPr="009D660E">
              <w:rPr>
                <w:lang w:val="it-IT"/>
              </w:rPr>
              <w:t>ë</w:t>
            </w:r>
            <w:r w:rsidR="00BB5AF0" w:rsidRPr="009D660E">
              <w:rPr>
                <w:lang w:val="it-IT"/>
              </w:rPr>
              <w:t xml:space="preserve"> merit</w:t>
            </w:r>
            <w:r w:rsidR="000A70F5" w:rsidRPr="009D660E">
              <w:rPr>
                <w:lang w:val="it-IT"/>
              </w:rPr>
              <w:t>ë</w:t>
            </w:r>
            <w:r w:rsidR="00BB5AF0" w:rsidRPr="009D660E">
              <w:rPr>
                <w:lang w:val="it-IT"/>
              </w:rPr>
              <w:t xml:space="preserve"> p</w:t>
            </w:r>
            <w:r w:rsidR="000A70F5" w:rsidRPr="009D660E">
              <w:rPr>
                <w:lang w:val="it-IT"/>
              </w:rPr>
              <w:t>ë</w:t>
            </w:r>
            <w:r w:rsidR="00BB5AF0" w:rsidRPr="009D660E">
              <w:rPr>
                <w:lang w:val="it-IT"/>
              </w:rPr>
              <w:t>r vler</w:t>
            </w:r>
            <w:r w:rsidR="000A70F5" w:rsidRPr="009D660E">
              <w:rPr>
                <w:lang w:val="it-IT"/>
              </w:rPr>
              <w:t>ë</w:t>
            </w:r>
            <w:r w:rsidR="00BB5AF0" w:rsidRPr="009D660E">
              <w:rPr>
                <w:lang w:val="it-IT"/>
              </w:rPr>
              <w:t>simin dhe p</w:t>
            </w:r>
            <w:r w:rsidR="000A70F5" w:rsidRPr="009D660E">
              <w:rPr>
                <w:lang w:val="it-IT"/>
              </w:rPr>
              <w:t>ë</w:t>
            </w:r>
            <w:r w:rsidR="00BB5AF0" w:rsidRPr="009D660E">
              <w:rPr>
                <w:lang w:val="it-IT"/>
              </w:rPr>
              <w:t>rzgjedhjen e projekteve t</w:t>
            </w:r>
            <w:r w:rsidR="000A70F5" w:rsidRPr="009D660E">
              <w:rPr>
                <w:lang w:val="it-IT"/>
              </w:rPr>
              <w:t>ë</w:t>
            </w:r>
            <w:r w:rsidR="00BB5AF0" w:rsidRPr="009D660E">
              <w:rPr>
                <w:lang w:val="it-IT"/>
              </w:rPr>
              <w:t xml:space="preserve"> lidhura me objektivat strategjike t</w:t>
            </w:r>
            <w:r w:rsidR="000A70F5" w:rsidRPr="009D660E">
              <w:rPr>
                <w:lang w:val="it-IT"/>
              </w:rPr>
              <w:t>ë</w:t>
            </w:r>
            <w:r w:rsidR="00BB5AF0" w:rsidRPr="009D660E">
              <w:rPr>
                <w:lang w:val="it-IT"/>
              </w:rPr>
              <w:t xml:space="preserve"> qeveris</w:t>
            </w:r>
            <w:r w:rsidR="000A70F5" w:rsidRPr="009D660E">
              <w:rPr>
                <w:lang w:val="it-IT"/>
              </w:rPr>
              <w:t>ë</w:t>
            </w:r>
            <w:r w:rsidR="00BB5AF0" w:rsidRPr="009D660E">
              <w:rPr>
                <w:lang w:val="it-IT"/>
              </w:rPr>
              <w:t xml:space="preserve"> dhe monitorim transparent, raportim dhe vler</w:t>
            </w:r>
            <w:r w:rsidR="000A70F5" w:rsidRPr="009D660E">
              <w:rPr>
                <w:lang w:val="it-IT"/>
              </w:rPr>
              <w:t>ë</w:t>
            </w:r>
            <w:r w:rsidR="00BB5AF0" w:rsidRPr="009D660E">
              <w:rPr>
                <w:lang w:val="it-IT"/>
              </w:rPr>
              <w:t>sim p</w:t>
            </w:r>
            <w:r w:rsidR="000A70F5" w:rsidRPr="009D660E">
              <w:rPr>
                <w:lang w:val="it-IT"/>
              </w:rPr>
              <w:t>ë</w:t>
            </w:r>
            <w:r w:rsidR="00BB5AF0" w:rsidRPr="009D660E">
              <w:rPr>
                <w:lang w:val="it-IT"/>
              </w:rPr>
              <w:t>r p</w:t>
            </w:r>
            <w:r w:rsidR="000A70F5" w:rsidRPr="009D660E">
              <w:rPr>
                <w:lang w:val="it-IT"/>
              </w:rPr>
              <w:t>ë</w:t>
            </w:r>
            <w:r w:rsidR="00BB5AF0" w:rsidRPr="009D660E">
              <w:rPr>
                <w:lang w:val="it-IT"/>
              </w:rPr>
              <w:t>rzgjedhjen, ekzekutimin dhe p</w:t>
            </w:r>
            <w:r w:rsidR="000A70F5" w:rsidRPr="009D660E">
              <w:rPr>
                <w:lang w:val="it-IT"/>
              </w:rPr>
              <w:t>ë</w:t>
            </w:r>
            <w:r w:rsidR="00BB5AF0" w:rsidRPr="009D660E">
              <w:rPr>
                <w:lang w:val="it-IT"/>
              </w:rPr>
              <w:t>rfundimin e projekteve t</w:t>
            </w:r>
            <w:r w:rsidR="000A70F5" w:rsidRPr="009D660E">
              <w:rPr>
                <w:lang w:val="it-IT"/>
              </w:rPr>
              <w:t>ë</w:t>
            </w:r>
            <w:r w:rsidR="00BB5AF0" w:rsidRPr="009D660E">
              <w:rPr>
                <w:lang w:val="it-IT"/>
              </w:rPr>
              <w:t xml:space="preserve"> investimeve publike </w:t>
            </w:r>
          </w:p>
          <w:p w14:paraId="03A73EF3" w14:textId="14FC87CE" w:rsidR="00BA761C" w:rsidRPr="001F151E" w:rsidRDefault="00BB5AF0" w:rsidP="00322D0B">
            <w:pPr>
              <w:spacing w:line="220" w:lineRule="exact"/>
              <w:jc w:val="both"/>
              <w:rPr>
                <w:sz w:val="16"/>
                <w:szCs w:val="16"/>
              </w:rPr>
            </w:pPr>
            <w:r>
              <w:rPr>
                <w:sz w:val="16"/>
                <w:szCs w:val="16"/>
              </w:rPr>
              <w:t>Masat p</w:t>
            </w:r>
            <w:r w:rsidR="000A70F5">
              <w:rPr>
                <w:sz w:val="16"/>
                <w:szCs w:val="16"/>
              </w:rPr>
              <w:t>ë</w:t>
            </w:r>
            <w:r>
              <w:rPr>
                <w:sz w:val="16"/>
                <w:szCs w:val="16"/>
              </w:rPr>
              <w:t>r vitet</w:t>
            </w:r>
            <w:r w:rsidR="00BA761C" w:rsidRPr="001F151E">
              <w:rPr>
                <w:sz w:val="16"/>
                <w:szCs w:val="16"/>
              </w:rPr>
              <w:t xml:space="preserve"> 2023-2026:</w:t>
            </w:r>
          </w:p>
          <w:p w14:paraId="42269B10" w14:textId="5A9761E5" w:rsidR="00BA761C" w:rsidRPr="009D660E" w:rsidRDefault="00BA761C" w:rsidP="00322D0B">
            <w:pPr>
              <w:pStyle w:val="T-bullet0"/>
              <w:spacing w:line="220" w:lineRule="exact"/>
              <w:rPr>
                <w:rStyle w:val="IntenseReference"/>
                <w:i w:val="0"/>
                <w:color w:val="auto"/>
                <w:sz w:val="16"/>
                <w:szCs w:val="16"/>
                <w:lang w:val="it-IT"/>
              </w:rPr>
            </w:pPr>
            <w:r w:rsidRPr="009D660E">
              <w:rPr>
                <w:rStyle w:val="IntenseReference"/>
                <w:i w:val="0"/>
                <w:color w:val="auto"/>
                <w:sz w:val="16"/>
                <w:szCs w:val="16"/>
                <w:lang w:val="it-IT"/>
              </w:rPr>
              <w:t>M</w:t>
            </w:r>
            <w:r w:rsidR="00BB5AF0" w:rsidRPr="009D660E">
              <w:rPr>
                <w:rStyle w:val="IntenseReference"/>
                <w:i w:val="0"/>
                <w:color w:val="auto"/>
                <w:sz w:val="16"/>
                <w:szCs w:val="16"/>
                <w:lang w:val="it-IT"/>
              </w:rPr>
              <w:t>asa</w:t>
            </w:r>
            <w:r w:rsidRPr="009D660E">
              <w:rPr>
                <w:rStyle w:val="IntenseReference"/>
                <w:i w:val="0"/>
                <w:color w:val="auto"/>
                <w:sz w:val="16"/>
                <w:szCs w:val="16"/>
                <w:lang w:val="it-IT"/>
              </w:rPr>
              <w:t xml:space="preserve"> 2.3.1 </w:t>
            </w:r>
            <w:r w:rsidR="00730674" w:rsidRPr="009D660E">
              <w:rPr>
                <w:rStyle w:val="IntenseReference"/>
                <w:i w:val="0"/>
                <w:color w:val="auto"/>
                <w:sz w:val="16"/>
                <w:szCs w:val="16"/>
                <w:lang w:val="it-IT"/>
              </w:rPr>
              <w:t>Operacionalizimi</w:t>
            </w:r>
            <w:r w:rsidR="00BB5AF0" w:rsidRPr="009D660E">
              <w:rPr>
                <w:rStyle w:val="IntenseReference"/>
                <w:i w:val="0"/>
                <w:color w:val="auto"/>
                <w:sz w:val="16"/>
                <w:szCs w:val="16"/>
                <w:lang w:val="it-IT"/>
              </w:rPr>
              <w:t xml:space="preserve"> i procedurave p</w:t>
            </w:r>
            <w:r w:rsidR="000A70F5" w:rsidRPr="009D660E">
              <w:rPr>
                <w:rStyle w:val="IntenseReference"/>
                <w:i w:val="0"/>
                <w:color w:val="auto"/>
                <w:sz w:val="16"/>
                <w:szCs w:val="16"/>
                <w:lang w:val="it-IT"/>
              </w:rPr>
              <w:t>ë</w:t>
            </w:r>
            <w:r w:rsidR="00BB5AF0" w:rsidRPr="009D660E">
              <w:rPr>
                <w:rStyle w:val="IntenseReference"/>
                <w:i w:val="0"/>
                <w:color w:val="auto"/>
                <w:sz w:val="16"/>
                <w:szCs w:val="16"/>
                <w:lang w:val="it-IT"/>
              </w:rPr>
              <w:t>r p</w:t>
            </w:r>
            <w:r w:rsidR="000A70F5" w:rsidRPr="009D660E">
              <w:rPr>
                <w:rStyle w:val="IntenseReference"/>
                <w:i w:val="0"/>
                <w:color w:val="auto"/>
                <w:sz w:val="16"/>
                <w:szCs w:val="16"/>
                <w:lang w:val="it-IT"/>
              </w:rPr>
              <w:t>ë</w:t>
            </w:r>
            <w:r w:rsidR="00BB5AF0" w:rsidRPr="009D660E">
              <w:rPr>
                <w:rStyle w:val="IntenseReference"/>
                <w:i w:val="0"/>
                <w:color w:val="auto"/>
                <w:sz w:val="16"/>
                <w:szCs w:val="16"/>
                <w:lang w:val="it-IT"/>
              </w:rPr>
              <w:t>rmir</w:t>
            </w:r>
            <w:r w:rsidR="000A70F5" w:rsidRPr="009D660E">
              <w:rPr>
                <w:rStyle w:val="IntenseReference"/>
                <w:i w:val="0"/>
                <w:color w:val="auto"/>
                <w:sz w:val="16"/>
                <w:szCs w:val="16"/>
                <w:lang w:val="it-IT"/>
              </w:rPr>
              <w:t>ë</w:t>
            </w:r>
            <w:r w:rsidR="00BB5AF0" w:rsidRPr="009D660E">
              <w:rPr>
                <w:rStyle w:val="IntenseReference"/>
                <w:i w:val="0"/>
                <w:color w:val="auto"/>
                <w:sz w:val="16"/>
                <w:szCs w:val="16"/>
                <w:lang w:val="it-IT"/>
              </w:rPr>
              <w:t>simin e menaxhimit t</w:t>
            </w:r>
            <w:r w:rsidR="000A70F5" w:rsidRPr="009D660E">
              <w:rPr>
                <w:rStyle w:val="IntenseReference"/>
                <w:i w:val="0"/>
                <w:color w:val="auto"/>
                <w:sz w:val="16"/>
                <w:szCs w:val="16"/>
                <w:lang w:val="it-IT"/>
              </w:rPr>
              <w:t>ë</w:t>
            </w:r>
            <w:r w:rsidR="00BB5AF0" w:rsidRPr="009D660E">
              <w:rPr>
                <w:rStyle w:val="IntenseReference"/>
                <w:i w:val="0"/>
                <w:color w:val="auto"/>
                <w:sz w:val="16"/>
                <w:szCs w:val="16"/>
                <w:lang w:val="it-IT"/>
              </w:rPr>
              <w:t xml:space="preserve"> investimeve publike; </w:t>
            </w:r>
          </w:p>
          <w:p w14:paraId="69216FE1" w14:textId="0C0CA76F" w:rsidR="00BA761C" w:rsidRPr="009D660E" w:rsidRDefault="00BA761C" w:rsidP="00322D0B">
            <w:pPr>
              <w:pStyle w:val="T-bullet0"/>
              <w:spacing w:line="220" w:lineRule="exact"/>
              <w:rPr>
                <w:rStyle w:val="IntenseReference"/>
                <w:i w:val="0"/>
                <w:color w:val="auto"/>
                <w:sz w:val="16"/>
                <w:szCs w:val="16"/>
                <w:lang w:val="it-IT"/>
              </w:rPr>
            </w:pPr>
            <w:r w:rsidRPr="009D660E">
              <w:rPr>
                <w:rStyle w:val="IntenseReference"/>
                <w:i w:val="0"/>
                <w:color w:val="auto"/>
                <w:sz w:val="16"/>
                <w:szCs w:val="16"/>
                <w:lang w:val="it-IT"/>
              </w:rPr>
              <w:t>M</w:t>
            </w:r>
            <w:r w:rsidR="00BB5AF0" w:rsidRPr="009D660E">
              <w:rPr>
                <w:rStyle w:val="IntenseReference"/>
                <w:i w:val="0"/>
                <w:color w:val="auto"/>
                <w:sz w:val="16"/>
                <w:szCs w:val="16"/>
                <w:lang w:val="it-IT"/>
              </w:rPr>
              <w:t>asa</w:t>
            </w:r>
            <w:r w:rsidRPr="009D660E">
              <w:rPr>
                <w:rStyle w:val="IntenseReference"/>
                <w:i w:val="0"/>
                <w:color w:val="auto"/>
                <w:sz w:val="16"/>
                <w:szCs w:val="16"/>
                <w:lang w:val="it-IT"/>
              </w:rPr>
              <w:t xml:space="preserve"> 2.3.2 </w:t>
            </w:r>
            <w:r w:rsidR="00BB5AF0" w:rsidRPr="009D660E">
              <w:rPr>
                <w:rStyle w:val="IntenseReference"/>
                <w:i w:val="0"/>
                <w:color w:val="auto"/>
                <w:sz w:val="16"/>
                <w:szCs w:val="16"/>
                <w:lang w:val="it-IT"/>
              </w:rPr>
              <w:t>Forcimi i List</w:t>
            </w:r>
            <w:r w:rsidR="000A70F5" w:rsidRPr="009D660E">
              <w:rPr>
                <w:rStyle w:val="IntenseReference"/>
                <w:i w:val="0"/>
                <w:color w:val="auto"/>
                <w:sz w:val="16"/>
                <w:szCs w:val="16"/>
                <w:lang w:val="it-IT"/>
              </w:rPr>
              <w:t>ë</w:t>
            </w:r>
            <w:r w:rsidR="00BB5AF0" w:rsidRPr="009D660E">
              <w:rPr>
                <w:rStyle w:val="IntenseReference"/>
                <w:i w:val="0"/>
                <w:color w:val="auto"/>
                <w:sz w:val="16"/>
                <w:szCs w:val="16"/>
                <w:lang w:val="it-IT"/>
              </w:rPr>
              <w:t>s Unike t</w:t>
            </w:r>
            <w:r w:rsidR="000A70F5" w:rsidRPr="009D660E">
              <w:rPr>
                <w:rStyle w:val="IntenseReference"/>
                <w:i w:val="0"/>
                <w:color w:val="auto"/>
                <w:sz w:val="16"/>
                <w:szCs w:val="16"/>
                <w:lang w:val="it-IT"/>
              </w:rPr>
              <w:t>ë</w:t>
            </w:r>
            <w:r w:rsidR="00BB5AF0" w:rsidRPr="009D660E">
              <w:rPr>
                <w:rStyle w:val="IntenseReference"/>
                <w:i w:val="0"/>
                <w:color w:val="auto"/>
                <w:sz w:val="16"/>
                <w:szCs w:val="16"/>
                <w:lang w:val="it-IT"/>
              </w:rPr>
              <w:t xml:space="preserve"> Projekteve dhe rritja e rolit </w:t>
            </w:r>
            <w:r w:rsidR="00286750" w:rsidRPr="009D660E">
              <w:rPr>
                <w:rStyle w:val="IntenseReference"/>
                <w:i w:val="0"/>
                <w:color w:val="auto"/>
                <w:sz w:val="16"/>
                <w:szCs w:val="16"/>
                <w:lang w:val="it-IT"/>
              </w:rPr>
              <w:t>gatekeep-er t</w:t>
            </w:r>
            <w:r w:rsidR="000A70F5" w:rsidRPr="009D660E">
              <w:rPr>
                <w:rStyle w:val="IntenseReference"/>
                <w:i w:val="0"/>
                <w:color w:val="auto"/>
                <w:sz w:val="16"/>
                <w:szCs w:val="16"/>
                <w:lang w:val="it-IT"/>
              </w:rPr>
              <w:t>ë</w:t>
            </w:r>
            <w:r w:rsidR="00286750" w:rsidRPr="009D660E">
              <w:rPr>
                <w:rStyle w:val="IntenseReference"/>
                <w:i w:val="0"/>
                <w:color w:val="auto"/>
                <w:sz w:val="16"/>
                <w:szCs w:val="16"/>
                <w:lang w:val="it-IT"/>
              </w:rPr>
              <w:t xml:space="preserve"> MF-s</w:t>
            </w:r>
            <w:r w:rsidR="000A70F5" w:rsidRPr="009D660E">
              <w:rPr>
                <w:rStyle w:val="IntenseReference"/>
                <w:i w:val="0"/>
                <w:color w:val="auto"/>
                <w:sz w:val="16"/>
                <w:szCs w:val="16"/>
                <w:lang w:val="it-IT"/>
              </w:rPr>
              <w:t>ë</w:t>
            </w:r>
            <w:r w:rsidR="00603906" w:rsidRPr="009D660E">
              <w:rPr>
                <w:rStyle w:val="IntenseReference"/>
                <w:i w:val="0"/>
                <w:color w:val="auto"/>
                <w:sz w:val="16"/>
                <w:szCs w:val="16"/>
                <w:lang w:val="it-IT"/>
              </w:rPr>
              <w:t>;</w:t>
            </w:r>
          </w:p>
          <w:p w14:paraId="5C7FF4E3" w14:textId="77777777" w:rsidR="00800575" w:rsidRPr="009D660E" w:rsidRDefault="00800575" w:rsidP="00800575">
            <w:pPr>
              <w:pStyle w:val="T-bullet0"/>
              <w:numPr>
                <w:ilvl w:val="0"/>
                <w:numId w:val="0"/>
              </w:numPr>
              <w:spacing w:line="220" w:lineRule="exact"/>
              <w:ind w:left="360"/>
              <w:rPr>
                <w:lang w:val="it-IT"/>
              </w:rPr>
            </w:pPr>
          </w:p>
          <w:p w14:paraId="4CA9E121" w14:textId="77777777" w:rsidR="00B45F59" w:rsidRPr="009D660E" w:rsidRDefault="00B45F59" w:rsidP="00B45F59">
            <w:pPr>
              <w:pStyle w:val="T-normal"/>
              <w:spacing w:after="60" w:line="220" w:lineRule="exact"/>
              <w:rPr>
                <w:b/>
                <w:bCs/>
                <w:lang w:val="it-IT"/>
              </w:rPr>
            </w:pPr>
            <w:r w:rsidRPr="009D660E">
              <w:rPr>
                <w:b/>
                <w:bCs/>
                <w:lang w:val="it-IT"/>
              </w:rPr>
              <w:t>Komponenti 2.4 Financat Vendore</w:t>
            </w:r>
          </w:p>
          <w:p w14:paraId="2C2E9857" w14:textId="77777777" w:rsidR="00B45F59" w:rsidRPr="009D660E" w:rsidRDefault="00B45F59" w:rsidP="00B45F59">
            <w:pPr>
              <w:pStyle w:val="T-normal"/>
              <w:spacing w:after="60" w:line="220" w:lineRule="exact"/>
              <w:rPr>
                <w:lang w:val="it-IT"/>
              </w:rPr>
            </w:pPr>
            <w:r w:rsidRPr="009D660E">
              <w:rPr>
                <w:lang w:val="it-IT"/>
              </w:rPr>
              <w:t>Synimi 2030: Bashkitë të kenë sisteme të fuqishme të MFP-së dhe burime financiare të përshtatshme përmes mekanizmave transparentë të ndarjes dhe transferimit të të ardhurave dhe kapaciteteve të mbledhjes së të ardhurave që u mundësojnë atyre të ofrojnë shërbime publike në përputhje me standardet e aplikueshme.</w:t>
            </w:r>
          </w:p>
          <w:p w14:paraId="129703EC" w14:textId="77777777" w:rsidR="00B45F59" w:rsidRPr="001F151E" w:rsidRDefault="00B45F59" w:rsidP="00B45F59">
            <w:pPr>
              <w:spacing w:line="220" w:lineRule="exact"/>
              <w:jc w:val="both"/>
              <w:rPr>
                <w:sz w:val="16"/>
                <w:szCs w:val="16"/>
              </w:rPr>
            </w:pPr>
            <w:r>
              <w:rPr>
                <w:sz w:val="16"/>
                <w:szCs w:val="16"/>
              </w:rPr>
              <w:t xml:space="preserve">Masat për vitet </w:t>
            </w:r>
            <w:r w:rsidRPr="001F151E">
              <w:rPr>
                <w:sz w:val="16"/>
                <w:szCs w:val="16"/>
              </w:rPr>
              <w:t>2023-2026:</w:t>
            </w:r>
          </w:p>
          <w:p w14:paraId="467E1EB2" w14:textId="77777777" w:rsidR="00B45F59" w:rsidRPr="001F151E" w:rsidRDefault="00B45F59" w:rsidP="00B45F59">
            <w:pPr>
              <w:pStyle w:val="T-Bullet"/>
            </w:pPr>
            <w:r>
              <w:t>Masa</w:t>
            </w:r>
            <w:r w:rsidRPr="001F151E">
              <w:t xml:space="preserve"> 2.4.1 </w:t>
            </w:r>
            <w:r>
              <w:t>Përmirësimi i</w:t>
            </w:r>
            <w:r w:rsidRPr="00985E0C">
              <w:t xml:space="preserve"> formulës së granteve dhe sistem</w:t>
            </w:r>
            <w:r>
              <w:t xml:space="preserve">it të llogaritjes për qeverisjen </w:t>
            </w:r>
            <w:r w:rsidRPr="00985E0C">
              <w:t>vendor</w:t>
            </w:r>
            <w:r>
              <w:t>e</w:t>
            </w:r>
            <w:r w:rsidRPr="001F151E">
              <w:t>;</w:t>
            </w:r>
          </w:p>
          <w:p w14:paraId="6F6C61B6" w14:textId="77777777" w:rsidR="00B45F59" w:rsidRPr="009D660E" w:rsidRDefault="00B45F59" w:rsidP="00B45F59">
            <w:pPr>
              <w:pStyle w:val="T-Bullet"/>
              <w:rPr>
                <w:rStyle w:val="IntenseReference"/>
                <w:b/>
                <w:bCs/>
                <w:i w:val="0"/>
                <w:color w:val="auto"/>
                <w:sz w:val="16"/>
                <w:szCs w:val="16"/>
                <w:lang w:val="it-IT"/>
              </w:rPr>
            </w:pPr>
            <w:r w:rsidRPr="009D660E">
              <w:rPr>
                <w:rStyle w:val="IntenseReference"/>
                <w:rFonts w:eastAsiaTheme="majorEastAsia"/>
                <w:i w:val="0"/>
                <w:color w:val="auto"/>
                <w:sz w:val="16"/>
                <w:szCs w:val="16"/>
                <w:lang w:val="it-IT"/>
              </w:rPr>
              <w:t>Masa 2.4.2 Forcimi i formulimit dhe monitorimit të zbatimit të PBA-së në Bashkitë;</w:t>
            </w:r>
          </w:p>
          <w:p w14:paraId="2BED7529" w14:textId="77777777" w:rsidR="00B45F59" w:rsidRPr="009D660E" w:rsidRDefault="00B45F59" w:rsidP="00B45F59">
            <w:pPr>
              <w:pStyle w:val="T-Bullet"/>
              <w:rPr>
                <w:rStyle w:val="IntenseReference"/>
                <w:rFonts w:eastAsiaTheme="majorEastAsia"/>
                <w:color w:val="auto"/>
                <w:sz w:val="16"/>
                <w:szCs w:val="16"/>
                <w:lang w:val="it-IT"/>
              </w:rPr>
            </w:pPr>
            <w:r w:rsidRPr="009D660E">
              <w:rPr>
                <w:rStyle w:val="IntenseReference"/>
                <w:rFonts w:eastAsiaTheme="majorEastAsia"/>
                <w:i w:val="0"/>
                <w:color w:val="auto"/>
                <w:sz w:val="16"/>
                <w:szCs w:val="16"/>
                <w:lang w:val="it-IT"/>
              </w:rPr>
              <w:t>Masa 2.4.3 Zhvillimi dhe vendosja e Sistemit të ri të Menaxhimit të Buxhetit Vendor (SMBV) për përgatitjen dhe monitorimin e buxhetit vendor;</w:t>
            </w:r>
          </w:p>
          <w:p w14:paraId="4FB46B0D" w14:textId="77777777" w:rsidR="00B45F59" w:rsidRPr="009D660E" w:rsidRDefault="00B45F59" w:rsidP="00B45F59">
            <w:pPr>
              <w:pStyle w:val="T-Bullet"/>
              <w:rPr>
                <w:rStyle w:val="IntenseReference"/>
                <w:rFonts w:eastAsiaTheme="majorEastAsia"/>
                <w:color w:val="auto"/>
                <w:sz w:val="16"/>
                <w:szCs w:val="16"/>
                <w:lang w:val="it-IT"/>
              </w:rPr>
            </w:pPr>
            <w:r w:rsidRPr="009D660E">
              <w:rPr>
                <w:rStyle w:val="IntenseReference"/>
                <w:rFonts w:eastAsiaTheme="majorEastAsia"/>
                <w:i w:val="0"/>
                <w:color w:val="auto"/>
                <w:sz w:val="16"/>
                <w:szCs w:val="16"/>
                <w:lang w:val="it-IT"/>
              </w:rPr>
              <w:t xml:space="preserve">Masa 2.4.4 </w:t>
            </w:r>
            <w:r w:rsidRPr="009D660E">
              <w:rPr>
                <w:bCs/>
                <w:lang w:val="it-IT"/>
              </w:rPr>
              <w:t>Përmirësimi i nivelit të burimeve financiare nga taksat e ndara</w:t>
            </w:r>
          </w:p>
          <w:p w14:paraId="74CE997F" w14:textId="77777777" w:rsidR="00BA761C" w:rsidRPr="009D660E" w:rsidRDefault="00BA761C" w:rsidP="00322D0B">
            <w:pPr>
              <w:pStyle w:val="T-normal"/>
              <w:spacing w:line="220" w:lineRule="exact"/>
              <w:rPr>
                <w:b/>
                <w:bCs/>
                <w:lang w:val="it-IT"/>
              </w:rPr>
            </w:pPr>
          </w:p>
          <w:p w14:paraId="1D8CA37D" w14:textId="426EA887" w:rsidR="00BA761C" w:rsidRPr="009D660E" w:rsidRDefault="00286750" w:rsidP="00322D0B">
            <w:pPr>
              <w:pStyle w:val="T-normal"/>
              <w:spacing w:after="60" w:line="220" w:lineRule="exact"/>
              <w:rPr>
                <w:b/>
                <w:bCs/>
                <w:lang w:val="it-IT"/>
              </w:rPr>
            </w:pPr>
            <w:r w:rsidRPr="009D660E">
              <w:rPr>
                <w:b/>
                <w:bCs/>
                <w:lang w:val="it-IT"/>
              </w:rPr>
              <w:t>Komponenti</w:t>
            </w:r>
            <w:r w:rsidR="00BA761C" w:rsidRPr="009D660E">
              <w:rPr>
                <w:b/>
                <w:bCs/>
                <w:lang w:val="it-IT"/>
              </w:rPr>
              <w:t xml:space="preserve"> 2.5 </w:t>
            </w:r>
            <w:r w:rsidR="00A74514" w:rsidRPr="009D660E">
              <w:rPr>
                <w:b/>
                <w:bCs/>
                <w:lang w:val="it-IT"/>
              </w:rPr>
              <w:t xml:space="preserve">Raportimi </w:t>
            </w:r>
            <w:r w:rsidR="0003780F" w:rsidRPr="009D660E">
              <w:rPr>
                <w:b/>
                <w:bCs/>
                <w:lang w:val="it-IT"/>
              </w:rPr>
              <w:t xml:space="preserve">dhe Monitorimi </w:t>
            </w:r>
            <w:r w:rsidR="00A74514" w:rsidRPr="009D660E">
              <w:rPr>
                <w:b/>
                <w:bCs/>
                <w:lang w:val="it-IT"/>
              </w:rPr>
              <w:t xml:space="preserve">i </w:t>
            </w:r>
            <w:r w:rsidR="002E0F45" w:rsidRPr="009D660E">
              <w:rPr>
                <w:b/>
                <w:bCs/>
                <w:lang w:val="it-IT"/>
              </w:rPr>
              <w:t>Zbatimit</w:t>
            </w:r>
            <w:r w:rsidR="00A74514" w:rsidRPr="009D660E">
              <w:rPr>
                <w:b/>
                <w:bCs/>
                <w:lang w:val="it-IT"/>
              </w:rPr>
              <w:t xml:space="preserve"> t</w:t>
            </w:r>
            <w:r w:rsidR="000A70F5" w:rsidRPr="009D660E">
              <w:rPr>
                <w:b/>
                <w:bCs/>
                <w:lang w:val="it-IT"/>
              </w:rPr>
              <w:t>ë</w:t>
            </w:r>
            <w:r w:rsidR="00A74514" w:rsidRPr="009D660E">
              <w:rPr>
                <w:b/>
                <w:bCs/>
                <w:lang w:val="it-IT"/>
              </w:rPr>
              <w:t xml:space="preserve"> Buxhetit</w:t>
            </w:r>
          </w:p>
          <w:p w14:paraId="3768BFF6" w14:textId="30AB9A0D" w:rsidR="00BA761C" w:rsidRPr="009D660E" w:rsidRDefault="00286750" w:rsidP="00322D0B">
            <w:pPr>
              <w:pStyle w:val="T-normal"/>
              <w:spacing w:after="60" w:line="220" w:lineRule="exact"/>
              <w:rPr>
                <w:lang w:val="it-IT"/>
              </w:rPr>
            </w:pPr>
            <w:r w:rsidRPr="009D660E">
              <w:rPr>
                <w:lang w:val="it-IT"/>
              </w:rPr>
              <w:t>Synimi</w:t>
            </w:r>
            <w:r w:rsidR="00BA761C" w:rsidRPr="009D660E">
              <w:rPr>
                <w:lang w:val="it-IT"/>
              </w:rPr>
              <w:t xml:space="preserve"> 2030: </w:t>
            </w:r>
            <w:r w:rsidRPr="009D660E">
              <w:rPr>
                <w:lang w:val="it-IT"/>
              </w:rPr>
              <w:t>Ekziston nj</w:t>
            </w:r>
            <w:r w:rsidR="000A70F5" w:rsidRPr="009D660E">
              <w:rPr>
                <w:lang w:val="it-IT"/>
              </w:rPr>
              <w:t>ë</w:t>
            </w:r>
            <w:r w:rsidRPr="009D660E">
              <w:rPr>
                <w:lang w:val="it-IT"/>
              </w:rPr>
              <w:t xml:space="preserve"> sistem gjith</w:t>
            </w:r>
            <w:r w:rsidR="000A70F5" w:rsidRPr="009D660E">
              <w:rPr>
                <w:lang w:val="it-IT"/>
              </w:rPr>
              <w:t>ë</w:t>
            </w:r>
            <w:r w:rsidRPr="009D660E">
              <w:rPr>
                <w:lang w:val="it-IT"/>
              </w:rPr>
              <w:t>p</w:t>
            </w:r>
            <w:r w:rsidR="000A70F5" w:rsidRPr="009D660E">
              <w:rPr>
                <w:lang w:val="it-IT"/>
              </w:rPr>
              <w:t>ë</w:t>
            </w:r>
            <w:r w:rsidRPr="009D660E">
              <w:rPr>
                <w:lang w:val="it-IT"/>
              </w:rPr>
              <w:t>rfshir</w:t>
            </w:r>
            <w:r w:rsidR="000A70F5" w:rsidRPr="009D660E">
              <w:rPr>
                <w:lang w:val="it-IT"/>
              </w:rPr>
              <w:t>ë</w:t>
            </w:r>
            <w:r w:rsidRPr="009D660E">
              <w:rPr>
                <w:lang w:val="it-IT"/>
              </w:rPr>
              <w:t>s dhe transparent i monitorimit dhe raportimit t</w:t>
            </w:r>
            <w:r w:rsidR="000A70F5" w:rsidRPr="009D660E">
              <w:rPr>
                <w:lang w:val="it-IT"/>
              </w:rPr>
              <w:t>ë</w:t>
            </w:r>
            <w:r w:rsidRPr="009D660E">
              <w:rPr>
                <w:lang w:val="it-IT"/>
              </w:rPr>
              <w:t xml:space="preserve"> buxhetit n</w:t>
            </w:r>
            <w:r w:rsidR="000A70F5" w:rsidRPr="009D660E">
              <w:rPr>
                <w:lang w:val="it-IT"/>
              </w:rPr>
              <w:t>ë</w:t>
            </w:r>
            <w:r w:rsidRPr="009D660E">
              <w:rPr>
                <w:lang w:val="it-IT"/>
              </w:rPr>
              <w:t xml:space="preserve"> nivel t</w:t>
            </w:r>
            <w:r w:rsidR="000A70F5" w:rsidRPr="009D660E">
              <w:rPr>
                <w:lang w:val="it-IT"/>
              </w:rPr>
              <w:t>ë</w:t>
            </w:r>
            <w:r w:rsidRPr="009D660E">
              <w:rPr>
                <w:lang w:val="it-IT"/>
              </w:rPr>
              <w:t xml:space="preserve"> institucioneve buxhetore dhe n</w:t>
            </w:r>
            <w:r w:rsidR="000A70F5" w:rsidRPr="009D660E">
              <w:rPr>
                <w:lang w:val="it-IT"/>
              </w:rPr>
              <w:t>ë</w:t>
            </w:r>
            <w:r w:rsidRPr="009D660E">
              <w:rPr>
                <w:lang w:val="it-IT"/>
              </w:rPr>
              <w:t xml:space="preserve"> nivel </w:t>
            </w:r>
            <w:r w:rsidR="003A3C61" w:rsidRPr="009D660E">
              <w:rPr>
                <w:lang w:val="it-IT"/>
              </w:rPr>
              <w:t>qendror q</w:t>
            </w:r>
            <w:r w:rsidR="000A70F5" w:rsidRPr="009D660E">
              <w:rPr>
                <w:lang w:val="it-IT"/>
              </w:rPr>
              <w:t>ë</w:t>
            </w:r>
            <w:r w:rsidR="003A3C61" w:rsidRPr="009D660E">
              <w:rPr>
                <w:lang w:val="it-IT"/>
              </w:rPr>
              <w:t xml:space="preserve"> mbulon t</w:t>
            </w:r>
            <w:r w:rsidR="000A70F5" w:rsidRPr="009D660E">
              <w:rPr>
                <w:lang w:val="it-IT"/>
              </w:rPr>
              <w:t>ë</w:t>
            </w:r>
            <w:r w:rsidR="003A3C61" w:rsidRPr="009D660E">
              <w:rPr>
                <w:lang w:val="it-IT"/>
              </w:rPr>
              <w:t xml:space="preserve"> gjitha aspektet e raportimit buxhetor</w:t>
            </w:r>
            <w:r w:rsidR="00BA761C" w:rsidRPr="009D660E">
              <w:rPr>
                <w:lang w:val="it-IT"/>
              </w:rPr>
              <w:t>.</w:t>
            </w:r>
          </w:p>
          <w:p w14:paraId="48991A22" w14:textId="6D0AD093" w:rsidR="00BA761C" w:rsidRPr="001F151E" w:rsidRDefault="003A3C61" w:rsidP="00322D0B">
            <w:pPr>
              <w:spacing w:line="220" w:lineRule="exact"/>
              <w:jc w:val="both"/>
              <w:rPr>
                <w:sz w:val="16"/>
                <w:szCs w:val="16"/>
              </w:rPr>
            </w:pPr>
            <w:r>
              <w:rPr>
                <w:sz w:val="16"/>
                <w:szCs w:val="16"/>
              </w:rPr>
              <w:t>Masat p</w:t>
            </w:r>
            <w:r w:rsidR="000A70F5">
              <w:rPr>
                <w:sz w:val="16"/>
                <w:szCs w:val="16"/>
              </w:rPr>
              <w:t>ë</w:t>
            </w:r>
            <w:r>
              <w:rPr>
                <w:sz w:val="16"/>
                <w:szCs w:val="16"/>
              </w:rPr>
              <w:t>r vitet</w:t>
            </w:r>
            <w:r w:rsidR="00BA761C" w:rsidRPr="001F151E">
              <w:rPr>
                <w:sz w:val="16"/>
                <w:szCs w:val="16"/>
              </w:rPr>
              <w:t xml:space="preserve"> 2023-2026:</w:t>
            </w:r>
          </w:p>
          <w:p w14:paraId="348C550E" w14:textId="095903A7" w:rsidR="00BA761C" w:rsidRPr="001F151E" w:rsidRDefault="00BA761C" w:rsidP="009C35E5">
            <w:pPr>
              <w:pStyle w:val="T-Bullet"/>
              <w:rPr>
                <w:rStyle w:val="IntenseReference"/>
                <w:rFonts w:eastAsiaTheme="majorEastAsia"/>
                <w:i w:val="0"/>
                <w:color w:val="auto"/>
                <w:sz w:val="16"/>
                <w:szCs w:val="16"/>
              </w:rPr>
            </w:pPr>
            <w:r w:rsidRPr="001F151E">
              <w:rPr>
                <w:rStyle w:val="IntenseReference"/>
                <w:rFonts w:eastAsiaTheme="majorEastAsia"/>
                <w:i w:val="0"/>
                <w:color w:val="auto"/>
                <w:sz w:val="16"/>
                <w:szCs w:val="16"/>
              </w:rPr>
              <w:t>M</w:t>
            </w:r>
            <w:r w:rsidR="0039126A">
              <w:rPr>
                <w:rStyle w:val="IntenseReference"/>
                <w:rFonts w:eastAsiaTheme="majorEastAsia"/>
                <w:i w:val="0"/>
                <w:color w:val="auto"/>
                <w:sz w:val="16"/>
                <w:szCs w:val="16"/>
              </w:rPr>
              <w:t>asa</w:t>
            </w:r>
            <w:r w:rsidRPr="001F151E">
              <w:rPr>
                <w:rStyle w:val="IntenseReference"/>
                <w:rFonts w:eastAsiaTheme="majorEastAsia"/>
                <w:i w:val="0"/>
                <w:color w:val="auto"/>
                <w:sz w:val="16"/>
                <w:szCs w:val="16"/>
              </w:rPr>
              <w:t xml:space="preserve"> 2.5.1 </w:t>
            </w:r>
            <w:r w:rsidR="00C55CFD">
              <w:rPr>
                <w:rStyle w:val="IntenseReference"/>
                <w:rFonts w:eastAsiaTheme="majorEastAsia"/>
                <w:i w:val="0"/>
                <w:color w:val="auto"/>
                <w:sz w:val="16"/>
                <w:szCs w:val="16"/>
              </w:rPr>
              <w:t>P</w:t>
            </w:r>
            <w:r w:rsidR="000A70F5">
              <w:rPr>
                <w:rStyle w:val="IntenseReference"/>
                <w:rFonts w:eastAsiaTheme="majorEastAsia"/>
                <w:i w:val="0"/>
                <w:color w:val="auto"/>
                <w:sz w:val="16"/>
                <w:szCs w:val="16"/>
              </w:rPr>
              <w:t>ë</w:t>
            </w:r>
            <w:r w:rsidR="00C55CFD">
              <w:rPr>
                <w:rStyle w:val="IntenseReference"/>
                <w:rFonts w:eastAsiaTheme="majorEastAsia"/>
                <w:i w:val="0"/>
                <w:color w:val="auto"/>
                <w:sz w:val="16"/>
                <w:szCs w:val="16"/>
              </w:rPr>
              <w:t>rmir</w:t>
            </w:r>
            <w:r w:rsidR="000A70F5">
              <w:rPr>
                <w:rStyle w:val="IntenseReference"/>
                <w:rFonts w:eastAsiaTheme="majorEastAsia"/>
                <w:i w:val="0"/>
                <w:color w:val="auto"/>
                <w:sz w:val="16"/>
                <w:szCs w:val="16"/>
              </w:rPr>
              <w:t>ë</w:t>
            </w:r>
            <w:r w:rsidR="00C55CFD">
              <w:rPr>
                <w:rStyle w:val="IntenseReference"/>
                <w:rFonts w:eastAsiaTheme="majorEastAsia"/>
                <w:i w:val="0"/>
                <w:color w:val="auto"/>
                <w:sz w:val="16"/>
                <w:szCs w:val="16"/>
              </w:rPr>
              <w:t xml:space="preserve">simi </w:t>
            </w:r>
            <w:r w:rsidR="00A023E3">
              <w:rPr>
                <w:rStyle w:val="IntenseReference"/>
                <w:rFonts w:eastAsiaTheme="majorEastAsia"/>
                <w:i w:val="0"/>
                <w:color w:val="auto"/>
                <w:sz w:val="16"/>
                <w:szCs w:val="16"/>
              </w:rPr>
              <w:t>i</w:t>
            </w:r>
            <w:r w:rsidR="002E0F45">
              <w:rPr>
                <w:rStyle w:val="IntenseReference"/>
                <w:rFonts w:eastAsiaTheme="majorEastAsia"/>
                <w:i w:val="0"/>
                <w:color w:val="auto"/>
                <w:sz w:val="16"/>
                <w:szCs w:val="16"/>
              </w:rPr>
              <w:t xml:space="preserve"> </w:t>
            </w:r>
            <w:r w:rsidR="003A3C61">
              <w:rPr>
                <w:rStyle w:val="IntenseReference"/>
                <w:rFonts w:eastAsiaTheme="majorEastAsia"/>
                <w:i w:val="0"/>
                <w:color w:val="auto"/>
                <w:sz w:val="16"/>
                <w:szCs w:val="16"/>
              </w:rPr>
              <w:t>raportimit</w:t>
            </w:r>
            <w:r w:rsidR="00C55CFD">
              <w:rPr>
                <w:rStyle w:val="IntenseReference"/>
                <w:rFonts w:eastAsiaTheme="majorEastAsia"/>
                <w:i w:val="0"/>
                <w:color w:val="auto"/>
                <w:sz w:val="16"/>
                <w:szCs w:val="16"/>
              </w:rPr>
              <w:t xml:space="preserve"> dhe monitorimit</w:t>
            </w:r>
            <w:r w:rsidR="003A3C61">
              <w:rPr>
                <w:rStyle w:val="IntenseReference"/>
                <w:rFonts w:eastAsiaTheme="majorEastAsia"/>
                <w:i w:val="0"/>
                <w:color w:val="auto"/>
                <w:sz w:val="16"/>
                <w:szCs w:val="16"/>
              </w:rPr>
              <w:t xml:space="preserve"> t</w:t>
            </w:r>
            <w:r w:rsidR="000A70F5">
              <w:rPr>
                <w:rStyle w:val="IntenseReference"/>
                <w:rFonts w:eastAsiaTheme="majorEastAsia"/>
                <w:i w:val="0"/>
                <w:color w:val="auto"/>
                <w:sz w:val="16"/>
                <w:szCs w:val="16"/>
              </w:rPr>
              <w:t>ë</w:t>
            </w:r>
            <w:r w:rsidR="003A3C61">
              <w:rPr>
                <w:rStyle w:val="IntenseReference"/>
                <w:rFonts w:eastAsiaTheme="majorEastAsia"/>
                <w:i w:val="0"/>
                <w:color w:val="auto"/>
                <w:sz w:val="16"/>
                <w:szCs w:val="16"/>
              </w:rPr>
              <w:t xml:space="preserve"> </w:t>
            </w:r>
            <w:r w:rsidR="002E0F45">
              <w:rPr>
                <w:rStyle w:val="IntenseReference"/>
                <w:rFonts w:eastAsiaTheme="majorEastAsia"/>
                <w:i w:val="0"/>
                <w:color w:val="auto"/>
                <w:sz w:val="16"/>
                <w:szCs w:val="16"/>
              </w:rPr>
              <w:t>zbatimit</w:t>
            </w:r>
            <w:r w:rsidR="003A3C61">
              <w:rPr>
                <w:rStyle w:val="IntenseReference"/>
                <w:rFonts w:eastAsiaTheme="majorEastAsia"/>
                <w:i w:val="0"/>
                <w:color w:val="auto"/>
                <w:sz w:val="16"/>
                <w:szCs w:val="16"/>
              </w:rPr>
              <w:t xml:space="preserve"> t</w:t>
            </w:r>
            <w:r w:rsidR="000A70F5">
              <w:rPr>
                <w:rStyle w:val="IntenseReference"/>
                <w:rFonts w:eastAsiaTheme="majorEastAsia"/>
                <w:i w:val="0"/>
                <w:color w:val="auto"/>
                <w:sz w:val="16"/>
                <w:szCs w:val="16"/>
              </w:rPr>
              <w:t>ë</w:t>
            </w:r>
            <w:r w:rsidR="003A3C61">
              <w:rPr>
                <w:rStyle w:val="IntenseReference"/>
                <w:rFonts w:eastAsiaTheme="majorEastAsia"/>
                <w:i w:val="0"/>
                <w:color w:val="auto"/>
                <w:sz w:val="16"/>
                <w:szCs w:val="16"/>
              </w:rPr>
              <w:t xml:space="preserve"> buxhetit dhe prezantimi i raportit </w:t>
            </w:r>
            <w:r w:rsidR="0005678A">
              <w:rPr>
                <w:rStyle w:val="IntenseReference"/>
                <w:rFonts w:eastAsiaTheme="majorEastAsia"/>
                <w:i w:val="0"/>
                <w:color w:val="auto"/>
                <w:sz w:val="16"/>
                <w:szCs w:val="16"/>
              </w:rPr>
              <w:t>t</w:t>
            </w:r>
            <w:r w:rsidR="000A70F5">
              <w:rPr>
                <w:rStyle w:val="IntenseReference"/>
                <w:rFonts w:eastAsiaTheme="majorEastAsia"/>
                <w:i w:val="0"/>
                <w:color w:val="auto"/>
                <w:sz w:val="16"/>
                <w:szCs w:val="16"/>
              </w:rPr>
              <w:t>ë</w:t>
            </w:r>
            <w:r w:rsidR="0005678A">
              <w:rPr>
                <w:rStyle w:val="IntenseReference"/>
                <w:rFonts w:eastAsiaTheme="majorEastAsia"/>
                <w:i w:val="0"/>
                <w:color w:val="auto"/>
                <w:sz w:val="16"/>
                <w:szCs w:val="16"/>
              </w:rPr>
              <w:t xml:space="preserve"> </w:t>
            </w:r>
            <w:r w:rsidR="002E0F45">
              <w:rPr>
                <w:rStyle w:val="IntenseReference"/>
                <w:rFonts w:eastAsiaTheme="majorEastAsia"/>
                <w:i w:val="0"/>
                <w:color w:val="auto"/>
                <w:sz w:val="16"/>
                <w:szCs w:val="16"/>
              </w:rPr>
              <w:t>Zbatimit</w:t>
            </w:r>
            <w:r w:rsidR="0005678A">
              <w:rPr>
                <w:rStyle w:val="IntenseReference"/>
                <w:rFonts w:eastAsiaTheme="majorEastAsia"/>
                <w:i w:val="0"/>
                <w:color w:val="auto"/>
                <w:sz w:val="16"/>
                <w:szCs w:val="16"/>
              </w:rPr>
              <w:t xml:space="preserve"> t</w:t>
            </w:r>
            <w:r w:rsidR="000A70F5">
              <w:rPr>
                <w:rStyle w:val="IntenseReference"/>
                <w:rFonts w:eastAsiaTheme="majorEastAsia"/>
                <w:i w:val="0"/>
                <w:color w:val="auto"/>
                <w:sz w:val="16"/>
                <w:szCs w:val="16"/>
              </w:rPr>
              <w:t>ë</w:t>
            </w:r>
            <w:r w:rsidR="0005678A">
              <w:rPr>
                <w:rStyle w:val="IntenseReference"/>
                <w:rFonts w:eastAsiaTheme="majorEastAsia"/>
                <w:i w:val="0"/>
                <w:color w:val="auto"/>
                <w:sz w:val="16"/>
                <w:szCs w:val="16"/>
              </w:rPr>
              <w:t xml:space="preserve"> Buxhetit p</w:t>
            </w:r>
            <w:r w:rsidR="000A70F5">
              <w:rPr>
                <w:rStyle w:val="IntenseReference"/>
                <w:rFonts w:eastAsiaTheme="majorEastAsia"/>
                <w:i w:val="0"/>
                <w:color w:val="auto"/>
                <w:sz w:val="16"/>
                <w:szCs w:val="16"/>
              </w:rPr>
              <w:t>ë</w:t>
            </w:r>
            <w:r w:rsidR="0005678A">
              <w:rPr>
                <w:rStyle w:val="IntenseReference"/>
                <w:rFonts w:eastAsiaTheme="majorEastAsia"/>
                <w:i w:val="0"/>
                <w:color w:val="auto"/>
                <w:sz w:val="16"/>
                <w:szCs w:val="16"/>
              </w:rPr>
              <w:t>r Qytetar</w:t>
            </w:r>
            <w:r w:rsidR="000A70F5">
              <w:rPr>
                <w:rStyle w:val="IntenseReference"/>
                <w:rFonts w:eastAsiaTheme="majorEastAsia"/>
                <w:i w:val="0"/>
                <w:color w:val="auto"/>
                <w:sz w:val="16"/>
                <w:szCs w:val="16"/>
              </w:rPr>
              <w:t>ë</w:t>
            </w:r>
            <w:r w:rsidR="0005678A">
              <w:rPr>
                <w:rStyle w:val="IntenseReference"/>
                <w:rFonts w:eastAsiaTheme="majorEastAsia"/>
                <w:i w:val="0"/>
                <w:color w:val="auto"/>
                <w:sz w:val="16"/>
                <w:szCs w:val="16"/>
              </w:rPr>
              <w:t>t</w:t>
            </w:r>
            <w:r w:rsidR="00603906" w:rsidRPr="001F151E">
              <w:rPr>
                <w:rStyle w:val="IntenseReference"/>
                <w:rFonts w:eastAsiaTheme="majorEastAsia"/>
                <w:i w:val="0"/>
                <w:color w:val="auto"/>
                <w:sz w:val="16"/>
                <w:szCs w:val="16"/>
              </w:rPr>
              <w:t>;</w:t>
            </w:r>
          </w:p>
          <w:p w14:paraId="06A7D79A" w14:textId="006606FC" w:rsidR="00BA761C" w:rsidRPr="009D660E" w:rsidRDefault="00BA761C" w:rsidP="009C35E5">
            <w:pPr>
              <w:pStyle w:val="T-Bullet"/>
              <w:rPr>
                <w:rStyle w:val="IntenseReference"/>
                <w:rFonts w:eastAsiaTheme="majorEastAsia"/>
                <w:i w:val="0"/>
                <w:color w:val="auto"/>
                <w:sz w:val="16"/>
                <w:szCs w:val="16"/>
                <w:lang w:val="it-IT"/>
              </w:rPr>
            </w:pPr>
            <w:r w:rsidRPr="009D660E">
              <w:rPr>
                <w:rStyle w:val="IntenseReference"/>
                <w:rFonts w:eastAsiaTheme="majorEastAsia"/>
                <w:i w:val="0"/>
                <w:color w:val="auto"/>
                <w:sz w:val="16"/>
                <w:szCs w:val="16"/>
                <w:lang w:val="it-IT"/>
              </w:rPr>
              <w:t>M</w:t>
            </w:r>
            <w:r w:rsidR="0039126A" w:rsidRPr="009D660E">
              <w:rPr>
                <w:rStyle w:val="IntenseReference"/>
                <w:rFonts w:eastAsiaTheme="majorEastAsia"/>
                <w:i w:val="0"/>
                <w:color w:val="auto"/>
                <w:sz w:val="16"/>
                <w:szCs w:val="16"/>
                <w:lang w:val="it-IT"/>
              </w:rPr>
              <w:t>asa</w:t>
            </w:r>
            <w:r w:rsidRPr="009D660E">
              <w:rPr>
                <w:rStyle w:val="IntenseReference"/>
                <w:rFonts w:eastAsiaTheme="majorEastAsia"/>
                <w:i w:val="0"/>
                <w:color w:val="auto"/>
                <w:sz w:val="16"/>
                <w:szCs w:val="16"/>
                <w:lang w:val="it-IT"/>
              </w:rPr>
              <w:t xml:space="preserve"> 2.5.2 </w:t>
            </w:r>
            <w:r w:rsidR="0039126A" w:rsidRPr="009D660E">
              <w:rPr>
                <w:rStyle w:val="IntenseReference"/>
                <w:rFonts w:eastAsiaTheme="majorEastAsia"/>
                <w:i w:val="0"/>
                <w:color w:val="auto"/>
                <w:sz w:val="16"/>
                <w:szCs w:val="16"/>
                <w:lang w:val="it-IT"/>
              </w:rPr>
              <w:t>P</w:t>
            </w:r>
            <w:r w:rsidR="000A70F5" w:rsidRPr="009D660E">
              <w:rPr>
                <w:rStyle w:val="IntenseReference"/>
                <w:rFonts w:eastAsiaTheme="majorEastAsia"/>
                <w:i w:val="0"/>
                <w:color w:val="auto"/>
                <w:sz w:val="16"/>
                <w:szCs w:val="16"/>
                <w:lang w:val="it-IT"/>
              </w:rPr>
              <w:t>ë</w:t>
            </w:r>
            <w:r w:rsidR="0039126A" w:rsidRPr="009D660E">
              <w:rPr>
                <w:rStyle w:val="IntenseReference"/>
                <w:rFonts w:eastAsiaTheme="majorEastAsia"/>
                <w:i w:val="0"/>
                <w:color w:val="auto"/>
                <w:sz w:val="16"/>
                <w:szCs w:val="16"/>
                <w:lang w:val="it-IT"/>
              </w:rPr>
              <w:t>rmir</w:t>
            </w:r>
            <w:r w:rsidR="000A70F5" w:rsidRPr="009D660E">
              <w:rPr>
                <w:rStyle w:val="IntenseReference"/>
                <w:rFonts w:eastAsiaTheme="majorEastAsia"/>
                <w:i w:val="0"/>
                <w:color w:val="auto"/>
                <w:sz w:val="16"/>
                <w:szCs w:val="16"/>
                <w:lang w:val="it-IT"/>
              </w:rPr>
              <w:t>ë</w:t>
            </w:r>
            <w:r w:rsidR="0039126A" w:rsidRPr="009D660E">
              <w:rPr>
                <w:rStyle w:val="IntenseReference"/>
                <w:rFonts w:eastAsiaTheme="majorEastAsia"/>
                <w:i w:val="0"/>
                <w:color w:val="auto"/>
                <w:sz w:val="16"/>
                <w:szCs w:val="16"/>
                <w:lang w:val="it-IT"/>
              </w:rPr>
              <w:t>simi i monitorimit dhe raportimit p</w:t>
            </w:r>
            <w:r w:rsidR="000A70F5" w:rsidRPr="009D660E">
              <w:rPr>
                <w:rStyle w:val="IntenseReference"/>
                <w:rFonts w:eastAsiaTheme="majorEastAsia"/>
                <w:i w:val="0"/>
                <w:color w:val="auto"/>
                <w:sz w:val="16"/>
                <w:szCs w:val="16"/>
                <w:lang w:val="it-IT"/>
              </w:rPr>
              <w:t>ë</w:t>
            </w:r>
            <w:r w:rsidR="0039126A" w:rsidRPr="009D660E">
              <w:rPr>
                <w:rStyle w:val="IntenseReference"/>
                <w:rFonts w:eastAsiaTheme="majorEastAsia"/>
                <w:i w:val="0"/>
                <w:color w:val="auto"/>
                <w:sz w:val="16"/>
                <w:szCs w:val="16"/>
                <w:lang w:val="it-IT"/>
              </w:rPr>
              <w:t>r Projektet e Investimeve Publike</w:t>
            </w:r>
            <w:r w:rsidR="00603906" w:rsidRPr="009D660E">
              <w:rPr>
                <w:rStyle w:val="IntenseReference"/>
                <w:rFonts w:eastAsiaTheme="majorEastAsia"/>
                <w:i w:val="0"/>
                <w:color w:val="auto"/>
                <w:sz w:val="16"/>
                <w:szCs w:val="16"/>
                <w:lang w:val="it-IT"/>
              </w:rPr>
              <w:t>;</w:t>
            </w:r>
          </w:p>
          <w:p w14:paraId="1261C3ED" w14:textId="10E3A28B" w:rsidR="00BA761C" w:rsidRPr="009D660E" w:rsidRDefault="00BA761C" w:rsidP="0039126A">
            <w:pPr>
              <w:pStyle w:val="T-Bullet"/>
              <w:rPr>
                <w:b/>
                <w:bCs/>
                <w:lang w:val="it-IT"/>
              </w:rPr>
            </w:pPr>
            <w:r w:rsidRPr="009D660E">
              <w:rPr>
                <w:rStyle w:val="IntenseReference"/>
                <w:rFonts w:eastAsiaTheme="majorEastAsia"/>
                <w:i w:val="0"/>
                <w:color w:val="auto"/>
                <w:sz w:val="16"/>
                <w:szCs w:val="16"/>
                <w:lang w:val="it-IT"/>
              </w:rPr>
              <w:t>M</w:t>
            </w:r>
            <w:r w:rsidR="0039126A" w:rsidRPr="009D660E">
              <w:rPr>
                <w:rStyle w:val="IntenseReference"/>
                <w:rFonts w:eastAsiaTheme="majorEastAsia"/>
                <w:i w:val="0"/>
                <w:color w:val="auto"/>
                <w:sz w:val="16"/>
                <w:szCs w:val="16"/>
                <w:lang w:val="it-IT"/>
              </w:rPr>
              <w:t>asa</w:t>
            </w:r>
            <w:r w:rsidR="008A250D">
              <w:rPr>
                <w:rStyle w:val="IntenseReference"/>
                <w:rFonts w:eastAsiaTheme="majorEastAsia"/>
                <w:i w:val="0"/>
                <w:color w:val="auto"/>
                <w:sz w:val="16"/>
                <w:szCs w:val="16"/>
                <w:lang w:val="it-IT"/>
              </w:rPr>
              <w:t xml:space="preserve"> </w:t>
            </w:r>
            <w:r w:rsidRPr="009D660E">
              <w:rPr>
                <w:rStyle w:val="IntenseReference"/>
                <w:rFonts w:eastAsiaTheme="majorEastAsia"/>
                <w:i w:val="0"/>
                <w:color w:val="auto"/>
                <w:sz w:val="16"/>
                <w:szCs w:val="16"/>
                <w:lang w:val="it-IT"/>
              </w:rPr>
              <w:t xml:space="preserve">2.5.3 </w:t>
            </w:r>
            <w:r w:rsidR="0039126A" w:rsidRPr="009D660E">
              <w:rPr>
                <w:rStyle w:val="IntenseReference"/>
                <w:rFonts w:eastAsiaTheme="majorEastAsia"/>
                <w:i w:val="0"/>
                <w:color w:val="auto"/>
                <w:sz w:val="16"/>
                <w:szCs w:val="16"/>
                <w:lang w:val="it-IT"/>
              </w:rPr>
              <w:t>P</w:t>
            </w:r>
            <w:r w:rsidR="000A70F5" w:rsidRPr="009D660E">
              <w:rPr>
                <w:rStyle w:val="IntenseReference"/>
                <w:rFonts w:eastAsiaTheme="majorEastAsia"/>
                <w:i w:val="0"/>
                <w:color w:val="auto"/>
                <w:sz w:val="16"/>
                <w:szCs w:val="16"/>
                <w:lang w:val="it-IT"/>
              </w:rPr>
              <w:t>ë</w:t>
            </w:r>
            <w:r w:rsidR="0039126A" w:rsidRPr="009D660E">
              <w:rPr>
                <w:rStyle w:val="IntenseReference"/>
                <w:rFonts w:eastAsiaTheme="majorEastAsia"/>
                <w:i w:val="0"/>
                <w:color w:val="auto"/>
                <w:sz w:val="16"/>
                <w:szCs w:val="16"/>
                <w:lang w:val="it-IT"/>
              </w:rPr>
              <w:t>rmir</w:t>
            </w:r>
            <w:r w:rsidR="000A70F5" w:rsidRPr="009D660E">
              <w:rPr>
                <w:rStyle w:val="IntenseReference"/>
                <w:rFonts w:eastAsiaTheme="majorEastAsia"/>
                <w:i w:val="0"/>
                <w:color w:val="auto"/>
                <w:sz w:val="16"/>
                <w:szCs w:val="16"/>
                <w:lang w:val="it-IT"/>
              </w:rPr>
              <w:t>ë</w:t>
            </w:r>
            <w:r w:rsidR="0039126A" w:rsidRPr="009D660E">
              <w:rPr>
                <w:rStyle w:val="IntenseReference"/>
                <w:rFonts w:eastAsiaTheme="majorEastAsia"/>
                <w:i w:val="0"/>
                <w:color w:val="auto"/>
                <w:sz w:val="16"/>
                <w:szCs w:val="16"/>
                <w:lang w:val="it-IT"/>
              </w:rPr>
              <w:t>simi i monitorimit dhe raportimit p</w:t>
            </w:r>
            <w:r w:rsidR="000A70F5" w:rsidRPr="009D660E">
              <w:rPr>
                <w:rStyle w:val="IntenseReference"/>
                <w:rFonts w:eastAsiaTheme="majorEastAsia"/>
                <w:i w:val="0"/>
                <w:color w:val="auto"/>
                <w:sz w:val="16"/>
                <w:szCs w:val="16"/>
                <w:lang w:val="it-IT"/>
              </w:rPr>
              <w:t>ë</w:t>
            </w:r>
            <w:r w:rsidR="0039126A" w:rsidRPr="009D660E">
              <w:rPr>
                <w:rStyle w:val="IntenseReference"/>
                <w:rFonts w:eastAsiaTheme="majorEastAsia"/>
                <w:i w:val="0"/>
                <w:color w:val="auto"/>
                <w:sz w:val="16"/>
                <w:szCs w:val="16"/>
                <w:lang w:val="it-IT"/>
              </w:rPr>
              <w:t>r PPP-t</w:t>
            </w:r>
            <w:r w:rsidR="000A70F5" w:rsidRPr="009D660E">
              <w:rPr>
                <w:rStyle w:val="IntenseReference"/>
                <w:rFonts w:eastAsiaTheme="majorEastAsia"/>
                <w:i w:val="0"/>
                <w:color w:val="auto"/>
                <w:sz w:val="16"/>
                <w:szCs w:val="16"/>
                <w:lang w:val="it-IT"/>
              </w:rPr>
              <w:t>ë</w:t>
            </w:r>
            <w:r w:rsidR="0039126A" w:rsidRPr="009D660E">
              <w:rPr>
                <w:rStyle w:val="IntenseReference"/>
                <w:rFonts w:eastAsiaTheme="majorEastAsia"/>
                <w:i w:val="0"/>
                <w:color w:val="auto"/>
                <w:sz w:val="16"/>
                <w:szCs w:val="16"/>
                <w:lang w:val="it-IT"/>
              </w:rPr>
              <w:t xml:space="preserve"> dhe Kontratat e Koncesionit</w:t>
            </w:r>
            <w:r w:rsidR="00603906" w:rsidRPr="009D660E">
              <w:rPr>
                <w:rStyle w:val="IntenseReference"/>
                <w:rFonts w:eastAsiaTheme="majorEastAsia"/>
                <w:i w:val="0"/>
                <w:color w:val="auto"/>
                <w:sz w:val="16"/>
                <w:szCs w:val="16"/>
                <w:lang w:val="it-IT"/>
              </w:rPr>
              <w:t>.</w:t>
            </w:r>
          </w:p>
        </w:tc>
      </w:tr>
    </w:tbl>
    <w:p w14:paraId="12602D43" w14:textId="77777777" w:rsidR="00F63BDF" w:rsidRPr="009D660E" w:rsidRDefault="00F63BDF" w:rsidP="00015AC9">
      <w:pPr>
        <w:rPr>
          <w:b/>
          <w:bCs/>
          <w:lang w:val="it-IT"/>
        </w:rPr>
      </w:pPr>
    </w:p>
    <w:p w14:paraId="61147FC9" w14:textId="77777777" w:rsidR="00C229B5" w:rsidRPr="009D660E" w:rsidRDefault="00C229B5" w:rsidP="00CA65A6">
      <w:pPr>
        <w:rPr>
          <w:rStyle w:val="IntenseReference"/>
          <w:rFonts w:eastAsiaTheme="majorEastAsia" w:cstheme="majorBidi"/>
          <w:i w:val="0"/>
          <w:iCs/>
          <w:sz w:val="22"/>
          <w:szCs w:val="22"/>
          <w:lang w:val="it-IT"/>
        </w:rPr>
      </w:pPr>
    </w:p>
    <w:p w14:paraId="501DDC8F" w14:textId="14F7296F" w:rsidR="005D7DF3" w:rsidRPr="001F151E" w:rsidRDefault="00702467" w:rsidP="00C96708">
      <w:pPr>
        <w:pStyle w:val="Heading2"/>
        <w:rPr>
          <w:rStyle w:val="IntenseReference"/>
          <w:rFonts w:eastAsiaTheme="majorEastAsia" w:cstheme="majorBidi"/>
          <w:i w:val="0"/>
          <w:iCs w:val="0"/>
          <w:sz w:val="22"/>
          <w:szCs w:val="22"/>
          <w:lang w:val="en-GB"/>
        </w:rPr>
      </w:pPr>
      <w:bookmarkStart w:id="20" w:name="_Toc161748813"/>
      <w:r>
        <w:rPr>
          <w:rStyle w:val="IntenseReference"/>
          <w:rFonts w:eastAsiaTheme="majorEastAsia" w:cstheme="majorBidi"/>
          <w:i w:val="0"/>
          <w:sz w:val="22"/>
          <w:szCs w:val="22"/>
          <w:lang w:val="en-GB"/>
        </w:rPr>
        <w:t>Komponenti</w:t>
      </w:r>
      <w:r w:rsidR="005D7DF3" w:rsidRPr="001F151E">
        <w:rPr>
          <w:rStyle w:val="IntenseReference"/>
          <w:rFonts w:eastAsiaTheme="majorEastAsia" w:cstheme="majorBidi"/>
          <w:i w:val="0"/>
          <w:sz w:val="22"/>
          <w:szCs w:val="22"/>
          <w:lang w:val="en-GB"/>
        </w:rPr>
        <w:t xml:space="preserve"> </w:t>
      </w:r>
      <w:r w:rsidR="003779B6" w:rsidRPr="001F151E">
        <w:rPr>
          <w:rStyle w:val="IntenseReference"/>
          <w:rFonts w:eastAsiaTheme="majorEastAsia" w:cstheme="majorBidi"/>
          <w:i w:val="0"/>
          <w:sz w:val="22"/>
          <w:szCs w:val="22"/>
          <w:lang w:val="en-GB"/>
        </w:rPr>
        <w:t>2</w:t>
      </w:r>
      <w:r w:rsidR="005D7DF3" w:rsidRPr="001F151E">
        <w:rPr>
          <w:rStyle w:val="IntenseReference"/>
          <w:rFonts w:eastAsiaTheme="majorEastAsia" w:cstheme="majorBidi"/>
          <w:i w:val="0"/>
          <w:sz w:val="22"/>
          <w:szCs w:val="22"/>
          <w:lang w:val="en-GB"/>
        </w:rPr>
        <w:t xml:space="preserve">.1 </w:t>
      </w:r>
      <w:r>
        <w:rPr>
          <w:rStyle w:val="IntenseReference"/>
          <w:rFonts w:eastAsiaTheme="majorEastAsia" w:cstheme="majorBidi"/>
          <w:i w:val="0"/>
          <w:sz w:val="22"/>
          <w:szCs w:val="22"/>
          <w:lang w:val="en-GB"/>
        </w:rPr>
        <w:t>Planifikimi Strategjik i Integruar</w:t>
      </w:r>
      <w:bookmarkEnd w:id="20"/>
      <w:r w:rsidR="005D7DF3" w:rsidRPr="001F151E">
        <w:rPr>
          <w:rStyle w:val="IntenseReference"/>
          <w:rFonts w:eastAsiaTheme="majorEastAsia" w:cstheme="majorBidi"/>
          <w:i w:val="0"/>
          <w:sz w:val="22"/>
          <w:szCs w:val="22"/>
          <w:lang w:val="en-GB"/>
        </w:rPr>
        <w:t xml:space="preserve"> </w:t>
      </w:r>
    </w:p>
    <w:p w14:paraId="23ECBF38" w14:textId="77777777" w:rsidR="005D7DF3" w:rsidRPr="001F151E" w:rsidRDefault="005D7DF3" w:rsidP="005D7DF3">
      <w:pPr>
        <w:rPr>
          <w:lang w:val="en-GB"/>
        </w:rPr>
      </w:pPr>
    </w:p>
    <w:p w14:paraId="544F9F25" w14:textId="321AFCFC" w:rsidR="00A143BC" w:rsidRPr="001F151E" w:rsidRDefault="00702467" w:rsidP="006F1382">
      <w:pPr>
        <w:pStyle w:val="H5"/>
        <w:jc w:val="both"/>
        <w:rPr>
          <w:lang w:val="en-GB"/>
        </w:rPr>
      </w:pPr>
      <w:r>
        <w:rPr>
          <w:lang w:val="en-GB"/>
        </w:rPr>
        <w:t>Objektivi</w:t>
      </w:r>
    </w:p>
    <w:p w14:paraId="405D4A40" w14:textId="78EFC55D" w:rsidR="00702467" w:rsidRDefault="00702467" w:rsidP="006F1382">
      <w:pPr>
        <w:jc w:val="both"/>
        <w:rPr>
          <w:lang w:val="en-GB"/>
        </w:rPr>
      </w:pPr>
      <w:r w:rsidRPr="00702467">
        <w:rPr>
          <w:lang w:val="en-GB"/>
        </w:rPr>
        <w:t>Synimi për vitin</w:t>
      </w:r>
      <w:r w:rsidR="00A023E3">
        <w:rPr>
          <w:lang w:val="en-GB"/>
        </w:rPr>
        <w:t xml:space="preserve"> 2030 është të funksionojë një S</w:t>
      </w:r>
      <w:r w:rsidRPr="00702467">
        <w:rPr>
          <w:lang w:val="en-GB"/>
        </w:rPr>
        <w:t xml:space="preserve">istem </w:t>
      </w:r>
      <w:r w:rsidR="00A023E3">
        <w:rPr>
          <w:lang w:val="en-GB"/>
        </w:rPr>
        <w:t>P</w:t>
      </w:r>
      <w:r w:rsidRPr="00702467">
        <w:rPr>
          <w:lang w:val="en-GB"/>
        </w:rPr>
        <w:t>lanifikim</w:t>
      </w:r>
      <w:r w:rsidR="00A023E3">
        <w:rPr>
          <w:lang w:val="en-GB"/>
        </w:rPr>
        <w:t>i i I</w:t>
      </w:r>
      <w:r>
        <w:rPr>
          <w:lang w:val="en-GB"/>
        </w:rPr>
        <w:t xml:space="preserve">ntegruar (SPI), i mbështetur nga </w:t>
      </w:r>
      <w:r w:rsidRPr="00702467">
        <w:rPr>
          <w:lang w:val="en-GB"/>
        </w:rPr>
        <w:t>T</w:t>
      </w:r>
      <w:r>
        <w:rPr>
          <w:lang w:val="en-GB"/>
        </w:rPr>
        <w:t>I,</w:t>
      </w:r>
      <w:r w:rsidRPr="00702467">
        <w:rPr>
          <w:lang w:val="en-GB"/>
        </w:rPr>
        <w:t xml:space="preserve"> që i mundëson qeverisë të zhvillojë dhe monitorojë në mënyrë efektive strategjitë</w:t>
      </w:r>
      <w:r w:rsidR="00F07CC0">
        <w:rPr>
          <w:lang w:val="en-GB"/>
        </w:rPr>
        <w:t xml:space="preserve"> e</w:t>
      </w:r>
      <w:r w:rsidR="00F07CC0" w:rsidRPr="00702467">
        <w:rPr>
          <w:lang w:val="en-GB"/>
        </w:rPr>
        <w:t xml:space="preserve"> ndërlidhura kombëtar</w:t>
      </w:r>
      <w:r w:rsidR="00F07CC0">
        <w:rPr>
          <w:lang w:val="en-GB"/>
        </w:rPr>
        <w:t xml:space="preserve">e, </w:t>
      </w:r>
      <w:r w:rsidR="00F07CC0" w:rsidRPr="00702467">
        <w:rPr>
          <w:lang w:val="en-GB"/>
        </w:rPr>
        <w:t>sektorale, ndërsektoriale dhe rajonale</w:t>
      </w:r>
      <w:r w:rsidRPr="00702467">
        <w:rPr>
          <w:lang w:val="en-GB"/>
        </w:rPr>
        <w:t>, po</w:t>
      </w:r>
      <w:r>
        <w:rPr>
          <w:lang w:val="en-GB"/>
        </w:rPr>
        <w:t>litikat dhe investimet publike prioritare</w:t>
      </w:r>
      <w:r w:rsidRPr="00702467">
        <w:rPr>
          <w:lang w:val="en-GB"/>
        </w:rPr>
        <w:t xml:space="preserve"> në m</w:t>
      </w:r>
      <w:r>
        <w:rPr>
          <w:lang w:val="en-GB"/>
        </w:rPr>
        <w:t>bështetje të arritjes së synimeve</w:t>
      </w:r>
      <w:r w:rsidRPr="00702467">
        <w:rPr>
          <w:lang w:val="en-GB"/>
        </w:rPr>
        <w:t xml:space="preserve"> për zhvillimin kombëtar dhe integrimin në BE dhe në përputhje me burimet buxhetore në dispozicion.</w:t>
      </w:r>
    </w:p>
    <w:p w14:paraId="6994864C" w14:textId="77777777" w:rsidR="00A00F0C" w:rsidRPr="001F151E" w:rsidRDefault="00A00F0C" w:rsidP="006F1382">
      <w:pPr>
        <w:jc w:val="both"/>
        <w:rPr>
          <w:lang w:val="en-GB"/>
        </w:rPr>
      </w:pPr>
    </w:p>
    <w:p w14:paraId="57537998" w14:textId="48AA87E3" w:rsidR="00A00F0C" w:rsidRPr="001F151E" w:rsidRDefault="00F07CC0" w:rsidP="006F1382">
      <w:pPr>
        <w:pStyle w:val="H5"/>
        <w:jc w:val="both"/>
        <w:rPr>
          <w:lang w:val="en-GB"/>
        </w:rPr>
      </w:pPr>
      <w:r>
        <w:rPr>
          <w:lang w:val="en-GB"/>
        </w:rPr>
        <w:t>Konteksti</w:t>
      </w:r>
    </w:p>
    <w:p w14:paraId="3C12C6A8" w14:textId="48FBEFFD" w:rsidR="00D7294C" w:rsidRDefault="00F07CC0" w:rsidP="006F1382">
      <w:pPr>
        <w:jc w:val="both"/>
        <w:rPr>
          <w:lang w:val="en-GB"/>
        </w:rPr>
      </w:pPr>
      <w:r w:rsidRPr="00F07CC0">
        <w:rPr>
          <w:lang w:val="en-GB"/>
        </w:rPr>
        <w:t xml:space="preserve">Organet qeveritare kanë krijuar një seri gjithëpërfshirëse strategjish dhe plane veprimi shoqëruese janë në fuqi, të përbërë nga Strategjia Kombëtare gjithëpërfshirëse për Zhvillim dhe Integrim Evropian (SKZHIE) dhe janë zhvilluar dhe </w:t>
      </w:r>
      <w:r>
        <w:rPr>
          <w:lang w:val="en-GB"/>
        </w:rPr>
        <w:t>po rinovohen rregullisht</w:t>
      </w:r>
      <w:r w:rsidRPr="00F07CC0">
        <w:rPr>
          <w:lang w:val="en-GB"/>
        </w:rPr>
        <w:t xml:space="preserve"> disa strategji sektoriale, nënsektorial</w:t>
      </w:r>
      <w:r>
        <w:rPr>
          <w:lang w:val="en-GB"/>
        </w:rPr>
        <w:t>e, ndërsektoriale dhe rajonale.</w:t>
      </w:r>
      <w:r w:rsidRPr="00F07CC0">
        <w:rPr>
          <w:lang w:val="en-GB"/>
        </w:rPr>
        <w:t xml:space="preserve"> </w:t>
      </w:r>
      <w:r w:rsidR="00E309E2">
        <w:rPr>
          <w:lang w:val="en-GB"/>
        </w:rPr>
        <w:t>Agjencia Shtetërore e Programimit Strategjik dhe Koordinimit të ndihmës (</w:t>
      </w:r>
      <w:r w:rsidRPr="00F07CC0">
        <w:rPr>
          <w:lang w:val="en-GB"/>
        </w:rPr>
        <w:t>SASPAC</w:t>
      </w:r>
      <w:r w:rsidR="00E309E2">
        <w:rPr>
          <w:lang w:val="en-GB"/>
        </w:rPr>
        <w:t>)</w:t>
      </w:r>
      <w:r w:rsidRPr="00F07CC0">
        <w:rPr>
          <w:lang w:val="en-GB"/>
        </w:rPr>
        <w:t xml:space="preserve"> ka vendosur rregullore dhe udhëzime për të udhëhequr zhvillimin dhe monitorimin e strategjive dhe planeve të tyre të veprimit në një mënyrë të qëndrueshme. Gjithashtu, është vënë në funksion një Sistem Informacioni (</w:t>
      </w:r>
      <w:r w:rsidR="009002D3">
        <w:rPr>
          <w:lang w:val="en-GB"/>
        </w:rPr>
        <w:t>SIPI/</w:t>
      </w:r>
      <w:r w:rsidRPr="00F07CC0">
        <w:rPr>
          <w:lang w:val="en-GB"/>
        </w:rPr>
        <w:t>IPSIS) për të mbështetur Procesi</w:t>
      </w:r>
      <w:r w:rsidR="009002D3">
        <w:rPr>
          <w:lang w:val="en-GB"/>
        </w:rPr>
        <w:t>n e Planifikimit të Integruar. SIPI</w:t>
      </w:r>
      <w:r w:rsidRPr="00F07CC0">
        <w:rPr>
          <w:lang w:val="en-GB"/>
        </w:rPr>
        <w:t xml:space="preserve"> deri më tani është përdorur vetëm në një masë shumë të kufizuar dhe janë bërë plane për të përmirësuar </w:t>
      </w:r>
      <w:r w:rsidR="009002D3">
        <w:rPr>
          <w:lang w:val="en-GB"/>
        </w:rPr>
        <w:t>SIPI</w:t>
      </w:r>
      <w:r w:rsidRPr="00F07CC0">
        <w:rPr>
          <w:lang w:val="en-GB"/>
        </w:rPr>
        <w:t xml:space="preserve"> për t'i shërbyer më mirë nevojave të përdoruesve të tij. Një sfidë e vazhdueshme mbetet (i) harmonizimi dhe integrimi i strategjive të ndryshme në nivele të ndryshme dhe (ii) zhvillimi i strategjive </w:t>
      </w:r>
      <w:r w:rsidRPr="00F07CC0">
        <w:rPr>
          <w:lang w:val="en-GB"/>
        </w:rPr>
        <w:lastRenderedPageBreak/>
        <w:t>dhe planeve të veprimit me kosto adekuate brenda burimeve të disponueshme të alokuara përmes Programeve Buxhetore Afatmesme.</w:t>
      </w:r>
    </w:p>
    <w:p w14:paraId="795D666B" w14:textId="77777777" w:rsidR="00255E1B" w:rsidRPr="001F151E" w:rsidRDefault="00255E1B" w:rsidP="006F1382">
      <w:pPr>
        <w:jc w:val="both"/>
        <w:rPr>
          <w:lang w:val="en-GB"/>
        </w:rPr>
      </w:pPr>
    </w:p>
    <w:p w14:paraId="2B8B6DEF" w14:textId="45570728" w:rsidR="002C447B" w:rsidRPr="001F151E" w:rsidRDefault="002C447B" w:rsidP="006F1382">
      <w:pPr>
        <w:pStyle w:val="H5"/>
        <w:jc w:val="both"/>
        <w:rPr>
          <w:color w:val="auto"/>
          <w:lang w:val="en-GB"/>
        </w:rPr>
      </w:pPr>
      <w:r w:rsidRPr="001F151E">
        <w:rPr>
          <w:lang w:val="en-GB"/>
        </w:rPr>
        <w:t>Priorit</w:t>
      </w:r>
      <w:r w:rsidR="006D0079">
        <w:rPr>
          <w:lang w:val="en-GB"/>
        </w:rPr>
        <w:t>etet</w:t>
      </w:r>
    </w:p>
    <w:p w14:paraId="2743EAF8" w14:textId="7E42B1CC" w:rsidR="002C447B" w:rsidRPr="001F151E" w:rsidRDefault="006D0079" w:rsidP="006F1382">
      <w:pPr>
        <w:jc w:val="both"/>
        <w:rPr>
          <w:lang w:val="en-GB"/>
        </w:rPr>
      </w:pPr>
      <w:r>
        <w:rPr>
          <w:lang w:val="en-GB"/>
        </w:rPr>
        <w:t>Prioritetet kryesore p</w:t>
      </w:r>
      <w:r w:rsidR="000A70F5">
        <w:rPr>
          <w:lang w:val="en-GB"/>
        </w:rPr>
        <w:t>ë</w:t>
      </w:r>
      <w:r>
        <w:rPr>
          <w:lang w:val="en-GB"/>
        </w:rPr>
        <w:t>r periudh</w:t>
      </w:r>
      <w:r w:rsidR="000A70F5">
        <w:rPr>
          <w:lang w:val="en-GB"/>
        </w:rPr>
        <w:t>ë</w:t>
      </w:r>
      <w:r>
        <w:rPr>
          <w:lang w:val="en-GB"/>
        </w:rPr>
        <w:t>n 2023-2026 jan</w:t>
      </w:r>
      <w:r w:rsidR="000A70F5">
        <w:rPr>
          <w:lang w:val="en-GB"/>
        </w:rPr>
        <w:t>ë</w:t>
      </w:r>
      <w:r>
        <w:rPr>
          <w:lang w:val="en-GB"/>
        </w:rPr>
        <w:t>:</w:t>
      </w:r>
    </w:p>
    <w:p w14:paraId="227609EE" w14:textId="677C7CD2" w:rsidR="005314BF" w:rsidRPr="001F151E" w:rsidRDefault="006D0079" w:rsidP="006F1382">
      <w:pPr>
        <w:pStyle w:val="N-Bullet"/>
        <w:numPr>
          <w:ilvl w:val="0"/>
          <w:numId w:val="19"/>
        </w:numPr>
        <w:jc w:val="both"/>
        <w:rPr>
          <w:lang w:val="en-GB"/>
        </w:rPr>
      </w:pPr>
      <w:r>
        <w:rPr>
          <w:lang w:val="en-GB"/>
        </w:rPr>
        <w:t xml:space="preserve">Rishikimi </w:t>
      </w:r>
      <w:r>
        <w:rPr>
          <w:rStyle w:val="rynqvb"/>
          <w:lang w:val="sq-AL"/>
        </w:rPr>
        <w:t>dhe përmirësimi i SPI-së për të siguruar zhvillimin efektiv të strategjisë së integruar në të gjitha nivelet.</w:t>
      </w:r>
    </w:p>
    <w:p w14:paraId="7399E290" w14:textId="0E18B402" w:rsidR="002C447B" w:rsidRPr="001F151E" w:rsidRDefault="00307811" w:rsidP="006F1382">
      <w:pPr>
        <w:pStyle w:val="N-Bullet"/>
        <w:numPr>
          <w:ilvl w:val="0"/>
          <w:numId w:val="19"/>
        </w:numPr>
        <w:jc w:val="both"/>
        <w:rPr>
          <w:lang w:val="en-GB"/>
        </w:rPr>
      </w:pPr>
      <w:r>
        <w:rPr>
          <w:lang w:val="en-GB"/>
        </w:rPr>
        <w:t xml:space="preserve">Prezantimi </w:t>
      </w:r>
      <w:r w:rsidR="00B1362A">
        <w:rPr>
          <w:lang w:val="en-GB"/>
        </w:rPr>
        <w:t>dhe p</w:t>
      </w:r>
      <w:r w:rsidR="000A70F5">
        <w:rPr>
          <w:lang w:val="en-GB"/>
        </w:rPr>
        <w:t>ë</w:t>
      </w:r>
      <w:r w:rsidR="00B1362A">
        <w:rPr>
          <w:lang w:val="en-GB"/>
        </w:rPr>
        <w:t>rmir</w:t>
      </w:r>
      <w:r w:rsidR="000A70F5">
        <w:rPr>
          <w:lang w:val="en-GB"/>
        </w:rPr>
        <w:t>ë</w:t>
      </w:r>
      <w:r w:rsidR="00B1362A">
        <w:rPr>
          <w:lang w:val="en-GB"/>
        </w:rPr>
        <w:t>simi gradual i Dokumentit vjetor t</w:t>
      </w:r>
      <w:r w:rsidR="000A70F5">
        <w:rPr>
          <w:lang w:val="en-GB"/>
        </w:rPr>
        <w:t>ë</w:t>
      </w:r>
      <w:r w:rsidR="00B1362A">
        <w:rPr>
          <w:lang w:val="en-GB"/>
        </w:rPr>
        <w:t xml:space="preserve"> Prioriteteve t</w:t>
      </w:r>
      <w:r w:rsidR="000A70F5">
        <w:rPr>
          <w:lang w:val="en-GB"/>
        </w:rPr>
        <w:t>ë</w:t>
      </w:r>
      <w:r w:rsidR="00B1362A">
        <w:rPr>
          <w:lang w:val="en-GB"/>
        </w:rPr>
        <w:t xml:space="preserve"> Politikave dhe bashk</w:t>
      </w:r>
      <w:r w:rsidR="000A70F5">
        <w:rPr>
          <w:lang w:val="en-GB"/>
        </w:rPr>
        <w:t>ë</w:t>
      </w:r>
      <w:r w:rsidR="00B1362A">
        <w:rPr>
          <w:lang w:val="en-GB"/>
        </w:rPr>
        <w:t xml:space="preserve">lidhur saj </w:t>
      </w:r>
      <w:r w:rsidR="009002D3">
        <w:rPr>
          <w:lang w:val="en-GB"/>
        </w:rPr>
        <w:t>Lista Unike e Projekteve me R</w:t>
      </w:r>
      <w:r w:rsidR="000A70F5">
        <w:rPr>
          <w:lang w:val="en-GB"/>
        </w:rPr>
        <w:t>ë</w:t>
      </w:r>
      <w:r w:rsidR="009002D3">
        <w:rPr>
          <w:lang w:val="en-GB"/>
        </w:rPr>
        <w:t>nd</w:t>
      </w:r>
      <w:r w:rsidR="000A70F5">
        <w:rPr>
          <w:lang w:val="en-GB"/>
        </w:rPr>
        <w:t>ë</w:t>
      </w:r>
      <w:r w:rsidR="009002D3">
        <w:rPr>
          <w:lang w:val="en-GB"/>
        </w:rPr>
        <w:t>si Komb</w:t>
      </w:r>
      <w:r w:rsidR="000A70F5">
        <w:rPr>
          <w:lang w:val="en-GB"/>
        </w:rPr>
        <w:t>ë</w:t>
      </w:r>
      <w:r w:rsidR="009002D3">
        <w:rPr>
          <w:lang w:val="en-GB"/>
        </w:rPr>
        <w:t>tare</w:t>
      </w:r>
      <w:r w:rsidR="005314BF" w:rsidRPr="001F151E">
        <w:rPr>
          <w:lang w:val="en-GB"/>
        </w:rPr>
        <w:t>.</w:t>
      </w:r>
    </w:p>
    <w:p w14:paraId="12ABA877" w14:textId="1395D9EA" w:rsidR="005314BF" w:rsidRPr="001F151E" w:rsidRDefault="009002D3" w:rsidP="006F1382">
      <w:pPr>
        <w:pStyle w:val="N-Bullet"/>
        <w:numPr>
          <w:ilvl w:val="0"/>
          <w:numId w:val="19"/>
        </w:numPr>
        <w:jc w:val="both"/>
        <w:rPr>
          <w:lang w:val="en-GB"/>
        </w:rPr>
      </w:pPr>
      <w:r>
        <w:rPr>
          <w:lang w:val="en-GB"/>
        </w:rPr>
        <w:t>Zhvillimi i m</w:t>
      </w:r>
      <w:r w:rsidR="000A70F5">
        <w:rPr>
          <w:lang w:val="en-GB"/>
        </w:rPr>
        <w:t>ë</w:t>
      </w:r>
      <w:r>
        <w:rPr>
          <w:lang w:val="en-GB"/>
        </w:rPr>
        <w:t>tejsh</w:t>
      </w:r>
      <w:r w:rsidR="000A70F5">
        <w:rPr>
          <w:lang w:val="en-GB"/>
        </w:rPr>
        <w:t>ë</w:t>
      </w:r>
      <w:r>
        <w:rPr>
          <w:lang w:val="en-GB"/>
        </w:rPr>
        <w:t>m i SIPI n</w:t>
      </w:r>
      <w:r w:rsidR="000A70F5">
        <w:rPr>
          <w:lang w:val="en-GB"/>
        </w:rPr>
        <w:t>ë</w:t>
      </w:r>
      <w:r>
        <w:rPr>
          <w:lang w:val="en-GB"/>
        </w:rPr>
        <w:t xml:space="preserve"> mb</w:t>
      </w:r>
      <w:r w:rsidR="000A70F5">
        <w:rPr>
          <w:lang w:val="en-GB"/>
        </w:rPr>
        <w:t>ë</w:t>
      </w:r>
      <w:r>
        <w:rPr>
          <w:lang w:val="en-GB"/>
        </w:rPr>
        <w:t>shtetje t</w:t>
      </w:r>
      <w:r w:rsidR="000A70F5">
        <w:rPr>
          <w:lang w:val="en-GB"/>
        </w:rPr>
        <w:t>ë</w:t>
      </w:r>
      <w:r>
        <w:rPr>
          <w:lang w:val="en-GB"/>
        </w:rPr>
        <w:t xml:space="preserve"> SPI-s</w:t>
      </w:r>
      <w:r w:rsidR="000A70F5">
        <w:rPr>
          <w:lang w:val="en-GB"/>
        </w:rPr>
        <w:t>ë</w:t>
      </w:r>
      <w:r>
        <w:rPr>
          <w:lang w:val="en-GB"/>
        </w:rPr>
        <w:t xml:space="preserve"> dhe sigurimi i lidhjeve n</w:t>
      </w:r>
      <w:r w:rsidR="000A70F5">
        <w:rPr>
          <w:lang w:val="en-GB"/>
        </w:rPr>
        <w:t>ë</w:t>
      </w:r>
      <w:r>
        <w:rPr>
          <w:lang w:val="en-GB"/>
        </w:rPr>
        <w:t xml:space="preserve"> veçanti me (i) modulin buxhetor t</w:t>
      </w:r>
      <w:r w:rsidR="000A70F5">
        <w:rPr>
          <w:lang w:val="en-GB"/>
        </w:rPr>
        <w:t>ë</w:t>
      </w:r>
      <w:r>
        <w:rPr>
          <w:lang w:val="en-GB"/>
        </w:rPr>
        <w:t xml:space="preserve"> Sistemit Informativ t</w:t>
      </w:r>
      <w:r w:rsidR="000A70F5">
        <w:rPr>
          <w:lang w:val="en-GB"/>
        </w:rPr>
        <w:t>ë</w:t>
      </w:r>
      <w:r>
        <w:rPr>
          <w:lang w:val="en-GB"/>
        </w:rPr>
        <w:t xml:space="preserve"> Menaxhimit Financiar Shqiptar (SIMFSH)</w:t>
      </w:r>
      <w:r w:rsidR="007619D0">
        <w:rPr>
          <w:lang w:val="en-GB"/>
        </w:rPr>
        <w:t xml:space="preserve"> </w:t>
      </w:r>
      <w:r w:rsidR="002F7043">
        <w:rPr>
          <w:lang w:val="en-GB"/>
        </w:rPr>
        <w:t>p</w:t>
      </w:r>
      <w:r w:rsidR="000A70F5">
        <w:rPr>
          <w:lang w:val="en-GB"/>
        </w:rPr>
        <w:t>ë</w:t>
      </w:r>
      <w:r w:rsidR="002F7043">
        <w:rPr>
          <w:lang w:val="en-GB"/>
        </w:rPr>
        <w:t>r zhvillimin e PBA-s</w:t>
      </w:r>
      <w:r w:rsidR="000A70F5">
        <w:rPr>
          <w:lang w:val="en-GB"/>
        </w:rPr>
        <w:t>ë</w:t>
      </w:r>
      <w:r w:rsidR="002F7043">
        <w:rPr>
          <w:lang w:val="en-GB"/>
        </w:rPr>
        <w:t xml:space="preserve"> s</w:t>
      </w:r>
      <w:r w:rsidR="000A70F5">
        <w:rPr>
          <w:lang w:val="en-GB"/>
        </w:rPr>
        <w:t>ë</w:t>
      </w:r>
      <w:r w:rsidR="002F7043">
        <w:rPr>
          <w:lang w:val="en-GB"/>
        </w:rPr>
        <w:t xml:space="preserve"> orientuar drejt performanc</w:t>
      </w:r>
      <w:r w:rsidR="000A70F5">
        <w:rPr>
          <w:lang w:val="en-GB"/>
        </w:rPr>
        <w:t>ë</w:t>
      </w:r>
      <w:r w:rsidR="002F7043">
        <w:rPr>
          <w:lang w:val="en-GB"/>
        </w:rPr>
        <w:t>s,</w:t>
      </w:r>
      <w:r w:rsidR="005314BF" w:rsidRPr="001F151E">
        <w:rPr>
          <w:lang w:val="en-GB"/>
        </w:rPr>
        <w:t xml:space="preserve"> (ii) </w:t>
      </w:r>
      <w:r w:rsidR="002F7043">
        <w:rPr>
          <w:lang w:val="en-GB"/>
        </w:rPr>
        <w:t>modulin MIP t</w:t>
      </w:r>
      <w:r w:rsidR="000A70F5">
        <w:rPr>
          <w:lang w:val="en-GB"/>
        </w:rPr>
        <w:t>ë</w:t>
      </w:r>
      <w:r w:rsidR="002F7043">
        <w:rPr>
          <w:lang w:val="en-GB"/>
        </w:rPr>
        <w:t xml:space="preserve"> SIMFSH-s</w:t>
      </w:r>
      <w:r w:rsidR="000A70F5">
        <w:rPr>
          <w:lang w:val="en-GB"/>
        </w:rPr>
        <w:t>ë</w:t>
      </w:r>
      <w:r w:rsidR="002F7043">
        <w:rPr>
          <w:lang w:val="en-GB"/>
        </w:rPr>
        <w:t xml:space="preserve"> p</w:t>
      </w:r>
      <w:r w:rsidR="000A70F5">
        <w:rPr>
          <w:lang w:val="en-GB"/>
        </w:rPr>
        <w:t>ë</w:t>
      </w:r>
      <w:r w:rsidR="002F7043">
        <w:rPr>
          <w:lang w:val="en-GB"/>
        </w:rPr>
        <w:t>r planifikimin e investimeve publike</w:t>
      </w:r>
      <w:r w:rsidR="005314BF" w:rsidRPr="001F151E">
        <w:rPr>
          <w:lang w:val="en-GB"/>
        </w:rPr>
        <w:t xml:space="preserve">; (iii) </w:t>
      </w:r>
      <w:r w:rsidR="002F7043">
        <w:rPr>
          <w:lang w:val="en-GB"/>
        </w:rPr>
        <w:t>modulin e monitorimit t</w:t>
      </w:r>
      <w:r w:rsidR="000A70F5">
        <w:rPr>
          <w:lang w:val="en-GB"/>
        </w:rPr>
        <w:t>ë</w:t>
      </w:r>
      <w:r w:rsidR="002F7043">
        <w:rPr>
          <w:lang w:val="en-GB"/>
        </w:rPr>
        <w:t xml:space="preserve"> SIMFSH-s</w:t>
      </w:r>
      <w:r w:rsidR="000A70F5">
        <w:rPr>
          <w:lang w:val="en-GB"/>
        </w:rPr>
        <w:t>ë</w:t>
      </w:r>
      <w:r w:rsidR="002F7043">
        <w:rPr>
          <w:lang w:val="en-GB"/>
        </w:rPr>
        <w:t xml:space="preserve"> p</w:t>
      </w:r>
      <w:r w:rsidR="000A70F5">
        <w:rPr>
          <w:lang w:val="en-GB"/>
        </w:rPr>
        <w:t>ë</w:t>
      </w:r>
      <w:r w:rsidR="002F7043">
        <w:rPr>
          <w:lang w:val="en-GB"/>
        </w:rPr>
        <w:t>r monitorimin dhe raportimin e zbatimit t</w:t>
      </w:r>
      <w:r w:rsidR="000A70F5">
        <w:rPr>
          <w:lang w:val="en-GB"/>
        </w:rPr>
        <w:t>ë</w:t>
      </w:r>
      <w:r w:rsidR="002F7043">
        <w:rPr>
          <w:lang w:val="en-GB"/>
        </w:rPr>
        <w:t xml:space="preserve"> PBA-s</w:t>
      </w:r>
      <w:r w:rsidR="000A70F5">
        <w:rPr>
          <w:lang w:val="en-GB"/>
        </w:rPr>
        <w:t>ë</w:t>
      </w:r>
      <w:r w:rsidR="002F7043">
        <w:rPr>
          <w:lang w:val="en-GB"/>
        </w:rPr>
        <w:t xml:space="preserve"> dhe projekteve t</w:t>
      </w:r>
      <w:r w:rsidR="000A70F5">
        <w:rPr>
          <w:lang w:val="en-GB"/>
        </w:rPr>
        <w:t>ë</w:t>
      </w:r>
      <w:r w:rsidR="002F7043">
        <w:rPr>
          <w:lang w:val="en-GB"/>
        </w:rPr>
        <w:t xml:space="preserve"> investimeve publike</w:t>
      </w:r>
      <w:r w:rsidR="005D17EB">
        <w:rPr>
          <w:lang w:val="en-GB"/>
        </w:rPr>
        <w:t>; dhe</w:t>
      </w:r>
      <w:r w:rsidR="005314BF" w:rsidRPr="001F151E">
        <w:rPr>
          <w:lang w:val="en-GB"/>
        </w:rPr>
        <w:t xml:space="preserve"> (iv) </w:t>
      </w:r>
      <w:r w:rsidR="005D17EB">
        <w:rPr>
          <w:lang w:val="en-GB"/>
        </w:rPr>
        <w:t>Sistemin Informatik t</w:t>
      </w:r>
      <w:r w:rsidR="000A70F5">
        <w:rPr>
          <w:lang w:val="en-GB"/>
        </w:rPr>
        <w:t>ë</w:t>
      </w:r>
      <w:r w:rsidR="005D17EB">
        <w:rPr>
          <w:lang w:val="en-GB"/>
        </w:rPr>
        <w:t xml:space="preserve"> Menaxhimi t</w:t>
      </w:r>
      <w:r w:rsidR="000A70F5">
        <w:rPr>
          <w:lang w:val="en-GB"/>
        </w:rPr>
        <w:t>ë</w:t>
      </w:r>
      <w:r w:rsidR="005D17EB">
        <w:rPr>
          <w:lang w:val="en-GB"/>
        </w:rPr>
        <w:t xml:space="preserve"> Asistenc</w:t>
      </w:r>
      <w:r w:rsidR="000A70F5">
        <w:rPr>
          <w:lang w:val="en-GB"/>
        </w:rPr>
        <w:t>ë</w:t>
      </w:r>
      <w:r w:rsidR="005D17EB">
        <w:rPr>
          <w:lang w:val="en-GB"/>
        </w:rPr>
        <w:t>s s</w:t>
      </w:r>
      <w:r w:rsidR="000A70F5">
        <w:rPr>
          <w:lang w:val="en-GB"/>
        </w:rPr>
        <w:t>ë</w:t>
      </w:r>
      <w:r w:rsidR="005D17EB">
        <w:rPr>
          <w:lang w:val="en-GB"/>
        </w:rPr>
        <w:t xml:space="preserve"> Jashtme (SIMAJ) p</w:t>
      </w:r>
      <w:r w:rsidR="000A70F5">
        <w:rPr>
          <w:lang w:val="en-GB"/>
        </w:rPr>
        <w:t>ë</w:t>
      </w:r>
      <w:r w:rsidR="005D17EB">
        <w:rPr>
          <w:lang w:val="en-GB"/>
        </w:rPr>
        <w:t>r planifikimin dhe menaxhimin e projekteve zhvillimore me mb</w:t>
      </w:r>
      <w:r w:rsidR="000A70F5">
        <w:rPr>
          <w:lang w:val="en-GB"/>
        </w:rPr>
        <w:t>ë</w:t>
      </w:r>
      <w:r w:rsidR="005D17EB">
        <w:rPr>
          <w:lang w:val="en-GB"/>
        </w:rPr>
        <w:t>shtetje t</w:t>
      </w:r>
      <w:r w:rsidR="000A70F5">
        <w:rPr>
          <w:lang w:val="en-GB"/>
        </w:rPr>
        <w:t>ë</w:t>
      </w:r>
      <w:r w:rsidR="005D17EB">
        <w:rPr>
          <w:lang w:val="en-GB"/>
        </w:rPr>
        <w:t xml:space="preserve"> jashtme. </w:t>
      </w:r>
    </w:p>
    <w:p w14:paraId="0910F50C" w14:textId="77777777" w:rsidR="00A00F0C" w:rsidRPr="001F151E" w:rsidRDefault="00A00F0C" w:rsidP="00160474">
      <w:pPr>
        <w:pStyle w:val="N-Bullet"/>
        <w:numPr>
          <w:ilvl w:val="0"/>
          <w:numId w:val="0"/>
        </w:numPr>
        <w:ind w:left="360" w:hanging="360"/>
        <w:rPr>
          <w:lang w:val="en-GB"/>
        </w:rPr>
      </w:pPr>
    </w:p>
    <w:p w14:paraId="1D1B285D" w14:textId="3733E9C0" w:rsidR="00160474" w:rsidRPr="001F151E" w:rsidRDefault="00307811" w:rsidP="00160474">
      <w:pPr>
        <w:pStyle w:val="H5"/>
        <w:rPr>
          <w:lang w:val="en-GB"/>
        </w:rPr>
      </w:pPr>
      <w:r>
        <w:rPr>
          <w:lang w:val="en-GB"/>
        </w:rPr>
        <w:t>Masat dhe aktivitetet</w:t>
      </w:r>
    </w:p>
    <w:tbl>
      <w:tblPr>
        <w:tblStyle w:val="TableGrid"/>
        <w:tblW w:w="5000" w:type="pct"/>
        <w:tblCellMar>
          <w:top w:w="28" w:type="dxa"/>
          <w:left w:w="57" w:type="dxa"/>
          <w:bottom w:w="28" w:type="dxa"/>
          <w:right w:w="57" w:type="dxa"/>
        </w:tblCellMar>
        <w:tblLook w:val="04A0" w:firstRow="1" w:lastRow="0" w:firstColumn="1" w:lastColumn="0" w:noHBand="0" w:noVBand="1"/>
      </w:tblPr>
      <w:tblGrid>
        <w:gridCol w:w="1838"/>
        <w:gridCol w:w="3923"/>
        <w:gridCol w:w="769"/>
        <w:gridCol w:w="764"/>
        <w:gridCol w:w="1722"/>
      </w:tblGrid>
      <w:tr w:rsidR="00160474" w:rsidRPr="001F151E" w14:paraId="0D19E9E3" w14:textId="77777777" w:rsidTr="00A263BE">
        <w:trPr>
          <w:trHeight w:val="182"/>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E839CC" w14:textId="43BA319D" w:rsidR="00160474" w:rsidRPr="001F151E" w:rsidRDefault="00160474" w:rsidP="00307811">
            <w:pPr>
              <w:pStyle w:val="T-bold"/>
            </w:pPr>
            <w:r w:rsidRPr="001F151E">
              <w:t>M</w:t>
            </w:r>
            <w:r w:rsidR="00307811">
              <w:t>asa</w:t>
            </w:r>
          </w:p>
        </w:tc>
        <w:tc>
          <w:tcPr>
            <w:tcW w:w="3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FE21ED" w14:textId="0D6BF0A3" w:rsidR="00160474" w:rsidRPr="001F151E" w:rsidRDefault="00160474" w:rsidP="00307811">
            <w:pPr>
              <w:pStyle w:val="T-bold"/>
            </w:pPr>
            <w:r w:rsidRPr="001F151E">
              <w:t>A</w:t>
            </w:r>
            <w:r w:rsidR="00307811">
              <w:t>ktiviteti</w:t>
            </w: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83A45" w14:textId="43210240" w:rsidR="00160474" w:rsidRPr="001F151E" w:rsidRDefault="00307811" w:rsidP="002B7FF8">
            <w:pPr>
              <w:pStyle w:val="T-bold"/>
              <w:jc w:val="center"/>
            </w:pPr>
            <w:r>
              <w:t>Fillimi</w:t>
            </w:r>
          </w:p>
        </w:tc>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903340" w14:textId="34507430" w:rsidR="00160474" w:rsidRPr="001F151E" w:rsidRDefault="00307811" w:rsidP="002B7FF8">
            <w:pPr>
              <w:pStyle w:val="T-bold"/>
              <w:jc w:val="center"/>
            </w:pPr>
            <w:r>
              <w:t>Mbarimi</w:t>
            </w:r>
          </w:p>
        </w:tc>
        <w:tc>
          <w:tcPr>
            <w:tcW w:w="1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0ACAFB" w14:textId="2A9FA5D1" w:rsidR="00160474" w:rsidRPr="001F151E" w:rsidRDefault="00307811" w:rsidP="002B7FF8">
            <w:pPr>
              <w:pStyle w:val="T-bold"/>
            </w:pPr>
            <w:r>
              <w:t>Grupet e interesit</w:t>
            </w:r>
          </w:p>
        </w:tc>
      </w:tr>
      <w:tr w:rsidR="00A143BC" w:rsidRPr="0059094E" w14:paraId="1AAAFB9B" w14:textId="77777777" w:rsidTr="00A263BE">
        <w:trPr>
          <w:trHeight w:val="455"/>
        </w:trPr>
        <w:tc>
          <w:tcPr>
            <w:tcW w:w="1838" w:type="dxa"/>
            <w:vMerge w:val="restart"/>
            <w:tcBorders>
              <w:top w:val="single" w:sz="4" w:space="0" w:color="auto"/>
              <w:left w:val="single" w:sz="4" w:space="0" w:color="auto"/>
              <w:right w:val="single" w:sz="4" w:space="0" w:color="auto"/>
            </w:tcBorders>
          </w:tcPr>
          <w:p w14:paraId="362E4FC1" w14:textId="6CA0CE13" w:rsidR="00A143BC" w:rsidRPr="009D660E" w:rsidRDefault="00A143BC" w:rsidP="00C66286">
            <w:pPr>
              <w:pStyle w:val="EcorysBody"/>
              <w:rPr>
                <w:rFonts w:ascii="Arial" w:hAnsi="Arial" w:cs="Arial"/>
                <w:b/>
                <w:bCs/>
                <w:sz w:val="16"/>
                <w:szCs w:val="16"/>
                <w:lang w:val="it-IT"/>
              </w:rPr>
            </w:pPr>
            <w:r w:rsidRPr="009D660E">
              <w:rPr>
                <w:rFonts w:ascii="Arial" w:hAnsi="Arial" w:cs="Arial"/>
                <w:b/>
                <w:bCs/>
                <w:sz w:val="16"/>
                <w:szCs w:val="16"/>
                <w:lang w:val="it-IT"/>
              </w:rPr>
              <w:t>M</w:t>
            </w:r>
            <w:r w:rsidR="00C66286" w:rsidRPr="009D660E">
              <w:rPr>
                <w:rFonts w:ascii="Arial" w:hAnsi="Arial" w:cs="Arial"/>
                <w:b/>
                <w:bCs/>
                <w:sz w:val="16"/>
                <w:szCs w:val="16"/>
                <w:lang w:val="it-IT"/>
              </w:rPr>
              <w:t>asa 2.1</w:t>
            </w:r>
            <w:r w:rsidRPr="009D660E">
              <w:rPr>
                <w:rFonts w:ascii="Arial" w:hAnsi="Arial" w:cs="Arial"/>
                <w:b/>
                <w:bCs/>
                <w:sz w:val="16"/>
                <w:szCs w:val="16"/>
                <w:lang w:val="it-IT"/>
              </w:rPr>
              <w:t xml:space="preserve">.1 </w:t>
            </w:r>
            <w:r w:rsidR="005D17EB" w:rsidRPr="009D660E">
              <w:rPr>
                <w:rFonts w:ascii="Arial" w:hAnsi="Arial" w:cs="Arial"/>
                <w:b/>
                <w:bCs/>
                <w:sz w:val="16"/>
                <w:szCs w:val="16"/>
                <w:lang w:val="it-IT"/>
              </w:rPr>
              <w:t>P</w:t>
            </w:r>
            <w:r w:rsidR="000A70F5" w:rsidRPr="009D660E">
              <w:rPr>
                <w:rFonts w:ascii="Arial" w:hAnsi="Arial" w:cs="Arial"/>
                <w:b/>
                <w:bCs/>
                <w:sz w:val="16"/>
                <w:szCs w:val="16"/>
                <w:lang w:val="it-IT"/>
              </w:rPr>
              <w:t>ë</w:t>
            </w:r>
            <w:r w:rsidR="005D17EB" w:rsidRPr="009D660E">
              <w:rPr>
                <w:rFonts w:ascii="Arial" w:hAnsi="Arial" w:cs="Arial"/>
                <w:b/>
                <w:bCs/>
                <w:sz w:val="16"/>
                <w:szCs w:val="16"/>
                <w:lang w:val="it-IT"/>
              </w:rPr>
              <w:t>rmir</w:t>
            </w:r>
            <w:r w:rsidR="000A70F5" w:rsidRPr="009D660E">
              <w:rPr>
                <w:rFonts w:ascii="Arial" w:hAnsi="Arial" w:cs="Arial"/>
                <w:b/>
                <w:bCs/>
                <w:sz w:val="16"/>
                <w:szCs w:val="16"/>
                <w:lang w:val="it-IT"/>
              </w:rPr>
              <w:t>ë</w:t>
            </w:r>
            <w:r w:rsidR="005D17EB" w:rsidRPr="009D660E">
              <w:rPr>
                <w:rFonts w:ascii="Arial" w:hAnsi="Arial" w:cs="Arial"/>
                <w:b/>
                <w:bCs/>
                <w:sz w:val="16"/>
                <w:szCs w:val="16"/>
                <w:lang w:val="it-IT"/>
              </w:rPr>
              <w:t xml:space="preserve">simi i Sistemit </w:t>
            </w:r>
            <w:r w:rsidR="00D74ABF" w:rsidRPr="009D660E">
              <w:rPr>
                <w:rFonts w:ascii="Arial" w:hAnsi="Arial" w:cs="Arial"/>
                <w:b/>
                <w:bCs/>
                <w:sz w:val="16"/>
                <w:szCs w:val="16"/>
                <w:lang w:val="it-IT"/>
              </w:rPr>
              <w:t>t</w:t>
            </w:r>
            <w:r w:rsidR="000A70F5" w:rsidRPr="009D660E">
              <w:rPr>
                <w:rFonts w:ascii="Arial" w:hAnsi="Arial" w:cs="Arial"/>
                <w:b/>
                <w:bCs/>
                <w:sz w:val="16"/>
                <w:szCs w:val="16"/>
                <w:lang w:val="it-IT"/>
              </w:rPr>
              <w:t>ë</w:t>
            </w:r>
            <w:r w:rsidR="00D74ABF" w:rsidRPr="009D660E">
              <w:rPr>
                <w:rFonts w:ascii="Arial" w:hAnsi="Arial" w:cs="Arial"/>
                <w:b/>
                <w:bCs/>
                <w:sz w:val="16"/>
                <w:szCs w:val="16"/>
                <w:lang w:val="it-IT"/>
              </w:rPr>
              <w:t xml:space="preserve"> Planifikimit t</w:t>
            </w:r>
            <w:r w:rsidR="000A70F5" w:rsidRPr="009D660E">
              <w:rPr>
                <w:rFonts w:ascii="Arial" w:hAnsi="Arial" w:cs="Arial"/>
                <w:b/>
                <w:bCs/>
                <w:sz w:val="16"/>
                <w:szCs w:val="16"/>
                <w:lang w:val="it-IT"/>
              </w:rPr>
              <w:t>ë</w:t>
            </w:r>
            <w:r w:rsidR="00D74ABF" w:rsidRPr="009D660E">
              <w:rPr>
                <w:rFonts w:ascii="Arial" w:hAnsi="Arial" w:cs="Arial"/>
                <w:b/>
                <w:bCs/>
                <w:sz w:val="16"/>
                <w:szCs w:val="16"/>
                <w:lang w:val="it-IT"/>
              </w:rPr>
              <w:t xml:space="preserve"> Integruar t</w:t>
            </w:r>
            <w:r w:rsidR="000A70F5" w:rsidRPr="009D660E">
              <w:rPr>
                <w:rFonts w:ascii="Arial" w:hAnsi="Arial" w:cs="Arial"/>
                <w:b/>
                <w:bCs/>
                <w:sz w:val="16"/>
                <w:szCs w:val="16"/>
                <w:lang w:val="it-IT"/>
              </w:rPr>
              <w:t>ë</w:t>
            </w:r>
            <w:r w:rsidR="00D74ABF" w:rsidRPr="009D660E">
              <w:rPr>
                <w:rFonts w:ascii="Arial" w:hAnsi="Arial" w:cs="Arial"/>
                <w:b/>
                <w:bCs/>
                <w:sz w:val="16"/>
                <w:szCs w:val="16"/>
                <w:lang w:val="it-IT"/>
              </w:rPr>
              <w:t xml:space="preserve"> mb</w:t>
            </w:r>
            <w:r w:rsidR="000A70F5" w:rsidRPr="009D660E">
              <w:rPr>
                <w:rFonts w:ascii="Arial" w:hAnsi="Arial" w:cs="Arial"/>
                <w:b/>
                <w:bCs/>
                <w:sz w:val="16"/>
                <w:szCs w:val="16"/>
                <w:lang w:val="it-IT"/>
              </w:rPr>
              <w:t>ë</w:t>
            </w:r>
            <w:r w:rsidR="00D74ABF" w:rsidRPr="009D660E">
              <w:rPr>
                <w:rFonts w:ascii="Arial" w:hAnsi="Arial" w:cs="Arial"/>
                <w:b/>
                <w:bCs/>
                <w:sz w:val="16"/>
                <w:szCs w:val="16"/>
                <w:lang w:val="it-IT"/>
              </w:rPr>
              <w:t>shtetur nga TI p</w:t>
            </w:r>
            <w:r w:rsidR="000A70F5" w:rsidRPr="009D660E">
              <w:rPr>
                <w:rFonts w:ascii="Arial" w:hAnsi="Arial" w:cs="Arial"/>
                <w:b/>
                <w:bCs/>
                <w:sz w:val="16"/>
                <w:szCs w:val="16"/>
                <w:lang w:val="it-IT"/>
              </w:rPr>
              <w:t>ë</w:t>
            </w:r>
            <w:r w:rsidR="00D74ABF" w:rsidRPr="009D660E">
              <w:rPr>
                <w:rFonts w:ascii="Arial" w:hAnsi="Arial" w:cs="Arial"/>
                <w:b/>
                <w:bCs/>
                <w:sz w:val="16"/>
                <w:szCs w:val="16"/>
                <w:lang w:val="it-IT"/>
              </w:rPr>
              <w:t>r formulimin dhe monitorimin e strategjive</w:t>
            </w:r>
          </w:p>
        </w:tc>
        <w:tc>
          <w:tcPr>
            <w:tcW w:w="3923" w:type="dxa"/>
            <w:tcBorders>
              <w:top w:val="single" w:sz="4" w:space="0" w:color="auto"/>
              <w:left w:val="single" w:sz="4" w:space="0" w:color="auto"/>
              <w:bottom w:val="single" w:sz="4" w:space="0" w:color="auto"/>
              <w:right w:val="single" w:sz="4" w:space="0" w:color="auto"/>
            </w:tcBorders>
            <w:vAlign w:val="center"/>
          </w:tcPr>
          <w:p w14:paraId="29B671FC" w14:textId="6E7F96D2" w:rsidR="00A143BC" w:rsidRPr="009D660E" w:rsidRDefault="00A023E3" w:rsidP="00117432">
            <w:pPr>
              <w:pStyle w:val="EcorysBody"/>
              <w:numPr>
                <w:ilvl w:val="0"/>
                <w:numId w:val="21"/>
              </w:numPr>
              <w:rPr>
                <w:rFonts w:ascii="Arial" w:hAnsi="Arial" w:cs="Arial"/>
                <w:sz w:val="16"/>
                <w:szCs w:val="16"/>
                <w:lang w:val="it-IT"/>
              </w:rPr>
            </w:pPr>
            <w:r w:rsidRPr="009D660E">
              <w:rPr>
                <w:rFonts w:ascii="Arial" w:hAnsi="Arial" w:cs="Arial"/>
                <w:sz w:val="16"/>
                <w:szCs w:val="16"/>
                <w:lang w:val="it-IT"/>
              </w:rPr>
              <w:t>Rishikimi i</w:t>
            </w:r>
            <w:r w:rsidR="00D74ABF" w:rsidRPr="009D660E">
              <w:rPr>
                <w:rFonts w:ascii="Arial" w:hAnsi="Arial" w:cs="Arial"/>
                <w:sz w:val="16"/>
                <w:szCs w:val="16"/>
                <w:lang w:val="it-IT"/>
              </w:rPr>
              <w:t xml:space="preserve"> efektivitetit t</w:t>
            </w:r>
            <w:r w:rsidR="000A70F5" w:rsidRPr="009D660E">
              <w:rPr>
                <w:rFonts w:ascii="Arial" w:hAnsi="Arial" w:cs="Arial"/>
                <w:sz w:val="16"/>
                <w:szCs w:val="16"/>
                <w:lang w:val="it-IT"/>
              </w:rPr>
              <w:t>ë</w:t>
            </w:r>
            <w:r w:rsidR="00D74ABF" w:rsidRPr="009D660E">
              <w:rPr>
                <w:rFonts w:ascii="Arial" w:hAnsi="Arial" w:cs="Arial"/>
                <w:sz w:val="16"/>
                <w:szCs w:val="16"/>
                <w:lang w:val="it-IT"/>
              </w:rPr>
              <w:t xml:space="preserve"> Sistemit a</w:t>
            </w:r>
            <w:r w:rsidR="00117432" w:rsidRPr="009D660E">
              <w:rPr>
                <w:rFonts w:ascii="Arial" w:hAnsi="Arial" w:cs="Arial"/>
                <w:sz w:val="16"/>
                <w:szCs w:val="16"/>
                <w:lang w:val="it-IT"/>
              </w:rPr>
              <w:t>k</w:t>
            </w:r>
            <w:r w:rsidR="00D74ABF" w:rsidRPr="009D660E">
              <w:rPr>
                <w:rFonts w:ascii="Arial" w:hAnsi="Arial" w:cs="Arial"/>
                <w:sz w:val="16"/>
                <w:szCs w:val="16"/>
                <w:lang w:val="it-IT"/>
              </w:rPr>
              <w:t>tual t</w:t>
            </w:r>
            <w:r w:rsidR="000A70F5" w:rsidRPr="009D660E">
              <w:rPr>
                <w:rFonts w:ascii="Arial" w:hAnsi="Arial" w:cs="Arial"/>
                <w:sz w:val="16"/>
                <w:szCs w:val="16"/>
                <w:lang w:val="it-IT"/>
              </w:rPr>
              <w:t>ë</w:t>
            </w:r>
            <w:r w:rsidR="00D74ABF" w:rsidRPr="009D660E">
              <w:rPr>
                <w:rFonts w:ascii="Arial" w:hAnsi="Arial" w:cs="Arial"/>
                <w:sz w:val="16"/>
                <w:szCs w:val="16"/>
                <w:lang w:val="it-IT"/>
              </w:rPr>
              <w:t xml:space="preserve"> Planifikimit t</w:t>
            </w:r>
            <w:r w:rsidR="000A70F5" w:rsidRPr="009D660E">
              <w:rPr>
                <w:rFonts w:ascii="Arial" w:hAnsi="Arial" w:cs="Arial"/>
                <w:sz w:val="16"/>
                <w:szCs w:val="16"/>
                <w:lang w:val="it-IT"/>
              </w:rPr>
              <w:t>ë</w:t>
            </w:r>
            <w:r w:rsidR="00D74ABF" w:rsidRPr="009D660E">
              <w:rPr>
                <w:rFonts w:ascii="Arial" w:hAnsi="Arial" w:cs="Arial"/>
                <w:sz w:val="16"/>
                <w:szCs w:val="16"/>
                <w:lang w:val="it-IT"/>
              </w:rPr>
              <w:t xml:space="preserve"> Integruar dhe hartimi i propozimeve p</w:t>
            </w:r>
            <w:r w:rsidR="000A70F5" w:rsidRPr="009D660E">
              <w:rPr>
                <w:rFonts w:ascii="Arial" w:hAnsi="Arial" w:cs="Arial"/>
                <w:sz w:val="16"/>
                <w:szCs w:val="16"/>
                <w:lang w:val="it-IT"/>
              </w:rPr>
              <w:t>ë</w:t>
            </w:r>
            <w:r w:rsidR="00D74ABF" w:rsidRPr="009D660E">
              <w:rPr>
                <w:rFonts w:ascii="Arial" w:hAnsi="Arial" w:cs="Arial"/>
                <w:sz w:val="16"/>
                <w:szCs w:val="16"/>
                <w:lang w:val="it-IT"/>
              </w:rPr>
              <w:t>r p</w:t>
            </w:r>
            <w:r w:rsidR="000A70F5" w:rsidRPr="009D660E">
              <w:rPr>
                <w:rFonts w:ascii="Arial" w:hAnsi="Arial" w:cs="Arial"/>
                <w:sz w:val="16"/>
                <w:szCs w:val="16"/>
                <w:lang w:val="it-IT"/>
              </w:rPr>
              <w:t>ë</w:t>
            </w:r>
            <w:r w:rsidR="00D74ABF" w:rsidRPr="009D660E">
              <w:rPr>
                <w:rFonts w:ascii="Arial" w:hAnsi="Arial" w:cs="Arial"/>
                <w:sz w:val="16"/>
                <w:szCs w:val="16"/>
                <w:lang w:val="it-IT"/>
              </w:rPr>
              <w:t>rmir</w:t>
            </w:r>
            <w:r w:rsidR="000A70F5" w:rsidRPr="009D660E">
              <w:rPr>
                <w:rFonts w:ascii="Arial" w:hAnsi="Arial" w:cs="Arial"/>
                <w:sz w:val="16"/>
                <w:szCs w:val="16"/>
                <w:lang w:val="it-IT"/>
              </w:rPr>
              <w:t>ë</w:t>
            </w:r>
            <w:r w:rsidR="00D74ABF" w:rsidRPr="009D660E">
              <w:rPr>
                <w:rFonts w:ascii="Arial" w:hAnsi="Arial" w:cs="Arial"/>
                <w:sz w:val="16"/>
                <w:szCs w:val="16"/>
                <w:lang w:val="it-IT"/>
              </w:rPr>
              <w:t xml:space="preserve">sim. </w:t>
            </w:r>
          </w:p>
        </w:tc>
        <w:tc>
          <w:tcPr>
            <w:tcW w:w="769" w:type="dxa"/>
            <w:tcBorders>
              <w:top w:val="single" w:sz="4" w:space="0" w:color="auto"/>
              <w:left w:val="single" w:sz="4" w:space="0" w:color="auto"/>
              <w:bottom w:val="single" w:sz="4" w:space="0" w:color="auto"/>
              <w:right w:val="single" w:sz="4" w:space="0" w:color="auto"/>
            </w:tcBorders>
            <w:vAlign w:val="center"/>
          </w:tcPr>
          <w:p w14:paraId="573FA657" w14:textId="6395BAA7" w:rsidR="00A143BC" w:rsidRPr="002E6AB5" w:rsidRDefault="00D74ABF" w:rsidP="002B7FF8">
            <w:pPr>
              <w:jc w:val="center"/>
              <w:rPr>
                <w:sz w:val="16"/>
                <w:szCs w:val="16"/>
              </w:rPr>
            </w:pPr>
            <w:r>
              <w:rPr>
                <w:sz w:val="16"/>
                <w:szCs w:val="16"/>
              </w:rPr>
              <w:t>T</w:t>
            </w:r>
            <w:r w:rsidR="00F3608B" w:rsidRPr="002E6AB5">
              <w:rPr>
                <w:sz w:val="16"/>
                <w:szCs w:val="16"/>
              </w:rPr>
              <w:t>1 2024</w:t>
            </w:r>
          </w:p>
        </w:tc>
        <w:tc>
          <w:tcPr>
            <w:tcW w:w="764" w:type="dxa"/>
            <w:tcBorders>
              <w:top w:val="single" w:sz="4" w:space="0" w:color="auto"/>
              <w:left w:val="single" w:sz="4" w:space="0" w:color="auto"/>
              <w:bottom w:val="single" w:sz="4" w:space="0" w:color="auto"/>
              <w:right w:val="single" w:sz="4" w:space="0" w:color="auto"/>
            </w:tcBorders>
            <w:vAlign w:val="center"/>
          </w:tcPr>
          <w:p w14:paraId="3FDD309F" w14:textId="188AD0D3" w:rsidR="00A143BC" w:rsidRPr="002E6AB5" w:rsidRDefault="00D74ABF" w:rsidP="002B7FF8">
            <w:pPr>
              <w:jc w:val="center"/>
              <w:rPr>
                <w:sz w:val="16"/>
                <w:szCs w:val="16"/>
              </w:rPr>
            </w:pPr>
            <w:r>
              <w:rPr>
                <w:sz w:val="16"/>
                <w:szCs w:val="16"/>
              </w:rPr>
              <w:t>T</w:t>
            </w:r>
            <w:r w:rsidR="00F3608B" w:rsidRPr="002E6AB5">
              <w:rPr>
                <w:sz w:val="16"/>
                <w:szCs w:val="16"/>
              </w:rPr>
              <w:t>4 2025</w:t>
            </w:r>
          </w:p>
        </w:tc>
        <w:tc>
          <w:tcPr>
            <w:tcW w:w="1722" w:type="dxa"/>
            <w:vMerge w:val="restart"/>
            <w:tcBorders>
              <w:top w:val="single" w:sz="4" w:space="0" w:color="auto"/>
              <w:left w:val="single" w:sz="4" w:space="0" w:color="auto"/>
              <w:right w:val="single" w:sz="4" w:space="0" w:color="auto"/>
            </w:tcBorders>
          </w:tcPr>
          <w:p w14:paraId="239F1583" w14:textId="0980BA78" w:rsidR="00A143BC" w:rsidRPr="001F151E" w:rsidRDefault="00307811" w:rsidP="002B7FF8">
            <w:pPr>
              <w:rPr>
                <w:b/>
                <w:bCs/>
                <w:sz w:val="16"/>
                <w:szCs w:val="16"/>
              </w:rPr>
            </w:pPr>
            <w:r>
              <w:rPr>
                <w:b/>
                <w:bCs/>
                <w:sz w:val="16"/>
                <w:szCs w:val="16"/>
              </w:rPr>
              <w:t>Nj</w:t>
            </w:r>
            <w:r w:rsidR="000A70F5">
              <w:rPr>
                <w:b/>
                <w:bCs/>
                <w:sz w:val="16"/>
                <w:szCs w:val="16"/>
              </w:rPr>
              <w:t>ë</w:t>
            </w:r>
            <w:r w:rsidR="00D74ABF">
              <w:rPr>
                <w:b/>
                <w:bCs/>
                <w:sz w:val="16"/>
                <w:szCs w:val="16"/>
              </w:rPr>
              <w:t>sit</w:t>
            </w:r>
            <w:r w:rsidR="000A70F5">
              <w:rPr>
                <w:b/>
                <w:bCs/>
                <w:sz w:val="16"/>
                <w:szCs w:val="16"/>
              </w:rPr>
              <w:t>ë</w:t>
            </w:r>
            <w:r w:rsidR="00D74ABF">
              <w:rPr>
                <w:b/>
                <w:bCs/>
                <w:sz w:val="16"/>
                <w:szCs w:val="16"/>
              </w:rPr>
              <w:t xml:space="preserve"> p</w:t>
            </w:r>
            <w:r w:rsidR="000A70F5">
              <w:rPr>
                <w:b/>
                <w:bCs/>
                <w:sz w:val="16"/>
                <w:szCs w:val="16"/>
              </w:rPr>
              <w:t>ë</w:t>
            </w:r>
            <w:r w:rsidR="00D74ABF">
              <w:rPr>
                <w:b/>
                <w:bCs/>
                <w:sz w:val="16"/>
                <w:szCs w:val="16"/>
              </w:rPr>
              <w:t>rgjegj</w:t>
            </w:r>
            <w:r w:rsidR="000A70F5">
              <w:rPr>
                <w:b/>
                <w:bCs/>
                <w:sz w:val="16"/>
                <w:szCs w:val="16"/>
              </w:rPr>
              <w:t>ë</w:t>
            </w:r>
            <w:r w:rsidR="00D74ABF">
              <w:rPr>
                <w:b/>
                <w:bCs/>
                <w:sz w:val="16"/>
                <w:szCs w:val="16"/>
              </w:rPr>
              <w:t>se</w:t>
            </w:r>
            <w:r w:rsidR="00A143BC" w:rsidRPr="001F151E">
              <w:rPr>
                <w:b/>
                <w:bCs/>
                <w:sz w:val="16"/>
                <w:szCs w:val="16"/>
              </w:rPr>
              <w:t>:</w:t>
            </w:r>
          </w:p>
          <w:p w14:paraId="58CED098" w14:textId="2CC256A4" w:rsidR="00A143BC" w:rsidRPr="001F151E" w:rsidRDefault="00D74ABF" w:rsidP="002B7FF8">
            <w:pPr>
              <w:pStyle w:val="EcorysBody"/>
              <w:rPr>
                <w:rFonts w:ascii="Arial" w:hAnsi="Arial" w:cs="Arial"/>
                <w:sz w:val="16"/>
                <w:szCs w:val="16"/>
              </w:rPr>
            </w:pPr>
            <w:r>
              <w:rPr>
                <w:rFonts w:ascii="Arial" w:hAnsi="Arial" w:cs="Arial"/>
                <w:sz w:val="16"/>
                <w:szCs w:val="16"/>
              </w:rPr>
              <w:t>SASPAC (lider</w:t>
            </w:r>
            <w:r w:rsidR="00A143BC" w:rsidRPr="001F151E">
              <w:rPr>
                <w:rFonts w:ascii="Arial" w:hAnsi="Arial" w:cs="Arial"/>
                <w:sz w:val="16"/>
                <w:szCs w:val="16"/>
              </w:rPr>
              <w:t xml:space="preserve">), </w:t>
            </w:r>
            <w:r>
              <w:rPr>
                <w:rFonts w:ascii="Arial" w:hAnsi="Arial" w:cs="Arial"/>
                <w:sz w:val="16"/>
                <w:szCs w:val="16"/>
              </w:rPr>
              <w:t>MF</w:t>
            </w:r>
            <w:r w:rsidR="00A143BC" w:rsidRPr="001F151E">
              <w:rPr>
                <w:rFonts w:ascii="Arial" w:hAnsi="Arial" w:cs="Arial"/>
                <w:sz w:val="16"/>
                <w:szCs w:val="16"/>
              </w:rPr>
              <w:t>.</w:t>
            </w:r>
          </w:p>
          <w:p w14:paraId="537DE4E6" w14:textId="77777777" w:rsidR="00A143BC" w:rsidRPr="001F151E" w:rsidRDefault="00A143BC" w:rsidP="002B7FF8">
            <w:pPr>
              <w:pStyle w:val="EcorysBody"/>
              <w:rPr>
                <w:rFonts w:ascii="Arial" w:hAnsi="Arial" w:cs="Arial"/>
                <w:b/>
                <w:bCs/>
                <w:sz w:val="16"/>
                <w:szCs w:val="16"/>
              </w:rPr>
            </w:pPr>
          </w:p>
          <w:p w14:paraId="112549B6" w14:textId="77777777" w:rsidR="00A143BC" w:rsidRPr="009D660E" w:rsidRDefault="00A143BC" w:rsidP="002B7FF8">
            <w:pPr>
              <w:pStyle w:val="EcorysBody"/>
              <w:rPr>
                <w:rFonts w:ascii="Arial" w:hAnsi="Arial" w:cs="Arial"/>
                <w:b/>
                <w:bCs/>
                <w:sz w:val="16"/>
                <w:szCs w:val="16"/>
                <w:lang w:val="it-IT"/>
              </w:rPr>
            </w:pPr>
            <w:r w:rsidRPr="009D660E">
              <w:rPr>
                <w:rFonts w:ascii="Arial" w:hAnsi="Arial" w:cs="Arial"/>
                <w:b/>
                <w:bCs/>
                <w:sz w:val="16"/>
                <w:szCs w:val="16"/>
                <w:lang w:val="it-IT"/>
              </w:rPr>
              <w:t>Partners:</w:t>
            </w:r>
          </w:p>
          <w:p w14:paraId="5E899392" w14:textId="4D986F6F" w:rsidR="00A143BC" w:rsidRPr="009D660E" w:rsidRDefault="00AF1126" w:rsidP="002B7FF8">
            <w:pPr>
              <w:pStyle w:val="EcorysBody"/>
              <w:rPr>
                <w:rFonts w:ascii="Arial" w:hAnsi="Arial" w:cs="Arial"/>
                <w:sz w:val="16"/>
                <w:szCs w:val="16"/>
                <w:lang w:val="it-IT"/>
              </w:rPr>
            </w:pPr>
            <w:r w:rsidRPr="009D660E">
              <w:rPr>
                <w:rFonts w:ascii="Arial" w:hAnsi="Arial" w:cs="Arial"/>
                <w:sz w:val="16"/>
                <w:szCs w:val="16"/>
                <w:lang w:val="it-IT"/>
              </w:rPr>
              <w:t>Ministritë e Linjës</w:t>
            </w:r>
          </w:p>
          <w:p w14:paraId="6BF7C439" w14:textId="522D2343" w:rsidR="00AF1126" w:rsidRPr="009D660E" w:rsidRDefault="00AF1126" w:rsidP="002B7FF8">
            <w:pPr>
              <w:pStyle w:val="EcorysBody"/>
              <w:rPr>
                <w:rFonts w:ascii="Arial" w:hAnsi="Arial" w:cs="Arial"/>
                <w:sz w:val="16"/>
                <w:szCs w:val="16"/>
                <w:lang w:val="it-IT"/>
              </w:rPr>
            </w:pPr>
            <w:r w:rsidRPr="009D660E">
              <w:rPr>
                <w:rFonts w:ascii="Arial" w:hAnsi="Arial" w:cs="Arial"/>
                <w:sz w:val="16"/>
                <w:szCs w:val="16"/>
                <w:lang w:val="it-IT"/>
              </w:rPr>
              <w:t>Ndihma e Huaj</w:t>
            </w:r>
          </w:p>
          <w:p w14:paraId="5EEF3AAE" w14:textId="77777777" w:rsidR="00A143BC" w:rsidRPr="009D660E" w:rsidRDefault="00A143BC" w:rsidP="002B7FF8">
            <w:pPr>
              <w:rPr>
                <w:b/>
                <w:bCs/>
                <w:sz w:val="16"/>
                <w:szCs w:val="16"/>
                <w:lang w:val="it-IT"/>
              </w:rPr>
            </w:pPr>
          </w:p>
        </w:tc>
      </w:tr>
      <w:tr w:rsidR="00A143BC" w:rsidRPr="001F151E" w14:paraId="75C6F968" w14:textId="77777777" w:rsidTr="00A263BE">
        <w:trPr>
          <w:trHeight w:val="455"/>
        </w:trPr>
        <w:tc>
          <w:tcPr>
            <w:tcW w:w="1838" w:type="dxa"/>
            <w:vMerge/>
            <w:tcBorders>
              <w:left w:val="single" w:sz="4" w:space="0" w:color="auto"/>
              <w:right w:val="single" w:sz="4" w:space="0" w:color="auto"/>
            </w:tcBorders>
          </w:tcPr>
          <w:p w14:paraId="2C832D58" w14:textId="1B2FA2D0" w:rsidR="00A143BC" w:rsidRPr="009D660E" w:rsidRDefault="00A143BC" w:rsidP="002B7FF8">
            <w:pPr>
              <w:pStyle w:val="EcorysBody"/>
              <w:rPr>
                <w:rFonts w:ascii="Arial" w:hAnsi="Arial" w:cs="Arial"/>
                <w:b/>
                <w:bCs/>
                <w:sz w:val="16"/>
                <w:szCs w:val="16"/>
                <w:lang w:val="it-IT"/>
              </w:rPr>
            </w:pPr>
          </w:p>
        </w:tc>
        <w:tc>
          <w:tcPr>
            <w:tcW w:w="3923" w:type="dxa"/>
            <w:tcBorders>
              <w:top w:val="single" w:sz="4" w:space="0" w:color="auto"/>
              <w:left w:val="single" w:sz="4" w:space="0" w:color="auto"/>
              <w:bottom w:val="single" w:sz="4" w:space="0" w:color="auto"/>
              <w:right w:val="single" w:sz="4" w:space="0" w:color="auto"/>
            </w:tcBorders>
            <w:vAlign w:val="center"/>
          </w:tcPr>
          <w:p w14:paraId="3F6F601C" w14:textId="3FAAC9A2" w:rsidR="00A143BC" w:rsidRPr="009D660E" w:rsidRDefault="00D74ABF" w:rsidP="00897DDC">
            <w:pPr>
              <w:pStyle w:val="EcorysBody"/>
              <w:numPr>
                <w:ilvl w:val="0"/>
                <w:numId w:val="21"/>
              </w:numPr>
              <w:rPr>
                <w:rFonts w:ascii="Arial" w:hAnsi="Arial" w:cs="Arial"/>
                <w:sz w:val="16"/>
                <w:szCs w:val="16"/>
                <w:lang w:val="it-IT"/>
              </w:rPr>
            </w:pPr>
            <w:r w:rsidRPr="009D660E">
              <w:rPr>
                <w:rFonts w:ascii="Arial" w:hAnsi="Arial" w:cs="Arial"/>
                <w:sz w:val="16"/>
                <w:szCs w:val="16"/>
                <w:lang w:val="it-IT"/>
              </w:rPr>
              <w:t>P</w:t>
            </w:r>
            <w:r w:rsidR="000A70F5" w:rsidRPr="009D660E">
              <w:rPr>
                <w:rFonts w:ascii="Arial" w:hAnsi="Arial" w:cs="Arial"/>
                <w:sz w:val="16"/>
                <w:szCs w:val="16"/>
                <w:lang w:val="it-IT"/>
              </w:rPr>
              <w:t>ë</w:t>
            </w:r>
            <w:r w:rsidRPr="009D660E">
              <w:rPr>
                <w:rFonts w:ascii="Arial" w:hAnsi="Arial" w:cs="Arial"/>
                <w:sz w:val="16"/>
                <w:szCs w:val="16"/>
                <w:lang w:val="it-IT"/>
              </w:rPr>
              <w:t>rmir</w:t>
            </w:r>
            <w:r w:rsidR="000A70F5" w:rsidRPr="009D660E">
              <w:rPr>
                <w:rFonts w:ascii="Arial" w:hAnsi="Arial" w:cs="Arial"/>
                <w:sz w:val="16"/>
                <w:szCs w:val="16"/>
                <w:lang w:val="it-IT"/>
              </w:rPr>
              <w:t>ë</w:t>
            </w:r>
            <w:r w:rsidRPr="009D660E">
              <w:rPr>
                <w:rFonts w:ascii="Arial" w:hAnsi="Arial" w:cs="Arial"/>
                <w:sz w:val="16"/>
                <w:szCs w:val="16"/>
                <w:lang w:val="it-IT"/>
              </w:rPr>
              <w:t>simi i ligjeve, akteve n</w:t>
            </w:r>
            <w:r w:rsidR="000A70F5" w:rsidRPr="009D660E">
              <w:rPr>
                <w:rFonts w:ascii="Arial" w:hAnsi="Arial" w:cs="Arial"/>
                <w:sz w:val="16"/>
                <w:szCs w:val="16"/>
                <w:lang w:val="it-IT"/>
              </w:rPr>
              <w:t>ë</w:t>
            </w:r>
            <w:r w:rsidRPr="009D660E">
              <w:rPr>
                <w:rFonts w:ascii="Arial" w:hAnsi="Arial" w:cs="Arial"/>
                <w:sz w:val="16"/>
                <w:szCs w:val="16"/>
                <w:lang w:val="it-IT"/>
              </w:rPr>
              <w:t>nligjore dhe udh</w:t>
            </w:r>
            <w:r w:rsidR="000A70F5" w:rsidRPr="009D660E">
              <w:rPr>
                <w:rFonts w:ascii="Arial" w:hAnsi="Arial" w:cs="Arial"/>
                <w:sz w:val="16"/>
                <w:szCs w:val="16"/>
                <w:lang w:val="it-IT"/>
              </w:rPr>
              <w:t>ë</w:t>
            </w:r>
            <w:r w:rsidRPr="009D660E">
              <w:rPr>
                <w:rFonts w:ascii="Arial" w:hAnsi="Arial" w:cs="Arial"/>
                <w:sz w:val="16"/>
                <w:szCs w:val="16"/>
                <w:lang w:val="it-IT"/>
              </w:rPr>
              <w:t>zimeve p</w:t>
            </w:r>
            <w:r w:rsidR="000A70F5" w:rsidRPr="009D660E">
              <w:rPr>
                <w:rFonts w:ascii="Arial" w:hAnsi="Arial" w:cs="Arial"/>
                <w:sz w:val="16"/>
                <w:szCs w:val="16"/>
                <w:lang w:val="it-IT"/>
              </w:rPr>
              <w:t>ë</w:t>
            </w:r>
            <w:r w:rsidRPr="009D660E">
              <w:rPr>
                <w:rFonts w:ascii="Arial" w:hAnsi="Arial" w:cs="Arial"/>
                <w:sz w:val="16"/>
                <w:szCs w:val="16"/>
                <w:lang w:val="it-IT"/>
              </w:rPr>
              <w:t>r planifikim t</w:t>
            </w:r>
            <w:r w:rsidR="000A70F5" w:rsidRPr="009D660E">
              <w:rPr>
                <w:rFonts w:ascii="Arial" w:hAnsi="Arial" w:cs="Arial"/>
                <w:sz w:val="16"/>
                <w:szCs w:val="16"/>
                <w:lang w:val="it-IT"/>
              </w:rPr>
              <w:t>ë</w:t>
            </w:r>
            <w:r w:rsidRPr="009D660E">
              <w:rPr>
                <w:rFonts w:ascii="Arial" w:hAnsi="Arial" w:cs="Arial"/>
                <w:sz w:val="16"/>
                <w:szCs w:val="16"/>
                <w:lang w:val="it-IT"/>
              </w:rPr>
              <w:t xml:space="preserve"> integruar aty ku </w:t>
            </w:r>
            <w:r w:rsidR="000A70F5" w:rsidRPr="009D660E">
              <w:rPr>
                <w:rFonts w:ascii="Arial" w:hAnsi="Arial" w:cs="Arial"/>
                <w:sz w:val="16"/>
                <w:szCs w:val="16"/>
                <w:lang w:val="it-IT"/>
              </w:rPr>
              <w:t>ë</w:t>
            </w:r>
            <w:r w:rsidRPr="009D660E">
              <w:rPr>
                <w:rFonts w:ascii="Arial" w:hAnsi="Arial" w:cs="Arial"/>
                <w:sz w:val="16"/>
                <w:szCs w:val="16"/>
                <w:lang w:val="it-IT"/>
              </w:rPr>
              <w:t>sht</w:t>
            </w:r>
            <w:r w:rsidR="000A70F5" w:rsidRPr="009D660E">
              <w:rPr>
                <w:rFonts w:ascii="Arial" w:hAnsi="Arial" w:cs="Arial"/>
                <w:sz w:val="16"/>
                <w:szCs w:val="16"/>
                <w:lang w:val="it-IT"/>
              </w:rPr>
              <w:t>ë</w:t>
            </w:r>
            <w:r w:rsidRPr="009D660E">
              <w:rPr>
                <w:rFonts w:ascii="Arial" w:hAnsi="Arial" w:cs="Arial"/>
                <w:sz w:val="16"/>
                <w:szCs w:val="16"/>
                <w:lang w:val="it-IT"/>
              </w:rPr>
              <w:t xml:space="preserve"> e nevojshme.</w:t>
            </w:r>
          </w:p>
        </w:tc>
        <w:tc>
          <w:tcPr>
            <w:tcW w:w="769" w:type="dxa"/>
            <w:tcBorders>
              <w:top w:val="single" w:sz="4" w:space="0" w:color="auto"/>
              <w:left w:val="single" w:sz="4" w:space="0" w:color="auto"/>
              <w:bottom w:val="single" w:sz="4" w:space="0" w:color="auto"/>
              <w:right w:val="single" w:sz="4" w:space="0" w:color="auto"/>
            </w:tcBorders>
            <w:vAlign w:val="center"/>
          </w:tcPr>
          <w:p w14:paraId="2EC6F587" w14:textId="6F51E498" w:rsidR="00A143BC" w:rsidRPr="002E6AB5" w:rsidRDefault="00D74ABF" w:rsidP="002B7FF8">
            <w:pPr>
              <w:jc w:val="center"/>
              <w:rPr>
                <w:sz w:val="16"/>
                <w:szCs w:val="16"/>
              </w:rPr>
            </w:pPr>
            <w:r>
              <w:rPr>
                <w:sz w:val="16"/>
                <w:szCs w:val="16"/>
              </w:rPr>
              <w:t>T</w:t>
            </w:r>
            <w:r w:rsidR="00F3608B" w:rsidRPr="002E6AB5">
              <w:rPr>
                <w:sz w:val="16"/>
                <w:szCs w:val="16"/>
              </w:rPr>
              <w:t>1 2024</w:t>
            </w:r>
          </w:p>
        </w:tc>
        <w:tc>
          <w:tcPr>
            <w:tcW w:w="764" w:type="dxa"/>
            <w:tcBorders>
              <w:top w:val="single" w:sz="4" w:space="0" w:color="auto"/>
              <w:left w:val="single" w:sz="4" w:space="0" w:color="auto"/>
              <w:bottom w:val="single" w:sz="4" w:space="0" w:color="auto"/>
              <w:right w:val="single" w:sz="4" w:space="0" w:color="auto"/>
            </w:tcBorders>
            <w:vAlign w:val="center"/>
          </w:tcPr>
          <w:p w14:paraId="21C61057" w14:textId="3D3E0777" w:rsidR="00A143BC" w:rsidRPr="002E6AB5" w:rsidRDefault="00D74ABF" w:rsidP="002B7FF8">
            <w:pPr>
              <w:jc w:val="center"/>
              <w:rPr>
                <w:sz w:val="16"/>
                <w:szCs w:val="16"/>
              </w:rPr>
            </w:pPr>
            <w:r>
              <w:rPr>
                <w:sz w:val="16"/>
                <w:szCs w:val="16"/>
              </w:rPr>
              <w:t>T</w:t>
            </w:r>
            <w:r w:rsidR="00F3608B" w:rsidRPr="002E6AB5">
              <w:rPr>
                <w:sz w:val="16"/>
                <w:szCs w:val="16"/>
              </w:rPr>
              <w:t>4 2025</w:t>
            </w:r>
          </w:p>
        </w:tc>
        <w:tc>
          <w:tcPr>
            <w:tcW w:w="1722" w:type="dxa"/>
            <w:vMerge/>
            <w:tcBorders>
              <w:left w:val="single" w:sz="4" w:space="0" w:color="auto"/>
              <w:right w:val="single" w:sz="4" w:space="0" w:color="auto"/>
            </w:tcBorders>
          </w:tcPr>
          <w:p w14:paraId="466D9A58" w14:textId="77777777" w:rsidR="00A143BC" w:rsidRPr="001F151E" w:rsidRDefault="00A143BC" w:rsidP="002B7FF8">
            <w:pPr>
              <w:rPr>
                <w:b/>
                <w:bCs/>
                <w:sz w:val="16"/>
                <w:szCs w:val="16"/>
              </w:rPr>
            </w:pPr>
          </w:p>
        </w:tc>
      </w:tr>
      <w:tr w:rsidR="00A143BC" w:rsidRPr="001F151E" w14:paraId="4D608933" w14:textId="77777777" w:rsidTr="00A263BE">
        <w:trPr>
          <w:trHeight w:val="107"/>
        </w:trPr>
        <w:tc>
          <w:tcPr>
            <w:tcW w:w="1838" w:type="dxa"/>
            <w:vMerge/>
            <w:tcBorders>
              <w:left w:val="single" w:sz="4" w:space="0" w:color="auto"/>
              <w:right w:val="single" w:sz="4" w:space="0" w:color="auto"/>
            </w:tcBorders>
            <w:hideMark/>
          </w:tcPr>
          <w:p w14:paraId="6D5B0A02" w14:textId="77777777" w:rsidR="00A143BC" w:rsidRPr="001F151E" w:rsidRDefault="00A143BC" w:rsidP="002B7FF8">
            <w:pPr>
              <w:pStyle w:val="EcorysBody"/>
              <w:rPr>
                <w:rFonts w:ascii="Arial" w:hAnsi="Arial" w:cs="Arial"/>
                <w:sz w:val="16"/>
                <w:szCs w:val="16"/>
              </w:rPr>
            </w:pPr>
          </w:p>
        </w:tc>
        <w:tc>
          <w:tcPr>
            <w:tcW w:w="3923" w:type="dxa"/>
            <w:tcBorders>
              <w:top w:val="single" w:sz="4" w:space="0" w:color="auto"/>
              <w:left w:val="single" w:sz="4" w:space="0" w:color="auto"/>
              <w:right w:val="single" w:sz="4" w:space="0" w:color="auto"/>
            </w:tcBorders>
            <w:vAlign w:val="center"/>
          </w:tcPr>
          <w:p w14:paraId="589BD90C" w14:textId="2E88919A" w:rsidR="00A143BC" w:rsidRPr="001F151E" w:rsidRDefault="00D74ABF" w:rsidP="00897DDC">
            <w:pPr>
              <w:pStyle w:val="EcorysBody"/>
              <w:numPr>
                <w:ilvl w:val="0"/>
                <w:numId w:val="21"/>
              </w:numPr>
              <w:rPr>
                <w:rFonts w:ascii="Arial" w:hAnsi="Arial" w:cs="Arial"/>
                <w:sz w:val="16"/>
                <w:szCs w:val="16"/>
              </w:rPr>
            </w:pPr>
            <w:r>
              <w:rPr>
                <w:rFonts w:ascii="Arial" w:hAnsi="Arial" w:cs="Arial"/>
                <w:sz w:val="16"/>
                <w:szCs w:val="16"/>
              </w:rPr>
              <w:t>P</w:t>
            </w:r>
            <w:r w:rsidR="000A70F5">
              <w:rPr>
                <w:rFonts w:ascii="Arial" w:hAnsi="Arial" w:cs="Arial"/>
                <w:sz w:val="16"/>
                <w:szCs w:val="16"/>
              </w:rPr>
              <w:t>ë</w:t>
            </w:r>
            <w:r>
              <w:rPr>
                <w:rFonts w:ascii="Arial" w:hAnsi="Arial" w:cs="Arial"/>
                <w:sz w:val="16"/>
                <w:szCs w:val="16"/>
              </w:rPr>
              <w:t>rmir</w:t>
            </w:r>
            <w:r w:rsidR="000A70F5">
              <w:rPr>
                <w:rFonts w:ascii="Arial" w:hAnsi="Arial" w:cs="Arial"/>
                <w:sz w:val="16"/>
                <w:szCs w:val="16"/>
              </w:rPr>
              <w:t>ë</w:t>
            </w:r>
            <w:r>
              <w:rPr>
                <w:rFonts w:ascii="Arial" w:hAnsi="Arial" w:cs="Arial"/>
                <w:sz w:val="16"/>
                <w:szCs w:val="16"/>
              </w:rPr>
              <w:t>simi i SIPI duke p</w:t>
            </w:r>
            <w:r w:rsidR="000A70F5">
              <w:rPr>
                <w:rFonts w:ascii="Arial" w:hAnsi="Arial" w:cs="Arial"/>
                <w:sz w:val="16"/>
                <w:szCs w:val="16"/>
              </w:rPr>
              <w:t>ë</w:t>
            </w:r>
            <w:r>
              <w:rPr>
                <w:rFonts w:ascii="Arial" w:hAnsi="Arial" w:cs="Arial"/>
                <w:sz w:val="16"/>
                <w:szCs w:val="16"/>
              </w:rPr>
              <w:t>rfshir</w:t>
            </w:r>
            <w:r w:rsidR="000A70F5">
              <w:rPr>
                <w:rFonts w:ascii="Arial" w:hAnsi="Arial" w:cs="Arial"/>
                <w:sz w:val="16"/>
                <w:szCs w:val="16"/>
              </w:rPr>
              <w:t>ë</w:t>
            </w:r>
            <w:r>
              <w:rPr>
                <w:rFonts w:ascii="Arial" w:hAnsi="Arial" w:cs="Arial"/>
                <w:sz w:val="16"/>
                <w:szCs w:val="16"/>
              </w:rPr>
              <w:t xml:space="preserve"> nd</w:t>
            </w:r>
            <w:r w:rsidR="000A70F5">
              <w:rPr>
                <w:rFonts w:ascii="Arial" w:hAnsi="Arial" w:cs="Arial"/>
                <w:sz w:val="16"/>
                <w:szCs w:val="16"/>
              </w:rPr>
              <w:t>ë</w:t>
            </w:r>
            <w:r>
              <w:rPr>
                <w:rFonts w:ascii="Arial" w:hAnsi="Arial" w:cs="Arial"/>
                <w:sz w:val="16"/>
                <w:szCs w:val="16"/>
              </w:rPr>
              <w:t>rfaqet e tij me sisteme t</w:t>
            </w:r>
            <w:r w:rsidR="000A70F5">
              <w:rPr>
                <w:rFonts w:ascii="Arial" w:hAnsi="Arial" w:cs="Arial"/>
                <w:sz w:val="16"/>
                <w:szCs w:val="16"/>
              </w:rPr>
              <w:t>ë</w:t>
            </w:r>
            <w:r>
              <w:rPr>
                <w:rFonts w:ascii="Arial" w:hAnsi="Arial" w:cs="Arial"/>
                <w:sz w:val="16"/>
                <w:szCs w:val="16"/>
              </w:rPr>
              <w:t xml:space="preserve"> tjera kompjuterike p</w:t>
            </w:r>
            <w:r w:rsidR="000A70F5">
              <w:rPr>
                <w:rFonts w:ascii="Arial" w:hAnsi="Arial" w:cs="Arial"/>
                <w:sz w:val="16"/>
                <w:szCs w:val="16"/>
              </w:rPr>
              <w:t>ë</w:t>
            </w:r>
            <w:r>
              <w:rPr>
                <w:rFonts w:ascii="Arial" w:hAnsi="Arial" w:cs="Arial"/>
                <w:sz w:val="16"/>
                <w:szCs w:val="16"/>
              </w:rPr>
              <w:t>rkat</w:t>
            </w:r>
            <w:r w:rsidR="000A70F5">
              <w:rPr>
                <w:rFonts w:ascii="Arial" w:hAnsi="Arial" w:cs="Arial"/>
                <w:sz w:val="16"/>
                <w:szCs w:val="16"/>
              </w:rPr>
              <w:t>ë</w:t>
            </w:r>
            <w:r>
              <w:rPr>
                <w:rFonts w:ascii="Arial" w:hAnsi="Arial" w:cs="Arial"/>
                <w:sz w:val="16"/>
                <w:szCs w:val="16"/>
              </w:rPr>
              <w:t>se</w:t>
            </w:r>
            <w:r w:rsidR="00A143BC" w:rsidRPr="001F151E">
              <w:rPr>
                <w:rStyle w:val="FootnoteReference"/>
                <w:rFonts w:cs="Arial"/>
              </w:rPr>
              <w:footnoteReference w:id="13"/>
            </w:r>
            <w:r w:rsidR="00A143BC" w:rsidRPr="001F151E">
              <w:rPr>
                <w:rFonts w:ascii="Arial" w:hAnsi="Arial" w:cs="Arial"/>
                <w:sz w:val="16"/>
                <w:szCs w:val="16"/>
              </w:rPr>
              <w:t>.</w:t>
            </w:r>
          </w:p>
        </w:tc>
        <w:tc>
          <w:tcPr>
            <w:tcW w:w="769" w:type="dxa"/>
            <w:tcBorders>
              <w:top w:val="single" w:sz="4" w:space="0" w:color="auto"/>
              <w:left w:val="single" w:sz="4" w:space="0" w:color="auto"/>
              <w:right w:val="single" w:sz="4" w:space="0" w:color="auto"/>
            </w:tcBorders>
            <w:vAlign w:val="center"/>
          </w:tcPr>
          <w:p w14:paraId="6DE297F8" w14:textId="1BDFC3CB" w:rsidR="00A143BC" w:rsidRPr="002E6AB5" w:rsidRDefault="00D74ABF" w:rsidP="002B7FF8">
            <w:pPr>
              <w:jc w:val="center"/>
              <w:rPr>
                <w:sz w:val="16"/>
                <w:szCs w:val="16"/>
              </w:rPr>
            </w:pPr>
            <w:r>
              <w:rPr>
                <w:sz w:val="16"/>
                <w:szCs w:val="16"/>
              </w:rPr>
              <w:t>T</w:t>
            </w:r>
            <w:r w:rsidR="00F3608B" w:rsidRPr="002E6AB5">
              <w:rPr>
                <w:sz w:val="16"/>
                <w:szCs w:val="16"/>
              </w:rPr>
              <w:t>1 2024</w:t>
            </w:r>
          </w:p>
        </w:tc>
        <w:tc>
          <w:tcPr>
            <w:tcW w:w="764" w:type="dxa"/>
            <w:tcBorders>
              <w:top w:val="single" w:sz="4" w:space="0" w:color="auto"/>
              <w:left w:val="single" w:sz="4" w:space="0" w:color="auto"/>
              <w:right w:val="single" w:sz="4" w:space="0" w:color="auto"/>
            </w:tcBorders>
            <w:vAlign w:val="center"/>
          </w:tcPr>
          <w:p w14:paraId="28ECF38A" w14:textId="748A88A9" w:rsidR="00A143BC" w:rsidRPr="002E6AB5" w:rsidRDefault="00D74ABF" w:rsidP="002B7FF8">
            <w:pPr>
              <w:jc w:val="center"/>
              <w:rPr>
                <w:sz w:val="16"/>
                <w:szCs w:val="16"/>
              </w:rPr>
            </w:pPr>
            <w:r>
              <w:rPr>
                <w:sz w:val="16"/>
                <w:szCs w:val="16"/>
              </w:rPr>
              <w:t>T</w:t>
            </w:r>
            <w:r w:rsidR="00F3608B" w:rsidRPr="002E6AB5">
              <w:rPr>
                <w:sz w:val="16"/>
                <w:szCs w:val="16"/>
              </w:rPr>
              <w:t>4 2025</w:t>
            </w:r>
          </w:p>
        </w:tc>
        <w:tc>
          <w:tcPr>
            <w:tcW w:w="1722" w:type="dxa"/>
            <w:vMerge/>
            <w:tcBorders>
              <w:left w:val="single" w:sz="4" w:space="0" w:color="auto"/>
              <w:right w:val="single" w:sz="4" w:space="0" w:color="auto"/>
            </w:tcBorders>
          </w:tcPr>
          <w:p w14:paraId="2547C515" w14:textId="77777777" w:rsidR="00A143BC" w:rsidRPr="001F151E" w:rsidRDefault="00A143BC" w:rsidP="002B7FF8">
            <w:pPr>
              <w:rPr>
                <w:sz w:val="16"/>
                <w:szCs w:val="16"/>
              </w:rPr>
            </w:pPr>
          </w:p>
        </w:tc>
      </w:tr>
      <w:tr w:rsidR="00A143BC" w:rsidRPr="001F151E" w14:paraId="70DA0D7A" w14:textId="77777777" w:rsidTr="00A263BE">
        <w:trPr>
          <w:trHeight w:val="36"/>
        </w:trPr>
        <w:tc>
          <w:tcPr>
            <w:tcW w:w="1838" w:type="dxa"/>
            <w:vMerge/>
            <w:tcBorders>
              <w:left w:val="single" w:sz="4" w:space="0" w:color="auto"/>
              <w:right w:val="single" w:sz="4" w:space="0" w:color="auto"/>
            </w:tcBorders>
          </w:tcPr>
          <w:p w14:paraId="028089B6" w14:textId="68819794" w:rsidR="00A143BC" w:rsidRPr="001F151E" w:rsidRDefault="00A143BC" w:rsidP="002B7FF8">
            <w:pPr>
              <w:rPr>
                <w:sz w:val="16"/>
                <w:szCs w:val="16"/>
              </w:rPr>
            </w:pPr>
          </w:p>
        </w:tc>
        <w:tc>
          <w:tcPr>
            <w:tcW w:w="3923" w:type="dxa"/>
            <w:tcBorders>
              <w:top w:val="single" w:sz="4" w:space="0" w:color="auto"/>
              <w:left w:val="single" w:sz="4" w:space="0" w:color="auto"/>
              <w:right w:val="single" w:sz="4" w:space="0" w:color="auto"/>
            </w:tcBorders>
            <w:vAlign w:val="center"/>
          </w:tcPr>
          <w:p w14:paraId="182FCD82" w14:textId="5900C410" w:rsidR="00A143BC" w:rsidRPr="001F151E" w:rsidRDefault="00C66286" w:rsidP="00897DDC">
            <w:pPr>
              <w:pStyle w:val="ListParagraph"/>
              <w:numPr>
                <w:ilvl w:val="0"/>
                <w:numId w:val="21"/>
              </w:numPr>
              <w:rPr>
                <w:sz w:val="16"/>
                <w:szCs w:val="16"/>
              </w:rPr>
            </w:pPr>
            <w:r>
              <w:rPr>
                <w:sz w:val="16"/>
                <w:szCs w:val="16"/>
              </w:rPr>
              <w:t>Zhvillimi dhe zbatimi i nj</w:t>
            </w:r>
            <w:r w:rsidR="000A70F5">
              <w:rPr>
                <w:sz w:val="16"/>
                <w:szCs w:val="16"/>
              </w:rPr>
              <w:t>ë</w:t>
            </w:r>
            <w:r>
              <w:rPr>
                <w:sz w:val="16"/>
                <w:szCs w:val="16"/>
              </w:rPr>
              <w:t xml:space="preserve"> plani gjith</w:t>
            </w:r>
            <w:r w:rsidR="000A70F5">
              <w:rPr>
                <w:sz w:val="16"/>
                <w:szCs w:val="16"/>
              </w:rPr>
              <w:t>ë</w:t>
            </w:r>
            <w:r>
              <w:rPr>
                <w:sz w:val="16"/>
                <w:szCs w:val="16"/>
              </w:rPr>
              <w:t>p</w:t>
            </w:r>
            <w:r w:rsidR="000A70F5">
              <w:rPr>
                <w:sz w:val="16"/>
                <w:szCs w:val="16"/>
              </w:rPr>
              <w:t>ë</w:t>
            </w:r>
            <w:r>
              <w:rPr>
                <w:sz w:val="16"/>
                <w:szCs w:val="16"/>
              </w:rPr>
              <w:t>rfshir</w:t>
            </w:r>
            <w:r w:rsidR="000A70F5">
              <w:rPr>
                <w:sz w:val="16"/>
                <w:szCs w:val="16"/>
              </w:rPr>
              <w:t>ë</w:t>
            </w:r>
            <w:r>
              <w:rPr>
                <w:sz w:val="16"/>
                <w:szCs w:val="16"/>
              </w:rPr>
              <w:t>s t</w:t>
            </w:r>
            <w:r w:rsidR="000A70F5">
              <w:rPr>
                <w:sz w:val="16"/>
                <w:szCs w:val="16"/>
              </w:rPr>
              <w:t>ë</w:t>
            </w:r>
            <w:r>
              <w:rPr>
                <w:sz w:val="16"/>
                <w:szCs w:val="16"/>
              </w:rPr>
              <w:t xml:space="preserve"> zhvillimit t</w:t>
            </w:r>
            <w:r w:rsidR="000A70F5">
              <w:rPr>
                <w:sz w:val="16"/>
                <w:szCs w:val="16"/>
              </w:rPr>
              <w:t>ë</w:t>
            </w:r>
            <w:r>
              <w:rPr>
                <w:sz w:val="16"/>
                <w:szCs w:val="16"/>
              </w:rPr>
              <w:t xml:space="preserve"> kapaciteteve p</w:t>
            </w:r>
            <w:r w:rsidR="000A70F5">
              <w:rPr>
                <w:sz w:val="16"/>
                <w:szCs w:val="16"/>
              </w:rPr>
              <w:t>ë</w:t>
            </w:r>
            <w:r>
              <w:rPr>
                <w:sz w:val="16"/>
                <w:szCs w:val="16"/>
              </w:rPr>
              <w:t>r n</w:t>
            </w:r>
            <w:r w:rsidR="000A70F5">
              <w:rPr>
                <w:sz w:val="16"/>
                <w:szCs w:val="16"/>
              </w:rPr>
              <w:t>ë</w:t>
            </w:r>
            <w:r>
              <w:rPr>
                <w:sz w:val="16"/>
                <w:szCs w:val="16"/>
              </w:rPr>
              <w:t>pun</w:t>
            </w:r>
            <w:r w:rsidR="000A70F5">
              <w:rPr>
                <w:sz w:val="16"/>
                <w:szCs w:val="16"/>
              </w:rPr>
              <w:t>ë</w:t>
            </w:r>
            <w:r>
              <w:rPr>
                <w:sz w:val="16"/>
                <w:szCs w:val="16"/>
              </w:rPr>
              <w:t>sit civil</w:t>
            </w:r>
            <w:r w:rsidR="000A70F5">
              <w:rPr>
                <w:sz w:val="16"/>
                <w:szCs w:val="16"/>
              </w:rPr>
              <w:t>ë</w:t>
            </w:r>
            <w:r>
              <w:rPr>
                <w:sz w:val="16"/>
                <w:szCs w:val="16"/>
              </w:rPr>
              <w:t xml:space="preserve"> t</w:t>
            </w:r>
            <w:r w:rsidR="000A70F5">
              <w:rPr>
                <w:sz w:val="16"/>
                <w:szCs w:val="16"/>
              </w:rPr>
              <w:t>ë</w:t>
            </w:r>
            <w:r>
              <w:rPr>
                <w:sz w:val="16"/>
                <w:szCs w:val="16"/>
              </w:rPr>
              <w:t xml:space="preserve"> angazhuar n</w:t>
            </w:r>
            <w:r w:rsidR="000A70F5">
              <w:rPr>
                <w:sz w:val="16"/>
                <w:szCs w:val="16"/>
              </w:rPr>
              <w:t>ë</w:t>
            </w:r>
            <w:r>
              <w:rPr>
                <w:sz w:val="16"/>
                <w:szCs w:val="16"/>
              </w:rPr>
              <w:t xml:space="preserve"> procesin e planifikimit t</w:t>
            </w:r>
            <w:r w:rsidR="000A70F5">
              <w:rPr>
                <w:sz w:val="16"/>
                <w:szCs w:val="16"/>
              </w:rPr>
              <w:t>ë</w:t>
            </w:r>
            <w:r>
              <w:rPr>
                <w:sz w:val="16"/>
                <w:szCs w:val="16"/>
              </w:rPr>
              <w:t xml:space="preserve"> integruar. </w:t>
            </w:r>
          </w:p>
        </w:tc>
        <w:tc>
          <w:tcPr>
            <w:tcW w:w="769" w:type="dxa"/>
            <w:tcBorders>
              <w:top w:val="single" w:sz="4" w:space="0" w:color="auto"/>
              <w:left w:val="single" w:sz="4" w:space="0" w:color="auto"/>
              <w:right w:val="single" w:sz="4" w:space="0" w:color="auto"/>
            </w:tcBorders>
            <w:vAlign w:val="center"/>
          </w:tcPr>
          <w:p w14:paraId="7CEBA527" w14:textId="0987DE94" w:rsidR="00A143BC" w:rsidRPr="002E6AB5" w:rsidRDefault="00C66286" w:rsidP="002B7FF8">
            <w:pPr>
              <w:jc w:val="center"/>
              <w:rPr>
                <w:sz w:val="16"/>
                <w:szCs w:val="16"/>
              </w:rPr>
            </w:pPr>
            <w:r>
              <w:rPr>
                <w:sz w:val="16"/>
                <w:szCs w:val="16"/>
              </w:rPr>
              <w:t>T</w:t>
            </w:r>
            <w:r w:rsidR="00F3608B" w:rsidRPr="002E6AB5">
              <w:rPr>
                <w:sz w:val="16"/>
                <w:szCs w:val="16"/>
              </w:rPr>
              <w:t>1 2024</w:t>
            </w:r>
          </w:p>
        </w:tc>
        <w:tc>
          <w:tcPr>
            <w:tcW w:w="764" w:type="dxa"/>
            <w:tcBorders>
              <w:top w:val="single" w:sz="4" w:space="0" w:color="auto"/>
              <w:left w:val="single" w:sz="4" w:space="0" w:color="auto"/>
              <w:right w:val="single" w:sz="4" w:space="0" w:color="auto"/>
            </w:tcBorders>
            <w:vAlign w:val="center"/>
          </w:tcPr>
          <w:p w14:paraId="772BD176" w14:textId="22F4E7BF" w:rsidR="00A143BC" w:rsidRPr="002E6AB5" w:rsidRDefault="00C66286" w:rsidP="00AF1126">
            <w:pPr>
              <w:jc w:val="center"/>
              <w:rPr>
                <w:sz w:val="16"/>
                <w:szCs w:val="16"/>
              </w:rPr>
            </w:pPr>
            <w:r>
              <w:rPr>
                <w:sz w:val="16"/>
                <w:szCs w:val="16"/>
              </w:rPr>
              <w:t>T</w:t>
            </w:r>
            <w:r w:rsidR="00F3608B" w:rsidRPr="002E6AB5">
              <w:rPr>
                <w:sz w:val="16"/>
                <w:szCs w:val="16"/>
              </w:rPr>
              <w:t>4 202</w:t>
            </w:r>
            <w:r w:rsidR="00AF1126">
              <w:rPr>
                <w:sz w:val="16"/>
                <w:szCs w:val="16"/>
              </w:rPr>
              <w:t>5</w:t>
            </w:r>
          </w:p>
        </w:tc>
        <w:tc>
          <w:tcPr>
            <w:tcW w:w="1722" w:type="dxa"/>
            <w:vMerge/>
            <w:tcBorders>
              <w:left w:val="single" w:sz="4" w:space="0" w:color="auto"/>
              <w:right w:val="single" w:sz="4" w:space="0" w:color="auto"/>
            </w:tcBorders>
          </w:tcPr>
          <w:p w14:paraId="6B6A876B" w14:textId="4F3D457F" w:rsidR="00A143BC" w:rsidRPr="001F151E" w:rsidRDefault="00A143BC" w:rsidP="002B7FF8">
            <w:pPr>
              <w:pStyle w:val="EcorysBody"/>
              <w:rPr>
                <w:rFonts w:ascii="Arial" w:hAnsi="Arial" w:cs="Arial"/>
                <w:sz w:val="16"/>
                <w:szCs w:val="16"/>
              </w:rPr>
            </w:pPr>
          </w:p>
        </w:tc>
      </w:tr>
      <w:tr w:rsidR="00A143BC" w:rsidRPr="001F151E" w14:paraId="767ECB0F" w14:textId="77777777" w:rsidTr="00A263BE">
        <w:trPr>
          <w:trHeight w:val="662"/>
        </w:trPr>
        <w:tc>
          <w:tcPr>
            <w:tcW w:w="1838" w:type="dxa"/>
            <w:vMerge/>
            <w:tcBorders>
              <w:left w:val="single" w:sz="4" w:space="0" w:color="auto"/>
              <w:right w:val="single" w:sz="4" w:space="0" w:color="auto"/>
            </w:tcBorders>
            <w:vAlign w:val="center"/>
          </w:tcPr>
          <w:p w14:paraId="7843FA07" w14:textId="77777777" w:rsidR="00A143BC" w:rsidRPr="001F151E" w:rsidRDefault="00A143BC" w:rsidP="002B7FF8">
            <w:pPr>
              <w:spacing w:line="240" w:lineRule="auto"/>
              <w:rPr>
                <w:sz w:val="16"/>
                <w:szCs w:val="16"/>
              </w:rPr>
            </w:pPr>
          </w:p>
        </w:tc>
        <w:tc>
          <w:tcPr>
            <w:tcW w:w="3923" w:type="dxa"/>
            <w:tcBorders>
              <w:top w:val="single" w:sz="4" w:space="0" w:color="auto"/>
              <w:left w:val="single" w:sz="4" w:space="0" w:color="auto"/>
              <w:bottom w:val="single" w:sz="4" w:space="0" w:color="auto"/>
              <w:right w:val="single" w:sz="4" w:space="0" w:color="auto"/>
            </w:tcBorders>
            <w:vAlign w:val="center"/>
          </w:tcPr>
          <w:p w14:paraId="62DBD05B" w14:textId="10FAC562" w:rsidR="00A143BC" w:rsidRPr="001F151E" w:rsidRDefault="00C66286" w:rsidP="00897DDC">
            <w:pPr>
              <w:pStyle w:val="ListParagraph"/>
              <w:numPr>
                <w:ilvl w:val="0"/>
                <w:numId w:val="21"/>
              </w:numPr>
              <w:rPr>
                <w:sz w:val="16"/>
                <w:szCs w:val="16"/>
              </w:rPr>
            </w:pPr>
            <w:r>
              <w:rPr>
                <w:sz w:val="16"/>
                <w:szCs w:val="16"/>
              </w:rPr>
              <w:t>P</w:t>
            </w:r>
            <w:r w:rsidR="000A70F5">
              <w:rPr>
                <w:sz w:val="16"/>
                <w:szCs w:val="16"/>
              </w:rPr>
              <w:t>ë</w:t>
            </w:r>
            <w:r>
              <w:rPr>
                <w:sz w:val="16"/>
                <w:szCs w:val="16"/>
              </w:rPr>
              <w:t>rmir</w:t>
            </w:r>
            <w:r w:rsidR="000A70F5">
              <w:rPr>
                <w:sz w:val="16"/>
                <w:szCs w:val="16"/>
              </w:rPr>
              <w:t>ë</w:t>
            </w:r>
            <w:r>
              <w:rPr>
                <w:sz w:val="16"/>
                <w:szCs w:val="16"/>
              </w:rPr>
              <w:t>simi i SIMAJ p</w:t>
            </w:r>
            <w:r w:rsidR="000A70F5">
              <w:rPr>
                <w:sz w:val="16"/>
                <w:szCs w:val="16"/>
              </w:rPr>
              <w:t>ë</w:t>
            </w:r>
            <w:r>
              <w:rPr>
                <w:sz w:val="16"/>
                <w:szCs w:val="16"/>
              </w:rPr>
              <w:t>r t</w:t>
            </w:r>
            <w:r w:rsidR="000A70F5">
              <w:rPr>
                <w:sz w:val="16"/>
                <w:szCs w:val="16"/>
              </w:rPr>
              <w:t>ë</w:t>
            </w:r>
            <w:r>
              <w:rPr>
                <w:sz w:val="16"/>
                <w:szCs w:val="16"/>
              </w:rPr>
              <w:t xml:space="preserve"> planifikuar dhe menaxhuar n</w:t>
            </w:r>
            <w:r w:rsidR="000A70F5">
              <w:rPr>
                <w:sz w:val="16"/>
                <w:szCs w:val="16"/>
              </w:rPr>
              <w:t>ë</w:t>
            </w:r>
            <w:r>
              <w:rPr>
                <w:sz w:val="16"/>
                <w:szCs w:val="16"/>
              </w:rPr>
              <w:t xml:space="preserve"> m</w:t>
            </w:r>
            <w:r w:rsidR="000A70F5">
              <w:rPr>
                <w:sz w:val="16"/>
                <w:szCs w:val="16"/>
              </w:rPr>
              <w:t>ë</w:t>
            </w:r>
            <w:r>
              <w:rPr>
                <w:sz w:val="16"/>
                <w:szCs w:val="16"/>
              </w:rPr>
              <w:t>nyr</w:t>
            </w:r>
            <w:r w:rsidR="000A70F5">
              <w:rPr>
                <w:sz w:val="16"/>
                <w:szCs w:val="16"/>
              </w:rPr>
              <w:t>ë</w:t>
            </w:r>
            <w:r>
              <w:rPr>
                <w:sz w:val="16"/>
                <w:szCs w:val="16"/>
              </w:rPr>
              <w:t xml:space="preserve"> adekuate projektet e zbatuara me partner</w:t>
            </w:r>
            <w:r w:rsidR="000A70F5">
              <w:rPr>
                <w:sz w:val="16"/>
                <w:szCs w:val="16"/>
              </w:rPr>
              <w:t>ë</w:t>
            </w:r>
            <w:r>
              <w:rPr>
                <w:sz w:val="16"/>
                <w:szCs w:val="16"/>
              </w:rPr>
              <w:t xml:space="preserve"> t</w:t>
            </w:r>
            <w:r w:rsidR="000A70F5">
              <w:rPr>
                <w:sz w:val="16"/>
                <w:szCs w:val="16"/>
              </w:rPr>
              <w:t>ë</w:t>
            </w:r>
            <w:r>
              <w:rPr>
                <w:sz w:val="16"/>
                <w:szCs w:val="16"/>
              </w:rPr>
              <w:t xml:space="preserve"> jasht</w:t>
            </w:r>
            <w:r w:rsidR="000A70F5">
              <w:rPr>
                <w:sz w:val="16"/>
                <w:szCs w:val="16"/>
              </w:rPr>
              <w:t>ë</w:t>
            </w:r>
            <w:r>
              <w:rPr>
                <w:sz w:val="16"/>
                <w:szCs w:val="16"/>
              </w:rPr>
              <w:t>m</w:t>
            </w:r>
          </w:p>
        </w:tc>
        <w:tc>
          <w:tcPr>
            <w:tcW w:w="769" w:type="dxa"/>
            <w:tcBorders>
              <w:top w:val="single" w:sz="4" w:space="0" w:color="auto"/>
              <w:left w:val="single" w:sz="4" w:space="0" w:color="auto"/>
              <w:bottom w:val="single" w:sz="4" w:space="0" w:color="auto"/>
              <w:right w:val="single" w:sz="4" w:space="0" w:color="auto"/>
            </w:tcBorders>
            <w:vAlign w:val="center"/>
          </w:tcPr>
          <w:p w14:paraId="25D52FF7" w14:textId="5E9A0286" w:rsidR="00A143BC" w:rsidRPr="00AF1126" w:rsidRDefault="00AF1126" w:rsidP="002B7FF8">
            <w:pPr>
              <w:jc w:val="center"/>
              <w:rPr>
                <w:sz w:val="16"/>
                <w:szCs w:val="16"/>
              </w:rPr>
            </w:pPr>
            <w:r w:rsidRPr="00AF1126">
              <w:rPr>
                <w:sz w:val="16"/>
                <w:szCs w:val="16"/>
              </w:rPr>
              <w:t>T1 2024</w:t>
            </w:r>
          </w:p>
        </w:tc>
        <w:tc>
          <w:tcPr>
            <w:tcW w:w="764" w:type="dxa"/>
            <w:tcBorders>
              <w:top w:val="single" w:sz="4" w:space="0" w:color="auto"/>
              <w:left w:val="single" w:sz="4" w:space="0" w:color="auto"/>
              <w:bottom w:val="single" w:sz="4" w:space="0" w:color="auto"/>
              <w:right w:val="single" w:sz="4" w:space="0" w:color="auto"/>
            </w:tcBorders>
            <w:vAlign w:val="center"/>
          </w:tcPr>
          <w:p w14:paraId="7E9DE8B3" w14:textId="432CCBE4" w:rsidR="00A143BC" w:rsidRPr="00AF1126" w:rsidRDefault="00AF1126" w:rsidP="002B7FF8">
            <w:pPr>
              <w:jc w:val="center"/>
              <w:rPr>
                <w:sz w:val="16"/>
                <w:szCs w:val="16"/>
              </w:rPr>
            </w:pPr>
            <w:r w:rsidRPr="00AF1126">
              <w:rPr>
                <w:sz w:val="16"/>
                <w:szCs w:val="16"/>
              </w:rPr>
              <w:t>T2 2026</w:t>
            </w:r>
          </w:p>
        </w:tc>
        <w:tc>
          <w:tcPr>
            <w:tcW w:w="1722" w:type="dxa"/>
            <w:vMerge/>
            <w:tcBorders>
              <w:left w:val="single" w:sz="4" w:space="0" w:color="auto"/>
              <w:right w:val="single" w:sz="4" w:space="0" w:color="auto"/>
            </w:tcBorders>
            <w:vAlign w:val="center"/>
          </w:tcPr>
          <w:p w14:paraId="0AF5104B" w14:textId="77777777" w:rsidR="00A143BC" w:rsidRPr="001F151E" w:rsidRDefault="00A143BC" w:rsidP="002B7FF8">
            <w:pPr>
              <w:spacing w:line="240" w:lineRule="auto"/>
              <w:rPr>
                <w:sz w:val="16"/>
                <w:szCs w:val="16"/>
              </w:rPr>
            </w:pPr>
          </w:p>
        </w:tc>
      </w:tr>
      <w:tr w:rsidR="00A263BE" w:rsidRPr="001F151E" w14:paraId="6A67FD16" w14:textId="77777777" w:rsidTr="00A263BE">
        <w:trPr>
          <w:trHeight w:val="24"/>
        </w:trPr>
        <w:tc>
          <w:tcPr>
            <w:tcW w:w="1838" w:type="dxa"/>
            <w:vMerge w:val="restart"/>
            <w:tcBorders>
              <w:left w:val="single" w:sz="4" w:space="0" w:color="auto"/>
              <w:right w:val="single" w:sz="4" w:space="0" w:color="auto"/>
            </w:tcBorders>
            <w:vAlign w:val="center"/>
          </w:tcPr>
          <w:p w14:paraId="6D540F1C" w14:textId="00764824" w:rsidR="00A263BE" w:rsidRPr="001F151E" w:rsidRDefault="00A263BE" w:rsidP="00A263BE">
            <w:pPr>
              <w:pStyle w:val="EcorysBody"/>
              <w:rPr>
                <w:rFonts w:ascii="Arial" w:hAnsi="Arial" w:cs="Arial"/>
                <w:b/>
                <w:bCs/>
                <w:sz w:val="16"/>
                <w:szCs w:val="16"/>
              </w:rPr>
            </w:pPr>
            <w:r w:rsidRPr="001F151E">
              <w:rPr>
                <w:rFonts w:ascii="Arial" w:hAnsi="Arial" w:cs="Arial"/>
                <w:b/>
                <w:bCs/>
                <w:sz w:val="16"/>
                <w:szCs w:val="16"/>
              </w:rPr>
              <w:t>M</w:t>
            </w:r>
            <w:r w:rsidR="00C66286">
              <w:rPr>
                <w:rFonts w:ascii="Arial" w:hAnsi="Arial" w:cs="Arial"/>
                <w:b/>
                <w:bCs/>
                <w:sz w:val="16"/>
                <w:szCs w:val="16"/>
              </w:rPr>
              <w:t>asa</w:t>
            </w:r>
            <w:r w:rsidRPr="001F151E">
              <w:rPr>
                <w:rFonts w:ascii="Arial" w:hAnsi="Arial" w:cs="Arial"/>
                <w:b/>
                <w:bCs/>
                <w:sz w:val="16"/>
                <w:szCs w:val="16"/>
              </w:rPr>
              <w:t xml:space="preserve"> 2.</w:t>
            </w:r>
            <w:r w:rsidR="00C66286">
              <w:rPr>
                <w:rFonts w:ascii="Arial" w:hAnsi="Arial" w:cs="Arial"/>
                <w:b/>
                <w:bCs/>
                <w:sz w:val="16"/>
                <w:szCs w:val="16"/>
              </w:rPr>
              <w:t>1</w:t>
            </w:r>
            <w:r w:rsidRPr="001F151E">
              <w:rPr>
                <w:rFonts w:ascii="Arial" w:hAnsi="Arial" w:cs="Arial"/>
                <w:b/>
                <w:bCs/>
                <w:sz w:val="16"/>
                <w:szCs w:val="16"/>
              </w:rPr>
              <w:t xml:space="preserve">.2 </w:t>
            </w:r>
          </w:p>
          <w:p w14:paraId="724ED03C" w14:textId="726AD2CE" w:rsidR="00A263BE" w:rsidRPr="001F151E" w:rsidRDefault="00C66286" w:rsidP="00A263BE">
            <w:pPr>
              <w:pStyle w:val="EcorysBody"/>
              <w:rPr>
                <w:sz w:val="16"/>
                <w:szCs w:val="16"/>
              </w:rPr>
            </w:pPr>
            <w:r>
              <w:rPr>
                <w:rFonts w:ascii="Arial" w:hAnsi="Arial" w:cs="Arial"/>
                <w:b/>
                <w:bCs/>
                <w:sz w:val="16"/>
                <w:szCs w:val="16"/>
              </w:rPr>
              <w:t>Zgjerimi i rishikimit afatmes</w:t>
            </w:r>
            <w:r w:rsidR="000A70F5">
              <w:rPr>
                <w:rFonts w:ascii="Arial" w:hAnsi="Arial" w:cs="Arial"/>
                <w:b/>
                <w:bCs/>
                <w:sz w:val="16"/>
                <w:szCs w:val="16"/>
              </w:rPr>
              <w:t>ë</w:t>
            </w:r>
            <w:r>
              <w:rPr>
                <w:rFonts w:ascii="Arial" w:hAnsi="Arial" w:cs="Arial"/>
                <w:b/>
                <w:bCs/>
                <w:sz w:val="16"/>
                <w:szCs w:val="16"/>
              </w:rPr>
              <w:t>m dhe vler</w:t>
            </w:r>
            <w:r w:rsidR="000A70F5">
              <w:rPr>
                <w:rFonts w:ascii="Arial" w:hAnsi="Arial" w:cs="Arial"/>
                <w:b/>
                <w:bCs/>
                <w:sz w:val="16"/>
                <w:szCs w:val="16"/>
              </w:rPr>
              <w:t>ë</w:t>
            </w:r>
            <w:r>
              <w:rPr>
                <w:rFonts w:ascii="Arial" w:hAnsi="Arial" w:cs="Arial"/>
                <w:b/>
                <w:bCs/>
                <w:sz w:val="16"/>
                <w:szCs w:val="16"/>
              </w:rPr>
              <w:t>simit ex-post t</w:t>
            </w:r>
            <w:r w:rsidR="000A70F5">
              <w:rPr>
                <w:rFonts w:ascii="Arial" w:hAnsi="Arial" w:cs="Arial"/>
                <w:b/>
                <w:bCs/>
                <w:sz w:val="16"/>
                <w:szCs w:val="16"/>
              </w:rPr>
              <w:t>ë</w:t>
            </w:r>
            <w:r>
              <w:rPr>
                <w:rFonts w:ascii="Arial" w:hAnsi="Arial" w:cs="Arial"/>
                <w:b/>
                <w:bCs/>
                <w:sz w:val="16"/>
                <w:szCs w:val="16"/>
              </w:rPr>
              <w:t xml:space="preserve"> strategjive dhe planeve t</w:t>
            </w:r>
            <w:r w:rsidR="000A70F5">
              <w:rPr>
                <w:rFonts w:ascii="Arial" w:hAnsi="Arial" w:cs="Arial"/>
                <w:b/>
                <w:bCs/>
                <w:sz w:val="16"/>
                <w:szCs w:val="16"/>
              </w:rPr>
              <w:t>ë</w:t>
            </w:r>
            <w:r>
              <w:rPr>
                <w:rFonts w:ascii="Arial" w:hAnsi="Arial" w:cs="Arial"/>
                <w:b/>
                <w:bCs/>
                <w:sz w:val="16"/>
                <w:szCs w:val="16"/>
              </w:rPr>
              <w:t xml:space="preserve"> veprimit</w:t>
            </w:r>
          </w:p>
        </w:tc>
        <w:tc>
          <w:tcPr>
            <w:tcW w:w="3923" w:type="dxa"/>
            <w:tcBorders>
              <w:top w:val="single" w:sz="4" w:space="0" w:color="auto"/>
              <w:left w:val="single" w:sz="4" w:space="0" w:color="auto"/>
              <w:bottom w:val="single" w:sz="4" w:space="0" w:color="auto"/>
              <w:right w:val="single" w:sz="4" w:space="0" w:color="auto"/>
            </w:tcBorders>
            <w:vAlign w:val="center"/>
          </w:tcPr>
          <w:p w14:paraId="54976F94" w14:textId="05FC6B81" w:rsidR="00A263BE" w:rsidRPr="001F151E" w:rsidRDefault="00C66286" w:rsidP="00CD7428">
            <w:pPr>
              <w:pStyle w:val="ListParagraph"/>
              <w:numPr>
                <w:ilvl w:val="0"/>
                <w:numId w:val="40"/>
              </w:numPr>
              <w:rPr>
                <w:sz w:val="16"/>
                <w:szCs w:val="16"/>
              </w:rPr>
            </w:pPr>
            <w:r>
              <w:rPr>
                <w:sz w:val="16"/>
                <w:szCs w:val="16"/>
              </w:rPr>
              <w:t>Zhvillimi/p</w:t>
            </w:r>
            <w:r w:rsidR="000A70F5">
              <w:rPr>
                <w:sz w:val="16"/>
                <w:szCs w:val="16"/>
              </w:rPr>
              <w:t>ë</w:t>
            </w:r>
            <w:r>
              <w:rPr>
                <w:sz w:val="16"/>
                <w:szCs w:val="16"/>
              </w:rPr>
              <w:t>rdit</w:t>
            </w:r>
            <w:r w:rsidR="000A70F5">
              <w:rPr>
                <w:sz w:val="16"/>
                <w:szCs w:val="16"/>
              </w:rPr>
              <w:t>ë</w:t>
            </w:r>
            <w:r>
              <w:rPr>
                <w:sz w:val="16"/>
                <w:szCs w:val="16"/>
              </w:rPr>
              <w:t>simi i metodologjis</w:t>
            </w:r>
            <w:r w:rsidR="000A70F5">
              <w:rPr>
                <w:sz w:val="16"/>
                <w:szCs w:val="16"/>
              </w:rPr>
              <w:t>ë</w:t>
            </w:r>
            <w:r>
              <w:rPr>
                <w:sz w:val="16"/>
                <w:szCs w:val="16"/>
              </w:rPr>
              <w:t>/udh</w:t>
            </w:r>
            <w:r w:rsidR="000A70F5">
              <w:rPr>
                <w:sz w:val="16"/>
                <w:szCs w:val="16"/>
              </w:rPr>
              <w:t>ë</w:t>
            </w:r>
            <w:r>
              <w:rPr>
                <w:sz w:val="16"/>
                <w:szCs w:val="16"/>
              </w:rPr>
              <w:t>zuesit p</w:t>
            </w:r>
            <w:r w:rsidR="000A70F5">
              <w:rPr>
                <w:sz w:val="16"/>
                <w:szCs w:val="16"/>
              </w:rPr>
              <w:t>ë</w:t>
            </w:r>
            <w:r>
              <w:rPr>
                <w:sz w:val="16"/>
                <w:szCs w:val="16"/>
              </w:rPr>
              <w:t>r rishikimet afatmesme dhe vler</w:t>
            </w:r>
            <w:r w:rsidR="000A70F5">
              <w:rPr>
                <w:sz w:val="16"/>
                <w:szCs w:val="16"/>
              </w:rPr>
              <w:t>ë</w:t>
            </w:r>
            <w:r>
              <w:rPr>
                <w:sz w:val="16"/>
                <w:szCs w:val="16"/>
              </w:rPr>
              <w:t xml:space="preserve">simet ex-post  </w:t>
            </w:r>
          </w:p>
        </w:tc>
        <w:tc>
          <w:tcPr>
            <w:tcW w:w="769" w:type="dxa"/>
            <w:tcBorders>
              <w:top w:val="single" w:sz="4" w:space="0" w:color="auto"/>
              <w:left w:val="single" w:sz="4" w:space="0" w:color="auto"/>
              <w:bottom w:val="single" w:sz="4" w:space="0" w:color="auto"/>
              <w:right w:val="single" w:sz="4" w:space="0" w:color="auto"/>
            </w:tcBorders>
            <w:vAlign w:val="center"/>
          </w:tcPr>
          <w:p w14:paraId="50A05C41" w14:textId="54C1F436" w:rsidR="00A263BE" w:rsidRPr="001F151E" w:rsidRDefault="00C66286" w:rsidP="002B7FF8">
            <w:pPr>
              <w:jc w:val="center"/>
              <w:rPr>
                <w:sz w:val="16"/>
                <w:szCs w:val="16"/>
              </w:rPr>
            </w:pPr>
            <w:r>
              <w:rPr>
                <w:sz w:val="16"/>
                <w:szCs w:val="16"/>
              </w:rPr>
              <w:t>T</w:t>
            </w:r>
            <w:r w:rsidR="00A263BE" w:rsidRPr="001F151E">
              <w:rPr>
                <w:sz w:val="16"/>
                <w:szCs w:val="16"/>
              </w:rPr>
              <w:t>1 2024</w:t>
            </w:r>
          </w:p>
        </w:tc>
        <w:tc>
          <w:tcPr>
            <w:tcW w:w="764" w:type="dxa"/>
            <w:tcBorders>
              <w:top w:val="single" w:sz="4" w:space="0" w:color="auto"/>
              <w:left w:val="single" w:sz="4" w:space="0" w:color="auto"/>
              <w:bottom w:val="single" w:sz="4" w:space="0" w:color="auto"/>
              <w:right w:val="single" w:sz="4" w:space="0" w:color="auto"/>
            </w:tcBorders>
            <w:vAlign w:val="center"/>
          </w:tcPr>
          <w:p w14:paraId="32FFFB23" w14:textId="59BB1AD8" w:rsidR="00A263BE" w:rsidRPr="001F151E" w:rsidRDefault="00C66286" w:rsidP="002B7FF8">
            <w:pPr>
              <w:jc w:val="center"/>
              <w:rPr>
                <w:sz w:val="16"/>
                <w:szCs w:val="16"/>
              </w:rPr>
            </w:pPr>
            <w:r>
              <w:rPr>
                <w:sz w:val="16"/>
                <w:szCs w:val="16"/>
              </w:rPr>
              <w:t>T</w:t>
            </w:r>
            <w:r w:rsidR="00A263BE" w:rsidRPr="001F151E">
              <w:rPr>
                <w:sz w:val="16"/>
                <w:szCs w:val="16"/>
              </w:rPr>
              <w:t>4 2026</w:t>
            </w:r>
          </w:p>
        </w:tc>
        <w:tc>
          <w:tcPr>
            <w:tcW w:w="1722" w:type="dxa"/>
            <w:vMerge w:val="restart"/>
            <w:tcBorders>
              <w:left w:val="single" w:sz="4" w:space="0" w:color="auto"/>
              <w:right w:val="single" w:sz="4" w:space="0" w:color="auto"/>
            </w:tcBorders>
            <w:vAlign w:val="center"/>
          </w:tcPr>
          <w:p w14:paraId="3A594E9D" w14:textId="32A5CF50" w:rsidR="00A263BE" w:rsidRPr="001F151E" w:rsidRDefault="00C66286" w:rsidP="00A263BE">
            <w:pPr>
              <w:rPr>
                <w:b/>
                <w:bCs/>
                <w:sz w:val="16"/>
                <w:szCs w:val="16"/>
              </w:rPr>
            </w:pPr>
            <w:r>
              <w:rPr>
                <w:b/>
                <w:bCs/>
                <w:sz w:val="16"/>
                <w:szCs w:val="16"/>
              </w:rPr>
              <w:t>Nj</w:t>
            </w:r>
            <w:r w:rsidR="000A70F5">
              <w:rPr>
                <w:b/>
                <w:bCs/>
                <w:sz w:val="16"/>
                <w:szCs w:val="16"/>
              </w:rPr>
              <w:t>ë</w:t>
            </w:r>
            <w:r>
              <w:rPr>
                <w:b/>
                <w:bCs/>
                <w:sz w:val="16"/>
                <w:szCs w:val="16"/>
              </w:rPr>
              <w:t>sit</w:t>
            </w:r>
            <w:r w:rsidR="000A70F5">
              <w:rPr>
                <w:b/>
                <w:bCs/>
                <w:sz w:val="16"/>
                <w:szCs w:val="16"/>
              </w:rPr>
              <w:t>ë</w:t>
            </w:r>
            <w:r>
              <w:rPr>
                <w:b/>
                <w:bCs/>
                <w:sz w:val="16"/>
                <w:szCs w:val="16"/>
              </w:rPr>
              <w:t xml:space="preserve"> p</w:t>
            </w:r>
            <w:r w:rsidR="000A70F5">
              <w:rPr>
                <w:b/>
                <w:bCs/>
                <w:sz w:val="16"/>
                <w:szCs w:val="16"/>
              </w:rPr>
              <w:t>ë</w:t>
            </w:r>
            <w:r>
              <w:rPr>
                <w:b/>
                <w:bCs/>
                <w:sz w:val="16"/>
                <w:szCs w:val="16"/>
              </w:rPr>
              <w:t>rgjegj</w:t>
            </w:r>
            <w:r w:rsidR="000A70F5">
              <w:rPr>
                <w:b/>
                <w:bCs/>
                <w:sz w:val="16"/>
                <w:szCs w:val="16"/>
              </w:rPr>
              <w:t>ë</w:t>
            </w:r>
            <w:r>
              <w:rPr>
                <w:b/>
                <w:bCs/>
                <w:sz w:val="16"/>
                <w:szCs w:val="16"/>
              </w:rPr>
              <w:t>se</w:t>
            </w:r>
            <w:r w:rsidR="00A263BE" w:rsidRPr="001F151E">
              <w:rPr>
                <w:b/>
                <w:bCs/>
                <w:sz w:val="16"/>
                <w:szCs w:val="16"/>
              </w:rPr>
              <w:t>:</w:t>
            </w:r>
          </w:p>
          <w:p w14:paraId="0F299E60" w14:textId="5215E36B" w:rsidR="00A263BE" w:rsidRPr="001F151E" w:rsidRDefault="00C66286" w:rsidP="00A263BE">
            <w:pPr>
              <w:pStyle w:val="EcorysBody"/>
              <w:rPr>
                <w:rFonts w:ascii="Arial" w:hAnsi="Arial" w:cs="Arial"/>
                <w:sz w:val="16"/>
                <w:szCs w:val="16"/>
              </w:rPr>
            </w:pPr>
            <w:r>
              <w:rPr>
                <w:rFonts w:ascii="Arial" w:hAnsi="Arial" w:cs="Arial"/>
                <w:sz w:val="16"/>
                <w:szCs w:val="16"/>
              </w:rPr>
              <w:t>SASPAC (lider), M</w:t>
            </w:r>
            <w:r w:rsidR="00A263BE" w:rsidRPr="001F151E">
              <w:rPr>
                <w:rFonts w:ascii="Arial" w:hAnsi="Arial" w:cs="Arial"/>
                <w:sz w:val="16"/>
                <w:szCs w:val="16"/>
              </w:rPr>
              <w:t>F.</w:t>
            </w:r>
          </w:p>
          <w:p w14:paraId="4AAD8B56" w14:textId="77777777" w:rsidR="00A263BE" w:rsidRPr="001F151E" w:rsidRDefault="00A263BE" w:rsidP="00A263BE">
            <w:pPr>
              <w:pStyle w:val="EcorysBody"/>
              <w:rPr>
                <w:rFonts w:ascii="Arial" w:hAnsi="Arial" w:cs="Arial"/>
                <w:b/>
                <w:bCs/>
                <w:sz w:val="16"/>
                <w:szCs w:val="16"/>
              </w:rPr>
            </w:pPr>
          </w:p>
          <w:p w14:paraId="7EC74080" w14:textId="77777777" w:rsidR="00A263BE" w:rsidRPr="001F151E" w:rsidRDefault="00A263BE" w:rsidP="00A263BE">
            <w:pPr>
              <w:pStyle w:val="EcorysBody"/>
              <w:rPr>
                <w:rFonts w:ascii="Arial" w:hAnsi="Arial" w:cs="Arial"/>
                <w:b/>
                <w:bCs/>
                <w:sz w:val="16"/>
                <w:szCs w:val="16"/>
              </w:rPr>
            </w:pPr>
            <w:r w:rsidRPr="001F151E">
              <w:rPr>
                <w:rFonts w:ascii="Arial" w:hAnsi="Arial" w:cs="Arial"/>
                <w:b/>
                <w:bCs/>
                <w:sz w:val="16"/>
                <w:szCs w:val="16"/>
              </w:rPr>
              <w:t>Partners:</w:t>
            </w:r>
          </w:p>
          <w:p w14:paraId="2152392B" w14:textId="28AE9A82" w:rsidR="00A263BE" w:rsidRPr="001F151E" w:rsidRDefault="00A263BE" w:rsidP="00A263BE">
            <w:pPr>
              <w:pStyle w:val="EcorysBody"/>
              <w:rPr>
                <w:rFonts w:ascii="Arial" w:hAnsi="Arial" w:cs="Arial"/>
                <w:sz w:val="16"/>
                <w:szCs w:val="16"/>
              </w:rPr>
            </w:pPr>
          </w:p>
        </w:tc>
      </w:tr>
      <w:tr w:rsidR="00B86D28" w:rsidRPr="001F151E" w14:paraId="1A628CC8" w14:textId="77777777" w:rsidTr="00A263BE">
        <w:trPr>
          <w:trHeight w:val="408"/>
        </w:trPr>
        <w:tc>
          <w:tcPr>
            <w:tcW w:w="1838" w:type="dxa"/>
            <w:vMerge/>
            <w:tcBorders>
              <w:left w:val="single" w:sz="4" w:space="0" w:color="auto"/>
              <w:right w:val="single" w:sz="4" w:space="0" w:color="auto"/>
            </w:tcBorders>
            <w:vAlign w:val="center"/>
          </w:tcPr>
          <w:p w14:paraId="3395E3B0" w14:textId="77777777" w:rsidR="00B86D28" w:rsidRPr="001F151E" w:rsidRDefault="00B86D28" w:rsidP="00B86D28">
            <w:pPr>
              <w:spacing w:line="240" w:lineRule="auto"/>
              <w:rPr>
                <w:sz w:val="16"/>
                <w:szCs w:val="16"/>
              </w:rPr>
            </w:pPr>
          </w:p>
        </w:tc>
        <w:tc>
          <w:tcPr>
            <w:tcW w:w="3923" w:type="dxa"/>
            <w:tcBorders>
              <w:top w:val="single" w:sz="4" w:space="0" w:color="auto"/>
              <w:left w:val="single" w:sz="4" w:space="0" w:color="auto"/>
              <w:right w:val="single" w:sz="4" w:space="0" w:color="auto"/>
            </w:tcBorders>
            <w:vAlign w:val="center"/>
          </w:tcPr>
          <w:p w14:paraId="184CA145" w14:textId="2D47416F" w:rsidR="00B86D28" w:rsidRPr="001F151E" w:rsidRDefault="0037328A" w:rsidP="00CD7428">
            <w:pPr>
              <w:pStyle w:val="ListParagraph"/>
              <w:numPr>
                <w:ilvl w:val="0"/>
                <w:numId w:val="40"/>
              </w:numPr>
              <w:rPr>
                <w:sz w:val="16"/>
                <w:szCs w:val="16"/>
              </w:rPr>
            </w:pPr>
            <w:r>
              <w:rPr>
                <w:sz w:val="16"/>
                <w:szCs w:val="16"/>
              </w:rPr>
              <w:t>Zhvillimi dhe zbatimi i zhvillimit t</w:t>
            </w:r>
            <w:r w:rsidR="000A70F5">
              <w:rPr>
                <w:sz w:val="16"/>
                <w:szCs w:val="16"/>
              </w:rPr>
              <w:t>ë</w:t>
            </w:r>
            <w:r>
              <w:rPr>
                <w:sz w:val="16"/>
                <w:szCs w:val="16"/>
              </w:rPr>
              <w:t xml:space="preserve"> kapaciteteve t</w:t>
            </w:r>
            <w:r w:rsidR="000A70F5">
              <w:rPr>
                <w:sz w:val="16"/>
                <w:szCs w:val="16"/>
              </w:rPr>
              <w:t>ë</w:t>
            </w:r>
            <w:r>
              <w:rPr>
                <w:sz w:val="16"/>
                <w:szCs w:val="16"/>
              </w:rPr>
              <w:t xml:space="preserve"> ekipeve t</w:t>
            </w:r>
            <w:r w:rsidR="000A70F5">
              <w:rPr>
                <w:sz w:val="16"/>
                <w:szCs w:val="16"/>
              </w:rPr>
              <w:t>ë</w:t>
            </w:r>
            <w:r>
              <w:rPr>
                <w:sz w:val="16"/>
                <w:szCs w:val="16"/>
              </w:rPr>
              <w:t xml:space="preserve"> vler</w:t>
            </w:r>
            <w:r w:rsidR="000A70F5">
              <w:rPr>
                <w:sz w:val="16"/>
                <w:szCs w:val="16"/>
              </w:rPr>
              <w:t>ë</w:t>
            </w:r>
            <w:r>
              <w:rPr>
                <w:sz w:val="16"/>
                <w:szCs w:val="16"/>
              </w:rPr>
              <w:t>simit</w:t>
            </w:r>
          </w:p>
        </w:tc>
        <w:tc>
          <w:tcPr>
            <w:tcW w:w="769" w:type="dxa"/>
            <w:tcBorders>
              <w:top w:val="single" w:sz="4" w:space="0" w:color="auto"/>
              <w:left w:val="single" w:sz="4" w:space="0" w:color="auto"/>
              <w:right w:val="single" w:sz="4" w:space="0" w:color="auto"/>
            </w:tcBorders>
            <w:vAlign w:val="center"/>
          </w:tcPr>
          <w:p w14:paraId="4ED38EBC" w14:textId="2DB2E194" w:rsidR="00B86D28" w:rsidRPr="001F151E" w:rsidRDefault="00C66286" w:rsidP="00B86D28">
            <w:pPr>
              <w:jc w:val="center"/>
              <w:rPr>
                <w:sz w:val="16"/>
                <w:szCs w:val="16"/>
              </w:rPr>
            </w:pPr>
            <w:r>
              <w:rPr>
                <w:sz w:val="16"/>
                <w:szCs w:val="16"/>
              </w:rPr>
              <w:t>T</w:t>
            </w:r>
            <w:r w:rsidR="00B86D28" w:rsidRPr="001F151E">
              <w:rPr>
                <w:sz w:val="16"/>
                <w:szCs w:val="16"/>
              </w:rPr>
              <w:t>1 2026</w:t>
            </w:r>
          </w:p>
        </w:tc>
        <w:tc>
          <w:tcPr>
            <w:tcW w:w="764" w:type="dxa"/>
            <w:tcBorders>
              <w:top w:val="single" w:sz="4" w:space="0" w:color="auto"/>
              <w:left w:val="single" w:sz="4" w:space="0" w:color="auto"/>
              <w:right w:val="single" w:sz="4" w:space="0" w:color="auto"/>
            </w:tcBorders>
            <w:vAlign w:val="center"/>
          </w:tcPr>
          <w:p w14:paraId="2517A4C1" w14:textId="78AB54AB" w:rsidR="00B86D28" w:rsidRPr="001F151E" w:rsidRDefault="00C66286" w:rsidP="00B86D28">
            <w:pPr>
              <w:jc w:val="center"/>
              <w:rPr>
                <w:sz w:val="16"/>
                <w:szCs w:val="16"/>
              </w:rPr>
            </w:pPr>
            <w:r>
              <w:rPr>
                <w:sz w:val="16"/>
                <w:szCs w:val="16"/>
              </w:rPr>
              <w:t>T</w:t>
            </w:r>
            <w:r w:rsidR="00B86D28" w:rsidRPr="001F151E">
              <w:rPr>
                <w:sz w:val="16"/>
                <w:szCs w:val="16"/>
              </w:rPr>
              <w:t>4 2026</w:t>
            </w:r>
          </w:p>
        </w:tc>
        <w:tc>
          <w:tcPr>
            <w:tcW w:w="1722" w:type="dxa"/>
            <w:vMerge/>
            <w:tcBorders>
              <w:left w:val="single" w:sz="4" w:space="0" w:color="auto"/>
              <w:right w:val="single" w:sz="4" w:space="0" w:color="auto"/>
            </w:tcBorders>
            <w:vAlign w:val="center"/>
          </w:tcPr>
          <w:p w14:paraId="17184D84" w14:textId="77777777" w:rsidR="00B86D28" w:rsidRPr="001F151E" w:rsidRDefault="00B86D28" w:rsidP="00B86D28">
            <w:pPr>
              <w:spacing w:line="240" w:lineRule="auto"/>
              <w:rPr>
                <w:sz w:val="16"/>
                <w:szCs w:val="16"/>
              </w:rPr>
            </w:pPr>
          </w:p>
        </w:tc>
      </w:tr>
      <w:tr w:rsidR="00B86D28" w:rsidRPr="001F151E" w14:paraId="61C22834" w14:textId="77777777" w:rsidTr="00A263BE">
        <w:trPr>
          <w:trHeight w:val="408"/>
        </w:trPr>
        <w:tc>
          <w:tcPr>
            <w:tcW w:w="1838" w:type="dxa"/>
            <w:vMerge/>
            <w:tcBorders>
              <w:left w:val="single" w:sz="4" w:space="0" w:color="auto"/>
              <w:right w:val="single" w:sz="4" w:space="0" w:color="auto"/>
            </w:tcBorders>
            <w:vAlign w:val="center"/>
          </w:tcPr>
          <w:p w14:paraId="214C7695" w14:textId="77777777" w:rsidR="00B86D28" w:rsidRPr="001F151E" w:rsidRDefault="00B86D28" w:rsidP="00B86D28">
            <w:pPr>
              <w:spacing w:line="240" w:lineRule="auto"/>
              <w:rPr>
                <w:sz w:val="16"/>
                <w:szCs w:val="16"/>
              </w:rPr>
            </w:pPr>
          </w:p>
        </w:tc>
        <w:tc>
          <w:tcPr>
            <w:tcW w:w="3923" w:type="dxa"/>
            <w:tcBorders>
              <w:top w:val="single" w:sz="4" w:space="0" w:color="auto"/>
              <w:left w:val="single" w:sz="4" w:space="0" w:color="auto"/>
              <w:right w:val="single" w:sz="4" w:space="0" w:color="auto"/>
            </w:tcBorders>
            <w:vAlign w:val="center"/>
          </w:tcPr>
          <w:p w14:paraId="0D6DF5A5" w14:textId="24D283B7" w:rsidR="00B86D28" w:rsidRPr="001F151E" w:rsidRDefault="0037328A" w:rsidP="00CD7428">
            <w:pPr>
              <w:pStyle w:val="ListParagraph"/>
              <w:numPr>
                <w:ilvl w:val="0"/>
                <w:numId w:val="40"/>
              </w:numPr>
              <w:rPr>
                <w:sz w:val="16"/>
                <w:szCs w:val="16"/>
              </w:rPr>
            </w:pPr>
            <w:r>
              <w:rPr>
                <w:sz w:val="16"/>
                <w:szCs w:val="16"/>
              </w:rPr>
              <w:t>Fillimi gradual i zbatimit/zgjerimit t</w:t>
            </w:r>
            <w:r w:rsidR="000A70F5">
              <w:rPr>
                <w:sz w:val="16"/>
                <w:szCs w:val="16"/>
              </w:rPr>
              <w:t>ë</w:t>
            </w:r>
            <w:r>
              <w:rPr>
                <w:sz w:val="16"/>
                <w:szCs w:val="16"/>
              </w:rPr>
              <w:t xml:space="preserve"> rishikimeve afatmesme dhe vler</w:t>
            </w:r>
            <w:r w:rsidR="000A70F5">
              <w:rPr>
                <w:sz w:val="16"/>
                <w:szCs w:val="16"/>
              </w:rPr>
              <w:t>ë</w:t>
            </w:r>
            <w:r>
              <w:rPr>
                <w:sz w:val="16"/>
                <w:szCs w:val="16"/>
              </w:rPr>
              <w:t>simeve ex-post p</w:t>
            </w:r>
            <w:r w:rsidR="000A70F5">
              <w:rPr>
                <w:sz w:val="16"/>
                <w:szCs w:val="16"/>
              </w:rPr>
              <w:t>ë</w:t>
            </w:r>
            <w:r>
              <w:rPr>
                <w:sz w:val="16"/>
                <w:szCs w:val="16"/>
              </w:rPr>
              <w:t xml:space="preserve">rmes pilotimeve </w:t>
            </w:r>
            <w:r w:rsidR="00B86D28" w:rsidRPr="001F151E">
              <w:rPr>
                <w:sz w:val="16"/>
                <w:szCs w:val="16"/>
              </w:rPr>
              <w:t xml:space="preserve">  </w:t>
            </w:r>
          </w:p>
        </w:tc>
        <w:tc>
          <w:tcPr>
            <w:tcW w:w="769" w:type="dxa"/>
            <w:tcBorders>
              <w:top w:val="single" w:sz="4" w:space="0" w:color="auto"/>
              <w:left w:val="single" w:sz="4" w:space="0" w:color="auto"/>
              <w:right w:val="single" w:sz="4" w:space="0" w:color="auto"/>
            </w:tcBorders>
            <w:vAlign w:val="center"/>
          </w:tcPr>
          <w:p w14:paraId="4E75614E" w14:textId="1C6D0A43" w:rsidR="00B86D28" w:rsidRPr="001F151E" w:rsidRDefault="00C66286" w:rsidP="00B86D28">
            <w:pPr>
              <w:jc w:val="center"/>
              <w:rPr>
                <w:sz w:val="16"/>
                <w:szCs w:val="16"/>
              </w:rPr>
            </w:pPr>
            <w:r>
              <w:rPr>
                <w:sz w:val="16"/>
                <w:szCs w:val="16"/>
              </w:rPr>
              <w:t>T</w:t>
            </w:r>
            <w:r w:rsidR="00B86D28" w:rsidRPr="001F151E">
              <w:rPr>
                <w:sz w:val="16"/>
                <w:szCs w:val="16"/>
              </w:rPr>
              <w:t>1 2026</w:t>
            </w:r>
          </w:p>
        </w:tc>
        <w:tc>
          <w:tcPr>
            <w:tcW w:w="764" w:type="dxa"/>
            <w:tcBorders>
              <w:top w:val="single" w:sz="4" w:space="0" w:color="auto"/>
              <w:left w:val="single" w:sz="4" w:space="0" w:color="auto"/>
              <w:right w:val="single" w:sz="4" w:space="0" w:color="auto"/>
            </w:tcBorders>
            <w:vAlign w:val="center"/>
          </w:tcPr>
          <w:p w14:paraId="0822C72E" w14:textId="1D5E655D" w:rsidR="00B86D28" w:rsidRPr="001F151E" w:rsidRDefault="00C66286" w:rsidP="00B86D28">
            <w:pPr>
              <w:jc w:val="center"/>
              <w:rPr>
                <w:sz w:val="16"/>
                <w:szCs w:val="16"/>
              </w:rPr>
            </w:pPr>
            <w:r>
              <w:rPr>
                <w:sz w:val="16"/>
                <w:szCs w:val="16"/>
              </w:rPr>
              <w:t>T</w:t>
            </w:r>
            <w:r w:rsidR="00B86D28" w:rsidRPr="001F151E">
              <w:rPr>
                <w:sz w:val="16"/>
                <w:szCs w:val="16"/>
              </w:rPr>
              <w:t>4 2026</w:t>
            </w:r>
          </w:p>
        </w:tc>
        <w:tc>
          <w:tcPr>
            <w:tcW w:w="1722" w:type="dxa"/>
            <w:vMerge/>
            <w:tcBorders>
              <w:left w:val="single" w:sz="4" w:space="0" w:color="auto"/>
              <w:right w:val="single" w:sz="4" w:space="0" w:color="auto"/>
            </w:tcBorders>
            <w:vAlign w:val="center"/>
          </w:tcPr>
          <w:p w14:paraId="393FDB05" w14:textId="77777777" w:rsidR="00B86D28" w:rsidRPr="001F151E" w:rsidRDefault="00B86D28" w:rsidP="00B86D28">
            <w:pPr>
              <w:spacing w:line="240" w:lineRule="auto"/>
              <w:rPr>
                <w:sz w:val="16"/>
                <w:szCs w:val="16"/>
              </w:rPr>
            </w:pPr>
          </w:p>
        </w:tc>
      </w:tr>
    </w:tbl>
    <w:p w14:paraId="6F9EF5AE" w14:textId="77777777" w:rsidR="00160474" w:rsidRPr="001F151E" w:rsidRDefault="00160474" w:rsidP="00160474">
      <w:pPr>
        <w:pStyle w:val="H5"/>
        <w:rPr>
          <w:lang w:val="en-GB"/>
        </w:rPr>
      </w:pPr>
    </w:p>
    <w:p w14:paraId="4043F8EA" w14:textId="7E6A2628" w:rsidR="00160474" w:rsidRPr="009D660E" w:rsidRDefault="00307811" w:rsidP="00160474">
      <w:pPr>
        <w:pStyle w:val="H5"/>
        <w:rPr>
          <w:lang w:val="it-IT"/>
        </w:rPr>
      </w:pPr>
      <w:r w:rsidRPr="009D660E">
        <w:rPr>
          <w:lang w:val="it-IT"/>
        </w:rPr>
        <w:t>Treguesit e performanc</w:t>
      </w:r>
      <w:r w:rsidR="000A70F5" w:rsidRPr="009D660E">
        <w:rPr>
          <w:lang w:val="it-IT"/>
        </w:rPr>
        <w:t>ë</w:t>
      </w:r>
      <w:r w:rsidRPr="009D660E">
        <w:rPr>
          <w:lang w:val="it-IT"/>
        </w:rPr>
        <w:t>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160474" w:rsidRPr="001F151E" w14:paraId="2DCADED1" w14:textId="77777777" w:rsidTr="002B7FF8">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107A5" w14:textId="72196736" w:rsidR="00160474" w:rsidRPr="001F151E" w:rsidRDefault="0037328A" w:rsidP="0037328A">
            <w:pPr>
              <w:pStyle w:val="T-bold"/>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7F083A" w14:textId="399F7746" w:rsidR="00160474" w:rsidRPr="001F151E" w:rsidRDefault="0037328A">
            <w:pPr>
              <w:pStyle w:val="T-bold"/>
              <w:jc w:val="center"/>
            </w:pPr>
            <w:r>
              <w:t>Vlera baz</w:t>
            </w:r>
            <w:r w:rsidR="000A70F5">
              <w:t>ë</w:t>
            </w:r>
            <w:r w:rsidR="00160474" w:rsidRPr="001F151E">
              <w:t xml:space="preserve"> (</w:t>
            </w:r>
            <w:r w:rsidR="00C8741D">
              <w:t>2022</w:t>
            </w:r>
            <w:r w:rsidR="00160474"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B7741" w14:textId="56AEB5F3" w:rsidR="00160474" w:rsidRPr="001F151E" w:rsidRDefault="0037328A" w:rsidP="002B7FF8">
            <w:pPr>
              <w:pStyle w:val="T-bold"/>
              <w:jc w:val="center"/>
            </w:pPr>
            <w:r>
              <w:t>Vlera e synuar</w:t>
            </w:r>
          </w:p>
        </w:tc>
      </w:tr>
      <w:tr w:rsidR="00160474" w:rsidRPr="001F151E" w14:paraId="619FB13B" w14:textId="77777777" w:rsidTr="002B7FF8">
        <w:tc>
          <w:tcPr>
            <w:tcW w:w="3114" w:type="dxa"/>
            <w:vMerge/>
            <w:tcBorders>
              <w:top w:val="single" w:sz="4" w:space="0" w:color="auto"/>
              <w:left w:val="single" w:sz="4" w:space="0" w:color="auto"/>
              <w:bottom w:val="single" w:sz="4" w:space="0" w:color="auto"/>
              <w:right w:val="single" w:sz="4" w:space="0" w:color="auto"/>
            </w:tcBorders>
            <w:vAlign w:val="center"/>
            <w:hideMark/>
          </w:tcPr>
          <w:p w14:paraId="5AD2C879" w14:textId="77777777" w:rsidR="00160474" w:rsidRPr="001F151E" w:rsidRDefault="00160474" w:rsidP="002B7FF8">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361ADE9" w14:textId="77777777" w:rsidR="00160474" w:rsidRPr="001F151E" w:rsidRDefault="00160474" w:rsidP="002B7FF8">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9A953" w14:textId="77777777" w:rsidR="00160474" w:rsidRPr="001F151E" w:rsidRDefault="00160474" w:rsidP="002B7FF8">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19B49" w14:textId="77777777" w:rsidR="00160474" w:rsidRPr="001F151E" w:rsidRDefault="00160474" w:rsidP="002B7FF8">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F19F5" w14:textId="77777777" w:rsidR="00160474" w:rsidRPr="001F151E" w:rsidRDefault="00160474" w:rsidP="002B7FF8">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3AF10" w14:textId="77777777" w:rsidR="00160474" w:rsidRPr="001F151E" w:rsidRDefault="00160474" w:rsidP="002B7FF8">
            <w:pPr>
              <w:pStyle w:val="T-bold"/>
              <w:jc w:val="center"/>
            </w:pPr>
            <w:r w:rsidRPr="001F151E">
              <w:t>2026</w:t>
            </w:r>
          </w:p>
        </w:tc>
      </w:tr>
      <w:tr w:rsidR="00160474" w:rsidRPr="001F151E" w14:paraId="3081CD9F" w14:textId="77777777" w:rsidTr="002B7FF8">
        <w:tc>
          <w:tcPr>
            <w:tcW w:w="3114" w:type="dxa"/>
            <w:tcBorders>
              <w:top w:val="single" w:sz="4" w:space="0" w:color="auto"/>
              <w:left w:val="single" w:sz="4" w:space="0" w:color="auto"/>
              <w:bottom w:val="single" w:sz="4" w:space="0" w:color="auto"/>
              <w:right w:val="single" w:sz="4" w:space="0" w:color="auto"/>
            </w:tcBorders>
          </w:tcPr>
          <w:p w14:paraId="465F1C05" w14:textId="73D2666D" w:rsidR="00160474" w:rsidRPr="001F151E" w:rsidRDefault="0037328A" w:rsidP="00CD7428">
            <w:pPr>
              <w:pStyle w:val="ListParagraph"/>
              <w:numPr>
                <w:ilvl w:val="0"/>
                <w:numId w:val="80"/>
              </w:numPr>
              <w:rPr>
                <w:sz w:val="16"/>
                <w:szCs w:val="16"/>
              </w:rPr>
            </w:pPr>
            <w:r>
              <w:rPr>
                <w:sz w:val="16"/>
                <w:szCs w:val="16"/>
              </w:rPr>
              <w:t>P</w:t>
            </w:r>
            <w:r w:rsidR="000A70F5">
              <w:rPr>
                <w:sz w:val="16"/>
                <w:szCs w:val="16"/>
              </w:rPr>
              <w:t>ë</w:t>
            </w:r>
            <w:r>
              <w:rPr>
                <w:sz w:val="16"/>
                <w:szCs w:val="16"/>
              </w:rPr>
              <w:t>rqindja e strategjive dhe planeve t</w:t>
            </w:r>
            <w:r w:rsidR="000A70F5">
              <w:rPr>
                <w:sz w:val="16"/>
                <w:szCs w:val="16"/>
              </w:rPr>
              <w:t>ë</w:t>
            </w:r>
            <w:r>
              <w:rPr>
                <w:sz w:val="16"/>
                <w:szCs w:val="16"/>
              </w:rPr>
              <w:t xml:space="preserve"> veprimit t</w:t>
            </w:r>
            <w:r w:rsidR="000A70F5">
              <w:rPr>
                <w:sz w:val="16"/>
                <w:szCs w:val="16"/>
              </w:rPr>
              <w:t>ë</w:t>
            </w:r>
            <w:r>
              <w:rPr>
                <w:sz w:val="16"/>
                <w:szCs w:val="16"/>
              </w:rPr>
              <w:t xml:space="preserve"> zhvilluara n</w:t>
            </w:r>
            <w:r w:rsidR="000A70F5">
              <w:rPr>
                <w:sz w:val="16"/>
                <w:szCs w:val="16"/>
              </w:rPr>
              <w:t>ë</w:t>
            </w:r>
            <w:r>
              <w:rPr>
                <w:sz w:val="16"/>
                <w:szCs w:val="16"/>
              </w:rPr>
              <w:t xml:space="preserve"> p</w:t>
            </w:r>
            <w:r w:rsidR="000A70F5">
              <w:rPr>
                <w:sz w:val="16"/>
                <w:szCs w:val="16"/>
              </w:rPr>
              <w:t>ë</w:t>
            </w:r>
            <w:r>
              <w:rPr>
                <w:sz w:val="16"/>
                <w:szCs w:val="16"/>
              </w:rPr>
              <w:t>rputhje me udh</w:t>
            </w:r>
            <w:r w:rsidR="000A70F5">
              <w:rPr>
                <w:sz w:val="16"/>
                <w:szCs w:val="16"/>
              </w:rPr>
              <w:t>ë</w:t>
            </w:r>
            <w:r>
              <w:rPr>
                <w:sz w:val="16"/>
                <w:szCs w:val="16"/>
              </w:rPr>
              <w:t>zimet e SPI-s</w:t>
            </w:r>
            <w:r w:rsidR="000A70F5">
              <w:rPr>
                <w:sz w:val="16"/>
                <w:szCs w:val="16"/>
              </w:rPr>
              <w:t>ë</w:t>
            </w:r>
          </w:p>
        </w:tc>
        <w:tc>
          <w:tcPr>
            <w:tcW w:w="1180" w:type="dxa"/>
            <w:tcBorders>
              <w:top w:val="single" w:sz="4" w:space="0" w:color="auto"/>
              <w:left w:val="single" w:sz="4" w:space="0" w:color="auto"/>
              <w:bottom w:val="single" w:sz="4" w:space="0" w:color="auto"/>
              <w:right w:val="single" w:sz="4" w:space="0" w:color="auto"/>
            </w:tcBorders>
            <w:vAlign w:val="center"/>
          </w:tcPr>
          <w:p w14:paraId="4F90166D" w14:textId="60E37F30" w:rsidR="00E5063A" w:rsidRPr="002E6AB5" w:rsidRDefault="00C8741D" w:rsidP="002B7FF8">
            <w:pPr>
              <w:pStyle w:val="EcorysBody"/>
              <w:jc w:val="center"/>
              <w:rPr>
                <w:rFonts w:ascii="Arial" w:hAnsi="Arial" w:cs="Arial"/>
                <w:sz w:val="16"/>
                <w:szCs w:val="16"/>
              </w:rPr>
            </w:pPr>
            <w:r w:rsidRPr="002E6AB5">
              <w:rPr>
                <w:rFonts w:ascii="Arial" w:hAnsi="Arial" w:cs="Arial"/>
                <w:sz w:val="16"/>
                <w:szCs w:val="16"/>
              </w:rPr>
              <w:t>65%</w:t>
            </w:r>
          </w:p>
        </w:tc>
        <w:tc>
          <w:tcPr>
            <w:tcW w:w="1181" w:type="dxa"/>
            <w:tcBorders>
              <w:top w:val="single" w:sz="4" w:space="0" w:color="auto"/>
              <w:left w:val="single" w:sz="4" w:space="0" w:color="auto"/>
              <w:bottom w:val="single" w:sz="4" w:space="0" w:color="auto"/>
              <w:right w:val="single" w:sz="4" w:space="0" w:color="auto"/>
            </w:tcBorders>
            <w:vAlign w:val="center"/>
          </w:tcPr>
          <w:p w14:paraId="65B94377" w14:textId="12934DD3"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70%</w:t>
            </w:r>
          </w:p>
        </w:tc>
        <w:tc>
          <w:tcPr>
            <w:tcW w:w="1180" w:type="dxa"/>
            <w:tcBorders>
              <w:top w:val="single" w:sz="4" w:space="0" w:color="auto"/>
              <w:left w:val="single" w:sz="4" w:space="0" w:color="auto"/>
              <w:bottom w:val="single" w:sz="4" w:space="0" w:color="auto"/>
              <w:right w:val="single" w:sz="4" w:space="0" w:color="auto"/>
            </w:tcBorders>
            <w:vAlign w:val="center"/>
          </w:tcPr>
          <w:p w14:paraId="0F5E0D57" w14:textId="381D5505"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75%</w:t>
            </w:r>
          </w:p>
        </w:tc>
        <w:tc>
          <w:tcPr>
            <w:tcW w:w="1181" w:type="dxa"/>
            <w:tcBorders>
              <w:top w:val="single" w:sz="4" w:space="0" w:color="auto"/>
              <w:left w:val="single" w:sz="4" w:space="0" w:color="auto"/>
              <w:bottom w:val="single" w:sz="4" w:space="0" w:color="auto"/>
              <w:right w:val="single" w:sz="4" w:space="0" w:color="auto"/>
            </w:tcBorders>
            <w:vAlign w:val="center"/>
          </w:tcPr>
          <w:p w14:paraId="263285AB" w14:textId="58537197"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85%</w:t>
            </w:r>
          </w:p>
        </w:tc>
        <w:tc>
          <w:tcPr>
            <w:tcW w:w="1181" w:type="dxa"/>
            <w:tcBorders>
              <w:top w:val="single" w:sz="4" w:space="0" w:color="auto"/>
              <w:left w:val="single" w:sz="4" w:space="0" w:color="auto"/>
              <w:bottom w:val="single" w:sz="4" w:space="0" w:color="auto"/>
              <w:right w:val="single" w:sz="4" w:space="0" w:color="auto"/>
            </w:tcBorders>
            <w:vAlign w:val="center"/>
          </w:tcPr>
          <w:p w14:paraId="7B3EBA66" w14:textId="1439805B"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90%</w:t>
            </w:r>
          </w:p>
        </w:tc>
      </w:tr>
      <w:tr w:rsidR="00160474" w:rsidRPr="001F151E" w14:paraId="1FF4F06A" w14:textId="77777777" w:rsidTr="00160474">
        <w:tc>
          <w:tcPr>
            <w:tcW w:w="3114" w:type="dxa"/>
            <w:tcBorders>
              <w:top w:val="single" w:sz="4" w:space="0" w:color="auto"/>
              <w:left w:val="single" w:sz="4" w:space="0" w:color="auto"/>
              <w:bottom w:val="single" w:sz="4" w:space="0" w:color="auto"/>
              <w:right w:val="single" w:sz="4" w:space="0" w:color="auto"/>
            </w:tcBorders>
          </w:tcPr>
          <w:p w14:paraId="7EBA1C42" w14:textId="76B43686" w:rsidR="00160474" w:rsidRPr="001F151E" w:rsidRDefault="0037328A" w:rsidP="00CD7428">
            <w:pPr>
              <w:pStyle w:val="ListParagraph"/>
              <w:numPr>
                <w:ilvl w:val="0"/>
                <w:numId w:val="80"/>
              </w:numPr>
              <w:rPr>
                <w:sz w:val="16"/>
                <w:szCs w:val="16"/>
              </w:rPr>
            </w:pPr>
            <w:r>
              <w:rPr>
                <w:sz w:val="16"/>
                <w:szCs w:val="16"/>
              </w:rPr>
              <w:t>P</w:t>
            </w:r>
            <w:r w:rsidR="000A70F5">
              <w:rPr>
                <w:sz w:val="16"/>
                <w:szCs w:val="16"/>
              </w:rPr>
              <w:t>ë</w:t>
            </w:r>
            <w:r>
              <w:rPr>
                <w:sz w:val="16"/>
                <w:szCs w:val="16"/>
              </w:rPr>
              <w:t>rqindja e strategjive dhe planeve t</w:t>
            </w:r>
            <w:r w:rsidR="000A70F5">
              <w:rPr>
                <w:sz w:val="16"/>
                <w:szCs w:val="16"/>
              </w:rPr>
              <w:t>ë</w:t>
            </w:r>
            <w:r>
              <w:rPr>
                <w:sz w:val="16"/>
                <w:szCs w:val="16"/>
              </w:rPr>
              <w:t xml:space="preserve"> veprimit t</w:t>
            </w:r>
            <w:r w:rsidR="000A70F5">
              <w:rPr>
                <w:sz w:val="16"/>
                <w:szCs w:val="16"/>
              </w:rPr>
              <w:t>ë</w:t>
            </w:r>
            <w:r>
              <w:rPr>
                <w:sz w:val="16"/>
                <w:szCs w:val="16"/>
              </w:rPr>
              <w:t xml:space="preserve"> monitoruara p</w:t>
            </w:r>
            <w:r w:rsidR="000A70F5">
              <w:rPr>
                <w:sz w:val="16"/>
                <w:szCs w:val="16"/>
              </w:rPr>
              <w:t>ë</w:t>
            </w:r>
            <w:r>
              <w:rPr>
                <w:sz w:val="16"/>
                <w:szCs w:val="16"/>
              </w:rPr>
              <w:t>rmes SIPI</w:t>
            </w:r>
          </w:p>
        </w:tc>
        <w:tc>
          <w:tcPr>
            <w:tcW w:w="1180" w:type="dxa"/>
            <w:tcBorders>
              <w:top w:val="single" w:sz="4" w:space="0" w:color="auto"/>
              <w:left w:val="single" w:sz="4" w:space="0" w:color="auto"/>
              <w:bottom w:val="single" w:sz="4" w:space="0" w:color="auto"/>
              <w:right w:val="single" w:sz="4" w:space="0" w:color="auto"/>
            </w:tcBorders>
            <w:vAlign w:val="center"/>
          </w:tcPr>
          <w:p w14:paraId="216D78E1" w14:textId="160F860A" w:rsidR="00160474" w:rsidRPr="002E6AB5" w:rsidRDefault="00C8741D" w:rsidP="0037328A">
            <w:pPr>
              <w:pStyle w:val="EcorysBody"/>
              <w:jc w:val="center"/>
              <w:rPr>
                <w:rFonts w:ascii="Arial" w:hAnsi="Arial" w:cs="Arial"/>
                <w:sz w:val="16"/>
                <w:szCs w:val="16"/>
              </w:rPr>
            </w:pPr>
            <w:r w:rsidRPr="002E6AB5">
              <w:rPr>
                <w:rFonts w:ascii="Arial" w:hAnsi="Arial" w:cs="Arial"/>
                <w:sz w:val="16"/>
                <w:szCs w:val="16"/>
              </w:rPr>
              <w:t>N</w:t>
            </w:r>
            <w:r w:rsidR="0037328A">
              <w:rPr>
                <w:rFonts w:ascii="Arial" w:hAnsi="Arial" w:cs="Arial"/>
                <w:sz w:val="16"/>
                <w:szCs w:val="16"/>
              </w:rPr>
              <w:t>D</w:t>
            </w:r>
          </w:p>
        </w:tc>
        <w:tc>
          <w:tcPr>
            <w:tcW w:w="1181" w:type="dxa"/>
            <w:tcBorders>
              <w:top w:val="single" w:sz="4" w:space="0" w:color="auto"/>
              <w:left w:val="single" w:sz="4" w:space="0" w:color="auto"/>
              <w:bottom w:val="single" w:sz="4" w:space="0" w:color="auto"/>
              <w:right w:val="single" w:sz="4" w:space="0" w:color="auto"/>
            </w:tcBorders>
            <w:vAlign w:val="center"/>
          </w:tcPr>
          <w:p w14:paraId="7FC3109F" w14:textId="4BA20F96" w:rsidR="00160474" w:rsidRPr="002E6AB5" w:rsidRDefault="00C8741D" w:rsidP="0037328A">
            <w:pPr>
              <w:pStyle w:val="EcorysBody"/>
              <w:jc w:val="center"/>
              <w:rPr>
                <w:rFonts w:ascii="Arial" w:hAnsi="Arial" w:cs="Arial"/>
                <w:sz w:val="16"/>
                <w:szCs w:val="16"/>
              </w:rPr>
            </w:pPr>
            <w:r w:rsidRPr="002E6AB5">
              <w:rPr>
                <w:rFonts w:ascii="Arial" w:hAnsi="Arial" w:cs="Arial"/>
                <w:sz w:val="16"/>
                <w:szCs w:val="16"/>
              </w:rPr>
              <w:t>N</w:t>
            </w:r>
            <w:r w:rsidR="0037328A">
              <w:rPr>
                <w:rFonts w:ascii="Arial" w:hAnsi="Arial" w:cs="Arial"/>
                <w:sz w:val="16"/>
                <w:szCs w:val="16"/>
              </w:rPr>
              <w:t>D</w:t>
            </w:r>
          </w:p>
        </w:tc>
        <w:tc>
          <w:tcPr>
            <w:tcW w:w="1180" w:type="dxa"/>
            <w:tcBorders>
              <w:top w:val="single" w:sz="4" w:space="0" w:color="auto"/>
              <w:left w:val="single" w:sz="4" w:space="0" w:color="auto"/>
              <w:bottom w:val="single" w:sz="4" w:space="0" w:color="auto"/>
              <w:right w:val="single" w:sz="4" w:space="0" w:color="auto"/>
            </w:tcBorders>
            <w:vAlign w:val="center"/>
          </w:tcPr>
          <w:p w14:paraId="7961AF80" w14:textId="3E9522BA"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30%</w:t>
            </w:r>
          </w:p>
        </w:tc>
        <w:tc>
          <w:tcPr>
            <w:tcW w:w="1181" w:type="dxa"/>
            <w:tcBorders>
              <w:top w:val="single" w:sz="4" w:space="0" w:color="auto"/>
              <w:left w:val="single" w:sz="4" w:space="0" w:color="auto"/>
              <w:bottom w:val="single" w:sz="4" w:space="0" w:color="auto"/>
              <w:right w:val="single" w:sz="4" w:space="0" w:color="auto"/>
            </w:tcBorders>
            <w:vAlign w:val="center"/>
          </w:tcPr>
          <w:p w14:paraId="3396B890" w14:textId="7A6219DA"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40%</w:t>
            </w:r>
          </w:p>
        </w:tc>
        <w:tc>
          <w:tcPr>
            <w:tcW w:w="1181" w:type="dxa"/>
            <w:tcBorders>
              <w:top w:val="single" w:sz="4" w:space="0" w:color="auto"/>
              <w:left w:val="single" w:sz="4" w:space="0" w:color="auto"/>
              <w:bottom w:val="single" w:sz="4" w:space="0" w:color="auto"/>
              <w:right w:val="single" w:sz="4" w:space="0" w:color="auto"/>
            </w:tcBorders>
            <w:vAlign w:val="center"/>
          </w:tcPr>
          <w:p w14:paraId="383337EA" w14:textId="2086A9B2"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55%</w:t>
            </w:r>
          </w:p>
        </w:tc>
      </w:tr>
    </w:tbl>
    <w:p w14:paraId="7020F160" w14:textId="3EAE86E9" w:rsidR="002C447B" w:rsidRPr="001F151E" w:rsidRDefault="008100C3" w:rsidP="00C96708">
      <w:pPr>
        <w:pStyle w:val="Heading2"/>
        <w:rPr>
          <w:rStyle w:val="IntenseReference"/>
          <w:rFonts w:eastAsiaTheme="majorEastAsia" w:cstheme="majorBidi"/>
          <w:i w:val="0"/>
          <w:iCs w:val="0"/>
          <w:sz w:val="22"/>
          <w:szCs w:val="22"/>
          <w:lang w:val="en-GB"/>
        </w:rPr>
      </w:pPr>
      <w:bookmarkStart w:id="21" w:name="_Toc161748814"/>
      <w:r>
        <w:rPr>
          <w:rStyle w:val="IntenseReference"/>
          <w:rFonts w:eastAsiaTheme="majorEastAsia" w:cstheme="majorBidi"/>
          <w:i w:val="0"/>
          <w:sz w:val="22"/>
          <w:szCs w:val="22"/>
          <w:lang w:val="en-GB"/>
        </w:rPr>
        <w:lastRenderedPageBreak/>
        <w:t>Komponenti</w:t>
      </w:r>
      <w:r w:rsidR="002C447B" w:rsidRPr="001F151E">
        <w:rPr>
          <w:rStyle w:val="IntenseReference"/>
          <w:rFonts w:eastAsiaTheme="majorEastAsia" w:cstheme="majorBidi"/>
          <w:i w:val="0"/>
          <w:sz w:val="22"/>
          <w:szCs w:val="22"/>
          <w:lang w:val="en-GB"/>
        </w:rPr>
        <w:t xml:space="preserve"> 2.2 </w:t>
      </w:r>
      <w:r>
        <w:rPr>
          <w:rStyle w:val="IntenseReference"/>
          <w:rFonts w:eastAsiaTheme="majorEastAsia" w:cstheme="majorBidi"/>
          <w:i w:val="0"/>
          <w:sz w:val="22"/>
          <w:szCs w:val="22"/>
          <w:lang w:val="en-GB"/>
        </w:rPr>
        <w:t>Planifikimi Buxhetor Afatmes</w:t>
      </w:r>
      <w:r w:rsidR="00D7294C">
        <w:rPr>
          <w:rStyle w:val="IntenseReference"/>
          <w:rFonts w:eastAsiaTheme="majorEastAsia" w:cstheme="majorBidi"/>
          <w:i w:val="0"/>
          <w:sz w:val="22"/>
          <w:szCs w:val="22"/>
          <w:lang w:val="en-GB"/>
        </w:rPr>
        <w:t>ë</w:t>
      </w:r>
      <w:r>
        <w:rPr>
          <w:rStyle w:val="IntenseReference"/>
          <w:rFonts w:eastAsiaTheme="majorEastAsia" w:cstheme="majorBidi"/>
          <w:i w:val="0"/>
          <w:sz w:val="22"/>
          <w:szCs w:val="22"/>
          <w:lang w:val="en-GB"/>
        </w:rPr>
        <w:t>m</w:t>
      </w:r>
      <w:bookmarkEnd w:id="21"/>
    </w:p>
    <w:p w14:paraId="3AD8ED4E" w14:textId="77777777" w:rsidR="002C447B" w:rsidRPr="001F151E" w:rsidRDefault="002C447B" w:rsidP="002C447B">
      <w:pPr>
        <w:rPr>
          <w:rStyle w:val="IntenseReference"/>
          <w:rFonts w:eastAsiaTheme="majorEastAsia" w:cstheme="majorBidi"/>
          <w:i w:val="0"/>
          <w:iCs/>
          <w:sz w:val="22"/>
          <w:szCs w:val="22"/>
          <w:lang w:val="en-GB"/>
        </w:rPr>
      </w:pPr>
    </w:p>
    <w:p w14:paraId="5A8E532B" w14:textId="3B84FABE" w:rsidR="00BE64A2" w:rsidRPr="001F151E" w:rsidRDefault="00BE64A2" w:rsidP="006F1382">
      <w:pPr>
        <w:pStyle w:val="H5"/>
        <w:jc w:val="both"/>
        <w:rPr>
          <w:lang w:val="en-GB"/>
        </w:rPr>
      </w:pPr>
      <w:r w:rsidRPr="001F151E">
        <w:rPr>
          <w:lang w:val="en-GB"/>
        </w:rPr>
        <w:t>O</w:t>
      </w:r>
      <w:r w:rsidR="008100C3">
        <w:rPr>
          <w:lang w:val="en-GB"/>
        </w:rPr>
        <w:t>bjektivi</w:t>
      </w:r>
    </w:p>
    <w:p w14:paraId="21198CD6" w14:textId="473DA748" w:rsidR="00BE64A2" w:rsidRPr="001F151E" w:rsidRDefault="008100C3" w:rsidP="006F1382">
      <w:pPr>
        <w:jc w:val="both"/>
        <w:rPr>
          <w:lang w:val="en-GB"/>
        </w:rPr>
      </w:pPr>
      <w:r>
        <w:rPr>
          <w:lang w:val="en-GB"/>
        </w:rPr>
        <w:t>Synimi p</w:t>
      </w:r>
      <w:r w:rsidR="00D7294C">
        <w:rPr>
          <w:lang w:val="en-GB"/>
        </w:rPr>
        <w:t>ë</w:t>
      </w:r>
      <w:r>
        <w:rPr>
          <w:lang w:val="en-GB"/>
        </w:rPr>
        <w:t xml:space="preserve">r vitin 2030 </w:t>
      </w:r>
      <w:r w:rsidR="00D7294C">
        <w:rPr>
          <w:lang w:val="en-GB"/>
        </w:rPr>
        <w:t>ë</w:t>
      </w:r>
      <w:r>
        <w:rPr>
          <w:lang w:val="en-GB"/>
        </w:rPr>
        <w:t>sht</w:t>
      </w:r>
      <w:r w:rsidR="00D7294C">
        <w:rPr>
          <w:lang w:val="en-GB"/>
        </w:rPr>
        <w:t>ë</w:t>
      </w:r>
      <w:r>
        <w:rPr>
          <w:lang w:val="en-GB"/>
        </w:rPr>
        <w:t xml:space="preserve"> q</w:t>
      </w:r>
      <w:r w:rsidR="00D7294C">
        <w:rPr>
          <w:lang w:val="en-GB"/>
        </w:rPr>
        <w:t>ë</w:t>
      </w:r>
      <w:r>
        <w:rPr>
          <w:lang w:val="en-GB"/>
        </w:rPr>
        <w:t xml:space="preserve"> t</w:t>
      </w:r>
      <w:r w:rsidR="00D7294C">
        <w:rPr>
          <w:lang w:val="en-GB"/>
        </w:rPr>
        <w:t>ë</w:t>
      </w:r>
      <w:r>
        <w:rPr>
          <w:lang w:val="en-GB"/>
        </w:rPr>
        <w:t xml:space="preserve"> ket</w:t>
      </w:r>
      <w:r w:rsidR="00D7294C">
        <w:rPr>
          <w:lang w:val="en-GB"/>
        </w:rPr>
        <w:t>ë</w:t>
      </w:r>
      <w:r>
        <w:rPr>
          <w:lang w:val="en-GB"/>
        </w:rPr>
        <w:t xml:space="preserve"> procese plot</w:t>
      </w:r>
      <w:r w:rsidR="00D7294C">
        <w:rPr>
          <w:lang w:val="en-GB"/>
        </w:rPr>
        <w:t>ë</w:t>
      </w:r>
      <w:r>
        <w:rPr>
          <w:lang w:val="en-GB"/>
        </w:rPr>
        <w:t>sisht t</w:t>
      </w:r>
      <w:r w:rsidR="00D7294C">
        <w:rPr>
          <w:lang w:val="en-GB"/>
        </w:rPr>
        <w:t>ë</w:t>
      </w:r>
      <w:r>
        <w:rPr>
          <w:lang w:val="en-GB"/>
        </w:rPr>
        <w:t xml:space="preserve"> zhvilluara </w:t>
      </w:r>
      <w:r w:rsidR="00054BEF">
        <w:rPr>
          <w:lang w:val="en-GB"/>
        </w:rPr>
        <w:t>dhe t</w:t>
      </w:r>
      <w:r w:rsidR="00D7294C">
        <w:rPr>
          <w:lang w:val="en-GB"/>
        </w:rPr>
        <w:t>ë</w:t>
      </w:r>
      <w:r w:rsidR="00054BEF">
        <w:rPr>
          <w:lang w:val="en-GB"/>
        </w:rPr>
        <w:t xml:space="preserve"> institucionalizuara p</w:t>
      </w:r>
      <w:r w:rsidR="00D7294C">
        <w:rPr>
          <w:lang w:val="en-GB"/>
        </w:rPr>
        <w:t>ë</w:t>
      </w:r>
      <w:r w:rsidR="00054BEF">
        <w:rPr>
          <w:lang w:val="en-GB"/>
        </w:rPr>
        <w:t>r zhvillimin e nj</w:t>
      </w:r>
      <w:r w:rsidR="00D7294C">
        <w:rPr>
          <w:lang w:val="en-GB"/>
        </w:rPr>
        <w:t>ë</w:t>
      </w:r>
      <w:r w:rsidR="00054BEF">
        <w:rPr>
          <w:lang w:val="en-GB"/>
        </w:rPr>
        <w:t xml:space="preserve"> PBA-je (si deklarata e buxhetit ashtu edhe ligji i buxhetit vjetor) me cil</w:t>
      </w:r>
      <w:r w:rsidR="00D7294C">
        <w:rPr>
          <w:lang w:val="en-GB"/>
        </w:rPr>
        <w:t>ë</w:t>
      </w:r>
      <w:r w:rsidR="00054BEF">
        <w:rPr>
          <w:lang w:val="en-GB"/>
        </w:rPr>
        <w:t>si t</w:t>
      </w:r>
      <w:r w:rsidR="00D7294C">
        <w:rPr>
          <w:lang w:val="en-GB"/>
        </w:rPr>
        <w:t>ë</w:t>
      </w:r>
      <w:r w:rsidR="00054BEF">
        <w:rPr>
          <w:lang w:val="en-GB"/>
        </w:rPr>
        <w:t xml:space="preserve"> lart</w:t>
      </w:r>
      <w:r w:rsidR="00D7294C">
        <w:rPr>
          <w:lang w:val="en-GB"/>
        </w:rPr>
        <w:t>ë</w:t>
      </w:r>
      <w:r w:rsidR="00054BEF">
        <w:rPr>
          <w:lang w:val="en-GB"/>
        </w:rPr>
        <w:t xml:space="preserve"> dhe t</w:t>
      </w:r>
      <w:r w:rsidR="00D7294C">
        <w:rPr>
          <w:lang w:val="en-GB"/>
        </w:rPr>
        <w:t>ë</w:t>
      </w:r>
      <w:r w:rsidR="00054BEF">
        <w:rPr>
          <w:lang w:val="en-GB"/>
        </w:rPr>
        <w:t xml:space="preserve"> besueshme n</w:t>
      </w:r>
      <w:r w:rsidR="00D7294C">
        <w:rPr>
          <w:lang w:val="en-GB"/>
        </w:rPr>
        <w:t>ë</w:t>
      </w:r>
      <w:r w:rsidR="00054BEF">
        <w:rPr>
          <w:lang w:val="en-GB"/>
        </w:rPr>
        <w:t xml:space="preserve"> sh</w:t>
      </w:r>
      <w:r w:rsidR="00D7294C">
        <w:rPr>
          <w:lang w:val="en-GB"/>
        </w:rPr>
        <w:t>ë</w:t>
      </w:r>
      <w:r w:rsidR="00054BEF">
        <w:rPr>
          <w:lang w:val="en-GB"/>
        </w:rPr>
        <w:t>rbim t</w:t>
      </w:r>
      <w:r w:rsidR="00D7294C">
        <w:rPr>
          <w:lang w:val="en-GB"/>
        </w:rPr>
        <w:t>ë</w:t>
      </w:r>
      <w:r w:rsidR="00054BEF">
        <w:rPr>
          <w:lang w:val="en-GB"/>
        </w:rPr>
        <w:t xml:space="preserve"> zbatimit t</w:t>
      </w:r>
      <w:r w:rsidR="00D7294C">
        <w:rPr>
          <w:lang w:val="en-GB"/>
        </w:rPr>
        <w:t>ë</w:t>
      </w:r>
      <w:r w:rsidR="00054BEF">
        <w:rPr>
          <w:lang w:val="en-GB"/>
        </w:rPr>
        <w:t xml:space="preserve"> prioriteteve </w:t>
      </w:r>
      <w:r w:rsidR="00A10A3B">
        <w:rPr>
          <w:lang w:val="en-GB"/>
        </w:rPr>
        <w:t>dhe politikave t</w:t>
      </w:r>
      <w:r w:rsidR="00D7294C">
        <w:rPr>
          <w:lang w:val="en-GB"/>
        </w:rPr>
        <w:t>ë</w:t>
      </w:r>
      <w:r w:rsidR="00A10A3B">
        <w:rPr>
          <w:lang w:val="en-GB"/>
        </w:rPr>
        <w:t xml:space="preserve"> qeveris</w:t>
      </w:r>
      <w:r w:rsidR="00D7294C">
        <w:rPr>
          <w:lang w:val="en-GB"/>
        </w:rPr>
        <w:t>ë</w:t>
      </w:r>
      <w:r w:rsidR="00A10A3B">
        <w:rPr>
          <w:lang w:val="en-GB"/>
        </w:rPr>
        <w:t xml:space="preserve"> dhe ofrimit t</w:t>
      </w:r>
      <w:r w:rsidR="00D7294C">
        <w:rPr>
          <w:lang w:val="en-GB"/>
        </w:rPr>
        <w:t>ë</w:t>
      </w:r>
      <w:r w:rsidR="00A10A3B">
        <w:rPr>
          <w:lang w:val="en-GB"/>
        </w:rPr>
        <w:t xml:space="preserve"> sh</w:t>
      </w:r>
      <w:r w:rsidR="00D7294C">
        <w:rPr>
          <w:lang w:val="en-GB"/>
        </w:rPr>
        <w:t>ë</w:t>
      </w:r>
      <w:r w:rsidR="00A10A3B">
        <w:rPr>
          <w:lang w:val="en-GB"/>
        </w:rPr>
        <w:t xml:space="preserve">rbimeve publike. </w:t>
      </w:r>
    </w:p>
    <w:p w14:paraId="6C3CBD04" w14:textId="77777777" w:rsidR="00BE64A2" w:rsidRPr="001F151E" w:rsidRDefault="00BE64A2" w:rsidP="006F1382">
      <w:pPr>
        <w:pStyle w:val="H5"/>
        <w:jc w:val="both"/>
        <w:rPr>
          <w:lang w:val="en-GB"/>
        </w:rPr>
      </w:pPr>
    </w:p>
    <w:p w14:paraId="712C2308" w14:textId="46EB86CB" w:rsidR="00BE64A2" w:rsidRPr="001F151E" w:rsidRDefault="008100C3" w:rsidP="006F1382">
      <w:pPr>
        <w:pStyle w:val="H5"/>
        <w:jc w:val="both"/>
        <w:rPr>
          <w:lang w:val="en-GB"/>
        </w:rPr>
      </w:pPr>
      <w:r>
        <w:rPr>
          <w:lang w:val="en-GB"/>
        </w:rPr>
        <w:t>Konteks</w:t>
      </w:r>
      <w:r w:rsidR="00BE64A2" w:rsidRPr="001F151E">
        <w:rPr>
          <w:lang w:val="en-GB"/>
        </w:rPr>
        <w:t>t</w:t>
      </w:r>
      <w:r>
        <w:rPr>
          <w:lang w:val="en-GB"/>
        </w:rPr>
        <w:t>i</w:t>
      </w:r>
    </w:p>
    <w:p w14:paraId="0783DBB9" w14:textId="745427BA" w:rsidR="00545D02" w:rsidRDefault="00A10A3B" w:rsidP="006F1382">
      <w:pPr>
        <w:jc w:val="both"/>
        <w:rPr>
          <w:color w:val="000000" w:themeColor="text1"/>
          <w:lang w:val="en-GB"/>
        </w:rPr>
      </w:pPr>
      <w:r>
        <w:rPr>
          <w:color w:val="000000" w:themeColor="text1"/>
          <w:lang w:val="en-GB"/>
        </w:rPr>
        <w:t>Procesi i PBA-s</w:t>
      </w:r>
      <w:r w:rsidR="00D7294C">
        <w:rPr>
          <w:color w:val="000000" w:themeColor="text1"/>
          <w:lang w:val="en-GB"/>
        </w:rPr>
        <w:t>ë</w:t>
      </w:r>
      <w:r>
        <w:rPr>
          <w:color w:val="000000" w:themeColor="text1"/>
          <w:lang w:val="en-GB"/>
        </w:rPr>
        <w:t xml:space="preserve"> </w:t>
      </w:r>
      <w:r w:rsidR="00D7294C">
        <w:rPr>
          <w:color w:val="000000" w:themeColor="text1"/>
          <w:lang w:val="en-GB"/>
        </w:rPr>
        <w:t>ë</w:t>
      </w:r>
      <w:r>
        <w:rPr>
          <w:color w:val="000000" w:themeColor="text1"/>
          <w:lang w:val="en-GB"/>
        </w:rPr>
        <w:t>sht</w:t>
      </w:r>
      <w:r w:rsidR="00D7294C">
        <w:rPr>
          <w:color w:val="000000" w:themeColor="text1"/>
          <w:lang w:val="en-GB"/>
        </w:rPr>
        <w:t>ë</w:t>
      </w:r>
      <w:r>
        <w:rPr>
          <w:color w:val="000000" w:themeColor="text1"/>
          <w:lang w:val="en-GB"/>
        </w:rPr>
        <w:t xml:space="preserve"> forcuar dhe q</w:t>
      </w:r>
      <w:r w:rsidR="00D7294C">
        <w:rPr>
          <w:color w:val="000000" w:themeColor="text1"/>
          <w:lang w:val="en-GB"/>
        </w:rPr>
        <w:t>ë</w:t>
      </w:r>
      <w:r>
        <w:rPr>
          <w:color w:val="000000" w:themeColor="text1"/>
          <w:lang w:val="en-GB"/>
        </w:rPr>
        <w:t xml:space="preserve"> nga viti 2017 </w:t>
      </w:r>
      <w:r w:rsidR="00D7294C">
        <w:rPr>
          <w:color w:val="000000" w:themeColor="text1"/>
          <w:lang w:val="en-GB"/>
        </w:rPr>
        <w:t>ë</w:t>
      </w:r>
      <w:r>
        <w:rPr>
          <w:color w:val="000000" w:themeColor="text1"/>
          <w:lang w:val="en-GB"/>
        </w:rPr>
        <w:t>sht</w:t>
      </w:r>
      <w:r w:rsidR="00D7294C">
        <w:rPr>
          <w:color w:val="000000" w:themeColor="text1"/>
          <w:lang w:val="en-GB"/>
        </w:rPr>
        <w:t>ë</w:t>
      </w:r>
      <w:r>
        <w:rPr>
          <w:color w:val="000000" w:themeColor="text1"/>
          <w:lang w:val="en-GB"/>
        </w:rPr>
        <w:t xml:space="preserve"> p</w:t>
      </w:r>
      <w:r w:rsidR="00D7294C">
        <w:rPr>
          <w:color w:val="000000" w:themeColor="text1"/>
          <w:lang w:val="en-GB"/>
        </w:rPr>
        <w:t>ë</w:t>
      </w:r>
      <w:r>
        <w:rPr>
          <w:color w:val="000000" w:themeColor="text1"/>
          <w:lang w:val="en-GB"/>
        </w:rPr>
        <w:t>rmir</w:t>
      </w:r>
      <w:r w:rsidR="00D7294C">
        <w:rPr>
          <w:color w:val="000000" w:themeColor="text1"/>
          <w:lang w:val="en-GB"/>
        </w:rPr>
        <w:t>ë</w:t>
      </w:r>
      <w:r>
        <w:rPr>
          <w:color w:val="000000" w:themeColor="text1"/>
          <w:lang w:val="en-GB"/>
        </w:rPr>
        <w:t xml:space="preserve">suar </w:t>
      </w:r>
      <w:r w:rsidR="00F24091">
        <w:rPr>
          <w:color w:val="000000" w:themeColor="text1"/>
          <w:lang w:val="en-GB"/>
        </w:rPr>
        <w:t>besueshm</w:t>
      </w:r>
      <w:r w:rsidR="00D7294C">
        <w:rPr>
          <w:color w:val="000000" w:themeColor="text1"/>
          <w:lang w:val="en-GB"/>
        </w:rPr>
        <w:t>ë</w:t>
      </w:r>
      <w:r w:rsidR="00F24091">
        <w:rPr>
          <w:color w:val="000000" w:themeColor="text1"/>
          <w:lang w:val="en-GB"/>
        </w:rPr>
        <w:t>ria e planeve afatmesme t</w:t>
      </w:r>
      <w:r w:rsidR="00D7294C">
        <w:rPr>
          <w:color w:val="000000" w:themeColor="text1"/>
          <w:lang w:val="en-GB"/>
        </w:rPr>
        <w:t>ë</w:t>
      </w:r>
      <w:r w:rsidR="00F24091">
        <w:rPr>
          <w:color w:val="000000" w:themeColor="text1"/>
          <w:lang w:val="en-GB"/>
        </w:rPr>
        <w:t xml:space="preserve"> shpenzimeve</w:t>
      </w:r>
      <w:r w:rsidR="00BE64A2" w:rsidRPr="001F151E">
        <w:rPr>
          <w:color w:val="000000" w:themeColor="text1"/>
          <w:lang w:val="en-GB"/>
        </w:rPr>
        <w:t>.</w:t>
      </w:r>
      <w:r w:rsidR="00BE64A2" w:rsidRPr="001F151E">
        <w:rPr>
          <w:rStyle w:val="FootnoteReference"/>
          <w:color w:val="000000" w:themeColor="text1"/>
          <w:lang w:val="en-GB"/>
        </w:rPr>
        <w:footnoteReference w:id="14"/>
      </w:r>
      <w:r w:rsidR="00BE64A2" w:rsidRPr="001F151E">
        <w:rPr>
          <w:color w:val="000000" w:themeColor="text1"/>
          <w:lang w:val="en-GB"/>
        </w:rPr>
        <w:t xml:space="preserve"> </w:t>
      </w:r>
      <w:r w:rsidR="00545D02">
        <w:rPr>
          <w:color w:val="000000" w:themeColor="text1"/>
          <w:lang w:val="en-GB"/>
        </w:rPr>
        <w:t xml:space="preserve">Progresi </w:t>
      </w:r>
      <w:r w:rsidR="00D7294C">
        <w:rPr>
          <w:color w:val="000000" w:themeColor="text1"/>
          <w:lang w:val="en-GB"/>
        </w:rPr>
        <w:t>ë</w:t>
      </w:r>
      <w:r w:rsidR="00545D02">
        <w:rPr>
          <w:color w:val="000000" w:themeColor="text1"/>
          <w:lang w:val="en-GB"/>
        </w:rPr>
        <w:t>sht</w:t>
      </w:r>
      <w:r w:rsidR="00D7294C">
        <w:rPr>
          <w:color w:val="000000" w:themeColor="text1"/>
          <w:lang w:val="en-GB"/>
        </w:rPr>
        <w:t>ë</w:t>
      </w:r>
      <w:r w:rsidR="00545D02">
        <w:rPr>
          <w:color w:val="000000" w:themeColor="text1"/>
          <w:lang w:val="en-GB"/>
        </w:rPr>
        <w:t xml:space="preserve"> rezultat i p</w:t>
      </w:r>
      <w:r w:rsidR="00D7294C">
        <w:rPr>
          <w:color w:val="000000" w:themeColor="text1"/>
          <w:lang w:val="en-GB"/>
        </w:rPr>
        <w:t>ë</w:t>
      </w:r>
      <w:r w:rsidR="00545D02">
        <w:rPr>
          <w:color w:val="000000" w:themeColor="text1"/>
          <w:lang w:val="en-GB"/>
        </w:rPr>
        <w:t>rpjekjeve p</w:t>
      </w:r>
      <w:r w:rsidR="00D7294C">
        <w:rPr>
          <w:color w:val="000000" w:themeColor="text1"/>
          <w:lang w:val="en-GB"/>
        </w:rPr>
        <w:t>ë</w:t>
      </w:r>
      <w:r w:rsidR="00545D02">
        <w:rPr>
          <w:color w:val="000000" w:themeColor="text1"/>
          <w:lang w:val="en-GB"/>
        </w:rPr>
        <w:t>r t</w:t>
      </w:r>
      <w:r w:rsidR="00D7294C">
        <w:rPr>
          <w:color w:val="000000" w:themeColor="text1"/>
          <w:lang w:val="en-GB"/>
        </w:rPr>
        <w:t>ë</w:t>
      </w:r>
      <w:r w:rsidR="00545D02">
        <w:rPr>
          <w:color w:val="000000" w:themeColor="text1"/>
          <w:lang w:val="en-GB"/>
        </w:rPr>
        <w:t xml:space="preserve"> forcuar rolin e PBA-s</w:t>
      </w:r>
      <w:r w:rsidR="00D7294C">
        <w:rPr>
          <w:color w:val="000000" w:themeColor="text1"/>
          <w:lang w:val="en-GB"/>
        </w:rPr>
        <w:t>ë</w:t>
      </w:r>
      <w:r w:rsidR="00545D02">
        <w:rPr>
          <w:color w:val="000000" w:themeColor="text1"/>
          <w:lang w:val="en-GB"/>
        </w:rPr>
        <w:t xml:space="preserve"> n</w:t>
      </w:r>
      <w:r w:rsidR="00D7294C">
        <w:rPr>
          <w:color w:val="000000" w:themeColor="text1"/>
          <w:lang w:val="en-GB"/>
        </w:rPr>
        <w:t>ë</w:t>
      </w:r>
      <w:r w:rsidR="00545D02">
        <w:rPr>
          <w:color w:val="000000" w:themeColor="text1"/>
          <w:lang w:val="en-GB"/>
        </w:rPr>
        <w:t xml:space="preserve"> procesin buxhetor, n</w:t>
      </w:r>
      <w:r w:rsidR="00D7294C">
        <w:rPr>
          <w:color w:val="000000" w:themeColor="text1"/>
          <w:lang w:val="en-GB"/>
        </w:rPr>
        <w:t>ë</w:t>
      </w:r>
      <w:r w:rsidR="00545D02">
        <w:rPr>
          <w:color w:val="000000" w:themeColor="text1"/>
          <w:lang w:val="en-GB"/>
        </w:rPr>
        <w:t>p</w:t>
      </w:r>
      <w:r w:rsidR="00D7294C">
        <w:rPr>
          <w:color w:val="000000" w:themeColor="text1"/>
          <w:lang w:val="en-GB"/>
        </w:rPr>
        <w:t>ë</w:t>
      </w:r>
      <w:r w:rsidR="00545D02">
        <w:rPr>
          <w:color w:val="000000" w:themeColor="text1"/>
          <w:lang w:val="en-GB"/>
        </w:rPr>
        <w:t>rmjet ndryshimeve rregullatore dhe aktiviteteve p</w:t>
      </w:r>
      <w:r w:rsidR="00D7294C">
        <w:rPr>
          <w:color w:val="000000" w:themeColor="text1"/>
          <w:lang w:val="en-GB"/>
        </w:rPr>
        <w:t>ë</w:t>
      </w:r>
      <w:r w:rsidR="00545D02">
        <w:rPr>
          <w:color w:val="000000" w:themeColor="text1"/>
          <w:lang w:val="en-GB"/>
        </w:rPr>
        <w:t>r ngritjen e kapaciteteve. SIMFSH</w:t>
      </w:r>
      <w:r w:rsidR="007C1533">
        <w:rPr>
          <w:color w:val="000000" w:themeColor="text1"/>
          <w:lang w:val="en-GB"/>
        </w:rPr>
        <w:t xml:space="preserve">-ja </w:t>
      </w:r>
      <w:r w:rsidR="00D7294C">
        <w:rPr>
          <w:color w:val="000000" w:themeColor="text1"/>
          <w:lang w:val="en-GB"/>
        </w:rPr>
        <w:t>ë</w:t>
      </w:r>
      <w:r w:rsidR="007C1533">
        <w:rPr>
          <w:color w:val="000000" w:themeColor="text1"/>
          <w:lang w:val="en-GB"/>
        </w:rPr>
        <w:t>sht</w:t>
      </w:r>
      <w:r w:rsidR="00D7294C">
        <w:rPr>
          <w:color w:val="000000" w:themeColor="text1"/>
          <w:lang w:val="en-GB"/>
        </w:rPr>
        <w:t>ë</w:t>
      </w:r>
      <w:r w:rsidR="007C1533">
        <w:rPr>
          <w:color w:val="000000" w:themeColor="text1"/>
          <w:lang w:val="en-GB"/>
        </w:rPr>
        <w:t xml:space="preserve"> zhvilluar m</w:t>
      </w:r>
      <w:r w:rsidR="00D7294C">
        <w:rPr>
          <w:color w:val="000000" w:themeColor="text1"/>
          <w:lang w:val="en-GB"/>
        </w:rPr>
        <w:t>ë</w:t>
      </w:r>
      <w:r w:rsidR="007C1533">
        <w:rPr>
          <w:color w:val="000000" w:themeColor="text1"/>
          <w:lang w:val="en-GB"/>
        </w:rPr>
        <w:t xml:space="preserve"> tej,</w:t>
      </w:r>
      <w:r w:rsidR="00545D02">
        <w:rPr>
          <w:color w:val="000000" w:themeColor="text1"/>
          <w:lang w:val="en-GB"/>
        </w:rPr>
        <w:t xml:space="preserve"> mbulon t</w:t>
      </w:r>
      <w:r w:rsidR="00D7294C">
        <w:rPr>
          <w:color w:val="000000" w:themeColor="text1"/>
          <w:lang w:val="en-GB"/>
        </w:rPr>
        <w:t>ë</w:t>
      </w:r>
      <w:r w:rsidR="00545D02">
        <w:rPr>
          <w:color w:val="000000" w:themeColor="text1"/>
          <w:lang w:val="en-GB"/>
        </w:rPr>
        <w:t xml:space="preserve"> gjitha proceset p</w:t>
      </w:r>
      <w:r w:rsidR="00D7294C">
        <w:rPr>
          <w:color w:val="000000" w:themeColor="text1"/>
          <w:lang w:val="en-GB"/>
        </w:rPr>
        <w:t>ë</w:t>
      </w:r>
      <w:r w:rsidR="00545D02">
        <w:rPr>
          <w:color w:val="000000" w:themeColor="text1"/>
          <w:lang w:val="en-GB"/>
        </w:rPr>
        <w:t>rkat</w:t>
      </w:r>
      <w:r w:rsidR="00D7294C">
        <w:rPr>
          <w:color w:val="000000" w:themeColor="text1"/>
          <w:lang w:val="en-GB"/>
        </w:rPr>
        <w:t>ë</w:t>
      </w:r>
      <w:r w:rsidR="00545D02">
        <w:rPr>
          <w:color w:val="000000" w:themeColor="text1"/>
          <w:lang w:val="en-GB"/>
        </w:rPr>
        <w:t xml:space="preserve">se </w:t>
      </w:r>
      <w:r w:rsidR="007C1533">
        <w:rPr>
          <w:color w:val="000000" w:themeColor="text1"/>
          <w:lang w:val="en-GB"/>
        </w:rPr>
        <w:t>p</w:t>
      </w:r>
      <w:r w:rsidR="00D7294C">
        <w:rPr>
          <w:color w:val="000000" w:themeColor="text1"/>
          <w:lang w:val="en-GB"/>
        </w:rPr>
        <w:t>ë</w:t>
      </w:r>
      <w:r w:rsidR="007C1533">
        <w:rPr>
          <w:color w:val="000000" w:themeColor="text1"/>
          <w:lang w:val="en-GB"/>
        </w:rPr>
        <w:t>r formulimin e PBA-s</w:t>
      </w:r>
      <w:r w:rsidR="00D7294C">
        <w:rPr>
          <w:color w:val="000000" w:themeColor="text1"/>
          <w:lang w:val="en-GB"/>
        </w:rPr>
        <w:t>ë</w:t>
      </w:r>
      <w:r w:rsidR="00545D02">
        <w:rPr>
          <w:color w:val="000000" w:themeColor="text1"/>
          <w:lang w:val="en-GB"/>
        </w:rPr>
        <w:t xml:space="preserve"> </w:t>
      </w:r>
      <w:r w:rsidR="007C1533">
        <w:rPr>
          <w:color w:val="000000" w:themeColor="text1"/>
          <w:lang w:val="en-GB"/>
        </w:rPr>
        <w:t xml:space="preserve">dhe </w:t>
      </w:r>
      <w:r w:rsidR="00D7294C">
        <w:rPr>
          <w:color w:val="000000" w:themeColor="text1"/>
          <w:lang w:val="en-GB"/>
        </w:rPr>
        <w:t>ë</w:t>
      </w:r>
      <w:r w:rsidR="00AE03D1">
        <w:rPr>
          <w:color w:val="000000" w:themeColor="text1"/>
          <w:lang w:val="en-GB"/>
        </w:rPr>
        <w:t>sht</w:t>
      </w:r>
      <w:r w:rsidR="00D7294C">
        <w:rPr>
          <w:color w:val="000000" w:themeColor="text1"/>
          <w:lang w:val="en-GB"/>
        </w:rPr>
        <w:t>ë</w:t>
      </w:r>
      <w:r w:rsidR="00AE03D1">
        <w:rPr>
          <w:color w:val="000000" w:themeColor="text1"/>
          <w:lang w:val="en-GB"/>
        </w:rPr>
        <w:t xml:space="preserve"> p</w:t>
      </w:r>
      <w:r w:rsidR="00D7294C">
        <w:rPr>
          <w:color w:val="000000" w:themeColor="text1"/>
          <w:lang w:val="en-GB"/>
        </w:rPr>
        <w:t>ë</w:t>
      </w:r>
      <w:r w:rsidR="00AE03D1">
        <w:rPr>
          <w:color w:val="000000" w:themeColor="text1"/>
          <w:lang w:val="en-GB"/>
        </w:rPr>
        <w:t>rmir</w:t>
      </w:r>
      <w:r w:rsidR="00D7294C">
        <w:rPr>
          <w:color w:val="000000" w:themeColor="text1"/>
          <w:lang w:val="en-GB"/>
        </w:rPr>
        <w:t>ë</w:t>
      </w:r>
      <w:r w:rsidR="00AE03D1">
        <w:rPr>
          <w:color w:val="000000" w:themeColor="text1"/>
          <w:lang w:val="en-GB"/>
        </w:rPr>
        <w:t>suar cil</w:t>
      </w:r>
      <w:r w:rsidR="00D7294C">
        <w:rPr>
          <w:color w:val="000000" w:themeColor="text1"/>
          <w:lang w:val="en-GB"/>
        </w:rPr>
        <w:t>ë</w:t>
      </w:r>
      <w:r w:rsidR="00AE03D1">
        <w:rPr>
          <w:color w:val="000000" w:themeColor="text1"/>
          <w:lang w:val="en-GB"/>
        </w:rPr>
        <w:t>sia e dokumentacionit t</w:t>
      </w:r>
      <w:r w:rsidR="00D7294C">
        <w:rPr>
          <w:color w:val="000000" w:themeColor="text1"/>
          <w:lang w:val="en-GB"/>
        </w:rPr>
        <w:t>ë</w:t>
      </w:r>
      <w:r w:rsidR="00AE03D1">
        <w:rPr>
          <w:color w:val="000000" w:themeColor="text1"/>
          <w:lang w:val="en-GB"/>
        </w:rPr>
        <w:t xml:space="preserve"> PBA-s</w:t>
      </w:r>
      <w:r w:rsidR="00D7294C">
        <w:rPr>
          <w:color w:val="000000" w:themeColor="text1"/>
          <w:lang w:val="en-GB"/>
        </w:rPr>
        <w:t>ë</w:t>
      </w:r>
      <w:r w:rsidR="00AE03D1">
        <w:rPr>
          <w:color w:val="000000" w:themeColor="text1"/>
          <w:lang w:val="en-GB"/>
        </w:rPr>
        <w:t xml:space="preserve"> (deklarata e para-buxhetit dhe dokumentacioni buxhetor vjetor) dhe p</w:t>
      </w:r>
      <w:r w:rsidR="00D7294C">
        <w:rPr>
          <w:color w:val="000000" w:themeColor="text1"/>
          <w:lang w:val="en-GB"/>
        </w:rPr>
        <w:t>ë</w:t>
      </w:r>
      <w:r w:rsidR="00AE03D1">
        <w:rPr>
          <w:color w:val="000000" w:themeColor="text1"/>
          <w:lang w:val="en-GB"/>
        </w:rPr>
        <w:t>rfshin informacion mbi performanc</w:t>
      </w:r>
      <w:r w:rsidR="00D7294C">
        <w:rPr>
          <w:color w:val="000000" w:themeColor="text1"/>
          <w:lang w:val="en-GB"/>
        </w:rPr>
        <w:t>ë</w:t>
      </w:r>
      <w:r w:rsidR="00AE03D1">
        <w:rPr>
          <w:color w:val="000000" w:themeColor="text1"/>
          <w:lang w:val="en-GB"/>
        </w:rPr>
        <w:t>n. P</w:t>
      </w:r>
      <w:r w:rsidR="00D7294C">
        <w:rPr>
          <w:color w:val="000000" w:themeColor="text1"/>
          <w:lang w:val="en-GB"/>
        </w:rPr>
        <w:t>ë</w:t>
      </w:r>
      <w:r w:rsidR="00AE03D1">
        <w:rPr>
          <w:color w:val="000000" w:themeColor="text1"/>
          <w:lang w:val="en-GB"/>
        </w:rPr>
        <w:t>r m</w:t>
      </w:r>
      <w:r w:rsidR="00D7294C">
        <w:rPr>
          <w:color w:val="000000" w:themeColor="text1"/>
          <w:lang w:val="en-GB"/>
        </w:rPr>
        <w:t>ë</w:t>
      </w:r>
      <w:r w:rsidR="00AE03D1">
        <w:rPr>
          <w:color w:val="000000" w:themeColor="text1"/>
          <w:lang w:val="en-GB"/>
        </w:rPr>
        <w:t xml:space="preserve"> tep</w:t>
      </w:r>
      <w:r w:rsidR="00D7294C">
        <w:rPr>
          <w:color w:val="000000" w:themeColor="text1"/>
          <w:lang w:val="en-GB"/>
        </w:rPr>
        <w:t>ë</w:t>
      </w:r>
      <w:r w:rsidR="00AE03D1">
        <w:rPr>
          <w:color w:val="000000" w:themeColor="text1"/>
          <w:lang w:val="en-GB"/>
        </w:rPr>
        <w:t>r, koncepti i Buxhetimit t</w:t>
      </w:r>
      <w:r w:rsidR="00D7294C">
        <w:rPr>
          <w:color w:val="000000" w:themeColor="text1"/>
          <w:lang w:val="en-GB"/>
        </w:rPr>
        <w:t>ë</w:t>
      </w:r>
      <w:r w:rsidR="00AE03D1">
        <w:rPr>
          <w:color w:val="000000" w:themeColor="text1"/>
          <w:lang w:val="en-GB"/>
        </w:rPr>
        <w:t xml:space="preserve"> P</w:t>
      </w:r>
      <w:r w:rsidR="00D7294C">
        <w:rPr>
          <w:color w:val="000000" w:themeColor="text1"/>
          <w:lang w:val="en-GB"/>
        </w:rPr>
        <w:t>ë</w:t>
      </w:r>
      <w:r w:rsidR="00AE03D1">
        <w:rPr>
          <w:color w:val="000000" w:themeColor="text1"/>
          <w:lang w:val="en-GB"/>
        </w:rPr>
        <w:t>rgjegjsh</w:t>
      </w:r>
      <w:r w:rsidR="00D7294C">
        <w:rPr>
          <w:color w:val="000000" w:themeColor="text1"/>
          <w:lang w:val="en-GB"/>
        </w:rPr>
        <w:t>ë</w:t>
      </w:r>
      <w:r w:rsidR="00AE03D1">
        <w:rPr>
          <w:color w:val="000000" w:themeColor="text1"/>
          <w:lang w:val="en-GB"/>
        </w:rPr>
        <w:t>m Gjinor (BPGJ) ka p</w:t>
      </w:r>
      <w:r w:rsidR="00D7294C">
        <w:rPr>
          <w:color w:val="000000" w:themeColor="text1"/>
          <w:lang w:val="en-GB"/>
        </w:rPr>
        <w:t>ë</w:t>
      </w:r>
      <w:r w:rsidR="00AE03D1">
        <w:rPr>
          <w:color w:val="000000" w:themeColor="text1"/>
          <w:lang w:val="en-GB"/>
        </w:rPr>
        <w:t>rparuar p</w:t>
      </w:r>
      <w:r w:rsidR="00D7294C">
        <w:rPr>
          <w:color w:val="000000" w:themeColor="text1"/>
          <w:lang w:val="en-GB"/>
        </w:rPr>
        <w:t>ë</w:t>
      </w:r>
      <w:r w:rsidR="00AE03D1">
        <w:rPr>
          <w:color w:val="000000" w:themeColor="text1"/>
          <w:lang w:val="en-GB"/>
        </w:rPr>
        <w:t>r shkak t</w:t>
      </w:r>
      <w:r w:rsidR="00D7294C">
        <w:rPr>
          <w:color w:val="000000" w:themeColor="text1"/>
          <w:lang w:val="en-GB"/>
        </w:rPr>
        <w:t>ë</w:t>
      </w:r>
      <w:r w:rsidR="00AE03D1">
        <w:rPr>
          <w:color w:val="000000" w:themeColor="text1"/>
          <w:lang w:val="en-GB"/>
        </w:rPr>
        <w:t xml:space="preserve"> legjislacionit dhe rregulloreve t</w:t>
      </w:r>
      <w:r w:rsidR="00D7294C">
        <w:rPr>
          <w:color w:val="000000" w:themeColor="text1"/>
          <w:lang w:val="en-GB"/>
        </w:rPr>
        <w:t>ë</w:t>
      </w:r>
      <w:r w:rsidR="00AE03D1">
        <w:rPr>
          <w:color w:val="000000" w:themeColor="text1"/>
          <w:lang w:val="en-GB"/>
        </w:rPr>
        <w:t xml:space="preserve"> p</w:t>
      </w:r>
      <w:r w:rsidR="00D7294C">
        <w:rPr>
          <w:color w:val="000000" w:themeColor="text1"/>
          <w:lang w:val="en-GB"/>
        </w:rPr>
        <w:t>ë</w:t>
      </w:r>
      <w:r w:rsidR="00AE03D1">
        <w:rPr>
          <w:color w:val="000000" w:themeColor="text1"/>
          <w:lang w:val="en-GB"/>
        </w:rPr>
        <w:t>rmir</w:t>
      </w:r>
      <w:r w:rsidR="00D7294C">
        <w:rPr>
          <w:color w:val="000000" w:themeColor="text1"/>
          <w:lang w:val="en-GB"/>
        </w:rPr>
        <w:t>ë</w:t>
      </w:r>
      <w:r w:rsidR="00AE03D1">
        <w:rPr>
          <w:color w:val="000000" w:themeColor="text1"/>
          <w:lang w:val="en-GB"/>
        </w:rPr>
        <w:t>suara. T</w:t>
      </w:r>
      <w:r w:rsidR="00D7294C">
        <w:rPr>
          <w:color w:val="000000" w:themeColor="text1"/>
          <w:lang w:val="en-GB"/>
        </w:rPr>
        <w:t>ë</w:t>
      </w:r>
      <w:r w:rsidR="00AE03D1">
        <w:rPr>
          <w:color w:val="000000" w:themeColor="text1"/>
          <w:lang w:val="en-GB"/>
        </w:rPr>
        <w:t xml:space="preserve"> gjitha institucionet e qeverisjes qendrore dhe vendore prezantojn</w:t>
      </w:r>
      <w:r w:rsidR="00D7294C">
        <w:rPr>
          <w:color w:val="000000" w:themeColor="text1"/>
          <w:lang w:val="en-GB"/>
        </w:rPr>
        <w:t>ë</w:t>
      </w:r>
      <w:r w:rsidR="00AE03D1">
        <w:rPr>
          <w:color w:val="000000" w:themeColor="text1"/>
          <w:lang w:val="en-GB"/>
        </w:rPr>
        <w:t xml:space="preserve"> politikat </w:t>
      </w:r>
      <w:r w:rsidR="00916A8A">
        <w:rPr>
          <w:color w:val="000000" w:themeColor="text1"/>
          <w:lang w:val="en-GB"/>
        </w:rPr>
        <w:t>dhe buxhetet e tyre n</w:t>
      </w:r>
      <w:r w:rsidR="00D7294C">
        <w:rPr>
          <w:color w:val="000000" w:themeColor="text1"/>
          <w:lang w:val="en-GB"/>
        </w:rPr>
        <w:t>ë</w:t>
      </w:r>
      <w:r w:rsidR="00916A8A">
        <w:rPr>
          <w:color w:val="000000" w:themeColor="text1"/>
          <w:lang w:val="en-GB"/>
        </w:rPr>
        <w:t xml:space="preserve"> p</w:t>
      </w:r>
      <w:r w:rsidR="00D7294C">
        <w:rPr>
          <w:color w:val="000000" w:themeColor="text1"/>
          <w:lang w:val="en-GB"/>
        </w:rPr>
        <w:t>ë</w:t>
      </w:r>
      <w:r w:rsidR="00916A8A">
        <w:rPr>
          <w:color w:val="000000" w:themeColor="text1"/>
          <w:lang w:val="en-GB"/>
        </w:rPr>
        <w:t>rputhje me parimet e Barazis</w:t>
      </w:r>
      <w:r w:rsidR="00D7294C">
        <w:rPr>
          <w:color w:val="000000" w:themeColor="text1"/>
          <w:lang w:val="en-GB"/>
        </w:rPr>
        <w:t>ë</w:t>
      </w:r>
      <w:r w:rsidR="00916A8A">
        <w:rPr>
          <w:color w:val="000000" w:themeColor="text1"/>
          <w:lang w:val="en-GB"/>
        </w:rPr>
        <w:t xml:space="preserve"> Gjinore. </w:t>
      </w:r>
      <w:r w:rsidR="00AE03D1">
        <w:rPr>
          <w:color w:val="000000" w:themeColor="text1"/>
          <w:lang w:val="en-GB"/>
        </w:rPr>
        <w:t xml:space="preserve">   </w:t>
      </w:r>
    </w:p>
    <w:p w14:paraId="286CB6A6" w14:textId="414818E4" w:rsidR="00AE03D1" w:rsidRDefault="00916A8A" w:rsidP="006F1382">
      <w:pPr>
        <w:jc w:val="both"/>
        <w:rPr>
          <w:color w:val="000000" w:themeColor="text1"/>
          <w:lang w:val="en-GB"/>
        </w:rPr>
      </w:pPr>
      <w:r>
        <w:rPr>
          <w:color w:val="000000" w:themeColor="text1"/>
          <w:lang w:val="en-GB"/>
        </w:rPr>
        <w:t>Nj</w:t>
      </w:r>
      <w:r w:rsidR="00D7294C">
        <w:rPr>
          <w:color w:val="000000" w:themeColor="text1"/>
          <w:lang w:val="en-GB"/>
        </w:rPr>
        <w:t>ë</w:t>
      </w:r>
      <w:r>
        <w:rPr>
          <w:color w:val="000000" w:themeColor="text1"/>
          <w:lang w:val="en-GB"/>
        </w:rPr>
        <w:t xml:space="preserve"> s</w:t>
      </w:r>
      <w:r w:rsidR="00D7294C">
        <w:rPr>
          <w:color w:val="000000" w:themeColor="text1"/>
          <w:lang w:val="en-GB"/>
        </w:rPr>
        <w:t>ë</w:t>
      </w:r>
      <w:r>
        <w:rPr>
          <w:color w:val="000000" w:themeColor="text1"/>
          <w:lang w:val="en-GB"/>
        </w:rPr>
        <w:t>r</w:t>
      </w:r>
      <w:r w:rsidR="00D7294C">
        <w:rPr>
          <w:color w:val="000000" w:themeColor="text1"/>
          <w:lang w:val="en-GB"/>
        </w:rPr>
        <w:t>ë</w:t>
      </w:r>
      <w:r>
        <w:rPr>
          <w:color w:val="000000" w:themeColor="text1"/>
          <w:lang w:val="en-GB"/>
        </w:rPr>
        <w:t xml:space="preserve"> sfidash mbeten p</w:t>
      </w:r>
      <w:r w:rsidR="00D7294C">
        <w:rPr>
          <w:color w:val="000000" w:themeColor="text1"/>
          <w:lang w:val="en-GB"/>
        </w:rPr>
        <w:t>ë</w:t>
      </w:r>
      <w:r>
        <w:rPr>
          <w:color w:val="000000" w:themeColor="text1"/>
          <w:lang w:val="en-GB"/>
        </w:rPr>
        <w:t>r t’u adresuar. Gjithashtu</w:t>
      </w:r>
      <w:r w:rsidR="00AB74F9">
        <w:rPr>
          <w:color w:val="000000" w:themeColor="text1"/>
          <w:lang w:val="en-GB"/>
        </w:rPr>
        <w:t>,</w:t>
      </w:r>
      <w:r>
        <w:rPr>
          <w:color w:val="000000" w:themeColor="text1"/>
          <w:lang w:val="en-GB"/>
        </w:rPr>
        <w:t xml:space="preserve"> cil</w:t>
      </w:r>
      <w:r w:rsidR="00D7294C">
        <w:rPr>
          <w:color w:val="000000" w:themeColor="text1"/>
          <w:lang w:val="en-GB"/>
        </w:rPr>
        <w:t>ë</w:t>
      </w:r>
      <w:r>
        <w:rPr>
          <w:color w:val="000000" w:themeColor="text1"/>
          <w:lang w:val="en-GB"/>
        </w:rPr>
        <w:t>sia e informacionit t</w:t>
      </w:r>
      <w:r w:rsidR="00D7294C">
        <w:rPr>
          <w:color w:val="000000" w:themeColor="text1"/>
          <w:lang w:val="en-GB"/>
        </w:rPr>
        <w:t>ë</w:t>
      </w:r>
      <w:r>
        <w:rPr>
          <w:color w:val="000000" w:themeColor="text1"/>
          <w:lang w:val="en-GB"/>
        </w:rPr>
        <w:t xml:space="preserve"> performanc</w:t>
      </w:r>
      <w:r w:rsidR="00D7294C">
        <w:rPr>
          <w:color w:val="000000" w:themeColor="text1"/>
          <w:lang w:val="en-GB"/>
        </w:rPr>
        <w:t>ë</w:t>
      </w:r>
      <w:r>
        <w:rPr>
          <w:color w:val="000000" w:themeColor="text1"/>
          <w:lang w:val="en-GB"/>
        </w:rPr>
        <w:t>s n</w:t>
      </w:r>
      <w:r w:rsidR="00D7294C">
        <w:rPr>
          <w:color w:val="000000" w:themeColor="text1"/>
          <w:lang w:val="en-GB"/>
        </w:rPr>
        <w:t>ë</w:t>
      </w:r>
      <w:r>
        <w:rPr>
          <w:color w:val="000000" w:themeColor="text1"/>
          <w:lang w:val="en-GB"/>
        </w:rPr>
        <w:t xml:space="preserve"> dokumentacionin buxhetor t</w:t>
      </w:r>
      <w:r w:rsidR="00D7294C">
        <w:rPr>
          <w:color w:val="000000" w:themeColor="text1"/>
          <w:lang w:val="en-GB"/>
        </w:rPr>
        <w:t>ë</w:t>
      </w:r>
      <w:r>
        <w:rPr>
          <w:color w:val="000000" w:themeColor="text1"/>
          <w:lang w:val="en-GB"/>
        </w:rPr>
        <w:t xml:space="preserve"> ofruar nga Nj</w:t>
      </w:r>
      <w:r w:rsidR="00D7294C">
        <w:rPr>
          <w:color w:val="000000" w:themeColor="text1"/>
          <w:lang w:val="en-GB"/>
        </w:rPr>
        <w:t>ë</w:t>
      </w:r>
      <w:r>
        <w:rPr>
          <w:color w:val="000000" w:themeColor="text1"/>
          <w:lang w:val="en-GB"/>
        </w:rPr>
        <w:t>sit</w:t>
      </w:r>
      <w:r w:rsidR="00D7294C">
        <w:rPr>
          <w:color w:val="000000" w:themeColor="text1"/>
          <w:lang w:val="en-GB"/>
        </w:rPr>
        <w:t>ë</w:t>
      </w:r>
      <w:r>
        <w:rPr>
          <w:color w:val="000000" w:themeColor="text1"/>
          <w:lang w:val="en-GB"/>
        </w:rPr>
        <w:t xml:space="preserve"> e Qeverisjes Qendrore</w:t>
      </w:r>
      <w:r w:rsidR="00AB74F9">
        <w:rPr>
          <w:color w:val="000000" w:themeColor="text1"/>
          <w:lang w:val="en-GB"/>
        </w:rPr>
        <w:t>, nuk q</w:t>
      </w:r>
      <w:r w:rsidR="00D7294C">
        <w:rPr>
          <w:color w:val="000000" w:themeColor="text1"/>
          <w:lang w:val="en-GB"/>
        </w:rPr>
        <w:t>ë</w:t>
      </w:r>
      <w:r w:rsidR="00AB74F9">
        <w:rPr>
          <w:color w:val="000000" w:themeColor="text1"/>
          <w:lang w:val="en-GB"/>
        </w:rPr>
        <w:t>ndron n</w:t>
      </w:r>
      <w:r w:rsidR="00D7294C">
        <w:rPr>
          <w:color w:val="000000" w:themeColor="text1"/>
          <w:lang w:val="en-GB"/>
        </w:rPr>
        <w:t>ë</w:t>
      </w:r>
      <w:r w:rsidR="00AB74F9">
        <w:rPr>
          <w:color w:val="000000" w:themeColor="text1"/>
          <w:lang w:val="en-GB"/>
        </w:rPr>
        <w:t xml:space="preserve"> m</w:t>
      </w:r>
      <w:r w:rsidR="00D7294C">
        <w:rPr>
          <w:color w:val="000000" w:themeColor="text1"/>
          <w:lang w:val="en-GB"/>
        </w:rPr>
        <w:t>ë</w:t>
      </w:r>
      <w:r w:rsidR="00AB74F9">
        <w:rPr>
          <w:color w:val="000000" w:themeColor="text1"/>
          <w:lang w:val="en-GB"/>
        </w:rPr>
        <w:t>nyr</w:t>
      </w:r>
      <w:r w:rsidR="00D7294C">
        <w:rPr>
          <w:color w:val="000000" w:themeColor="text1"/>
          <w:lang w:val="en-GB"/>
        </w:rPr>
        <w:t>ë</w:t>
      </w:r>
      <w:r w:rsidR="00AB74F9">
        <w:rPr>
          <w:color w:val="000000" w:themeColor="text1"/>
          <w:lang w:val="en-GB"/>
        </w:rPr>
        <w:t xml:space="preserve"> t</w:t>
      </w:r>
      <w:r w:rsidR="00D7294C">
        <w:rPr>
          <w:color w:val="000000" w:themeColor="text1"/>
          <w:lang w:val="en-GB"/>
        </w:rPr>
        <w:t>ë</w:t>
      </w:r>
      <w:r w:rsidR="00AB74F9">
        <w:rPr>
          <w:color w:val="000000" w:themeColor="text1"/>
          <w:lang w:val="en-GB"/>
        </w:rPr>
        <w:t xml:space="preserve"> vazhdueshme n</w:t>
      </w:r>
      <w:r w:rsidR="00D7294C">
        <w:rPr>
          <w:color w:val="000000" w:themeColor="text1"/>
          <w:lang w:val="en-GB"/>
        </w:rPr>
        <w:t>ë</w:t>
      </w:r>
      <w:r w:rsidR="00AB74F9">
        <w:rPr>
          <w:color w:val="000000" w:themeColor="text1"/>
          <w:lang w:val="en-GB"/>
        </w:rPr>
        <w:t xml:space="preserve"> nivel t</w:t>
      </w:r>
      <w:r w:rsidR="00D7294C">
        <w:rPr>
          <w:color w:val="000000" w:themeColor="text1"/>
          <w:lang w:val="en-GB"/>
        </w:rPr>
        <w:t>ë</w:t>
      </w:r>
      <w:r w:rsidR="00AB74F9">
        <w:rPr>
          <w:color w:val="000000" w:themeColor="text1"/>
          <w:lang w:val="en-GB"/>
        </w:rPr>
        <w:t xml:space="preserve"> k</w:t>
      </w:r>
      <w:r w:rsidR="00D7294C">
        <w:rPr>
          <w:color w:val="000000" w:themeColor="text1"/>
          <w:lang w:val="en-GB"/>
        </w:rPr>
        <w:t>ë</w:t>
      </w:r>
      <w:r w:rsidR="00AB74F9">
        <w:rPr>
          <w:color w:val="000000" w:themeColor="text1"/>
          <w:lang w:val="en-GB"/>
        </w:rPr>
        <w:t>naqsh</w:t>
      </w:r>
      <w:r w:rsidR="00D7294C">
        <w:rPr>
          <w:color w:val="000000" w:themeColor="text1"/>
          <w:lang w:val="en-GB"/>
        </w:rPr>
        <w:t>ë</w:t>
      </w:r>
      <w:r w:rsidR="00AB74F9">
        <w:rPr>
          <w:color w:val="000000" w:themeColor="text1"/>
          <w:lang w:val="en-GB"/>
        </w:rPr>
        <w:t>m.</w:t>
      </w:r>
      <w:r w:rsidR="003B7DBD">
        <w:rPr>
          <w:color w:val="000000" w:themeColor="text1"/>
          <w:lang w:val="en-GB"/>
        </w:rPr>
        <w:t xml:space="preserve"> Parimi i menaxhimit t</w:t>
      </w:r>
      <w:r w:rsidR="00D7294C">
        <w:rPr>
          <w:color w:val="000000" w:themeColor="text1"/>
          <w:lang w:val="en-GB"/>
        </w:rPr>
        <w:t>ë</w:t>
      </w:r>
      <w:r w:rsidR="003B7DBD">
        <w:rPr>
          <w:color w:val="000000" w:themeColor="text1"/>
          <w:lang w:val="en-GB"/>
        </w:rPr>
        <w:t xml:space="preserve"> programit duhet t</w:t>
      </w:r>
      <w:r w:rsidR="00D7294C">
        <w:rPr>
          <w:color w:val="000000" w:themeColor="text1"/>
          <w:lang w:val="en-GB"/>
        </w:rPr>
        <w:t>ë</w:t>
      </w:r>
      <w:r w:rsidR="003B7DBD">
        <w:rPr>
          <w:color w:val="000000" w:themeColor="text1"/>
          <w:lang w:val="en-GB"/>
        </w:rPr>
        <w:t xml:space="preserve"> p</w:t>
      </w:r>
      <w:r w:rsidR="00D7294C">
        <w:rPr>
          <w:color w:val="000000" w:themeColor="text1"/>
          <w:lang w:val="en-GB"/>
        </w:rPr>
        <w:t>ë</w:t>
      </w:r>
      <w:r w:rsidR="003B7DBD">
        <w:rPr>
          <w:color w:val="000000" w:themeColor="text1"/>
          <w:lang w:val="en-GB"/>
        </w:rPr>
        <w:t>rpunohet m</w:t>
      </w:r>
      <w:r w:rsidR="00D7294C">
        <w:rPr>
          <w:color w:val="000000" w:themeColor="text1"/>
          <w:lang w:val="en-GB"/>
        </w:rPr>
        <w:t>ë</w:t>
      </w:r>
      <w:r w:rsidR="003B7DBD">
        <w:rPr>
          <w:color w:val="000000" w:themeColor="text1"/>
          <w:lang w:val="en-GB"/>
        </w:rPr>
        <w:t xml:space="preserve"> tej n</w:t>
      </w:r>
      <w:r w:rsidR="00D7294C">
        <w:rPr>
          <w:color w:val="000000" w:themeColor="text1"/>
          <w:lang w:val="en-GB"/>
        </w:rPr>
        <w:t>ë</w:t>
      </w:r>
      <w:r w:rsidR="003B7DBD">
        <w:rPr>
          <w:color w:val="000000" w:themeColor="text1"/>
          <w:lang w:val="en-GB"/>
        </w:rPr>
        <w:t xml:space="preserve"> kontekstin e reform</w:t>
      </w:r>
      <w:r w:rsidR="00D7294C">
        <w:rPr>
          <w:color w:val="000000" w:themeColor="text1"/>
          <w:lang w:val="en-GB"/>
        </w:rPr>
        <w:t>ë</w:t>
      </w:r>
      <w:r w:rsidR="003B7DBD">
        <w:rPr>
          <w:color w:val="000000" w:themeColor="text1"/>
          <w:lang w:val="en-GB"/>
        </w:rPr>
        <w:t>s s</w:t>
      </w:r>
      <w:r w:rsidR="00D7294C">
        <w:rPr>
          <w:color w:val="000000" w:themeColor="text1"/>
          <w:lang w:val="en-GB"/>
        </w:rPr>
        <w:t>ë</w:t>
      </w:r>
      <w:r w:rsidR="003B7DBD">
        <w:rPr>
          <w:color w:val="000000" w:themeColor="text1"/>
          <w:lang w:val="en-GB"/>
        </w:rPr>
        <w:t xml:space="preserve"> llogaridh</w:t>
      </w:r>
      <w:r w:rsidR="00D7294C">
        <w:rPr>
          <w:color w:val="000000" w:themeColor="text1"/>
          <w:lang w:val="en-GB"/>
        </w:rPr>
        <w:t>ë</w:t>
      </w:r>
      <w:r w:rsidR="003B7DBD">
        <w:rPr>
          <w:color w:val="000000" w:themeColor="text1"/>
          <w:lang w:val="en-GB"/>
        </w:rPr>
        <w:t>nies menaxheriale. Rishikimet e shpenzimeve (si vler</w:t>
      </w:r>
      <w:r w:rsidR="00D7294C">
        <w:rPr>
          <w:color w:val="000000" w:themeColor="text1"/>
          <w:lang w:val="en-GB"/>
        </w:rPr>
        <w:t>ë</w:t>
      </w:r>
      <w:r w:rsidR="003B7DBD">
        <w:rPr>
          <w:color w:val="000000" w:themeColor="text1"/>
          <w:lang w:val="en-GB"/>
        </w:rPr>
        <w:t>sime t</w:t>
      </w:r>
      <w:r w:rsidR="00D7294C">
        <w:rPr>
          <w:color w:val="000000" w:themeColor="text1"/>
          <w:lang w:val="en-GB"/>
        </w:rPr>
        <w:t>ë</w:t>
      </w:r>
      <w:r w:rsidR="003B7DBD">
        <w:rPr>
          <w:color w:val="000000" w:themeColor="text1"/>
          <w:lang w:val="en-GB"/>
        </w:rPr>
        <w:t xml:space="preserve"> pavarura ose si pjes</w:t>
      </w:r>
      <w:r w:rsidR="00D7294C">
        <w:rPr>
          <w:color w:val="000000" w:themeColor="text1"/>
          <w:lang w:val="en-GB"/>
        </w:rPr>
        <w:t>ë</w:t>
      </w:r>
      <w:r w:rsidR="003B7DBD">
        <w:rPr>
          <w:color w:val="000000" w:themeColor="text1"/>
          <w:lang w:val="en-GB"/>
        </w:rPr>
        <w:t xml:space="preserve"> e rishikimit t</w:t>
      </w:r>
      <w:r w:rsidR="00D7294C">
        <w:rPr>
          <w:color w:val="000000" w:themeColor="text1"/>
          <w:lang w:val="en-GB"/>
        </w:rPr>
        <w:t>ë</w:t>
      </w:r>
      <w:r w:rsidR="003B7DBD">
        <w:rPr>
          <w:color w:val="000000" w:themeColor="text1"/>
          <w:lang w:val="en-GB"/>
        </w:rPr>
        <w:t xml:space="preserve"> buxhetit t</w:t>
      </w:r>
      <w:r w:rsidR="00D7294C">
        <w:rPr>
          <w:color w:val="000000" w:themeColor="text1"/>
          <w:lang w:val="en-GB"/>
        </w:rPr>
        <w:t>ë</w:t>
      </w:r>
      <w:r w:rsidR="003B7DBD">
        <w:rPr>
          <w:color w:val="000000" w:themeColor="text1"/>
          <w:lang w:val="en-GB"/>
        </w:rPr>
        <w:t xml:space="preserve"> mes vitit) konsiderohen si shum</w:t>
      </w:r>
      <w:r w:rsidR="00D7294C">
        <w:rPr>
          <w:color w:val="000000" w:themeColor="text1"/>
          <w:lang w:val="en-GB"/>
        </w:rPr>
        <w:t>ë</w:t>
      </w:r>
      <w:r w:rsidR="003B7DBD">
        <w:rPr>
          <w:color w:val="000000" w:themeColor="text1"/>
          <w:lang w:val="en-GB"/>
        </w:rPr>
        <w:t xml:space="preserve"> t</w:t>
      </w:r>
      <w:r w:rsidR="00D7294C">
        <w:rPr>
          <w:color w:val="000000" w:themeColor="text1"/>
          <w:lang w:val="en-GB"/>
        </w:rPr>
        <w:t>ë</w:t>
      </w:r>
      <w:r w:rsidR="003B7DBD">
        <w:rPr>
          <w:color w:val="000000" w:themeColor="text1"/>
          <w:lang w:val="en-GB"/>
        </w:rPr>
        <w:t xml:space="preserve"> dobishme p</w:t>
      </w:r>
      <w:r w:rsidR="00D7294C">
        <w:rPr>
          <w:color w:val="000000" w:themeColor="text1"/>
          <w:lang w:val="en-GB"/>
        </w:rPr>
        <w:t>ë</w:t>
      </w:r>
      <w:r w:rsidR="003B7DBD">
        <w:rPr>
          <w:color w:val="000000" w:themeColor="text1"/>
          <w:lang w:val="en-GB"/>
        </w:rPr>
        <w:t>r formulimin e buxheteve suplementare ose buxhetit p</w:t>
      </w:r>
      <w:r w:rsidR="00D7294C">
        <w:rPr>
          <w:color w:val="000000" w:themeColor="text1"/>
          <w:lang w:val="en-GB"/>
        </w:rPr>
        <w:t>ë</w:t>
      </w:r>
      <w:r w:rsidR="003B7DBD">
        <w:rPr>
          <w:color w:val="000000" w:themeColor="text1"/>
          <w:lang w:val="en-GB"/>
        </w:rPr>
        <w:t>r periudh</w:t>
      </w:r>
      <w:r w:rsidR="00D7294C">
        <w:rPr>
          <w:color w:val="000000" w:themeColor="text1"/>
          <w:lang w:val="en-GB"/>
        </w:rPr>
        <w:t>ë</w:t>
      </w:r>
      <w:r w:rsidR="003B7DBD">
        <w:rPr>
          <w:color w:val="000000" w:themeColor="text1"/>
          <w:lang w:val="en-GB"/>
        </w:rPr>
        <w:t>n e ardhshme afatmesme. Rishikime t</w:t>
      </w:r>
      <w:r w:rsidR="00D7294C">
        <w:rPr>
          <w:color w:val="000000" w:themeColor="text1"/>
          <w:lang w:val="en-GB"/>
        </w:rPr>
        <w:t>ë</w:t>
      </w:r>
      <w:r w:rsidR="003B7DBD">
        <w:rPr>
          <w:color w:val="000000" w:themeColor="text1"/>
          <w:lang w:val="en-GB"/>
        </w:rPr>
        <w:t xml:space="preserve"> tilla nuk jan</w:t>
      </w:r>
      <w:r w:rsidR="00D7294C">
        <w:rPr>
          <w:color w:val="000000" w:themeColor="text1"/>
          <w:lang w:val="en-GB"/>
        </w:rPr>
        <w:t>ë</w:t>
      </w:r>
      <w:r w:rsidR="003B7DBD">
        <w:rPr>
          <w:color w:val="000000" w:themeColor="text1"/>
          <w:lang w:val="en-GB"/>
        </w:rPr>
        <w:t xml:space="preserve"> praktik</w:t>
      </w:r>
      <w:r w:rsidR="00D7294C">
        <w:rPr>
          <w:color w:val="000000" w:themeColor="text1"/>
          <w:lang w:val="en-GB"/>
        </w:rPr>
        <w:t>ë</w:t>
      </w:r>
      <w:r w:rsidR="003B7DBD">
        <w:rPr>
          <w:color w:val="000000" w:themeColor="text1"/>
          <w:lang w:val="en-GB"/>
        </w:rPr>
        <w:t xml:space="preserve"> e zakonshme.  </w:t>
      </w:r>
      <w:r w:rsidR="00AB74F9">
        <w:rPr>
          <w:color w:val="000000" w:themeColor="text1"/>
          <w:lang w:val="en-GB"/>
        </w:rPr>
        <w:t xml:space="preserve"> </w:t>
      </w:r>
      <w:r>
        <w:rPr>
          <w:color w:val="000000" w:themeColor="text1"/>
          <w:lang w:val="en-GB"/>
        </w:rPr>
        <w:t xml:space="preserve"> </w:t>
      </w:r>
    </w:p>
    <w:p w14:paraId="41B8063B" w14:textId="77777777" w:rsidR="00BE64A2" w:rsidRPr="001F151E" w:rsidRDefault="00BE64A2" w:rsidP="006F1382">
      <w:pPr>
        <w:jc w:val="both"/>
        <w:rPr>
          <w:lang w:val="en-GB"/>
        </w:rPr>
      </w:pPr>
    </w:p>
    <w:p w14:paraId="4BD3E7AA" w14:textId="02D2895D" w:rsidR="00BE64A2" w:rsidRPr="001F151E" w:rsidRDefault="00BE64A2" w:rsidP="006F1382">
      <w:pPr>
        <w:pStyle w:val="H5"/>
        <w:jc w:val="both"/>
        <w:rPr>
          <w:lang w:val="en-GB"/>
        </w:rPr>
      </w:pPr>
      <w:r w:rsidRPr="001F151E">
        <w:rPr>
          <w:lang w:val="en-GB"/>
        </w:rPr>
        <w:t>Priorit</w:t>
      </w:r>
      <w:r w:rsidR="008100C3">
        <w:rPr>
          <w:lang w:val="en-GB"/>
        </w:rPr>
        <w:t>etet</w:t>
      </w:r>
    </w:p>
    <w:p w14:paraId="1B6B439F" w14:textId="25B8408C" w:rsidR="00BE64A2" w:rsidRPr="001F151E" w:rsidRDefault="003B7DBD" w:rsidP="006F1382">
      <w:pPr>
        <w:jc w:val="both"/>
        <w:rPr>
          <w:lang w:val="en-GB"/>
        </w:rPr>
      </w:pPr>
      <w:r>
        <w:rPr>
          <w:lang w:val="en-GB"/>
        </w:rPr>
        <w:t>Prioritetet p</w:t>
      </w:r>
      <w:r w:rsidR="00D7294C">
        <w:rPr>
          <w:lang w:val="en-GB"/>
        </w:rPr>
        <w:t>ë</w:t>
      </w:r>
      <w:r>
        <w:rPr>
          <w:lang w:val="en-GB"/>
        </w:rPr>
        <w:t>r vitet 2023-2026 jan</w:t>
      </w:r>
      <w:r w:rsidR="00D7294C">
        <w:rPr>
          <w:lang w:val="en-GB"/>
        </w:rPr>
        <w:t>ë</w:t>
      </w:r>
      <w:r w:rsidR="00BE64A2" w:rsidRPr="001F151E">
        <w:rPr>
          <w:lang w:val="en-GB"/>
        </w:rPr>
        <w:t>:</w:t>
      </w:r>
    </w:p>
    <w:p w14:paraId="7D0DDC96" w14:textId="1FC72FD5" w:rsidR="00BE64A2" w:rsidRPr="001F151E" w:rsidRDefault="003B7DBD" w:rsidP="006F1382">
      <w:pPr>
        <w:pStyle w:val="ListParagraph"/>
        <w:numPr>
          <w:ilvl w:val="0"/>
          <w:numId w:val="20"/>
        </w:numPr>
        <w:jc w:val="both"/>
        <w:rPr>
          <w:lang w:val="en-GB"/>
        </w:rPr>
      </w:pPr>
      <w:r>
        <w:rPr>
          <w:lang w:val="en-GB"/>
        </w:rPr>
        <w:t>T</w:t>
      </w:r>
      <w:r w:rsidR="00D7294C">
        <w:rPr>
          <w:lang w:val="en-GB"/>
        </w:rPr>
        <w:t>ë</w:t>
      </w:r>
      <w:r>
        <w:rPr>
          <w:lang w:val="en-GB"/>
        </w:rPr>
        <w:t xml:space="preserve"> forcohen m</w:t>
      </w:r>
      <w:r w:rsidR="00D7294C">
        <w:rPr>
          <w:lang w:val="en-GB"/>
        </w:rPr>
        <w:t>ë</w:t>
      </w:r>
      <w:r>
        <w:rPr>
          <w:lang w:val="en-GB"/>
        </w:rPr>
        <w:t xml:space="preserve"> tej </w:t>
      </w:r>
      <w:r w:rsidR="001A04E0">
        <w:rPr>
          <w:lang w:val="en-GB"/>
        </w:rPr>
        <w:t xml:space="preserve">metodat, procedurat dhe kuadri </w:t>
      </w:r>
      <w:r w:rsidR="00443EDB">
        <w:rPr>
          <w:lang w:val="en-GB"/>
        </w:rPr>
        <w:t>i</w:t>
      </w:r>
      <w:r w:rsidR="001A04E0">
        <w:rPr>
          <w:lang w:val="en-GB"/>
        </w:rPr>
        <w:t xml:space="preserve"> llogaridh</w:t>
      </w:r>
      <w:r w:rsidR="00D7294C">
        <w:rPr>
          <w:lang w:val="en-GB"/>
        </w:rPr>
        <w:t>ë</w:t>
      </w:r>
      <w:r w:rsidR="001A04E0">
        <w:rPr>
          <w:lang w:val="en-GB"/>
        </w:rPr>
        <w:t>nies menaxheriale p</w:t>
      </w:r>
      <w:r w:rsidR="00D7294C">
        <w:rPr>
          <w:lang w:val="en-GB"/>
        </w:rPr>
        <w:t>ë</w:t>
      </w:r>
      <w:r w:rsidR="001A04E0">
        <w:rPr>
          <w:lang w:val="en-GB"/>
        </w:rPr>
        <w:t>r formulimin e PBA-s</w:t>
      </w:r>
      <w:r w:rsidR="00D7294C">
        <w:rPr>
          <w:lang w:val="en-GB"/>
        </w:rPr>
        <w:t>ë</w:t>
      </w:r>
      <w:r w:rsidR="001A04E0">
        <w:rPr>
          <w:lang w:val="en-GB"/>
        </w:rPr>
        <w:t>, veçan</w:t>
      </w:r>
      <w:r w:rsidR="00D7294C">
        <w:rPr>
          <w:lang w:val="en-GB"/>
        </w:rPr>
        <w:t>ë</w:t>
      </w:r>
      <w:r w:rsidR="001A04E0">
        <w:rPr>
          <w:lang w:val="en-GB"/>
        </w:rPr>
        <w:t>risht p</w:t>
      </w:r>
      <w:r w:rsidR="00D7294C">
        <w:rPr>
          <w:lang w:val="en-GB"/>
        </w:rPr>
        <w:t>ë</w:t>
      </w:r>
      <w:r w:rsidR="001A04E0">
        <w:rPr>
          <w:lang w:val="en-GB"/>
        </w:rPr>
        <w:t>r seancat e brendshme t</w:t>
      </w:r>
      <w:r w:rsidR="00D7294C">
        <w:rPr>
          <w:lang w:val="en-GB"/>
        </w:rPr>
        <w:t>ë</w:t>
      </w:r>
      <w:r w:rsidR="001A04E0">
        <w:rPr>
          <w:lang w:val="en-GB"/>
        </w:rPr>
        <w:t xml:space="preserve"> d</w:t>
      </w:r>
      <w:r w:rsidR="00D7294C">
        <w:rPr>
          <w:lang w:val="en-GB"/>
        </w:rPr>
        <w:t>ë</w:t>
      </w:r>
      <w:r w:rsidR="001A04E0">
        <w:rPr>
          <w:lang w:val="en-GB"/>
        </w:rPr>
        <w:t>gjimeve t</w:t>
      </w:r>
      <w:r w:rsidR="00D7294C">
        <w:rPr>
          <w:lang w:val="en-GB"/>
        </w:rPr>
        <w:t>ë</w:t>
      </w:r>
      <w:r w:rsidR="001A04E0">
        <w:rPr>
          <w:lang w:val="en-GB"/>
        </w:rPr>
        <w:t xml:space="preserve"> buxhetit dhe pjes</w:t>
      </w:r>
      <w:r w:rsidR="00D7294C">
        <w:rPr>
          <w:lang w:val="en-GB"/>
        </w:rPr>
        <w:t>ë</w:t>
      </w:r>
      <w:r w:rsidR="001A04E0">
        <w:rPr>
          <w:lang w:val="en-GB"/>
        </w:rPr>
        <w:t>marrjen e publikut</w:t>
      </w:r>
      <w:r w:rsidR="00BE64A2" w:rsidRPr="001F151E">
        <w:rPr>
          <w:lang w:val="en-GB"/>
        </w:rPr>
        <w:t xml:space="preserve">. </w:t>
      </w:r>
    </w:p>
    <w:p w14:paraId="17D45EAE" w14:textId="61D6F354" w:rsidR="00BE64A2" w:rsidRPr="001F151E" w:rsidRDefault="001A04E0" w:rsidP="006F1382">
      <w:pPr>
        <w:pStyle w:val="ListParagraph"/>
        <w:numPr>
          <w:ilvl w:val="0"/>
          <w:numId w:val="20"/>
        </w:numPr>
        <w:jc w:val="both"/>
        <w:rPr>
          <w:lang w:val="en-GB"/>
        </w:rPr>
      </w:pPr>
      <w:r>
        <w:rPr>
          <w:lang w:val="en-GB"/>
        </w:rPr>
        <w:t>T</w:t>
      </w:r>
      <w:r w:rsidR="00D7294C">
        <w:rPr>
          <w:lang w:val="en-GB"/>
        </w:rPr>
        <w:t>ë</w:t>
      </w:r>
      <w:r>
        <w:rPr>
          <w:lang w:val="en-GB"/>
        </w:rPr>
        <w:t xml:space="preserve"> p</w:t>
      </w:r>
      <w:r w:rsidR="00D7294C">
        <w:rPr>
          <w:lang w:val="en-GB"/>
        </w:rPr>
        <w:t>ë</w:t>
      </w:r>
      <w:r>
        <w:rPr>
          <w:lang w:val="en-GB"/>
        </w:rPr>
        <w:t>rmir</w:t>
      </w:r>
      <w:r w:rsidR="00D7294C">
        <w:rPr>
          <w:lang w:val="en-GB"/>
        </w:rPr>
        <w:t>ë</w:t>
      </w:r>
      <w:r>
        <w:rPr>
          <w:lang w:val="en-GB"/>
        </w:rPr>
        <w:t>sohen m</w:t>
      </w:r>
      <w:r w:rsidR="00D7294C">
        <w:rPr>
          <w:lang w:val="en-GB"/>
        </w:rPr>
        <w:t>ë</w:t>
      </w:r>
      <w:r>
        <w:rPr>
          <w:lang w:val="en-GB"/>
        </w:rPr>
        <w:t xml:space="preserve"> tej dokumentacioni buxhetor dhe n</w:t>
      </w:r>
      <w:r w:rsidR="00D7294C">
        <w:rPr>
          <w:lang w:val="en-GB"/>
        </w:rPr>
        <w:t>ë</w:t>
      </w:r>
      <w:r>
        <w:rPr>
          <w:lang w:val="en-GB"/>
        </w:rPr>
        <w:t xml:space="preserve"> veçanti elementi i informacionit t</w:t>
      </w:r>
      <w:r w:rsidR="00D7294C">
        <w:rPr>
          <w:lang w:val="en-GB"/>
        </w:rPr>
        <w:t>ë</w:t>
      </w:r>
      <w:r>
        <w:rPr>
          <w:lang w:val="en-GB"/>
        </w:rPr>
        <w:t xml:space="preserve"> performanc</w:t>
      </w:r>
      <w:r w:rsidR="00D7294C">
        <w:rPr>
          <w:lang w:val="en-GB"/>
        </w:rPr>
        <w:t>ë</w:t>
      </w:r>
      <w:r>
        <w:rPr>
          <w:lang w:val="en-GB"/>
        </w:rPr>
        <w:t>s</w:t>
      </w:r>
      <w:r w:rsidR="00BE64A2" w:rsidRPr="001F151E">
        <w:rPr>
          <w:lang w:val="en-GB"/>
        </w:rPr>
        <w:t>.</w:t>
      </w:r>
    </w:p>
    <w:p w14:paraId="4940FA2C" w14:textId="6919F8BA" w:rsidR="00BE64A2" w:rsidRPr="001F151E" w:rsidRDefault="001A04E0" w:rsidP="006F1382">
      <w:pPr>
        <w:pStyle w:val="ListParagraph"/>
        <w:numPr>
          <w:ilvl w:val="0"/>
          <w:numId w:val="20"/>
        </w:numPr>
        <w:jc w:val="both"/>
        <w:rPr>
          <w:lang w:val="en-GB"/>
        </w:rPr>
      </w:pPr>
      <w:r>
        <w:rPr>
          <w:lang w:val="en-GB"/>
        </w:rPr>
        <w:t>T</w:t>
      </w:r>
      <w:r w:rsidR="00D7294C">
        <w:rPr>
          <w:lang w:val="en-GB"/>
        </w:rPr>
        <w:t>ë</w:t>
      </w:r>
      <w:r>
        <w:rPr>
          <w:lang w:val="en-GB"/>
        </w:rPr>
        <w:t xml:space="preserve"> prezantohen gradualisht shqyrtimet e shpenzimeve specifike p</w:t>
      </w:r>
      <w:r w:rsidR="00D7294C">
        <w:rPr>
          <w:lang w:val="en-GB"/>
        </w:rPr>
        <w:t>ë</w:t>
      </w:r>
      <w:r>
        <w:rPr>
          <w:lang w:val="en-GB"/>
        </w:rPr>
        <w:t>r sektor</w:t>
      </w:r>
      <w:r w:rsidR="00D7294C">
        <w:rPr>
          <w:lang w:val="en-GB"/>
        </w:rPr>
        <w:t>ë</w:t>
      </w:r>
      <w:r>
        <w:rPr>
          <w:lang w:val="en-GB"/>
        </w:rPr>
        <w:t>.</w:t>
      </w:r>
    </w:p>
    <w:p w14:paraId="5CCA5654" w14:textId="0F78FE92" w:rsidR="00BE64A2" w:rsidRPr="001F151E" w:rsidRDefault="00233BDA" w:rsidP="006F1382">
      <w:pPr>
        <w:pStyle w:val="ListParagraph"/>
        <w:numPr>
          <w:ilvl w:val="0"/>
          <w:numId w:val="20"/>
        </w:numPr>
        <w:jc w:val="both"/>
        <w:rPr>
          <w:lang w:val="en-GB"/>
        </w:rPr>
      </w:pPr>
      <w:r>
        <w:rPr>
          <w:lang w:val="en-GB"/>
        </w:rPr>
        <w:t>T</w:t>
      </w:r>
      <w:r w:rsidR="00D7294C">
        <w:rPr>
          <w:lang w:val="en-GB"/>
        </w:rPr>
        <w:t>ë</w:t>
      </w:r>
      <w:r>
        <w:rPr>
          <w:lang w:val="en-GB"/>
        </w:rPr>
        <w:t xml:space="preserve"> prezantohen element</w:t>
      </w:r>
      <w:r w:rsidR="00D7294C">
        <w:rPr>
          <w:lang w:val="en-GB"/>
        </w:rPr>
        <w:t>ë</w:t>
      </w:r>
      <w:r>
        <w:rPr>
          <w:lang w:val="en-GB"/>
        </w:rPr>
        <w:t>t baz</w:t>
      </w:r>
      <w:r w:rsidR="00D7294C">
        <w:rPr>
          <w:lang w:val="en-GB"/>
        </w:rPr>
        <w:t>ë</w:t>
      </w:r>
      <w:r>
        <w:rPr>
          <w:lang w:val="en-GB"/>
        </w:rPr>
        <w:t xml:space="preserve"> t</w:t>
      </w:r>
      <w:r w:rsidR="00D7294C">
        <w:rPr>
          <w:lang w:val="en-GB"/>
        </w:rPr>
        <w:t>ë</w:t>
      </w:r>
      <w:r>
        <w:rPr>
          <w:lang w:val="en-GB"/>
        </w:rPr>
        <w:t xml:space="preserve"> konceptit t</w:t>
      </w:r>
      <w:r w:rsidR="00D7294C">
        <w:rPr>
          <w:lang w:val="en-GB"/>
        </w:rPr>
        <w:t>ë</w:t>
      </w:r>
      <w:r>
        <w:rPr>
          <w:lang w:val="en-GB"/>
        </w:rPr>
        <w:t xml:space="preserve"> buxhetimit t</w:t>
      </w:r>
      <w:r w:rsidR="00D7294C">
        <w:rPr>
          <w:lang w:val="en-GB"/>
        </w:rPr>
        <w:t>ë</w:t>
      </w:r>
      <w:r>
        <w:rPr>
          <w:lang w:val="en-GB"/>
        </w:rPr>
        <w:t xml:space="preserve"> p</w:t>
      </w:r>
      <w:r w:rsidR="00D7294C">
        <w:rPr>
          <w:lang w:val="en-GB"/>
        </w:rPr>
        <w:t>ë</w:t>
      </w:r>
      <w:r w:rsidR="008165C9">
        <w:rPr>
          <w:lang w:val="en-GB"/>
        </w:rPr>
        <w:t>rgji</w:t>
      </w:r>
      <w:r>
        <w:rPr>
          <w:lang w:val="en-GB"/>
        </w:rPr>
        <w:t>gjsh</w:t>
      </w:r>
      <w:r w:rsidR="00D7294C">
        <w:rPr>
          <w:lang w:val="en-GB"/>
        </w:rPr>
        <w:t>ë</w:t>
      </w:r>
      <w:r>
        <w:rPr>
          <w:lang w:val="en-GB"/>
        </w:rPr>
        <w:t>m t</w:t>
      </w:r>
      <w:r w:rsidR="00D7294C">
        <w:rPr>
          <w:lang w:val="en-GB"/>
        </w:rPr>
        <w:t>ë</w:t>
      </w:r>
      <w:r>
        <w:rPr>
          <w:lang w:val="en-GB"/>
        </w:rPr>
        <w:t xml:space="preserve"> gjelb</w:t>
      </w:r>
      <w:r w:rsidR="00D7294C">
        <w:rPr>
          <w:lang w:val="en-GB"/>
        </w:rPr>
        <w:t>ë</w:t>
      </w:r>
      <w:r>
        <w:rPr>
          <w:lang w:val="en-GB"/>
        </w:rPr>
        <w:t>rt/klimatik dhe t</w:t>
      </w:r>
      <w:r w:rsidR="00D7294C">
        <w:rPr>
          <w:lang w:val="en-GB"/>
        </w:rPr>
        <w:t>ë</w:t>
      </w:r>
      <w:r>
        <w:rPr>
          <w:lang w:val="en-GB"/>
        </w:rPr>
        <w:t xml:space="preserve"> zgjerohet m</w:t>
      </w:r>
      <w:r w:rsidR="00D7294C">
        <w:rPr>
          <w:lang w:val="en-GB"/>
        </w:rPr>
        <w:t>ë</w:t>
      </w:r>
      <w:r>
        <w:rPr>
          <w:lang w:val="en-GB"/>
        </w:rPr>
        <w:t xml:space="preserve"> tej koncepti i buxhetimit t</w:t>
      </w:r>
      <w:r w:rsidR="00D7294C">
        <w:rPr>
          <w:lang w:val="en-GB"/>
        </w:rPr>
        <w:t>ë</w:t>
      </w:r>
      <w:r>
        <w:rPr>
          <w:lang w:val="en-GB"/>
        </w:rPr>
        <w:t xml:space="preserve"> p</w:t>
      </w:r>
      <w:r w:rsidR="00D7294C">
        <w:rPr>
          <w:lang w:val="en-GB"/>
        </w:rPr>
        <w:t>ë</w:t>
      </w:r>
      <w:r>
        <w:rPr>
          <w:lang w:val="en-GB"/>
        </w:rPr>
        <w:t>rgj</w:t>
      </w:r>
      <w:r w:rsidR="008165C9">
        <w:rPr>
          <w:lang w:val="en-GB"/>
        </w:rPr>
        <w:t>i</w:t>
      </w:r>
      <w:r>
        <w:rPr>
          <w:lang w:val="en-GB"/>
        </w:rPr>
        <w:t>gjsh</w:t>
      </w:r>
      <w:r w:rsidR="00D7294C">
        <w:rPr>
          <w:lang w:val="en-GB"/>
        </w:rPr>
        <w:t>ë</w:t>
      </w:r>
      <w:r>
        <w:rPr>
          <w:lang w:val="en-GB"/>
        </w:rPr>
        <w:t>m gjinor (n</w:t>
      </w:r>
      <w:r w:rsidR="00D7294C">
        <w:rPr>
          <w:lang w:val="en-GB"/>
        </w:rPr>
        <w:t>ë</w:t>
      </w:r>
      <w:r>
        <w:rPr>
          <w:lang w:val="en-GB"/>
        </w:rPr>
        <w:t xml:space="preserve"> veçanti analiza e hendekut gjinor)</w:t>
      </w:r>
      <w:r w:rsidR="00BE64A2" w:rsidRPr="001F151E">
        <w:rPr>
          <w:lang w:val="en-GB"/>
        </w:rPr>
        <w:t>.</w:t>
      </w:r>
    </w:p>
    <w:p w14:paraId="595EC761" w14:textId="77777777" w:rsidR="00BE64A2" w:rsidRPr="001F151E" w:rsidRDefault="00BE64A2" w:rsidP="006F1382">
      <w:pPr>
        <w:jc w:val="both"/>
        <w:rPr>
          <w:b/>
          <w:bCs/>
          <w:color w:val="0070C0"/>
          <w:lang w:val="en-GB"/>
        </w:rPr>
      </w:pPr>
    </w:p>
    <w:p w14:paraId="2413BF8A" w14:textId="32E9C8EC" w:rsidR="00BE64A2" w:rsidRPr="001F151E" w:rsidRDefault="008100C3" w:rsidP="00BE64A2">
      <w:pPr>
        <w:pStyle w:val="H5"/>
        <w:rPr>
          <w:lang w:val="en-GB"/>
        </w:rPr>
      </w:pPr>
      <w:r>
        <w:rPr>
          <w:lang w:val="en-GB"/>
        </w:rPr>
        <w:t>Masat dhe aktivitetet</w:t>
      </w:r>
    </w:p>
    <w:tbl>
      <w:tblPr>
        <w:tblStyle w:val="TableGrid"/>
        <w:tblW w:w="5000" w:type="pct"/>
        <w:tblCellMar>
          <w:top w:w="28" w:type="dxa"/>
          <w:left w:w="57" w:type="dxa"/>
          <w:bottom w:w="28" w:type="dxa"/>
          <w:right w:w="57" w:type="dxa"/>
        </w:tblCellMar>
        <w:tblLook w:val="04A0" w:firstRow="1" w:lastRow="0" w:firstColumn="1" w:lastColumn="0" w:noHBand="0" w:noVBand="1"/>
      </w:tblPr>
      <w:tblGrid>
        <w:gridCol w:w="2335"/>
        <w:gridCol w:w="3780"/>
        <w:gridCol w:w="768"/>
        <w:gridCol w:w="852"/>
        <w:gridCol w:w="1281"/>
      </w:tblGrid>
      <w:tr w:rsidR="009E0E66" w:rsidRPr="001F151E" w14:paraId="15762C31" w14:textId="77777777" w:rsidTr="009C46C7">
        <w:trPr>
          <w:trHeight w:val="182"/>
          <w:tblHeader/>
        </w:trPr>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7C8CE" w14:textId="1EBBAD17" w:rsidR="00BE64A2" w:rsidRPr="001F151E" w:rsidRDefault="00BE64A2" w:rsidP="00A10A3B">
            <w:pPr>
              <w:pStyle w:val="T-bold"/>
            </w:pPr>
            <w:r w:rsidRPr="001F151E">
              <w:t>M</w:t>
            </w:r>
            <w:r w:rsidR="00A10A3B">
              <w:t>asa</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CF5F1A" w14:textId="4732CBC0" w:rsidR="00BE64A2" w:rsidRPr="001F151E" w:rsidRDefault="00BE64A2" w:rsidP="00A10A3B">
            <w:pPr>
              <w:pStyle w:val="T-bold"/>
            </w:pPr>
            <w:r w:rsidRPr="001F151E">
              <w:t>A</w:t>
            </w:r>
            <w:r w:rsidR="00A10A3B">
              <w:t>ktiviteti</w:t>
            </w:r>
          </w:p>
        </w:tc>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80413C" w14:textId="408F6284" w:rsidR="00BE64A2" w:rsidRPr="001F151E" w:rsidRDefault="00A10A3B" w:rsidP="002B7FF8">
            <w:pPr>
              <w:pStyle w:val="T-bold"/>
              <w:jc w:val="center"/>
            </w:pPr>
            <w:r>
              <w:t>Fillimi</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537E01" w14:textId="66B59815" w:rsidR="00BE64A2" w:rsidRPr="001F151E" w:rsidRDefault="006C30CE" w:rsidP="002B7FF8">
            <w:pPr>
              <w:pStyle w:val="T-bold"/>
              <w:jc w:val="center"/>
            </w:pPr>
            <w:r>
              <w:t>Mbarimi</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15B2BA" w14:textId="297B9BE0" w:rsidR="00BE64A2" w:rsidRPr="001F151E" w:rsidRDefault="006C30CE" w:rsidP="002B7FF8">
            <w:pPr>
              <w:pStyle w:val="T-bold"/>
            </w:pPr>
            <w:r>
              <w:t>Grupet e interesit</w:t>
            </w:r>
          </w:p>
        </w:tc>
      </w:tr>
      <w:tr w:rsidR="009E0E66" w:rsidRPr="001F151E" w14:paraId="6783DA65" w14:textId="77777777" w:rsidTr="009C46C7">
        <w:trPr>
          <w:trHeight w:val="455"/>
        </w:trPr>
        <w:tc>
          <w:tcPr>
            <w:tcW w:w="2335" w:type="dxa"/>
            <w:vMerge w:val="restart"/>
            <w:tcBorders>
              <w:top w:val="single" w:sz="4" w:space="0" w:color="auto"/>
              <w:left w:val="single" w:sz="4" w:space="0" w:color="auto"/>
              <w:right w:val="single" w:sz="4" w:space="0" w:color="auto"/>
            </w:tcBorders>
          </w:tcPr>
          <w:p w14:paraId="142F2C2B" w14:textId="2BAB6429" w:rsidR="00B76369" w:rsidRPr="009D660E" w:rsidRDefault="002D6DF5" w:rsidP="002B7FF8">
            <w:pPr>
              <w:pStyle w:val="EcorysBody"/>
              <w:rPr>
                <w:rFonts w:ascii="Arial" w:hAnsi="Arial" w:cs="Arial"/>
                <w:b/>
                <w:bCs/>
                <w:sz w:val="16"/>
                <w:szCs w:val="16"/>
                <w:lang w:val="it-IT"/>
              </w:rPr>
            </w:pPr>
            <w:r w:rsidRPr="009D660E">
              <w:rPr>
                <w:rFonts w:ascii="Arial" w:hAnsi="Arial" w:cs="Arial"/>
                <w:b/>
                <w:bCs/>
                <w:sz w:val="16"/>
                <w:szCs w:val="16"/>
                <w:lang w:val="it-IT"/>
              </w:rPr>
              <w:t>M</w:t>
            </w:r>
            <w:r w:rsidR="006C30CE" w:rsidRPr="009D660E">
              <w:rPr>
                <w:rFonts w:ascii="Arial" w:hAnsi="Arial" w:cs="Arial"/>
                <w:b/>
                <w:bCs/>
                <w:sz w:val="16"/>
                <w:szCs w:val="16"/>
                <w:lang w:val="it-IT"/>
              </w:rPr>
              <w:t>asa</w:t>
            </w:r>
            <w:r w:rsidRPr="009D660E">
              <w:rPr>
                <w:rFonts w:ascii="Arial" w:hAnsi="Arial" w:cs="Arial"/>
                <w:b/>
                <w:bCs/>
                <w:sz w:val="16"/>
                <w:szCs w:val="16"/>
                <w:lang w:val="it-IT"/>
              </w:rPr>
              <w:t xml:space="preserve"> 2.2.1 </w:t>
            </w:r>
          </w:p>
          <w:p w14:paraId="718A0421" w14:textId="24D443BF" w:rsidR="002D6DF5" w:rsidRPr="009D660E" w:rsidRDefault="00DC1A22" w:rsidP="002B7FF8">
            <w:pPr>
              <w:pStyle w:val="EcorysBody"/>
              <w:rPr>
                <w:rFonts w:ascii="Arial" w:hAnsi="Arial" w:cs="Arial"/>
                <w:b/>
                <w:bCs/>
                <w:sz w:val="16"/>
                <w:szCs w:val="16"/>
                <w:lang w:val="it-IT"/>
              </w:rPr>
            </w:pPr>
            <w:r w:rsidRPr="009D660E">
              <w:rPr>
                <w:rFonts w:ascii="Arial" w:hAnsi="Arial" w:cs="Arial"/>
                <w:b/>
                <w:bCs/>
                <w:sz w:val="16"/>
                <w:szCs w:val="16"/>
                <w:lang w:val="it-IT"/>
              </w:rPr>
              <w:t>P</w:t>
            </w:r>
            <w:r w:rsidR="00D7294C" w:rsidRPr="009D660E">
              <w:rPr>
                <w:rFonts w:ascii="Arial" w:hAnsi="Arial" w:cs="Arial"/>
                <w:b/>
                <w:bCs/>
                <w:sz w:val="16"/>
                <w:szCs w:val="16"/>
                <w:lang w:val="it-IT"/>
              </w:rPr>
              <w:t>ë</w:t>
            </w:r>
            <w:r w:rsidRPr="009D660E">
              <w:rPr>
                <w:rFonts w:ascii="Arial" w:hAnsi="Arial" w:cs="Arial"/>
                <w:b/>
                <w:bCs/>
                <w:sz w:val="16"/>
                <w:szCs w:val="16"/>
                <w:lang w:val="it-IT"/>
              </w:rPr>
              <w:t>rmir</w:t>
            </w:r>
            <w:r w:rsidR="00D7294C" w:rsidRPr="009D660E">
              <w:rPr>
                <w:rFonts w:ascii="Arial" w:hAnsi="Arial" w:cs="Arial"/>
                <w:b/>
                <w:bCs/>
                <w:sz w:val="16"/>
                <w:szCs w:val="16"/>
                <w:lang w:val="it-IT"/>
              </w:rPr>
              <w:t>ë</w:t>
            </w:r>
            <w:r w:rsidRPr="009D660E">
              <w:rPr>
                <w:rFonts w:ascii="Arial" w:hAnsi="Arial" w:cs="Arial"/>
                <w:b/>
                <w:bCs/>
                <w:sz w:val="16"/>
                <w:szCs w:val="16"/>
                <w:lang w:val="it-IT"/>
              </w:rPr>
              <w:t>simi i m</w:t>
            </w:r>
            <w:r w:rsidR="00D7294C" w:rsidRPr="009D660E">
              <w:rPr>
                <w:rFonts w:ascii="Arial" w:hAnsi="Arial" w:cs="Arial"/>
                <w:b/>
                <w:bCs/>
                <w:sz w:val="16"/>
                <w:szCs w:val="16"/>
                <w:lang w:val="it-IT"/>
              </w:rPr>
              <w:t>ë</w:t>
            </w:r>
            <w:r w:rsidRPr="009D660E">
              <w:rPr>
                <w:rFonts w:ascii="Arial" w:hAnsi="Arial" w:cs="Arial"/>
                <w:b/>
                <w:bCs/>
                <w:sz w:val="16"/>
                <w:szCs w:val="16"/>
                <w:lang w:val="it-IT"/>
              </w:rPr>
              <w:t>tejsh</w:t>
            </w:r>
            <w:r w:rsidR="00D7294C" w:rsidRPr="009D660E">
              <w:rPr>
                <w:rFonts w:ascii="Arial" w:hAnsi="Arial" w:cs="Arial"/>
                <w:b/>
                <w:bCs/>
                <w:sz w:val="16"/>
                <w:szCs w:val="16"/>
                <w:lang w:val="it-IT"/>
              </w:rPr>
              <w:t>ë</w:t>
            </w:r>
            <w:r w:rsidRPr="009D660E">
              <w:rPr>
                <w:rFonts w:ascii="Arial" w:hAnsi="Arial" w:cs="Arial"/>
                <w:b/>
                <w:bCs/>
                <w:sz w:val="16"/>
                <w:szCs w:val="16"/>
                <w:lang w:val="it-IT"/>
              </w:rPr>
              <w:t>m i metodave, procedurave dhe llogaridh</w:t>
            </w:r>
            <w:r w:rsidR="00D7294C" w:rsidRPr="009D660E">
              <w:rPr>
                <w:rFonts w:ascii="Arial" w:hAnsi="Arial" w:cs="Arial"/>
                <w:b/>
                <w:bCs/>
                <w:sz w:val="16"/>
                <w:szCs w:val="16"/>
                <w:lang w:val="it-IT"/>
              </w:rPr>
              <w:t>ë</w:t>
            </w:r>
            <w:r w:rsidRPr="009D660E">
              <w:rPr>
                <w:rFonts w:ascii="Arial" w:hAnsi="Arial" w:cs="Arial"/>
                <w:b/>
                <w:bCs/>
                <w:sz w:val="16"/>
                <w:szCs w:val="16"/>
                <w:lang w:val="it-IT"/>
              </w:rPr>
              <w:t>nies menaxheriale p</w:t>
            </w:r>
            <w:r w:rsidR="00D7294C" w:rsidRPr="009D660E">
              <w:rPr>
                <w:rFonts w:ascii="Arial" w:hAnsi="Arial" w:cs="Arial"/>
                <w:b/>
                <w:bCs/>
                <w:sz w:val="16"/>
                <w:szCs w:val="16"/>
                <w:lang w:val="it-IT"/>
              </w:rPr>
              <w:t>ë</w:t>
            </w:r>
            <w:r w:rsidRPr="009D660E">
              <w:rPr>
                <w:rFonts w:ascii="Arial" w:hAnsi="Arial" w:cs="Arial"/>
                <w:b/>
                <w:bCs/>
                <w:sz w:val="16"/>
                <w:szCs w:val="16"/>
                <w:lang w:val="it-IT"/>
              </w:rPr>
              <w:t>r formulimin e PBA-s</w:t>
            </w:r>
            <w:r w:rsidR="00D7294C" w:rsidRPr="009D660E">
              <w:rPr>
                <w:rFonts w:ascii="Arial" w:hAnsi="Arial" w:cs="Arial"/>
                <w:b/>
                <w:bCs/>
                <w:sz w:val="16"/>
                <w:szCs w:val="16"/>
                <w:lang w:val="it-IT"/>
              </w:rPr>
              <w:t>ë</w:t>
            </w:r>
            <w:r w:rsidRPr="009D660E">
              <w:rPr>
                <w:rFonts w:ascii="Arial" w:hAnsi="Arial" w:cs="Arial"/>
                <w:b/>
                <w:bCs/>
                <w:sz w:val="16"/>
                <w:szCs w:val="16"/>
                <w:lang w:val="it-IT"/>
              </w:rPr>
              <w:t xml:space="preserve"> </w:t>
            </w:r>
          </w:p>
        </w:tc>
        <w:tc>
          <w:tcPr>
            <w:tcW w:w="3780" w:type="dxa"/>
            <w:tcBorders>
              <w:top w:val="single" w:sz="4" w:space="0" w:color="auto"/>
              <w:left w:val="single" w:sz="4" w:space="0" w:color="auto"/>
              <w:bottom w:val="single" w:sz="4" w:space="0" w:color="auto"/>
              <w:right w:val="single" w:sz="4" w:space="0" w:color="auto"/>
            </w:tcBorders>
            <w:vAlign w:val="center"/>
          </w:tcPr>
          <w:p w14:paraId="56CD5CE6" w14:textId="7B4116C2" w:rsidR="002D6DF5" w:rsidRPr="009D660E" w:rsidRDefault="00DC1A22" w:rsidP="00CD7428">
            <w:pPr>
              <w:pStyle w:val="EcorysBody"/>
              <w:numPr>
                <w:ilvl w:val="0"/>
                <w:numId w:val="59"/>
              </w:numPr>
              <w:rPr>
                <w:rFonts w:ascii="Arial" w:hAnsi="Arial" w:cs="Arial"/>
                <w:sz w:val="16"/>
                <w:szCs w:val="16"/>
                <w:lang w:val="it-IT"/>
              </w:rPr>
            </w:pPr>
            <w:r w:rsidRPr="009D660E">
              <w:rPr>
                <w:rFonts w:ascii="Arial" w:hAnsi="Arial" w:cs="Arial"/>
                <w:sz w:val="16"/>
                <w:szCs w:val="16"/>
                <w:lang w:val="it-IT"/>
              </w:rPr>
              <w:t>Forcimi i konceptit t</w:t>
            </w:r>
            <w:r w:rsidR="00D7294C" w:rsidRPr="009D660E">
              <w:rPr>
                <w:rFonts w:ascii="Arial" w:hAnsi="Arial" w:cs="Arial"/>
                <w:sz w:val="16"/>
                <w:szCs w:val="16"/>
                <w:lang w:val="it-IT"/>
              </w:rPr>
              <w:t>ë</w:t>
            </w:r>
            <w:r w:rsidRPr="009D660E">
              <w:rPr>
                <w:rFonts w:ascii="Arial" w:hAnsi="Arial" w:cs="Arial"/>
                <w:sz w:val="16"/>
                <w:szCs w:val="16"/>
                <w:lang w:val="it-IT"/>
              </w:rPr>
              <w:t xml:space="preserve"> llogaridh</w:t>
            </w:r>
            <w:r w:rsidR="00D7294C" w:rsidRPr="009D660E">
              <w:rPr>
                <w:rFonts w:ascii="Arial" w:hAnsi="Arial" w:cs="Arial"/>
                <w:sz w:val="16"/>
                <w:szCs w:val="16"/>
                <w:lang w:val="it-IT"/>
              </w:rPr>
              <w:t>ë</w:t>
            </w:r>
            <w:r w:rsidRPr="009D660E">
              <w:rPr>
                <w:rFonts w:ascii="Arial" w:hAnsi="Arial" w:cs="Arial"/>
                <w:sz w:val="16"/>
                <w:szCs w:val="16"/>
                <w:lang w:val="it-IT"/>
              </w:rPr>
              <w:t>nies menaxheriale n</w:t>
            </w:r>
            <w:r w:rsidR="00D7294C" w:rsidRPr="009D660E">
              <w:rPr>
                <w:rFonts w:ascii="Arial" w:hAnsi="Arial" w:cs="Arial"/>
                <w:sz w:val="16"/>
                <w:szCs w:val="16"/>
                <w:lang w:val="it-IT"/>
              </w:rPr>
              <w:t>ë</w:t>
            </w:r>
            <w:r w:rsidRPr="009D660E">
              <w:rPr>
                <w:rFonts w:ascii="Arial" w:hAnsi="Arial" w:cs="Arial"/>
                <w:sz w:val="16"/>
                <w:szCs w:val="16"/>
                <w:lang w:val="it-IT"/>
              </w:rPr>
              <w:t xml:space="preserve"> formulimin e PBA-s</w:t>
            </w:r>
            <w:r w:rsidR="00D7294C" w:rsidRPr="009D660E">
              <w:rPr>
                <w:rFonts w:ascii="Arial" w:hAnsi="Arial" w:cs="Arial"/>
                <w:sz w:val="16"/>
                <w:szCs w:val="16"/>
                <w:lang w:val="it-IT"/>
              </w:rPr>
              <w:t>ë</w:t>
            </w:r>
            <w:r w:rsidR="002D6DF5" w:rsidRPr="009D660E">
              <w:rPr>
                <w:rFonts w:ascii="Arial" w:hAnsi="Arial" w:cs="Arial"/>
                <w:sz w:val="16"/>
                <w:szCs w:val="16"/>
                <w:lang w:val="it-IT"/>
              </w:rPr>
              <w:t>;</w:t>
            </w:r>
            <w:r w:rsidR="002D6DF5" w:rsidRPr="001F151E">
              <w:rPr>
                <w:rStyle w:val="FootnoteReference"/>
                <w:rFonts w:cs="Arial"/>
              </w:rPr>
              <w:footnoteReference w:id="15"/>
            </w:r>
            <w:r w:rsidR="002D6DF5" w:rsidRPr="009D660E">
              <w:rPr>
                <w:rFonts w:ascii="Arial" w:hAnsi="Arial" w:cs="Arial"/>
                <w:sz w:val="16"/>
                <w:szCs w:val="16"/>
                <w:lang w:val="it-IT"/>
              </w:rPr>
              <w:t xml:space="preserve"> </w:t>
            </w:r>
            <w:r w:rsidRPr="009D660E">
              <w:rPr>
                <w:rFonts w:ascii="Arial" w:hAnsi="Arial" w:cs="Arial"/>
                <w:sz w:val="16"/>
                <w:szCs w:val="16"/>
                <w:lang w:val="it-IT"/>
              </w:rPr>
              <w:t>Ndryshimi i legjislacionit dhe sistemit SIMFSH</w:t>
            </w:r>
            <w:r w:rsidR="002D6DF5" w:rsidRPr="009D660E">
              <w:rPr>
                <w:rFonts w:ascii="Arial" w:hAnsi="Arial" w:cs="Arial"/>
                <w:sz w:val="16"/>
                <w:szCs w:val="16"/>
                <w:lang w:val="it-IT"/>
              </w:rPr>
              <w:t>.</w:t>
            </w:r>
            <w:r w:rsidR="002D6DF5" w:rsidRPr="001F151E">
              <w:rPr>
                <w:rStyle w:val="FootnoteReference"/>
                <w:rFonts w:cs="Arial"/>
                <w:sz w:val="16"/>
                <w:szCs w:val="16"/>
              </w:rPr>
              <w:footnoteReference w:id="16"/>
            </w:r>
          </w:p>
        </w:tc>
        <w:tc>
          <w:tcPr>
            <w:tcW w:w="768" w:type="dxa"/>
            <w:tcBorders>
              <w:top w:val="single" w:sz="4" w:space="0" w:color="auto"/>
              <w:left w:val="single" w:sz="4" w:space="0" w:color="auto"/>
              <w:bottom w:val="single" w:sz="4" w:space="0" w:color="auto"/>
              <w:right w:val="single" w:sz="4" w:space="0" w:color="auto"/>
            </w:tcBorders>
            <w:vAlign w:val="center"/>
          </w:tcPr>
          <w:p w14:paraId="1F71C796" w14:textId="406D9952" w:rsidR="002D6DF5" w:rsidRPr="001F151E" w:rsidRDefault="00DC1A22" w:rsidP="002B7FF8">
            <w:pPr>
              <w:jc w:val="center"/>
              <w:rPr>
                <w:sz w:val="16"/>
                <w:szCs w:val="16"/>
              </w:rPr>
            </w:pPr>
            <w:r>
              <w:rPr>
                <w:sz w:val="16"/>
                <w:szCs w:val="16"/>
              </w:rPr>
              <w:t>T</w:t>
            </w:r>
            <w:r w:rsidR="002D6DF5" w:rsidRPr="001F151E">
              <w:rPr>
                <w:sz w:val="16"/>
                <w:szCs w:val="16"/>
              </w:rPr>
              <w:t>1 2024</w:t>
            </w:r>
          </w:p>
        </w:tc>
        <w:tc>
          <w:tcPr>
            <w:tcW w:w="852" w:type="dxa"/>
            <w:tcBorders>
              <w:top w:val="single" w:sz="4" w:space="0" w:color="auto"/>
              <w:left w:val="single" w:sz="4" w:space="0" w:color="auto"/>
              <w:bottom w:val="single" w:sz="4" w:space="0" w:color="auto"/>
              <w:right w:val="single" w:sz="4" w:space="0" w:color="auto"/>
            </w:tcBorders>
            <w:vAlign w:val="center"/>
          </w:tcPr>
          <w:p w14:paraId="6B028BC6" w14:textId="5774B366" w:rsidR="002D6DF5" w:rsidRPr="001F151E" w:rsidRDefault="00DC1A22" w:rsidP="002B7FF8">
            <w:pPr>
              <w:jc w:val="center"/>
              <w:rPr>
                <w:sz w:val="16"/>
                <w:szCs w:val="16"/>
              </w:rPr>
            </w:pPr>
            <w:r>
              <w:rPr>
                <w:sz w:val="16"/>
                <w:szCs w:val="16"/>
              </w:rPr>
              <w:t>T</w:t>
            </w:r>
            <w:r w:rsidR="002D6DF5" w:rsidRPr="001F151E">
              <w:rPr>
                <w:sz w:val="16"/>
                <w:szCs w:val="16"/>
              </w:rPr>
              <w:t>4 2026</w:t>
            </w:r>
          </w:p>
        </w:tc>
        <w:tc>
          <w:tcPr>
            <w:tcW w:w="1281" w:type="dxa"/>
            <w:vMerge w:val="restart"/>
            <w:tcBorders>
              <w:top w:val="single" w:sz="4" w:space="0" w:color="auto"/>
              <w:left w:val="single" w:sz="4" w:space="0" w:color="auto"/>
              <w:right w:val="single" w:sz="4" w:space="0" w:color="auto"/>
            </w:tcBorders>
          </w:tcPr>
          <w:p w14:paraId="5BB9134E" w14:textId="42ABA427" w:rsidR="002D6DF5" w:rsidRPr="001F151E" w:rsidRDefault="006C30CE" w:rsidP="002B7FF8">
            <w:pPr>
              <w:rPr>
                <w:b/>
                <w:bCs/>
                <w:sz w:val="16"/>
                <w:szCs w:val="16"/>
              </w:rPr>
            </w:pPr>
            <w:r>
              <w:rPr>
                <w:b/>
                <w:bCs/>
                <w:sz w:val="16"/>
                <w:szCs w:val="16"/>
              </w:rPr>
              <w:t>Nj</w:t>
            </w:r>
            <w:r w:rsidR="00D7294C">
              <w:rPr>
                <w:b/>
                <w:bCs/>
                <w:sz w:val="16"/>
                <w:szCs w:val="16"/>
              </w:rPr>
              <w:t>ë</w:t>
            </w:r>
            <w:r>
              <w:rPr>
                <w:b/>
                <w:bCs/>
                <w:sz w:val="16"/>
                <w:szCs w:val="16"/>
              </w:rPr>
              <w:t>sit</w:t>
            </w:r>
            <w:r w:rsidR="00D7294C">
              <w:rPr>
                <w:b/>
                <w:bCs/>
                <w:sz w:val="16"/>
                <w:szCs w:val="16"/>
              </w:rPr>
              <w:t>ë</w:t>
            </w:r>
            <w:r>
              <w:rPr>
                <w:b/>
                <w:bCs/>
                <w:sz w:val="16"/>
                <w:szCs w:val="16"/>
              </w:rPr>
              <w:t xml:space="preserve"> p</w:t>
            </w:r>
            <w:r w:rsidR="00D7294C">
              <w:rPr>
                <w:b/>
                <w:bCs/>
                <w:sz w:val="16"/>
                <w:szCs w:val="16"/>
              </w:rPr>
              <w:t>ë</w:t>
            </w:r>
            <w:r>
              <w:rPr>
                <w:b/>
                <w:bCs/>
                <w:sz w:val="16"/>
                <w:szCs w:val="16"/>
              </w:rPr>
              <w:t>rgjegj</w:t>
            </w:r>
            <w:r w:rsidR="00D7294C">
              <w:rPr>
                <w:b/>
                <w:bCs/>
                <w:sz w:val="16"/>
                <w:szCs w:val="16"/>
              </w:rPr>
              <w:t>ë</w:t>
            </w:r>
            <w:r>
              <w:rPr>
                <w:b/>
                <w:bCs/>
                <w:sz w:val="16"/>
                <w:szCs w:val="16"/>
              </w:rPr>
              <w:t>se</w:t>
            </w:r>
            <w:r w:rsidR="002D6DF5" w:rsidRPr="001F151E">
              <w:rPr>
                <w:b/>
                <w:bCs/>
                <w:sz w:val="16"/>
                <w:szCs w:val="16"/>
              </w:rPr>
              <w:t>:</w:t>
            </w:r>
          </w:p>
          <w:p w14:paraId="66267239" w14:textId="7853CFA7" w:rsidR="002D6DF5" w:rsidRPr="001F151E" w:rsidRDefault="006C30CE" w:rsidP="002B7FF8">
            <w:pPr>
              <w:pStyle w:val="EcorysBody"/>
              <w:rPr>
                <w:rFonts w:ascii="Arial" w:hAnsi="Arial" w:cs="Arial"/>
                <w:sz w:val="16"/>
                <w:szCs w:val="16"/>
              </w:rPr>
            </w:pPr>
            <w:r>
              <w:rPr>
                <w:rFonts w:ascii="Arial" w:hAnsi="Arial" w:cs="Arial"/>
                <w:sz w:val="16"/>
                <w:szCs w:val="16"/>
              </w:rPr>
              <w:t>DAPB (lider</w:t>
            </w:r>
            <w:r w:rsidR="002D6DF5" w:rsidRPr="001F151E">
              <w:rPr>
                <w:rFonts w:ascii="Arial" w:hAnsi="Arial" w:cs="Arial"/>
                <w:sz w:val="16"/>
                <w:szCs w:val="16"/>
              </w:rPr>
              <w:t>)</w:t>
            </w:r>
          </w:p>
          <w:p w14:paraId="6BF8DB35" w14:textId="77777777" w:rsidR="002D6DF5" w:rsidRPr="001F151E" w:rsidRDefault="002D6DF5" w:rsidP="002B7FF8">
            <w:pPr>
              <w:pStyle w:val="EcorysBody"/>
              <w:rPr>
                <w:rFonts w:ascii="Arial" w:hAnsi="Arial" w:cs="Arial"/>
                <w:b/>
                <w:bCs/>
                <w:sz w:val="16"/>
                <w:szCs w:val="16"/>
              </w:rPr>
            </w:pPr>
          </w:p>
          <w:p w14:paraId="44FE6CAD" w14:textId="2238A221" w:rsidR="002D6DF5" w:rsidRPr="001F151E" w:rsidRDefault="006C30CE" w:rsidP="002B7FF8">
            <w:pPr>
              <w:pStyle w:val="EcorysBody"/>
              <w:rPr>
                <w:rFonts w:ascii="Arial" w:hAnsi="Arial" w:cs="Arial"/>
                <w:b/>
                <w:bCs/>
                <w:sz w:val="16"/>
                <w:szCs w:val="16"/>
              </w:rPr>
            </w:pPr>
            <w:r>
              <w:rPr>
                <w:rFonts w:ascii="Arial" w:hAnsi="Arial" w:cs="Arial"/>
                <w:b/>
                <w:bCs/>
                <w:sz w:val="16"/>
                <w:szCs w:val="16"/>
              </w:rPr>
              <w:t>Partner</w:t>
            </w:r>
            <w:r w:rsidR="00D7294C">
              <w:rPr>
                <w:rFonts w:ascii="Arial" w:hAnsi="Arial" w:cs="Arial"/>
                <w:b/>
                <w:bCs/>
                <w:sz w:val="16"/>
                <w:szCs w:val="16"/>
              </w:rPr>
              <w:t>ë</w:t>
            </w:r>
            <w:r>
              <w:rPr>
                <w:rFonts w:ascii="Arial" w:hAnsi="Arial" w:cs="Arial"/>
                <w:b/>
                <w:bCs/>
                <w:sz w:val="16"/>
                <w:szCs w:val="16"/>
              </w:rPr>
              <w:t>t</w:t>
            </w:r>
            <w:r w:rsidR="002D6DF5" w:rsidRPr="001F151E">
              <w:rPr>
                <w:rFonts w:ascii="Arial" w:hAnsi="Arial" w:cs="Arial"/>
                <w:b/>
                <w:bCs/>
                <w:sz w:val="16"/>
                <w:szCs w:val="16"/>
              </w:rPr>
              <w:t>:</w:t>
            </w:r>
          </w:p>
          <w:p w14:paraId="6F9BFC64" w14:textId="3C5BEF2F" w:rsidR="002D6DF5" w:rsidRPr="001F151E" w:rsidRDefault="002D6DF5" w:rsidP="002B7FF8">
            <w:pPr>
              <w:pStyle w:val="EcorysBody"/>
              <w:rPr>
                <w:rFonts w:ascii="Arial" w:hAnsi="Arial" w:cs="Arial"/>
                <w:sz w:val="16"/>
                <w:szCs w:val="16"/>
              </w:rPr>
            </w:pPr>
            <w:r w:rsidRPr="001F151E">
              <w:rPr>
                <w:rFonts w:ascii="Arial" w:hAnsi="Arial" w:cs="Arial"/>
                <w:sz w:val="16"/>
                <w:szCs w:val="16"/>
              </w:rPr>
              <w:t xml:space="preserve">SIGMA, </w:t>
            </w:r>
            <w:r w:rsidR="006C30CE">
              <w:rPr>
                <w:rFonts w:ascii="Arial" w:hAnsi="Arial" w:cs="Arial"/>
                <w:sz w:val="16"/>
                <w:szCs w:val="16"/>
              </w:rPr>
              <w:t>BE</w:t>
            </w:r>
            <w:r w:rsidRPr="001F151E">
              <w:rPr>
                <w:rStyle w:val="FootnoteReference"/>
                <w:rFonts w:cs="Arial"/>
              </w:rPr>
              <w:footnoteReference w:id="17"/>
            </w:r>
            <w:r w:rsidRPr="001F151E">
              <w:rPr>
                <w:rFonts w:ascii="Arial" w:hAnsi="Arial" w:cs="Arial"/>
                <w:sz w:val="16"/>
                <w:szCs w:val="16"/>
              </w:rPr>
              <w:t xml:space="preserve"> </w:t>
            </w:r>
          </w:p>
          <w:p w14:paraId="4E2E7679" w14:textId="77777777" w:rsidR="002D6DF5" w:rsidRPr="001F151E" w:rsidRDefault="002D6DF5" w:rsidP="002B7FF8">
            <w:pPr>
              <w:rPr>
                <w:b/>
                <w:bCs/>
                <w:sz w:val="16"/>
                <w:szCs w:val="16"/>
              </w:rPr>
            </w:pPr>
          </w:p>
        </w:tc>
      </w:tr>
      <w:tr w:rsidR="009E0E66" w:rsidRPr="001F151E" w14:paraId="784B0E66" w14:textId="77777777" w:rsidTr="009C46C7">
        <w:trPr>
          <w:trHeight w:val="455"/>
        </w:trPr>
        <w:tc>
          <w:tcPr>
            <w:tcW w:w="2335" w:type="dxa"/>
            <w:vMerge/>
            <w:tcBorders>
              <w:left w:val="single" w:sz="4" w:space="0" w:color="auto"/>
              <w:right w:val="single" w:sz="4" w:space="0" w:color="auto"/>
            </w:tcBorders>
          </w:tcPr>
          <w:p w14:paraId="485E37BF" w14:textId="77777777" w:rsidR="002D6DF5" w:rsidRPr="001F151E" w:rsidRDefault="002D6DF5" w:rsidP="002B7FF8">
            <w:pPr>
              <w:pStyle w:val="EcorysBody"/>
              <w:rPr>
                <w:rFonts w:ascii="Arial" w:hAnsi="Arial" w:cs="Arial"/>
                <w:b/>
                <w:bCs/>
                <w:sz w:val="16"/>
                <w:szCs w:val="16"/>
              </w:rPr>
            </w:pPr>
          </w:p>
        </w:tc>
        <w:tc>
          <w:tcPr>
            <w:tcW w:w="3780" w:type="dxa"/>
            <w:tcBorders>
              <w:top w:val="single" w:sz="4" w:space="0" w:color="auto"/>
              <w:left w:val="single" w:sz="4" w:space="0" w:color="auto"/>
              <w:bottom w:val="single" w:sz="4" w:space="0" w:color="auto"/>
              <w:right w:val="single" w:sz="4" w:space="0" w:color="auto"/>
            </w:tcBorders>
            <w:vAlign w:val="center"/>
          </w:tcPr>
          <w:p w14:paraId="618D792B" w14:textId="60FD7A8B" w:rsidR="002D6DF5" w:rsidRPr="001F151E" w:rsidRDefault="00DC1A22" w:rsidP="00CD7428">
            <w:pPr>
              <w:pStyle w:val="EcorysBody"/>
              <w:numPr>
                <w:ilvl w:val="0"/>
                <w:numId w:val="59"/>
              </w:numPr>
              <w:rPr>
                <w:rFonts w:ascii="Arial" w:hAnsi="Arial" w:cs="Arial"/>
                <w:sz w:val="16"/>
                <w:szCs w:val="16"/>
              </w:rPr>
            </w:pPr>
            <w:r>
              <w:rPr>
                <w:rFonts w:ascii="Arial" w:hAnsi="Arial" w:cs="Arial"/>
                <w:sz w:val="16"/>
                <w:szCs w:val="16"/>
              </w:rPr>
              <w:t>P</w:t>
            </w:r>
            <w:r w:rsidR="00D7294C">
              <w:rPr>
                <w:rFonts w:ascii="Arial" w:hAnsi="Arial" w:cs="Arial"/>
                <w:sz w:val="16"/>
                <w:szCs w:val="16"/>
              </w:rPr>
              <w:t>ë</w:t>
            </w:r>
            <w:r>
              <w:rPr>
                <w:rFonts w:ascii="Arial" w:hAnsi="Arial" w:cs="Arial"/>
                <w:sz w:val="16"/>
                <w:szCs w:val="16"/>
              </w:rPr>
              <w:t>rhapja e kuadrit t</w:t>
            </w:r>
            <w:r w:rsidR="00D7294C">
              <w:rPr>
                <w:rFonts w:ascii="Arial" w:hAnsi="Arial" w:cs="Arial"/>
                <w:sz w:val="16"/>
                <w:szCs w:val="16"/>
              </w:rPr>
              <w:t>ë</w:t>
            </w:r>
            <w:r>
              <w:rPr>
                <w:rFonts w:ascii="Arial" w:hAnsi="Arial" w:cs="Arial"/>
                <w:sz w:val="16"/>
                <w:szCs w:val="16"/>
              </w:rPr>
              <w:t xml:space="preserve"> p</w:t>
            </w:r>
            <w:r w:rsidR="00D7294C">
              <w:rPr>
                <w:rFonts w:ascii="Arial" w:hAnsi="Arial" w:cs="Arial"/>
                <w:sz w:val="16"/>
                <w:szCs w:val="16"/>
              </w:rPr>
              <w:t>ë</w:t>
            </w:r>
            <w:r>
              <w:rPr>
                <w:rFonts w:ascii="Arial" w:hAnsi="Arial" w:cs="Arial"/>
                <w:sz w:val="16"/>
                <w:szCs w:val="16"/>
              </w:rPr>
              <w:t>rdit</w:t>
            </w:r>
            <w:r w:rsidR="00D7294C">
              <w:rPr>
                <w:rFonts w:ascii="Arial" w:hAnsi="Arial" w:cs="Arial"/>
                <w:sz w:val="16"/>
                <w:szCs w:val="16"/>
              </w:rPr>
              <w:t>ë</w:t>
            </w:r>
            <w:r>
              <w:rPr>
                <w:rFonts w:ascii="Arial" w:hAnsi="Arial" w:cs="Arial"/>
                <w:sz w:val="16"/>
                <w:szCs w:val="16"/>
              </w:rPr>
              <w:t>suar t</w:t>
            </w:r>
            <w:r w:rsidR="00D7294C">
              <w:rPr>
                <w:rFonts w:ascii="Arial" w:hAnsi="Arial" w:cs="Arial"/>
                <w:sz w:val="16"/>
                <w:szCs w:val="16"/>
              </w:rPr>
              <w:t>ë</w:t>
            </w:r>
            <w:r>
              <w:rPr>
                <w:rFonts w:ascii="Arial" w:hAnsi="Arial" w:cs="Arial"/>
                <w:sz w:val="16"/>
                <w:szCs w:val="16"/>
              </w:rPr>
              <w:t xml:space="preserve"> llogaridh</w:t>
            </w:r>
            <w:r w:rsidR="00D7294C">
              <w:rPr>
                <w:rFonts w:ascii="Arial" w:hAnsi="Arial" w:cs="Arial"/>
                <w:sz w:val="16"/>
                <w:szCs w:val="16"/>
              </w:rPr>
              <w:t>ë</w:t>
            </w:r>
            <w:r>
              <w:rPr>
                <w:rFonts w:ascii="Arial" w:hAnsi="Arial" w:cs="Arial"/>
                <w:sz w:val="16"/>
                <w:szCs w:val="16"/>
              </w:rPr>
              <w:t>nies menaxheriale p</w:t>
            </w:r>
            <w:r w:rsidR="00D7294C">
              <w:rPr>
                <w:rFonts w:ascii="Arial" w:hAnsi="Arial" w:cs="Arial"/>
                <w:sz w:val="16"/>
                <w:szCs w:val="16"/>
              </w:rPr>
              <w:t>ë</w:t>
            </w:r>
            <w:r>
              <w:rPr>
                <w:rFonts w:ascii="Arial" w:hAnsi="Arial" w:cs="Arial"/>
                <w:sz w:val="16"/>
                <w:szCs w:val="16"/>
              </w:rPr>
              <w:t>rmes pilotimeve, rritjes s</w:t>
            </w:r>
            <w:r w:rsidR="00D7294C">
              <w:rPr>
                <w:rFonts w:ascii="Arial" w:hAnsi="Arial" w:cs="Arial"/>
                <w:sz w:val="16"/>
                <w:szCs w:val="16"/>
              </w:rPr>
              <w:t>ë</w:t>
            </w:r>
            <w:r>
              <w:rPr>
                <w:rFonts w:ascii="Arial" w:hAnsi="Arial" w:cs="Arial"/>
                <w:sz w:val="16"/>
                <w:szCs w:val="16"/>
              </w:rPr>
              <w:t xml:space="preserve"> aktiviteteve nd</w:t>
            </w:r>
            <w:r w:rsidR="00D7294C">
              <w:rPr>
                <w:rFonts w:ascii="Arial" w:hAnsi="Arial" w:cs="Arial"/>
                <w:sz w:val="16"/>
                <w:szCs w:val="16"/>
              </w:rPr>
              <w:t>ë</w:t>
            </w:r>
            <w:r>
              <w:rPr>
                <w:rFonts w:ascii="Arial" w:hAnsi="Arial" w:cs="Arial"/>
                <w:sz w:val="16"/>
                <w:szCs w:val="16"/>
              </w:rPr>
              <w:t>rgjegj</w:t>
            </w:r>
            <w:r w:rsidR="00D7294C">
              <w:rPr>
                <w:rFonts w:ascii="Arial" w:hAnsi="Arial" w:cs="Arial"/>
                <w:sz w:val="16"/>
                <w:szCs w:val="16"/>
              </w:rPr>
              <w:t>ë</w:t>
            </w:r>
            <w:r>
              <w:rPr>
                <w:rFonts w:ascii="Arial" w:hAnsi="Arial" w:cs="Arial"/>
                <w:sz w:val="16"/>
                <w:szCs w:val="16"/>
              </w:rPr>
              <w:t>suese dhe trajnimeve</w:t>
            </w:r>
          </w:p>
        </w:tc>
        <w:tc>
          <w:tcPr>
            <w:tcW w:w="768" w:type="dxa"/>
            <w:tcBorders>
              <w:top w:val="single" w:sz="4" w:space="0" w:color="auto"/>
              <w:left w:val="single" w:sz="4" w:space="0" w:color="auto"/>
              <w:bottom w:val="single" w:sz="4" w:space="0" w:color="auto"/>
              <w:right w:val="single" w:sz="4" w:space="0" w:color="auto"/>
            </w:tcBorders>
            <w:vAlign w:val="center"/>
          </w:tcPr>
          <w:p w14:paraId="0B6E5E36" w14:textId="01B3C270" w:rsidR="002D6DF5" w:rsidRPr="001F151E" w:rsidRDefault="00DC1A22" w:rsidP="002B7FF8">
            <w:pPr>
              <w:jc w:val="center"/>
              <w:rPr>
                <w:sz w:val="16"/>
                <w:szCs w:val="16"/>
              </w:rPr>
            </w:pPr>
            <w:r>
              <w:rPr>
                <w:sz w:val="16"/>
                <w:szCs w:val="16"/>
              </w:rPr>
              <w:t>T</w:t>
            </w:r>
            <w:r w:rsidR="002D6DF5" w:rsidRPr="001F151E">
              <w:rPr>
                <w:sz w:val="16"/>
                <w:szCs w:val="16"/>
              </w:rPr>
              <w:t>1 2024</w:t>
            </w:r>
          </w:p>
        </w:tc>
        <w:tc>
          <w:tcPr>
            <w:tcW w:w="852" w:type="dxa"/>
            <w:tcBorders>
              <w:top w:val="single" w:sz="4" w:space="0" w:color="auto"/>
              <w:left w:val="single" w:sz="4" w:space="0" w:color="auto"/>
              <w:bottom w:val="single" w:sz="4" w:space="0" w:color="auto"/>
              <w:right w:val="single" w:sz="4" w:space="0" w:color="auto"/>
            </w:tcBorders>
            <w:vAlign w:val="center"/>
          </w:tcPr>
          <w:p w14:paraId="2420ED33" w14:textId="1C8C1D98" w:rsidR="002D6DF5" w:rsidRPr="001F151E" w:rsidRDefault="00DC1A22" w:rsidP="002B7FF8">
            <w:pPr>
              <w:jc w:val="center"/>
              <w:rPr>
                <w:sz w:val="16"/>
                <w:szCs w:val="16"/>
              </w:rPr>
            </w:pPr>
            <w:r>
              <w:rPr>
                <w:sz w:val="16"/>
                <w:szCs w:val="16"/>
              </w:rPr>
              <w:t>T</w:t>
            </w:r>
            <w:r w:rsidR="002D6DF5" w:rsidRPr="001F151E">
              <w:rPr>
                <w:sz w:val="16"/>
                <w:szCs w:val="16"/>
              </w:rPr>
              <w:t>4 2026</w:t>
            </w:r>
          </w:p>
        </w:tc>
        <w:tc>
          <w:tcPr>
            <w:tcW w:w="1281" w:type="dxa"/>
            <w:vMerge/>
            <w:tcBorders>
              <w:left w:val="single" w:sz="4" w:space="0" w:color="auto"/>
              <w:right w:val="single" w:sz="4" w:space="0" w:color="auto"/>
            </w:tcBorders>
          </w:tcPr>
          <w:p w14:paraId="1E387E1E" w14:textId="77777777" w:rsidR="002D6DF5" w:rsidRPr="001F151E" w:rsidRDefault="002D6DF5" w:rsidP="002B7FF8">
            <w:pPr>
              <w:rPr>
                <w:b/>
                <w:bCs/>
                <w:sz w:val="16"/>
                <w:szCs w:val="16"/>
              </w:rPr>
            </w:pPr>
          </w:p>
        </w:tc>
      </w:tr>
      <w:tr w:rsidR="009E0E66" w:rsidRPr="001F151E" w14:paraId="2A3AB120" w14:textId="77777777" w:rsidTr="009C46C7">
        <w:trPr>
          <w:trHeight w:val="455"/>
        </w:trPr>
        <w:tc>
          <w:tcPr>
            <w:tcW w:w="2335" w:type="dxa"/>
            <w:vMerge/>
            <w:tcBorders>
              <w:left w:val="single" w:sz="4" w:space="0" w:color="auto"/>
              <w:right w:val="single" w:sz="4" w:space="0" w:color="auto"/>
            </w:tcBorders>
            <w:hideMark/>
          </w:tcPr>
          <w:p w14:paraId="72746686" w14:textId="77777777" w:rsidR="002D6DF5" w:rsidRPr="001F151E" w:rsidRDefault="002D6DF5" w:rsidP="002B7FF8">
            <w:pPr>
              <w:pStyle w:val="EcorysBody"/>
              <w:rPr>
                <w:rFonts w:ascii="Arial" w:hAnsi="Arial" w:cs="Arial"/>
                <w:sz w:val="16"/>
                <w:szCs w:val="16"/>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68E0C1A" w14:textId="2FCAECF3" w:rsidR="002D6DF5" w:rsidRPr="001F151E" w:rsidRDefault="001808D7" w:rsidP="00CD7428">
            <w:pPr>
              <w:pStyle w:val="EcorysBody"/>
              <w:numPr>
                <w:ilvl w:val="0"/>
                <w:numId w:val="59"/>
              </w:numPr>
              <w:rPr>
                <w:rFonts w:ascii="Arial" w:hAnsi="Arial" w:cs="Arial"/>
                <w:sz w:val="16"/>
                <w:szCs w:val="16"/>
              </w:rPr>
            </w:pPr>
            <w:r>
              <w:rPr>
                <w:rFonts w:ascii="Arial" w:hAnsi="Arial" w:cs="Arial"/>
                <w:sz w:val="16"/>
                <w:szCs w:val="16"/>
              </w:rPr>
              <w:t>P</w:t>
            </w:r>
            <w:r w:rsidR="00D7294C">
              <w:rPr>
                <w:rFonts w:ascii="Arial" w:hAnsi="Arial" w:cs="Arial"/>
                <w:sz w:val="16"/>
                <w:szCs w:val="16"/>
              </w:rPr>
              <w:t>ë</w:t>
            </w:r>
            <w:r>
              <w:rPr>
                <w:rFonts w:ascii="Arial" w:hAnsi="Arial" w:cs="Arial"/>
                <w:sz w:val="16"/>
                <w:szCs w:val="16"/>
              </w:rPr>
              <w:t>rmir</w:t>
            </w:r>
            <w:r w:rsidR="00D7294C">
              <w:rPr>
                <w:rFonts w:ascii="Arial" w:hAnsi="Arial" w:cs="Arial"/>
                <w:sz w:val="16"/>
                <w:szCs w:val="16"/>
              </w:rPr>
              <w:t>ë</w:t>
            </w:r>
            <w:r>
              <w:rPr>
                <w:rFonts w:ascii="Arial" w:hAnsi="Arial" w:cs="Arial"/>
                <w:sz w:val="16"/>
                <w:szCs w:val="16"/>
              </w:rPr>
              <w:t>simi i procedurave p</w:t>
            </w:r>
            <w:r w:rsidR="00D7294C">
              <w:rPr>
                <w:rFonts w:ascii="Arial" w:hAnsi="Arial" w:cs="Arial"/>
                <w:sz w:val="16"/>
                <w:szCs w:val="16"/>
              </w:rPr>
              <w:t>ë</w:t>
            </w:r>
            <w:r>
              <w:rPr>
                <w:rFonts w:ascii="Arial" w:hAnsi="Arial" w:cs="Arial"/>
                <w:sz w:val="16"/>
                <w:szCs w:val="16"/>
              </w:rPr>
              <w:t>r seancat e d</w:t>
            </w:r>
            <w:r w:rsidR="00D7294C">
              <w:rPr>
                <w:rFonts w:ascii="Arial" w:hAnsi="Arial" w:cs="Arial"/>
                <w:sz w:val="16"/>
                <w:szCs w:val="16"/>
              </w:rPr>
              <w:t>ë</w:t>
            </w:r>
            <w:r>
              <w:rPr>
                <w:rFonts w:ascii="Arial" w:hAnsi="Arial" w:cs="Arial"/>
                <w:sz w:val="16"/>
                <w:szCs w:val="16"/>
              </w:rPr>
              <w:t>gjimore t</w:t>
            </w:r>
            <w:r w:rsidR="00D7294C">
              <w:rPr>
                <w:rFonts w:ascii="Arial" w:hAnsi="Arial" w:cs="Arial"/>
                <w:sz w:val="16"/>
                <w:szCs w:val="16"/>
              </w:rPr>
              <w:t>ë</w:t>
            </w:r>
            <w:r>
              <w:rPr>
                <w:rFonts w:ascii="Arial" w:hAnsi="Arial" w:cs="Arial"/>
                <w:sz w:val="16"/>
                <w:szCs w:val="16"/>
              </w:rPr>
              <w:t xml:space="preserve"> buxhetit nd</w:t>
            </w:r>
            <w:r w:rsidR="00D7294C">
              <w:rPr>
                <w:rFonts w:ascii="Arial" w:hAnsi="Arial" w:cs="Arial"/>
                <w:sz w:val="16"/>
                <w:szCs w:val="16"/>
              </w:rPr>
              <w:t>ë</w:t>
            </w:r>
            <w:r>
              <w:rPr>
                <w:rFonts w:ascii="Arial" w:hAnsi="Arial" w:cs="Arial"/>
                <w:sz w:val="16"/>
                <w:szCs w:val="16"/>
              </w:rPr>
              <w:t>rmjet MF-s</w:t>
            </w:r>
            <w:r w:rsidR="00D7294C">
              <w:rPr>
                <w:rFonts w:ascii="Arial" w:hAnsi="Arial" w:cs="Arial"/>
                <w:sz w:val="16"/>
                <w:szCs w:val="16"/>
              </w:rPr>
              <w:t>ë</w:t>
            </w:r>
            <w:r>
              <w:rPr>
                <w:rFonts w:ascii="Arial" w:hAnsi="Arial" w:cs="Arial"/>
                <w:sz w:val="16"/>
                <w:szCs w:val="16"/>
              </w:rPr>
              <w:t xml:space="preserve"> dhe institucioneve buxhetore; p</w:t>
            </w:r>
            <w:r w:rsidR="00D7294C">
              <w:rPr>
                <w:rFonts w:ascii="Arial" w:hAnsi="Arial" w:cs="Arial"/>
                <w:sz w:val="16"/>
                <w:szCs w:val="16"/>
              </w:rPr>
              <w:t>ë</w:t>
            </w:r>
            <w:r>
              <w:rPr>
                <w:rFonts w:ascii="Arial" w:hAnsi="Arial" w:cs="Arial"/>
                <w:sz w:val="16"/>
                <w:szCs w:val="16"/>
              </w:rPr>
              <w:t>rdit</w:t>
            </w:r>
            <w:r w:rsidR="00D7294C">
              <w:rPr>
                <w:rFonts w:ascii="Arial" w:hAnsi="Arial" w:cs="Arial"/>
                <w:sz w:val="16"/>
                <w:szCs w:val="16"/>
              </w:rPr>
              <w:t>ë</w:t>
            </w:r>
            <w:r>
              <w:rPr>
                <w:rFonts w:ascii="Arial" w:hAnsi="Arial" w:cs="Arial"/>
                <w:sz w:val="16"/>
                <w:szCs w:val="16"/>
              </w:rPr>
              <w:t>simi i kuadrit rregullator</w:t>
            </w:r>
            <w:r w:rsidR="002D6DF5" w:rsidRPr="001F151E">
              <w:rPr>
                <w:rFonts w:ascii="Arial" w:hAnsi="Arial" w:cs="Arial"/>
                <w:sz w:val="16"/>
                <w:szCs w:val="16"/>
              </w:rPr>
              <w:t xml:space="preserve"> </w:t>
            </w:r>
          </w:p>
        </w:tc>
        <w:tc>
          <w:tcPr>
            <w:tcW w:w="768" w:type="dxa"/>
            <w:tcBorders>
              <w:top w:val="single" w:sz="4" w:space="0" w:color="auto"/>
              <w:left w:val="single" w:sz="4" w:space="0" w:color="auto"/>
              <w:bottom w:val="single" w:sz="4" w:space="0" w:color="auto"/>
              <w:right w:val="single" w:sz="4" w:space="0" w:color="auto"/>
            </w:tcBorders>
            <w:vAlign w:val="center"/>
          </w:tcPr>
          <w:p w14:paraId="4273312A" w14:textId="3BBD5C60" w:rsidR="002D6DF5" w:rsidRPr="001F151E" w:rsidRDefault="00DC1A22" w:rsidP="002B7FF8">
            <w:pPr>
              <w:jc w:val="center"/>
              <w:rPr>
                <w:sz w:val="16"/>
                <w:szCs w:val="16"/>
              </w:rPr>
            </w:pPr>
            <w:r>
              <w:rPr>
                <w:sz w:val="16"/>
                <w:szCs w:val="16"/>
              </w:rPr>
              <w:t>T</w:t>
            </w:r>
            <w:r w:rsidR="002D6DF5" w:rsidRPr="001F151E">
              <w:rPr>
                <w:sz w:val="16"/>
                <w:szCs w:val="16"/>
              </w:rPr>
              <w:t>4 2024</w:t>
            </w:r>
          </w:p>
        </w:tc>
        <w:tc>
          <w:tcPr>
            <w:tcW w:w="852" w:type="dxa"/>
            <w:tcBorders>
              <w:top w:val="single" w:sz="4" w:space="0" w:color="auto"/>
              <w:left w:val="single" w:sz="4" w:space="0" w:color="auto"/>
              <w:bottom w:val="single" w:sz="4" w:space="0" w:color="auto"/>
              <w:right w:val="single" w:sz="4" w:space="0" w:color="auto"/>
            </w:tcBorders>
            <w:vAlign w:val="center"/>
          </w:tcPr>
          <w:p w14:paraId="5831EB81" w14:textId="5906D536" w:rsidR="002D6DF5" w:rsidRPr="001F151E" w:rsidRDefault="00DC1A22" w:rsidP="002B7FF8">
            <w:pPr>
              <w:jc w:val="center"/>
              <w:rPr>
                <w:sz w:val="16"/>
                <w:szCs w:val="16"/>
              </w:rPr>
            </w:pPr>
            <w:r>
              <w:rPr>
                <w:sz w:val="16"/>
                <w:szCs w:val="16"/>
              </w:rPr>
              <w:t>T</w:t>
            </w:r>
            <w:r w:rsidR="002D6DF5" w:rsidRPr="001F151E">
              <w:rPr>
                <w:sz w:val="16"/>
                <w:szCs w:val="16"/>
              </w:rPr>
              <w:t>2 2025</w:t>
            </w:r>
          </w:p>
        </w:tc>
        <w:tc>
          <w:tcPr>
            <w:tcW w:w="1281" w:type="dxa"/>
            <w:vMerge/>
            <w:tcBorders>
              <w:left w:val="single" w:sz="4" w:space="0" w:color="auto"/>
              <w:right w:val="single" w:sz="4" w:space="0" w:color="auto"/>
            </w:tcBorders>
          </w:tcPr>
          <w:p w14:paraId="0E248623" w14:textId="77777777" w:rsidR="002D6DF5" w:rsidRPr="001F151E" w:rsidRDefault="002D6DF5" w:rsidP="002B7FF8">
            <w:pPr>
              <w:rPr>
                <w:sz w:val="16"/>
                <w:szCs w:val="16"/>
              </w:rPr>
            </w:pPr>
          </w:p>
        </w:tc>
      </w:tr>
      <w:tr w:rsidR="009E0E66" w:rsidRPr="001F151E" w14:paraId="5B7B1FF0" w14:textId="77777777" w:rsidTr="009C46C7">
        <w:trPr>
          <w:trHeight w:val="139"/>
        </w:trPr>
        <w:tc>
          <w:tcPr>
            <w:tcW w:w="2335" w:type="dxa"/>
            <w:vMerge/>
            <w:tcBorders>
              <w:left w:val="single" w:sz="4" w:space="0" w:color="auto"/>
              <w:right w:val="single" w:sz="4" w:space="0" w:color="auto"/>
            </w:tcBorders>
            <w:vAlign w:val="center"/>
            <w:hideMark/>
          </w:tcPr>
          <w:p w14:paraId="28A9EC3F" w14:textId="77777777" w:rsidR="002D6DF5" w:rsidRPr="001F151E" w:rsidRDefault="002D6DF5" w:rsidP="002B7FF8">
            <w:pPr>
              <w:spacing w:line="240" w:lineRule="auto"/>
              <w:rPr>
                <w:sz w:val="16"/>
                <w:szCs w:val="16"/>
              </w:rPr>
            </w:pPr>
          </w:p>
        </w:tc>
        <w:tc>
          <w:tcPr>
            <w:tcW w:w="3780" w:type="dxa"/>
            <w:tcBorders>
              <w:top w:val="single" w:sz="4" w:space="0" w:color="auto"/>
              <w:left w:val="single" w:sz="4" w:space="0" w:color="auto"/>
              <w:right w:val="single" w:sz="4" w:space="0" w:color="auto"/>
            </w:tcBorders>
            <w:vAlign w:val="center"/>
            <w:hideMark/>
          </w:tcPr>
          <w:p w14:paraId="19D8FBA4" w14:textId="04B5E94E" w:rsidR="002D6DF5" w:rsidRPr="001F151E" w:rsidRDefault="001808D7" w:rsidP="00CD7428">
            <w:pPr>
              <w:pStyle w:val="EcorysBody"/>
              <w:numPr>
                <w:ilvl w:val="0"/>
                <w:numId w:val="59"/>
              </w:numPr>
              <w:rPr>
                <w:rFonts w:ascii="Arial" w:hAnsi="Arial" w:cs="Arial"/>
                <w:sz w:val="16"/>
                <w:szCs w:val="16"/>
              </w:rPr>
            </w:pPr>
            <w:r>
              <w:rPr>
                <w:rFonts w:ascii="Arial" w:hAnsi="Arial" w:cs="Arial"/>
                <w:sz w:val="16"/>
                <w:szCs w:val="16"/>
              </w:rPr>
              <w:t>P</w:t>
            </w:r>
            <w:r w:rsidR="00D7294C">
              <w:rPr>
                <w:rFonts w:ascii="Arial" w:hAnsi="Arial" w:cs="Arial"/>
                <w:sz w:val="16"/>
                <w:szCs w:val="16"/>
              </w:rPr>
              <w:t>ë</w:t>
            </w:r>
            <w:r>
              <w:rPr>
                <w:rFonts w:ascii="Arial" w:hAnsi="Arial" w:cs="Arial"/>
                <w:sz w:val="16"/>
                <w:szCs w:val="16"/>
              </w:rPr>
              <w:t>rmir</w:t>
            </w:r>
            <w:r w:rsidR="00D7294C">
              <w:rPr>
                <w:rFonts w:ascii="Arial" w:hAnsi="Arial" w:cs="Arial"/>
                <w:sz w:val="16"/>
                <w:szCs w:val="16"/>
              </w:rPr>
              <w:t>ë</w:t>
            </w:r>
            <w:r>
              <w:rPr>
                <w:rFonts w:ascii="Arial" w:hAnsi="Arial" w:cs="Arial"/>
                <w:sz w:val="16"/>
                <w:szCs w:val="16"/>
              </w:rPr>
              <w:t>simi i procedur</w:t>
            </w:r>
            <w:r w:rsidR="00D7294C">
              <w:rPr>
                <w:rFonts w:ascii="Arial" w:hAnsi="Arial" w:cs="Arial"/>
                <w:sz w:val="16"/>
                <w:szCs w:val="16"/>
              </w:rPr>
              <w:t>ë</w:t>
            </w:r>
            <w:r>
              <w:rPr>
                <w:rFonts w:ascii="Arial" w:hAnsi="Arial" w:cs="Arial"/>
                <w:sz w:val="16"/>
                <w:szCs w:val="16"/>
              </w:rPr>
              <w:t>s p</w:t>
            </w:r>
            <w:r w:rsidR="00D7294C">
              <w:rPr>
                <w:rFonts w:ascii="Arial" w:hAnsi="Arial" w:cs="Arial"/>
                <w:sz w:val="16"/>
                <w:szCs w:val="16"/>
              </w:rPr>
              <w:t>ë</w:t>
            </w:r>
            <w:r>
              <w:rPr>
                <w:rFonts w:ascii="Arial" w:hAnsi="Arial" w:cs="Arial"/>
                <w:sz w:val="16"/>
                <w:szCs w:val="16"/>
              </w:rPr>
              <w:t>r pjes</w:t>
            </w:r>
            <w:r w:rsidR="00D7294C">
              <w:rPr>
                <w:rFonts w:ascii="Arial" w:hAnsi="Arial" w:cs="Arial"/>
                <w:sz w:val="16"/>
                <w:szCs w:val="16"/>
              </w:rPr>
              <w:t>ë</w:t>
            </w:r>
            <w:r>
              <w:rPr>
                <w:rFonts w:ascii="Arial" w:hAnsi="Arial" w:cs="Arial"/>
                <w:sz w:val="16"/>
                <w:szCs w:val="16"/>
              </w:rPr>
              <w:t>marrjen e publikut n</w:t>
            </w:r>
            <w:r w:rsidR="00D7294C">
              <w:rPr>
                <w:rFonts w:ascii="Arial" w:hAnsi="Arial" w:cs="Arial"/>
                <w:sz w:val="16"/>
                <w:szCs w:val="16"/>
              </w:rPr>
              <w:t>ë</w:t>
            </w:r>
            <w:r>
              <w:rPr>
                <w:rFonts w:ascii="Arial" w:hAnsi="Arial" w:cs="Arial"/>
                <w:sz w:val="16"/>
                <w:szCs w:val="16"/>
              </w:rPr>
              <w:t xml:space="preserve"> procesin e formulimit t</w:t>
            </w:r>
            <w:r w:rsidR="00D7294C">
              <w:rPr>
                <w:rFonts w:ascii="Arial" w:hAnsi="Arial" w:cs="Arial"/>
                <w:sz w:val="16"/>
                <w:szCs w:val="16"/>
              </w:rPr>
              <w:t>ë</w:t>
            </w:r>
            <w:r>
              <w:rPr>
                <w:rFonts w:ascii="Arial" w:hAnsi="Arial" w:cs="Arial"/>
                <w:sz w:val="16"/>
                <w:szCs w:val="16"/>
              </w:rPr>
              <w:t xml:space="preserve"> PBA-s</w:t>
            </w:r>
            <w:r w:rsidR="00D7294C">
              <w:rPr>
                <w:rFonts w:ascii="Arial" w:hAnsi="Arial" w:cs="Arial"/>
                <w:sz w:val="16"/>
                <w:szCs w:val="16"/>
              </w:rPr>
              <w:t>ë</w:t>
            </w:r>
            <w:r>
              <w:rPr>
                <w:rFonts w:ascii="Arial" w:hAnsi="Arial" w:cs="Arial"/>
                <w:sz w:val="16"/>
                <w:szCs w:val="16"/>
              </w:rPr>
              <w:t>; P</w:t>
            </w:r>
            <w:r w:rsidR="00D7294C">
              <w:rPr>
                <w:rFonts w:ascii="Arial" w:hAnsi="Arial" w:cs="Arial"/>
                <w:sz w:val="16"/>
                <w:szCs w:val="16"/>
              </w:rPr>
              <w:t>ë</w:t>
            </w:r>
            <w:r>
              <w:rPr>
                <w:rFonts w:ascii="Arial" w:hAnsi="Arial" w:cs="Arial"/>
                <w:sz w:val="16"/>
                <w:szCs w:val="16"/>
              </w:rPr>
              <w:t>rdit</w:t>
            </w:r>
            <w:r w:rsidR="00D7294C">
              <w:rPr>
                <w:rFonts w:ascii="Arial" w:hAnsi="Arial" w:cs="Arial"/>
                <w:sz w:val="16"/>
                <w:szCs w:val="16"/>
              </w:rPr>
              <w:t>ë</w:t>
            </w:r>
            <w:r>
              <w:rPr>
                <w:rFonts w:ascii="Arial" w:hAnsi="Arial" w:cs="Arial"/>
                <w:sz w:val="16"/>
                <w:szCs w:val="16"/>
              </w:rPr>
              <w:t>simi i kuadrit rregullator</w:t>
            </w:r>
            <w:r w:rsidR="002D6DF5" w:rsidRPr="001F151E">
              <w:rPr>
                <w:rFonts w:ascii="Arial" w:hAnsi="Arial" w:cs="Arial"/>
                <w:sz w:val="16"/>
                <w:szCs w:val="16"/>
              </w:rPr>
              <w:t xml:space="preserve"> </w:t>
            </w:r>
          </w:p>
        </w:tc>
        <w:tc>
          <w:tcPr>
            <w:tcW w:w="768" w:type="dxa"/>
            <w:tcBorders>
              <w:top w:val="single" w:sz="4" w:space="0" w:color="auto"/>
              <w:left w:val="single" w:sz="4" w:space="0" w:color="auto"/>
              <w:right w:val="single" w:sz="4" w:space="0" w:color="auto"/>
            </w:tcBorders>
            <w:vAlign w:val="center"/>
          </w:tcPr>
          <w:p w14:paraId="343A7262" w14:textId="51BBE5EC" w:rsidR="002D6DF5" w:rsidRPr="001F151E" w:rsidRDefault="001808D7" w:rsidP="002B7FF8">
            <w:pPr>
              <w:jc w:val="center"/>
              <w:rPr>
                <w:sz w:val="16"/>
                <w:szCs w:val="16"/>
              </w:rPr>
            </w:pPr>
            <w:r>
              <w:rPr>
                <w:sz w:val="16"/>
                <w:szCs w:val="16"/>
              </w:rPr>
              <w:t>T</w:t>
            </w:r>
            <w:r w:rsidR="002D6DF5" w:rsidRPr="001F151E">
              <w:rPr>
                <w:sz w:val="16"/>
                <w:szCs w:val="16"/>
              </w:rPr>
              <w:t>2 2024</w:t>
            </w:r>
          </w:p>
        </w:tc>
        <w:tc>
          <w:tcPr>
            <w:tcW w:w="852" w:type="dxa"/>
            <w:tcBorders>
              <w:top w:val="single" w:sz="4" w:space="0" w:color="auto"/>
              <w:left w:val="single" w:sz="4" w:space="0" w:color="auto"/>
              <w:right w:val="single" w:sz="4" w:space="0" w:color="auto"/>
            </w:tcBorders>
            <w:vAlign w:val="center"/>
          </w:tcPr>
          <w:p w14:paraId="4142EF18" w14:textId="6479B4C9" w:rsidR="002D6DF5" w:rsidRPr="001F151E" w:rsidRDefault="001808D7" w:rsidP="00AD5107">
            <w:pPr>
              <w:jc w:val="center"/>
              <w:rPr>
                <w:sz w:val="16"/>
                <w:szCs w:val="16"/>
              </w:rPr>
            </w:pPr>
            <w:r>
              <w:rPr>
                <w:sz w:val="16"/>
                <w:szCs w:val="16"/>
              </w:rPr>
              <w:t>T</w:t>
            </w:r>
            <w:r w:rsidR="002D6DF5" w:rsidRPr="001F151E">
              <w:rPr>
                <w:sz w:val="16"/>
                <w:szCs w:val="16"/>
              </w:rPr>
              <w:t>4 2024</w:t>
            </w:r>
          </w:p>
        </w:tc>
        <w:tc>
          <w:tcPr>
            <w:tcW w:w="1281" w:type="dxa"/>
            <w:vMerge/>
            <w:tcBorders>
              <w:left w:val="single" w:sz="4" w:space="0" w:color="auto"/>
              <w:right w:val="single" w:sz="4" w:space="0" w:color="auto"/>
            </w:tcBorders>
            <w:vAlign w:val="center"/>
            <w:hideMark/>
          </w:tcPr>
          <w:p w14:paraId="3FDB4F39" w14:textId="77777777" w:rsidR="002D6DF5" w:rsidRPr="001F151E" w:rsidRDefault="002D6DF5" w:rsidP="002B7FF8">
            <w:pPr>
              <w:spacing w:line="240" w:lineRule="auto"/>
              <w:rPr>
                <w:sz w:val="16"/>
                <w:szCs w:val="16"/>
              </w:rPr>
            </w:pPr>
          </w:p>
        </w:tc>
      </w:tr>
      <w:tr w:rsidR="009E0E66" w:rsidRPr="001F151E" w14:paraId="160D72F6" w14:textId="77777777" w:rsidTr="009C46C7">
        <w:trPr>
          <w:trHeight w:val="139"/>
        </w:trPr>
        <w:tc>
          <w:tcPr>
            <w:tcW w:w="2335" w:type="dxa"/>
            <w:vMerge/>
            <w:tcBorders>
              <w:left w:val="single" w:sz="4" w:space="0" w:color="auto"/>
              <w:right w:val="single" w:sz="4" w:space="0" w:color="auto"/>
            </w:tcBorders>
            <w:vAlign w:val="center"/>
          </w:tcPr>
          <w:p w14:paraId="0B989F43" w14:textId="77777777" w:rsidR="002D6DF5" w:rsidRPr="001F151E" w:rsidRDefault="002D6DF5" w:rsidP="002B7FF8">
            <w:pPr>
              <w:spacing w:line="240" w:lineRule="auto"/>
              <w:rPr>
                <w:sz w:val="16"/>
                <w:szCs w:val="16"/>
              </w:rPr>
            </w:pPr>
          </w:p>
        </w:tc>
        <w:tc>
          <w:tcPr>
            <w:tcW w:w="3780" w:type="dxa"/>
            <w:tcBorders>
              <w:top w:val="single" w:sz="4" w:space="0" w:color="auto"/>
              <w:left w:val="single" w:sz="4" w:space="0" w:color="auto"/>
              <w:right w:val="single" w:sz="4" w:space="0" w:color="auto"/>
            </w:tcBorders>
            <w:vAlign w:val="center"/>
          </w:tcPr>
          <w:p w14:paraId="79228F16" w14:textId="0AE1D4E1" w:rsidR="002D6DF5" w:rsidRPr="001F151E" w:rsidRDefault="001808D7" w:rsidP="00CD7428">
            <w:pPr>
              <w:pStyle w:val="EcorysBody"/>
              <w:numPr>
                <w:ilvl w:val="0"/>
                <w:numId w:val="59"/>
              </w:numPr>
              <w:rPr>
                <w:rFonts w:ascii="Arial" w:hAnsi="Arial" w:cs="Arial"/>
                <w:sz w:val="16"/>
                <w:szCs w:val="16"/>
              </w:rPr>
            </w:pPr>
            <w:r>
              <w:rPr>
                <w:rFonts w:ascii="Arial" w:hAnsi="Arial" w:cs="Arial"/>
                <w:sz w:val="16"/>
                <w:szCs w:val="16"/>
              </w:rPr>
              <w:t>Prezantimi dhe rregullimi si pjes</w:t>
            </w:r>
            <w:r w:rsidR="00D7294C">
              <w:rPr>
                <w:rFonts w:ascii="Arial" w:hAnsi="Arial" w:cs="Arial"/>
                <w:sz w:val="16"/>
                <w:szCs w:val="16"/>
              </w:rPr>
              <w:t>ë</w:t>
            </w:r>
            <w:r>
              <w:rPr>
                <w:rFonts w:ascii="Arial" w:hAnsi="Arial" w:cs="Arial"/>
                <w:sz w:val="16"/>
                <w:szCs w:val="16"/>
              </w:rPr>
              <w:t xml:space="preserve"> e procedurave t</w:t>
            </w:r>
            <w:r w:rsidR="00D7294C">
              <w:rPr>
                <w:rFonts w:ascii="Arial" w:hAnsi="Arial" w:cs="Arial"/>
                <w:sz w:val="16"/>
                <w:szCs w:val="16"/>
              </w:rPr>
              <w:t>ë</w:t>
            </w:r>
            <w:r>
              <w:rPr>
                <w:rFonts w:ascii="Arial" w:hAnsi="Arial" w:cs="Arial"/>
                <w:sz w:val="16"/>
                <w:szCs w:val="16"/>
              </w:rPr>
              <w:t xml:space="preserve"> PBA-s</w:t>
            </w:r>
            <w:r w:rsidR="00D7294C">
              <w:rPr>
                <w:rFonts w:ascii="Arial" w:hAnsi="Arial" w:cs="Arial"/>
                <w:sz w:val="16"/>
                <w:szCs w:val="16"/>
              </w:rPr>
              <w:t>ë</w:t>
            </w:r>
            <w:r>
              <w:rPr>
                <w:rFonts w:ascii="Arial" w:hAnsi="Arial" w:cs="Arial"/>
                <w:sz w:val="16"/>
                <w:szCs w:val="16"/>
              </w:rPr>
              <w:t xml:space="preserve"> dhe dokumentacionit buxhetor i nj</w:t>
            </w:r>
            <w:r w:rsidR="00D7294C">
              <w:rPr>
                <w:rFonts w:ascii="Arial" w:hAnsi="Arial" w:cs="Arial"/>
                <w:sz w:val="16"/>
                <w:szCs w:val="16"/>
              </w:rPr>
              <w:t>ë</w:t>
            </w:r>
            <w:r>
              <w:rPr>
                <w:rFonts w:ascii="Arial" w:hAnsi="Arial" w:cs="Arial"/>
                <w:sz w:val="16"/>
                <w:szCs w:val="16"/>
              </w:rPr>
              <w:t xml:space="preserve"> pasqyre t</w:t>
            </w:r>
            <w:r w:rsidR="00D7294C">
              <w:rPr>
                <w:rFonts w:ascii="Arial" w:hAnsi="Arial" w:cs="Arial"/>
                <w:sz w:val="16"/>
                <w:szCs w:val="16"/>
              </w:rPr>
              <w:t>ë</w:t>
            </w:r>
            <w:r>
              <w:rPr>
                <w:rFonts w:ascii="Arial" w:hAnsi="Arial" w:cs="Arial"/>
                <w:sz w:val="16"/>
                <w:szCs w:val="16"/>
              </w:rPr>
              <w:t xml:space="preserve"> devijimeve nd</w:t>
            </w:r>
            <w:r w:rsidR="00D7294C">
              <w:rPr>
                <w:rFonts w:ascii="Arial" w:hAnsi="Arial" w:cs="Arial"/>
                <w:sz w:val="16"/>
                <w:szCs w:val="16"/>
              </w:rPr>
              <w:t>ë</w:t>
            </w:r>
            <w:r>
              <w:rPr>
                <w:rFonts w:ascii="Arial" w:hAnsi="Arial" w:cs="Arial"/>
                <w:sz w:val="16"/>
                <w:szCs w:val="16"/>
              </w:rPr>
              <w:t>rmjet tavaneve t</w:t>
            </w:r>
            <w:r w:rsidR="00D7294C">
              <w:rPr>
                <w:rFonts w:ascii="Arial" w:hAnsi="Arial" w:cs="Arial"/>
                <w:sz w:val="16"/>
                <w:szCs w:val="16"/>
              </w:rPr>
              <w:t>ë</w:t>
            </w:r>
            <w:r>
              <w:rPr>
                <w:rFonts w:ascii="Arial" w:hAnsi="Arial" w:cs="Arial"/>
                <w:sz w:val="16"/>
                <w:szCs w:val="16"/>
              </w:rPr>
              <w:t xml:space="preserve"> PBA-s</w:t>
            </w:r>
            <w:r w:rsidR="00D7294C">
              <w:rPr>
                <w:rFonts w:ascii="Arial" w:hAnsi="Arial" w:cs="Arial"/>
                <w:sz w:val="16"/>
                <w:szCs w:val="16"/>
              </w:rPr>
              <w:t>ë</w:t>
            </w:r>
            <w:r>
              <w:rPr>
                <w:rFonts w:ascii="Arial" w:hAnsi="Arial" w:cs="Arial"/>
                <w:sz w:val="16"/>
                <w:szCs w:val="16"/>
              </w:rPr>
              <w:t xml:space="preserve"> dhe tavaneve buxhetore t</w:t>
            </w:r>
            <w:r w:rsidR="00D7294C">
              <w:rPr>
                <w:rFonts w:ascii="Arial" w:hAnsi="Arial" w:cs="Arial"/>
                <w:sz w:val="16"/>
                <w:szCs w:val="16"/>
              </w:rPr>
              <w:t>ë</w:t>
            </w:r>
            <w:r>
              <w:rPr>
                <w:rFonts w:ascii="Arial" w:hAnsi="Arial" w:cs="Arial"/>
                <w:sz w:val="16"/>
                <w:szCs w:val="16"/>
              </w:rPr>
              <w:t xml:space="preserve"> miratuara nga parlamenti</w:t>
            </w:r>
          </w:p>
        </w:tc>
        <w:tc>
          <w:tcPr>
            <w:tcW w:w="768" w:type="dxa"/>
            <w:tcBorders>
              <w:top w:val="single" w:sz="4" w:space="0" w:color="auto"/>
              <w:left w:val="single" w:sz="4" w:space="0" w:color="auto"/>
              <w:right w:val="single" w:sz="4" w:space="0" w:color="auto"/>
            </w:tcBorders>
            <w:vAlign w:val="center"/>
          </w:tcPr>
          <w:p w14:paraId="3DD83AF6" w14:textId="7C55A0F9" w:rsidR="002D6DF5" w:rsidRPr="001F151E" w:rsidRDefault="001808D7" w:rsidP="002B7FF8">
            <w:pPr>
              <w:jc w:val="center"/>
              <w:rPr>
                <w:sz w:val="16"/>
                <w:szCs w:val="16"/>
              </w:rPr>
            </w:pPr>
            <w:r w:rsidRPr="00AF1126">
              <w:rPr>
                <w:sz w:val="16"/>
                <w:szCs w:val="16"/>
              </w:rPr>
              <w:t>T</w:t>
            </w:r>
            <w:r w:rsidR="00AF1126" w:rsidRPr="00AF1126">
              <w:rPr>
                <w:sz w:val="16"/>
                <w:szCs w:val="16"/>
              </w:rPr>
              <w:t>3</w:t>
            </w:r>
            <w:r w:rsidR="008712A0" w:rsidRPr="00AF1126">
              <w:rPr>
                <w:sz w:val="16"/>
                <w:szCs w:val="16"/>
              </w:rPr>
              <w:t xml:space="preserve"> 2024</w:t>
            </w:r>
          </w:p>
        </w:tc>
        <w:tc>
          <w:tcPr>
            <w:tcW w:w="852" w:type="dxa"/>
            <w:tcBorders>
              <w:top w:val="single" w:sz="4" w:space="0" w:color="auto"/>
              <w:left w:val="single" w:sz="4" w:space="0" w:color="auto"/>
              <w:right w:val="single" w:sz="4" w:space="0" w:color="auto"/>
            </w:tcBorders>
            <w:vAlign w:val="center"/>
          </w:tcPr>
          <w:p w14:paraId="2B5ACA42" w14:textId="07158D36" w:rsidR="002D6DF5" w:rsidRPr="001F151E" w:rsidRDefault="001808D7" w:rsidP="00AD5107">
            <w:pPr>
              <w:jc w:val="center"/>
              <w:rPr>
                <w:sz w:val="16"/>
                <w:szCs w:val="16"/>
              </w:rPr>
            </w:pPr>
            <w:r>
              <w:rPr>
                <w:sz w:val="16"/>
                <w:szCs w:val="16"/>
              </w:rPr>
              <w:t>T</w:t>
            </w:r>
            <w:r w:rsidR="002D6DF5" w:rsidRPr="001F151E">
              <w:rPr>
                <w:sz w:val="16"/>
                <w:szCs w:val="16"/>
              </w:rPr>
              <w:t>4 2025</w:t>
            </w:r>
          </w:p>
        </w:tc>
        <w:tc>
          <w:tcPr>
            <w:tcW w:w="1281" w:type="dxa"/>
            <w:vMerge/>
            <w:tcBorders>
              <w:left w:val="single" w:sz="4" w:space="0" w:color="auto"/>
              <w:right w:val="single" w:sz="4" w:space="0" w:color="auto"/>
            </w:tcBorders>
            <w:vAlign w:val="center"/>
          </w:tcPr>
          <w:p w14:paraId="550E061D" w14:textId="77777777" w:rsidR="002D6DF5" w:rsidRPr="001F151E" w:rsidRDefault="002D6DF5" w:rsidP="002B7FF8">
            <w:pPr>
              <w:spacing w:line="240" w:lineRule="auto"/>
              <w:rPr>
                <w:sz w:val="16"/>
                <w:szCs w:val="16"/>
              </w:rPr>
            </w:pPr>
          </w:p>
        </w:tc>
      </w:tr>
      <w:tr w:rsidR="009E0E66" w:rsidRPr="001F151E" w14:paraId="6F10C7F2" w14:textId="77777777" w:rsidTr="009C46C7">
        <w:trPr>
          <w:trHeight w:val="1325"/>
        </w:trPr>
        <w:tc>
          <w:tcPr>
            <w:tcW w:w="2335" w:type="dxa"/>
            <w:tcBorders>
              <w:top w:val="single" w:sz="4" w:space="0" w:color="auto"/>
              <w:left w:val="single" w:sz="4" w:space="0" w:color="auto"/>
              <w:right w:val="single" w:sz="4" w:space="0" w:color="auto"/>
            </w:tcBorders>
            <w:hideMark/>
          </w:tcPr>
          <w:p w14:paraId="298A5FC1" w14:textId="4178F578" w:rsidR="00015E3F" w:rsidRDefault="00015E3F" w:rsidP="00A846BA">
            <w:pPr>
              <w:rPr>
                <w:b/>
                <w:bCs/>
                <w:sz w:val="16"/>
                <w:szCs w:val="16"/>
              </w:rPr>
            </w:pPr>
            <w:r w:rsidRPr="001F151E">
              <w:rPr>
                <w:b/>
                <w:bCs/>
                <w:sz w:val="16"/>
                <w:szCs w:val="16"/>
              </w:rPr>
              <w:t>M</w:t>
            </w:r>
            <w:r w:rsidR="001808D7">
              <w:rPr>
                <w:b/>
                <w:bCs/>
                <w:sz w:val="16"/>
                <w:szCs w:val="16"/>
              </w:rPr>
              <w:t>asa</w:t>
            </w:r>
            <w:r w:rsidRPr="001F151E">
              <w:rPr>
                <w:b/>
                <w:bCs/>
                <w:sz w:val="16"/>
                <w:szCs w:val="16"/>
              </w:rPr>
              <w:t xml:space="preserve"> 2.2.2 </w:t>
            </w:r>
          </w:p>
          <w:p w14:paraId="1D85190D" w14:textId="1D61FF33" w:rsidR="00015E3F" w:rsidRPr="001F151E" w:rsidRDefault="001808D7" w:rsidP="00A846BA">
            <w:pPr>
              <w:rPr>
                <w:sz w:val="16"/>
                <w:szCs w:val="16"/>
              </w:rPr>
            </w:pPr>
            <w:r>
              <w:rPr>
                <w:b/>
                <w:bCs/>
                <w:sz w:val="16"/>
                <w:szCs w:val="16"/>
              </w:rPr>
              <w:t>P</w:t>
            </w:r>
            <w:r w:rsidR="00D7294C">
              <w:rPr>
                <w:b/>
                <w:bCs/>
                <w:sz w:val="16"/>
                <w:szCs w:val="16"/>
              </w:rPr>
              <w:t>ë</w:t>
            </w:r>
            <w:r>
              <w:rPr>
                <w:b/>
                <w:bCs/>
                <w:sz w:val="16"/>
                <w:szCs w:val="16"/>
              </w:rPr>
              <w:t>rmir</w:t>
            </w:r>
            <w:r w:rsidR="00D7294C">
              <w:rPr>
                <w:b/>
                <w:bCs/>
                <w:sz w:val="16"/>
                <w:szCs w:val="16"/>
              </w:rPr>
              <w:t>ë</w:t>
            </w:r>
            <w:r>
              <w:rPr>
                <w:b/>
                <w:bCs/>
                <w:sz w:val="16"/>
                <w:szCs w:val="16"/>
              </w:rPr>
              <w:t>simi i dokumentacionit buxhetor dhe n</w:t>
            </w:r>
            <w:r w:rsidR="00D7294C">
              <w:rPr>
                <w:b/>
                <w:bCs/>
                <w:sz w:val="16"/>
                <w:szCs w:val="16"/>
              </w:rPr>
              <w:t>ë</w:t>
            </w:r>
            <w:r>
              <w:rPr>
                <w:b/>
                <w:bCs/>
                <w:sz w:val="16"/>
                <w:szCs w:val="16"/>
              </w:rPr>
              <w:t xml:space="preserve"> veçanti elementit t</w:t>
            </w:r>
            <w:r w:rsidR="00D7294C">
              <w:rPr>
                <w:b/>
                <w:bCs/>
                <w:sz w:val="16"/>
                <w:szCs w:val="16"/>
              </w:rPr>
              <w:t>ë</w:t>
            </w:r>
            <w:r>
              <w:rPr>
                <w:b/>
                <w:bCs/>
                <w:sz w:val="16"/>
                <w:szCs w:val="16"/>
              </w:rPr>
              <w:t xml:space="preserve"> informacionit t</w:t>
            </w:r>
            <w:r w:rsidR="00D7294C">
              <w:rPr>
                <w:b/>
                <w:bCs/>
                <w:sz w:val="16"/>
                <w:szCs w:val="16"/>
              </w:rPr>
              <w:t>ë</w:t>
            </w:r>
            <w:r>
              <w:rPr>
                <w:b/>
                <w:bCs/>
                <w:sz w:val="16"/>
                <w:szCs w:val="16"/>
              </w:rPr>
              <w:t xml:space="preserve"> performanc</w:t>
            </w:r>
            <w:r w:rsidR="00D7294C">
              <w:rPr>
                <w:b/>
                <w:bCs/>
                <w:sz w:val="16"/>
                <w:szCs w:val="16"/>
              </w:rPr>
              <w:t>ë</w:t>
            </w:r>
            <w:r>
              <w:rPr>
                <w:b/>
                <w:bCs/>
                <w:sz w:val="16"/>
                <w:szCs w:val="16"/>
              </w:rPr>
              <w:t>s</w:t>
            </w:r>
          </w:p>
        </w:tc>
        <w:tc>
          <w:tcPr>
            <w:tcW w:w="3780" w:type="dxa"/>
            <w:tcBorders>
              <w:top w:val="single" w:sz="4" w:space="0" w:color="auto"/>
              <w:left w:val="single" w:sz="4" w:space="0" w:color="auto"/>
              <w:right w:val="single" w:sz="4" w:space="0" w:color="auto"/>
            </w:tcBorders>
            <w:vAlign w:val="center"/>
          </w:tcPr>
          <w:p w14:paraId="161EB98E" w14:textId="35FBB20F" w:rsidR="00015E3F" w:rsidRPr="002E6AB5" w:rsidRDefault="00D11124" w:rsidP="00CD7428">
            <w:pPr>
              <w:pStyle w:val="ListParagraph"/>
              <w:numPr>
                <w:ilvl w:val="0"/>
                <w:numId w:val="77"/>
              </w:numPr>
              <w:rPr>
                <w:sz w:val="16"/>
                <w:szCs w:val="16"/>
              </w:rPr>
            </w:pPr>
            <w:r>
              <w:rPr>
                <w:sz w:val="16"/>
                <w:szCs w:val="16"/>
              </w:rPr>
              <w:t>T</w:t>
            </w:r>
            <w:r w:rsidR="00D7294C">
              <w:rPr>
                <w:sz w:val="16"/>
                <w:szCs w:val="16"/>
              </w:rPr>
              <w:t>ë</w:t>
            </w:r>
            <w:r>
              <w:rPr>
                <w:sz w:val="16"/>
                <w:szCs w:val="16"/>
              </w:rPr>
              <w:t xml:space="preserve"> </w:t>
            </w:r>
            <w:r w:rsidR="008165C9">
              <w:rPr>
                <w:sz w:val="16"/>
                <w:szCs w:val="16"/>
              </w:rPr>
              <w:t>asistohen</w:t>
            </w:r>
            <w:r>
              <w:rPr>
                <w:sz w:val="16"/>
                <w:szCs w:val="16"/>
              </w:rPr>
              <w:t xml:space="preserve"> institucionet buxhetore n</w:t>
            </w:r>
            <w:r w:rsidR="00D7294C">
              <w:rPr>
                <w:sz w:val="16"/>
                <w:szCs w:val="16"/>
              </w:rPr>
              <w:t>ë</w:t>
            </w:r>
            <w:r>
              <w:rPr>
                <w:sz w:val="16"/>
                <w:szCs w:val="16"/>
              </w:rPr>
              <w:t xml:space="preserve"> p</w:t>
            </w:r>
            <w:r w:rsidR="00D7294C">
              <w:rPr>
                <w:sz w:val="16"/>
                <w:szCs w:val="16"/>
              </w:rPr>
              <w:t>ë</w:t>
            </w:r>
            <w:r>
              <w:rPr>
                <w:sz w:val="16"/>
                <w:szCs w:val="16"/>
              </w:rPr>
              <w:t>rmir</w:t>
            </w:r>
            <w:r w:rsidR="00D7294C">
              <w:rPr>
                <w:sz w:val="16"/>
                <w:szCs w:val="16"/>
              </w:rPr>
              <w:t>ë</w:t>
            </w:r>
            <w:r>
              <w:rPr>
                <w:sz w:val="16"/>
                <w:szCs w:val="16"/>
              </w:rPr>
              <w:t>simin e informacionit t</w:t>
            </w:r>
            <w:r w:rsidR="00D7294C">
              <w:rPr>
                <w:sz w:val="16"/>
                <w:szCs w:val="16"/>
              </w:rPr>
              <w:t>ë</w:t>
            </w:r>
            <w:r>
              <w:rPr>
                <w:sz w:val="16"/>
                <w:szCs w:val="16"/>
              </w:rPr>
              <w:t xml:space="preserve"> performanc</w:t>
            </w:r>
            <w:r w:rsidR="00D7294C">
              <w:rPr>
                <w:sz w:val="16"/>
                <w:szCs w:val="16"/>
              </w:rPr>
              <w:t>ë</w:t>
            </w:r>
            <w:r>
              <w:rPr>
                <w:sz w:val="16"/>
                <w:szCs w:val="16"/>
              </w:rPr>
              <w:t>s n</w:t>
            </w:r>
            <w:r w:rsidR="00D7294C">
              <w:rPr>
                <w:sz w:val="16"/>
                <w:szCs w:val="16"/>
              </w:rPr>
              <w:t>ë</w:t>
            </w:r>
            <w:r>
              <w:rPr>
                <w:sz w:val="16"/>
                <w:szCs w:val="16"/>
              </w:rPr>
              <w:t xml:space="preserve"> buxhet p</w:t>
            </w:r>
            <w:r w:rsidR="00D7294C">
              <w:rPr>
                <w:sz w:val="16"/>
                <w:szCs w:val="16"/>
              </w:rPr>
              <w:t>ë</w:t>
            </w:r>
            <w:r>
              <w:rPr>
                <w:sz w:val="16"/>
                <w:szCs w:val="16"/>
              </w:rPr>
              <w:t>rmes aktiviteteve t</w:t>
            </w:r>
            <w:r w:rsidR="00D7294C">
              <w:rPr>
                <w:sz w:val="16"/>
                <w:szCs w:val="16"/>
              </w:rPr>
              <w:t>ë</w:t>
            </w:r>
            <w:r>
              <w:rPr>
                <w:sz w:val="16"/>
                <w:szCs w:val="16"/>
              </w:rPr>
              <w:t xml:space="preserve"> zhvillimit t</w:t>
            </w:r>
            <w:r w:rsidR="00D7294C">
              <w:rPr>
                <w:sz w:val="16"/>
                <w:szCs w:val="16"/>
              </w:rPr>
              <w:t>ë</w:t>
            </w:r>
            <w:r>
              <w:rPr>
                <w:sz w:val="16"/>
                <w:szCs w:val="16"/>
              </w:rPr>
              <w:t xml:space="preserve"> kapaciteteve dhe sistemeve t</w:t>
            </w:r>
            <w:r w:rsidR="00D7294C">
              <w:rPr>
                <w:sz w:val="16"/>
                <w:szCs w:val="16"/>
              </w:rPr>
              <w:t>ë</w:t>
            </w:r>
            <w:r>
              <w:rPr>
                <w:sz w:val="16"/>
                <w:szCs w:val="16"/>
              </w:rPr>
              <w:t xml:space="preserve"> sigurimit t</w:t>
            </w:r>
            <w:r w:rsidR="00D7294C">
              <w:rPr>
                <w:sz w:val="16"/>
                <w:szCs w:val="16"/>
              </w:rPr>
              <w:t>ë</w:t>
            </w:r>
            <w:r>
              <w:rPr>
                <w:sz w:val="16"/>
                <w:szCs w:val="16"/>
              </w:rPr>
              <w:t xml:space="preserve"> cil</w:t>
            </w:r>
            <w:r w:rsidR="00D7294C">
              <w:rPr>
                <w:sz w:val="16"/>
                <w:szCs w:val="16"/>
              </w:rPr>
              <w:t>ë</w:t>
            </w:r>
            <w:r>
              <w:rPr>
                <w:sz w:val="16"/>
                <w:szCs w:val="16"/>
              </w:rPr>
              <w:t>sis</w:t>
            </w:r>
            <w:r w:rsidR="00D7294C">
              <w:rPr>
                <w:sz w:val="16"/>
                <w:szCs w:val="16"/>
              </w:rPr>
              <w:t>ë</w:t>
            </w:r>
            <w:r>
              <w:rPr>
                <w:sz w:val="16"/>
                <w:szCs w:val="16"/>
              </w:rPr>
              <w:t xml:space="preserve">. </w:t>
            </w:r>
            <w:r w:rsidR="00015E3F" w:rsidRPr="001F151E">
              <w:rPr>
                <w:sz w:val="16"/>
                <w:szCs w:val="16"/>
              </w:rPr>
              <w:t xml:space="preserve"> </w:t>
            </w:r>
          </w:p>
        </w:tc>
        <w:tc>
          <w:tcPr>
            <w:tcW w:w="768" w:type="dxa"/>
            <w:tcBorders>
              <w:top w:val="single" w:sz="4" w:space="0" w:color="auto"/>
              <w:left w:val="single" w:sz="4" w:space="0" w:color="auto"/>
              <w:right w:val="single" w:sz="4" w:space="0" w:color="auto"/>
            </w:tcBorders>
            <w:vAlign w:val="center"/>
          </w:tcPr>
          <w:p w14:paraId="4B5F0662" w14:textId="32C22A08" w:rsidR="00015E3F" w:rsidRPr="001F151E" w:rsidRDefault="001808D7" w:rsidP="00A846BA">
            <w:pPr>
              <w:jc w:val="center"/>
              <w:rPr>
                <w:color w:val="FF0000"/>
                <w:sz w:val="16"/>
                <w:szCs w:val="16"/>
              </w:rPr>
            </w:pPr>
            <w:r>
              <w:rPr>
                <w:sz w:val="16"/>
                <w:szCs w:val="16"/>
              </w:rPr>
              <w:t>T</w:t>
            </w:r>
            <w:r w:rsidR="00015E3F">
              <w:rPr>
                <w:sz w:val="16"/>
                <w:szCs w:val="16"/>
              </w:rPr>
              <w:t>4 2024</w:t>
            </w:r>
          </w:p>
          <w:p w14:paraId="33C1280C" w14:textId="47E5B4D5" w:rsidR="00015E3F" w:rsidRPr="001F151E" w:rsidRDefault="00015E3F" w:rsidP="002E6AB5">
            <w:pPr>
              <w:rPr>
                <w:color w:val="FF0000"/>
                <w:sz w:val="16"/>
                <w:szCs w:val="16"/>
              </w:rPr>
            </w:pPr>
          </w:p>
        </w:tc>
        <w:tc>
          <w:tcPr>
            <w:tcW w:w="852" w:type="dxa"/>
            <w:tcBorders>
              <w:top w:val="single" w:sz="4" w:space="0" w:color="auto"/>
              <w:left w:val="single" w:sz="4" w:space="0" w:color="auto"/>
              <w:right w:val="single" w:sz="4" w:space="0" w:color="auto"/>
            </w:tcBorders>
            <w:vAlign w:val="center"/>
          </w:tcPr>
          <w:p w14:paraId="3B115119" w14:textId="0C86DDD3" w:rsidR="00015E3F" w:rsidRPr="001F151E" w:rsidRDefault="001808D7" w:rsidP="00A846BA">
            <w:pPr>
              <w:jc w:val="center"/>
              <w:rPr>
                <w:color w:val="FF0000"/>
                <w:sz w:val="16"/>
                <w:szCs w:val="16"/>
              </w:rPr>
            </w:pPr>
            <w:r>
              <w:rPr>
                <w:sz w:val="16"/>
                <w:szCs w:val="16"/>
              </w:rPr>
              <w:t>T</w:t>
            </w:r>
            <w:r w:rsidR="00015E3F">
              <w:rPr>
                <w:sz w:val="16"/>
                <w:szCs w:val="16"/>
              </w:rPr>
              <w:t>2 2025</w:t>
            </w:r>
          </w:p>
          <w:p w14:paraId="142A1553" w14:textId="52572146" w:rsidR="00015E3F" w:rsidRPr="001F151E" w:rsidRDefault="00015E3F" w:rsidP="002E6AB5">
            <w:pPr>
              <w:rPr>
                <w:color w:val="FF0000"/>
                <w:sz w:val="16"/>
                <w:szCs w:val="16"/>
              </w:rPr>
            </w:pPr>
          </w:p>
        </w:tc>
        <w:tc>
          <w:tcPr>
            <w:tcW w:w="1281" w:type="dxa"/>
            <w:tcBorders>
              <w:top w:val="single" w:sz="4" w:space="0" w:color="auto"/>
              <w:left w:val="single" w:sz="4" w:space="0" w:color="auto"/>
              <w:right w:val="single" w:sz="4" w:space="0" w:color="auto"/>
            </w:tcBorders>
          </w:tcPr>
          <w:p w14:paraId="2D80D723" w14:textId="1E0C041E" w:rsidR="00015E3F" w:rsidRPr="001F151E" w:rsidRDefault="00D11124" w:rsidP="00A846BA">
            <w:pPr>
              <w:rPr>
                <w:b/>
                <w:bCs/>
                <w:sz w:val="16"/>
                <w:szCs w:val="16"/>
              </w:rPr>
            </w:pPr>
            <w:r>
              <w:rPr>
                <w:b/>
                <w:bCs/>
                <w:sz w:val="16"/>
                <w:szCs w:val="16"/>
              </w:rPr>
              <w:t>Nj</w:t>
            </w:r>
            <w:r w:rsidR="00D7294C">
              <w:rPr>
                <w:b/>
                <w:bCs/>
                <w:sz w:val="16"/>
                <w:szCs w:val="16"/>
              </w:rPr>
              <w:t>ë</w:t>
            </w:r>
            <w:r>
              <w:rPr>
                <w:b/>
                <w:bCs/>
                <w:sz w:val="16"/>
                <w:szCs w:val="16"/>
              </w:rPr>
              <w:t>sit</w:t>
            </w:r>
            <w:r w:rsidR="00D7294C">
              <w:rPr>
                <w:b/>
                <w:bCs/>
                <w:sz w:val="16"/>
                <w:szCs w:val="16"/>
              </w:rPr>
              <w:t>ë</w:t>
            </w:r>
            <w:r>
              <w:rPr>
                <w:b/>
                <w:bCs/>
                <w:sz w:val="16"/>
                <w:szCs w:val="16"/>
              </w:rPr>
              <w:t xml:space="preserve"> p</w:t>
            </w:r>
            <w:r w:rsidR="00D7294C">
              <w:rPr>
                <w:b/>
                <w:bCs/>
                <w:sz w:val="16"/>
                <w:szCs w:val="16"/>
              </w:rPr>
              <w:t>ë</w:t>
            </w:r>
            <w:r>
              <w:rPr>
                <w:b/>
                <w:bCs/>
                <w:sz w:val="16"/>
                <w:szCs w:val="16"/>
              </w:rPr>
              <w:t>rgjegj</w:t>
            </w:r>
            <w:r w:rsidR="00D7294C">
              <w:rPr>
                <w:b/>
                <w:bCs/>
                <w:sz w:val="16"/>
                <w:szCs w:val="16"/>
              </w:rPr>
              <w:t>ë</w:t>
            </w:r>
            <w:r>
              <w:rPr>
                <w:b/>
                <w:bCs/>
                <w:sz w:val="16"/>
                <w:szCs w:val="16"/>
              </w:rPr>
              <w:t>se</w:t>
            </w:r>
            <w:r w:rsidR="00015E3F" w:rsidRPr="001F151E">
              <w:rPr>
                <w:b/>
                <w:bCs/>
                <w:sz w:val="16"/>
                <w:szCs w:val="16"/>
              </w:rPr>
              <w:t xml:space="preserve">: </w:t>
            </w:r>
          </w:p>
          <w:p w14:paraId="42CA2637" w14:textId="2C8C153C" w:rsidR="00015E3F" w:rsidRPr="001F151E" w:rsidRDefault="00015E3F" w:rsidP="00A846BA">
            <w:pPr>
              <w:pStyle w:val="EcorysBody"/>
              <w:rPr>
                <w:rFonts w:ascii="Arial" w:hAnsi="Arial" w:cs="Arial"/>
                <w:sz w:val="16"/>
                <w:szCs w:val="16"/>
              </w:rPr>
            </w:pPr>
            <w:r w:rsidRPr="001F151E">
              <w:rPr>
                <w:rFonts w:ascii="Arial" w:hAnsi="Arial" w:cs="Arial"/>
                <w:sz w:val="16"/>
                <w:szCs w:val="16"/>
              </w:rPr>
              <w:t>DAPB (l</w:t>
            </w:r>
            <w:r w:rsidR="00D11124">
              <w:rPr>
                <w:rFonts w:ascii="Arial" w:hAnsi="Arial" w:cs="Arial"/>
                <w:sz w:val="16"/>
                <w:szCs w:val="16"/>
              </w:rPr>
              <w:t>ider</w:t>
            </w:r>
            <w:r w:rsidRPr="001F151E">
              <w:rPr>
                <w:rFonts w:ascii="Arial" w:hAnsi="Arial" w:cs="Arial"/>
                <w:sz w:val="16"/>
                <w:szCs w:val="16"/>
              </w:rPr>
              <w:t>), D</w:t>
            </w:r>
            <w:r w:rsidR="00D11124">
              <w:rPr>
                <w:rFonts w:ascii="Arial" w:hAnsi="Arial" w:cs="Arial"/>
                <w:sz w:val="16"/>
                <w:szCs w:val="16"/>
              </w:rPr>
              <w:t>MB</w:t>
            </w:r>
          </w:p>
          <w:p w14:paraId="6028F747" w14:textId="77777777" w:rsidR="00015E3F" w:rsidRPr="001F151E" w:rsidRDefault="00015E3F" w:rsidP="00A846BA"/>
          <w:p w14:paraId="1EA33CD5" w14:textId="708869C7" w:rsidR="00015E3F" w:rsidRPr="001F151E" w:rsidRDefault="00015E3F" w:rsidP="00A846BA">
            <w:pPr>
              <w:pStyle w:val="EcorysBody"/>
              <w:rPr>
                <w:rFonts w:ascii="Arial" w:hAnsi="Arial" w:cs="Arial"/>
                <w:b/>
                <w:bCs/>
                <w:sz w:val="16"/>
                <w:szCs w:val="16"/>
              </w:rPr>
            </w:pPr>
            <w:r w:rsidRPr="001F151E">
              <w:rPr>
                <w:rFonts w:ascii="Arial" w:hAnsi="Arial" w:cs="Arial"/>
                <w:b/>
                <w:bCs/>
                <w:sz w:val="16"/>
                <w:szCs w:val="16"/>
              </w:rPr>
              <w:t>Partner</w:t>
            </w:r>
            <w:r w:rsidR="00D7294C">
              <w:rPr>
                <w:rFonts w:ascii="Arial" w:hAnsi="Arial" w:cs="Arial"/>
                <w:b/>
                <w:bCs/>
                <w:sz w:val="16"/>
                <w:szCs w:val="16"/>
              </w:rPr>
              <w:t>ë</w:t>
            </w:r>
            <w:r w:rsidR="00D11124">
              <w:rPr>
                <w:rFonts w:ascii="Arial" w:hAnsi="Arial" w:cs="Arial"/>
                <w:b/>
                <w:bCs/>
                <w:sz w:val="16"/>
                <w:szCs w:val="16"/>
              </w:rPr>
              <w:t>t</w:t>
            </w:r>
            <w:r w:rsidRPr="001F151E">
              <w:rPr>
                <w:rFonts w:ascii="Arial" w:hAnsi="Arial" w:cs="Arial"/>
                <w:b/>
                <w:bCs/>
                <w:sz w:val="16"/>
                <w:szCs w:val="16"/>
              </w:rPr>
              <w:t>:</w:t>
            </w:r>
          </w:p>
          <w:p w14:paraId="77616947" w14:textId="317185D4" w:rsidR="00015E3F" w:rsidRPr="001F151E" w:rsidRDefault="00D11124" w:rsidP="00D11124">
            <w:pPr>
              <w:pStyle w:val="EcorysBody"/>
              <w:rPr>
                <w:rFonts w:ascii="Arial" w:hAnsi="Arial" w:cs="Arial"/>
                <w:sz w:val="16"/>
                <w:szCs w:val="16"/>
              </w:rPr>
            </w:pPr>
            <w:r>
              <w:rPr>
                <w:rFonts w:ascii="Arial" w:hAnsi="Arial" w:cs="Arial"/>
                <w:sz w:val="16"/>
                <w:szCs w:val="16"/>
              </w:rPr>
              <w:t>BE</w:t>
            </w:r>
            <w:r w:rsidR="00015E3F" w:rsidRPr="001F151E">
              <w:rPr>
                <w:rStyle w:val="FootnoteReference"/>
                <w:rFonts w:cs="Arial"/>
              </w:rPr>
              <w:footnoteReference w:id="18"/>
            </w:r>
          </w:p>
        </w:tc>
      </w:tr>
      <w:tr w:rsidR="009E0E66" w:rsidRPr="001F151E" w14:paraId="71DEDD36" w14:textId="77777777" w:rsidTr="009C46C7">
        <w:trPr>
          <w:trHeight w:val="20"/>
        </w:trPr>
        <w:tc>
          <w:tcPr>
            <w:tcW w:w="2335" w:type="dxa"/>
            <w:vMerge w:val="restart"/>
            <w:tcBorders>
              <w:top w:val="single" w:sz="4" w:space="0" w:color="auto"/>
              <w:left w:val="single" w:sz="4" w:space="0" w:color="auto"/>
              <w:bottom w:val="single" w:sz="4" w:space="0" w:color="auto"/>
              <w:right w:val="single" w:sz="4" w:space="0" w:color="auto"/>
            </w:tcBorders>
            <w:hideMark/>
          </w:tcPr>
          <w:p w14:paraId="52A2F2FA" w14:textId="63CBB326" w:rsidR="00B76369" w:rsidRPr="009D660E" w:rsidRDefault="00A846BA" w:rsidP="00A846BA">
            <w:pPr>
              <w:rPr>
                <w:b/>
                <w:bCs/>
                <w:sz w:val="16"/>
                <w:szCs w:val="16"/>
                <w:lang w:val="it-IT"/>
              </w:rPr>
            </w:pPr>
            <w:r w:rsidRPr="009D660E">
              <w:rPr>
                <w:b/>
                <w:bCs/>
                <w:sz w:val="16"/>
                <w:szCs w:val="16"/>
                <w:lang w:val="it-IT"/>
              </w:rPr>
              <w:t>M</w:t>
            </w:r>
            <w:r w:rsidR="001808D7" w:rsidRPr="009D660E">
              <w:rPr>
                <w:b/>
                <w:bCs/>
                <w:sz w:val="16"/>
                <w:szCs w:val="16"/>
                <w:lang w:val="it-IT"/>
              </w:rPr>
              <w:t>asa</w:t>
            </w:r>
            <w:r w:rsidRPr="009D660E">
              <w:rPr>
                <w:b/>
                <w:bCs/>
                <w:sz w:val="16"/>
                <w:szCs w:val="16"/>
                <w:lang w:val="it-IT"/>
              </w:rPr>
              <w:t xml:space="preserve"> 2.2.3 </w:t>
            </w:r>
          </w:p>
          <w:p w14:paraId="2A17C0D5" w14:textId="3B79C078" w:rsidR="00A846BA" w:rsidRPr="009D660E" w:rsidRDefault="001808D7" w:rsidP="00A846BA">
            <w:pPr>
              <w:rPr>
                <w:sz w:val="16"/>
                <w:szCs w:val="16"/>
                <w:lang w:val="it-IT"/>
              </w:rPr>
            </w:pPr>
            <w:r w:rsidRPr="009D660E">
              <w:rPr>
                <w:b/>
                <w:bCs/>
                <w:sz w:val="16"/>
                <w:szCs w:val="16"/>
                <w:lang w:val="it-IT"/>
              </w:rPr>
              <w:t>Prezantimi i rishikimeve t</w:t>
            </w:r>
            <w:r w:rsidR="00D7294C" w:rsidRPr="009D660E">
              <w:rPr>
                <w:b/>
                <w:bCs/>
                <w:sz w:val="16"/>
                <w:szCs w:val="16"/>
                <w:lang w:val="it-IT"/>
              </w:rPr>
              <w:t>ë</w:t>
            </w:r>
            <w:r w:rsidRPr="009D660E">
              <w:rPr>
                <w:b/>
                <w:bCs/>
                <w:sz w:val="16"/>
                <w:szCs w:val="16"/>
                <w:lang w:val="it-IT"/>
              </w:rPr>
              <w:t xml:space="preserve"> shpenzimeve</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C4D739B" w14:textId="20B5D133" w:rsidR="00A846BA" w:rsidRPr="009D660E" w:rsidRDefault="00D11124" w:rsidP="00A846BA">
            <w:pPr>
              <w:pStyle w:val="ListParagraph"/>
              <w:numPr>
                <w:ilvl w:val="0"/>
                <w:numId w:val="22"/>
              </w:numPr>
              <w:rPr>
                <w:sz w:val="16"/>
                <w:szCs w:val="16"/>
                <w:lang w:val="it-IT"/>
              </w:rPr>
            </w:pPr>
            <w:r w:rsidRPr="009D660E">
              <w:rPr>
                <w:sz w:val="16"/>
                <w:szCs w:val="16"/>
                <w:lang w:val="it-IT"/>
              </w:rPr>
              <w:t>Zhvillimi i nj</w:t>
            </w:r>
            <w:r w:rsidR="00D7294C" w:rsidRPr="009D660E">
              <w:rPr>
                <w:sz w:val="16"/>
                <w:szCs w:val="16"/>
                <w:lang w:val="it-IT"/>
              </w:rPr>
              <w:t>ë</w:t>
            </w:r>
            <w:r w:rsidRPr="009D660E">
              <w:rPr>
                <w:sz w:val="16"/>
                <w:szCs w:val="16"/>
                <w:lang w:val="it-IT"/>
              </w:rPr>
              <w:t xml:space="preserve"> metodologjie p</w:t>
            </w:r>
            <w:r w:rsidR="00D7294C" w:rsidRPr="009D660E">
              <w:rPr>
                <w:sz w:val="16"/>
                <w:szCs w:val="16"/>
                <w:lang w:val="it-IT"/>
              </w:rPr>
              <w:t>ë</w:t>
            </w:r>
            <w:r w:rsidRPr="009D660E">
              <w:rPr>
                <w:sz w:val="16"/>
                <w:szCs w:val="16"/>
                <w:lang w:val="it-IT"/>
              </w:rPr>
              <w:t>r nd</w:t>
            </w:r>
            <w:r w:rsidR="00D7294C" w:rsidRPr="009D660E">
              <w:rPr>
                <w:sz w:val="16"/>
                <w:szCs w:val="16"/>
                <w:lang w:val="it-IT"/>
              </w:rPr>
              <w:t>ë</w:t>
            </w:r>
            <w:r w:rsidRPr="009D660E">
              <w:rPr>
                <w:sz w:val="16"/>
                <w:szCs w:val="16"/>
                <w:lang w:val="it-IT"/>
              </w:rPr>
              <w:t>rmarrjen e rishikimeve t</w:t>
            </w:r>
            <w:r w:rsidR="00D7294C" w:rsidRPr="009D660E">
              <w:rPr>
                <w:sz w:val="16"/>
                <w:szCs w:val="16"/>
                <w:lang w:val="it-IT"/>
              </w:rPr>
              <w:t>ë</w:t>
            </w:r>
            <w:r w:rsidRPr="009D660E">
              <w:rPr>
                <w:sz w:val="16"/>
                <w:szCs w:val="16"/>
                <w:lang w:val="it-IT"/>
              </w:rPr>
              <w:t xml:space="preserve"> shpenzimeve specifike p</w:t>
            </w:r>
            <w:r w:rsidR="00D7294C" w:rsidRPr="009D660E">
              <w:rPr>
                <w:sz w:val="16"/>
                <w:szCs w:val="16"/>
                <w:lang w:val="it-IT"/>
              </w:rPr>
              <w:t>ë</w:t>
            </w:r>
            <w:r w:rsidRPr="009D660E">
              <w:rPr>
                <w:sz w:val="16"/>
                <w:szCs w:val="16"/>
                <w:lang w:val="it-IT"/>
              </w:rPr>
              <w:t>r sektor</w:t>
            </w:r>
            <w:r w:rsidR="00D7294C" w:rsidRPr="009D660E">
              <w:rPr>
                <w:sz w:val="16"/>
                <w:szCs w:val="16"/>
                <w:lang w:val="it-IT"/>
              </w:rPr>
              <w:t>ë</w:t>
            </w:r>
            <w:r w:rsidRPr="009D660E">
              <w:rPr>
                <w:sz w:val="16"/>
                <w:szCs w:val="16"/>
                <w:lang w:val="it-IT"/>
              </w:rPr>
              <w:t>t dhe p</w:t>
            </w:r>
            <w:r w:rsidR="00D7294C" w:rsidRPr="009D660E">
              <w:rPr>
                <w:sz w:val="16"/>
                <w:szCs w:val="16"/>
                <w:lang w:val="it-IT"/>
              </w:rPr>
              <w:t>ë</w:t>
            </w:r>
            <w:r w:rsidRPr="009D660E">
              <w:rPr>
                <w:sz w:val="16"/>
                <w:szCs w:val="16"/>
                <w:lang w:val="it-IT"/>
              </w:rPr>
              <w:t>rshtatja e rregullores p</w:t>
            </w:r>
            <w:r w:rsidR="00D7294C" w:rsidRPr="009D660E">
              <w:rPr>
                <w:sz w:val="16"/>
                <w:szCs w:val="16"/>
                <w:lang w:val="it-IT"/>
              </w:rPr>
              <w:t>ë</w:t>
            </w:r>
            <w:r w:rsidRPr="009D660E">
              <w:rPr>
                <w:sz w:val="16"/>
                <w:szCs w:val="16"/>
                <w:lang w:val="it-IT"/>
              </w:rPr>
              <w:t>rkat</w:t>
            </w:r>
            <w:r w:rsidR="00D7294C" w:rsidRPr="009D660E">
              <w:rPr>
                <w:sz w:val="16"/>
                <w:szCs w:val="16"/>
                <w:lang w:val="it-IT"/>
              </w:rPr>
              <w:t>ë</w:t>
            </w:r>
            <w:r w:rsidRPr="009D660E">
              <w:rPr>
                <w:sz w:val="16"/>
                <w:szCs w:val="16"/>
                <w:lang w:val="it-IT"/>
              </w:rPr>
              <w:t>se.</w:t>
            </w:r>
          </w:p>
        </w:tc>
        <w:tc>
          <w:tcPr>
            <w:tcW w:w="768" w:type="dxa"/>
            <w:tcBorders>
              <w:top w:val="single" w:sz="4" w:space="0" w:color="auto"/>
              <w:left w:val="single" w:sz="4" w:space="0" w:color="auto"/>
              <w:bottom w:val="single" w:sz="4" w:space="0" w:color="auto"/>
              <w:right w:val="single" w:sz="4" w:space="0" w:color="auto"/>
            </w:tcBorders>
            <w:vAlign w:val="center"/>
          </w:tcPr>
          <w:p w14:paraId="72590568" w14:textId="57C8D9A5" w:rsidR="00A846BA" w:rsidRPr="001F151E" w:rsidRDefault="001808D7" w:rsidP="00A846BA">
            <w:pPr>
              <w:jc w:val="center"/>
              <w:rPr>
                <w:sz w:val="16"/>
                <w:szCs w:val="16"/>
              </w:rPr>
            </w:pPr>
            <w:r>
              <w:rPr>
                <w:sz w:val="16"/>
                <w:szCs w:val="16"/>
              </w:rPr>
              <w:t>T</w:t>
            </w:r>
            <w:r w:rsidR="00A846BA">
              <w:rPr>
                <w:sz w:val="16"/>
                <w:szCs w:val="16"/>
              </w:rPr>
              <w:t>3 2024</w:t>
            </w:r>
          </w:p>
        </w:tc>
        <w:tc>
          <w:tcPr>
            <w:tcW w:w="852" w:type="dxa"/>
            <w:tcBorders>
              <w:top w:val="single" w:sz="4" w:space="0" w:color="auto"/>
              <w:left w:val="single" w:sz="4" w:space="0" w:color="auto"/>
              <w:bottom w:val="single" w:sz="4" w:space="0" w:color="auto"/>
              <w:right w:val="single" w:sz="4" w:space="0" w:color="auto"/>
            </w:tcBorders>
            <w:vAlign w:val="center"/>
          </w:tcPr>
          <w:p w14:paraId="5C31499C" w14:textId="2654204C" w:rsidR="00A846BA" w:rsidRPr="001F151E" w:rsidRDefault="001808D7" w:rsidP="00A846BA">
            <w:pPr>
              <w:jc w:val="center"/>
              <w:rPr>
                <w:sz w:val="16"/>
                <w:szCs w:val="16"/>
              </w:rPr>
            </w:pPr>
            <w:r>
              <w:rPr>
                <w:sz w:val="16"/>
                <w:szCs w:val="16"/>
              </w:rPr>
              <w:t>T</w:t>
            </w:r>
            <w:r w:rsidR="00A846BA">
              <w:rPr>
                <w:sz w:val="16"/>
                <w:szCs w:val="16"/>
              </w:rPr>
              <w:t>2 2025</w:t>
            </w:r>
          </w:p>
        </w:tc>
        <w:tc>
          <w:tcPr>
            <w:tcW w:w="1281" w:type="dxa"/>
            <w:vMerge w:val="restart"/>
            <w:tcBorders>
              <w:top w:val="single" w:sz="4" w:space="0" w:color="auto"/>
              <w:left w:val="single" w:sz="4" w:space="0" w:color="auto"/>
              <w:bottom w:val="single" w:sz="4" w:space="0" w:color="auto"/>
              <w:right w:val="single" w:sz="4" w:space="0" w:color="auto"/>
            </w:tcBorders>
          </w:tcPr>
          <w:p w14:paraId="69E1D5FD" w14:textId="368C7F59" w:rsidR="00A846BA" w:rsidRPr="001F151E" w:rsidRDefault="00D11124" w:rsidP="00A846BA">
            <w:pPr>
              <w:rPr>
                <w:b/>
                <w:bCs/>
                <w:sz w:val="16"/>
                <w:szCs w:val="16"/>
              </w:rPr>
            </w:pPr>
            <w:r>
              <w:rPr>
                <w:b/>
                <w:bCs/>
                <w:sz w:val="16"/>
                <w:szCs w:val="16"/>
              </w:rPr>
              <w:t>Nj</w:t>
            </w:r>
            <w:r w:rsidR="00D7294C">
              <w:rPr>
                <w:b/>
                <w:bCs/>
                <w:sz w:val="16"/>
                <w:szCs w:val="16"/>
              </w:rPr>
              <w:t>ë</w:t>
            </w:r>
            <w:r>
              <w:rPr>
                <w:b/>
                <w:bCs/>
                <w:sz w:val="16"/>
                <w:szCs w:val="16"/>
              </w:rPr>
              <w:t>sit</w:t>
            </w:r>
            <w:r w:rsidR="00D7294C">
              <w:rPr>
                <w:b/>
                <w:bCs/>
                <w:sz w:val="16"/>
                <w:szCs w:val="16"/>
              </w:rPr>
              <w:t>ë</w:t>
            </w:r>
            <w:r>
              <w:rPr>
                <w:b/>
                <w:bCs/>
                <w:sz w:val="16"/>
                <w:szCs w:val="16"/>
              </w:rPr>
              <w:t xml:space="preserve"> p</w:t>
            </w:r>
            <w:r w:rsidR="00D7294C">
              <w:rPr>
                <w:b/>
                <w:bCs/>
                <w:sz w:val="16"/>
                <w:szCs w:val="16"/>
              </w:rPr>
              <w:t>ë</w:t>
            </w:r>
            <w:r>
              <w:rPr>
                <w:b/>
                <w:bCs/>
                <w:sz w:val="16"/>
                <w:szCs w:val="16"/>
              </w:rPr>
              <w:t>rgjegj</w:t>
            </w:r>
            <w:r w:rsidR="00D7294C">
              <w:rPr>
                <w:b/>
                <w:bCs/>
                <w:sz w:val="16"/>
                <w:szCs w:val="16"/>
              </w:rPr>
              <w:t>ë</w:t>
            </w:r>
            <w:r>
              <w:rPr>
                <w:b/>
                <w:bCs/>
                <w:sz w:val="16"/>
                <w:szCs w:val="16"/>
              </w:rPr>
              <w:t>se</w:t>
            </w:r>
            <w:r w:rsidR="00A846BA" w:rsidRPr="001F151E">
              <w:rPr>
                <w:b/>
                <w:bCs/>
                <w:sz w:val="16"/>
                <w:szCs w:val="16"/>
              </w:rPr>
              <w:t xml:space="preserve">: </w:t>
            </w:r>
          </w:p>
          <w:p w14:paraId="17DB2F77" w14:textId="3E8A9B7A" w:rsidR="00A846BA" w:rsidRPr="001F151E" w:rsidRDefault="00D11124" w:rsidP="00A846BA">
            <w:pPr>
              <w:pStyle w:val="T-normal"/>
            </w:pPr>
            <w:r>
              <w:t>DAPB (lider</w:t>
            </w:r>
            <w:r w:rsidR="00A846BA" w:rsidRPr="001F151E">
              <w:t>), D</w:t>
            </w:r>
            <w:r>
              <w:t>MB</w:t>
            </w:r>
            <w:r w:rsidR="00A846BA" w:rsidRPr="001F151E">
              <w:t>, D</w:t>
            </w:r>
            <w:r>
              <w:t>MIP</w:t>
            </w:r>
            <w:r w:rsidR="00A846BA" w:rsidRPr="001F151E">
              <w:t>, DF</w:t>
            </w:r>
            <w:r>
              <w:t>V</w:t>
            </w:r>
          </w:p>
          <w:p w14:paraId="4EB8B8ED" w14:textId="77777777" w:rsidR="00A846BA" w:rsidRPr="001F151E" w:rsidRDefault="00A846BA" w:rsidP="00A846BA">
            <w:pPr>
              <w:pStyle w:val="T-normal"/>
              <w:rPr>
                <w:b/>
                <w:bCs/>
              </w:rPr>
            </w:pPr>
          </w:p>
          <w:p w14:paraId="1F9B4DFE" w14:textId="21F27CE3" w:rsidR="00A846BA" w:rsidRPr="001F151E" w:rsidRDefault="00A846BA" w:rsidP="00A846BA">
            <w:pPr>
              <w:pStyle w:val="EcorysBody"/>
              <w:rPr>
                <w:rFonts w:ascii="Arial" w:hAnsi="Arial" w:cs="Arial"/>
                <w:b/>
                <w:bCs/>
                <w:sz w:val="16"/>
                <w:szCs w:val="16"/>
              </w:rPr>
            </w:pPr>
            <w:r w:rsidRPr="001F151E">
              <w:rPr>
                <w:rFonts w:ascii="Arial" w:hAnsi="Arial" w:cs="Arial"/>
                <w:b/>
                <w:bCs/>
                <w:sz w:val="16"/>
                <w:szCs w:val="16"/>
              </w:rPr>
              <w:t>Partner</w:t>
            </w:r>
            <w:r w:rsidR="00D7294C">
              <w:rPr>
                <w:rFonts w:ascii="Arial" w:hAnsi="Arial" w:cs="Arial"/>
                <w:b/>
                <w:bCs/>
                <w:sz w:val="16"/>
                <w:szCs w:val="16"/>
              </w:rPr>
              <w:t>ë</w:t>
            </w:r>
            <w:r w:rsidR="00D11124">
              <w:rPr>
                <w:rFonts w:ascii="Arial" w:hAnsi="Arial" w:cs="Arial"/>
                <w:b/>
                <w:bCs/>
                <w:sz w:val="16"/>
                <w:szCs w:val="16"/>
              </w:rPr>
              <w:t>t</w:t>
            </w:r>
            <w:r w:rsidRPr="001F151E">
              <w:rPr>
                <w:rFonts w:ascii="Arial" w:hAnsi="Arial" w:cs="Arial"/>
                <w:b/>
                <w:bCs/>
                <w:sz w:val="16"/>
                <w:szCs w:val="16"/>
              </w:rPr>
              <w:t>:</w:t>
            </w:r>
          </w:p>
          <w:p w14:paraId="240BC059" w14:textId="4F5BD874" w:rsidR="00A846BA" w:rsidRPr="001F151E" w:rsidRDefault="00D11124" w:rsidP="00A846BA">
            <w:pPr>
              <w:pStyle w:val="EcorysBody"/>
              <w:rPr>
                <w:rFonts w:ascii="Arial" w:hAnsi="Arial" w:cs="Arial"/>
                <w:sz w:val="16"/>
                <w:szCs w:val="16"/>
              </w:rPr>
            </w:pPr>
            <w:r>
              <w:rPr>
                <w:rFonts w:ascii="Arial" w:hAnsi="Arial" w:cs="Arial"/>
                <w:sz w:val="16"/>
                <w:szCs w:val="16"/>
              </w:rPr>
              <w:t>BE</w:t>
            </w:r>
            <w:r w:rsidR="00A846BA" w:rsidRPr="001F151E">
              <w:rPr>
                <w:rStyle w:val="FootnoteReference"/>
                <w:rFonts w:cs="Arial"/>
              </w:rPr>
              <w:footnoteReference w:id="19"/>
            </w:r>
          </w:p>
        </w:tc>
      </w:tr>
      <w:tr w:rsidR="009E0E66" w:rsidRPr="001F151E" w14:paraId="27BA0CB5" w14:textId="77777777" w:rsidTr="009C46C7">
        <w:trPr>
          <w:trHeight w:val="20"/>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0DD95A61" w14:textId="77777777" w:rsidR="00A846BA" w:rsidRPr="001F151E" w:rsidRDefault="00A846BA" w:rsidP="00A846BA">
            <w:pPr>
              <w:spacing w:line="240" w:lineRule="auto"/>
              <w:rPr>
                <w:sz w:val="16"/>
                <w:szCs w:val="16"/>
              </w:rPr>
            </w:pPr>
          </w:p>
        </w:tc>
        <w:tc>
          <w:tcPr>
            <w:tcW w:w="3780" w:type="dxa"/>
            <w:tcBorders>
              <w:top w:val="single" w:sz="4" w:space="0" w:color="auto"/>
              <w:left w:val="single" w:sz="4" w:space="0" w:color="auto"/>
              <w:right w:val="single" w:sz="4" w:space="0" w:color="auto"/>
            </w:tcBorders>
            <w:vAlign w:val="center"/>
            <w:hideMark/>
          </w:tcPr>
          <w:p w14:paraId="666CF528" w14:textId="5F823D0D" w:rsidR="00A846BA" w:rsidRPr="001F151E" w:rsidRDefault="00D11124" w:rsidP="00A846BA">
            <w:pPr>
              <w:pStyle w:val="ListParagraph"/>
              <w:numPr>
                <w:ilvl w:val="0"/>
                <w:numId w:val="22"/>
              </w:numPr>
              <w:rPr>
                <w:sz w:val="16"/>
                <w:szCs w:val="16"/>
              </w:rPr>
            </w:pPr>
            <w:r>
              <w:rPr>
                <w:sz w:val="16"/>
                <w:szCs w:val="16"/>
              </w:rPr>
              <w:t>Pilotimi i rishikimit t</w:t>
            </w:r>
            <w:r w:rsidR="00D7294C">
              <w:rPr>
                <w:sz w:val="16"/>
                <w:szCs w:val="16"/>
              </w:rPr>
              <w:t>ë</w:t>
            </w:r>
            <w:r>
              <w:rPr>
                <w:sz w:val="16"/>
                <w:szCs w:val="16"/>
              </w:rPr>
              <w:t xml:space="preserve"> shpenzimeve n</w:t>
            </w:r>
            <w:r w:rsidR="00D7294C">
              <w:rPr>
                <w:sz w:val="16"/>
                <w:szCs w:val="16"/>
              </w:rPr>
              <w:t>ë</w:t>
            </w:r>
            <w:r>
              <w:rPr>
                <w:sz w:val="16"/>
                <w:szCs w:val="16"/>
              </w:rPr>
              <w:t xml:space="preserve"> sektor</w:t>
            </w:r>
            <w:r w:rsidR="00D7294C">
              <w:rPr>
                <w:sz w:val="16"/>
                <w:szCs w:val="16"/>
              </w:rPr>
              <w:t>ë</w:t>
            </w:r>
            <w:r>
              <w:rPr>
                <w:sz w:val="16"/>
                <w:szCs w:val="16"/>
              </w:rPr>
              <w:t>/institucione buxhetore t</w:t>
            </w:r>
            <w:r w:rsidR="00D7294C">
              <w:rPr>
                <w:sz w:val="16"/>
                <w:szCs w:val="16"/>
              </w:rPr>
              <w:t>ë</w:t>
            </w:r>
            <w:r>
              <w:rPr>
                <w:sz w:val="16"/>
                <w:szCs w:val="16"/>
              </w:rPr>
              <w:t xml:space="preserve"> p</w:t>
            </w:r>
            <w:r w:rsidR="00D7294C">
              <w:rPr>
                <w:sz w:val="16"/>
                <w:szCs w:val="16"/>
              </w:rPr>
              <w:t>ë</w:t>
            </w:r>
            <w:r>
              <w:rPr>
                <w:sz w:val="16"/>
                <w:szCs w:val="16"/>
              </w:rPr>
              <w:t>rzgjedhura; p</w:t>
            </w:r>
            <w:r w:rsidR="00D7294C">
              <w:rPr>
                <w:sz w:val="16"/>
                <w:szCs w:val="16"/>
              </w:rPr>
              <w:t>ë</w:t>
            </w:r>
            <w:r>
              <w:rPr>
                <w:sz w:val="16"/>
                <w:szCs w:val="16"/>
              </w:rPr>
              <w:t>rshtatja e metodologjis</w:t>
            </w:r>
            <w:r w:rsidR="00D7294C">
              <w:rPr>
                <w:sz w:val="16"/>
                <w:szCs w:val="16"/>
              </w:rPr>
              <w:t>ë</w:t>
            </w:r>
            <w:r>
              <w:rPr>
                <w:sz w:val="16"/>
                <w:szCs w:val="16"/>
              </w:rPr>
              <w:t xml:space="preserve"> dhe shtrirja n</w:t>
            </w:r>
            <w:r w:rsidR="00D7294C">
              <w:rPr>
                <w:sz w:val="16"/>
                <w:szCs w:val="16"/>
              </w:rPr>
              <w:t>ë</w:t>
            </w:r>
            <w:r>
              <w:rPr>
                <w:sz w:val="16"/>
                <w:szCs w:val="16"/>
              </w:rPr>
              <w:t xml:space="preserve"> sektor</w:t>
            </w:r>
            <w:r w:rsidR="00D7294C">
              <w:rPr>
                <w:sz w:val="16"/>
                <w:szCs w:val="16"/>
              </w:rPr>
              <w:t>ë</w:t>
            </w:r>
            <w:r>
              <w:rPr>
                <w:sz w:val="16"/>
                <w:szCs w:val="16"/>
              </w:rPr>
              <w:t xml:space="preserve"> t</w:t>
            </w:r>
            <w:r w:rsidR="00D7294C">
              <w:rPr>
                <w:sz w:val="16"/>
                <w:szCs w:val="16"/>
              </w:rPr>
              <w:t>ë</w:t>
            </w:r>
            <w:r>
              <w:rPr>
                <w:sz w:val="16"/>
                <w:szCs w:val="16"/>
              </w:rPr>
              <w:t xml:space="preserve"> tjer</w:t>
            </w:r>
            <w:r w:rsidR="00D7294C">
              <w:rPr>
                <w:sz w:val="16"/>
                <w:szCs w:val="16"/>
              </w:rPr>
              <w:t>ë</w:t>
            </w:r>
            <w:r>
              <w:rPr>
                <w:sz w:val="16"/>
                <w:szCs w:val="16"/>
              </w:rPr>
              <w:t xml:space="preserve"> n</w:t>
            </w:r>
            <w:r w:rsidR="00D7294C">
              <w:rPr>
                <w:sz w:val="16"/>
                <w:szCs w:val="16"/>
              </w:rPr>
              <w:t>ë</w:t>
            </w:r>
            <w:r>
              <w:rPr>
                <w:sz w:val="16"/>
                <w:szCs w:val="16"/>
              </w:rPr>
              <w:t>p</w:t>
            </w:r>
            <w:r w:rsidR="00D7294C">
              <w:rPr>
                <w:sz w:val="16"/>
                <w:szCs w:val="16"/>
              </w:rPr>
              <w:t>ë</w:t>
            </w:r>
            <w:r>
              <w:rPr>
                <w:sz w:val="16"/>
                <w:szCs w:val="16"/>
              </w:rPr>
              <w:t>rmjet aktiviteteve t</w:t>
            </w:r>
            <w:r w:rsidR="00D7294C">
              <w:rPr>
                <w:sz w:val="16"/>
                <w:szCs w:val="16"/>
              </w:rPr>
              <w:t>ë</w:t>
            </w:r>
            <w:r>
              <w:rPr>
                <w:sz w:val="16"/>
                <w:szCs w:val="16"/>
              </w:rPr>
              <w:t xml:space="preserve"> zhvillimit t</w:t>
            </w:r>
            <w:r w:rsidR="00D7294C">
              <w:rPr>
                <w:sz w:val="16"/>
                <w:szCs w:val="16"/>
              </w:rPr>
              <w:t>ë</w:t>
            </w:r>
            <w:r>
              <w:rPr>
                <w:sz w:val="16"/>
                <w:szCs w:val="16"/>
              </w:rPr>
              <w:t xml:space="preserve"> kapaciteteve </w:t>
            </w:r>
          </w:p>
        </w:tc>
        <w:tc>
          <w:tcPr>
            <w:tcW w:w="768" w:type="dxa"/>
            <w:tcBorders>
              <w:top w:val="single" w:sz="4" w:space="0" w:color="auto"/>
              <w:left w:val="single" w:sz="4" w:space="0" w:color="auto"/>
              <w:right w:val="single" w:sz="4" w:space="0" w:color="auto"/>
            </w:tcBorders>
            <w:vAlign w:val="center"/>
          </w:tcPr>
          <w:p w14:paraId="7D05E907" w14:textId="1D4BB19C" w:rsidR="00A846BA" w:rsidRPr="001F151E" w:rsidRDefault="001808D7" w:rsidP="00A846BA">
            <w:pPr>
              <w:jc w:val="center"/>
              <w:rPr>
                <w:color w:val="FF0000"/>
                <w:sz w:val="16"/>
                <w:szCs w:val="16"/>
              </w:rPr>
            </w:pPr>
            <w:r>
              <w:rPr>
                <w:sz w:val="16"/>
                <w:szCs w:val="16"/>
              </w:rPr>
              <w:t>T</w:t>
            </w:r>
            <w:r w:rsidR="00A846BA">
              <w:rPr>
                <w:sz w:val="16"/>
                <w:szCs w:val="16"/>
              </w:rPr>
              <w:t>1 2026</w:t>
            </w:r>
          </w:p>
        </w:tc>
        <w:tc>
          <w:tcPr>
            <w:tcW w:w="852" w:type="dxa"/>
            <w:tcBorders>
              <w:top w:val="single" w:sz="4" w:space="0" w:color="auto"/>
              <w:left w:val="single" w:sz="4" w:space="0" w:color="auto"/>
              <w:right w:val="single" w:sz="4" w:space="0" w:color="auto"/>
            </w:tcBorders>
            <w:vAlign w:val="center"/>
          </w:tcPr>
          <w:p w14:paraId="66C9A827" w14:textId="46659C44" w:rsidR="00A846BA" w:rsidRPr="001F151E" w:rsidRDefault="001808D7" w:rsidP="00A846BA">
            <w:pPr>
              <w:jc w:val="center"/>
              <w:rPr>
                <w:sz w:val="16"/>
                <w:szCs w:val="16"/>
              </w:rPr>
            </w:pPr>
            <w:r>
              <w:rPr>
                <w:sz w:val="16"/>
                <w:szCs w:val="16"/>
              </w:rPr>
              <w:t>T</w:t>
            </w:r>
            <w:r w:rsidR="00A846BA">
              <w:rPr>
                <w:sz w:val="16"/>
                <w:szCs w:val="16"/>
              </w:rPr>
              <w:t>4 2026</w:t>
            </w: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144CEAF" w14:textId="77777777" w:rsidR="00A846BA" w:rsidRPr="001F151E" w:rsidRDefault="00A846BA" w:rsidP="00A846BA">
            <w:pPr>
              <w:spacing w:line="240" w:lineRule="auto"/>
              <w:rPr>
                <w:sz w:val="16"/>
                <w:szCs w:val="16"/>
              </w:rPr>
            </w:pPr>
          </w:p>
        </w:tc>
      </w:tr>
      <w:tr w:rsidR="009E0E66" w:rsidRPr="001F151E" w14:paraId="4E702A1B" w14:textId="77777777" w:rsidTr="009C46C7">
        <w:trPr>
          <w:trHeight w:val="20"/>
        </w:trPr>
        <w:tc>
          <w:tcPr>
            <w:tcW w:w="2335" w:type="dxa"/>
            <w:vMerge w:val="restart"/>
            <w:tcBorders>
              <w:top w:val="single" w:sz="4" w:space="0" w:color="auto"/>
              <w:left w:val="single" w:sz="4" w:space="0" w:color="auto"/>
              <w:right w:val="single" w:sz="4" w:space="0" w:color="auto"/>
            </w:tcBorders>
            <w:hideMark/>
          </w:tcPr>
          <w:p w14:paraId="31F84AC8" w14:textId="7C985B01" w:rsidR="00B76369" w:rsidRDefault="00F45F0B" w:rsidP="00A846BA">
            <w:pPr>
              <w:rPr>
                <w:b/>
                <w:bCs/>
                <w:sz w:val="16"/>
                <w:szCs w:val="16"/>
              </w:rPr>
            </w:pPr>
            <w:r w:rsidRPr="001F151E">
              <w:rPr>
                <w:b/>
                <w:bCs/>
                <w:sz w:val="16"/>
                <w:szCs w:val="16"/>
              </w:rPr>
              <w:t>M</w:t>
            </w:r>
            <w:r w:rsidR="001808D7">
              <w:rPr>
                <w:b/>
                <w:bCs/>
                <w:sz w:val="16"/>
                <w:szCs w:val="16"/>
              </w:rPr>
              <w:t>asa</w:t>
            </w:r>
            <w:r w:rsidRPr="001F151E">
              <w:rPr>
                <w:b/>
                <w:bCs/>
                <w:sz w:val="16"/>
                <w:szCs w:val="16"/>
              </w:rPr>
              <w:t xml:space="preserve"> 2.2.4 </w:t>
            </w:r>
          </w:p>
          <w:p w14:paraId="27863C45" w14:textId="66130151" w:rsidR="00F45F0B" w:rsidRPr="001F151E" w:rsidRDefault="001808D7" w:rsidP="008165C9">
            <w:pPr>
              <w:rPr>
                <w:sz w:val="16"/>
                <w:szCs w:val="16"/>
              </w:rPr>
            </w:pPr>
            <w:r>
              <w:rPr>
                <w:b/>
                <w:bCs/>
                <w:sz w:val="16"/>
                <w:szCs w:val="16"/>
              </w:rPr>
              <w:t>Zhvillimi dhe prezantimi i m</w:t>
            </w:r>
            <w:r w:rsidR="00D7294C">
              <w:rPr>
                <w:b/>
                <w:bCs/>
                <w:sz w:val="16"/>
                <w:szCs w:val="16"/>
              </w:rPr>
              <w:t>ë</w:t>
            </w:r>
            <w:r>
              <w:rPr>
                <w:b/>
                <w:bCs/>
                <w:sz w:val="16"/>
                <w:szCs w:val="16"/>
              </w:rPr>
              <w:t>tejsh</w:t>
            </w:r>
            <w:r w:rsidR="00D7294C">
              <w:rPr>
                <w:b/>
                <w:bCs/>
                <w:sz w:val="16"/>
                <w:szCs w:val="16"/>
              </w:rPr>
              <w:t>ë</w:t>
            </w:r>
            <w:r>
              <w:rPr>
                <w:b/>
                <w:bCs/>
                <w:sz w:val="16"/>
                <w:szCs w:val="16"/>
              </w:rPr>
              <w:t>m i buxhetimit t</w:t>
            </w:r>
            <w:r w:rsidR="00D7294C">
              <w:rPr>
                <w:b/>
                <w:bCs/>
                <w:sz w:val="16"/>
                <w:szCs w:val="16"/>
              </w:rPr>
              <w:t>ë</w:t>
            </w:r>
            <w:r>
              <w:rPr>
                <w:b/>
                <w:bCs/>
                <w:sz w:val="16"/>
                <w:szCs w:val="16"/>
              </w:rPr>
              <w:t xml:space="preserve"> p</w:t>
            </w:r>
            <w:r w:rsidR="00D7294C">
              <w:rPr>
                <w:b/>
                <w:bCs/>
                <w:sz w:val="16"/>
                <w:szCs w:val="16"/>
              </w:rPr>
              <w:t>ë</w:t>
            </w:r>
            <w:r>
              <w:rPr>
                <w:b/>
                <w:bCs/>
                <w:sz w:val="16"/>
                <w:szCs w:val="16"/>
              </w:rPr>
              <w:t>rgj</w:t>
            </w:r>
            <w:r w:rsidR="008165C9">
              <w:rPr>
                <w:b/>
                <w:bCs/>
                <w:sz w:val="16"/>
                <w:szCs w:val="16"/>
              </w:rPr>
              <w:t>i</w:t>
            </w:r>
            <w:r>
              <w:rPr>
                <w:b/>
                <w:bCs/>
                <w:sz w:val="16"/>
                <w:szCs w:val="16"/>
              </w:rPr>
              <w:t>gjsh</w:t>
            </w:r>
            <w:r w:rsidR="00D7294C">
              <w:rPr>
                <w:b/>
                <w:bCs/>
                <w:sz w:val="16"/>
                <w:szCs w:val="16"/>
              </w:rPr>
              <w:t>ë</w:t>
            </w:r>
            <w:r>
              <w:rPr>
                <w:b/>
                <w:bCs/>
                <w:sz w:val="16"/>
                <w:szCs w:val="16"/>
              </w:rPr>
              <w:t>m gjinor dhe buxhetimit t</w:t>
            </w:r>
            <w:r w:rsidR="00D7294C">
              <w:rPr>
                <w:b/>
                <w:bCs/>
                <w:sz w:val="16"/>
                <w:szCs w:val="16"/>
              </w:rPr>
              <w:t>ë</w:t>
            </w:r>
            <w:r>
              <w:rPr>
                <w:b/>
                <w:bCs/>
                <w:sz w:val="16"/>
                <w:szCs w:val="16"/>
              </w:rPr>
              <w:t xml:space="preserve"> p</w:t>
            </w:r>
            <w:r w:rsidR="00D7294C">
              <w:rPr>
                <w:b/>
                <w:bCs/>
                <w:sz w:val="16"/>
                <w:szCs w:val="16"/>
              </w:rPr>
              <w:t>ë</w:t>
            </w:r>
            <w:r>
              <w:rPr>
                <w:b/>
                <w:bCs/>
                <w:sz w:val="16"/>
                <w:szCs w:val="16"/>
              </w:rPr>
              <w:t>rgj</w:t>
            </w:r>
            <w:r w:rsidR="008165C9">
              <w:rPr>
                <w:b/>
                <w:bCs/>
                <w:sz w:val="16"/>
                <w:szCs w:val="16"/>
              </w:rPr>
              <w:t>i</w:t>
            </w:r>
            <w:r>
              <w:rPr>
                <w:b/>
                <w:bCs/>
                <w:sz w:val="16"/>
                <w:szCs w:val="16"/>
              </w:rPr>
              <w:t>gjsh</w:t>
            </w:r>
            <w:r w:rsidR="00D7294C">
              <w:rPr>
                <w:b/>
                <w:bCs/>
                <w:sz w:val="16"/>
                <w:szCs w:val="16"/>
              </w:rPr>
              <w:t>ë</w:t>
            </w:r>
            <w:r>
              <w:rPr>
                <w:b/>
                <w:bCs/>
                <w:sz w:val="16"/>
                <w:szCs w:val="16"/>
              </w:rPr>
              <w:t>m ndaj klim</w:t>
            </w:r>
            <w:r w:rsidR="00D7294C">
              <w:rPr>
                <w:b/>
                <w:bCs/>
                <w:sz w:val="16"/>
                <w:szCs w:val="16"/>
              </w:rPr>
              <w:t>ë</w:t>
            </w:r>
            <w:r>
              <w:rPr>
                <w:b/>
                <w:bCs/>
                <w:sz w:val="16"/>
                <w:szCs w:val="16"/>
              </w:rPr>
              <w:t>s</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3C2E59A" w14:textId="25B9F38B" w:rsidR="00F45F0B" w:rsidRPr="001F151E" w:rsidRDefault="00D24B14" w:rsidP="00AF1126">
            <w:pPr>
              <w:pStyle w:val="ListParagraph"/>
              <w:numPr>
                <w:ilvl w:val="0"/>
                <w:numId w:val="23"/>
              </w:numPr>
              <w:rPr>
                <w:sz w:val="16"/>
                <w:szCs w:val="16"/>
              </w:rPr>
            </w:pPr>
            <w:r>
              <w:rPr>
                <w:sz w:val="16"/>
                <w:szCs w:val="16"/>
              </w:rPr>
              <w:t>Rishikimi i metodologjis</w:t>
            </w:r>
            <w:r w:rsidR="00D7294C">
              <w:rPr>
                <w:sz w:val="16"/>
                <w:szCs w:val="16"/>
              </w:rPr>
              <w:t>ë</w:t>
            </w:r>
            <w:r>
              <w:rPr>
                <w:sz w:val="16"/>
                <w:szCs w:val="16"/>
              </w:rPr>
              <w:t xml:space="preserve"> s</w:t>
            </w:r>
            <w:r w:rsidR="00D7294C">
              <w:rPr>
                <w:sz w:val="16"/>
                <w:szCs w:val="16"/>
              </w:rPr>
              <w:t>ë</w:t>
            </w:r>
            <w:r>
              <w:rPr>
                <w:sz w:val="16"/>
                <w:szCs w:val="16"/>
              </w:rPr>
              <w:t xml:space="preserve"> buxhetit p</w:t>
            </w:r>
            <w:r w:rsidR="00D7294C">
              <w:rPr>
                <w:sz w:val="16"/>
                <w:szCs w:val="16"/>
              </w:rPr>
              <w:t>ë</w:t>
            </w:r>
            <w:r>
              <w:rPr>
                <w:sz w:val="16"/>
                <w:szCs w:val="16"/>
              </w:rPr>
              <w:t>r t</w:t>
            </w:r>
            <w:r w:rsidR="00D7294C">
              <w:rPr>
                <w:sz w:val="16"/>
                <w:szCs w:val="16"/>
              </w:rPr>
              <w:t>ë</w:t>
            </w:r>
            <w:r>
              <w:rPr>
                <w:sz w:val="16"/>
                <w:szCs w:val="16"/>
              </w:rPr>
              <w:t xml:space="preserve"> p</w:t>
            </w:r>
            <w:r w:rsidR="00D7294C">
              <w:rPr>
                <w:sz w:val="16"/>
                <w:szCs w:val="16"/>
              </w:rPr>
              <w:t>ë</w:t>
            </w:r>
            <w:r>
              <w:rPr>
                <w:sz w:val="16"/>
                <w:szCs w:val="16"/>
              </w:rPr>
              <w:t>rfshir</w:t>
            </w:r>
            <w:r w:rsidR="00D7294C">
              <w:rPr>
                <w:sz w:val="16"/>
                <w:szCs w:val="16"/>
              </w:rPr>
              <w:t>ë</w:t>
            </w:r>
            <w:r>
              <w:rPr>
                <w:sz w:val="16"/>
                <w:szCs w:val="16"/>
              </w:rPr>
              <w:t xml:space="preserve"> analiz</w:t>
            </w:r>
            <w:r w:rsidR="00D7294C">
              <w:rPr>
                <w:sz w:val="16"/>
                <w:szCs w:val="16"/>
              </w:rPr>
              <w:t>ë</w:t>
            </w:r>
            <w:r>
              <w:rPr>
                <w:sz w:val="16"/>
                <w:szCs w:val="16"/>
              </w:rPr>
              <w:t>n gjinore ex ante dhe ex post si nj</w:t>
            </w:r>
            <w:r w:rsidR="00D7294C">
              <w:rPr>
                <w:sz w:val="16"/>
                <w:szCs w:val="16"/>
              </w:rPr>
              <w:t>ë</w:t>
            </w:r>
            <w:r>
              <w:rPr>
                <w:sz w:val="16"/>
                <w:szCs w:val="16"/>
              </w:rPr>
              <w:t xml:space="preserve"> procedur</w:t>
            </w:r>
            <w:r w:rsidR="00D7294C">
              <w:rPr>
                <w:sz w:val="16"/>
                <w:szCs w:val="16"/>
              </w:rPr>
              <w:t>ë</w:t>
            </w:r>
            <w:r>
              <w:rPr>
                <w:sz w:val="16"/>
                <w:szCs w:val="16"/>
              </w:rPr>
              <w:t xml:space="preserve"> q</w:t>
            </w:r>
            <w:r w:rsidR="00D7294C">
              <w:rPr>
                <w:sz w:val="16"/>
                <w:szCs w:val="16"/>
              </w:rPr>
              <w:t>ë</w:t>
            </w:r>
            <w:r>
              <w:rPr>
                <w:sz w:val="16"/>
                <w:szCs w:val="16"/>
              </w:rPr>
              <w:t xml:space="preserve"> do t</w:t>
            </w:r>
            <w:r w:rsidR="00D7294C">
              <w:rPr>
                <w:sz w:val="16"/>
                <w:szCs w:val="16"/>
              </w:rPr>
              <w:t>ë</w:t>
            </w:r>
            <w:r>
              <w:rPr>
                <w:sz w:val="16"/>
                <w:szCs w:val="16"/>
              </w:rPr>
              <w:t xml:space="preserve"> nd</w:t>
            </w:r>
            <w:r w:rsidR="00D7294C">
              <w:rPr>
                <w:sz w:val="16"/>
                <w:szCs w:val="16"/>
              </w:rPr>
              <w:t>ë</w:t>
            </w:r>
            <w:r>
              <w:rPr>
                <w:sz w:val="16"/>
                <w:szCs w:val="16"/>
              </w:rPr>
              <w:t>rmerret nga Ministrit</w:t>
            </w:r>
            <w:r w:rsidR="00D7294C">
              <w:rPr>
                <w:sz w:val="16"/>
                <w:szCs w:val="16"/>
              </w:rPr>
              <w:t>ë</w:t>
            </w:r>
            <w:r>
              <w:rPr>
                <w:sz w:val="16"/>
                <w:szCs w:val="16"/>
              </w:rPr>
              <w:t xml:space="preserve"> e Linj</w:t>
            </w:r>
            <w:r w:rsidR="00D7294C">
              <w:rPr>
                <w:sz w:val="16"/>
                <w:szCs w:val="16"/>
              </w:rPr>
              <w:t>ë</w:t>
            </w:r>
            <w:r>
              <w:rPr>
                <w:sz w:val="16"/>
                <w:szCs w:val="16"/>
              </w:rPr>
              <w:t>s dhe Institucionet Buxhetore n</w:t>
            </w:r>
            <w:r w:rsidR="00D7294C">
              <w:rPr>
                <w:sz w:val="16"/>
                <w:szCs w:val="16"/>
              </w:rPr>
              <w:t>ë</w:t>
            </w:r>
            <w:r>
              <w:rPr>
                <w:sz w:val="16"/>
                <w:szCs w:val="16"/>
              </w:rPr>
              <w:t xml:space="preserve"> procesin e propozimit t</w:t>
            </w:r>
            <w:r w:rsidR="00D7294C">
              <w:rPr>
                <w:sz w:val="16"/>
                <w:szCs w:val="16"/>
              </w:rPr>
              <w:t>ë</w:t>
            </w:r>
            <w:r>
              <w:rPr>
                <w:sz w:val="16"/>
                <w:szCs w:val="16"/>
              </w:rPr>
              <w:t xml:space="preserve"> </w:t>
            </w:r>
            <w:r w:rsidR="00AF1126">
              <w:rPr>
                <w:sz w:val="16"/>
                <w:szCs w:val="16"/>
              </w:rPr>
              <w:t>iniciativave të politikave të reja</w:t>
            </w:r>
          </w:p>
        </w:tc>
        <w:tc>
          <w:tcPr>
            <w:tcW w:w="768" w:type="dxa"/>
            <w:tcBorders>
              <w:top w:val="single" w:sz="4" w:space="0" w:color="auto"/>
              <w:left w:val="single" w:sz="4" w:space="0" w:color="auto"/>
              <w:bottom w:val="single" w:sz="4" w:space="0" w:color="auto"/>
              <w:right w:val="single" w:sz="4" w:space="0" w:color="auto"/>
            </w:tcBorders>
            <w:vAlign w:val="center"/>
          </w:tcPr>
          <w:p w14:paraId="46EF2A2C" w14:textId="0B7149DD" w:rsidR="00F45F0B" w:rsidRPr="001F151E" w:rsidRDefault="001808D7" w:rsidP="00A846BA">
            <w:pPr>
              <w:jc w:val="center"/>
              <w:rPr>
                <w:color w:val="FF0000"/>
                <w:sz w:val="16"/>
                <w:szCs w:val="16"/>
              </w:rPr>
            </w:pPr>
            <w:r>
              <w:rPr>
                <w:sz w:val="16"/>
                <w:szCs w:val="16"/>
              </w:rPr>
              <w:t>T</w:t>
            </w:r>
            <w:r w:rsidR="00F45F0B">
              <w:rPr>
                <w:sz w:val="16"/>
                <w:szCs w:val="16"/>
              </w:rPr>
              <w:t>1 2025</w:t>
            </w:r>
          </w:p>
        </w:tc>
        <w:tc>
          <w:tcPr>
            <w:tcW w:w="852" w:type="dxa"/>
            <w:tcBorders>
              <w:top w:val="single" w:sz="4" w:space="0" w:color="auto"/>
              <w:left w:val="single" w:sz="4" w:space="0" w:color="auto"/>
              <w:bottom w:val="single" w:sz="4" w:space="0" w:color="auto"/>
              <w:right w:val="single" w:sz="4" w:space="0" w:color="auto"/>
            </w:tcBorders>
            <w:vAlign w:val="center"/>
          </w:tcPr>
          <w:p w14:paraId="6031C308" w14:textId="5C089B64" w:rsidR="00F45F0B" w:rsidRPr="001F151E" w:rsidRDefault="001808D7" w:rsidP="00A846BA">
            <w:pPr>
              <w:jc w:val="center"/>
              <w:rPr>
                <w:sz w:val="16"/>
                <w:szCs w:val="16"/>
              </w:rPr>
            </w:pPr>
            <w:r>
              <w:rPr>
                <w:sz w:val="16"/>
                <w:szCs w:val="16"/>
              </w:rPr>
              <w:t>T</w:t>
            </w:r>
            <w:r w:rsidR="00F45F0B">
              <w:rPr>
                <w:sz w:val="16"/>
                <w:szCs w:val="16"/>
              </w:rPr>
              <w:t>3 2025</w:t>
            </w:r>
          </w:p>
        </w:tc>
        <w:tc>
          <w:tcPr>
            <w:tcW w:w="1281" w:type="dxa"/>
            <w:vMerge w:val="restart"/>
            <w:tcBorders>
              <w:top w:val="single" w:sz="4" w:space="0" w:color="auto"/>
              <w:left w:val="single" w:sz="4" w:space="0" w:color="auto"/>
              <w:right w:val="single" w:sz="4" w:space="0" w:color="auto"/>
            </w:tcBorders>
          </w:tcPr>
          <w:p w14:paraId="7013FD12" w14:textId="0041F8E0" w:rsidR="00F45F0B" w:rsidRPr="001F151E" w:rsidRDefault="00D11124" w:rsidP="00A846BA">
            <w:pPr>
              <w:pStyle w:val="T-normal"/>
              <w:rPr>
                <w:b/>
                <w:bCs/>
              </w:rPr>
            </w:pPr>
            <w:r>
              <w:rPr>
                <w:b/>
                <w:bCs/>
              </w:rPr>
              <w:t>Nj</w:t>
            </w:r>
            <w:r w:rsidR="00D7294C">
              <w:rPr>
                <w:b/>
                <w:bCs/>
              </w:rPr>
              <w:t>ë</w:t>
            </w:r>
            <w:r>
              <w:rPr>
                <w:b/>
                <w:bCs/>
              </w:rPr>
              <w:t>sit</w:t>
            </w:r>
            <w:r w:rsidR="00D7294C">
              <w:rPr>
                <w:b/>
                <w:bCs/>
              </w:rPr>
              <w:t>ë</w:t>
            </w:r>
            <w:r>
              <w:rPr>
                <w:b/>
                <w:bCs/>
              </w:rPr>
              <w:t xml:space="preserve"> p</w:t>
            </w:r>
            <w:r w:rsidR="00D7294C">
              <w:rPr>
                <w:b/>
                <w:bCs/>
              </w:rPr>
              <w:t>ë</w:t>
            </w:r>
            <w:r>
              <w:rPr>
                <w:b/>
                <w:bCs/>
              </w:rPr>
              <w:t>rgjegj</w:t>
            </w:r>
            <w:r w:rsidR="00D7294C">
              <w:rPr>
                <w:b/>
                <w:bCs/>
              </w:rPr>
              <w:t>ë</w:t>
            </w:r>
            <w:r>
              <w:rPr>
                <w:b/>
                <w:bCs/>
              </w:rPr>
              <w:t>se</w:t>
            </w:r>
            <w:r w:rsidR="00F45F0B" w:rsidRPr="001F151E">
              <w:rPr>
                <w:b/>
                <w:bCs/>
              </w:rPr>
              <w:t>:</w:t>
            </w:r>
          </w:p>
          <w:p w14:paraId="49E07C59" w14:textId="6C557761" w:rsidR="00F45F0B" w:rsidRPr="001F151E" w:rsidRDefault="00D11124" w:rsidP="00A846BA">
            <w:pPr>
              <w:pStyle w:val="T-normal"/>
            </w:pPr>
            <w:r>
              <w:t>DAPB (lider</w:t>
            </w:r>
            <w:r w:rsidR="00F45F0B" w:rsidRPr="001F151E">
              <w:t>)</w:t>
            </w:r>
          </w:p>
          <w:p w14:paraId="440F2FE2" w14:textId="77777777" w:rsidR="00F45F0B" w:rsidRPr="001F151E" w:rsidRDefault="00F45F0B" w:rsidP="00A846BA">
            <w:pPr>
              <w:pStyle w:val="T-normal"/>
            </w:pPr>
          </w:p>
          <w:p w14:paraId="15ACCADE" w14:textId="4887CDEA" w:rsidR="00F45F0B" w:rsidRPr="001F151E" w:rsidRDefault="00D11124" w:rsidP="00A846BA">
            <w:pPr>
              <w:pStyle w:val="EcorysBody"/>
              <w:rPr>
                <w:b/>
                <w:bCs/>
                <w:sz w:val="16"/>
                <w:szCs w:val="16"/>
              </w:rPr>
            </w:pPr>
            <w:r>
              <w:rPr>
                <w:rFonts w:ascii="Arial" w:hAnsi="Arial" w:cs="Arial"/>
                <w:b/>
                <w:bCs/>
                <w:kern w:val="2"/>
                <w:sz w:val="16"/>
                <w:szCs w:val="16"/>
                <w14:ligatures w14:val="standardContextual"/>
              </w:rPr>
              <w:t>Partner</w:t>
            </w:r>
            <w:r w:rsidR="00D7294C">
              <w:rPr>
                <w:rFonts w:ascii="Arial" w:hAnsi="Arial" w:cs="Arial"/>
                <w:b/>
                <w:bCs/>
                <w:kern w:val="2"/>
                <w:sz w:val="16"/>
                <w:szCs w:val="16"/>
                <w14:ligatures w14:val="standardContextual"/>
              </w:rPr>
              <w:t>ë</w:t>
            </w:r>
            <w:r>
              <w:rPr>
                <w:rFonts w:ascii="Arial" w:hAnsi="Arial" w:cs="Arial"/>
                <w:b/>
                <w:bCs/>
                <w:kern w:val="2"/>
                <w:sz w:val="16"/>
                <w:szCs w:val="16"/>
                <w14:ligatures w14:val="standardContextual"/>
              </w:rPr>
              <w:t>t</w:t>
            </w:r>
            <w:r w:rsidR="00F45F0B" w:rsidRPr="001F151E">
              <w:rPr>
                <w:rFonts w:ascii="Arial" w:hAnsi="Arial" w:cs="Arial"/>
                <w:b/>
                <w:bCs/>
                <w:kern w:val="2"/>
                <w:sz w:val="16"/>
                <w:szCs w:val="16"/>
                <w14:ligatures w14:val="standardContextual"/>
              </w:rPr>
              <w:t>:</w:t>
            </w:r>
          </w:p>
          <w:p w14:paraId="20EF715B" w14:textId="29CA5ED7" w:rsidR="00F45F0B" w:rsidRPr="001F151E" w:rsidRDefault="00F45F0B" w:rsidP="00A846BA">
            <w:pPr>
              <w:pStyle w:val="EcorysBody"/>
              <w:rPr>
                <w:rFonts w:ascii="Arial" w:hAnsi="Arial" w:cs="Arial"/>
                <w:sz w:val="16"/>
                <w:szCs w:val="16"/>
              </w:rPr>
            </w:pPr>
            <w:r w:rsidRPr="001F151E">
              <w:rPr>
                <w:rFonts w:ascii="Arial" w:hAnsi="Arial" w:cs="Arial"/>
                <w:sz w:val="16"/>
                <w:szCs w:val="16"/>
              </w:rPr>
              <w:t xml:space="preserve">UN </w:t>
            </w:r>
            <w:r w:rsidR="00AF1126">
              <w:rPr>
                <w:rFonts w:ascii="Arial" w:hAnsi="Arial" w:cs="Arial"/>
                <w:sz w:val="16"/>
                <w:szCs w:val="16"/>
              </w:rPr>
              <w:t>W</w:t>
            </w:r>
            <w:r w:rsidRPr="001F151E">
              <w:rPr>
                <w:rFonts w:ascii="Arial" w:hAnsi="Arial" w:cs="Arial"/>
                <w:sz w:val="16"/>
                <w:szCs w:val="16"/>
              </w:rPr>
              <w:t xml:space="preserve">omen, </w:t>
            </w:r>
            <w:r w:rsidR="00D11124">
              <w:rPr>
                <w:rFonts w:ascii="Arial" w:hAnsi="Arial" w:cs="Arial"/>
                <w:sz w:val="16"/>
                <w:szCs w:val="16"/>
              </w:rPr>
              <w:t>BB</w:t>
            </w:r>
            <w:r w:rsidRPr="001F151E">
              <w:rPr>
                <w:rFonts w:ascii="Arial" w:hAnsi="Arial" w:cs="Arial"/>
                <w:sz w:val="16"/>
                <w:szCs w:val="16"/>
              </w:rPr>
              <w:t xml:space="preserve"> </w:t>
            </w:r>
            <w:r w:rsidR="00D11124">
              <w:rPr>
                <w:rFonts w:ascii="Arial" w:hAnsi="Arial" w:cs="Arial"/>
                <w:sz w:val="16"/>
                <w:szCs w:val="16"/>
              </w:rPr>
              <w:t>dhe</w:t>
            </w:r>
            <w:r w:rsidRPr="001F151E">
              <w:rPr>
                <w:rFonts w:ascii="Arial" w:hAnsi="Arial" w:cs="Arial"/>
                <w:sz w:val="16"/>
                <w:szCs w:val="16"/>
              </w:rPr>
              <w:t xml:space="preserve"> GIZ</w:t>
            </w:r>
          </w:p>
          <w:p w14:paraId="1CDC6735" w14:textId="77777777" w:rsidR="00F45F0B" w:rsidRPr="001F151E" w:rsidRDefault="00F45F0B" w:rsidP="00A846BA">
            <w:pPr>
              <w:pStyle w:val="EcorysBody"/>
              <w:rPr>
                <w:rFonts w:ascii="Arial" w:hAnsi="Arial" w:cs="Arial"/>
                <w:sz w:val="16"/>
                <w:szCs w:val="16"/>
              </w:rPr>
            </w:pPr>
          </w:p>
        </w:tc>
      </w:tr>
      <w:tr w:rsidR="009E0E66" w:rsidRPr="001F151E" w14:paraId="4E3BB7E0" w14:textId="77777777" w:rsidTr="009C46C7">
        <w:trPr>
          <w:trHeight w:val="42"/>
        </w:trPr>
        <w:tc>
          <w:tcPr>
            <w:tcW w:w="2335" w:type="dxa"/>
            <w:vMerge/>
            <w:tcBorders>
              <w:left w:val="single" w:sz="4" w:space="0" w:color="auto"/>
              <w:right w:val="single" w:sz="4" w:space="0" w:color="auto"/>
            </w:tcBorders>
            <w:vAlign w:val="center"/>
            <w:hideMark/>
          </w:tcPr>
          <w:p w14:paraId="400C1D15" w14:textId="77777777" w:rsidR="00F45F0B" w:rsidRPr="001F151E" w:rsidRDefault="00F45F0B" w:rsidP="00A846BA">
            <w:pPr>
              <w:spacing w:line="240" w:lineRule="auto"/>
              <w:rPr>
                <w:sz w:val="16"/>
                <w:szCs w:val="16"/>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2BC48F37" w14:textId="36606061" w:rsidR="00F45F0B" w:rsidRPr="001F151E" w:rsidRDefault="00D24B14" w:rsidP="00A846BA">
            <w:pPr>
              <w:pStyle w:val="ListParagraph"/>
              <w:numPr>
                <w:ilvl w:val="0"/>
                <w:numId w:val="23"/>
              </w:numPr>
              <w:rPr>
                <w:sz w:val="16"/>
                <w:szCs w:val="16"/>
              </w:rPr>
            </w:pPr>
            <w:r>
              <w:rPr>
                <w:sz w:val="16"/>
                <w:szCs w:val="16"/>
              </w:rPr>
              <w:t>Ngritja e kapaciteteve p</w:t>
            </w:r>
            <w:r w:rsidR="00D7294C">
              <w:rPr>
                <w:sz w:val="16"/>
                <w:szCs w:val="16"/>
              </w:rPr>
              <w:t>ë</w:t>
            </w:r>
            <w:r>
              <w:rPr>
                <w:sz w:val="16"/>
                <w:szCs w:val="16"/>
              </w:rPr>
              <w:t>r ML-t</w:t>
            </w:r>
            <w:r w:rsidR="00D7294C">
              <w:rPr>
                <w:sz w:val="16"/>
                <w:szCs w:val="16"/>
              </w:rPr>
              <w:t>ë</w:t>
            </w:r>
            <w:r>
              <w:rPr>
                <w:sz w:val="16"/>
                <w:szCs w:val="16"/>
              </w:rPr>
              <w:t xml:space="preserve"> dhe IB-t</w:t>
            </w:r>
            <w:r w:rsidR="00D7294C">
              <w:rPr>
                <w:sz w:val="16"/>
                <w:szCs w:val="16"/>
              </w:rPr>
              <w:t>ë</w:t>
            </w:r>
            <w:r>
              <w:rPr>
                <w:sz w:val="16"/>
                <w:szCs w:val="16"/>
              </w:rPr>
              <w:t xml:space="preserve"> p</w:t>
            </w:r>
            <w:r w:rsidR="00D7294C">
              <w:rPr>
                <w:sz w:val="16"/>
                <w:szCs w:val="16"/>
              </w:rPr>
              <w:t>ë</w:t>
            </w:r>
            <w:r>
              <w:rPr>
                <w:sz w:val="16"/>
                <w:szCs w:val="16"/>
              </w:rPr>
              <w:t>r kryerjen e analiz</w:t>
            </w:r>
            <w:r w:rsidR="00D7294C">
              <w:rPr>
                <w:sz w:val="16"/>
                <w:szCs w:val="16"/>
              </w:rPr>
              <w:t>ë</w:t>
            </w:r>
            <w:r>
              <w:rPr>
                <w:sz w:val="16"/>
                <w:szCs w:val="16"/>
              </w:rPr>
              <w:t xml:space="preserve">s gjinore ex ante dhe ex post. </w:t>
            </w:r>
          </w:p>
        </w:tc>
        <w:tc>
          <w:tcPr>
            <w:tcW w:w="768" w:type="dxa"/>
            <w:tcBorders>
              <w:top w:val="single" w:sz="4" w:space="0" w:color="auto"/>
              <w:left w:val="single" w:sz="4" w:space="0" w:color="auto"/>
              <w:bottom w:val="single" w:sz="4" w:space="0" w:color="auto"/>
              <w:right w:val="single" w:sz="4" w:space="0" w:color="auto"/>
            </w:tcBorders>
            <w:vAlign w:val="center"/>
          </w:tcPr>
          <w:p w14:paraId="2EB6E9A1" w14:textId="5C0187CE" w:rsidR="00F45F0B" w:rsidRPr="001F151E" w:rsidRDefault="001808D7" w:rsidP="00A846BA">
            <w:pPr>
              <w:jc w:val="center"/>
              <w:rPr>
                <w:color w:val="FF0000"/>
                <w:sz w:val="16"/>
                <w:szCs w:val="16"/>
              </w:rPr>
            </w:pPr>
            <w:r>
              <w:rPr>
                <w:sz w:val="16"/>
                <w:szCs w:val="16"/>
              </w:rPr>
              <w:t>T</w:t>
            </w:r>
            <w:r w:rsidR="00F45F0B">
              <w:rPr>
                <w:sz w:val="16"/>
                <w:szCs w:val="16"/>
              </w:rPr>
              <w:t>4 2025</w:t>
            </w:r>
          </w:p>
        </w:tc>
        <w:tc>
          <w:tcPr>
            <w:tcW w:w="852" w:type="dxa"/>
            <w:tcBorders>
              <w:top w:val="single" w:sz="4" w:space="0" w:color="auto"/>
              <w:left w:val="single" w:sz="4" w:space="0" w:color="auto"/>
              <w:bottom w:val="single" w:sz="4" w:space="0" w:color="auto"/>
              <w:right w:val="single" w:sz="4" w:space="0" w:color="auto"/>
            </w:tcBorders>
            <w:vAlign w:val="center"/>
          </w:tcPr>
          <w:p w14:paraId="3A2D8541" w14:textId="0E6A5332" w:rsidR="00F45F0B" w:rsidRPr="001F151E" w:rsidRDefault="001808D7" w:rsidP="00A846BA">
            <w:pPr>
              <w:jc w:val="center"/>
              <w:rPr>
                <w:sz w:val="16"/>
                <w:szCs w:val="16"/>
              </w:rPr>
            </w:pPr>
            <w:r>
              <w:rPr>
                <w:sz w:val="16"/>
                <w:szCs w:val="16"/>
              </w:rPr>
              <w:t>T</w:t>
            </w:r>
            <w:r w:rsidR="00F45F0B">
              <w:rPr>
                <w:sz w:val="16"/>
                <w:szCs w:val="16"/>
              </w:rPr>
              <w:t>4 2025</w:t>
            </w:r>
          </w:p>
        </w:tc>
        <w:tc>
          <w:tcPr>
            <w:tcW w:w="1281" w:type="dxa"/>
            <w:vMerge/>
            <w:tcBorders>
              <w:left w:val="single" w:sz="4" w:space="0" w:color="auto"/>
              <w:right w:val="single" w:sz="4" w:space="0" w:color="auto"/>
            </w:tcBorders>
            <w:vAlign w:val="center"/>
            <w:hideMark/>
          </w:tcPr>
          <w:p w14:paraId="7F5DD830" w14:textId="77777777" w:rsidR="00F45F0B" w:rsidRPr="001F151E" w:rsidRDefault="00F45F0B" w:rsidP="00A846BA">
            <w:pPr>
              <w:spacing w:line="240" w:lineRule="auto"/>
              <w:rPr>
                <w:sz w:val="16"/>
                <w:szCs w:val="16"/>
              </w:rPr>
            </w:pPr>
          </w:p>
        </w:tc>
      </w:tr>
      <w:tr w:rsidR="009E0E66" w:rsidRPr="001F151E" w14:paraId="098E8558" w14:textId="77777777" w:rsidTr="009C46C7">
        <w:trPr>
          <w:trHeight w:val="1104"/>
        </w:trPr>
        <w:tc>
          <w:tcPr>
            <w:tcW w:w="2335" w:type="dxa"/>
            <w:vMerge/>
            <w:tcBorders>
              <w:left w:val="single" w:sz="4" w:space="0" w:color="auto"/>
              <w:right w:val="single" w:sz="4" w:space="0" w:color="auto"/>
            </w:tcBorders>
            <w:vAlign w:val="center"/>
          </w:tcPr>
          <w:p w14:paraId="09A1C1B1" w14:textId="77777777" w:rsidR="00F45F0B" w:rsidRPr="001F151E" w:rsidRDefault="00F45F0B" w:rsidP="00A846BA">
            <w:pPr>
              <w:spacing w:line="240" w:lineRule="auto"/>
              <w:rPr>
                <w:sz w:val="16"/>
                <w:szCs w:val="16"/>
              </w:rPr>
            </w:pPr>
          </w:p>
        </w:tc>
        <w:tc>
          <w:tcPr>
            <w:tcW w:w="3780" w:type="dxa"/>
            <w:tcBorders>
              <w:top w:val="single" w:sz="4" w:space="0" w:color="auto"/>
              <w:left w:val="single" w:sz="4" w:space="0" w:color="auto"/>
              <w:bottom w:val="single" w:sz="4" w:space="0" w:color="auto"/>
              <w:right w:val="single" w:sz="4" w:space="0" w:color="auto"/>
            </w:tcBorders>
            <w:vAlign w:val="center"/>
          </w:tcPr>
          <w:p w14:paraId="1D905355" w14:textId="0D0DAF7C" w:rsidR="00F45F0B" w:rsidRDefault="00D24B14" w:rsidP="008165C9">
            <w:pPr>
              <w:pStyle w:val="ListParagraph"/>
              <w:numPr>
                <w:ilvl w:val="0"/>
                <w:numId w:val="23"/>
              </w:numPr>
              <w:rPr>
                <w:sz w:val="16"/>
                <w:szCs w:val="16"/>
              </w:rPr>
            </w:pPr>
            <w:r>
              <w:rPr>
                <w:sz w:val="16"/>
                <w:szCs w:val="16"/>
              </w:rPr>
              <w:t>Zhvillimi i nj</w:t>
            </w:r>
            <w:r w:rsidR="00D7294C">
              <w:rPr>
                <w:sz w:val="16"/>
                <w:szCs w:val="16"/>
              </w:rPr>
              <w:t>ë</w:t>
            </w:r>
            <w:r>
              <w:rPr>
                <w:sz w:val="16"/>
                <w:szCs w:val="16"/>
              </w:rPr>
              <w:t xml:space="preserve"> metodologjie p</w:t>
            </w:r>
            <w:r w:rsidR="00D7294C">
              <w:rPr>
                <w:sz w:val="16"/>
                <w:szCs w:val="16"/>
              </w:rPr>
              <w:t>ë</w:t>
            </w:r>
            <w:r>
              <w:rPr>
                <w:sz w:val="16"/>
                <w:szCs w:val="16"/>
              </w:rPr>
              <w:t>r buxhetimin e gjelb</w:t>
            </w:r>
            <w:r w:rsidR="00D7294C">
              <w:rPr>
                <w:sz w:val="16"/>
                <w:szCs w:val="16"/>
              </w:rPr>
              <w:t>ë</w:t>
            </w:r>
            <w:r>
              <w:rPr>
                <w:sz w:val="16"/>
                <w:szCs w:val="16"/>
              </w:rPr>
              <w:t>rt / t</w:t>
            </w:r>
            <w:r w:rsidR="00D7294C">
              <w:rPr>
                <w:sz w:val="16"/>
                <w:szCs w:val="16"/>
              </w:rPr>
              <w:t>ë</w:t>
            </w:r>
            <w:r>
              <w:rPr>
                <w:sz w:val="16"/>
                <w:szCs w:val="16"/>
              </w:rPr>
              <w:t xml:space="preserve"> p</w:t>
            </w:r>
            <w:r w:rsidR="00D7294C">
              <w:rPr>
                <w:sz w:val="16"/>
                <w:szCs w:val="16"/>
              </w:rPr>
              <w:t>ë</w:t>
            </w:r>
            <w:r>
              <w:rPr>
                <w:sz w:val="16"/>
                <w:szCs w:val="16"/>
              </w:rPr>
              <w:t>rgj</w:t>
            </w:r>
            <w:r w:rsidR="008165C9">
              <w:rPr>
                <w:sz w:val="16"/>
                <w:szCs w:val="16"/>
              </w:rPr>
              <w:t>i</w:t>
            </w:r>
            <w:r>
              <w:rPr>
                <w:sz w:val="16"/>
                <w:szCs w:val="16"/>
              </w:rPr>
              <w:t>gjsh</w:t>
            </w:r>
            <w:r w:rsidR="00D7294C">
              <w:rPr>
                <w:sz w:val="16"/>
                <w:szCs w:val="16"/>
              </w:rPr>
              <w:t>ë</w:t>
            </w:r>
            <w:r>
              <w:rPr>
                <w:sz w:val="16"/>
                <w:szCs w:val="16"/>
              </w:rPr>
              <w:t>m ndaj ndryshimeve klimatike dhe pilotimi i metodologjis</w:t>
            </w:r>
            <w:r w:rsidR="00D7294C">
              <w:rPr>
                <w:sz w:val="16"/>
                <w:szCs w:val="16"/>
              </w:rPr>
              <w:t>ë</w:t>
            </w:r>
            <w:r>
              <w:rPr>
                <w:sz w:val="16"/>
                <w:szCs w:val="16"/>
              </w:rPr>
              <w:t xml:space="preserve"> p</w:t>
            </w:r>
            <w:r w:rsidR="00D7294C">
              <w:rPr>
                <w:sz w:val="16"/>
                <w:szCs w:val="16"/>
              </w:rPr>
              <w:t>ë</w:t>
            </w:r>
            <w:r>
              <w:rPr>
                <w:sz w:val="16"/>
                <w:szCs w:val="16"/>
              </w:rPr>
              <w:t>r buxhetimin e gjelb</w:t>
            </w:r>
            <w:r w:rsidR="00D7294C">
              <w:rPr>
                <w:sz w:val="16"/>
                <w:szCs w:val="16"/>
              </w:rPr>
              <w:t>ë</w:t>
            </w:r>
            <w:r>
              <w:rPr>
                <w:sz w:val="16"/>
                <w:szCs w:val="16"/>
              </w:rPr>
              <w:t>rt / t</w:t>
            </w:r>
            <w:r w:rsidR="00D7294C">
              <w:rPr>
                <w:sz w:val="16"/>
                <w:szCs w:val="16"/>
              </w:rPr>
              <w:t>ë</w:t>
            </w:r>
            <w:r>
              <w:rPr>
                <w:sz w:val="16"/>
                <w:szCs w:val="16"/>
              </w:rPr>
              <w:t xml:space="preserve"> p</w:t>
            </w:r>
            <w:r w:rsidR="00D7294C">
              <w:rPr>
                <w:sz w:val="16"/>
                <w:szCs w:val="16"/>
              </w:rPr>
              <w:t>ë</w:t>
            </w:r>
            <w:r>
              <w:rPr>
                <w:sz w:val="16"/>
                <w:szCs w:val="16"/>
              </w:rPr>
              <w:t>rgj</w:t>
            </w:r>
            <w:r w:rsidR="008165C9">
              <w:rPr>
                <w:sz w:val="16"/>
                <w:szCs w:val="16"/>
              </w:rPr>
              <w:t>i</w:t>
            </w:r>
            <w:r>
              <w:rPr>
                <w:sz w:val="16"/>
                <w:szCs w:val="16"/>
              </w:rPr>
              <w:t>gjsh</w:t>
            </w:r>
            <w:r w:rsidR="00D7294C">
              <w:rPr>
                <w:sz w:val="16"/>
                <w:szCs w:val="16"/>
              </w:rPr>
              <w:t>ë</w:t>
            </w:r>
            <w:r>
              <w:rPr>
                <w:sz w:val="16"/>
                <w:szCs w:val="16"/>
              </w:rPr>
              <w:t>m ndaj ndryshimeve klimatike n</w:t>
            </w:r>
            <w:r w:rsidR="00D7294C">
              <w:rPr>
                <w:sz w:val="16"/>
                <w:szCs w:val="16"/>
              </w:rPr>
              <w:t>ë</w:t>
            </w:r>
            <w:r>
              <w:rPr>
                <w:sz w:val="16"/>
                <w:szCs w:val="16"/>
              </w:rPr>
              <w:t xml:space="preserve"> sektor</w:t>
            </w:r>
            <w:r w:rsidR="00D7294C">
              <w:rPr>
                <w:sz w:val="16"/>
                <w:szCs w:val="16"/>
              </w:rPr>
              <w:t>ë</w:t>
            </w:r>
            <w:r>
              <w:rPr>
                <w:sz w:val="16"/>
                <w:szCs w:val="16"/>
              </w:rPr>
              <w:t xml:space="preserve"> / institucione buxhetore t</w:t>
            </w:r>
            <w:r w:rsidR="00D7294C">
              <w:rPr>
                <w:sz w:val="16"/>
                <w:szCs w:val="16"/>
              </w:rPr>
              <w:t>ë</w:t>
            </w:r>
            <w:r>
              <w:rPr>
                <w:sz w:val="16"/>
                <w:szCs w:val="16"/>
              </w:rPr>
              <w:t xml:space="preserve"> p</w:t>
            </w:r>
            <w:r w:rsidR="00D7294C">
              <w:rPr>
                <w:sz w:val="16"/>
                <w:szCs w:val="16"/>
              </w:rPr>
              <w:t>ë</w:t>
            </w:r>
            <w:r>
              <w:rPr>
                <w:sz w:val="16"/>
                <w:szCs w:val="16"/>
              </w:rPr>
              <w:t xml:space="preserve">rzgjedhura </w:t>
            </w:r>
          </w:p>
        </w:tc>
        <w:tc>
          <w:tcPr>
            <w:tcW w:w="768" w:type="dxa"/>
            <w:tcBorders>
              <w:top w:val="single" w:sz="4" w:space="0" w:color="auto"/>
              <w:left w:val="single" w:sz="4" w:space="0" w:color="auto"/>
              <w:bottom w:val="single" w:sz="4" w:space="0" w:color="auto"/>
              <w:right w:val="single" w:sz="4" w:space="0" w:color="auto"/>
            </w:tcBorders>
            <w:vAlign w:val="center"/>
          </w:tcPr>
          <w:p w14:paraId="44D9A7EA" w14:textId="2ED3D9A1" w:rsidR="00F45F0B" w:rsidRDefault="001808D7" w:rsidP="00A846BA">
            <w:pPr>
              <w:jc w:val="center"/>
              <w:rPr>
                <w:sz w:val="16"/>
                <w:szCs w:val="16"/>
              </w:rPr>
            </w:pPr>
            <w:r>
              <w:rPr>
                <w:sz w:val="16"/>
                <w:szCs w:val="16"/>
              </w:rPr>
              <w:t>T</w:t>
            </w:r>
            <w:r w:rsidR="00F45F0B">
              <w:rPr>
                <w:sz w:val="16"/>
                <w:szCs w:val="16"/>
              </w:rPr>
              <w:t>2 2024</w:t>
            </w:r>
          </w:p>
        </w:tc>
        <w:tc>
          <w:tcPr>
            <w:tcW w:w="852" w:type="dxa"/>
            <w:tcBorders>
              <w:top w:val="single" w:sz="4" w:space="0" w:color="auto"/>
              <w:left w:val="single" w:sz="4" w:space="0" w:color="auto"/>
              <w:bottom w:val="single" w:sz="4" w:space="0" w:color="auto"/>
              <w:right w:val="single" w:sz="4" w:space="0" w:color="auto"/>
            </w:tcBorders>
            <w:vAlign w:val="center"/>
          </w:tcPr>
          <w:p w14:paraId="6D0B9326" w14:textId="0711DC7C" w:rsidR="00F45F0B" w:rsidRDefault="001808D7" w:rsidP="00A846BA">
            <w:pPr>
              <w:jc w:val="center"/>
              <w:rPr>
                <w:sz w:val="16"/>
                <w:szCs w:val="16"/>
              </w:rPr>
            </w:pPr>
            <w:r>
              <w:rPr>
                <w:sz w:val="16"/>
                <w:szCs w:val="16"/>
              </w:rPr>
              <w:t>T</w:t>
            </w:r>
            <w:r w:rsidR="00F45F0B">
              <w:rPr>
                <w:sz w:val="16"/>
                <w:szCs w:val="16"/>
              </w:rPr>
              <w:t>4 2024</w:t>
            </w:r>
          </w:p>
        </w:tc>
        <w:tc>
          <w:tcPr>
            <w:tcW w:w="1281" w:type="dxa"/>
            <w:vMerge/>
            <w:tcBorders>
              <w:left w:val="single" w:sz="4" w:space="0" w:color="auto"/>
              <w:right w:val="single" w:sz="4" w:space="0" w:color="auto"/>
            </w:tcBorders>
            <w:vAlign w:val="center"/>
          </w:tcPr>
          <w:p w14:paraId="7018FC28" w14:textId="77777777" w:rsidR="00F45F0B" w:rsidRPr="001F151E" w:rsidRDefault="00F45F0B" w:rsidP="00A846BA">
            <w:pPr>
              <w:spacing w:line="240" w:lineRule="auto"/>
              <w:rPr>
                <w:sz w:val="16"/>
                <w:szCs w:val="16"/>
              </w:rPr>
            </w:pPr>
          </w:p>
        </w:tc>
      </w:tr>
      <w:tr w:rsidR="009E0E66" w:rsidRPr="001F151E" w14:paraId="33C5C898" w14:textId="77777777" w:rsidTr="009C46C7">
        <w:trPr>
          <w:trHeight w:val="736"/>
        </w:trPr>
        <w:tc>
          <w:tcPr>
            <w:tcW w:w="2335" w:type="dxa"/>
            <w:tcBorders>
              <w:left w:val="single" w:sz="4" w:space="0" w:color="auto"/>
              <w:bottom w:val="single" w:sz="4" w:space="0" w:color="auto"/>
              <w:right w:val="single" w:sz="4" w:space="0" w:color="auto"/>
            </w:tcBorders>
            <w:vAlign w:val="center"/>
          </w:tcPr>
          <w:p w14:paraId="0A40DE1D" w14:textId="65633159" w:rsidR="009E0E66" w:rsidRPr="009E0E66" w:rsidRDefault="009E0E66" w:rsidP="00A846BA">
            <w:pPr>
              <w:spacing w:line="240" w:lineRule="auto"/>
              <w:rPr>
                <w:b/>
                <w:sz w:val="16"/>
                <w:szCs w:val="16"/>
              </w:rPr>
            </w:pPr>
            <w:r w:rsidRPr="009E0E66">
              <w:rPr>
                <w:b/>
                <w:sz w:val="16"/>
                <w:szCs w:val="16"/>
              </w:rPr>
              <w:t>Masa 2.2.5 Miratim i DPP-s</w:t>
            </w:r>
            <w:r>
              <w:rPr>
                <w:b/>
                <w:sz w:val="16"/>
                <w:szCs w:val="16"/>
              </w:rPr>
              <w:t>ë</w:t>
            </w:r>
            <w:r w:rsidRPr="009E0E66">
              <w:rPr>
                <w:b/>
                <w:sz w:val="16"/>
                <w:szCs w:val="16"/>
              </w:rPr>
              <w:t xml:space="preserve"> s</w:t>
            </w:r>
            <w:r>
              <w:rPr>
                <w:b/>
                <w:sz w:val="16"/>
                <w:szCs w:val="16"/>
              </w:rPr>
              <w:t>ë</w:t>
            </w:r>
            <w:r w:rsidRPr="009E0E66">
              <w:rPr>
                <w:b/>
                <w:sz w:val="16"/>
                <w:szCs w:val="16"/>
              </w:rPr>
              <w:t xml:space="preserve"> Bashku me List</w:t>
            </w:r>
            <w:r>
              <w:rPr>
                <w:b/>
                <w:sz w:val="16"/>
                <w:szCs w:val="16"/>
              </w:rPr>
              <w:t>ë</w:t>
            </w:r>
            <w:r w:rsidRPr="009E0E66">
              <w:rPr>
                <w:b/>
                <w:sz w:val="16"/>
                <w:szCs w:val="16"/>
              </w:rPr>
              <w:t xml:space="preserve">n Unike </w:t>
            </w:r>
            <w:r w:rsidR="00A4017D">
              <w:rPr>
                <w:b/>
                <w:sz w:val="16"/>
                <w:szCs w:val="16"/>
              </w:rPr>
              <w:t xml:space="preserve">të Projekteve </w:t>
            </w:r>
            <w:r w:rsidRPr="009E0E66">
              <w:rPr>
                <w:b/>
                <w:sz w:val="16"/>
                <w:szCs w:val="16"/>
              </w:rPr>
              <w:t>me R</w:t>
            </w:r>
            <w:r>
              <w:rPr>
                <w:b/>
                <w:sz w:val="16"/>
                <w:szCs w:val="16"/>
              </w:rPr>
              <w:t>ë</w:t>
            </w:r>
            <w:r w:rsidRPr="009E0E66">
              <w:rPr>
                <w:b/>
                <w:sz w:val="16"/>
                <w:szCs w:val="16"/>
              </w:rPr>
              <w:t>nd</w:t>
            </w:r>
            <w:r>
              <w:rPr>
                <w:b/>
                <w:sz w:val="16"/>
                <w:szCs w:val="16"/>
              </w:rPr>
              <w:t>ë</w:t>
            </w:r>
            <w:r w:rsidRPr="009E0E66">
              <w:rPr>
                <w:b/>
                <w:sz w:val="16"/>
                <w:szCs w:val="16"/>
              </w:rPr>
              <w:t>si Komb</w:t>
            </w:r>
            <w:r>
              <w:rPr>
                <w:b/>
                <w:sz w:val="16"/>
                <w:szCs w:val="16"/>
              </w:rPr>
              <w:t>ë</w:t>
            </w:r>
            <w:r w:rsidRPr="009E0E66">
              <w:rPr>
                <w:b/>
                <w:sz w:val="16"/>
                <w:szCs w:val="16"/>
              </w:rPr>
              <w:t>tare</w:t>
            </w:r>
          </w:p>
        </w:tc>
        <w:tc>
          <w:tcPr>
            <w:tcW w:w="3780" w:type="dxa"/>
            <w:tcBorders>
              <w:top w:val="single" w:sz="4" w:space="0" w:color="auto"/>
              <w:left w:val="single" w:sz="4" w:space="0" w:color="auto"/>
              <w:right w:val="single" w:sz="4" w:space="0" w:color="auto"/>
            </w:tcBorders>
            <w:vAlign w:val="center"/>
          </w:tcPr>
          <w:p w14:paraId="7595B634" w14:textId="11AD4F7A" w:rsidR="009E0E66" w:rsidRPr="009D660E" w:rsidRDefault="009C46C7" w:rsidP="00CD7428">
            <w:pPr>
              <w:pStyle w:val="ListParagraph"/>
              <w:numPr>
                <w:ilvl w:val="0"/>
                <w:numId w:val="109"/>
              </w:numPr>
              <w:rPr>
                <w:sz w:val="16"/>
                <w:szCs w:val="16"/>
                <w:lang w:val="it-IT"/>
              </w:rPr>
            </w:pPr>
            <w:r w:rsidRPr="009D660E">
              <w:rPr>
                <w:sz w:val="16"/>
                <w:szCs w:val="16"/>
                <w:lang w:val="it-IT"/>
              </w:rPr>
              <w:t xml:space="preserve">Miratim i DPP-së së bashku me Listën Unike </w:t>
            </w:r>
            <w:r w:rsidR="00A4017D" w:rsidRPr="009D660E">
              <w:rPr>
                <w:sz w:val="16"/>
                <w:szCs w:val="16"/>
                <w:lang w:val="it-IT"/>
              </w:rPr>
              <w:t xml:space="preserve">të Projekteve </w:t>
            </w:r>
            <w:r w:rsidRPr="009D660E">
              <w:rPr>
                <w:sz w:val="16"/>
                <w:szCs w:val="16"/>
                <w:lang w:val="it-IT"/>
              </w:rPr>
              <w:t>me Rëndësi Kombëtare si pjesë integrale e saj/kontributi nga ministritë e linjës</w:t>
            </w:r>
          </w:p>
        </w:tc>
        <w:tc>
          <w:tcPr>
            <w:tcW w:w="768" w:type="dxa"/>
            <w:tcBorders>
              <w:top w:val="single" w:sz="4" w:space="0" w:color="auto"/>
              <w:left w:val="single" w:sz="4" w:space="0" w:color="auto"/>
              <w:right w:val="single" w:sz="4" w:space="0" w:color="auto"/>
            </w:tcBorders>
            <w:vAlign w:val="center"/>
          </w:tcPr>
          <w:p w14:paraId="0B7BE786" w14:textId="72F7D38F" w:rsidR="009E0E66" w:rsidRDefault="009C46C7" w:rsidP="00A846BA">
            <w:pPr>
              <w:jc w:val="center"/>
              <w:rPr>
                <w:sz w:val="16"/>
                <w:szCs w:val="16"/>
              </w:rPr>
            </w:pPr>
            <w:r>
              <w:rPr>
                <w:sz w:val="16"/>
                <w:szCs w:val="16"/>
              </w:rPr>
              <w:t>T1 2024</w:t>
            </w:r>
          </w:p>
        </w:tc>
        <w:tc>
          <w:tcPr>
            <w:tcW w:w="852" w:type="dxa"/>
            <w:tcBorders>
              <w:top w:val="single" w:sz="4" w:space="0" w:color="auto"/>
              <w:left w:val="single" w:sz="4" w:space="0" w:color="auto"/>
              <w:right w:val="single" w:sz="4" w:space="0" w:color="auto"/>
            </w:tcBorders>
            <w:vAlign w:val="center"/>
          </w:tcPr>
          <w:p w14:paraId="2B6DB242" w14:textId="3C3B7FCB" w:rsidR="009E0E66" w:rsidRDefault="009C46C7" w:rsidP="00A846BA">
            <w:pPr>
              <w:jc w:val="center"/>
              <w:rPr>
                <w:sz w:val="16"/>
                <w:szCs w:val="16"/>
              </w:rPr>
            </w:pPr>
            <w:r>
              <w:rPr>
                <w:sz w:val="16"/>
                <w:szCs w:val="16"/>
              </w:rPr>
              <w:t>T2 2024</w:t>
            </w:r>
          </w:p>
        </w:tc>
        <w:tc>
          <w:tcPr>
            <w:tcW w:w="1281" w:type="dxa"/>
            <w:tcBorders>
              <w:left w:val="single" w:sz="4" w:space="0" w:color="auto"/>
              <w:bottom w:val="single" w:sz="4" w:space="0" w:color="auto"/>
              <w:right w:val="single" w:sz="4" w:space="0" w:color="auto"/>
            </w:tcBorders>
            <w:vAlign w:val="center"/>
          </w:tcPr>
          <w:p w14:paraId="3864678D" w14:textId="77777777" w:rsidR="009C46C7" w:rsidRPr="001F151E" w:rsidRDefault="009C46C7" w:rsidP="009C46C7">
            <w:pPr>
              <w:pStyle w:val="T-normal"/>
              <w:rPr>
                <w:b/>
                <w:bCs/>
              </w:rPr>
            </w:pPr>
            <w:r>
              <w:rPr>
                <w:b/>
                <w:bCs/>
              </w:rPr>
              <w:t>Njësitë përgjegjëse</w:t>
            </w:r>
            <w:r w:rsidRPr="001F151E">
              <w:rPr>
                <w:b/>
                <w:bCs/>
              </w:rPr>
              <w:t>:</w:t>
            </w:r>
          </w:p>
          <w:p w14:paraId="42F6550F" w14:textId="23594DE0" w:rsidR="009C46C7" w:rsidRPr="001F151E" w:rsidRDefault="009C46C7" w:rsidP="009C46C7">
            <w:pPr>
              <w:pStyle w:val="T-normal"/>
            </w:pPr>
            <w:r>
              <w:t>SASPAC (lider)</w:t>
            </w:r>
          </w:p>
          <w:p w14:paraId="7F2A079F" w14:textId="77777777" w:rsidR="009C46C7" w:rsidRPr="001F151E" w:rsidRDefault="009C46C7" w:rsidP="009C46C7">
            <w:pPr>
              <w:pStyle w:val="EcorysBody"/>
              <w:rPr>
                <w:b/>
                <w:bCs/>
                <w:sz w:val="16"/>
                <w:szCs w:val="16"/>
              </w:rPr>
            </w:pPr>
            <w:r>
              <w:rPr>
                <w:rFonts w:ascii="Arial" w:hAnsi="Arial" w:cs="Arial"/>
                <w:b/>
                <w:bCs/>
                <w:kern w:val="2"/>
                <w:sz w:val="16"/>
                <w:szCs w:val="16"/>
                <w14:ligatures w14:val="standardContextual"/>
              </w:rPr>
              <w:t>Partnerët</w:t>
            </w:r>
            <w:r w:rsidRPr="001F151E">
              <w:rPr>
                <w:rFonts w:ascii="Arial" w:hAnsi="Arial" w:cs="Arial"/>
                <w:b/>
                <w:bCs/>
                <w:kern w:val="2"/>
                <w:sz w:val="16"/>
                <w:szCs w:val="16"/>
                <w14:ligatures w14:val="standardContextual"/>
              </w:rPr>
              <w:t>:</w:t>
            </w:r>
          </w:p>
          <w:p w14:paraId="0A73638A" w14:textId="6F19D81D" w:rsidR="009C46C7" w:rsidRPr="001F151E" w:rsidRDefault="009C46C7" w:rsidP="009C46C7">
            <w:pPr>
              <w:pStyle w:val="EcorysBody"/>
              <w:rPr>
                <w:rFonts w:ascii="Arial" w:hAnsi="Arial" w:cs="Arial"/>
                <w:sz w:val="16"/>
                <w:szCs w:val="16"/>
              </w:rPr>
            </w:pPr>
            <w:r>
              <w:rPr>
                <w:rFonts w:ascii="Arial" w:hAnsi="Arial" w:cs="Arial"/>
                <w:sz w:val="16"/>
                <w:szCs w:val="16"/>
              </w:rPr>
              <w:t>Ministritë e Linjës</w:t>
            </w:r>
          </w:p>
          <w:p w14:paraId="2A5C58C2" w14:textId="77777777" w:rsidR="009E0E66" w:rsidRPr="001F151E" w:rsidRDefault="009E0E66" w:rsidP="00A846BA">
            <w:pPr>
              <w:spacing w:line="240" w:lineRule="auto"/>
              <w:rPr>
                <w:sz w:val="16"/>
                <w:szCs w:val="16"/>
              </w:rPr>
            </w:pPr>
          </w:p>
        </w:tc>
      </w:tr>
    </w:tbl>
    <w:p w14:paraId="7D438BEF" w14:textId="77777777" w:rsidR="009E0E66" w:rsidRDefault="009E0E66">
      <w:pPr>
        <w:spacing w:after="160" w:line="259" w:lineRule="auto"/>
        <w:rPr>
          <w:b/>
          <w:bCs/>
          <w:color w:val="0070C0"/>
          <w:lang w:val="en-GB"/>
        </w:rPr>
      </w:pPr>
    </w:p>
    <w:p w14:paraId="0344BE4C" w14:textId="77777777" w:rsidR="005B64DA" w:rsidRDefault="005B64DA">
      <w:pPr>
        <w:spacing w:after="160" w:line="259" w:lineRule="auto"/>
        <w:rPr>
          <w:b/>
          <w:bCs/>
          <w:color w:val="0070C0"/>
          <w:lang w:val="en-GB"/>
        </w:rPr>
      </w:pPr>
    </w:p>
    <w:p w14:paraId="7F451896" w14:textId="77777777" w:rsidR="005B64DA" w:rsidRDefault="005B64DA">
      <w:pPr>
        <w:spacing w:after="160" w:line="259" w:lineRule="auto"/>
        <w:rPr>
          <w:b/>
          <w:bCs/>
          <w:color w:val="0070C0"/>
          <w:lang w:val="en-GB"/>
        </w:rPr>
      </w:pPr>
    </w:p>
    <w:p w14:paraId="2A34A5A5" w14:textId="77777777" w:rsidR="008A250D" w:rsidRDefault="008A250D">
      <w:pPr>
        <w:spacing w:after="160" w:line="259" w:lineRule="auto"/>
        <w:rPr>
          <w:b/>
          <w:bCs/>
          <w:color w:val="0070C0"/>
          <w:lang w:val="en-GB"/>
        </w:rPr>
      </w:pPr>
    </w:p>
    <w:p w14:paraId="18CD2E6E" w14:textId="77777777" w:rsidR="005B64DA" w:rsidRDefault="005B64DA">
      <w:pPr>
        <w:spacing w:after="160" w:line="259" w:lineRule="auto"/>
        <w:rPr>
          <w:b/>
          <w:bCs/>
          <w:color w:val="0070C0"/>
          <w:lang w:val="en-GB"/>
        </w:rPr>
      </w:pPr>
    </w:p>
    <w:p w14:paraId="6C8C49BC" w14:textId="7597BCAB" w:rsidR="00BE64A2" w:rsidRPr="009D660E" w:rsidRDefault="009E43AB" w:rsidP="00BE64A2">
      <w:pPr>
        <w:pStyle w:val="H5"/>
        <w:rPr>
          <w:lang w:val="it-IT"/>
        </w:rPr>
      </w:pPr>
      <w:r w:rsidRPr="009D660E">
        <w:rPr>
          <w:lang w:val="it-IT"/>
        </w:rPr>
        <w:lastRenderedPageBreak/>
        <w:t>Treguesit e performanc</w:t>
      </w:r>
      <w:r w:rsidR="00D7294C" w:rsidRPr="009D660E">
        <w:rPr>
          <w:lang w:val="it-IT"/>
        </w:rPr>
        <w:t>ë</w:t>
      </w:r>
      <w:r w:rsidRPr="009D660E">
        <w:rPr>
          <w:lang w:val="it-IT"/>
        </w:rPr>
        <w:t>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BE64A2" w:rsidRPr="001F151E" w14:paraId="2BC32368" w14:textId="77777777" w:rsidTr="009A3B76">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59C38" w14:textId="20FCF73E" w:rsidR="00BE64A2" w:rsidRPr="001F151E" w:rsidRDefault="009E43AB" w:rsidP="005616E8">
            <w:pPr>
              <w:pStyle w:val="T-bold"/>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F1F9" w14:textId="51FDFBD4" w:rsidR="00BE64A2" w:rsidRPr="001F151E" w:rsidRDefault="009E43AB" w:rsidP="000706C9">
            <w:pPr>
              <w:pStyle w:val="T-bold"/>
              <w:jc w:val="center"/>
            </w:pPr>
            <w:r>
              <w:t>V</w:t>
            </w:r>
            <w:r w:rsidR="00D408F3">
              <w:t xml:space="preserve">lera </w:t>
            </w:r>
            <w:r>
              <w:t>baz</w:t>
            </w:r>
            <w:r w:rsidR="00D7294C">
              <w:t>ë</w:t>
            </w:r>
            <w:r w:rsidR="000706C9">
              <w:t xml:space="preserve"> </w:t>
            </w:r>
            <w:r w:rsidR="00D408F3">
              <w:t>(viti</w:t>
            </w:r>
            <w:r w:rsidR="00BE64A2"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DD14C" w14:textId="7830F8DA" w:rsidR="00BE64A2" w:rsidRPr="001F151E" w:rsidRDefault="009E43AB" w:rsidP="005616E8">
            <w:pPr>
              <w:pStyle w:val="T-bold"/>
              <w:jc w:val="center"/>
            </w:pPr>
            <w:r>
              <w:t>Vlera e synuar</w:t>
            </w:r>
          </w:p>
        </w:tc>
      </w:tr>
      <w:tr w:rsidR="00BE64A2" w:rsidRPr="001F151E" w14:paraId="466B7E70" w14:textId="77777777" w:rsidTr="009A3B76">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8321B9A" w14:textId="77777777" w:rsidR="00BE64A2" w:rsidRPr="001F151E" w:rsidRDefault="00BE64A2" w:rsidP="005616E8">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559E672" w14:textId="77777777" w:rsidR="00BE64A2" w:rsidRPr="001F151E" w:rsidRDefault="00BE64A2" w:rsidP="005616E8">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EA74DC" w14:textId="77777777" w:rsidR="00BE64A2" w:rsidRPr="001F151E" w:rsidRDefault="00BE64A2" w:rsidP="005616E8">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206C5" w14:textId="77777777" w:rsidR="00BE64A2" w:rsidRPr="001F151E" w:rsidRDefault="00BE64A2" w:rsidP="005616E8">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1A8E28" w14:textId="77777777" w:rsidR="00BE64A2" w:rsidRPr="001F151E" w:rsidRDefault="00BE64A2" w:rsidP="005616E8">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C5F2A" w14:textId="77777777" w:rsidR="00BE64A2" w:rsidRPr="001F151E" w:rsidRDefault="00BE64A2" w:rsidP="005616E8">
            <w:pPr>
              <w:pStyle w:val="T-bold"/>
              <w:jc w:val="center"/>
            </w:pPr>
            <w:r w:rsidRPr="001F151E">
              <w:t>2026</w:t>
            </w:r>
          </w:p>
        </w:tc>
      </w:tr>
      <w:tr w:rsidR="00BE64A2" w:rsidRPr="001F151E" w14:paraId="7E4FF4A3" w14:textId="77777777" w:rsidTr="009A3B76">
        <w:trPr>
          <w:cantSplit/>
        </w:trPr>
        <w:tc>
          <w:tcPr>
            <w:tcW w:w="3114" w:type="dxa"/>
            <w:tcBorders>
              <w:top w:val="single" w:sz="4" w:space="0" w:color="auto"/>
              <w:left w:val="single" w:sz="4" w:space="0" w:color="auto"/>
              <w:bottom w:val="single" w:sz="4" w:space="0" w:color="auto"/>
              <w:right w:val="single" w:sz="4" w:space="0" w:color="auto"/>
            </w:tcBorders>
          </w:tcPr>
          <w:p w14:paraId="24DE60A9" w14:textId="44281E5B" w:rsidR="00BE64A2" w:rsidRPr="009D660E" w:rsidRDefault="00D24B14" w:rsidP="00CD7428">
            <w:pPr>
              <w:pStyle w:val="ListParagraph"/>
              <w:numPr>
                <w:ilvl w:val="0"/>
                <w:numId w:val="60"/>
              </w:numPr>
              <w:rPr>
                <w:sz w:val="16"/>
                <w:szCs w:val="16"/>
                <w:lang w:val="it-IT"/>
              </w:rPr>
            </w:pPr>
            <w:r w:rsidRPr="009D660E">
              <w:rPr>
                <w:sz w:val="16"/>
                <w:szCs w:val="16"/>
                <w:lang w:val="it-IT"/>
              </w:rPr>
              <w:t>Treguesi PEFA</w:t>
            </w:r>
            <w:r w:rsidR="00BE64A2" w:rsidRPr="009D660E">
              <w:rPr>
                <w:sz w:val="16"/>
                <w:szCs w:val="16"/>
                <w:lang w:val="it-IT"/>
              </w:rPr>
              <w:t xml:space="preserve"> 16 </w:t>
            </w:r>
            <w:r w:rsidRPr="009D660E">
              <w:rPr>
                <w:sz w:val="16"/>
                <w:szCs w:val="16"/>
                <w:lang w:val="it-IT"/>
              </w:rPr>
              <w:t>Perspektiva Afatmesme n</w:t>
            </w:r>
            <w:r w:rsidR="00D7294C" w:rsidRPr="009D660E">
              <w:rPr>
                <w:sz w:val="16"/>
                <w:szCs w:val="16"/>
                <w:lang w:val="it-IT"/>
              </w:rPr>
              <w:t>ë</w:t>
            </w:r>
            <w:r w:rsidRPr="009D660E">
              <w:rPr>
                <w:sz w:val="16"/>
                <w:szCs w:val="16"/>
                <w:lang w:val="it-IT"/>
              </w:rPr>
              <w:t xml:space="preserve"> buxhetimin e shpenzimeve</w:t>
            </w:r>
          </w:p>
        </w:tc>
        <w:tc>
          <w:tcPr>
            <w:tcW w:w="1180" w:type="dxa"/>
            <w:tcBorders>
              <w:top w:val="single" w:sz="4" w:space="0" w:color="auto"/>
              <w:left w:val="single" w:sz="4" w:space="0" w:color="auto"/>
              <w:bottom w:val="single" w:sz="4" w:space="0" w:color="auto"/>
              <w:right w:val="single" w:sz="4" w:space="0" w:color="auto"/>
            </w:tcBorders>
            <w:vAlign w:val="center"/>
          </w:tcPr>
          <w:p w14:paraId="022F024C"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 xml:space="preserve">C+ </w:t>
            </w:r>
          </w:p>
          <w:p w14:paraId="6077DB59"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(2017)</w:t>
            </w:r>
          </w:p>
        </w:tc>
        <w:tc>
          <w:tcPr>
            <w:tcW w:w="1181" w:type="dxa"/>
            <w:tcBorders>
              <w:top w:val="single" w:sz="4" w:space="0" w:color="auto"/>
              <w:left w:val="single" w:sz="4" w:space="0" w:color="auto"/>
              <w:bottom w:val="single" w:sz="4" w:space="0" w:color="auto"/>
              <w:right w:val="single" w:sz="4" w:space="0" w:color="auto"/>
            </w:tcBorders>
            <w:vAlign w:val="center"/>
          </w:tcPr>
          <w:p w14:paraId="7126D8F2"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7A5DB72B"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B</w:t>
            </w:r>
          </w:p>
        </w:tc>
        <w:tc>
          <w:tcPr>
            <w:tcW w:w="1181" w:type="dxa"/>
            <w:tcBorders>
              <w:top w:val="single" w:sz="4" w:space="0" w:color="auto"/>
              <w:left w:val="single" w:sz="4" w:space="0" w:color="auto"/>
              <w:bottom w:val="single" w:sz="4" w:space="0" w:color="auto"/>
              <w:right w:val="single" w:sz="4" w:space="0" w:color="auto"/>
            </w:tcBorders>
            <w:vAlign w:val="center"/>
          </w:tcPr>
          <w:p w14:paraId="7848E52D"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B</w:t>
            </w:r>
          </w:p>
        </w:tc>
        <w:tc>
          <w:tcPr>
            <w:tcW w:w="1181" w:type="dxa"/>
            <w:tcBorders>
              <w:top w:val="single" w:sz="4" w:space="0" w:color="auto"/>
              <w:left w:val="single" w:sz="4" w:space="0" w:color="auto"/>
              <w:bottom w:val="single" w:sz="4" w:space="0" w:color="auto"/>
              <w:right w:val="single" w:sz="4" w:space="0" w:color="auto"/>
            </w:tcBorders>
            <w:vAlign w:val="center"/>
          </w:tcPr>
          <w:p w14:paraId="1F8CF998" w14:textId="0A085CA4" w:rsidR="00BE64A2" w:rsidRPr="001F151E" w:rsidRDefault="00B8415D" w:rsidP="002B7FF8">
            <w:pPr>
              <w:pStyle w:val="EcorysBody"/>
              <w:jc w:val="center"/>
              <w:rPr>
                <w:rFonts w:ascii="Arial" w:hAnsi="Arial" w:cs="Arial"/>
                <w:sz w:val="16"/>
                <w:szCs w:val="16"/>
              </w:rPr>
            </w:pPr>
            <w:r>
              <w:rPr>
                <w:rFonts w:ascii="Arial" w:hAnsi="Arial" w:cs="Arial"/>
                <w:sz w:val="16"/>
                <w:szCs w:val="16"/>
              </w:rPr>
              <w:t>B+</w:t>
            </w:r>
          </w:p>
        </w:tc>
      </w:tr>
      <w:tr w:rsidR="00BE64A2" w:rsidRPr="001F151E" w14:paraId="39D4EE76" w14:textId="77777777" w:rsidTr="009A3B76">
        <w:trPr>
          <w:cantSplit/>
        </w:trPr>
        <w:tc>
          <w:tcPr>
            <w:tcW w:w="3114" w:type="dxa"/>
            <w:tcBorders>
              <w:top w:val="single" w:sz="4" w:space="0" w:color="auto"/>
              <w:left w:val="single" w:sz="4" w:space="0" w:color="auto"/>
              <w:bottom w:val="single" w:sz="4" w:space="0" w:color="auto"/>
              <w:right w:val="single" w:sz="4" w:space="0" w:color="auto"/>
            </w:tcBorders>
            <w:hideMark/>
          </w:tcPr>
          <w:p w14:paraId="5C6908CD" w14:textId="34C6AE9C" w:rsidR="00BE64A2" w:rsidRPr="001F151E" w:rsidRDefault="00D24B14" w:rsidP="00CD7428">
            <w:pPr>
              <w:pStyle w:val="ListParagraph"/>
              <w:numPr>
                <w:ilvl w:val="0"/>
                <w:numId w:val="60"/>
              </w:numPr>
              <w:rPr>
                <w:sz w:val="16"/>
                <w:szCs w:val="16"/>
              </w:rPr>
            </w:pPr>
            <w:r>
              <w:rPr>
                <w:sz w:val="16"/>
                <w:szCs w:val="16"/>
              </w:rPr>
              <w:t>Treguesi SIGMA</w:t>
            </w:r>
            <w:r w:rsidR="00BE64A2" w:rsidRPr="001F151E">
              <w:rPr>
                <w:sz w:val="16"/>
                <w:szCs w:val="16"/>
              </w:rPr>
              <w:t xml:space="preserve"> 6.7.1 </w:t>
            </w:r>
            <w:r>
              <w:rPr>
                <w:sz w:val="16"/>
                <w:szCs w:val="16"/>
              </w:rPr>
              <w:t>Funksionimi i kontrollit t</w:t>
            </w:r>
            <w:r w:rsidR="00D7294C">
              <w:rPr>
                <w:sz w:val="16"/>
                <w:szCs w:val="16"/>
              </w:rPr>
              <w:t>ë</w:t>
            </w:r>
            <w:r>
              <w:rPr>
                <w:sz w:val="16"/>
                <w:szCs w:val="16"/>
              </w:rPr>
              <w:t xml:space="preserve"> brendsh</w:t>
            </w:r>
            <w:r w:rsidR="00D7294C">
              <w:rPr>
                <w:sz w:val="16"/>
                <w:szCs w:val="16"/>
              </w:rPr>
              <w:t>ë</w:t>
            </w:r>
            <w:r>
              <w:rPr>
                <w:sz w:val="16"/>
                <w:szCs w:val="16"/>
              </w:rPr>
              <w:t>m</w:t>
            </w:r>
            <w:r w:rsidR="00BE64A2" w:rsidRPr="001F151E">
              <w:rPr>
                <w:sz w:val="16"/>
                <w:szCs w:val="16"/>
              </w:rPr>
              <w:t xml:space="preserve"> (</w:t>
            </w:r>
            <w:r>
              <w:rPr>
                <w:sz w:val="16"/>
                <w:szCs w:val="16"/>
              </w:rPr>
              <w:t>L</w:t>
            </w:r>
            <w:r w:rsidR="000706C9">
              <w:rPr>
                <w:sz w:val="16"/>
                <w:szCs w:val="16"/>
              </w:rPr>
              <w:t>idhja nd</w:t>
            </w:r>
            <w:r w:rsidR="00D7294C">
              <w:rPr>
                <w:sz w:val="16"/>
                <w:szCs w:val="16"/>
              </w:rPr>
              <w:t>ë</w:t>
            </w:r>
            <w:r w:rsidR="000706C9">
              <w:rPr>
                <w:sz w:val="16"/>
                <w:szCs w:val="16"/>
              </w:rPr>
              <w:t>rmjet strukturave menaxheriale dhe buxhetore)</w:t>
            </w:r>
            <w:r w:rsidR="00BE64A2" w:rsidRPr="001F151E">
              <w:rPr>
                <w:sz w:val="16"/>
                <w:szCs w:val="16"/>
              </w:rPr>
              <w:t xml:space="preserve"> (%) </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483766A" w14:textId="76E0E310"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0/</w:t>
            </w:r>
            <w:r w:rsidR="009E618E">
              <w:rPr>
                <w:rFonts w:ascii="Arial" w:hAnsi="Arial" w:cs="Arial"/>
                <w:sz w:val="16"/>
                <w:szCs w:val="16"/>
              </w:rPr>
              <w:t>3</w:t>
            </w:r>
            <w:r w:rsidRPr="001F151E">
              <w:rPr>
                <w:rFonts w:ascii="Arial" w:hAnsi="Arial" w:cs="Arial"/>
                <w:sz w:val="16"/>
                <w:szCs w:val="16"/>
              </w:rPr>
              <w:t xml:space="preserve"> </w:t>
            </w:r>
          </w:p>
          <w:p w14:paraId="0262A777"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(2021)</w:t>
            </w:r>
          </w:p>
        </w:tc>
        <w:tc>
          <w:tcPr>
            <w:tcW w:w="1181" w:type="dxa"/>
            <w:tcBorders>
              <w:top w:val="single" w:sz="4" w:space="0" w:color="auto"/>
              <w:left w:val="single" w:sz="4" w:space="0" w:color="auto"/>
              <w:bottom w:val="single" w:sz="4" w:space="0" w:color="auto"/>
              <w:right w:val="single" w:sz="4" w:space="0" w:color="auto"/>
            </w:tcBorders>
            <w:vAlign w:val="center"/>
          </w:tcPr>
          <w:p w14:paraId="1DBF2360"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8BCD49F" w14:textId="142E3D42" w:rsidR="00BE64A2" w:rsidRPr="001F151E" w:rsidRDefault="00CE1A00" w:rsidP="009E618E">
            <w:pPr>
              <w:pStyle w:val="EcorysBody"/>
              <w:jc w:val="center"/>
              <w:rPr>
                <w:rFonts w:ascii="Arial" w:hAnsi="Arial" w:cs="Arial"/>
                <w:sz w:val="16"/>
                <w:szCs w:val="16"/>
              </w:rPr>
            </w:pPr>
            <w:r>
              <w:rPr>
                <w:rFonts w:ascii="Arial" w:hAnsi="Arial" w:cs="Arial"/>
                <w:sz w:val="16"/>
                <w:szCs w:val="16"/>
              </w:rPr>
              <w:t>Growing trend</w:t>
            </w:r>
          </w:p>
        </w:tc>
        <w:tc>
          <w:tcPr>
            <w:tcW w:w="1181" w:type="dxa"/>
            <w:tcBorders>
              <w:top w:val="single" w:sz="4" w:space="0" w:color="auto"/>
              <w:left w:val="single" w:sz="4" w:space="0" w:color="auto"/>
              <w:bottom w:val="single" w:sz="4" w:space="0" w:color="auto"/>
              <w:right w:val="single" w:sz="4" w:space="0" w:color="auto"/>
            </w:tcBorders>
            <w:vAlign w:val="center"/>
            <w:hideMark/>
          </w:tcPr>
          <w:p w14:paraId="0F35B1D4" w14:textId="4F38A417" w:rsidR="00BE64A2" w:rsidRPr="001F151E" w:rsidRDefault="00CE1A00" w:rsidP="001B6C69">
            <w:pPr>
              <w:pStyle w:val="EcorysBody"/>
              <w:jc w:val="center"/>
              <w:rPr>
                <w:rFonts w:ascii="Arial" w:hAnsi="Arial" w:cs="Arial"/>
                <w:sz w:val="16"/>
                <w:szCs w:val="16"/>
              </w:rPr>
            </w:pPr>
            <w:r>
              <w:rPr>
                <w:rFonts w:ascii="Arial" w:hAnsi="Arial" w:cs="Arial"/>
                <w:sz w:val="16"/>
                <w:szCs w:val="16"/>
              </w:rPr>
              <w:t>Growing trend</w:t>
            </w:r>
          </w:p>
        </w:tc>
        <w:tc>
          <w:tcPr>
            <w:tcW w:w="1181" w:type="dxa"/>
            <w:tcBorders>
              <w:top w:val="single" w:sz="4" w:space="0" w:color="auto"/>
              <w:left w:val="single" w:sz="4" w:space="0" w:color="auto"/>
              <w:bottom w:val="single" w:sz="4" w:space="0" w:color="auto"/>
              <w:right w:val="single" w:sz="4" w:space="0" w:color="auto"/>
            </w:tcBorders>
            <w:vAlign w:val="center"/>
          </w:tcPr>
          <w:p w14:paraId="19F3D23B" w14:textId="3DD738B0" w:rsidR="00BE64A2" w:rsidRPr="001F151E" w:rsidRDefault="00CE1A00" w:rsidP="001B6C69">
            <w:pPr>
              <w:pStyle w:val="EcorysBody"/>
              <w:jc w:val="center"/>
              <w:rPr>
                <w:rFonts w:ascii="Arial" w:hAnsi="Arial" w:cs="Arial"/>
                <w:sz w:val="16"/>
                <w:szCs w:val="16"/>
              </w:rPr>
            </w:pPr>
            <w:r>
              <w:rPr>
                <w:rFonts w:ascii="Arial" w:hAnsi="Arial" w:cs="Arial"/>
                <w:sz w:val="16"/>
                <w:szCs w:val="16"/>
              </w:rPr>
              <w:t>Growing trend</w:t>
            </w:r>
          </w:p>
        </w:tc>
      </w:tr>
      <w:tr w:rsidR="00BE64A2" w:rsidRPr="001F151E" w14:paraId="10487306" w14:textId="77777777" w:rsidTr="009A3B76">
        <w:trPr>
          <w:cantSplit/>
          <w:trHeight w:val="736"/>
        </w:trPr>
        <w:tc>
          <w:tcPr>
            <w:tcW w:w="3114" w:type="dxa"/>
            <w:tcBorders>
              <w:top w:val="single" w:sz="4" w:space="0" w:color="auto"/>
              <w:left w:val="single" w:sz="4" w:space="0" w:color="auto"/>
              <w:bottom w:val="single" w:sz="4" w:space="0" w:color="auto"/>
              <w:right w:val="single" w:sz="4" w:space="0" w:color="auto"/>
            </w:tcBorders>
            <w:vAlign w:val="center"/>
            <w:hideMark/>
          </w:tcPr>
          <w:p w14:paraId="38CCF438" w14:textId="3D27E4F1" w:rsidR="00BE64A2" w:rsidRPr="001F151E" w:rsidRDefault="00D408F3" w:rsidP="00CD7428">
            <w:pPr>
              <w:pStyle w:val="ListParagraph"/>
              <w:numPr>
                <w:ilvl w:val="0"/>
                <w:numId w:val="60"/>
              </w:numPr>
              <w:rPr>
                <w:sz w:val="16"/>
                <w:szCs w:val="16"/>
              </w:rPr>
            </w:pPr>
            <w:r>
              <w:rPr>
                <w:sz w:val="16"/>
                <w:szCs w:val="16"/>
              </w:rPr>
              <w:t xml:space="preserve">Treguesi </w:t>
            </w:r>
            <w:r w:rsidR="00BE64A2" w:rsidRPr="001F151E">
              <w:rPr>
                <w:sz w:val="16"/>
                <w:szCs w:val="16"/>
              </w:rPr>
              <w:t xml:space="preserve">SIGMA 6.2.1 </w:t>
            </w:r>
            <w:r>
              <w:rPr>
                <w:sz w:val="16"/>
                <w:szCs w:val="16"/>
              </w:rPr>
              <w:t>–</w:t>
            </w:r>
            <w:r w:rsidR="00BE64A2" w:rsidRPr="001F151E">
              <w:rPr>
                <w:sz w:val="16"/>
                <w:szCs w:val="16"/>
              </w:rPr>
              <w:t xml:space="preserve"> </w:t>
            </w:r>
            <w:r>
              <w:rPr>
                <w:sz w:val="16"/>
                <w:szCs w:val="16"/>
              </w:rPr>
              <w:t>Cil</w:t>
            </w:r>
            <w:r w:rsidR="00D7294C">
              <w:rPr>
                <w:sz w:val="16"/>
                <w:szCs w:val="16"/>
              </w:rPr>
              <w:t>ë</w:t>
            </w:r>
            <w:r>
              <w:rPr>
                <w:sz w:val="16"/>
                <w:szCs w:val="16"/>
              </w:rPr>
              <w:t>sia e procesit t</w:t>
            </w:r>
            <w:r w:rsidR="00D7294C">
              <w:rPr>
                <w:sz w:val="16"/>
                <w:szCs w:val="16"/>
              </w:rPr>
              <w:t>ë</w:t>
            </w:r>
            <w:r>
              <w:rPr>
                <w:sz w:val="16"/>
                <w:szCs w:val="16"/>
              </w:rPr>
              <w:t xml:space="preserve"> buxhetit vjetor dhe besueshm</w:t>
            </w:r>
            <w:r w:rsidR="00D7294C">
              <w:rPr>
                <w:sz w:val="16"/>
                <w:szCs w:val="16"/>
              </w:rPr>
              <w:t>ë</w:t>
            </w:r>
            <w:r>
              <w:rPr>
                <w:sz w:val="16"/>
                <w:szCs w:val="16"/>
              </w:rPr>
              <w:t>ria e buxhetit</w:t>
            </w:r>
            <w:r w:rsidR="00BE64A2" w:rsidRPr="001F151E">
              <w:rPr>
                <w:sz w:val="16"/>
                <w:szCs w:val="16"/>
              </w:rPr>
              <w:t xml:space="preserve"> (</w:t>
            </w:r>
            <w:r>
              <w:rPr>
                <w:sz w:val="16"/>
                <w:szCs w:val="16"/>
              </w:rPr>
              <w:t>P</w:t>
            </w:r>
            <w:r w:rsidR="00D7294C">
              <w:rPr>
                <w:sz w:val="16"/>
                <w:szCs w:val="16"/>
              </w:rPr>
              <w:t>ë</w:t>
            </w:r>
            <w:r>
              <w:rPr>
                <w:sz w:val="16"/>
                <w:szCs w:val="16"/>
              </w:rPr>
              <w:t>rafrimi operacional nd</w:t>
            </w:r>
            <w:r w:rsidR="00D7294C">
              <w:rPr>
                <w:sz w:val="16"/>
                <w:szCs w:val="16"/>
              </w:rPr>
              <w:t>ë</w:t>
            </w:r>
            <w:r>
              <w:rPr>
                <w:sz w:val="16"/>
                <w:szCs w:val="16"/>
              </w:rPr>
              <w:t>rmjet Kuadrit Buxhetor Afatmes</w:t>
            </w:r>
            <w:r w:rsidR="00D7294C">
              <w:rPr>
                <w:sz w:val="16"/>
                <w:szCs w:val="16"/>
              </w:rPr>
              <w:t>ë</w:t>
            </w:r>
            <w:r>
              <w:rPr>
                <w:sz w:val="16"/>
                <w:szCs w:val="16"/>
              </w:rPr>
              <w:t>m dhe procesit buxhetor vjetor</w:t>
            </w:r>
            <w:r w:rsidR="00BE64A2" w:rsidRPr="001F151E">
              <w:rPr>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9C1C988"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 xml:space="preserve">2/4 </w:t>
            </w:r>
          </w:p>
          <w:p w14:paraId="0A5D414C"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(2021)</w:t>
            </w:r>
          </w:p>
        </w:tc>
        <w:tc>
          <w:tcPr>
            <w:tcW w:w="1181" w:type="dxa"/>
            <w:tcBorders>
              <w:top w:val="single" w:sz="4" w:space="0" w:color="auto"/>
              <w:left w:val="single" w:sz="4" w:space="0" w:color="auto"/>
              <w:bottom w:val="single" w:sz="4" w:space="0" w:color="auto"/>
              <w:right w:val="single" w:sz="4" w:space="0" w:color="auto"/>
            </w:tcBorders>
            <w:vAlign w:val="center"/>
          </w:tcPr>
          <w:p w14:paraId="369EC0C0"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03554BD0"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A4A17AB" w14:textId="03D1C0E0" w:rsidR="00BE64A2" w:rsidRPr="001F151E" w:rsidRDefault="00CE1A00" w:rsidP="002B7FF8">
            <w:pPr>
              <w:pStyle w:val="EcorysBody"/>
              <w:jc w:val="center"/>
              <w:rPr>
                <w:rFonts w:ascii="Arial" w:hAnsi="Arial" w:cs="Arial"/>
                <w:sz w:val="16"/>
                <w:szCs w:val="16"/>
              </w:rPr>
            </w:pPr>
            <w:r>
              <w:rPr>
                <w:rFonts w:ascii="Arial" w:hAnsi="Arial" w:cs="Arial"/>
                <w:sz w:val="16"/>
                <w:szCs w:val="16"/>
              </w:rPr>
              <w:t>Growing trend</w:t>
            </w:r>
          </w:p>
        </w:tc>
        <w:tc>
          <w:tcPr>
            <w:tcW w:w="1181" w:type="dxa"/>
            <w:tcBorders>
              <w:top w:val="single" w:sz="4" w:space="0" w:color="auto"/>
              <w:left w:val="single" w:sz="4" w:space="0" w:color="auto"/>
              <w:bottom w:val="single" w:sz="4" w:space="0" w:color="auto"/>
              <w:right w:val="single" w:sz="4" w:space="0" w:color="auto"/>
            </w:tcBorders>
            <w:vAlign w:val="center"/>
            <w:hideMark/>
          </w:tcPr>
          <w:p w14:paraId="077AE24E" w14:textId="74AC038B" w:rsidR="00BE64A2" w:rsidRPr="001F151E" w:rsidRDefault="00CE1A00" w:rsidP="002B7FF8">
            <w:pPr>
              <w:pStyle w:val="EcorysBody"/>
              <w:jc w:val="center"/>
              <w:rPr>
                <w:rFonts w:ascii="Arial" w:hAnsi="Arial" w:cs="Arial"/>
                <w:sz w:val="16"/>
                <w:szCs w:val="16"/>
              </w:rPr>
            </w:pPr>
            <w:r>
              <w:rPr>
                <w:rFonts w:ascii="Arial" w:hAnsi="Arial" w:cs="Arial"/>
                <w:sz w:val="16"/>
                <w:szCs w:val="16"/>
              </w:rPr>
              <w:t>Growing trend</w:t>
            </w:r>
          </w:p>
        </w:tc>
      </w:tr>
      <w:tr w:rsidR="00BE64A2" w:rsidRPr="001F151E" w14:paraId="0DEA2A49" w14:textId="77777777" w:rsidTr="009A3B76">
        <w:trPr>
          <w:cantSplit/>
        </w:trPr>
        <w:tc>
          <w:tcPr>
            <w:tcW w:w="3114" w:type="dxa"/>
            <w:tcBorders>
              <w:top w:val="single" w:sz="4" w:space="0" w:color="auto"/>
              <w:left w:val="single" w:sz="4" w:space="0" w:color="auto"/>
              <w:bottom w:val="single" w:sz="4" w:space="0" w:color="auto"/>
              <w:right w:val="single" w:sz="4" w:space="0" w:color="auto"/>
            </w:tcBorders>
            <w:vAlign w:val="center"/>
            <w:hideMark/>
          </w:tcPr>
          <w:p w14:paraId="467178DB" w14:textId="70977274" w:rsidR="00BE64A2" w:rsidRPr="001F151E" w:rsidRDefault="006A7A62" w:rsidP="00CD7428">
            <w:pPr>
              <w:pStyle w:val="ListParagraph"/>
              <w:numPr>
                <w:ilvl w:val="0"/>
                <w:numId w:val="60"/>
              </w:numPr>
              <w:rPr>
                <w:sz w:val="16"/>
                <w:szCs w:val="16"/>
              </w:rPr>
            </w:pPr>
            <w:r>
              <w:rPr>
                <w:sz w:val="16"/>
                <w:szCs w:val="16"/>
              </w:rPr>
              <w:t>Vler</w:t>
            </w:r>
            <w:r w:rsidR="00D7294C">
              <w:rPr>
                <w:sz w:val="16"/>
                <w:szCs w:val="16"/>
              </w:rPr>
              <w:t>ë</w:t>
            </w:r>
            <w:r>
              <w:rPr>
                <w:sz w:val="16"/>
                <w:szCs w:val="16"/>
              </w:rPr>
              <w:t>simi i Indeksit t</w:t>
            </w:r>
            <w:r w:rsidR="00D7294C">
              <w:rPr>
                <w:sz w:val="16"/>
                <w:szCs w:val="16"/>
              </w:rPr>
              <w:t>ë</w:t>
            </w:r>
            <w:r>
              <w:rPr>
                <w:sz w:val="16"/>
                <w:szCs w:val="16"/>
              </w:rPr>
              <w:t xml:space="preserve"> Buxhetit t</w:t>
            </w:r>
            <w:r w:rsidR="00D7294C">
              <w:rPr>
                <w:sz w:val="16"/>
                <w:szCs w:val="16"/>
              </w:rPr>
              <w:t>ë</w:t>
            </w:r>
            <w:r>
              <w:rPr>
                <w:sz w:val="16"/>
                <w:szCs w:val="16"/>
              </w:rPr>
              <w:t xml:space="preserve"> Hapur</w:t>
            </w:r>
            <w:r w:rsidR="00BE64A2" w:rsidRPr="001F151E">
              <w:rPr>
                <w:sz w:val="16"/>
                <w:szCs w:val="16"/>
              </w:rPr>
              <w:t xml:space="preserve"> </w:t>
            </w:r>
            <w:r>
              <w:rPr>
                <w:sz w:val="16"/>
                <w:szCs w:val="16"/>
              </w:rPr>
              <w:t>–</w:t>
            </w:r>
            <w:r w:rsidR="00BE64A2" w:rsidRPr="001F151E">
              <w:rPr>
                <w:sz w:val="16"/>
                <w:szCs w:val="16"/>
              </w:rPr>
              <w:t xml:space="preserve"> </w:t>
            </w:r>
            <w:r>
              <w:rPr>
                <w:sz w:val="16"/>
                <w:szCs w:val="16"/>
              </w:rPr>
              <w:t>pik</w:t>
            </w:r>
            <w:r w:rsidR="00D7294C">
              <w:rPr>
                <w:sz w:val="16"/>
                <w:szCs w:val="16"/>
              </w:rPr>
              <w:t>ë</w:t>
            </w:r>
            <w:r>
              <w:rPr>
                <w:sz w:val="16"/>
                <w:szCs w:val="16"/>
              </w:rPr>
              <w:t>t e Pjes</w:t>
            </w:r>
            <w:r w:rsidR="00D7294C">
              <w:rPr>
                <w:sz w:val="16"/>
                <w:szCs w:val="16"/>
              </w:rPr>
              <w:t>ë</w:t>
            </w:r>
            <w:r>
              <w:rPr>
                <w:sz w:val="16"/>
                <w:szCs w:val="16"/>
              </w:rPr>
              <w:t>marrjes Publike</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1C5F01B" w14:textId="77777777" w:rsidR="009A3B76" w:rsidRPr="001F151E" w:rsidRDefault="00BE64A2" w:rsidP="002B7FF8">
            <w:pPr>
              <w:pStyle w:val="EcorysBody"/>
              <w:jc w:val="center"/>
              <w:rPr>
                <w:rFonts w:ascii="Arial" w:hAnsi="Arial" w:cs="Arial"/>
                <w:sz w:val="16"/>
                <w:szCs w:val="16"/>
              </w:rPr>
            </w:pPr>
            <w:r w:rsidRPr="001F151E">
              <w:rPr>
                <w:rFonts w:ascii="Arial" w:hAnsi="Arial" w:cs="Arial"/>
                <w:sz w:val="16"/>
                <w:szCs w:val="16"/>
              </w:rPr>
              <w:t xml:space="preserve">6/100 </w:t>
            </w:r>
          </w:p>
          <w:p w14:paraId="0A3654EF" w14:textId="45A8A4C5"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(2021)</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61651376"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7DA8905F"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78C0A" w14:textId="51BEE8BE" w:rsidR="00BE64A2" w:rsidRPr="001F151E" w:rsidRDefault="00CE1A00" w:rsidP="002B7FF8">
            <w:pPr>
              <w:pStyle w:val="EcorysBody"/>
              <w:jc w:val="center"/>
              <w:rPr>
                <w:rFonts w:ascii="Arial" w:hAnsi="Arial" w:cs="Arial"/>
                <w:sz w:val="16"/>
                <w:szCs w:val="16"/>
              </w:rPr>
            </w:pPr>
            <w:r>
              <w:rPr>
                <w:rFonts w:ascii="Arial" w:hAnsi="Arial" w:cs="Arial"/>
                <w:sz w:val="16"/>
                <w:szCs w:val="16"/>
              </w:rPr>
              <w:t>Growing trend</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0A843B78" w14:textId="548E7630" w:rsidR="00BE64A2" w:rsidRPr="001F151E" w:rsidRDefault="00CE1A00" w:rsidP="002B7FF8">
            <w:pPr>
              <w:pStyle w:val="EcorysBody"/>
              <w:jc w:val="center"/>
              <w:rPr>
                <w:rFonts w:ascii="Arial" w:hAnsi="Arial" w:cs="Arial"/>
                <w:sz w:val="16"/>
                <w:szCs w:val="16"/>
              </w:rPr>
            </w:pPr>
            <w:r>
              <w:rPr>
                <w:rFonts w:ascii="Arial" w:hAnsi="Arial" w:cs="Arial"/>
                <w:sz w:val="16"/>
                <w:szCs w:val="16"/>
              </w:rPr>
              <w:t>Growing trend</w:t>
            </w:r>
          </w:p>
        </w:tc>
      </w:tr>
      <w:tr w:rsidR="00A846BA" w:rsidRPr="001F151E" w14:paraId="15323308" w14:textId="77777777" w:rsidTr="009A3B76">
        <w:trPr>
          <w:cantSplit/>
        </w:trPr>
        <w:tc>
          <w:tcPr>
            <w:tcW w:w="3114" w:type="dxa"/>
            <w:tcBorders>
              <w:top w:val="single" w:sz="4" w:space="0" w:color="auto"/>
              <w:left w:val="single" w:sz="4" w:space="0" w:color="auto"/>
              <w:bottom w:val="single" w:sz="4" w:space="0" w:color="auto"/>
              <w:right w:val="single" w:sz="4" w:space="0" w:color="auto"/>
            </w:tcBorders>
            <w:vAlign w:val="center"/>
          </w:tcPr>
          <w:p w14:paraId="3443310C" w14:textId="2B6D7EE4" w:rsidR="00A846BA" w:rsidRPr="001F151E" w:rsidRDefault="006A7A62" w:rsidP="00CD7428">
            <w:pPr>
              <w:pStyle w:val="ListParagraph"/>
              <w:numPr>
                <w:ilvl w:val="0"/>
                <w:numId w:val="60"/>
              </w:numPr>
              <w:rPr>
                <w:sz w:val="16"/>
                <w:szCs w:val="16"/>
              </w:rPr>
            </w:pPr>
            <w:r>
              <w:rPr>
                <w:sz w:val="16"/>
                <w:szCs w:val="16"/>
              </w:rPr>
              <w:t>Vler</w:t>
            </w:r>
            <w:r w:rsidR="00D7294C">
              <w:rPr>
                <w:sz w:val="16"/>
                <w:szCs w:val="16"/>
              </w:rPr>
              <w:t>ë</w:t>
            </w:r>
            <w:r>
              <w:rPr>
                <w:sz w:val="16"/>
                <w:szCs w:val="16"/>
              </w:rPr>
              <w:t>simi i Indeksit t</w:t>
            </w:r>
            <w:r w:rsidR="00D7294C">
              <w:rPr>
                <w:sz w:val="16"/>
                <w:szCs w:val="16"/>
              </w:rPr>
              <w:t>ë</w:t>
            </w:r>
            <w:r>
              <w:rPr>
                <w:sz w:val="16"/>
                <w:szCs w:val="16"/>
              </w:rPr>
              <w:t xml:space="preserve"> Buxhetit t</w:t>
            </w:r>
            <w:r w:rsidR="00D7294C">
              <w:rPr>
                <w:sz w:val="16"/>
                <w:szCs w:val="16"/>
              </w:rPr>
              <w:t>ë</w:t>
            </w:r>
            <w:r>
              <w:rPr>
                <w:sz w:val="16"/>
                <w:szCs w:val="16"/>
              </w:rPr>
              <w:t xml:space="preserve"> Hapur </w:t>
            </w:r>
            <w:r w:rsidR="00A846BA">
              <w:rPr>
                <w:sz w:val="16"/>
                <w:szCs w:val="16"/>
              </w:rPr>
              <w:t>–</w:t>
            </w:r>
            <w:r w:rsidR="00A846BA" w:rsidRPr="00723CC8">
              <w:rPr>
                <w:sz w:val="16"/>
                <w:szCs w:val="16"/>
              </w:rPr>
              <w:t xml:space="preserve"> </w:t>
            </w:r>
            <w:r>
              <w:rPr>
                <w:sz w:val="16"/>
                <w:szCs w:val="16"/>
              </w:rPr>
              <w:t>Transparenca</w:t>
            </w:r>
          </w:p>
        </w:tc>
        <w:tc>
          <w:tcPr>
            <w:tcW w:w="1180" w:type="dxa"/>
            <w:tcBorders>
              <w:top w:val="single" w:sz="4" w:space="0" w:color="auto"/>
              <w:left w:val="single" w:sz="4" w:space="0" w:color="auto"/>
              <w:bottom w:val="single" w:sz="4" w:space="0" w:color="auto"/>
              <w:right w:val="single" w:sz="4" w:space="0" w:color="auto"/>
            </w:tcBorders>
            <w:vAlign w:val="center"/>
          </w:tcPr>
          <w:p w14:paraId="6B0B76CD" w14:textId="77777777" w:rsidR="00A846BA" w:rsidRDefault="00A846BA" w:rsidP="00A846BA">
            <w:pPr>
              <w:pStyle w:val="EcorysBody"/>
              <w:jc w:val="center"/>
              <w:rPr>
                <w:rFonts w:ascii="Arial" w:hAnsi="Arial" w:cs="Arial"/>
                <w:sz w:val="16"/>
                <w:szCs w:val="16"/>
              </w:rPr>
            </w:pPr>
            <w:r>
              <w:rPr>
                <w:rFonts w:ascii="Arial" w:hAnsi="Arial" w:cs="Arial"/>
                <w:sz w:val="16"/>
                <w:szCs w:val="16"/>
              </w:rPr>
              <w:t>52</w:t>
            </w:r>
            <w:r w:rsidRPr="00723CC8">
              <w:rPr>
                <w:rFonts w:ascii="Arial" w:hAnsi="Arial" w:cs="Arial"/>
                <w:sz w:val="16"/>
                <w:szCs w:val="16"/>
              </w:rPr>
              <w:t xml:space="preserve">/100 </w:t>
            </w:r>
          </w:p>
          <w:p w14:paraId="10BD59BA" w14:textId="31D97D33" w:rsidR="00A846BA" w:rsidRPr="001F151E" w:rsidRDefault="00A846BA" w:rsidP="00A846BA">
            <w:pPr>
              <w:pStyle w:val="EcorysBody"/>
              <w:jc w:val="center"/>
              <w:rPr>
                <w:rFonts w:ascii="Arial" w:hAnsi="Arial" w:cs="Arial"/>
                <w:sz w:val="16"/>
                <w:szCs w:val="16"/>
              </w:rPr>
            </w:pPr>
            <w:r w:rsidRPr="00723CC8">
              <w:rPr>
                <w:rFonts w:ascii="Arial" w:hAnsi="Arial" w:cs="Arial"/>
                <w:sz w:val="16"/>
                <w:szCs w:val="16"/>
              </w:rPr>
              <w:t>(2021)</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B27E92B" w14:textId="727ADD46" w:rsidR="00A846BA" w:rsidRPr="001F151E" w:rsidRDefault="00B8415D" w:rsidP="00A846BA">
            <w:pPr>
              <w:pStyle w:val="EcorysBody"/>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55290417" w14:textId="6E87C761" w:rsidR="00A846BA" w:rsidRPr="001F151E" w:rsidRDefault="00B8415D" w:rsidP="00A846BA">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218ECEA8" w14:textId="07336C5F" w:rsidR="00A846BA" w:rsidRPr="001F151E" w:rsidRDefault="00CE1A00" w:rsidP="00A846BA">
            <w:pPr>
              <w:pStyle w:val="EcorysBody"/>
              <w:jc w:val="center"/>
              <w:rPr>
                <w:rFonts w:ascii="Arial" w:hAnsi="Arial" w:cs="Arial"/>
                <w:sz w:val="16"/>
                <w:szCs w:val="16"/>
              </w:rPr>
            </w:pPr>
            <w:r>
              <w:rPr>
                <w:rFonts w:ascii="Arial" w:hAnsi="Arial" w:cs="Arial"/>
                <w:sz w:val="16"/>
                <w:szCs w:val="16"/>
              </w:rPr>
              <w:t>Growing trend</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7E9AD6DF" w14:textId="0733CABE" w:rsidR="00A846BA" w:rsidRPr="001F151E" w:rsidRDefault="00B8415D" w:rsidP="00A846BA">
            <w:pPr>
              <w:pStyle w:val="EcorysBody"/>
              <w:jc w:val="center"/>
              <w:rPr>
                <w:rFonts w:ascii="Arial" w:hAnsi="Arial" w:cs="Arial"/>
                <w:sz w:val="16"/>
                <w:szCs w:val="16"/>
              </w:rPr>
            </w:pPr>
            <w:r w:rsidRPr="001F151E">
              <w:rPr>
                <w:rFonts w:ascii="Arial" w:hAnsi="Arial" w:cs="Arial"/>
                <w:sz w:val="16"/>
                <w:szCs w:val="16"/>
              </w:rPr>
              <w:t>-</w:t>
            </w:r>
          </w:p>
        </w:tc>
      </w:tr>
      <w:tr w:rsidR="00A846BA" w:rsidRPr="0059094E" w14:paraId="73674D58" w14:textId="77777777" w:rsidTr="009A3B76">
        <w:trPr>
          <w:cantSplit/>
        </w:trPr>
        <w:tc>
          <w:tcPr>
            <w:tcW w:w="3114" w:type="dxa"/>
            <w:tcBorders>
              <w:top w:val="single" w:sz="4" w:space="0" w:color="auto"/>
              <w:left w:val="single" w:sz="4" w:space="0" w:color="auto"/>
              <w:bottom w:val="single" w:sz="4" w:space="0" w:color="auto"/>
              <w:right w:val="single" w:sz="4" w:space="0" w:color="auto"/>
            </w:tcBorders>
            <w:vAlign w:val="center"/>
            <w:hideMark/>
          </w:tcPr>
          <w:p w14:paraId="6B64F521" w14:textId="5ECC0FB4" w:rsidR="00A846BA" w:rsidRPr="009D660E" w:rsidRDefault="006A7A62" w:rsidP="00CD7428">
            <w:pPr>
              <w:pStyle w:val="ListParagraph"/>
              <w:numPr>
                <w:ilvl w:val="0"/>
                <w:numId w:val="60"/>
              </w:numPr>
              <w:rPr>
                <w:sz w:val="16"/>
                <w:szCs w:val="16"/>
                <w:lang w:val="it-IT"/>
              </w:rPr>
            </w:pPr>
            <w:r w:rsidRPr="009D660E">
              <w:rPr>
                <w:sz w:val="16"/>
                <w:szCs w:val="16"/>
                <w:lang w:val="it-IT"/>
              </w:rPr>
              <w:t>Prezantimi i rishikimeve t</w:t>
            </w:r>
            <w:r w:rsidR="00D7294C" w:rsidRPr="009D660E">
              <w:rPr>
                <w:sz w:val="16"/>
                <w:szCs w:val="16"/>
                <w:lang w:val="it-IT"/>
              </w:rPr>
              <w:t>ë</w:t>
            </w:r>
            <w:r w:rsidRPr="009D660E">
              <w:rPr>
                <w:sz w:val="16"/>
                <w:szCs w:val="16"/>
                <w:lang w:val="it-IT"/>
              </w:rPr>
              <w:t xml:space="preserve"> shpenzimeve</w:t>
            </w:r>
            <w:r w:rsidR="00A846BA" w:rsidRPr="009D660E">
              <w:rPr>
                <w:sz w:val="16"/>
                <w:szCs w:val="16"/>
                <w:lang w:val="it-IT"/>
              </w:rPr>
              <w:t>.</w:t>
            </w:r>
          </w:p>
        </w:tc>
        <w:tc>
          <w:tcPr>
            <w:tcW w:w="1180" w:type="dxa"/>
            <w:tcBorders>
              <w:top w:val="single" w:sz="4" w:space="0" w:color="auto"/>
              <w:left w:val="single" w:sz="4" w:space="0" w:color="auto"/>
              <w:bottom w:val="single" w:sz="4" w:space="0" w:color="auto"/>
              <w:right w:val="single" w:sz="4" w:space="0" w:color="auto"/>
            </w:tcBorders>
            <w:vAlign w:val="center"/>
          </w:tcPr>
          <w:p w14:paraId="1B1CDF30"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3DAAF301" w14:textId="2D1ADE34" w:rsidR="00A846BA" w:rsidRPr="009D660E" w:rsidRDefault="006A7A62" w:rsidP="00A846BA">
            <w:pPr>
              <w:pStyle w:val="EcorysBody"/>
              <w:jc w:val="center"/>
              <w:rPr>
                <w:rFonts w:ascii="Arial" w:hAnsi="Arial" w:cs="Arial"/>
                <w:sz w:val="16"/>
                <w:szCs w:val="16"/>
                <w:lang w:val="it-IT"/>
              </w:rPr>
            </w:pPr>
            <w:r w:rsidRPr="009D660E">
              <w:rPr>
                <w:rFonts w:ascii="Arial" w:hAnsi="Arial" w:cs="Arial"/>
                <w:sz w:val="16"/>
                <w:szCs w:val="16"/>
                <w:lang w:val="it-IT"/>
              </w:rPr>
              <w:t>Metodologjia e p</w:t>
            </w:r>
            <w:r w:rsidR="00D7294C" w:rsidRPr="009D660E">
              <w:rPr>
                <w:rFonts w:ascii="Arial" w:hAnsi="Arial" w:cs="Arial"/>
                <w:sz w:val="16"/>
                <w:szCs w:val="16"/>
                <w:lang w:val="it-IT"/>
              </w:rPr>
              <w:t>ë</w:t>
            </w:r>
            <w:r w:rsidRPr="009D660E">
              <w:rPr>
                <w:rFonts w:ascii="Arial" w:hAnsi="Arial" w:cs="Arial"/>
                <w:sz w:val="16"/>
                <w:szCs w:val="16"/>
                <w:lang w:val="it-IT"/>
              </w:rPr>
              <w:t>rgatitur dhe rregulluar</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62393A8A" w14:textId="62668BF8" w:rsidR="00A846BA" w:rsidRPr="009D660E" w:rsidRDefault="006A7A62" w:rsidP="00A846BA">
            <w:pPr>
              <w:pStyle w:val="EcorysBody"/>
              <w:jc w:val="center"/>
              <w:rPr>
                <w:rFonts w:ascii="Arial" w:hAnsi="Arial" w:cs="Arial"/>
                <w:sz w:val="16"/>
                <w:szCs w:val="16"/>
                <w:lang w:val="it-IT"/>
              </w:rPr>
            </w:pPr>
            <w:r w:rsidRPr="009D660E">
              <w:rPr>
                <w:rFonts w:ascii="Arial" w:hAnsi="Arial" w:cs="Arial"/>
                <w:sz w:val="16"/>
                <w:szCs w:val="16"/>
                <w:lang w:val="it-IT"/>
              </w:rPr>
              <w:t>Rishikimet e shpenzimeve t</w:t>
            </w:r>
            <w:r w:rsidR="00D7294C" w:rsidRPr="009D660E">
              <w:rPr>
                <w:rFonts w:ascii="Arial" w:hAnsi="Arial" w:cs="Arial"/>
                <w:sz w:val="16"/>
                <w:szCs w:val="16"/>
                <w:lang w:val="it-IT"/>
              </w:rPr>
              <w:t>ë</w:t>
            </w:r>
            <w:r w:rsidRPr="009D660E">
              <w:rPr>
                <w:rFonts w:ascii="Arial" w:hAnsi="Arial" w:cs="Arial"/>
                <w:sz w:val="16"/>
                <w:szCs w:val="16"/>
                <w:lang w:val="it-IT"/>
              </w:rPr>
              <w:t xml:space="preserve"> pilotuara</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8879D6B" w14:textId="2C8D96D1" w:rsidR="00A846BA" w:rsidRPr="009D660E" w:rsidRDefault="006A7A62" w:rsidP="00B8415D">
            <w:pPr>
              <w:pStyle w:val="EcorysBody"/>
              <w:jc w:val="center"/>
              <w:rPr>
                <w:rFonts w:ascii="Arial" w:hAnsi="Arial" w:cs="Arial"/>
                <w:sz w:val="16"/>
                <w:szCs w:val="16"/>
                <w:lang w:val="it-IT"/>
              </w:rPr>
            </w:pPr>
            <w:r w:rsidRPr="009D660E">
              <w:rPr>
                <w:rFonts w:ascii="Arial" w:hAnsi="Arial" w:cs="Arial"/>
                <w:sz w:val="16"/>
                <w:szCs w:val="16"/>
                <w:lang w:val="it-IT"/>
              </w:rPr>
              <w:t>Rishikimet e shpenzimeve t</w:t>
            </w:r>
            <w:r w:rsidR="00D7294C" w:rsidRPr="009D660E">
              <w:rPr>
                <w:rFonts w:ascii="Arial" w:hAnsi="Arial" w:cs="Arial"/>
                <w:sz w:val="16"/>
                <w:szCs w:val="16"/>
                <w:lang w:val="it-IT"/>
              </w:rPr>
              <w:t>ë</w:t>
            </w:r>
            <w:r w:rsidRPr="009D660E">
              <w:rPr>
                <w:rFonts w:ascii="Arial" w:hAnsi="Arial" w:cs="Arial"/>
                <w:sz w:val="16"/>
                <w:szCs w:val="16"/>
                <w:lang w:val="it-IT"/>
              </w:rPr>
              <w:t xml:space="preserve"> realizuara </w:t>
            </w:r>
            <w:r w:rsidR="00B8415D">
              <w:rPr>
                <w:rFonts w:ascii="Arial" w:hAnsi="Arial" w:cs="Arial"/>
                <w:sz w:val="16"/>
                <w:szCs w:val="16"/>
                <w:lang w:val="it-IT"/>
              </w:rPr>
              <w:t>në</w:t>
            </w:r>
            <w:r w:rsidRPr="009D660E">
              <w:rPr>
                <w:rFonts w:ascii="Arial" w:hAnsi="Arial" w:cs="Arial"/>
                <w:sz w:val="16"/>
                <w:szCs w:val="16"/>
                <w:lang w:val="it-IT"/>
              </w:rPr>
              <w:t xml:space="preserve"> </w:t>
            </w:r>
            <w:r w:rsidR="00B8415D">
              <w:rPr>
                <w:rFonts w:ascii="Arial" w:hAnsi="Arial" w:cs="Arial"/>
                <w:sz w:val="16"/>
                <w:szCs w:val="16"/>
                <w:lang w:val="it-IT"/>
              </w:rPr>
              <w:t>1</w:t>
            </w:r>
            <w:r w:rsidRPr="009D660E">
              <w:rPr>
                <w:rFonts w:ascii="Arial" w:hAnsi="Arial" w:cs="Arial"/>
                <w:sz w:val="16"/>
                <w:szCs w:val="16"/>
                <w:lang w:val="it-IT"/>
              </w:rPr>
              <w:t xml:space="preserve"> </w:t>
            </w:r>
            <w:r w:rsidR="00B8415D">
              <w:rPr>
                <w:rFonts w:ascii="Arial" w:hAnsi="Arial" w:cs="Arial"/>
                <w:sz w:val="16"/>
                <w:szCs w:val="16"/>
                <w:lang w:val="it-IT"/>
              </w:rPr>
              <w:t>program / sektor</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5AEF12F" w14:textId="50A0B400" w:rsidR="00A846BA" w:rsidRPr="009D660E" w:rsidRDefault="006A7A62" w:rsidP="00B8415D">
            <w:pPr>
              <w:pStyle w:val="EcorysBody"/>
              <w:jc w:val="center"/>
              <w:rPr>
                <w:rFonts w:ascii="Arial" w:hAnsi="Arial" w:cs="Arial"/>
                <w:sz w:val="16"/>
                <w:szCs w:val="16"/>
                <w:lang w:val="it-IT"/>
              </w:rPr>
            </w:pPr>
            <w:r w:rsidRPr="009D660E">
              <w:rPr>
                <w:rFonts w:ascii="Arial" w:hAnsi="Arial" w:cs="Arial"/>
                <w:sz w:val="16"/>
                <w:szCs w:val="16"/>
                <w:lang w:val="it-IT"/>
              </w:rPr>
              <w:t>Rishikimet e shpenzimeve t</w:t>
            </w:r>
            <w:r w:rsidR="00D7294C" w:rsidRPr="009D660E">
              <w:rPr>
                <w:rFonts w:ascii="Arial" w:hAnsi="Arial" w:cs="Arial"/>
                <w:sz w:val="16"/>
                <w:szCs w:val="16"/>
                <w:lang w:val="it-IT"/>
              </w:rPr>
              <w:t>ë</w:t>
            </w:r>
            <w:r w:rsidRPr="009D660E">
              <w:rPr>
                <w:rFonts w:ascii="Arial" w:hAnsi="Arial" w:cs="Arial"/>
                <w:sz w:val="16"/>
                <w:szCs w:val="16"/>
                <w:lang w:val="it-IT"/>
              </w:rPr>
              <w:t xml:space="preserve"> realizuara </w:t>
            </w:r>
            <w:r w:rsidR="00B8415D">
              <w:rPr>
                <w:rFonts w:ascii="Arial" w:hAnsi="Arial" w:cs="Arial"/>
                <w:sz w:val="16"/>
                <w:szCs w:val="16"/>
                <w:lang w:val="it-IT"/>
              </w:rPr>
              <w:t>në</w:t>
            </w:r>
            <w:r w:rsidRPr="009D660E">
              <w:rPr>
                <w:rFonts w:ascii="Arial" w:hAnsi="Arial" w:cs="Arial"/>
                <w:sz w:val="16"/>
                <w:szCs w:val="16"/>
                <w:lang w:val="it-IT"/>
              </w:rPr>
              <w:t xml:space="preserve"> </w:t>
            </w:r>
            <w:r w:rsidR="00B8415D">
              <w:rPr>
                <w:rFonts w:ascii="Arial" w:hAnsi="Arial" w:cs="Arial"/>
                <w:sz w:val="16"/>
                <w:szCs w:val="16"/>
                <w:lang w:val="it-IT"/>
              </w:rPr>
              <w:t>2</w:t>
            </w:r>
            <w:r w:rsidRPr="009D660E">
              <w:rPr>
                <w:rFonts w:ascii="Arial" w:hAnsi="Arial" w:cs="Arial"/>
                <w:sz w:val="16"/>
                <w:szCs w:val="16"/>
                <w:lang w:val="it-IT"/>
              </w:rPr>
              <w:t xml:space="preserve"> </w:t>
            </w:r>
            <w:r w:rsidR="00B8415D">
              <w:rPr>
                <w:rFonts w:ascii="Arial" w:hAnsi="Arial" w:cs="Arial"/>
                <w:sz w:val="16"/>
                <w:szCs w:val="16"/>
                <w:lang w:val="it-IT"/>
              </w:rPr>
              <w:t>programe / sektor</w:t>
            </w:r>
          </w:p>
        </w:tc>
      </w:tr>
      <w:tr w:rsidR="00A846BA" w:rsidRPr="001F151E" w14:paraId="23944D27" w14:textId="77777777" w:rsidTr="009A3B76">
        <w:trPr>
          <w:cantSplit/>
        </w:trPr>
        <w:tc>
          <w:tcPr>
            <w:tcW w:w="3114" w:type="dxa"/>
            <w:tcBorders>
              <w:top w:val="single" w:sz="4" w:space="0" w:color="auto"/>
              <w:left w:val="single" w:sz="4" w:space="0" w:color="auto"/>
              <w:bottom w:val="single" w:sz="4" w:space="0" w:color="auto"/>
              <w:right w:val="single" w:sz="4" w:space="0" w:color="auto"/>
            </w:tcBorders>
            <w:vAlign w:val="center"/>
            <w:hideMark/>
          </w:tcPr>
          <w:p w14:paraId="5D0F2ECA" w14:textId="398FC765" w:rsidR="00A846BA" w:rsidRPr="009D660E" w:rsidRDefault="006A7A62" w:rsidP="00CD7428">
            <w:pPr>
              <w:pStyle w:val="ListParagraph"/>
              <w:numPr>
                <w:ilvl w:val="0"/>
                <w:numId w:val="60"/>
              </w:numPr>
              <w:rPr>
                <w:sz w:val="16"/>
                <w:szCs w:val="16"/>
                <w:lang w:val="it-IT"/>
              </w:rPr>
            </w:pPr>
            <w:r w:rsidRPr="009D660E">
              <w:rPr>
                <w:sz w:val="16"/>
                <w:szCs w:val="16"/>
                <w:lang w:val="it-IT"/>
              </w:rPr>
              <w:t>Prezantimi i analiz</w:t>
            </w:r>
            <w:r w:rsidR="00D7294C" w:rsidRPr="009D660E">
              <w:rPr>
                <w:sz w:val="16"/>
                <w:szCs w:val="16"/>
                <w:lang w:val="it-IT"/>
              </w:rPr>
              <w:t>ë</w:t>
            </w:r>
            <w:r w:rsidRPr="009D660E">
              <w:rPr>
                <w:sz w:val="16"/>
                <w:szCs w:val="16"/>
                <w:lang w:val="it-IT"/>
              </w:rPr>
              <w:t>s s</w:t>
            </w:r>
            <w:r w:rsidR="00D7294C" w:rsidRPr="009D660E">
              <w:rPr>
                <w:sz w:val="16"/>
                <w:szCs w:val="16"/>
                <w:lang w:val="it-IT"/>
              </w:rPr>
              <w:t>ë</w:t>
            </w:r>
            <w:r w:rsidRPr="009D660E">
              <w:rPr>
                <w:sz w:val="16"/>
                <w:szCs w:val="16"/>
                <w:lang w:val="it-IT"/>
              </w:rPr>
              <w:t xml:space="preserve"> hendekut gjinor si pjes</w:t>
            </w:r>
            <w:r w:rsidR="00D7294C" w:rsidRPr="009D660E">
              <w:rPr>
                <w:sz w:val="16"/>
                <w:szCs w:val="16"/>
                <w:lang w:val="it-IT"/>
              </w:rPr>
              <w:t>ë</w:t>
            </w:r>
            <w:r w:rsidRPr="009D660E">
              <w:rPr>
                <w:sz w:val="16"/>
                <w:szCs w:val="16"/>
                <w:lang w:val="it-IT"/>
              </w:rPr>
              <w:t xml:space="preserve"> e BPGJ-s</w:t>
            </w:r>
            <w:r w:rsidR="00D7294C" w:rsidRPr="009D660E">
              <w:rPr>
                <w:sz w:val="16"/>
                <w:szCs w:val="16"/>
                <w:lang w:val="it-IT"/>
              </w:rPr>
              <w:t>ë</w:t>
            </w:r>
          </w:p>
        </w:tc>
        <w:tc>
          <w:tcPr>
            <w:tcW w:w="1180" w:type="dxa"/>
            <w:tcBorders>
              <w:top w:val="single" w:sz="4" w:space="0" w:color="auto"/>
              <w:left w:val="single" w:sz="4" w:space="0" w:color="auto"/>
              <w:bottom w:val="single" w:sz="4" w:space="0" w:color="auto"/>
              <w:right w:val="single" w:sz="4" w:space="0" w:color="auto"/>
            </w:tcBorders>
            <w:vAlign w:val="center"/>
          </w:tcPr>
          <w:p w14:paraId="2A82E51C"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7A9C21F5" w14:textId="3270D47C" w:rsidR="00A846BA" w:rsidRPr="009D660E" w:rsidRDefault="006A7A62" w:rsidP="00A846BA">
            <w:pPr>
              <w:pStyle w:val="EcorysBody"/>
              <w:jc w:val="center"/>
              <w:rPr>
                <w:rFonts w:ascii="Arial" w:hAnsi="Arial" w:cs="Arial"/>
                <w:sz w:val="16"/>
                <w:szCs w:val="16"/>
                <w:lang w:val="it-IT"/>
              </w:rPr>
            </w:pPr>
            <w:r w:rsidRPr="009D660E">
              <w:rPr>
                <w:rFonts w:ascii="Arial" w:hAnsi="Arial" w:cs="Arial"/>
                <w:sz w:val="16"/>
                <w:szCs w:val="16"/>
                <w:lang w:val="it-IT"/>
              </w:rPr>
              <w:t>Metodologjia e analiz</w:t>
            </w:r>
            <w:r w:rsidR="00D7294C" w:rsidRPr="009D660E">
              <w:rPr>
                <w:rFonts w:ascii="Arial" w:hAnsi="Arial" w:cs="Arial"/>
                <w:sz w:val="16"/>
                <w:szCs w:val="16"/>
                <w:lang w:val="it-IT"/>
              </w:rPr>
              <w:t>ë</w:t>
            </w:r>
            <w:r w:rsidRPr="009D660E">
              <w:rPr>
                <w:rFonts w:ascii="Arial" w:hAnsi="Arial" w:cs="Arial"/>
                <w:sz w:val="16"/>
                <w:szCs w:val="16"/>
                <w:lang w:val="it-IT"/>
              </w:rPr>
              <w:t>s s</w:t>
            </w:r>
            <w:r w:rsidR="00D7294C" w:rsidRPr="009D660E">
              <w:rPr>
                <w:rFonts w:ascii="Arial" w:hAnsi="Arial" w:cs="Arial"/>
                <w:sz w:val="16"/>
                <w:szCs w:val="16"/>
                <w:lang w:val="it-IT"/>
              </w:rPr>
              <w:t>ë</w:t>
            </w:r>
            <w:r w:rsidRPr="009D660E">
              <w:rPr>
                <w:rFonts w:ascii="Arial" w:hAnsi="Arial" w:cs="Arial"/>
                <w:sz w:val="16"/>
                <w:szCs w:val="16"/>
                <w:lang w:val="it-IT"/>
              </w:rPr>
              <w:t xml:space="preserve"> hendekut gjinor e p</w:t>
            </w:r>
            <w:r w:rsidR="00D7294C" w:rsidRPr="009D660E">
              <w:rPr>
                <w:rFonts w:ascii="Arial" w:hAnsi="Arial" w:cs="Arial"/>
                <w:sz w:val="16"/>
                <w:szCs w:val="16"/>
                <w:lang w:val="it-IT"/>
              </w:rPr>
              <w:t>ë</w:t>
            </w:r>
            <w:r w:rsidRPr="009D660E">
              <w:rPr>
                <w:rFonts w:ascii="Arial" w:hAnsi="Arial" w:cs="Arial"/>
                <w:sz w:val="16"/>
                <w:szCs w:val="16"/>
                <w:lang w:val="it-IT"/>
              </w:rPr>
              <w:t>rgatitur dhe e rregulluar</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067D58C7" w14:textId="06982B12" w:rsidR="00A846BA" w:rsidRPr="001F151E" w:rsidRDefault="006A7A62" w:rsidP="00A846BA">
            <w:pPr>
              <w:pStyle w:val="EcorysBody"/>
              <w:jc w:val="center"/>
              <w:rPr>
                <w:rFonts w:ascii="Arial" w:hAnsi="Arial" w:cs="Arial"/>
                <w:sz w:val="16"/>
                <w:szCs w:val="16"/>
              </w:rPr>
            </w:pPr>
            <w:r>
              <w:rPr>
                <w:rFonts w:ascii="Arial" w:hAnsi="Arial" w:cs="Arial"/>
                <w:sz w:val="16"/>
                <w:szCs w:val="16"/>
              </w:rPr>
              <w:t>Pilotimi i analiz</w:t>
            </w:r>
            <w:r w:rsidR="00D7294C">
              <w:rPr>
                <w:rFonts w:ascii="Arial" w:hAnsi="Arial" w:cs="Arial"/>
                <w:sz w:val="16"/>
                <w:szCs w:val="16"/>
              </w:rPr>
              <w:t>ë</w:t>
            </w:r>
            <w:r>
              <w:rPr>
                <w:rFonts w:ascii="Arial" w:hAnsi="Arial" w:cs="Arial"/>
                <w:sz w:val="16"/>
                <w:szCs w:val="16"/>
              </w:rPr>
              <w:t>s s</w:t>
            </w:r>
            <w:r w:rsidR="00D7294C">
              <w:rPr>
                <w:rFonts w:ascii="Arial" w:hAnsi="Arial" w:cs="Arial"/>
                <w:sz w:val="16"/>
                <w:szCs w:val="16"/>
              </w:rPr>
              <w:t>ë</w:t>
            </w:r>
            <w:r>
              <w:rPr>
                <w:rFonts w:ascii="Arial" w:hAnsi="Arial" w:cs="Arial"/>
                <w:sz w:val="16"/>
                <w:szCs w:val="16"/>
              </w:rPr>
              <w:t xml:space="preserve"> hendekut gjinor</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5C508D5" w14:textId="3250A720" w:rsidR="00A846BA" w:rsidRPr="001F151E" w:rsidRDefault="003D1B17" w:rsidP="00A846BA">
            <w:pPr>
              <w:pStyle w:val="EcorysBody"/>
              <w:jc w:val="center"/>
              <w:rPr>
                <w:rFonts w:ascii="Arial" w:hAnsi="Arial" w:cs="Arial"/>
                <w:sz w:val="16"/>
                <w:szCs w:val="16"/>
              </w:rPr>
            </w:pPr>
            <w:r>
              <w:rPr>
                <w:rFonts w:ascii="Arial" w:hAnsi="Arial" w:cs="Arial"/>
                <w:sz w:val="16"/>
                <w:szCs w:val="16"/>
              </w:rPr>
              <w:t>P</w:t>
            </w:r>
            <w:r w:rsidR="00D7294C">
              <w:rPr>
                <w:rFonts w:ascii="Arial" w:hAnsi="Arial" w:cs="Arial"/>
                <w:sz w:val="16"/>
                <w:szCs w:val="16"/>
              </w:rPr>
              <w:t>ë</w:t>
            </w:r>
            <w:r>
              <w:rPr>
                <w:rFonts w:ascii="Arial" w:hAnsi="Arial" w:cs="Arial"/>
                <w:sz w:val="16"/>
                <w:szCs w:val="16"/>
              </w:rPr>
              <w:t>rhapja e analiz</w:t>
            </w:r>
            <w:r w:rsidR="00D7294C">
              <w:rPr>
                <w:rFonts w:ascii="Arial" w:hAnsi="Arial" w:cs="Arial"/>
                <w:sz w:val="16"/>
                <w:szCs w:val="16"/>
              </w:rPr>
              <w:t>ë</w:t>
            </w:r>
            <w:r>
              <w:rPr>
                <w:rFonts w:ascii="Arial" w:hAnsi="Arial" w:cs="Arial"/>
                <w:sz w:val="16"/>
                <w:szCs w:val="16"/>
              </w:rPr>
              <w:t>s s</w:t>
            </w:r>
            <w:r w:rsidR="00D7294C">
              <w:rPr>
                <w:rFonts w:ascii="Arial" w:hAnsi="Arial" w:cs="Arial"/>
                <w:sz w:val="16"/>
                <w:szCs w:val="16"/>
              </w:rPr>
              <w:t>ë</w:t>
            </w:r>
            <w:r>
              <w:rPr>
                <w:rFonts w:ascii="Arial" w:hAnsi="Arial" w:cs="Arial"/>
                <w:sz w:val="16"/>
                <w:szCs w:val="16"/>
              </w:rPr>
              <w:t xml:space="preserve"> hendekut gjinor</w:t>
            </w:r>
            <w:r w:rsidR="00A846BA" w:rsidRPr="001F151E">
              <w:rPr>
                <w:rFonts w:ascii="Arial" w:hAnsi="Arial" w:cs="Arial"/>
                <w:sz w:val="16"/>
                <w:szCs w:val="16"/>
              </w:rPr>
              <w:t xml:space="preserve"> </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2F09BC3" w14:textId="46785839" w:rsidR="00A846BA" w:rsidRPr="001F151E" w:rsidRDefault="003D1B17" w:rsidP="00A846BA">
            <w:pPr>
              <w:pStyle w:val="EcorysBody"/>
              <w:jc w:val="center"/>
              <w:rPr>
                <w:rFonts w:ascii="Arial" w:hAnsi="Arial" w:cs="Arial"/>
                <w:sz w:val="16"/>
                <w:szCs w:val="16"/>
              </w:rPr>
            </w:pPr>
            <w:r>
              <w:rPr>
                <w:rFonts w:ascii="Arial" w:hAnsi="Arial" w:cs="Arial"/>
                <w:sz w:val="16"/>
                <w:szCs w:val="16"/>
              </w:rPr>
              <w:t>Mir</w:t>
            </w:r>
            <w:r w:rsidR="00D7294C">
              <w:rPr>
                <w:rFonts w:ascii="Arial" w:hAnsi="Arial" w:cs="Arial"/>
                <w:sz w:val="16"/>
                <w:szCs w:val="16"/>
              </w:rPr>
              <w:t>ë</w:t>
            </w:r>
            <w:r>
              <w:rPr>
                <w:rFonts w:ascii="Arial" w:hAnsi="Arial" w:cs="Arial"/>
                <w:sz w:val="16"/>
                <w:szCs w:val="16"/>
              </w:rPr>
              <w:t>mbajtja e analiz</w:t>
            </w:r>
            <w:r w:rsidR="00D7294C">
              <w:rPr>
                <w:rFonts w:ascii="Arial" w:hAnsi="Arial" w:cs="Arial"/>
                <w:sz w:val="16"/>
                <w:szCs w:val="16"/>
              </w:rPr>
              <w:t>ë</w:t>
            </w:r>
            <w:r>
              <w:rPr>
                <w:rFonts w:ascii="Arial" w:hAnsi="Arial" w:cs="Arial"/>
                <w:sz w:val="16"/>
                <w:szCs w:val="16"/>
              </w:rPr>
              <w:t>s s</w:t>
            </w:r>
            <w:r w:rsidR="00D7294C">
              <w:rPr>
                <w:rFonts w:ascii="Arial" w:hAnsi="Arial" w:cs="Arial"/>
                <w:sz w:val="16"/>
                <w:szCs w:val="16"/>
              </w:rPr>
              <w:t>ë</w:t>
            </w:r>
            <w:r>
              <w:rPr>
                <w:rFonts w:ascii="Arial" w:hAnsi="Arial" w:cs="Arial"/>
                <w:sz w:val="16"/>
                <w:szCs w:val="16"/>
              </w:rPr>
              <w:t xml:space="preserve"> hendekut gjinor</w:t>
            </w:r>
            <w:r w:rsidR="00A846BA" w:rsidRPr="001F151E">
              <w:rPr>
                <w:rFonts w:ascii="Arial" w:hAnsi="Arial" w:cs="Arial"/>
                <w:sz w:val="16"/>
                <w:szCs w:val="16"/>
              </w:rPr>
              <w:t xml:space="preserve"> </w:t>
            </w:r>
          </w:p>
        </w:tc>
      </w:tr>
      <w:tr w:rsidR="00A846BA" w:rsidRPr="001F151E" w14:paraId="39952178" w14:textId="77777777" w:rsidTr="009A3B76">
        <w:trPr>
          <w:cantSplit/>
        </w:trPr>
        <w:tc>
          <w:tcPr>
            <w:tcW w:w="3114" w:type="dxa"/>
            <w:tcBorders>
              <w:top w:val="single" w:sz="4" w:space="0" w:color="auto"/>
              <w:left w:val="single" w:sz="4" w:space="0" w:color="auto"/>
              <w:bottom w:val="single" w:sz="4" w:space="0" w:color="auto"/>
              <w:right w:val="single" w:sz="4" w:space="0" w:color="auto"/>
            </w:tcBorders>
            <w:vAlign w:val="center"/>
            <w:hideMark/>
          </w:tcPr>
          <w:p w14:paraId="0B608552" w14:textId="0425609B" w:rsidR="00A846BA" w:rsidRPr="001F151E" w:rsidRDefault="003D1B17" w:rsidP="00CD7428">
            <w:pPr>
              <w:pStyle w:val="ListParagraph"/>
              <w:numPr>
                <w:ilvl w:val="0"/>
                <w:numId w:val="60"/>
              </w:numPr>
              <w:rPr>
                <w:sz w:val="16"/>
                <w:szCs w:val="16"/>
              </w:rPr>
            </w:pPr>
            <w:r>
              <w:rPr>
                <w:sz w:val="16"/>
                <w:szCs w:val="16"/>
              </w:rPr>
              <w:t>Prezantimi i buxhetimit t</w:t>
            </w:r>
            <w:r w:rsidR="00D7294C">
              <w:rPr>
                <w:sz w:val="16"/>
                <w:szCs w:val="16"/>
              </w:rPr>
              <w:t>ë</w:t>
            </w:r>
            <w:r>
              <w:rPr>
                <w:sz w:val="16"/>
                <w:szCs w:val="16"/>
              </w:rPr>
              <w:t xml:space="preserve"> gjelb</w:t>
            </w:r>
            <w:r w:rsidR="00D7294C">
              <w:rPr>
                <w:sz w:val="16"/>
                <w:szCs w:val="16"/>
              </w:rPr>
              <w:t>ë</w:t>
            </w:r>
            <w:r>
              <w:rPr>
                <w:sz w:val="16"/>
                <w:szCs w:val="16"/>
              </w:rPr>
              <w:t>rt t</w:t>
            </w:r>
            <w:r w:rsidR="00D7294C">
              <w:rPr>
                <w:sz w:val="16"/>
                <w:szCs w:val="16"/>
              </w:rPr>
              <w:t>ë</w:t>
            </w:r>
            <w:r>
              <w:rPr>
                <w:sz w:val="16"/>
                <w:szCs w:val="16"/>
              </w:rPr>
              <w:t xml:space="preserve"> p</w:t>
            </w:r>
            <w:r w:rsidR="00D7294C">
              <w:rPr>
                <w:sz w:val="16"/>
                <w:szCs w:val="16"/>
              </w:rPr>
              <w:t>ë</w:t>
            </w:r>
            <w:r>
              <w:rPr>
                <w:sz w:val="16"/>
                <w:szCs w:val="16"/>
              </w:rPr>
              <w:t>rgj</w:t>
            </w:r>
            <w:r w:rsidR="008165C9">
              <w:rPr>
                <w:sz w:val="16"/>
                <w:szCs w:val="16"/>
              </w:rPr>
              <w:t>i</w:t>
            </w:r>
            <w:r>
              <w:rPr>
                <w:sz w:val="16"/>
                <w:szCs w:val="16"/>
              </w:rPr>
              <w:t>gjsh</w:t>
            </w:r>
            <w:r w:rsidR="00D7294C">
              <w:rPr>
                <w:sz w:val="16"/>
                <w:szCs w:val="16"/>
              </w:rPr>
              <w:t>ë</w:t>
            </w:r>
            <w:r>
              <w:rPr>
                <w:sz w:val="16"/>
                <w:szCs w:val="16"/>
              </w:rPr>
              <w:t>m ndaj ndryshimeve klimatike</w:t>
            </w:r>
          </w:p>
        </w:tc>
        <w:tc>
          <w:tcPr>
            <w:tcW w:w="1180" w:type="dxa"/>
            <w:tcBorders>
              <w:top w:val="single" w:sz="4" w:space="0" w:color="auto"/>
              <w:left w:val="single" w:sz="4" w:space="0" w:color="auto"/>
              <w:bottom w:val="single" w:sz="4" w:space="0" w:color="auto"/>
              <w:right w:val="single" w:sz="4" w:space="0" w:color="auto"/>
            </w:tcBorders>
            <w:vAlign w:val="center"/>
          </w:tcPr>
          <w:p w14:paraId="10E75E74"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71F3C72" w14:textId="4789F394" w:rsidR="00A846BA" w:rsidRPr="001F151E" w:rsidRDefault="007547ED" w:rsidP="008165C9">
            <w:pPr>
              <w:pStyle w:val="EcorysBody"/>
              <w:jc w:val="center"/>
              <w:rPr>
                <w:rFonts w:ascii="Arial" w:hAnsi="Arial" w:cs="Arial"/>
                <w:sz w:val="16"/>
                <w:szCs w:val="16"/>
              </w:rPr>
            </w:pPr>
            <w:r>
              <w:rPr>
                <w:rFonts w:ascii="Arial" w:hAnsi="Arial" w:cs="Arial"/>
                <w:sz w:val="16"/>
                <w:szCs w:val="16"/>
              </w:rPr>
              <w:t>Metodologjia p</w:t>
            </w:r>
            <w:r w:rsidR="00D7294C">
              <w:rPr>
                <w:rFonts w:ascii="Arial" w:hAnsi="Arial" w:cs="Arial"/>
                <w:sz w:val="16"/>
                <w:szCs w:val="16"/>
              </w:rPr>
              <w:t>ë</w:t>
            </w:r>
            <w:r>
              <w:rPr>
                <w:rFonts w:ascii="Arial" w:hAnsi="Arial" w:cs="Arial"/>
                <w:sz w:val="16"/>
                <w:szCs w:val="16"/>
              </w:rPr>
              <w:t>r Buxhetimin e P</w:t>
            </w:r>
            <w:r w:rsidR="00D7294C">
              <w:rPr>
                <w:rFonts w:ascii="Arial" w:hAnsi="Arial" w:cs="Arial"/>
                <w:sz w:val="16"/>
                <w:szCs w:val="16"/>
              </w:rPr>
              <w:t>ë</w:t>
            </w:r>
            <w:r>
              <w:rPr>
                <w:rFonts w:ascii="Arial" w:hAnsi="Arial" w:cs="Arial"/>
                <w:sz w:val="16"/>
                <w:szCs w:val="16"/>
              </w:rPr>
              <w:t>rgj</w:t>
            </w:r>
            <w:r w:rsidR="008165C9">
              <w:rPr>
                <w:rFonts w:ascii="Arial" w:hAnsi="Arial" w:cs="Arial"/>
                <w:sz w:val="16"/>
                <w:szCs w:val="16"/>
              </w:rPr>
              <w:t>i</w:t>
            </w:r>
            <w:r>
              <w:rPr>
                <w:rFonts w:ascii="Arial" w:hAnsi="Arial" w:cs="Arial"/>
                <w:sz w:val="16"/>
                <w:szCs w:val="16"/>
              </w:rPr>
              <w:t>gjsh</w:t>
            </w:r>
            <w:r w:rsidR="00D7294C">
              <w:rPr>
                <w:rFonts w:ascii="Arial" w:hAnsi="Arial" w:cs="Arial"/>
                <w:sz w:val="16"/>
                <w:szCs w:val="16"/>
              </w:rPr>
              <w:t>ë</w:t>
            </w:r>
            <w:r>
              <w:rPr>
                <w:rFonts w:ascii="Arial" w:hAnsi="Arial" w:cs="Arial"/>
                <w:sz w:val="16"/>
                <w:szCs w:val="16"/>
              </w:rPr>
              <w:t xml:space="preserve">m ndaj ndryshimeve klimatike </w:t>
            </w:r>
            <w:r w:rsidR="00D7294C">
              <w:rPr>
                <w:rFonts w:ascii="Arial" w:hAnsi="Arial" w:cs="Arial"/>
                <w:sz w:val="16"/>
                <w:szCs w:val="16"/>
              </w:rPr>
              <w:t>ë</w:t>
            </w:r>
            <w:r>
              <w:rPr>
                <w:rFonts w:ascii="Arial" w:hAnsi="Arial" w:cs="Arial"/>
                <w:sz w:val="16"/>
                <w:szCs w:val="16"/>
              </w:rPr>
              <w:t>sht</w:t>
            </w:r>
            <w:r w:rsidR="00D7294C">
              <w:rPr>
                <w:rFonts w:ascii="Arial" w:hAnsi="Arial" w:cs="Arial"/>
                <w:sz w:val="16"/>
                <w:szCs w:val="16"/>
              </w:rPr>
              <w:t>ë</w:t>
            </w:r>
            <w:r>
              <w:rPr>
                <w:rFonts w:ascii="Arial" w:hAnsi="Arial" w:cs="Arial"/>
                <w:sz w:val="16"/>
                <w:szCs w:val="16"/>
              </w:rPr>
              <w:t xml:space="preserve"> p</w:t>
            </w:r>
            <w:r w:rsidR="00D7294C">
              <w:rPr>
                <w:rFonts w:ascii="Arial" w:hAnsi="Arial" w:cs="Arial"/>
                <w:sz w:val="16"/>
                <w:szCs w:val="16"/>
              </w:rPr>
              <w:t>ë</w:t>
            </w:r>
            <w:r>
              <w:rPr>
                <w:rFonts w:ascii="Arial" w:hAnsi="Arial" w:cs="Arial"/>
                <w:sz w:val="16"/>
                <w:szCs w:val="16"/>
              </w:rPr>
              <w:t>rgatitur dhe rregulluar</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5A468EB9" w14:textId="786DDB32" w:rsidR="00A846BA" w:rsidRPr="001F151E" w:rsidRDefault="007547ED" w:rsidP="008165C9">
            <w:pPr>
              <w:pStyle w:val="EcorysBody"/>
              <w:jc w:val="center"/>
              <w:rPr>
                <w:rFonts w:ascii="Arial" w:hAnsi="Arial" w:cs="Arial"/>
                <w:sz w:val="16"/>
                <w:szCs w:val="16"/>
              </w:rPr>
            </w:pPr>
            <w:r>
              <w:rPr>
                <w:rFonts w:ascii="Arial" w:hAnsi="Arial" w:cs="Arial"/>
                <w:sz w:val="16"/>
                <w:szCs w:val="16"/>
              </w:rPr>
              <w:t>Pilotimi i Buxhetimit t</w:t>
            </w:r>
            <w:r w:rsidR="00D7294C">
              <w:rPr>
                <w:rFonts w:ascii="Arial" w:hAnsi="Arial" w:cs="Arial"/>
                <w:sz w:val="16"/>
                <w:szCs w:val="16"/>
              </w:rPr>
              <w:t>ë</w:t>
            </w:r>
            <w:r>
              <w:rPr>
                <w:rFonts w:ascii="Arial" w:hAnsi="Arial" w:cs="Arial"/>
                <w:sz w:val="16"/>
                <w:szCs w:val="16"/>
              </w:rPr>
              <w:t xml:space="preserve"> P</w:t>
            </w:r>
            <w:r w:rsidR="00D7294C">
              <w:rPr>
                <w:rFonts w:ascii="Arial" w:hAnsi="Arial" w:cs="Arial"/>
                <w:sz w:val="16"/>
                <w:szCs w:val="16"/>
              </w:rPr>
              <w:t>ë</w:t>
            </w:r>
            <w:r>
              <w:rPr>
                <w:rFonts w:ascii="Arial" w:hAnsi="Arial" w:cs="Arial"/>
                <w:sz w:val="16"/>
                <w:szCs w:val="16"/>
              </w:rPr>
              <w:t>rgj</w:t>
            </w:r>
            <w:r w:rsidR="008165C9">
              <w:rPr>
                <w:rFonts w:ascii="Arial" w:hAnsi="Arial" w:cs="Arial"/>
                <w:sz w:val="16"/>
                <w:szCs w:val="16"/>
              </w:rPr>
              <w:t>i</w:t>
            </w:r>
            <w:r>
              <w:rPr>
                <w:rFonts w:ascii="Arial" w:hAnsi="Arial" w:cs="Arial"/>
                <w:sz w:val="16"/>
                <w:szCs w:val="16"/>
              </w:rPr>
              <w:t>gjsh</w:t>
            </w:r>
            <w:r w:rsidR="00D7294C">
              <w:rPr>
                <w:rFonts w:ascii="Arial" w:hAnsi="Arial" w:cs="Arial"/>
                <w:sz w:val="16"/>
                <w:szCs w:val="16"/>
              </w:rPr>
              <w:t>ë</w:t>
            </w:r>
            <w:r>
              <w:rPr>
                <w:rFonts w:ascii="Arial" w:hAnsi="Arial" w:cs="Arial"/>
                <w:sz w:val="16"/>
                <w:szCs w:val="16"/>
              </w:rPr>
              <w:t>m ndaj Ndryshimeve Klimatike</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6D79CDBF" w14:textId="09D1C53E" w:rsidR="00A846BA" w:rsidRPr="001F151E" w:rsidRDefault="007547ED" w:rsidP="008165C9">
            <w:pPr>
              <w:pStyle w:val="EcorysBody"/>
              <w:jc w:val="center"/>
              <w:rPr>
                <w:rFonts w:ascii="Arial" w:hAnsi="Arial" w:cs="Arial"/>
                <w:sz w:val="16"/>
                <w:szCs w:val="16"/>
              </w:rPr>
            </w:pPr>
            <w:r>
              <w:rPr>
                <w:rFonts w:ascii="Arial" w:hAnsi="Arial" w:cs="Arial"/>
                <w:sz w:val="16"/>
                <w:szCs w:val="16"/>
              </w:rPr>
              <w:t>Pilotimi i Buxhetimit t</w:t>
            </w:r>
            <w:r w:rsidR="00D7294C">
              <w:rPr>
                <w:rFonts w:ascii="Arial" w:hAnsi="Arial" w:cs="Arial"/>
                <w:sz w:val="16"/>
                <w:szCs w:val="16"/>
              </w:rPr>
              <w:t>ë</w:t>
            </w:r>
            <w:r>
              <w:rPr>
                <w:rFonts w:ascii="Arial" w:hAnsi="Arial" w:cs="Arial"/>
                <w:sz w:val="16"/>
                <w:szCs w:val="16"/>
              </w:rPr>
              <w:t xml:space="preserve"> P</w:t>
            </w:r>
            <w:r w:rsidR="00D7294C">
              <w:rPr>
                <w:rFonts w:ascii="Arial" w:hAnsi="Arial" w:cs="Arial"/>
                <w:sz w:val="16"/>
                <w:szCs w:val="16"/>
              </w:rPr>
              <w:t>ë</w:t>
            </w:r>
            <w:r>
              <w:rPr>
                <w:rFonts w:ascii="Arial" w:hAnsi="Arial" w:cs="Arial"/>
                <w:sz w:val="16"/>
                <w:szCs w:val="16"/>
              </w:rPr>
              <w:t>rgj</w:t>
            </w:r>
            <w:r w:rsidR="008165C9">
              <w:rPr>
                <w:rFonts w:ascii="Arial" w:hAnsi="Arial" w:cs="Arial"/>
                <w:sz w:val="16"/>
                <w:szCs w:val="16"/>
              </w:rPr>
              <w:t>i</w:t>
            </w:r>
            <w:r>
              <w:rPr>
                <w:rFonts w:ascii="Arial" w:hAnsi="Arial" w:cs="Arial"/>
                <w:sz w:val="16"/>
                <w:szCs w:val="16"/>
              </w:rPr>
              <w:t>gjsh</w:t>
            </w:r>
            <w:r w:rsidR="00D7294C">
              <w:rPr>
                <w:rFonts w:ascii="Arial" w:hAnsi="Arial" w:cs="Arial"/>
                <w:sz w:val="16"/>
                <w:szCs w:val="16"/>
              </w:rPr>
              <w:t>ë</w:t>
            </w:r>
            <w:r>
              <w:rPr>
                <w:rFonts w:ascii="Arial" w:hAnsi="Arial" w:cs="Arial"/>
                <w:sz w:val="16"/>
                <w:szCs w:val="16"/>
              </w:rPr>
              <w:t>m ndaj Ndryshimeve Klimatike</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794A7C72" w14:textId="444A6B87" w:rsidR="00A846BA" w:rsidRPr="001F151E" w:rsidRDefault="007547ED" w:rsidP="008165C9">
            <w:pPr>
              <w:pStyle w:val="EcorysBody"/>
              <w:jc w:val="center"/>
              <w:rPr>
                <w:rFonts w:ascii="Arial" w:hAnsi="Arial" w:cs="Arial"/>
                <w:sz w:val="16"/>
                <w:szCs w:val="16"/>
              </w:rPr>
            </w:pPr>
            <w:r>
              <w:rPr>
                <w:rFonts w:ascii="Arial" w:hAnsi="Arial" w:cs="Arial"/>
                <w:sz w:val="16"/>
                <w:szCs w:val="16"/>
              </w:rPr>
              <w:t>P</w:t>
            </w:r>
            <w:r w:rsidR="00D7294C">
              <w:rPr>
                <w:rFonts w:ascii="Arial" w:hAnsi="Arial" w:cs="Arial"/>
                <w:sz w:val="16"/>
                <w:szCs w:val="16"/>
              </w:rPr>
              <w:t>ë</w:t>
            </w:r>
            <w:r>
              <w:rPr>
                <w:rFonts w:ascii="Arial" w:hAnsi="Arial" w:cs="Arial"/>
                <w:sz w:val="16"/>
                <w:szCs w:val="16"/>
              </w:rPr>
              <w:t>rhapja e Buxhetimit t</w:t>
            </w:r>
            <w:r w:rsidR="00D7294C">
              <w:rPr>
                <w:rFonts w:ascii="Arial" w:hAnsi="Arial" w:cs="Arial"/>
                <w:sz w:val="16"/>
                <w:szCs w:val="16"/>
              </w:rPr>
              <w:t>ë</w:t>
            </w:r>
            <w:r>
              <w:rPr>
                <w:rFonts w:ascii="Arial" w:hAnsi="Arial" w:cs="Arial"/>
                <w:sz w:val="16"/>
                <w:szCs w:val="16"/>
              </w:rPr>
              <w:t xml:space="preserve"> P</w:t>
            </w:r>
            <w:r w:rsidR="00D7294C">
              <w:rPr>
                <w:rFonts w:ascii="Arial" w:hAnsi="Arial" w:cs="Arial"/>
                <w:sz w:val="16"/>
                <w:szCs w:val="16"/>
              </w:rPr>
              <w:t>ë</w:t>
            </w:r>
            <w:r>
              <w:rPr>
                <w:rFonts w:ascii="Arial" w:hAnsi="Arial" w:cs="Arial"/>
                <w:sz w:val="16"/>
                <w:szCs w:val="16"/>
              </w:rPr>
              <w:t>rgj</w:t>
            </w:r>
            <w:r w:rsidR="008165C9">
              <w:rPr>
                <w:rFonts w:ascii="Arial" w:hAnsi="Arial" w:cs="Arial"/>
                <w:sz w:val="16"/>
                <w:szCs w:val="16"/>
              </w:rPr>
              <w:t>i</w:t>
            </w:r>
            <w:r>
              <w:rPr>
                <w:rFonts w:ascii="Arial" w:hAnsi="Arial" w:cs="Arial"/>
                <w:sz w:val="16"/>
                <w:szCs w:val="16"/>
              </w:rPr>
              <w:t>gjsh</w:t>
            </w:r>
            <w:r w:rsidR="00D7294C">
              <w:rPr>
                <w:rFonts w:ascii="Arial" w:hAnsi="Arial" w:cs="Arial"/>
                <w:sz w:val="16"/>
                <w:szCs w:val="16"/>
              </w:rPr>
              <w:t>ë</w:t>
            </w:r>
            <w:r>
              <w:rPr>
                <w:rFonts w:ascii="Arial" w:hAnsi="Arial" w:cs="Arial"/>
                <w:sz w:val="16"/>
                <w:szCs w:val="16"/>
              </w:rPr>
              <w:t xml:space="preserve">m ndaj Ndryshimeve Klimatike </w:t>
            </w:r>
          </w:p>
        </w:tc>
      </w:tr>
      <w:tr w:rsidR="009C46C7" w:rsidRPr="0059094E" w14:paraId="2FFD1AB6" w14:textId="77777777" w:rsidTr="009A3B76">
        <w:trPr>
          <w:cantSplit/>
        </w:trPr>
        <w:tc>
          <w:tcPr>
            <w:tcW w:w="3114" w:type="dxa"/>
            <w:tcBorders>
              <w:top w:val="single" w:sz="4" w:space="0" w:color="auto"/>
              <w:left w:val="single" w:sz="4" w:space="0" w:color="auto"/>
              <w:bottom w:val="single" w:sz="4" w:space="0" w:color="auto"/>
              <w:right w:val="single" w:sz="4" w:space="0" w:color="auto"/>
            </w:tcBorders>
            <w:vAlign w:val="center"/>
          </w:tcPr>
          <w:p w14:paraId="0B81447D" w14:textId="095150AB" w:rsidR="009C46C7" w:rsidRDefault="009C46C7" w:rsidP="00CD7428">
            <w:pPr>
              <w:pStyle w:val="ListParagraph"/>
              <w:numPr>
                <w:ilvl w:val="0"/>
                <w:numId w:val="60"/>
              </w:numPr>
              <w:rPr>
                <w:sz w:val="16"/>
                <w:szCs w:val="16"/>
              </w:rPr>
            </w:pPr>
            <w:r>
              <w:rPr>
                <w:sz w:val="16"/>
                <w:szCs w:val="16"/>
              </w:rPr>
              <w:t xml:space="preserve">Miratimi i DPP-së së bashku me Listën Unike </w:t>
            </w:r>
            <w:r w:rsidR="00A4017D">
              <w:rPr>
                <w:sz w:val="16"/>
                <w:szCs w:val="16"/>
              </w:rPr>
              <w:t xml:space="preserve">të Projekteve </w:t>
            </w:r>
            <w:r>
              <w:rPr>
                <w:sz w:val="16"/>
                <w:szCs w:val="16"/>
              </w:rPr>
              <w:t>me Rëndësi Kombëtare</w:t>
            </w:r>
          </w:p>
        </w:tc>
        <w:tc>
          <w:tcPr>
            <w:tcW w:w="1180" w:type="dxa"/>
            <w:tcBorders>
              <w:top w:val="single" w:sz="4" w:space="0" w:color="auto"/>
              <w:left w:val="single" w:sz="4" w:space="0" w:color="auto"/>
              <w:bottom w:val="single" w:sz="4" w:space="0" w:color="auto"/>
              <w:right w:val="single" w:sz="4" w:space="0" w:color="auto"/>
            </w:tcBorders>
            <w:vAlign w:val="center"/>
          </w:tcPr>
          <w:p w14:paraId="792D2E92" w14:textId="7EAE8FC8" w:rsidR="009C46C7" w:rsidRPr="001F151E" w:rsidRDefault="009C46C7" w:rsidP="00A846BA">
            <w:pPr>
              <w:pStyle w:val="EcorysBody"/>
              <w:jc w:val="center"/>
              <w:rPr>
                <w:rFonts w:ascii="Arial" w:hAnsi="Arial" w:cs="Arial"/>
                <w:sz w:val="16"/>
                <w:szCs w:val="16"/>
              </w:rPr>
            </w:pPr>
            <w:r>
              <w:rPr>
                <w:rFonts w:ascii="Arial" w:hAnsi="Arial" w:cs="Arial"/>
                <w:sz w:val="16"/>
                <w:szCs w:val="16"/>
              </w:rPr>
              <w:t>(2022)</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55609BF6" w14:textId="131A3F67" w:rsidR="009C46C7" w:rsidRPr="009D660E" w:rsidRDefault="009C46C7" w:rsidP="008165C9">
            <w:pPr>
              <w:pStyle w:val="EcorysBody"/>
              <w:jc w:val="center"/>
              <w:rPr>
                <w:rFonts w:ascii="Arial" w:hAnsi="Arial" w:cs="Arial"/>
                <w:sz w:val="16"/>
                <w:szCs w:val="16"/>
                <w:lang w:val="it-IT"/>
              </w:rPr>
            </w:pPr>
            <w:r w:rsidRPr="009D660E">
              <w:rPr>
                <w:rFonts w:ascii="Arial" w:hAnsi="Arial" w:cs="Arial"/>
                <w:sz w:val="16"/>
                <w:szCs w:val="16"/>
                <w:lang w:val="it-IT"/>
              </w:rPr>
              <w:t>Bashkëpunimi me Ministritë e Linjës dhe miratimi me VKM çdo fillim viti</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764C0F32" w14:textId="02587674" w:rsidR="009C46C7" w:rsidRPr="009D660E" w:rsidRDefault="009C46C7" w:rsidP="008165C9">
            <w:pPr>
              <w:pStyle w:val="EcorysBody"/>
              <w:jc w:val="center"/>
              <w:rPr>
                <w:rFonts w:ascii="Arial" w:hAnsi="Arial" w:cs="Arial"/>
                <w:sz w:val="16"/>
                <w:szCs w:val="16"/>
                <w:lang w:val="it-IT"/>
              </w:rPr>
            </w:pPr>
            <w:r w:rsidRPr="009D660E">
              <w:rPr>
                <w:rFonts w:ascii="Arial" w:hAnsi="Arial" w:cs="Arial"/>
                <w:sz w:val="16"/>
                <w:szCs w:val="16"/>
                <w:lang w:val="it-IT"/>
              </w:rPr>
              <w:t>Bashkëpunimi me Ministritë e Linjës dhe miratimi me VKM çdo fillim viti</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5EEFE168" w14:textId="16C4F904" w:rsidR="009C46C7" w:rsidRPr="009D660E" w:rsidRDefault="009C46C7" w:rsidP="008165C9">
            <w:pPr>
              <w:pStyle w:val="EcorysBody"/>
              <w:jc w:val="center"/>
              <w:rPr>
                <w:rFonts w:ascii="Arial" w:hAnsi="Arial" w:cs="Arial"/>
                <w:sz w:val="16"/>
                <w:szCs w:val="16"/>
                <w:lang w:val="it-IT"/>
              </w:rPr>
            </w:pPr>
            <w:r w:rsidRPr="009D660E">
              <w:rPr>
                <w:rFonts w:ascii="Arial" w:hAnsi="Arial" w:cs="Arial"/>
                <w:sz w:val="16"/>
                <w:szCs w:val="16"/>
                <w:lang w:val="it-IT"/>
              </w:rPr>
              <w:t>Bashkëpunimi me Ministritë e Linjës dhe miratimi me VKM çdo fillim viti</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33A73085" w14:textId="1D91BCC3" w:rsidR="009C46C7" w:rsidRPr="009D660E" w:rsidRDefault="009C46C7" w:rsidP="008165C9">
            <w:pPr>
              <w:pStyle w:val="EcorysBody"/>
              <w:jc w:val="center"/>
              <w:rPr>
                <w:rFonts w:ascii="Arial" w:hAnsi="Arial" w:cs="Arial"/>
                <w:sz w:val="16"/>
                <w:szCs w:val="16"/>
                <w:lang w:val="it-IT"/>
              </w:rPr>
            </w:pPr>
            <w:r w:rsidRPr="009D660E">
              <w:rPr>
                <w:rFonts w:ascii="Arial" w:hAnsi="Arial" w:cs="Arial"/>
                <w:sz w:val="16"/>
                <w:szCs w:val="16"/>
                <w:lang w:val="it-IT"/>
              </w:rPr>
              <w:t>Bashkëpunimi me Ministritë e Linjës dhe miratimi me VKM çdo fillim viti</w:t>
            </w:r>
          </w:p>
        </w:tc>
      </w:tr>
    </w:tbl>
    <w:p w14:paraId="2931BC68" w14:textId="77777777" w:rsidR="00BE64A2" w:rsidRPr="009D660E" w:rsidRDefault="00BE64A2" w:rsidP="00BE64A2">
      <w:pPr>
        <w:rPr>
          <w:lang w:val="it-IT"/>
        </w:rPr>
      </w:pPr>
    </w:p>
    <w:p w14:paraId="736AE579" w14:textId="77777777" w:rsidR="00644365" w:rsidRPr="009D660E" w:rsidRDefault="00644365" w:rsidP="002C447B">
      <w:pPr>
        <w:rPr>
          <w:rStyle w:val="IntenseReference"/>
          <w:rFonts w:eastAsiaTheme="majorEastAsia" w:cstheme="majorBidi"/>
          <w:i w:val="0"/>
          <w:iCs/>
          <w:sz w:val="22"/>
          <w:szCs w:val="22"/>
          <w:lang w:val="it-IT"/>
        </w:rPr>
      </w:pPr>
    </w:p>
    <w:p w14:paraId="65972547" w14:textId="30AB6C45" w:rsidR="002C447B" w:rsidRPr="001F151E" w:rsidRDefault="009E43AB" w:rsidP="00C96708">
      <w:pPr>
        <w:pStyle w:val="Heading2"/>
        <w:rPr>
          <w:rStyle w:val="IntenseReference"/>
          <w:rFonts w:eastAsiaTheme="majorEastAsia" w:cstheme="majorBidi"/>
          <w:i w:val="0"/>
          <w:iCs w:val="0"/>
          <w:sz w:val="22"/>
          <w:szCs w:val="22"/>
          <w:lang w:val="en-GB"/>
        </w:rPr>
      </w:pPr>
      <w:bookmarkStart w:id="22" w:name="_Toc161748815"/>
      <w:r>
        <w:rPr>
          <w:rStyle w:val="IntenseReference"/>
          <w:rFonts w:eastAsiaTheme="majorEastAsia" w:cstheme="majorBidi"/>
          <w:i w:val="0"/>
          <w:sz w:val="22"/>
          <w:szCs w:val="22"/>
          <w:lang w:val="en-GB"/>
        </w:rPr>
        <w:t>Komponenti</w:t>
      </w:r>
      <w:r w:rsidR="002C447B" w:rsidRPr="001F151E">
        <w:rPr>
          <w:rStyle w:val="IntenseReference"/>
          <w:rFonts w:eastAsiaTheme="majorEastAsia" w:cstheme="majorBidi"/>
          <w:i w:val="0"/>
          <w:sz w:val="22"/>
          <w:szCs w:val="22"/>
          <w:lang w:val="en-GB"/>
        </w:rPr>
        <w:t xml:space="preserve"> 2.3 </w:t>
      </w:r>
      <w:r>
        <w:rPr>
          <w:rStyle w:val="IntenseReference"/>
          <w:rFonts w:eastAsiaTheme="majorEastAsia" w:cstheme="majorBidi"/>
          <w:i w:val="0"/>
          <w:sz w:val="22"/>
          <w:szCs w:val="22"/>
          <w:lang w:val="en-GB"/>
        </w:rPr>
        <w:t>Menaxhimi i Investimeve Publike</w:t>
      </w:r>
      <w:bookmarkEnd w:id="22"/>
    </w:p>
    <w:p w14:paraId="40C32619" w14:textId="77777777" w:rsidR="00733B9C" w:rsidRPr="001F151E" w:rsidRDefault="00733B9C" w:rsidP="00733B9C">
      <w:pPr>
        <w:rPr>
          <w:lang w:val="en-GB"/>
        </w:rPr>
      </w:pPr>
    </w:p>
    <w:p w14:paraId="0EDA2507" w14:textId="214DAD2F" w:rsidR="00733B9C" w:rsidRPr="001F151E" w:rsidRDefault="00733B9C" w:rsidP="00EA6F1D">
      <w:pPr>
        <w:pStyle w:val="H5"/>
        <w:spacing w:line="276" w:lineRule="auto"/>
        <w:jc w:val="both"/>
        <w:rPr>
          <w:lang w:val="en-GB"/>
        </w:rPr>
      </w:pPr>
      <w:r w:rsidRPr="001F151E">
        <w:rPr>
          <w:lang w:val="en-GB"/>
        </w:rPr>
        <w:t>Obje</w:t>
      </w:r>
      <w:r w:rsidR="009E43AB">
        <w:rPr>
          <w:lang w:val="en-GB"/>
        </w:rPr>
        <w:t>ktivi</w:t>
      </w:r>
    </w:p>
    <w:p w14:paraId="61CB23D4" w14:textId="0DB8B7FD" w:rsidR="00733B9C" w:rsidRPr="001F151E" w:rsidRDefault="003C70EE" w:rsidP="00EA6F1D">
      <w:pPr>
        <w:spacing w:line="276" w:lineRule="auto"/>
        <w:jc w:val="both"/>
        <w:rPr>
          <w:lang w:val="en-GB"/>
        </w:rPr>
      </w:pPr>
      <w:r>
        <w:rPr>
          <w:lang w:val="en-GB"/>
        </w:rPr>
        <w:t>Synimi p</w:t>
      </w:r>
      <w:r w:rsidR="00D7294C">
        <w:rPr>
          <w:lang w:val="en-GB"/>
        </w:rPr>
        <w:t>ë</w:t>
      </w:r>
      <w:r>
        <w:rPr>
          <w:lang w:val="en-GB"/>
        </w:rPr>
        <w:t xml:space="preserve">r vitin 2030 </w:t>
      </w:r>
      <w:r w:rsidR="00D7294C">
        <w:rPr>
          <w:lang w:val="en-GB"/>
        </w:rPr>
        <w:t>ë</w:t>
      </w:r>
      <w:r>
        <w:rPr>
          <w:lang w:val="en-GB"/>
        </w:rPr>
        <w:t>sht</w:t>
      </w:r>
      <w:r w:rsidR="00D7294C">
        <w:rPr>
          <w:lang w:val="en-GB"/>
        </w:rPr>
        <w:t>ë</w:t>
      </w:r>
      <w:r>
        <w:rPr>
          <w:lang w:val="en-GB"/>
        </w:rPr>
        <w:t xml:space="preserve"> krijimi </w:t>
      </w:r>
      <w:r w:rsidR="00840AC3">
        <w:rPr>
          <w:lang w:val="en-GB"/>
        </w:rPr>
        <w:t>i nj</w:t>
      </w:r>
      <w:r w:rsidR="00D7294C">
        <w:rPr>
          <w:lang w:val="en-GB"/>
        </w:rPr>
        <w:t>ë</w:t>
      </w:r>
      <w:r w:rsidR="00840AC3">
        <w:rPr>
          <w:lang w:val="en-GB"/>
        </w:rPr>
        <w:t xml:space="preserve"> sistemi t</w:t>
      </w:r>
      <w:r w:rsidR="00D7294C">
        <w:rPr>
          <w:lang w:val="en-GB"/>
        </w:rPr>
        <w:t>ë</w:t>
      </w:r>
      <w:r w:rsidR="00840AC3">
        <w:rPr>
          <w:lang w:val="en-GB"/>
        </w:rPr>
        <w:t xml:space="preserve"> sh</w:t>
      </w:r>
      <w:r w:rsidR="00D7294C">
        <w:rPr>
          <w:lang w:val="en-GB"/>
        </w:rPr>
        <w:t>ë</w:t>
      </w:r>
      <w:r w:rsidR="00840AC3">
        <w:rPr>
          <w:lang w:val="en-GB"/>
        </w:rPr>
        <w:t>ndosh</w:t>
      </w:r>
      <w:r w:rsidR="00D7294C">
        <w:rPr>
          <w:lang w:val="en-GB"/>
        </w:rPr>
        <w:t>ë</w:t>
      </w:r>
      <w:r w:rsidR="00840AC3">
        <w:rPr>
          <w:lang w:val="en-GB"/>
        </w:rPr>
        <w:t xml:space="preserve"> p</w:t>
      </w:r>
      <w:r w:rsidR="00D7294C">
        <w:rPr>
          <w:lang w:val="en-GB"/>
        </w:rPr>
        <w:t>ë</w:t>
      </w:r>
      <w:r w:rsidR="00840AC3">
        <w:rPr>
          <w:lang w:val="en-GB"/>
        </w:rPr>
        <w:t>r menaxhimin e investimeve publike bazuar n</w:t>
      </w:r>
      <w:r w:rsidR="00D7294C">
        <w:rPr>
          <w:lang w:val="en-GB"/>
        </w:rPr>
        <w:t>ë</w:t>
      </w:r>
      <w:r w:rsidR="00840AC3">
        <w:rPr>
          <w:lang w:val="en-GB"/>
        </w:rPr>
        <w:t xml:space="preserve"> praktikat e mira nd</w:t>
      </w:r>
      <w:r w:rsidR="00D7294C">
        <w:rPr>
          <w:lang w:val="en-GB"/>
        </w:rPr>
        <w:t>ë</w:t>
      </w:r>
      <w:r w:rsidR="00840AC3">
        <w:rPr>
          <w:lang w:val="en-GB"/>
        </w:rPr>
        <w:t>rkomb</w:t>
      </w:r>
      <w:r w:rsidR="00D7294C">
        <w:rPr>
          <w:lang w:val="en-GB"/>
        </w:rPr>
        <w:t>ë</w:t>
      </w:r>
      <w:r w:rsidR="00840AC3">
        <w:rPr>
          <w:lang w:val="en-GB"/>
        </w:rPr>
        <w:t>tare, i cili p</w:t>
      </w:r>
      <w:r w:rsidR="00D7294C">
        <w:rPr>
          <w:lang w:val="en-GB"/>
        </w:rPr>
        <w:t>ë</w:t>
      </w:r>
      <w:r w:rsidR="00840AC3">
        <w:rPr>
          <w:lang w:val="en-GB"/>
        </w:rPr>
        <w:t>rfshin List</w:t>
      </w:r>
      <w:r w:rsidR="00D7294C">
        <w:rPr>
          <w:lang w:val="en-GB"/>
        </w:rPr>
        <w:t>ë</w:t>
      </w:r>
      <w:r w:rsidR="00840AC3">
        <w:rPr>
          <w:lang w:val="en-GB"/>
        </w:rPr>
        <w:t>n Unike t</w:t>
      </w:r>
      <w:r w:rsidR="00D7294C">
        <w:rPr>
          <w:lang w:val="en-GB"/>
        </w:rPr>
        <w:t>ë</w:t>
      </w:r>
      <w:r w:rsidR="00840AC3">
        <w:rPr>
          <w:lang w:val="en-GB"/>
        </w:rPr>
        <w:t xml:space="preserve"> Projekteve, praktika p</w:t>
      </w:r>
      <w:r w:rsidR="00D7294C">
        <w:rPr>
          <w:lang w:val="en-GB"/>
        </w:rPr>
        <w:t>ë</w:t>
      </w:r>
      <w:r w:rsidR="00840AC3">
        <w:rPr>
          <w:lang w:val="en-GB"/>
        </w:rPr>
        <w:t>r vler</w:t>
      </w:r>
      <w:r w:rsidR="00D7294C">
        <w:rPr>
          <w:lang w:val="en-GB"/>
        </w:rPr>
        <w:t>ë</w:t>
      </w:r>
      <w:r w:rsidR="00840AC3">
        <w:rPr>
          <w:lang w:val="en-GB"/>
        </w:rPr>
        <w:t>simin dhe p</w:t>
      </w:r>
      <w:r w:rsidR="00D7294C">
        <w:rPr>
          <w:lang w:val="en-GB"/>
        </w:rPr>
        <w:t>ë</w:t>
      </w:r>
      <w:r w:rsidR="00840AC3">
        <w:rPr>
          <w:lang w:val="en-GB"/>
        </w:rPr>
        <w:t>rzgjedhjen e projekteve t</w:t>
      </w:r>
      <w:r w:rsidR="00D7294C">
        <w:rPr>
          <w:lang w:val="en-GB"/>
        </w:rPr>
        <w:t>ë</w:t>
      </w:r>
      <w:r w:rsidR="00840AC3">
        <w:rPr>
          <w:lang w:val="en-GB"/>
        </w:rPr>
        <w:t xml:space="preserve"> bazuara n</w:t>
      </w:r>
      <w:r w:rsidR="00D7294C">
        <w:rPr>
          <w:lang w:val="en-GB"/>
        </w:rPr>
        <w:t>ë</w:t>
      </w:r>
      <w:r w:rsidR="00840AC3">
        <w:rPr>
          <w:lang w:val="en-GB"/>
        </w:rPr>
        <w:t xml:space="preserve"> merita, raportim transparent p</w:t>
      </w:r>
      <w:r w:rsidR="00D7294C">
        <w:rPr>
          <w:lang w:val="en-GB"/>
        </w:rPr>
        <w:t>ë</w:t>
      </w:r>
      <w:r w:rsidR="00840AC3">
        <w:rPr>
          <w:lang w:val="en-GB"/>
        </w:rPr>
        <w:t>r p</w:t>
      </w:r>
      <w:r w:rsidR="00D7294C">
        <w:rPr>
          <w:lang w:val="en-GB"/>
        </w:rPr>
        <w:t>ë</w:t>
      </w:r>
      <w:r w:rsidR="00840AC3">
        <w:rPr>
          <w:lang w:val="en-GB"/>
        </w:rPr>
        <w:t>rzgjedhjen, ekzekutimin dhe vler</w:t>
      </w:r>
      <w:r w:rsidR="00D7294C">
        <w:rPr>
          <w:lang w:val="en-GB"/>
        </w:rPr>
        <w:t>ë</w:t>
      </w:r>
      <w:r w:rsidR="00840AC3">
        <w:rPr>
          <w:lang w:val="en-GB"/>
        </w:rPr>
        <w:t>simin e projekteve t</w:t>
      </w:r>
      <w:r w:rsidR="00D7294C">
        <w:rPr>
          <w:lang w:val="en-GB"/>
        </w:rPr>
        <w:t>ë</w:t>
      </w:r>
      <w:r w:rsidR="00840AC3">
        <w:rPr>
          <w:lang w:val="en-GB"/>
        </w:rPr>
        <w:t xml:space="preserve"> investimeve publike.  </w:t>
      </w:r>
    </w:p>
    <w:p w14:paraId="492A7540" w14:textId="77777777" w:rsidR="00733B9C" w:rsidRDefault="00733B9C" w:rsidP="00EA6F1D">
      <w:pPr>
        <w:pStyle w:val="H5"/>
        <w:spacing w:line="276" w:lineRule="auto"/>
        <w:jc w:val="both"/>
        <w:rPr>
          <w:lang w:val="en-GB"/>
        </w:rPr>
      </w:pPr>
    </w:p>
    <w:p w14:paraId="2FEA15CF" w14:textId="77777777" w:rsidR="00A4017D" w:rsidRDefault="00A4017D" w:rsidP="00EA6F1D">
      <w:pPr>
        <w:pStyle w:val="H5"/>
        <w:spacing w:line="276" w:lineRule="auto"/>
        <w:jc w:val="both"/>
        <w:rPr>
          <w:lang w:val="en-GB"/>
        </w:rPr>
      </w:pPr>
    </w:p>
    <w:p w14:paraId="42537420" w14:textId="77777777" w:rsidR="00A4017D" w:rsidRPr="001F151E" w:rsidRDefault="00A4017D" w:rsidP="00EA6F1D">
      <w:pPr>
        <w:pStyle w:val="H5"/>
        <w:spacing w:line="276" w:lineRule="auto"/>
        <w:jc w:val="both"/>
        <w:rPr>
          <w:lang w:val="en-GB"/>
        </w:rPr>
      </w:pPr>
    </w:p>
    <w:p w14:paraId="7CE0EE0A" w14:textId="519CC551" w:rsidR="00733B9C" w:rsidRPr="001F151E" w:rsidRDefault="009E43AB" w:rsidP="00EA6F1D">
      <w:pPr>
        <w:pStyle w:val="H5"/>
        <w:spacing w:line="276" w:lineRule="auto"/>
        <w:jc w:val="both"/>
        <w:rPr>
          <w:lang w:val="en-GB"/>
        </w:rPr>
      </w:pPr>
      <w:r>
        <w:rPr>
          <w:lang w:val="en-GB"/>
        </w:rPr>
        <w:lastRenderedPageBreak/>
        <w:t>Konteksti</w:t>
      </w:r>
    </w:p>
    <w:p w14:paraId="5C18F502" w14:textId="7B5939EF" w:rsidR="00733B9C" w:rsidRDefault="00840AC3" w:rsidP="00EA6F1D">
      <w:pPr>
        <w:spacing w:line="276" w:lineRule="auto"/>
        <w:jc w:val="both"/>
        <w:rPr>
          <w:lang w:val="en-GB"/>
        </w:rPr>
      </w:pPr>
      <w:r>
        <w:rPr>
          <w:lang w:val="en-GB"/>
        </w:rPr>
        <w:t>Planifikimi dhe monitorimi i projekteve t</w:t>
      </w:r>
      <w:r w:rsidR="00D7294C">
        <w:rPr>
          <w:lang w:val="en-GB"/>
        </w:rPr>
        <w:t>ë</w:t>
      </w:r>
      <w:r>
        <w:rPr>
          <w:lang w:val="en-GB"/>
        </w:rPr>
        <w:t xml:space="preserve"> Investimeve Publike zbatohet nga MF-ja, SASPAC dhe Institucionet Buxhetore</w:t>
      </w:r>
      <w:r w:rsidR="00733B9C" w:rsidRPr="001F151E">
        <w:rPr>
          <w:lang w:val="en-GB"/>
        </w:rPr>
        <w:t>.</w:t>
      </w:r>
      <w:r w:rsidR="00733B9C" w:rsidRPr="001F151E">
        <w:rPr>
          <w:rStyle w:val="FootnoteReference"/>
          <w:lang w:val="en-GB"/>
        </w:rPr>
        <w:footnoteReference w:id="20"/>
      </w:r>
      <w:r w:rsidR="00733B9C" w:rsidRPr="001F151E">
        <w:rPr>
          <w:lang w:val="en-GB"/>
        </w:rPr>
        <w:t xml:space="preserve"> </w:t>
      </w:r>
      <w:r w:rsidR="00155C9E">
        <w:rPr>
          <w:lang w:val="en-GB"/>
        </w:rPr>
        <w:t>Pas vler</w:t>
      </w:r>
      <w:r w:rsidR="00D7294C">
        <w:rPr>
          <w:lang w:val="en-GB"/>
        </w:rPr>
        <w:t>ë</w:t>
      </w:r>
      <w:r w:rsidR="00155C9E">
        <w:rPr>
          <w:lang w:val="en-GB"/>
        </w:rPr>
        <w:t>simit t</w:t>
      </w:r>
      <w:r w:rsidR="00D7294C">
        <w:rPr>
          <w:lang w:val="en-GB"/>
        </w:rPr>
        <w:t>ë</w:t>
      </w:r>
      <w:r w:rsidR="00155C9E">
        <w:rPr>
          <w:lang w:val="en-GB"/>
        </w:rPr>
        <w:t xml:space="preserve"> Menaxhimit t</w:t>
      </w:r>
      <w:r w:rsidR="00D7294C">
        <w:rPr>
          <w:lang w:val="en-GB"/>
        </w:rPr>
        <w:t>ë</w:t>
      </w:r>
      <w:r w:rsidR="00155C9E">
        <w:rPr>
          <w:lang w:val="en-GB"/>
        </w:rPr>
        <w:t xml:space="preserve"> Investimeve Publike</w:t>
      </w:r>
      <w:r w:rsidR="00733B9C" w:rsidRPr="001F151E">
        <w:rPr>
          <w:lang w:val="en-GB"/>
        </w:rPr>
        <w:t xml:space="preserve"> (PIMA) </w:t>
      </w:r>
      <w:r w:rsidR="00155C9E">
        <w:rPr>
          <w:lang w:val="en-GB"/>
        </w:rPr>
        <w:t>t</w:t>
      </w:r>
      <w:r w:rsidR="00D7294C">
        <w:rPr>
          <w:lang w:val="en-GB"/>
        </w:rPr>
        <w:t>ë</w:t>
      </w:r>
      <w:r w:rsidR="00155C9E">
        <w:rPr>
          <w:lang w:val="en-GB"/>
        </w:rPr>
        <w:t xml:space="preserve"> vitit 2016</w:t>
      </w:r>
      <w:r w:rsidR="00733B9C" w:rsidRPr="001F151E">
        <w:rPr>
          <w:lang w:val="en-GB"/>
        </w:rPr>
        <w:t xml:space="preserve">, </w:t>
      </w:r>
      <w:r w:rsidR="00155C9E">
        <w:rPr>
          <w:lang w:val="en-GB"/>
        </w:rPr>
        <w:t>nj</w:t>
      </w:r>
      <w:r w:rsidR="00D7294C">
        <w:rPr>
          <w:lang w:val="en-GB"/>
        </w:rPr>
        <w:t>ë</w:t>
      </w:r>
      <w:r w:rsidR="00155C9E">
        <w:rPr>
          <w:lang w:val="en-GB"/>
        </w:rPr>
        <w:t xml:space="preserve"> s</w:t>
      </w:r>
      <w:r w:rsidR="00D7294C">
        <w:rPr>
          <w:lang w:val="en-GB"/>
        </w:rPr>
        <w:t>ë</w:t>
      </w:r>
      <w:r w:rsidR="00155C9E">
        <w:rPr>
          <w:lang w:val="en-GB"/>
        </w:rPr>
        <w:t>r</w:t>
      </w:r>
      <w:r w:rsidR="00D7294C">
        <w:rPr>
          <w:lang w:val="en-GB"/>
        </w:rPr>
        <w:t>ë</w:t>
      </w:r>
      <w:r w:rsidR="00155C9E">
        <w:rPr>
          <w:lang w:val="en-GB"/>
        </w:rPr>
        <w:t xml:space="preserve"> reformash kan</w:t>
      </w:r>
      <w:r w:rsidR="00D7294C">
        <w:rPr>
          <w:lang w:val="en-GB"/>
        </w:rPr>
        <w:t>ë</w:t>
      </w:r>
      <w:r w:rsidR="00155C9E">
        <w:rPr>
          <w:lang w:val="en-GB"/>
        </w:rPr>
        <w:t xml:space="preserve"> filluar dhe jan</w:t>
      </w:r>
      <w:r w:rsidR="00D7294C">
        <w:rPr>
          <w:lang w:val="en-GB"/>
        </w:rPr>
        <w:t>ë</w:t>
      </w:r>
      <w:r w:rsidR="00155C9E">
        <w:rPr>
          <w:lang w:val="en-GB"/>
        </w:rPr>
        <w:t xml:space="preserve"> finalizuar s</w:t>
      </w:r>
      <w:r w:rsidR="00D7294C">
        <w:rPr>
          <w:lang w:val="en-GB"/>
        </w:rPr>
        <w:t>ë</w:t>
      </w:r>
      <w:r w:rsidR="00155C9E">
        <w:rPr>
          <w:lang w:val="en-GB"/>
        </w:rPr>
        <w:t xml:space="preserve"> fundmi</w:t>
      </w:r>
      <w:r w:rsidR="00733B9C" w:rsidRPr="001F151E">
        <w:rPr>
          <w:lang w:val="en-GB"/>
        </w:rPr>
        <w:t xml:space="preserve">. </w:t>
      </w:r>
      <w:r w:rsidR="00155C9E">
        <w:rPr>
          <w:lang w:val="en-GB"/>
        </w:rPr>
        <w:t>K</w:t>
      </w:r>
      <w:r w:rsidR="00D7294C">
        <w:rPr>
          <w:lang w:val="en-GB"/>
        </w:rPr>
        <w:t>ë</w:t>
      </w:r>
      <w:r w:rsidR="00155C9E">
        <w:rPr>
          <w:lang w:val="en-GB"/>
        </w:rPr>
        <w:t>tu p</w:t>
      </w:r>
      <w:r w:rsidR="00D7294C">
        <w:rPr>
          <w:lang w:val="en-GB"/>
        </w:rPr>
        <w:t>ë</w:t>
      </w:r>
      <w:r w:rsidR="00155C9E">
        <w:rPr>
          <w:lang w:val="en-GB"/>
        </w:rPr>
        <w:t xml:space="preserve">rfshihet prezantimi </w:t>
      </w:r>
      <w:r w:rsidR="008C018C">
        <w:rPr>
          <w:lang w:val="en-GB"/>
        </w:rPr>
        <w:t xml:space="preserve">dhe miratimi me VKM </w:t>
      </w:r>
      <w:r w:rsidR="00155C9E">
        <w:rPr>
          <w:lang w:val="en-GB"/>
        </w:rPr>
        <w:t>i List</w:t>
      </w:r>
      <w:r w:rsidR="00D7294C">
        <w:rPr>
          <w:lang w:val="en-GB"/>
        </w:rPr>
        <w:t>ë</w:t>
      </w:r>
      <w:r w:rsidR="00155C9E">
        <w:rPr>
          <w:lang w:val="en-GB"/>
        </w:rPr>
        <w:t>s Unike t</w:t>
      </w:r>
      <w:r w:rsidR="00D7294C">
        <w:rPr>
          <w:lang w:val="en-GB"/>
        </w:rPr>
        <w:t>ë</w:t>
      </w:r>
      <w:r w:rsidR="00155C9E">
        <w:rPr>
          <w:lang w:val="en-GB"/>
        </w:rPr>
        <w:t xml:space="preserve"> Projekteve me R</w:t>
      </w:r>
      <w:r w:rsidR="00D7294C">
        <w:rPr>
          <w:lang w:val="en-GB"/>
        </w:rPr>
        <w:t>ë</w:t>
      </w:r>
      <w:r w:rsidR="00155C9E">
        <w:rPr>
          <w:lang w:val="en-GB"/>
        </w:rPr>
        <w:t>nd</w:t>
      </w:r>
      <w:r w:rsidR="00D7294C">
        <w:rPr>
          <w:lang w:val="en-GB"/>
        </w:rPr>
        <w:t>ë</w:t>
      </w:r>
      <w:r w:rsidR="00155C9E">
        <w:rPr>
          <w:lang w:val="en-GB"/>
        </w:rPr>
        <w:t>si Komb</w:t>
      </w:r>
      <w:r w:rsidR="00D7294C">
        <w:rPr>
          <w:lang w:val="en-GB"/>
        </w:rPr>
        <w:t>ë</w:t>
      </w:r>
      <w:r w:rsidR="00155C9E">
        <w:rPr>
          <w:lang w:val="en-GB"/>
        </w:rPr>
        <w:t>tare, p</w:t>
      </w:r>
      <w:r w:rsidR="00D7294C">
        <w:rPr>
          <w:lang w:val="en-GB"/>
        </w:rPr>
        <w:t>ë</w:t>
      </w:r>
      <w:r w:rsidR="00155C9E">
        <w:rPr>
          <w:lang w:val="en-GB"/>
        </w:rPr>
        <w:t xml:space="preserve">rgatitur nga </w:t>
      </w:r>
      <w:r w:rsidR="009B1B5F" w:rsidRPr="002E6AB5">
        <w:t>SASPAC</w:t>
      </w:r>
      <w:r w:rsidR="009B1B5F" w:rsidRPr="002E6AB5">
        <w:rPr>
          <w:rStyle w:val="FootnoteReference"/>
        </w:rPr>
        <w:footnoteReference w:id="21"/>
      </w:r>
      <w:r w:rsidR="009B1B5F" w:rsidRPr="002E6AB5">
        <w:t>,</w:t>
      </w:r>
      <w:r w:rsidR="009B1B5F" w:rsidRPr="00540D4F">
        <w:t xml:space="preserve"> </w:t>
      </w:r>
      <w:r w:rsidR="00155C9E">
        <w:t>nj</w:t>
      </w:r>
      <w:r w:rsidR="00D7294C">
        <w:t>ë</w:t>
      </w:r>
      <w:r w:rsidR="00155C9E">
        <w:t xml:space="preserve"> k</w:t>
      </w:r>
      <w:r w:rsidR="00D7294C">
        <w:t>ë</w:t>
      </w:r>
      <w:r w:rsidR="00155C9E">
        <w:t>rkes</w:t>
      </w:r>
      <w:r w:rsidR="00D7294C">
        <w:t>ë</w:t>
      </w:r>
      <w:r w:rsidR="00155C9E">
        <w:t xml:space="preserve"> p</w:t>
      </w:r>
      <w:r w:rsidR="00D7294C">
        <w:t>ë</w:t>
      </w:r>
      <w:r w:rsidR="00155C9E">
        <w:t>r nj</w:t>
      </w:r>
      <w:r w:rsidR="00D7294C">
        <w:t>ë</w:t>
      </w:r>
      <w:r w:rsidR="00155C9E">
        <w:t xml:space="preserve"> Studim Fizibiliteti p</w:t>
      </w:r>
      <w:r w:rsidR="00D7294C">
        <w:t>ë</w:t>
      </w:r>
      <w:r w:rsidR="00155C9E">
        <w:t>r projektet q</w:t>
      </w:r>
      <w:r w:rsidR="00D7294C">
        <w:t>ë</w:t>
      </w:r>
      <w:r w:rsidR="00155C9E">
        <w:t xml:space="preserve"> tejkalojn</w:t>
      </w:r>
      <w:r w:rsidR="00D7294C">
        <w:t>ë</w:t>
      </w:r>
      <w:r w:rsidR="00155C9E">
        <w:t xml:space="preserve"> pragun financiar q</w:t>
      </w:r>
      <w:r w:rsidR="00D7294C">
        <w:t>ë</w:t>
      </w:r>
      <w:r w:rsidR="00155C9E">
        <w:t xml:space="preserve"> </w:t>
      </w:r>
      <w:r w:rsidR="00D7294C">
        <w:t>ë</w:t>
      </w:r>
      <w:r w:rsidR="00155C9E">
        <w:t>sht</w:t>
      </w:r>
      <w:r w:rsidR="00D7294C">
        <w:t>ë</w:t>
      </w:r>
      <w:r w:rsidR="00155C9E">
        <w:t xml:space="preserve"> p</w:t>
      </w:r>
      <w:r w:rsidR="00D7294C">
        <w:t>ë</w:t>
      </w:r>
      <w:r w:rsidR="00155C9E">
        <w:t>rcaktuar p</w:t>
      </w:r>
      <w:r w:rsidR="00D7294C">
        <w:t>ë</w:t>
      </w:r>
      <w:r w:rsidR="005C272B">
        <w:t>r secilin sek</w:t>
      </w:r>
      <w:r w:rsidR="00155C9E">
        <w:t>tor dhe nj</w:t>
      </w:r>
      <w:r w:rsidR="00D7294C">
        <w:t>ë</w:t>
      </w:r>
      <w:r w:rsidR="00155C9E">
        <w:t xml:space="preserve"> k</w:t>
      </w:r>
      <w:r w:rsidR="00D7294C">
        <w:t>ë</w:t>
      </w:r>
      <w:r w:rsidR="00155C9E">
        <w:t>rkes</w:t>
      </w:r>
      <w:r w:rsidR="00D7294C">
        <w:t>ë</w:t>
      </w:r>
      <w:r w:rsidR="00155C9E">
        <w:t xml:space="preserve"> p</w:t>
      </w:r>
      <w:r w:rsidR="00D7294C">
        <w:t>ë</w:t>
      </w:r>
      <w:r w:rsidR="00155C9E">
        <w:t>r nj</w:t>
      </w:r>
      <w:r w:rsidR="00D7294C">
        <w:t>ë</w:t>
      </w:r>
      <w:r w:rsidR="00155C9E">
        <w:t xml:space="preserve"> plan ekzekutimi </w:t>
      </w:r>
      <w:r w:rsidR="000144BE">
        <w:t>t</w:t>
      </w:r>
      <w:r w:rsidR="00D7294C">
        <w:t>ë</w:t>
      </w:r>
      <w:r w:rsidR="000144BE">
        <w:t xml:space="preserve"> projektit</w:t>
      </w:r>
      <w:r w:rsidR="00155C9E">
        <w:t xml:space="preserve"> me nj</w:t>
      </w:r>
      <w:r w:rsidR="00D7294C">
        <w:t>ë</w:t>
      </w:r>
      <w:r w:rsidR="00155C9E">
        <w:t xml:space="preserve"> norm</w:t>
      </w:r>
      <w:r w:rsidR="00D7294C">
        <w:t>ë</w:t>
      </w:r>
      <w:r w:rsidR="00155C9E">
        <w:t xml:space="preserve"> minimale t</w:t>
      </w:r>
      <w:r w:rsidR="00D7294C">
        <w:t>ë</w:t>
      </w:r>
      <w:r w:rsidR="00155C9E">
        <w:t xml:space="preserve"> zbatimit fina</w:t>
      </w:r>
      <w:r w:rsidR="000144BE">
        <w:t>nciar</w:t>
      </w:r>
      <w:r w:rsidR="009B1B5F">
        <w:rPr>
          <w:rStyle w:val="FootnoteReference"/>
        </w:rPr>
        <w:footnoteReference w:id="22"/>
      </w:r>
      <w:r w:rsidR="009B1B5F">
        <w:t xml:space="preserve"> </w:t>
      </w:r>
      <w:r w:rsidR="000144BE">
        <w:t>me synimin p</w:t>
      </w:r>
      <w:r w:rsidR="00D7294C">
        <w:t>ë</w:t>
      </w:r>
      <w:r w:rsidR="000144BE">
        <w:t>r t</w:t>
      </w:r>
      <w:r w:rsidR="00D7294C">
        <w:t>ë</w:t>
      </w:r>
      <w:r w:rsidR="000144BE">
        <w:t xml:space="preserve"> reduktuar borxhet e mundshme dhe p</w:t>
      </w:r>
      <w:r w:rsidR="00D7294C">
        <w:t>ë</w:t>
      </w:r>
      <w:r w:rsidR="000144BE">
        <w:t>r t</w:t>
      </w:r>
      <w:r w:rsidR="00D7294C">
        <w:t>ë</w:t>
      </w:r>
      <w:r w:rsidR="000144BE">
        <w:t xml:space="preserve"> p</w:t>
      </w:r>
      <w:r w:rsidR="00D7294C">
        <w:t>ë</w:t>
      </w:r>
      <w:r w:rsidR="000144BE">
        <w:t>rshpejtuar zbatimin e projektit. K</w:t>
      </w:r>
      <w:r w:rsidR="00D7294C">
        <w:t>ë</w:t>
      </w:r>
      <w:r w:rsidR="000144BE">
        <w:t>to ndryshime po pasqyrohen n</w:t>
      </w:r>
      <w:r w:rsidR="00D7294C">
        <w:t>ë</w:t>
      </w:r>
      <w:r w:rsidR="000144BE">
        <w:t xml:space="preserve"> akte n</w:t>
      </w:r>
      <w:r w:rsidR="00D7294C">
        <w:t>ë</w:t>
      </w:r>
      <w:r w:rsidR="000144BE">
        <w:t>nligjore</w:t>
      </w:r>
      <w:r w:rsidR="009B1B5F">
        <w:t>.</w:t>
      </w:r>
      <w:r w:rsidR="009B1B5F">
        <w:rPr>
          <w:rStyle w:val="FootnoteReference"/>
        </w:rPr>
        <w:footnoteReference w:id="23"/>
      </w:r>
      <w:r w:rsidR="009B1B5F">
        <w:t xml:space="preserve"> </w:t>
      </w:r>
      <w:r w:rsidR="000144BE">
        <w:t>N</w:t>
      </w:r>
      <w:r w:rsidR="00D7294C">
        <w:t>ë</w:t>
      </w:r>
      <w:r w:rsidR="000144BE">
        <w:t xml:space="preserve"> lidhje me k</w:t>
      </w:r>
      <w:r w:rsidR="00D7294C">
        <w:t>ë</w:t>
      </w:r>
      <w:r w:rsidR="000144BE">
        <w:t>to reforma jan</w:t>
      </w:r>
      <w:r w:rsidR="00D7294C">
        <w:t>ë</w:t>
      </w:r>
      <w:r w:rsidR="000144BE">
        <w:t xml:space="preserve"> zbatuar disa aktivitete trajnimi. SIMFSH-ja ka nj</w:t>
      </w:r>
      <w:r w:rsidR="00D7294C">
        <w:t>ë</w:t>
      </w:r>
      <w:r w:rsidR="000144BE">
        <w:t xml:space="preserve"> modul t</w:t>
      </w:r>
      <w:r w:rsidR="00D7294C">
        <w:t>ë</w:t>
      </w:r>
      <w:r w:rsidR="000144BE">
        <w:t xml:space="preserve"> dedikuar p</w:t>
      </w:r>
      <w:r w:rsidR="00D7294C">
        <w:t>ë</w:t>
      </w:r>
      <w:r w:rsidR="000144BE">
        <w:t>r MIP-n</w:t>
      </w:r>
      <w:r w:rsidR="00D7294C">
        <w:t>ë</w:t>
      </w:r>
      <w:r w:rsidR="000144BE">
        <w:t>, i cili p</w:t>
      </w:r>
      <w:r w:rsidR="00D7294C">
        <w:t>ë</w:t>
      </w:r>
      <w:r w:rsidR="000144BE">
        <w:t>rdoret p</w:t>
      </w:r>
      <w:r w:rsidR="00D7294C">
        <w:t>ë</w:t>
      </w:r>
      <w:r w:rsidR="000144BE">
        <w:t>r planifikimin e pjes</w:t>
      </w:r>
      <w:r w:rsidR="00D7294C">
        <w:t>ë</w:t>
      </w:r>
      <w:r w:rsidR="000144BE">
        <w:t>s s</w:t>
      </w:r>
      <w:r w:rsidR="00D7294C">
        <w:t>ë</w:t>
      </w:r>
      <w:r w:rsidR="000144BE">
        <w:t xml:space="preserve"> buxhetit kapital t</w:t>
      </w:r>
      <w:r w:rsidR="00D7294C">
        <w:t>ë</w:t>
      </w:r>
      <w:r w:rsidR="000144BE">
        <w:t xml:space="preserve"> PBA-s</w:t>
      </w:r>
      <w:r w:rsidR="00D7294C">
        <w:t>ë</w:t>
      </w:r>
      <w:r w:rsidR="000144BE">
        <w:t xml:space="preserve"> dhe gjithashtu p</w:t>
      </w:r>
      <w:r w:rsidR="00D7294C">
        <w:t>ë</w:t>
      </w:r>
      <w:r w:rsidR="000144BE">
        <w:t>r raportimin e ekzekutimit t</w:t>
      </w:r>
      <w:r w:rsidR="00D7294C">
        <w:t>ë</w:t>
      </w:r>
      <w:r w:rsidR="000144BE">
        <w:t xml:space="preserve"> buxhetit kapital</w:t>
      </w:r>
      <w:r w:rsidR="00733B9C" w:rsidRPr="001F151E">
        <w:rPr>
          <w:lang w:val="en-GB"/>
        </w:rPr>
        <w:t xml:space="preserve">. </w:t>
      </w:r>
      <w:r w:rsidR="000144BE">
        <w:rPr>
          <w:lang w:val="en-GB"/>
        </w:rPr>
        <w:t>P</w:t>
      </w:r>
      <w:r w:rsidR="00D7294C">
        <w:rPr>
          <w:lang w:val="en-GB"/>
        </w:rPr>
        <w:t>ë</w:t>
      </w:r>
      <w:r w:rsidR="000144BE">
        <w:rPr>
          <w:lang w:val="en-GB"/>
        </w:rPr>
        <w:t>r nj</w:t>
      </w:r>
      <w:r w:rsidR="00D7294C">
        <w:rPr>
          <w:lang w:val="en-GB"/>
        </w:rPr>
        <w:t>ë</w:t>
      </w:r>
      <w:r w:rsidR="000144BE">
        <w:rPr>
          <w:lang w:val="en-GB"/>
        </w:rPr>
        <w:t xml:space="preserve"> periudh</w:t>
      </w:r>
      <w:r w:rsidR="00D7294C">
        <w:rPr>
          <w:lang w:val="en-GB"/>
        </w:rPr>
        <w:t>ë</w:t>
      </w:r>
      <w:r w:rsidR="000144BE">
        <w:rPr>
          <w:lang w:val="en-GB"/>
        </w:rPr>
        <w:t xml:space="preserve"> afatshkurt</w:t>
      </w:r>
      <w:r w:rsidR="00D7294C">
        <w:rPr>
          <w:lang w:val="en-GB"/>
        </w:rPr>
        <w:t>ë</w:t>
      </w:r>
      <w:r w:rsidR="000144BE">
        <w:rPr>
          <w:lang w:val="en-GB"/>
        </w:rPr>
        <w:t>r, fokusi kryesor i MF-s</w:t>
      </w:r>
      <w:r w:rsidR="00D7294C">
        <w:rPr>
          <w:lang w:val="en-GB"/>
        </w:rPr>
        <w:t>ë</w:t>
      </w:r>
      <w:r w:rsidR="000144BE">
        <w:rPr>
          <w:lang w:val="en-GB"/>
        </w:rPr>
        <w:t xml:space="preserve"> </w:t>
      </w:r>
      <w:r w:rsidR="00D7294C">
        <w:rPr>
          <w:lang w:val="en-GB"/>
        </w:rPr>
        <w:t>ë</w:t>
      </w:r>
      <w:r w:rsidR="000144BE">
        <w:rPr>
          <w:lang w:val="en-GB"/>
        </w:rPr>
        <w:t>sht</w:t>
      </w:r>
      <w:r w:rsidR="00D7294C">
        <w:rPr>
          <w:lang w:val="en-GB"/>
        </w:rPr>
        <w:t>ë</w:t>
      </w:r>
      <w:r w:rsidR="000144BE">
        <w:rPr>
          <w:lang w:val="en-GB"/>
        </w:rPr>
        <w:t xml:space="preserve"> v</w:t>
      </w:r>
      <w:r w:rsidR="00D7294C">
        <w:rPr>
          <w:lang w:val="en-GB"/>
        </w:rPr>
        <w:t>ë</w:t>
      </w:r>
      <w:r w:rsidR="000144BE">
        <w:rPr>
          <w:lang w:val="en-GB"/>
        </w:rPr>
        <w:t>nia plot</w:t>
      </w:r>
      <w:r w:rsidR="00D7294C">
        <w:rPr>
          <w:lang w:val="en-GB"/>
        </w:rPr>
        <w:t>ë</w:t>
      </w:r>
      <w:r w:rsidR="000144BE">
        <w:rPr>
          <w:lang w:val="en-GB"/>
        </w:rPr>
        <w:t>sisht n</w:t>
      </w:r>
      <w:r w:rsidR="00D7294C">
        <w:rPr>
          <w:lang w:val="en-GB"/>
        </w:rPr>
        <w:t>ë</w:t>
      </w:r>
      <w:r w:rsidR="000144BE">
        <w:rPr>
          <w:lang w:val="en-GB"/>
        </w:rPr>
        <w:t xml:space="preserve"> funksion e reformave t</w:t>
      </w:r>
      <w:r w:rsidR="00D7294C">
        <w:rPr>
          <w:lang w:val="en-GB"/>
        </w:rPr>
        <w:t>ë</w:t>
      </w:r>
      <w:r w:rsidR="000144BE">
        <w:rPr>
          <w:lang w:val="en-GB"/>
        </w:rPr>
        <w:t xml:space="preserve"> fundit, t</w:t>
      </w:r>
      <w:r w:rsidR="00D7294C">
        <w:rPr>
          <w:lang w:val="en-GB"/>
        </w:rPr>
        <w:t>ë</w:t>
      </w:r>
      <w:r w:rsidR="000144BE">
        <w:rPr>
          <w:lang w:val="en-GB"/>
        </w:rPr>
        <w:t xml:space="preserve"> cilat k</w:t>
      </w:r>
      <w:r w:rsidR="00D7294C">
        <w:rPr>
          <w:lang w:val="en-GB"/>
        </w:rPr>
        <w:t>ë</w:t>
      </w:r>
      <w:r w:rsidR="000144BE">
        <w:rPr>
          <w:lang w:val="en-GB"/>
        </w:rPr>
        <w:t>rkojn</w:t>
      </w:r>
      <w:r w:rsidR="00D7294C">
        <w:rPr>
          <w:lang w:val="en-GB"/>
        </w:rPr>
        <w:t>ë</w:t>
      </w:r>
      <w:r w:rsidR="000144BE">
        <w:rPr>
          <w:lang w:val="en-GB"/>
        </w:rPr>
        <w:t xml:space="preserve"> trajnim shtes</w:t>
      </w:r>
      <w:r w:rsidR="00D7294C">
        <w:rPr>
          <w:lang w:val="en-GB"/>
        </w:rPr>
        <w:t>ë</w:t>
      </w:r>
      <w:r w:rsidR="000144BE">
        <w:rPr>
          <w:lang w:val="en-GB"/>
        </w:rPr>
        <w:t xml:space="preserve"> t</w:t>
      </w:r>
      <w:r w:rsidR="00D7294C">
        <w:rPr>
          <w:lang w:val="en-GB"/>
        </w:rPr>
        <w:t>ë</w:t>
      </w:r>
      <w:r w:rsidR="000144BE">
        <w:rPr>
          <w:lang w:val="en-GB"/>
        </w:rPr>
        <w:t xml:space="preserve"> stafit t</w:t>
      </w:r>
      <w:r w:rsidR="00D7294C">
        <w:rPr>
          <w:lang w:val="en-GB"/>
        </w:rPr>
        <w:t>ë</w:t>
      </w:r>
      <w:r w:rsidR="000144BE">
        <w:rPr>
          <w:lang w:val="en-GB"/>
        </w:rPr>
        <w:t xml:space="preserve"> angazhuar n</w:t>
      </w:r>
      <w:r w:rsidR="00D7294C">
        <w:rPr>
          <w:lang w:val="en-GB"/>
        </w:rPr>
        <w:t>ë</w:t>
      </w:r>
      <w:r w:rsidR="000144BE">
        <w:rPr>
          <w:lang w:val="en-GB"/>
        </w:rPr>
        <w:t xml:space="preserve"> MIP n</w:t>
      </w:r>
      <w:r w:rsidR="00D7294C">
        <w:rPr>
          <w:lang w:val="en-GB"/>
        </w:rPr>
        <w:t>ë</w:t>
      </w:r>
      <w:r w:rsidR="000144BE">
        <w:rPr>
          <w:lang w:val="en-GB"/>
        </w:rPr>
        <w:t xml:space="preserve"> t</w:t>
      </w:r>
      <w:r w:rsidR="00D7294C">
        <w:rPr>
          <w:lang w:val="en-GB"/>
        </w:rPr>
        <w:t>ë</w:t>
      </w:r>
      <w:r w:rsidR="000144BE">
        <w:rPr>
          <w:lang w:val="en-GB"/>
        </w:rPr>
        <w:t xml:space="preserve"> gjith</w:t>
      </w:r>
      <w:r w:rsidR="00D7294C">
        <w:rPr>
          <w:lang w:val="en-GB"/>
        </w:rPr>
        <w:t>ë</w:t>
      </w:r>
      <w:r w:rsidR="000144BE">
        <w:rPr>
          <w:lang w:val="en-GB"/>
        </w:rPr>
        <w:t xml:space="preserve"> </w:t>
      </w:r>
      <w:r w:rsidR="000B00EC">
        <w:rPr>
          <w:lang w:val="en-GB"/>
        </w:rPr>
        <w:t>sh</w:t>
      </w:r>
      <w:r w:rsidR="00D7294C">
        <w:rPr>
          <w:lang w:val="en-GB"/>
        </w:rPr>
        <w:t>ë</w:t>
      </w:r>
      <w:r w:rsidR="000B00EC">
        <w:rPr>
          <w:lang w:val="en-GB"/>
        </w:rPr>
        <w:t>rbimin civil dhe disa p</w:t>
      </w:r>
      <w:r w:rsidR="00D7294C">
        <w:rPr>
          <w:lang w:val="en-GB"/>
        </w:rPr>
        <w:t>ë</w:t>
      </w:r>
      <w:r w:rsidR="000B00EC">
        <w:rPr>
          <w:lang w:val="en-GB"/>
        </w:rPr>
        <w:t>rshtatje t</w:t>
      </w:r>
      <w:r w:rsidR="00D7294C">
        <w:rPr>
          <w:lang w:val="en-GB"/>
        </w:rPr>
        <w:t>ë</w:t>
      </w:r>
      <w:r w:rsidR="000B00EC">
        <w:rPr>
          <w:lang w:val="en-GB"/>
        </w:rPr>
        <w:t xml:space="preserve"> SIMFSH-s</w:t>
      </w:r>
      <w:r w:rsidR="00D7294C">
        <w:rPr>
          <w:lang w:val="en-GB"/>
        </w:rPr>
        <w:t>ë</w:t>
      </w:r>
      <w:r w:rsidR="000B00EC">
        <w:rPr>
          <w:lang w:val="en-GB"/>
        </w:rPr>
        <w:t>.</w:t>
      </w:r>
      <w:r w:rsidR="000144BE">
        <w:rPr>
          <w:lang w:val="en-GB"/>
        </w:rPr>
        <w:t xml:space="preserve">  </w:t>
      </w:r>
    </w:p>
    <w:p w14:paraId="25D3C68D" w14:textId="65C3134D" w:rsidR="00733B9C" w:rsidRPr="001F151E" w:rsidRDefault="000B00EC" w:rsidP="00A3529E">
      <w:pPr>
        <w:spacing w:line="276" w:lineRule="auto"/>
        <w:jc w:val="both"/>
        <w:rPr>
          <w:lang w:val="en-GB"/>
        </w:rPr>
      </w:pPr>
      <w:r>
        <w:rPr>
          <w:lang w:val="en-GB"/>
        </w:rPr>
        <w:t>P</w:t>
      </w:r>
      <w:r w:rsidR="00D7294C">
        <w:rPr>
          <w:lang w:val="en-GB"/>
        </w:rPr>
        <w:t>ë</w:t>
      </w:r>
      <w:r>
        <w:rPr>
          <w:lang w:val="en-GB"/>
        </w:rPr>
        <w:t>r periudh</w:t>
      </w:r>
      <w:r w:rsidR="00D7294C">
        <w:rPr>
          <w:lang w:val="en-GB"/>
        </w:rPr>
        <w:t>ë</w:t>
      </w:r>
      <w:r>
        <w:rPr>
          <w:lang w:val="en-GB"/>
        </w:rPr>
        <w:t>n afatmesme dhe afatgjat</w:t>
      </w:r>
      <w:r w:rsidR="00D7294C">
        <w:rPr>
          <w:lang w:val="en-GB"/>
        </w:rPr>
        <w:t>ë</w:t>
      </w:r>
      <w:r>
        <w:rPr>
          <w:lang w:val="en-GB"/>
        </w:rPr>
        <w:t xml:space="preserve">, konsiderohen reformat </w:t>
      </w:r>
      <w:r w:rsidR="001C0437">
        <w:rPr>
          <w:lang w:val="en-GB"/>
        </w:rPr>
        <w:t>e</w:t>
      </w:r>
      <w:r>
        <w:rPr>
          <w:lang w:val="en-GB"/>
        </w:rPr>
        <w:t xml:space="preserve"> m</w:t>
      </w:r>
      <w:r w:rsidR="00D7294C">
        <w:rPr>
          <w:lang w:val="en-GB"/>
        </w:rPr>
        <w:t>ë</w:t>
      </w:r>
      <w:r>
        <w:rPr>
          <w:lang w:val="en-GB"/>
        </w:rPr>
        <w:t>tejshme</w:t>
      </w:r>
      <w:r w:rsidR="005C01DA">
        <w:rPr>
          <w:lang w:val="en-GB"/>
        </w:rPr>
        <w:t xml:space="preserve"> p</w:t>
      </w:r>
      <w:r w:rsidR="00D7294C">
        <w:rPr>
          <w:lang w:val="en-GB"/>
        </w:rPr>
        <w:t>ë</w:t>
      </w:r>
      <w:r w:rsidR="005C01DA">
        <w:rPr>
          <w:lang w:val="en-GB"/>
        </w:rPr>
        <w:t>r t</w:t>
      </w:r>
      <w:r w:rsidR="00D7294C">
        <w:rPr>
          <w:lang w:val="en-GB"/>
        </w:rPr>
        <w:t>ë</w:t>
      </w:r>
      <w:r w:rsidR="005C01DA">
        <w:rPr>
          <w:lang w:val="en-GB"/>
        </w:rPr>
        <w:t xml:space="preserve"> adresuar mang</w:t>
      </w:r>
      <w:r w:rsidR="00D7294C">
        <w:rPr>
          <w:lang w:val="en-GB"/>
        </w:rPr>
        <w:t>ë</w:t>
      </w:r>
      <w:r w:rsidR="005C01DA">
        <w:rPr>
          <w:lang w:val="en-GB"/>
        </w:rPr>
        <w:t>sit</w:t>
      </w:r>
      <w:r w:rsidR="00D7294C">
        <w:rPr>
          <w:lang w:val="en-GB"/>
        </w:rPr>
        <w:t>ë</w:t>
      </w:r>
      <w:r w:rsidR="005C01DA">
        <w:rPr>
          <w:lang w:val="en-GB"/>
        </w:rPr>
        <w:t xml:space="preserve"> n</w:t>
      </w:r>
      <w:r w:rsidR="00D7294C">
        <w:rPr>
          <w:lang w:val="en-GB"/>
        </w:rPr>
        <w:t>ë</w:t>
      </w:r>
      <w:r w:rsidR="005C01DA">
        <w:rPr>
          <w:lang w:val="en-GB"/>
        </w:rPr>
        <w:t xml:space="preserve"> sistemin e MIP-s</w:t>
      </w:r>
      <w:r w:rsidR="00D7294C">
        <w:rPr>
          <w:lang w:val="en-GB"/>
        </w:rPr>
        <w:t>ë</w:t>
      </w:r>
      <w:r w:rsidR="005C01DA">
        <w:rPr>
          <w:lang w:val="en-GB"/>
        </w:rPr>
        <w:t xml:space="preserve"> dhe p</w:t>
      </w:r>
      <w:r w:rsidR="00D7294C">
        <w:rPr>
          <w:lang w:val="en-GB"/>
        </w:rPr>
        <w:t>ë</w:t>
      </w:r>
      <w:r w:rsidR="005C01DA">
        <w:rPr>
          <w:lang w:val="en-GB"/>
        </w:rPr>
        <w:t>r t</w:t>
      </w:r>
      <w:r w:rsidR="00D7294C">
        <w:rPr>
          <w:lang w:val="en-GB"/>
        </w:rPr>
        <w:t>ë</w:t>
      </w:r>
      <w:r w:rsidR="005C01DA">
        <w:rPr>
          <w:lang w:val="en-GB"/>
        </w:rPr>
        <w:t xml:space="preserve"> parandaluar shpenzimet e </w:t>
      </w:r>
      <w:r w:rsidR="008C018C">
        <w:rPr>
          <w:lang w:val="en-GB"/>
        </w:rPr>
        <w:t>panevojshme</w:t>
      </w:r>
      <w:r w:rsidR="005C01DA">
        <w:rPr>
          <w:lang w:val="en-GB"/>
        </w:rPr>
        <w:t>.</w:t>
      </w:r>
      <w:r>
        <w:rPr>
          <w:lang w:val="en-GB"/>
        </w:rPr>
        <w:t xml:space="preserve"> </w:t>
      </w:r>
      <w:r w:rsidR="008B504F">
        <w:rPr>
          <w:lang w:val="en-GB"/>
        </w:rPr>
        <w:t>K</w:t>
      </w:r>
      <w:r w:rsidR="00D7294C">
        <w:rPr>
          <w:lang w:val="en-GB"/>
        </w:rPr>
        <w:t>ë</w:t>
      </w:r>
      <w:r w:rsidR="008B504F">
        <w:rPr>
          <w:lang w:val="en-GB"/>
        </w:rPr>
        <w:t>to p</w:t>
      </w:r>
      <w:r w:rsidR="00D7294C">
        <w:rPr>
          <w:lang w:val="en-GB"/>
        </w:rPr>
        <w:t>ë</w:t>
      </w:r>
      <w:r w:rsidR="008B504F">
        <w:rPr>
          <w:lang w:val="en-GB"/>
        </w:rPr>
        <w:t>rfshijn</w:t>
      </w:r>
      <w:r w:rsidR="00D7294C">
        <w:rPr>
          <w:lang w:val="en-GB"/>
        </w:rPr>
        <w:t>ë</w:t>
      </w:r>
      <w:r w:rsidR="008B504F">
        <w:rPr>
          <w:lang w:val="en-GB"/>
        </w:rPr>
        <w:t xml:space="preserve"> p</w:t>
      </w:r>
      <w:r w:rsidR="00D7294C">
        <w:rPr>
          <w:lang w:val="en-GB"/>
        </w:rPr>
        <w:t>ë</w:t>
      </w:r>
      <w:r w:rsidR="008B504F">
        <w:rPr>
          <w:lang w:val="en-GB"/>
        </w:rPr>
        <w:t>rpunimin e m</w:t>
      </w:r>
      <w:r w:rsidR="00D7294C">
        <w:rPr>
          <w:lang w:val="en-GB"/>
        </w:rPr>
        <w:t>ë</w:t>
      </w:r>
      <w:r w:rsidR="008B504F">
        <w:rPr>
          <w:lang w:val="en-GB"/>
        </w:rPr>
        <w:t>tejsh</w:t>
      </w:r>
      <w:r w:rsidR="00D7294C">
        <w:rPr>
          <w:lang w:val="en-GB"/>
        </w:rPr>
        <w:t>ë</w:t>
      </w:r>
      <w:r w:rsidR="008B504F">
        <w:rPr>
          <w:lang w:val="en-GB"/>
        </w:rPr>
        <w:t>m t</w:t>
      </w:r>
      <w:r w:rsidR="00D7294C">
        <w:rPr>
          <w:lang w:val="en-GB"/>
        </w:rPr>
        <w:t>ë</w:t>
      </w:r>
      <w:r w:rsidR="008B504F">
        <w:rPr>
          <w:lang w:val="en-GB"/>
        </w:rPr>
        <w:t xml:space="preserve"> List</w:t>
      </w:r>
      <w:r w:rsidR="00D7294C">
        <w:rPr>
          <w:lang w:val="en-GB"/>
        </w:rPr>
        <w:t>ë</w:t>
      </w:r>
      <w:r w:rsidR="008B504F">
        <w:rPr>
          <w:lang w:val="en-GB"/>
        </w:rPr>
        <w:t>s Unike t</w:t>
      </w:r>
      <w:r w:rsidR="00D7294C">
        <w:rPr>
          <w:lang w:val="en-GB"/>
        </w:rPr>
        <w:t>ë</w:t>
      </w:r>
      <w:r w:rsidR="008B504F">
        <w:rPr>
          <w:lang w:val="en-GB"/>
        </w:rPr>
        <w:t xml:space="preserve"> Projekteve</w:t>
      </w:r>
      <w:r w:rsidR="008C018C">
        <w:rPr>
          <w:lang w:val="en-GB"/>
        </w:rPr>
        <w:t xml:space="preserve"> me Rëndësi Kombëtare</w:t>
      </w:r>
      <w:r w:rsidR="008B504F">
        <w:rPr>
          <w:lang w:val="en-GB"/>
        </w:rPr>
        <w:t xml:space="preserve">, </w:t>
      </w:r>
      <w:r w:rsidR="008C018C">
        <w:rPr>
          <w:lang w:val="en-GB"/>
        </w:rPr>
        <w:t xml:space="preserve">duke përmirësuar metodologjinë </w:t>
      </w:r>
      <w:r w:rsidR="008B504F">
        <w:rPr>
          <w:lang w:val="en-GB"/>
        </w:rPr>
        <w:t>e vler</w:t>
      </w:r>
      <w:r w:rsidR="00D7294C">
        <w:rPr>
          <w:lang w:val="en-GB"/>
        </w:rPr>
        <w:t>ë</w:t>
      </w:r>
      <w:r w:rsidR="008B504F">
        <w:rPr>
          <w:lang w:val="en-GB"/>
        </w:rPr>
        <w:t>simit dhe p</w:t>
      </w:r>
      <w:r w:rsidR="00D7294C">
        <w:rPr>
          <w:lang w:val="en-GB"/>
        </w:rPr>
        <w:t>ë</w:t>
      </w:r>
      <w:r w:rsidR="008B504F">
        <w:rPr>
          <w:lang w:val="en-GB"/>
        </w:rPr>
        <w:t>rzgjedhjes s</w:t>
      </w:r>
      <w:r w:rsidR="00D7294C">
        <w:rPr>
          <w:lang w:val="en-GB"/>
        </w:rPr>
        <w:t>ë</w:t>
      </w:r>
      <w:r w:rsidR="008B504F">
        <w:rPr>
          <w:lang w:val="en-GB"/>
        </w:rPr>
        <w:t xml:space="preserve"> projekteve, forcimin e rolit gatekeeper t</w:t>
      </w:r>
      <w:r w:rsidR="00D7294C">
        <w:rPr>
          <w:lang w:val="en-GB"/>
        </w:rPr>
        <w:t>ë</w:t>
      </w:r>
      <w:r w:rsidR="008B504F">
        <w:rPr>
          <w:lang w:val="en-GB"/>
        </w:rPr>
        <w:t xml:space="preserve"> MF-s</w:t>
      </w:r>
      <w:r w:rsidR="00D7294C">
        <w:rPr>
          <w:lang w:val="en-GB"/>
        </w:rPr>
        <w:t>ë</w:t>
      </w:r>
      <w:r w:rsidR="008B504F">
        <w:rPr>
          <w:lang w:val="en-GB"/>
        </w:rPr>
        <w:t xml:space="preserve"> (shqyrtimi i pavarur i propozimeve t</w:t>
      </w:r>
      <w:r w:rsidR="00D7294C">
        <w:rPr>
          <w:lang w:val="en-GB"/>
        </w:rPr>
        <w:t>ë</w:t>
      </w:r>
      <w:r w:rsidR="008B504F">
        <w:rPr>
          <w:lang w:val="en-GB"/>
        </w:rPr>
        <w:t xml:space="preserve"> projektit</w:t>
      </w:r>
      <w:r w:rsidR="00A3529E">
        <w:rPr>
          <w:lang w:val="en-GB"/>
        </w:rPr>
        <w:t>).</w:t>
      </w:r>
    </w:p>
    <w:p w14:paraId="4874DB6D" w14:textId="0522FFE5" w:rsidR="00733B9C" w:rsidRPr="001F151E" w:rsidRDefault="00733B9C" w:rsidP="00EA6F1D">
      <w:pPr>
        <w:pStyle w:val="H5"/>
        <w:spacing w:line="276" w:lineRule="auto"/>
        <w:jc w:val="both"/>
        <w:rPr>
          <w:lang w:val="en-GB"/>
        </w:rPr>
      </w:pPr>
      <w:r w:rsidRPr="001F151E">
        <w:rPr>
          <w:lang w:val="en-GB"/>
        </w:rPr>
        <w:t>Priorit</w:t>
      </w:r>
      <w:r w:rsidR="009E43AB">
        <w:rPr>
          <w:lang w:val="en-GB"/>
        </w:rPr>
        <w:t>etet</w:t>
      </w:r>
    </w:p>
    <w:p w14:paraId="4612B406" w14:textId="2005D4CC" w:rsidR="00733B9C" w:rsidRPr="001F151E" w:rsidRDefault="008B504F" w:rsidP="00EA6F1D">
      <w:pPr>
        <w:spacing w:line="276" w:lineRule="auto"/>
        <w:jc w:val="both"/>
        <w:rPr>
          <w:lang w:val="en-GB"/>
        </w:rPr>
      </w:pPr>
      <w:r>
        <w:rPr>
          <w:lang w:val="en-GB"/>
        </w:rPr>
        <w:t>Prioritetet p</w:t>
      </w:r>
      <w:r w:rsidR="00D7294C">
        <w:rPr>
          <w:lang w:val="en-GB"/>
        </w:rPr>
        <w:t>ë</w:t>
      </w:r>
      <w:r>
        <w:rPr>
          <w:lang w:val="en-GB"/>
        </w:rPr>
        <w:t>r periudh</w:t>
      </w:r>
      <w:r w:rsidR="00D7294C">
        <w:rPr>
          <w:lang w:val="en-GB"/>
        </w:rPr>
        <w:t>ë</w:t>
      </w:r>
      <w:r>
        <w:rPr>
          <w:lang w:val="en-GB"/>
        </w:rPr>
        <w:t>n 2023-2026 jan</w:t>
      </w:r>
      <w:r w:rsidR="00D7294C">
        <w:rPr>
          <w:lang w:val="en-GB"/>
        </w:rPr>
        <w:t>ë</w:t>
      </w:r>
      <w:r w:rsidR="00733B9C" w:rsidRPr="001F151E">
        <w:rPr>
          <w:lang w:val="en-GB"/>
        </w:rPr>
        <w:t>:</w:t>
      </w:r>
    </w:p>
    <w:p w14:paraId="713C42EC" w14:textId="1128A6EA" w:rsidR="00045E7F" w:rsidRPr="009D660E" w:rsidRDefault="00730674" w:rsidP="00EA6F1D">
      <w:pPr>
        <w:pStyle w:val="ListParagraph"/>
        <w:numPr>
          <w:ilvl w:val="0"/>
          <w:numId w:val="24"/>
        </w:numPr>
        <w:spacing w:line="276" w:lineRule="auto"/>
        <w:jc w:val="both"/>
        <w:rPr>
          <w:lang w:val="it-IT"/>
        </w:rPr>
      </w:pPr>
      <w:r w:rsidRPr="009D660E">
        <w:rPr>
          <w:lang w:val="it-IT"/>
        </w:rPr>
        <w:t>Operacionalizimi</w:t>
      </w:r>
      <w:r w:rsidR="002D4411" w:rsidRPr="009D660E">
        <w:rPr>
          <w:lang w:val="it-IT"/>
        </w:rPr>
        <w:t xml:space="preserve"> i procedurave t</w:t>
      </w:r>
      <w:r w:rsidR="00D7294C" w:rsidRPr="009D660E">
        <w:rPr>
          <w:lang w:val="it-IT"/>
        </w:rPr>
        <w:t>ë</w:t>
      </w:r>
      <w:r w:rsidR="002D4411" w:rsidRPr="009D660E">
        <w:rPr>
          <w:lang w:val="it-IT"/>
        </w:rPr>
        <w:t xml:space="preserve"> p</w:t>
      </w:r>
      <w:r w:rsidR="00D7294C" w:rsidRPr="009D660E">
        <w:rPr>
          <w:lang w:val="it-IT"/>
        </w:rPr>
        <w:t>ë</w:t>
      </w:r>
      <w:r w:rsidR="002D4411" w:rsidRPr="009D660E">
        <w:rPr>
          <w:lang w:val="it-IT"/>
        </w:rPr>
        <w:t>rmir</w:t>
      </w:r>
      <w:r w:rsidR="00D7294C" w:rsidRPr="009D660E">
        <w:rPr>
          <w:lang w:val="it-IT"/>
        </w:rPr>
        <w:t>ë</w:t>
      </w:r>
      <w:r w:rsidR="002D4411" w:rsidRPr="009D660E">
        <w:rPr>
          <w:lang w:val="it-IT"/>
        </w:rPr>
        <w:t>suara p</w:t>
      </w:r>
      <w:r w:rsidR="00D7294C" w:rsidRPr="009D660E">
        <w:rPr>
          <w:lang w:val="it-IT"/>
        </w:rPr>
        <w:t>ë</w:t>
      </w:r>
      <w:r w:rsidR="002D4411" w:rsidRPr="009D660E">
        <w:rPr>
          <w:lang w:val="it-IT"/>
        </w:rPr>
        <w:t>r menaxhimin e investimeve publike.</w:t>
      </w:r>
    </w:p>
    <w:p w14:paraId="16794403" w14:textId="6666B977" w:rsidR="00733B9C" w:rsidRPr="009D660E" w:rsidRDefault="00405701" w:rsidP="00EA6F1D">
      <w:pPr>
        <w:pStyle w:val="ListParagraph"/>
        <w:numPr>
          <w:ilvl w:val="0"/>
          <w:numId w:val="24"/>
        </w:numPr>
        <w:spacing w:line="276" w:lineRule="auto"/>
        <w:jc w:val="both"/>
        <w:rPr>
          <w:lang w:val="it-IT"/>
        </w:rPr>
      </w:pPr>
      <w:r w:rsidRPr="009D660E">
        <w:rPr>
          <w:lang w:val="it-IT"/>
        </w:rPr>
        <w:t>P</w:t>
      </w:r>
      <w:r w:rsidR="00D7294C" w:rsidRPr="009D660E">
        <w:rPr>
          <w:lang w:val="it-IT"/>
        </w:rPr>
        <w:t>ë</w:t>
      </w:r>
      <w:r w:rsidRPr="009D660E">
        <w:rPr>
          <w:lang w:val="it-IT"/>
        </w:rPr>
        <w:t>rpunimi dhe v</w:t>
      </w:r>
      <w:r w:rsidR="00D7294C" w:rsidRPr="009D660E">
        <w:rPr>
          <w:lang w:val="it-IT"/>
        </w:rPr>
        <w:t>ë</w:t>
      </w:r>
      <w:r w:rsidRPr="009D660E">
        <w:rPr>
          <w:lang w:val="it-IT"/>
        </w:rPr>
        <w:t>nia n</w:t>
      </w:r>
      <w:r w:rsidR="00D7294C" w:rsidRPr="009D660E">
        <w:rPr>
          <w:lang w:val="it-IT"/>
        </w:rPr>
        <w:t>ë</w:t>
      </w:r>
      <w:r w:rsidRPr="009D660E">
        <w:rPr>
          <w:lang w:val="it-IT"/>
        </w:rPr>
        <w:t xml:space="preserve"> funksion e List</w:t>
      </w:r>
      <w:r w:rsidR="00D7294C" w:rsidRPr="009D660E">
        <w:rPr>
          <w:lang w:val="it-IT"/>
        </w:rPr>
        <w:t>ë</w:t>
      </w:r>
      <w:r w:rsidRPr="009D660E">
        <w:rPr>
          <w:lang w:val="it-IT"/>
        </w:rPr>
        <w:t>s Unike t</w:t>
      </w:r>
      <w:r w:rsidR="00D7294C" w:rsidRPr="009D660E">
        <w:rPr>
          <w:lang w:val="it-IT"/>
        </w:rPr>
        <w:t>ë</w:t>
      </w:r>
      <w:r w:rsidRPr="009D660E">
        <w:rPr>
          <w:lang w:val="it-IT"/>
        </w:rPr>
        <w:t xml:space="preserve"> Projekteve me R</w:t>
      </w:r>
      <w:r w:rsidR="00D7294C" w:rsidRPr="009D660E">
        <w:rPr>
          <w:lang w:val="it-IT"/>
        </w:rPr>
        <w:t>ë</w:t>
      </w:r>
      <w:r w:rsidRPr="009D660E">
        <w:rPr>
          <w:lang w:val="it-IT"/>
        </w:rPr>
        <w:t>nd</w:t>
      </w:r>
      <w:r w:rsidR="00D7294C" w:rsidRPr="009D660E">
        <w:rPr>
          <w:lang w:val="it-IT"/>
        </w:rPr>
        <w:t>ë</w:t>
      </w:r>
      <w:r w:rsidRPr="009D660E">
        <w:rPr>
          <w:lang w:val="it-IT"/>
        </w:rPr>
        <w:t>si Komb</w:t>
      </w:r>
      <w:r w:rsidR="00D7294C" w:rsidRPr="009D660E">
        <w:rPr>
          <w:lang w:val="it-IT"/>
        </w:rPr>
        <w:t>ë</w:t>
      </w:r>
      <w:r w:rsidRPr="009D660E">
        <w:rPr>
          <w:lang w:val="it-IT"/>
        </w:rPr>
        <w:t>tare</w:t>
      </w:r>
      <w:r w:rsidR="008C018C" w:rsidRPr="009D660E">
        <w:rPr>
          <w:lang w:val="it-IT"/>
        </w:rPr>
        <w:t>, si</w:t>
      </w:r>
      <w:r w:rsidRPr="009D660E">
        <w:rPr>
          <w:lang w:val="it-IT"/>
        </w:rPr>
        <w:t xml:space="preserve"> dhe forcimi i rolit t</w:t>
      </w:r>
      <w:r w:rsidR="00D7294C" w:rsidRPr="009D660E">
        <w:rPr>
          <w:lang w:val="it-IT"/>
        </w:rPr>
        <w:t>ë</w:t>
      </w:r>
      <w:r w:rsidRPr="009D660E">
        <w:rPr>
          <w:lang w:val="it-IT"/>
        </w:rPr>
        <w:t xml:space="preserve"> MF-s</w:t>
      </w:r>
      <w:r w:rsidR="00D7294C" w:rsidRPr="009D660E">
        <w:rPr>
          <w:lang w:val="it-IT"/>
        </w:rPr>
        <w:t>ë</w:t>
      </w:r>
      <w:r w:rsidRPr="009D660E">
        <w:rPr>
          <w:lang w:val="it-IT"/>
        </w:rPr>
        <w:t xml:space="preserve"> si gatekeeper, duke p</w:t>
      </w:r>
      <w:r w:rsidR="00D7294C" w:rsidRPr="009D660E">
        <w:rPr>
          <w:lang w:val="it-IT"/>
        </w:rPr>
        <w:t>ë</w:t>
      </w:r>
      <w:r w:rsidRPr="009D660E">
        <w:rPr>
          <w:lang w:val="it-IT"/>
        </w:rPr>
        <w:t>rfshir</w:t>
      </w:r>
      <w:r w:rsidR="00D7294C" w:rsidRPr="009D660E">
        <w:rPr>
          <w:lang w:val="it-IT"/>
        </w:rPr>
        <w:t>ë</w:t>
      </w:r>
      <w:r w:rsidRPr="009D660E">
        <w:rPr>
          <w:lang w:val="it-IT"/>
        </w:rPr>
        <w:t xml:space="preserve"> krijimin e praktikave t</w:t>
      </w:r>
      <w:r w:rsidR="00D7294C" w:rsidRPr="009D660E">
        <w:rPr>
          <w:lang w:val="it-IT"/>
        </w:rPr>
        <w:t>ë</w:t>
      </w:r>
      <w:r w:rsidRPr="009D660E">
        <w:rPr>
          <w:lang w:val="it-IT"/>
        </w:rPr>
        <w:t xml:space="preserve"> sh</w:t>
      </w:r>
      <w:r w:rsidR="00D7294C" w:rsidRPr="009D660E">
        <w:rPr>
          <w:lang w:val="it-IT"/>
        </w:rPr>
        <w:t>ë</w:t>
      </w:r>
      <w:r w:rsidRPr="009D660E">
        <w:rPr>
          <w:lang w:val="it-IT"/>
        </w:rPr>
        <w:t>ndosha p</w:t>
      </w:r>
      <w:r w:rsidR="00D7294C" w:rsidRPr="009D660E">
        <w:rPr>
          <w:lang w:val="it-IT"/>
        </w:rPr>
        <w:t>ë</w:t>
      </w:r>
      <w:r w:rsidRPr="009D660E">
        <w:rPr>
          <w:lang w:val="it-IT"/>
        </w:rPr>
        <w:t xml:space="preserve">r </w:t>
      </w:r>
      <w:r w:rsidR="008C018C" w:rsidRPr="009D660E">
        <w:rPr>
          <w:lang w:val="it-IT"/>
        </w:rPr>
        <w:t xml:space="preserve">identifikimin, përgatitjen, </w:t>
      </w:r>
      <w:r w:rsidRPr="009D660E">
        <w:rPr>
          <w:lang w:val="it-IT"/>
        </w:rPr>
        <w:t>vler</w:t>
      </w:r>
      <w:r w:rsidR="00D7294C" w:rsidRPr="009D660E">
        <w:rPr>
          <w:lang w:val="it-IT"/>
        </w:rPr>
        <w:t>ë</w:t>
      </w:r>
      <w:r w:rsidRPr="009D660E">
        <w:rPr>
          <w:lang w:val="it-IT"/>
        </w:rPr>
        <w:t xml:space="preserve">simin </w:t>
      </w:r>
      <w:r w:rsidR="008C018C" w:rsidRPr="009D660E">
        <w:rPr>
          <w:lang w:val="it-IT"/>
        </w:rPr>
        <w:t>objektiv të</w:t>
      </w:r>
      <w:r w:rsidRPr="009D660E">
        <w:rPr>
          <w:lang w:val="it-IT"/>
        </w:rPr>
        <w:t xml:space="preserve"> projekteve</w:t>
      </w:r>
      <w:r w:rsidR="008C018C" w:rsidRPr="009D660E">
        <w:rPr>
          <w:lang w:val="it-IT"/>
        </w:rPr>
        <w:t xml:space="preserve"> në raport me objektivat strategjikë</w:t>
      </w:r>
      <w:r w:rsidRPr="009D660E">
        <w:rPr>
          <w:lang w:val="it-IT"/>
        </w:rPr>
        <w:t>, rishikimin e pavarur</w:t>
      </w:r>
      <w:r w:rsidR="008C018C" w:rsidRPr="009D660E">
        <w:rPr>
          <w:lang w:val="it-IT"/>
        </w:rPr>
        <w:t xml:space="preserve"> të tyre</w:t>
      </w:r>
      <w:r w:rsidRPr="009D660E">
        <w:rPr>
          <w:lang w:val="it-IT"/>
        </w:rPr>
        <w:t xml:space="preserve"> dhe p</w:t>
      </w:r>
      <w:r w:rsidR="00D7294C" w:rsidRPr="009D660E">
        <w:rPr>
          <w:lang w:val="it-IT"/>
        </w:rPr>
        <w:t>ë</w:t>
      </w:r>
      <w:r w:rsidRPr="009D660E">
        <w:rPr>
          <w:lang w:val="it-IT"/>
        </w:rPr>
        <w:t>rzgjedhjen e projekteve t</w:t>
      </w:r>
      <w:r w:rsidR="00D7294C" w:rsidRPr="009D660E">
        <w:rPr>
          <w:lang w:val="it-IT"/>
        </w:rPr>
        <w:t>ë</w:t>
      </w:r>
      <w:r w:rsidRPr="009D660E">
        <w:rPr>
          <w:lang w:val="it-IT"/>
        </w:rPr>
        <w:t xml:space="preserve"> investimeve publike. </w:t>
      </w:r>
    </w:p>
    <w:p w14:paraId="4CEBE7D8" w14:textId="77777777" w:rsidR="00733B9C" w:rsidRPr="009D660E" w:rsidRDefault="00733B9C" w:rsidP="00733B9C">
      <w:pPr>
        <w:rPr>
          <w:lang w:val="it-IT"/>
        </w:rPr>
      </w:pPr>
    </w:p>
    <w:p w14:paraId="112A2EB3" w14:textId="2554781C" w:rsidR="00733B9C" w:rsidRPr="001F151E" w:rsidRDefault="009E43AB" w:rsidP="00733B9C">
      <w:pPr>
        <w:pStyle w:val="H5"/>
        <w:rPr>
          <w:lang w:val="en-GB"/>
        </w:rPr>
      </w:pPr>
      <w:r>
        <w:rPr>
          <w:lang w:val="en-GB"/>
        </w:rPr>
        <w:t>Masat dhe aktivitetet</w:t>
      </w:r>
    </w:p>
    <w:tbl>
      <w:tblPr>
        <w:tblStyle w:val="TableGrid"/>
        <w:tblW w:w="5000" w:type="pct"/>
        <w:tblCellMar>
          <w:top w:w="28" w:type="dxa"/>
          <w:left w:w="57" w:type="dxa"/>
          <w:bottom w:w="28" w:type="dxa"/>
          <w:right w:w="57" w:type="dxa"/>
        </w:tblCellMar>
        <w:tblLook w:val="04A0" w:firstRow="1" w:lastRow="0" w:firstColumn="1" w:lastColumn="0" w:noHBand="0" w:noVBand="1"/>
      </w:tblPr>
      <w:tblGrid>
        <w:gridCol w:w="1972"/>
        <w:gridCol w:w="3703"/>
        <w:gridCol w:w="777"/>
        <w:gridCol w:w="826"/>
        <w:gridCol w:w="1738"/>
      </w:tblGrid>
      <w:tr w:rsidR="00733B9C" w:rsidRPr="001F151E" w14:paraId="75FDC270" w14:textId="77777777" w:rsidTr="00C314C1">
        <w:trPr>
          <w:trHeight w:val="20"/>
          <w:tblHeader/>
        </w:trPr>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4E4BB7" w14:textId="2007EEE1" w:rsidR="00733B9C" w:rsidRPr="001F151E" w:rsidRDefault="00733B9C" w:rsidP="00405701">
            <w:pPr>
              <w:pStyle w:val="T-bold"/>
            </w:pPr>
            <w:r w:rsidRPr="001F151E">
              <w:t>M</w:t>
            </w:r>
            <w:r w:rsidR="00405701">
              <w:t>asa</w:t>
            </w:r>
          </w:p>
        </w:tc>
        <w:tc>
          <w:tcPr>
            <w:tcW w:w="3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BB7848" w14:textId="7145D6E7" w:rsidR="00733B9C" w:rsidRPr="001F151E" w:rsidRDefault="00733B9C" w:rsidP="00405701">
            <w:pPr>
              <w:pStyle w:val="T-bold"/>
            </w:pPr>
            <w:r w:rsidRPr="001F151E">
              <w:t>A</w:t>
            </w:r>
            <w:r w:rsidR="00405701">
              <w:t>ktiviteti</w:t>
            </w:r>
          </w:p>
        </w:tc>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242F6" w14:textId="6C89CE03" w:rsidR="00733B9C" w:rsidRPr="001F151E" w:rsidRDefault="00405701" w:rsidP="002B7FF8">
            <w:pPr>
              <w:pStyle w:val="T-bold"/>
              <w:jc w:val="center"/>
            </w:pPr>
            <w:r>
              <w:t xml:space="preserve">Fillimi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CFCB49" w14:textId="7974DC5C" w:rsidR="00733B9C" w:rsidRPr="001F151E" w:rsidRDefault="00405701" w:rsidP="002B7FF8">
            <w:pPr>
              <w:pStyle w:val="T-bold"/>
              <w:jc w:val="center"/>
            </w:pPr>
            <w:r>
              <w:t>Mbarimi</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B662EC" w14:textId="08B64B16" w:rsidR="00733B9C" w:rsidRPr="001F151E" w:rsidRDefault="00405701" w:rsidP="002B7FF8">
            <w:pPr>
              <w:pStyle w:val="T-bold"/>
            </w:pPr>
            <w:r>
              <w:t>Grupet e Interesit</w:t>
            </w:r>
          </w:p>
        </w:tc>
      </w:tr>
      <w:tr w:rsidR="00A86002" w:rsidRPr="001F151E" w14:paraId="09409E81" w14:textId="77777777" w:rsidTr="002B7FF8">
        <w:trPr>
          <w:trHeight w:val="20"/>
        </w:trPr>
        <w:tc>
          <w:tcPr>
            <w:tcW w:w="1972" w:type="dxa"/>
            <w:vMerge w:val="restart"/>
            <w:tcBorders>
              <w:top w:val="single" w:sz="4" w:space="0" w:color="auto"/>
              <w:left w:val="single" w:sz="4" w:space="0" w:color="auto"/>
              <w:right w:val="single" w:sz="4" w:space="0" w:color="auto"/>
            </w:tcBorders>
          </w:tcPr>
          <w:p w14:paraId="327F7AC1" w14:textId="30DCAA50" w:rsidR="00A86002" w:rsidRPr="009D660E" w:rsidRDefault="00405701" w:rsidP="00730674">
            <w:pPr>
              <w:pStyle w:val="EcorysBody"/>
              <w:rPr>
                <w:rFonts w:ascii="Arial" w:hAnsi="Arial" w:cs="Arial"/>
                <w:b/>
                <w:bCs/>
                <w:sz w:val="16"/>
                <w:szCs w:val="16"/>
                <w:lang w:val="it-IT"/>
              </w:rPr>
            </w:pPr>
            <w:r w:rsidRPr="009D660E">
              <w:rPr>
                <w:rFonts w:ascii="Arial" w:hAnsi="Arial" w:cs="Arial"/>
                <w:b/>
                <w:bCs/>
                <w:sz w:val="16"/>
                <w:szCs w:val="16"/>
                <w:lang w:val="it-IT"/>
              </w:rPr>
              <w:t>Masa</w:t>
            </w:r>
            <w:r w:rsidR="00A86002" w:rsidRPr="009D660E">
              <w:rPr>
                <w:rFonts w:ascii="Arial" w:hAnsi="Arial" w:cs="Arial"/>
                <w:b/>
                <w:bCs/>
                <w:sz w:val="16"/>
                <w:szCs w:val="16"/>
                <w:lang w:val="it-IT"/>
              </w:rPr>
              <w:t xml:space="preserve"> 2.3</w:t>
            </w:r>
            <w:r w:rsidR="00452F6A" w:rsidRPr="009D660E">
              <w:rPr>
                <w:rFonts w:ascii="Arial" w:hAnsi="Arial" w:cs="Arial"/>
                <w:b/>
                <w:bCs/>
                <w:sz w:val="16"/>
                <w:szCs w:val="16"/>
                <w:lang w:val="it-IT"/>
              </w:rPr>
              <w:t>.1</w:t>
            </w:r>
            <w:r w:rsidR="00A86002" w:rsidRPr="009D660E">
              <w:rPr>
                <w:rFonts w:ascii="Arial" w:hAnsi="Arial" w:cs="Arial"/>
                <w:b/>
                <w:bCs/>
                <w:sz w:val="16"/>
                <w:szCs w:val="16"/>
                <w:lang w:val="it-IT"/>
              </w:rPr>
              <w:t xml:space="preserve"> </w:t>
            </w:r>
            <w:r w:rsidR="00730674" w:rsidRPr="009D660E">
              <w:rPr>
                <w:rFonts w:ascii="Arial" w:hAnsi="Arial" w:cs="Arial"/>
                <w:b/>
                <w:bCs/>
                <w:sz w:val="16"/>
                <w:szCs w:val="16"/>
                <w:lang w:val="it-IT"/>
              </w:rPr>
              <w:t>Operacionalizimi</w:t>
            </w:r>
            <w:r w:rsidRPr="009D660E">
              <w:rPr>
                <w:rFonts w:ascii="Arial" w:hAnsi="Arial" w:cs="Arial"/>
                <w:b/>
                <w:bCs/>
                <w:sz w:val="16"/>
                <w:szCs w:val="16"/>
                <w:lang w:val="it-IT"/>
              </w:rPr>
              <w:t xml:space="preserve"> i procedurave p</w:t>
            </w:r>
            <w:r w:rsidR="00D7294C" w:rsidRPr="009D660E">
              <w:rPr>
                <w:rFonts w:ascii="Arial" w:hAnsi="Arial" w:cs="Arial"/>
                <w:b/>
                <w:bCs/>
                <w:sz w:val="16"/>
                <w:szCs w:val="16"/>
                <w:lang w:val="it-IT"/>
              </w:rPr>
              <w:t>ë</w:t>
            </w:r>
            <w:r w:rsidRPr="009D660E">
              <w:rPr>
                <w:rFonts w:ascii="Arial" w:hAnsi="Arial" w:cs="Arial"/>
                <w:b/>
                <w:bCs/>
                <w:sz w:val="16"/>
                <w:szCs w:val="16"/>
                <w:lang w:val="it-IT"/>
              </w:rPr>
              <w:t>r përmirësimin e menaxhimit të investimeve publike</w:t>
            </w:r>
          </w:p>
        </w:tc>
        <w:tc>
          <w:tcPr>
            <w:tcW w:w="3703" w:type="dxa"/>
            <w:tcBorders>
              <w:top w:val="single" w:sz="4" w:space="0" w:color="auto"/>
              <w:left w:val="single" w:sz="4" w:space="0" w:color="auto"/>
              <w:right w:val="single" w:sz="4" w:space="0" w:color="auto"/>
            </w:tcBorders>
            <w:vAlign w:val="center"/>
          </w:tcPr>
          <w:p w14:paraId="3A9F4D9B" w14:textId="6C2592C6" w:rsidR="00405701" w:rsidRPr="009D660E" w:rsidRDefault="00405701" w:rsidP="00405701">
            <w:pPr>
              <w:pStyle w:val="EcorysBody"/>
              <w:numPr>
                <w:ilvl w:val="0"/>
                <w:numId w:val="25"/>
              </w:numPr>
              <w:rPr>
                <w:rFonts w:ascii="Arial" w:hAnsi="Arial" w:cs="Arial"/>
                <w:sz w:val="16"/>
                <w:szCs w:val="16"/>
                <w:lang w:val="it-IT"/>
              </w:rPr>
            </w:pPr>
            <w:r w:rsidRPr="009D660E">
              <w:rPr>
                <w:rFonts w:ascii="Arial" w:hAnsi="Arial" w:cs="Arial"/>
                <w:sz w:val="16"/>
                <w:szCs w:val="16"/>
                <w:lang w:val="it-IT"/>
              </w:rPr>
              <w:t>P</w:t>
            </w:r>
            <w:r w:rsidR="00D7294C" w:rsidRPr="009D660E">
              <w:rPr>
                <w:rFonts w:ascii="Arial" w:hAnsi="Arial" w:cs="Arial"/>
                <w:sz w:val="16"/>
                <w:szCs w:val="16"/>
                <w:lang w:val="it-IT"/>
              </w:rPr>
              <w:t>ë</w:t>
            </w:r>
            <w:r w:rsidRPr="009D660E">
              <w:rPr>
                <w:rFonts w:ascii="Arial" w:hAnsi="Arial" w:cs="Arial"/>
                <w:sz w:val="16"/>
                <w:szCs w:val="16"/>
                <w:lang w:val="it-IT"/>
              </w:rPr>
              <w:t>rmir</w:t>
            </w:r>
            <w:r w:rsidR="00D7294C" w:rsidRPr="009D660E">
              <w:rPr>
                <w:rFonts w:ascii="Arial" w:hAnsi="Arial" w:cs="Arial"/>
                <w:sz w:val="16"/>
                <w:szCs w:val="16"/>
                <w:lang w:val="it-IT"/>
              </w:rPr>
              <w:t>ë</w:t>
            </w:r>
            <w:r w:rsidRPr="009D660E">
              <w:rPr>
                <w:rFonts w:ascii="Arial" w:hAnsi="Arial" w:cs="Arial"/>
                <w:sz w:val="16"/>
                <w:szCs w:val="16"/>
                <w:lang w:val="it-IT"/>
              </w:rPr>
              <w:t>simi i modulit MIP t</w:t>
            </w:r>
            <w:r w:rsidR="00D7294C" w:rsidRPr="009D660E">
              <w:rPr>
                <w:rFonts w:ascii="Arial" w:hAnsi="Arial" w:cs="Arial"/>
                <w:sz w:val="16"/>
                <w:szCs w:val="16"/>
                <w:lang w:val="it-IT"/>
              </w:rPr>
              <w:t>ë</w:t>
            </w:r>
            <w:r w:rsidRPr="009D660E">
              <w:rPr>
                <w:rFonts w:ascii="Arial" w:hAnsi="Arial" w:cs="Arial"/>
                <w:sz w:val="16"/>
                <w:szCs w:val="16"/>
                <w:lang w:val="it-IT"/>
              </w:rPr>
              <w:t xml:space="preserve"> SIMFSH-s</w:t>
            </w:r>
            <w:r w:rsidR="00D7294C" w:rsidRPr="009D660E">
              <w:rPr>
                <w:rFonts w:ascii="Arial" w:hAnsi="Arial" w:cs="Arial"/>
                <w:sz w:val="16"/>
                <w:szCs w:val="16"/>
                <w:lang w:val="it-IT"/>
              </w:rPr>
              <w:t>ë</w:t>
            </w:r>
            <w:r w:rsidRPr="009D660E">
              <w:rPr>
                <w:rFonts w:ascii="Arial" w:hAnsi="Arial" w:cs="Arial"/>
                <w:sz w:val="16"/>
                <w:szCs w:val="16"/>
                <w:lang w:val="it-IT"/>
              </w:rPr>
              <w:t xml:space="preserve"> p</w:t>
            </w:r>
            <w:r w:rsidR="00D7294C" w:rsidRPr="009D660E">
              <w:rPr>
                <w:rFonts w:ascii="Arial" w:hAnsi="Arial" w:cs="Arial"/>
                <w:sz w:val="16"/>
                <w:szCs w:val="16"/>
                <w:lang w:val="it-IT"/>
              </w:rPr>
              <w:t>ë</w:t>
            </w:r>
            <w:r w:rsidRPr="009D660E">
              <w:rPr>
                <w:rFonts w:ascii="Arial" w:hAnsi="Arial" w:cs="Arial"/>
                <w:sz w:val="16"/>
                <w:szCs w:val="16"/>
                <w:lang w:val="it-IT"/>
              </w:rPr>
              <w:t>r t</w:t>
            </w:r>
            <w:r w:rsidR="00D7294C" w:rsidRPr="009D660E">
              <w:rPr>
                <w:rFonts w:ascii="Arial" w:hAnsi="Arial" w:cs="Arial"/>
                <w:sz w:val="16"/>
                <w:szCs w:val="16"/>
                <w:lang w:val="it-IT"/>
              </w:rPr>
              <w:t>ë</w:t>
            </w:r>
            <w:r w:rsidRPr="009D660E">
              <w:rPr>
                <w:rFonts w:ascii="Arial" w:hAnsi="Arial" w:cs="Arial"/>
                <w:sz w:val="16"/>
                <w:szCs w:val="16"/>
                <w:lang w:val="it-IT"/>
              </w:rPr>
              <w:t xml:space="preserve"> pasqyruar ndryshimet n</w:t>
            </w:r>
            <w:r w:rsidR="00D7294C" w:rsidRPr="009D660E">
              <w:rPr>
                <w:rFonts w:ascii="Arial" w:hAnsi="Arial" w:cs="Arial"/>
                <w:sz w:val="16"/>
                <w:szCs w:val="16"/>
                <w:lang w:val="it-IT"/>
              </w:rPr>
              <w:t>ë</w:t>
            </w:r>
            <w:r w:rsidRPr="009D660E">
              <w:rPr>
                <w:rFonts w:ascii="Arial" w:hAnsi="Arial" w:cs="Arial"/>
                <w:sz w:val="16"/>
                <w:szCs w:val="16"/>
                <w:lang w:val="it-IT"/>
              </w:rPr>
              <w:t xml:space="preserve"> procedurat e reja MIP</w:t>
            </w:r>
          </w:p>
          <w:p w14:paraId="5F95025F" w14:textId="0C71013D" w:rsidR="00A86002" w:rsidRPr="001F151E" w:rsidRDefault="004B2FF6" w:rsidP="00405701">
            <w:pPr>
              <w:pStyle w:val="EcorysBody"/>
              <w:ind w:left="360"/>
              <w:rPr>
                <w:rFonts w:ascii="Arial" w:hAnsi="Arial" w:cs="Arial"/>
                <w:sz w:val="16"/>
                <w:szCs w:val="16"/>
              </w:rPr>
            </w:pPr>
            <w:r w:rsidRPr="001F151E">
              <w:rPr>
                <w:rFonts w:ascii="Arial" w:hAnsi="Arial" w:cs="Arial"/>
                <w:sz w:val="16"/>
                <w:szCs w:val="16"/>
              </w:rPr>
              <w:t>(</w:t>
            </w:r>
            <w:r w:rsidR="00405701">
              <w:rPr>
                <w:rFonts w:ascii="Arial" w:hAnsi="Arial" w:cs="Arial"/>
                <w:sz w:val="16"/>
                <w:szCs w:val="16"/>
              </w:rPr>
              <w:t>VKM</w:t>
            </w:r>
            <w:r w:rsidR="00EA0A6F" w:rsidRPr="001F151E">
              <w:rPr>
                <w:rFonts w:ascii="Arial" w:hAnsi="Arial" w:cs="Arial"/>
                <w:sz w:val="16"/>
                <w:szCs w:val="16"/>
              </w:rPr>
              <w:t xml:space="preserve"> 887</w:t>
            </w:r>
            <w:r w:rsidRPr="001F151E">
              <w:rPr>
                <w:rFonts w:ascii="Arial" w:hAnsi="Arial" w:cs="Arial"/>
                <w:sz w:val="16"/>
                <w:szCs w:val="16"/>
              </w:rPr>
              <w:t>).</w:t>
            </w:r>
          </w:p>
        </w:tc>
        <w:tc>
          <w:tcPr>
            <w:tcW w:w="777" w:type="dxa"/>
            <w:tcBorders>
              <w:top w:val="single" w:sz="4" w:space="0" w:color="auto"/>
              <w:left w:val="single" w:sz="4" w:space="0" w:color="auto"/>
              <w:right w:val="single" w:sz="4" w:space="0" w:color="auto"/>
            </w:tcBorders>
            <w:shd w:val="clear" w:color="auto" w:fill="auto"/>
            <w:vAlign w:val="center"/>
          </w:tcPr>
          <w:p w14:paraId="7288E28E" w14:textId="512EC1CA" w:rsidR="00A86002" w:rsidRPr="001F151E" w:rsidRDefault="00405701" w:rsidP="002B7FF8">
            <w:pPr>
              <w:jc w:val="center"/>
              <w:rPr>
                <w:sz w:val="16"/>
                <w:szCs w:val="16"/>
              </w:rPr>
            </w:pPr>
            <w:r>
              <w:rPr>
                <w:sz w:val="16"/>
                <w:szCs w:val="16"/>
              </w:rPr>
              <w:t>T</w:t>
            </w:r>
            <w:r w:rsidR="00A86002" w:rsidRPr="001F151E">
              <w:rPr>
                <w:sz w:val="16"/>
                <w:szCs w:val="16"/>
              </w:rPr>
              <w:t>1 2023</w:t>
            </w:r>
          </w:p>
        </w:tc>
        <w:tc>
          <w:tcPr>
            <w:tcW w:w="826" w:type="dxa"/>
            <w:tcBorders>
              <w:top w:val="single" w:sz="4" w:space="0" w:color="auto"/>
              <w:left w:val="single" w:sz="4" w:space="0" w:color="auto"/>
              <w:right w:val="single" w:sz="4" w:space="0" w:color="auto"/>
            </w:tcBorders>
            <w:shd w:val="clear" w:color="auto" w:fill="auto"/>
            <w:vAlign w:val="center"/>
          </w:tcPr>
          <w:p w14:paraId="08685EF2" w14:textId="2366730B" w:rsidR="00A86002" w:rsidRPr="001F151E" w:rsidRDefault="00405701" w:rsidP="00EE3E56">
            <w:pPr>
              <w:jc w:val="center"/>
              <w:rPr>
                <w:sz w:val="16"/>
                <w:szCs w:val="16"/>
              </w:rPr>
            </w:pPr>
            <w:r>
              <w:rPr>
                <w:sz w:val="16"/>
                <w:szCs w:val="16"/>
              </w:rPr>
              <w:t>T</w:t>
            </w:r>
            <w:r w:rsidR="00861397" w:rsidRPr="001F151E">
              <w:rPr>
                <w:sz w:val="16"/>
                <w:szCs w:val="16"/>
              </w:rPr>
              <w:t>4</w:t>
            </w:r>
            <w:r w:rsidR="007B6988" w:rsidRPr="001F151E">
              <w:rPr>
                <w:sz w:val="16"/>
                <w:szCs w:val="16"/>
              </w:rPr>
              <w:t xml:space="preserve"> </w:t>
            </w:r>
            <w:r w:rsidR="00861397" w:rsidRPr="001F151E">
              <w:rPr>
                <w:sz w:val="16"/>
                <w:szCs w:val="16"/>
              </w:rPr>
              <w:t xml:space="preserve">2024 </w:t>
            </w:r>
          </w:p>
        </w:tc>
        <w:tc>
          <w:tcPr>
            <w:tcW w:w="1738" w:type="dxa"/>
            <w:vMerge w:val="restart"/>
            <w:tcBorders>
              <w:top w:val="single" w:sz="4" w:space="0" w:color="auto"/>
              <w:left w:val="single" w:sz="4" w:space="0" w:color="auto"/>
              <w:right w:val="single" w:sz="4" w:space="0" w:color="auto"/>
            </w:tcBorders>
          </w:tcPr>
          <w:p w14:paraId="3F92C1DD" w14:textId="41F943B6" w:rsidR="00A86002" w:rsidRPr="001F151E" w:rsidRDefault="00405701" w:rsidP="002B7FF8">
            <w:pPr>
              <w:rPr>
                <w:b/>
                <w:bCs/>
                <w:sz w:val="16"/>
                <w:szCs w:val="16"/>
              </w:rPr>
            </w:pPr>
            <w:r>
              <w:rPr>
                <w:b/>
                <w:bCs/>
                <w:sz w:val="16"/>
                <w:szCs w:val="16"/>
              </w:rPr>
              <w:t>Nj</w:t>
            </w:r>
            <w:r w:rsidR="00D7294C">
              <w:rPr>
                <w:b/>
                <w:bCs/>
                <w:sz w:val="16"/>
                <w:szCs w:val="16"/>
              </w:rPr>
              <w:t>ë</w:t>
            </w:r>
            <w:r>
              <w:rPr>
                <w:b/>
                <w:bCs/>
                <w:sz w:val="16"/>
                <w:szCs w:val="16"/>
              </w:rPr>
              <w:t>sit</w:t>
            </w:r>
            <w:r w:rsidR="00D7294C">
              <w:rPr>
                <w:b/>
                <w:bCs/>
                <w:sz w:val="16"/>
                <w:szCs w:val="16"/>
              </w:rPr>
              <w:t>ë</w:t>
            </w:r>
            <w:r>
              <w:rPr>
                <w:b/>
                <w:bCs/>
                <w:sz w:val="16"/>
                <w:szCs w:val="16"/>
              </w:rPr>
              <w:t xml:space="preserve"> p</w:t>
            </w:r>
            <w:r w:rsidR="00D7294C">
              <w:rPr>
                <w:b/>
                <w:bCs/>
                <w:sz w:val="16"/>
                <w:szCs w:val="16"/>
              </w:rPr>
              <w:t>ë</w:t>
            </w:r>
            <w:r>
              <w:rPr>
                <w:b/>
                <w:bCs/>
                <w:sz w:val="16"/>
                <w:szCs w:val="16"/>
              </w:rPr>
              <w:t>rgjegj</w:t>
            </w:r>
            <w:r w:rsidR="00D7294C">
              <w:rPr>
                <w:b/>
                <w:bCs/>
                <w:sz w:val="16"/>
                <w:szCs w:val="16"/>
              </w:rPr>
              <w:t>ë</w:t>
            </w:r>
            <w:r>
              <w:rPr>
                <w:b/>
                <w:bCs/>
                <w:sz w:val="16"/>
                <w:szCs w:val="16"/>
              </w:rPr>
              <w:t>se</w:t>
            </w:r>
            <w:r w:rsidR="00A86002" w:rsidRPr="001F151E">
              <w:rPr>
                <w:b/>
                <w:bCs/>
                <w:sz w:val="16"/>
                <w:szCs w:val="16"/>
              </w:rPr>
              <w:t>:</w:t>
            </w:r>
          </w:p>
          <w:p w14:paraId="7C24224F" w14:textId="2A1AC3F4" w:rsidR="00A86002" w:rsidRPr="001F151E" w:rsidRDefault="00A86002" w:rsidP="002B7FF8">
            <w:pPr>
              <w:pStyle w:val="EcorysBody"/>
              <w:rPr>
                <w:rFonts w:ascii="Arial" w:hAnsi="Arial" w:cs="Arial"/>
                <w:sz w:val="16"/>
                <w:szCs w:val="16"/>
              </w:rPr>
            </w:pPr>
            <w:r w:rsidRPr="001F151E">
              <w:rPr>
                <w:rFonts w:ascii="Arial" w:hAnsi="Arial" w:cs="Arial"/>
                <w:sz w:val="16"/>
                <w:szCs w:val="16"/>
              </w:rPr>
              <w:t>D</w:t>
            </w:r>
            <w:r w:rsidR="00405701">
              <w:rPr>
                <w:rFonts w:ascii="Arial" w:hAnsi="Arial" w:cs="Arial"/>
                <w:sz w:val="16"/>
                <w:szCs w:val="16"/>
              </w:rPr>
              <w:t>MIP (lider</w:t>
            </w:r>
            <w:r w:rsidRPr="001F151E">
              <w:rPr>
                <w:rFonts w:ascii="Arial" w:hAnsi="Arial" w:cs="Arial"/>
                <w:sz w:val="16"/>
                <w:szCs w:val="16"/>
              </w:rPr>
              <w:t xml:space="preserve">), SASPAC, </w:t>
            </w:r>
            <w:r w:rsidR="00405701">
              <w:rPr>
                <w:rFonts w:ascii="Arial" w:hAnsi="Arial" w:cs="Arial"/>
                <w:sz w:val="16"/>
                <w:szCs w:val="16"/>
              </w:rPr>
              <w:t>Institucionet Buxhetore</w:t>
            </w:r>
          </w:p>
          <w:p w14:paraId="1145278A" w14:textId="77777777" w:rsidR="00A86002" w:rsidRPr="001F151E" w:rsidRDefault="00A86002" w:rsidP="002B7FF8">
            <w:pPr>
              <w:pStyle w:val="EcorysBody"/>
              <w:rPr>
                <w:rFonts w:ascii="Arial" w:hAnsi="Arial" w:cs="Arial"/>
                <w:b/>
                <w:bCs/>
                <w:sz w:val="16"/>
                <w:szCs w:val="16"/>
              </w:rPr>
            </w:pPr>
          </w:p>
          <w:p w14:paraId="250A8FE8" w14:textId="3D12AC1C" w:rsidR="00A86002" w:rsidRPr="001F151E" w:rsidRDefault="00405701" w:rsidP="002B7FF8">
            <w:pPr>
              <w:pStyle w:val="EcorysBody"/>
              <w:rPr>
                <w:rFonts w:ascii="Arial" w:hAnsi="Arial" w:cs="Arial"/>
                <w:b/>
                <w:bCs/>
                <w:sz w:val="16"/>
                <w:szCs w:val="16"/>
              </w:rPr>
            </w:pPr>
            <w:r>
              <w:rPr>
                <w:rFonts w:ascii="Arial" w:hAnsi="Arial" w:cs="Arial"/>
                <w:b/>
                <w:bCs/>
                <w:sz w:val="16"/>
                <w:szCs w:val="16"/>
              </w:rPr>
              <w:t>Partner</w:t>
            </w:r>
            <w:r w:rsidR="00D7294C">
              <w:rPr>
                <w:rFonts w:ascii="Arial" w:hAnsi="Arial" w:cs="Arial"/>
                <w:b/>
                <w:bCs/>
                <w:sz w:val="16"/>
                <w:szCs w:val="16"/>
              </w:rPr>
              <w:t>ë</w:t>
            </w:r>
            <w:r>
              <w:rPr>
                <w:rFonts w:ascii="Arial" w:hAnsi="Arial" w:cs="Arial"/>
                <w:b/>
                <w:bCs/>
                <w:sz w:val="16"/>
                <w:szCs w:val="16"/>
              </w:rPr>
              <w:t>t</w:t>
            </w:r>
            <w:r w:rsidR="00A86002" w:rsidRPr="001F151E">
              <w:rPr>
                <w:rFonts w:ascii="Arial" w:hAnsi="Arial" w:cs="Arial"/>
                <w:b/>
                <w:bCs/>
                <w:sz w:val="16"/>
                <w:szCs w:val="16"/>
              </w:rPr>
              <w:t>:</w:t>
            </w:r>
          </w:p>
          <w:p w14:paraId="270F190C" w14:textId="78D7DEA4" w:rsidR="00A86002" w:rsidRPr="001F151E" w:rsidRDefault="00405701" w:rsidP="00255E1B">
            <w:pPr>
              <w:pStyle w:val="EcorysBody"/>
              <w:rPr>
                <w:b/>
                <w:bCs/>
                <w:sz w:val="16"/>
                <w:szCs w:val="16"/>
              </w:rPr>
            </w:pPr>
            <w:r>
              <w:rPr>
                <w:rFonts w:ascii="Arial" w:hAnsi="Arial" w:cs="Arial"/>
                <w:sz w:val="16"/>
                <w:szCs w:val="16"/>
              </w:rPr>
              <w:t>Banka Bot</w:t>
            </w:r>
            <w:r w:rsidR="00D7294C">
              <w:rPr>
                <w:rFonts w:ascii="Arial" w:hAnsi="Arial" w:cs="Arial"/>
                <w:sz w:val="16"/>
                <w:szCs w:val="16"/>
              </w:rPr>
              <w:t>ë</w:t>
            </w:r>
            <w:r>
              <w:rPr>
                <w:rFonts w:ascii="Arial" w:hAnsi="Arial" w:cs="Arial"/>
                <w:sz w:val="16"/>
                <w:szCs w:val="16"/>
              </w:rPr>
              <w:t>rore</w:t>
            </w:r>
            <w:r w:rsidR="00A86002" w:rsidRPr="001F151E">
              <w:rPr>
                <w:rFonts w:ascii="Arial" w:hAnsi="Arial" w:cs="Arial"/>
                <w:sz w:val="16"/>
                <w:szCs w:val="16"/>
              </w:rPr>
              <w:t>, F</w:t>
            </w:r>
            <w:r>
              <w:rPr>
                <w:rFonts w:ascii="Arial" w:hAnsi="Arial" w:cs="Arial"/>
                <w:sz w:val="16"/>
                <w:szCs w:val="16"/>
              </w:rPr>
              <w:t>MN</w:t>
            </w:r>
            <w:r w:rsidR="00A86002" w:rsidRPr="001F151E">
              <w:rPr>
                <w:rFonts w:ascii="Arial" w:hAnsi="Arial" w:cs="Arial"/>
                <w:sz w:val="16"/>
                <w:szCs w:val="16"/>
              </w:rPr>
              <w:t xml:space="preserve">, </w:t>
            </w:r>
            <w:r w:rsidR="00255E1B">
              <w:rPr>
                <w:rFonts w:ascii="Arial" w:hAnsi="Arial" w:cs="Arial"/>
                <w:sz w:val="16"/>
                <w:szCs w:val="16"/>
              </w:rPr>
              <w:t>BE</w:t>
            </w:r>
            <w:r w:rsidR="00A86002" w:rsidRPr="001F151E">
              <w:rPr>
                <w:rStyle w:val="FootnoteReference"/>
                <w:rFonts w:cs="Arial"/>
              </w:rPr>
              <w:footnoteReference w:id="24"/>
            </w:r>
          </w:p>
        </w:tc>
      </w:tr>
      <w:tr w:rsidR="00A86002" w:rsidRPr="001F151E" w14:paraId="4C2AA86D" w14:textId="77777777" w:rsidTr="002B7FF8">
        <w:trPr>
          <w:trHeight w:val="20"/>
        </w:trPr>
        <w:tc>
          <w:tcPr>
            <w:tcW w:w="1972" w:type="dxa"/>
            <w:vMerge/>
            <w:tcBorders>
              <w:left w:val="single" w:sz="4" w:space="0" w:color="auto"/>
              <w:right w:val="single" w:sz="4" w:space="0" w:color="auto"/>
            </w:tcBorders>
            <w:hideMark/>
          </w:tcPr>
          <w:p w14:paraId="23192BAA" w14:textId="79652E0B" w:rsidR="00A86002" w:rsidRPr="001F151E" w:rsidRDefault="00A86002" w:rsidP="002B7FF8">
            <w:pPr>
              <w:pStyle w:val="EcorysBody"/>
              <w:rPr>
                <w:rFonts w:ascii="Arial" w:hAnsi="Arial" w:cs="Arial"/>
                <w:b/>
                <w:bCs/>
                <w:sz w:val="16"/>
                <w:szCs w:val="16"/>
              </w:rPr>
            </w:pPr>
          </w:p>
        </w:tc>
        <w:tc>
          <w:tcPr>
            <w:tcW w:w="3703" w:type="dxa"/>
            <w:tcBorders>
              <w:top w:val="single" w:sz="4" w:space="0" w:color="auto"/>
              <w:left w:val="single" w:sz="4" w:space="0" w:color="auto"/>
              <w:right w:val="single" w:sz="4" w:space="0" w:color="auto"/>
            </w:tcBorders>
            <w:vAlign w:val="center"/>
            <w:hideMark/>
          </w:tcPr>
          <w:p w14:paraId="17ACDEAB" w14:textId="37BC566A" w:rsidR="00A86002" w:rsidRPr="009D660E" w:rsidRDefault="00D87DC4" w:rsidP="00405701">
            <w:pPr>
              <w:pStyle w:val="EcorysBody"/>
              <w:numPr>
                <w:ilvl w:val="0"/>
                <w:numId w:val="25"/>
              </w:numPr>
              <w:rPr>
                <w:rFonts w:ascii="Arial" w:hAnsi="Arial" w:cs="Arial"/>
                <w:sz w:val="16"/>
                <w:szCs w:val="16"/>
                <w:lang w:val="it-IT"/>
              </w:rPr>
            </w:pPr>
            <w:r w:rsidRPr="009D660E">
              <w:rPr>
                <w:rFonts w:ascii="Arial" w:hAnsi="Arial" w:cs="Arial"/>
                <w:sz w:val="16"/>
                <w:szCs w:val="16"/>
                <w:lang w:val="it-IT"/>
              </w:rPr>
              <w:t>Zhvillimi dhe ofrimi i trajnimeve p</w:t>
            </w:r>
            <w:r w:rsidR="00D7294C" w:rsidRPr="009D660E">
              <w:rPr>
                <w:rFonts w:ascii="Arial" w:hAnsi="Arial" w:cs="Arial"/>
                <w:sz w:val="16"/>
                <w:szCs w:val="16"/>
                <w:lang w:val="it-IT"/>
              </w:rPr>
              <w:t>ë</w:t>
            </w:r>
            <w:r w:rsidRPr="009D660E">
              <w:rPr>
                <w:rFonts w:ascii="Arial" w:hAnsi="Arial" w:cs="Arial"/>
                <w:sz w:val="16"/>
                <w:szCs w:val="16"/>
                <w:lang w:val="it-IT"/>
              </w:rPr>
              <w:t>r zbatimin e procedurave t</w:t>
            </w:r>
            <w:r w:rsidR="00D7294C" w:rsidRPr="009D660E">
              <w:rPr>
                <w:rFonts w:ascii="Arial" w:hAnsi="Arial" w:cs="Arial"/>
                <w:sz w:val="16"/>
                <w:szCs w:val="16"/>
                <w:lang w:val="it-IT"/>
              </w:rPr>
              <w:t>ë</w:t>
            </w:r>
            <w:r w:rsidRPr="009D660E">
              <w:rPr>
                <w:rFonts w:ascii="Arial" w:hAnsi="Arial" w:cs="Arial"/>
                <w:sz w:val="16"/>
                <w:szCs w:val="16"/>
                <w:lang w:val="it-IT"/>
              </w:rPr>
              <w:t xml:space="preserve"> MIP-s</w:t>
            </w:r>
            <w:r w:rsidR="00D7294C" w:rsidRPr="009D660E">
              <w:rPr>
                <w:rFonts w:ascii="Arial" w:hAnsi="Arial" w:cs="Arial"/>
                <w:sz w:val="16"/>
                <w:szCs w:val="16"/>
                <w:lang w:val="it-IT"/>
              </w:rPr>
              <w:t>ë</w:t>
            </w:r>
            <w:r w:rsidR="00A86002" w:rsidRPr="009D660E">
              <w:rPr>
                <w:rFonts w:ascii="Arial" w:hAnsi="Arial" w:cs="Arial"/>
                <w:sz w:val="16"/>
                <w:szCs w:val="16"/>
                <w:lang w:val="it-IT"/>
              </w:rPr>
              <w:t xml:space="preserve"> (</w:t>
            </w:r>
            <w:r w:rsidR="00405701" w:rsidRPr="009D660E">
              <w:rPr>
                <w:rFonts w:ascii="Arial" w:hAnsi="Arial" w:cs="Arial"/>
                <w:sz w:val="16"/>
                <w:szCs w:val="16"/>
                <w:lang w:val="it-IT"/>
              </w:rPr>
              <w:t>VKM</w:t>
            </w:r>
            <w:r w:rsidR="00A86002" w:rsidRPr="009D660E">
              <w:rPr>
                <w:rFonts w:ascii="Arial" w:hAnsi="Arial" w:cs="Arial"/>
                <w:sz w:val="16"/>
                <w:szCs w:val="16"/>
                <w:lang w:val="it-IT"/>
              </w:rPr>
              <w:t xml:space="preserve"> 887).</w:t>
            </w:r>
          </w:p>
        </w:tc>
        <w:tc>
          <w:tcPr>
            <w:tcW w:w="777" w:type="dxa"/>
            <w:tcBorders>
              <w:top w:val="single" w:sz="4" w:space="0" w:color="auto"/>
              <w:left w:val="single" w:sz="4" w:space="0" w:color="auto"/>
              <w:right w:val="single" w:sz="4" w:space="0" w:color="auto"/>
            </w:tcBorders>
            <w:shd w:val="clear" w:color="auto" w:fill="auto"/>
            <w:vAlign w:val="center"/>
          </w:tcPr>
          <w:p w14:paraId="5DE70BA7" w14:textId="4D66A22B" w:rsidR="00A86002" w:rsidRPr="001F151E" w:rsidRDefault="00405701" w:rsidP="002B7FF8">
            <w:pPr>
              <w:jc w:val="center"/>
              <w:rPr>
                <w:sz w:val="16"/>
                <w:szCs w:val="16"/>
              </w:rPr>
            </w:pPr>
            <w:r>
              <w:rPr>
                <w:sz w:val="16"/>
                <w:szCs w:val="16"/>
              </w:rPr>
              <w:t>T</w:t>
            </w:r>
            <w:r w:rsidR="00A86002" w:rsidRPr="001F151E">
              <w:rPr>
                <w:sz w:val="16"/>
                <w:szCs w:val="16"/>
              </w:rPr>
              <w:t>1 2023</w:t>
            </w:r>
          </w:p>
        </w:tc>
        <w:tc>
          <w:tcPr>
            <w:tcW w:w="826" w:type="dxa"/>
            <w:tcBorders>
              <w:top w:val="single" w:sz="4" w:space="0" w:color="auto"/>
              <w:left w:val="single" w:sz="4" w:space="0" w:color="auto"/>
              <w:right w:val="single" w:sz="4" w:space="0" w:color="auto"/>
            </w:tcBorders>
            <w:shd w:val="clear" w:color="auto" w:fill="auto"/>
            <w:vAlign w:val="center"/>
          </w:tcPr>
          <w:p w14:paraId="03B6F517" w14:textId="3A3DB156" w:rsidR="00A86002" w:rsidRPr="001F151E" w:rsidRDefault="00405701" w:rsidP="002B7FF8">
            <w:pPr>
              <w:jc w:val="center"/>
              <w:rPr>
                <w:sz w:val="16"/>
                <w:szCs w:val="16"/>
              </w:rPr>
            </w:pPr>
            <w:r>
              <w:rPr>
                <w:sz w:val="16"/>
                <w:szCs w:val="16"/>
              </w:rPr>
              <w:t>T</w:t>
            </w:r>
            <w:r w:rsidR="00A86002" w:rsidRPr="001F151E">
              <w:rPr>
                <w:sz w:val="16"/>
                <w:szCs w:val="16"/>
              </w:rPr>
              <w:t>4 2026</w:t>
            </w:r>
          </w:p>
        </w:tc>
        <w:tc>
          <w:tcPr>
            <w:tcW w:w="1738" w:type="dxa"/>
            <w:vMerge/>
            <w:tcBorders>
              <w:left w:val="single" w:sz="4" w:space="0" w:color="auto"/>
              <w:right w:val="single" w:sz="4" w:space="0" w:color="auto"/>
            </w:tcBorders>
          </w:tcPr>
          <w:p w14:paraId="79339D68" w14:textId="2F65A2FA" w:rsidR="00A86002" w:rsidRPr="001F151E" w:rsidRDefault="00A86002" w:rsidP="002B7FF8">
            <w:pPr>
              <w:pStyle w:val="EcorysBody"/>
              <w:rPr>
                <w:rFonts w:ascii="Arial" w:hAnsi="Arial" w:cs="Arial"/>
                <w:sz w:val="16"/>
                <w:szCs w:val="16"/>
              </w:rPr>
            </w:pPr>
          </w:p>
        </w:tc>
      </w:tr>
      <w:tr w:rsidR="00A86002" w:rsidRPr="001F151E" w14:paraId="70F88F1C" w14:textId="77777777" w:rsidTr="002B7FF8">
        <w:trPr>
          <w:trHeight w:val="20"/>
        </w:trPr>
        <w:tc>
          <w:tcPr>
            <w:tcW w:w="1972" w:type="dxa"/>
            <w:vMerge/>
            <w:tcBorders>
              <w:left w:val="single" w:sz="4" w:space="0" w:color="auto"/>
              <w:bottom w:val="single" w:sz="4" w:space="0" w:color="auto"/>
              <w:right w:val="single" w:sz="4" w:space="0" w:color="auto"/>
            </w:tcBorders>
            <w:vAlign w:val="center"/>
            <w:hideMark/>
          </w:tcPr>
          <w:p w14:paraId="1B8C2B00" w14:textId="77777777" w:rsidR="00A86002" w:rsidRPr="001F151E" w:rsidRDefault="00A86002" w:rsidP="002B7FF8">
            <w:pPr>
              <w:spacing w:line="240" w:lineRule="auto"/>
              <w:rPr>
                <w:sz w:val="16"/>
                <w:szCs w:val="16"/>
              </w:rPr>
            </w:pPr>
          </w:p>
        </w:tc>
        <w:tc>
          <w:tcPr>
            <w:tcW w:w="3703" w:type="dxa"/>
            <w:tcBorders>
              <w:top w:val="single" w:sz="4" w:space="0" w:color="auto"/>
              <w:left w:val="single" w:sz="4" w:space="0" w:color="auto"/>
              <w:right w:val="single" w:sz="4" w:space="0" w:color="auto"/>
            </w:tcBorders>
            <w:vAlign w:val="center"/>
            <w:hideMark/>
          </w:tcPr>
          <w:p w14:paraId="6B5A6AD3" w14:textId="55AEFD31" w:rsidR="00A86002" w:rsidRPr="001F151E" w:rsidRDefault="00D87DC4" w:rsidP="00D87DC4">
            <w:pPr>
              <w:pStyle w:val="EcorysBody"/>
              <w:numPr>
                <w:ilvl w:val="0"/>
                <w:numId w:val="25"/>
              </w:numPr>
              <w:rPr>
                <w:rFonts w:ascii="Arial" w:hAnsi="Arial" w:cs="Arial"/>
                <w:sz w:val="16"/>
                <w:szCs w:val="16"/>
              </w:rPr>
            </w:pPr>
            <w:r>
              <w:rPr>
                <w:rFonts w:ascii="Arial" w:hAnsi="Arial" w:cs="Arial"/>
                <w:sz w:val="16"/>
                <w:szCs w:val="16"/>
              </w:rPr>
              <w:t>Monitorimi i zbatimit t</w:t>
            </w:r>
            <w:r w:rsidR="00D7294C">
              <w:rPr>
                <w:rFonts w:ascii="Arial" w:hAnsi="Arial" w:cs="Arial"/>
                <w:sz w:val="16"/>
                <w:szCs w:val="16"/>
              </w:rPr>
              <w:t>ë</w:t>
            </w:r>
            <w:r>
              <w:rPr>
                <w:rFonts w:ascii="Arial" w:hAnsi="Arial" w:cs="Arial"/>
                <w:sz w:val="16"/>
                <w:szCs w:val="16"/>
              </w:rPr>
              <w:t xml:space="preserve"> procedurave t</w:t>
            </w:r>
            <w:r w:rsidR="00D7294C">
              <w:rPr>
                <w:rFonts w:ascii="Arial" w:hAnsi="Arial" w:cs="Arial"/>
                <w:sz w:val="16"/>
                <w:szCs w:val="16"/>
              </w:rPr>
              <w:t>ë</w:t>
            </w:r>
            <w:r>
              <w:rPr>
                <w:rFonts w:ascii="Arial" w:hAnsi="Arial" w:cs="Arial"/>
                <w:sz w:val="16"/>
                <w:szCs w:val="16"/>
              </w:rPr>
              <w:t xml:space="preserve"> MIP-s</w:t>
            </w:r>
            <w:r w:rsidR="00D7294C">
              <w:rPr>
                <w:rFonts w:ascii="Arial" w:hAnsi="Arial" w:cs="Arial"/>
                <w:sz w:val="16"/>
                <w:szCs w:val="16"/>
              </w:rPr>
              <w:t>ë</w:t>
            </w:r>
            <w:r>
              <w:rPr>
                <w:rFonts w:ascii="Arial" w:hAnsi="Arial" w:cs="Arial"/>
                <w:sz w:val="16"/>
                <w:szCs w:val="16"/>
              </w:rPr>
              <w:t>; rishikimi dhe p</w:t>
            </w:r>
            <w:r w:rsidR="00D7294C">
              <w:rPr>
                <w:rFonts w:ascii="Arial" w:hAnsi="Arial" w:cs="Arial"/>
                <w:sz w:val="16"/>
                <w:szCs w:val="16"/>
              </w:rPr>
              <w:t>ë</w:t>
            </w:r>
            <w:r>
              <w:rPr>
                <w:rFonts w:ascii="Arial" w:hAnsi="Arial" w:cs="Arial"/>
                <w:sz w:val="16"/>
                <w:szCs w:val="16"/>
              </w:rPr>
              <w:t>rdit</w:t>
            </w:r>
            <w:r w:rsidR="00D7294C">
              <w:rPr>
                <w:rFonts w:ascii="Arial" w:hAnsi="Arial" w:cs="Arial"/>
                <w:sz w:val="16"/>
                <w:szCs w:val="16"/>
              </w:rPr>
              <w:t>ë</w:t>
            </w:r>
            <w:r>
              <w:rPr>
                <w:rFonts w:ascii="Arial" w:hAnsi="Arial" w:cs="Arial"/>
                <w:sz w:val="16"/>
                <w:szCs w:val="16"/>
              </w:rPr>
              <w:t>simi i vendimit p</w:t>
            </w:r>
            <w:r w:rsidR="00D7294C">
              <w:rPr>
                <w:rFonts w:ascii="Arial" w:hAnsi="Arial" w:cs="Arial"/>
                <w:sz w:val="16"/>
                <w:szCs w:val="16"/>
              </w:rPr>
              <w:t>ë</w:t>
            </w:r>
            <w:r>
              <w:rPr>
                <w:rFonts w:ascii="Arial" w:hAnsi="Arial" w:cs="Arial"/>
                <w:sz w:val="16"/>
                <w:szCs w:val="16"/>
              </w:rPr>
              <w:t>r procedurat e MIP-s</w:t>
            </w:r>
            <w:r w:rsidR="00D7294C">
              <w:rPr>
                <w:rFonts w:ascii="Arial" w:hAnsi="Arial" w:cs="Arial"/>
                <w:sz w:val="16"/>
                <w:szCs w:val="16"/>
              </w:rPr>
              <w:t>ë</w:t>
            </w:r>
            <w:r>
              <w:rPr>
                <w:rFonts w:ascii="Arial" w:hAnsi="Arial" w:cs="Arial"/>
                <w:sz w:val="16"/>
                <w:szCs w:val="16"/>
              </w:rPr>
              <w:t xml:space="preserve"> n</w:t>
            </w:r>
            <w:r w:rsidR="00D7294C">
              <w:rPr>
                <w:rFonts w:ascii="Arial" w:hAnsi="Arial" w:cs="Arial"/>
                <w:sz w:val="16"/>
                <w:szCs w:val="16"/>
              </w:rPr>
              <w:t>ë</w:t>
            </w:r>
            <w:r>
              <w:rPr>
                <w:rFonts w:ascii="Arial" w:hAnsi="Arial" w:cs="Arial"/>
                <w:sz w:val="16"/>
                <w:szCs w:val="16"/>
              </w:rPr>
              <w:t xml:space="preserve">se </w:t>
            </w:r>
            <w:r w:rsidR="00D7294C">
              <w:rPr>
                <w:rFonts w:ascii="Arial" w:hAnsi="Arial" w:cs="Arial"/>
                <w:sz w:val="16"/>
                <w:szCs w:val="16"/>
              </w:rPr>
              <w:t>ë</w:t>
            </w:r>
            <w:r>
              <w:rPr>
                <w:rFonts w:ascii="Arial" w:hAnsi="Arial" w:cs="Arial"/>
                <w:sz w:val="16"/>
                <w:szCs w:val="16"/>
              </w:rPr>
              <w:t>sht</w:t>
            </w:r>
            <w:r w:rsidR="00D7294C">
              <w:rPr>
                <w:rFonts w:ascii="Arial" w:hAnsi="Arial" w:cs="Arial"/>
                <w:sz w:val="16"/>
                <w:szCs w:val="16"/>
              </w:rPr>
              <w:t>ë</w:t>
            </w:r>
            <w:r>
              <w:rPr>
                <w:rFonts w:ascii="Arial" w:hAnsi="Arial" w:cs="Arial"/>
                <w:sz w:val="16"/>
                <w:szCs w:val="16"/>
              </w:rPr>
              <w:t xml:space="preserve"> e nevojshme</w:t>
            </w:r>
          </w:p>
        </w:tc>
        <w:tc>
          <w:tcPr>
            <w:tcW w:w="777" w:type="dxa"/>
            <w:tcBorders>
              <w:top w:val="single" w:sz="4" w:space="0" w:color="auto"/>
              <w:left w:val="single" w:sz="4" w:space="0" w:color="auto"/>
              <w:right w:val="single" w:sz="4" w:space="0" w:color="auto"/>
            </w:tcBorders>
            <w:shd w:val="clear" w:color="auto" w:fill="auto"/>
            <w:vAlign w:val="center"/>
          </w:tcPr>
          <w:p w14:paraId="06C119F7" w14:textId="1BF90944" w:rsidR="00A86002" w:rsidRPr="001F151E" w:rsidRDefault="00405701" w:rsidP="002B7FF8">
            <w:pPr>
              <w:jc w:val="center"/>
              <w:rPr>
                <w:sz w:val="16"/>
                <w:szCs w:val="16"/>
              </w:rPr>
            </w:pPr>
            <w:r>
              <w:rPr>
                <w:sz w:val="16"/>
                <w:szCs w:val="16"/>
              </w:rPr>
              <w:t>T</w:t>
            </w:r>
            <w:r w:rsidR="00A86002" w:rsidRPr="001F151E">
              <w:rPr>
                <w:sz w:val="16"/>
                <w:szCs w:val="16"/>
              </w:rPr>
              <w:t>4 2025</w:t>
            </w:r>
          </w:p>
        </w:tc>
        <w:tc>
          <w:tcPr>
            <w:tcW w:w="826" w:type="dxa"/>
            <w:tcBorders>
              <w:top w:val="single" w:sz="4" w:space="0" w:color="auto"/>
              <w:left w:val="single" w:sz="4" w:space="0" w:color="auto"/>
              <w:right w:val="single" w:sz="4" w:space="0" w:color="auto"/>
            </w:tcBorders>
            <w:shd w:val="clear" w:color="auto" w:fill="auto"/>
            <w:vAlign w:val="center"/>
          </w:tcPr>
          <w:p w14:paraId="390DCF34" w14:textId="65466EE5" w:rsidR="00A86002" w:rsidRPr="001F151E" w:rsidRDefault="00405701" w:rsidP="002B7FF8">
            <w:pPr>
              <w:jc w:val="center"/>
              <w:rPr>
                <w:sz w:val="16"/>
                <w:szCs w:val="16"/>
              </w:rPr>
            </w:pPr>
            <w:r>
              <w:rPr>
                <w:sz w:val="16"/>
                <w:szCs w:val="16"/>
              </w:rPr>
              <w:t>T</w:t>
            </w:r>
            <w:r w:rsidR="00A86002" w:rsidRPr="001F151E">
              <w:rPr>
                <w:sz w:val="16"/>
                <w:szCs w:val="16"/>
              </w:rPr>
              <w:t>4 2026</w:t>
            </w:r>
          </w:p>
        </w:tc>
        <w:tc>
          <w:tcPr>
            <w:tcW w:w="1738" w:type="dxa"/>
            <w:vMerge/>
            <w:tcBorders>
              <w:left w:val="single" w:sz="4" w:space="0" w:color="auto"/>
              <w:bottom w:val="single" w:sz="4" w:space="0" w:color="auto"/>
              <w:right w:val="single" w:sz="4" w:space="0" w:color="auto"/>
            </w:tcBorders>
            <w:vAlign w:val="center"/>
            <w:hideMark/>
          </w:tcPr>
          <w:p w14:paraId="61D2D9C0" w14:textId="77777777" w:rsidR="00A86002" w:rsidRPr="001F151E" w:rsidRDefault="00A86002" w:rsidP="002B7FF8">
            <w:pPr>
              <w:spacing w:line="240" w:lineRule="auto"/>
              <w:rPr>
                <w:sz w:val="16"/>
                <w:szCs w:val="16"/>
              </w:rPr>
            </w:pPr>
          </w:p>
        </w:tc>
      </w:tr>
      <w:tr w:rsidR="00733B9C" w:rsidRPr="001F151E" w14:paraId="2F1821C8" w14:textId="77777777" w:rsidTr="00C314C1">
        <w:trPr>
          <w:trHeight w:val="20"/>
        </w:trPr>
        <w:tc>
          <w:tcPr>
            <w:tcW w:w="1972" w:type="dxa"/>
            <w:vMerge w:val="restart"/>
            <w:tcBorders>
              <w:top w:val="single" w:sz="4" w:space="0" w:color="auto"/>
              <w:left w:val="single" w:sz="4" w:space="0" w:color="auto"/>
              <w:bottom w:val="single" w:sz="4" w:space="0" w:color="auto"/>
              <w:right w:val="single" w:sz="4" w:space="0" w:color="auto"/>
            </w:tcBorders>
            <w:hideMark/>
          </w:tcPr>
          <w:p w14:paraId="0A9728C0" w14:textId="0042D1F7" w:rsidR="00733B9C" w:rsidRPr="001F151E" w:rsidRDefault="00405701" w:rsidP="002B7FF8">
            <w:pPr>
              <w:pStyle w:val="EcorysBody"/>
              <w:rPr>
                <w:rFonts w:ascii="Arial" w:hAnsi="Arial" w:cs="Arial"/>
                <w:b/>
                <w:bCs/>
                <w:sz w:val="16"/>
                <w:szCs w:val="16"/>
              </w:rPr>
            </w:pPr>
            <w:r>
              <w:rPr>
                <w:rFonts w:ascii="Arial" w:hAnsi="Arial" w:cs="Arial"/>
                <w:b/>
                <w:bCs/>
                <w:sz w:val="16"/>
                <w:szCs w:val="16"/>
              </w:rPr>
              <w:t>Masa</w:t>
            </w:r>
            <w:r w:rsidR="00733B9C" w:rsidRPr="001F151E">
              <w:rPr>
                <w:rFonts w:ascii="Arial" w:hAnsi="Arial" w:cs="Arial"/>
                <w:b/>
                <w:bCs/>
                <w:sz w:val="16"/>
                <w:szCs w:val="16"/>
              </w:rPr>
              <w:t xml:space="preserve"> 2.3.2 </w:t>
            </w:r>
            <w:r w:rsidR="00E52D94">
              <w:rPr>
                <w:rFonts w:ascii="Arial" w:hAnsi="Arial" w:cs="Arial"/>
                <w:b/>
                <w:bCs/>
                <w:sz w:val="16"/>
                <w:szCs w:val="16"/>
              </w:rPr>
              <w:t>Forcimi i List</w:t>
            </w:r>
            <w:r w:rsidR="00D7294C">
              <w:rPr>
                <w:rFonts w:ascii="Arial" w:hAnsi="Arial" w:cs="Arial"/>
                <w:b/>
                <w:bCs/>
                <w:sz w:val="16"/>
                <w:szCs w:val="16"/>
              </w:rPr>
              <w:t>ë</w:t>
            </w:r>
            <w:r w:rsidR="00E52D94">
              <w:rPr>
                <w:rFonts w:ascii="Arial" w:hAnsi="Arial" w:cs="Arial"/>
                <w:b/>
                <w:bCs/>
                <w:sz w:val="16"/>
                <w:szCs w:val="16"/>
              </w:rPr>
              <w:t>s Unike t</w:t>
            </w:r>
            <w:r w:rsidR="00D7294C">
              <w:rPr>
                <w:rFonts w:ascii="Arial" w:hAnsi="Arial" w:cs="Arial"/>
                <w:b/>
                <w:bCs/>
                <w:sz w:val="16"/>
                <w:szCs w:val="16"/>
              </w:rPr>
              <w:t>ë</w:t>
            </w:r>
            <w:r w:rsidR="00E52D94">
              <w:rPr>
                <w:rFonts w:ascii="Arial" w:hAnsi="Arial" w:cs="Arial"/>
                <w:b/>
                <w:bCs/>
                <w:sz w:val="16"/>
                <w:szCs w:val="16"/>
              </w:rPr>
              <w:t xml:space="preserve"> Projekteve dhe rritja e rolit gatekeep-er t</w:t>
            </w:r>
            <w:r w:rsidR="00D7294C">
              <w:rPr>
                <w:rFonts w:ascii="Arial" w:hAnsi="Arial" w:cs="Arial"/>
                <w:b/>
                <w:bCs/>
                <w:sz w:val="16"/>
                <w:szCs w:val="16"/>
              </w:rPr>
              <w:t>ë</w:t>
            </w:r>
            <w:r w:rsidR="00E52D94">
              <w:rPr>
                <w:rFonts w:ascii="Arial" w:hAnsi="Arial" w:cs="Arial"/>
                <w:b/>
                <w:bCs/>
                <w:sz w:val="16"/>
                <w:szCs w:val="16"/>
              </w:rPr>
              <w:t xml:space="preserve"> MF-s</w:t>
            </w:r>
            <w:r w:rsidR="00D7294C">
              <w:rPr>
                <w:rFonts w:ascii="Arial" w:hAnsi="Arial" w:cs="Arial"/>
                <w:b/>
                <w:bCs/>
                <w:sz w:val="16"/>
                <w:szCs w:val="16"/>
              </w:rPr>
              <w:t>ë</w:t>
            </w:r>
          </w:p>
          <w:p w14:paraId="6402FFBA" w14:textId="77777777" w:rsidR="00733B9C" w:rsidRPr="001F151E" w:rsidRDefault="00733B9C" w:rsidP="002B7FF8">
            <w:pPr>
              <w:pStyle w:val="EcorysBody"/>
              <w:rPr>
                <w:rFonts w:ascii="Arial" w:hAnsi="Arial" w:cs="Arial"/>
                <w:b/>
                <w:bCs/>
                <w:sz w:val="16"/>
                <w:szCs w:val="16"/>
              </w:rPr>
            </w:pPr>
          </w:p>
          <w:p w14:paraId="62196254" w14:textId="77777777" w:rsidR="00733B9C" w:rsidRPr="001F151E" w:rsidRDefault="00733B9C" w:rsidP="002B7FF8">
            <w:pPr>
              <w:pStyle w:val="EcorysBody"/>
              <w:rPr>
                <w:rFonts w:ascii="Arial" w:hAnsi="Arial" w:cs="Arial"/>
                <w:sz w:val="16"/>
                <w:szCs w:val="16"/>
              </w:rPr>
            </w:pPr>
          </w:p>
        </w:tc>
        <w:tc>
          <w:tcPr>
            <w:tcW w:w="3703" w:type="dxa"/>
            <w:tcBorders>
              <w:top w:val="single" w:sz="4" w:space="0" w:color="auto"/>
              <w:left w:val="single" w:sz="4" w:space="0" w:color="auto"/>
              <w:bottom w:val="single" w:sz="4" w:space="0" w:color="auto"/>
              <w:right w:val="single" w:sz="4" w:space="0" w:color="auto"/>
            </w:tcBorders>
            <w:vAlign w:val="center"/>
            <w:hideMark/>
          </w:tcPr>
          <w:p w14:paraId="02DE0F9B" w14:textId="7285F8B6" w:rsidR="00733B9C" w:rsidRPr="001F151E" w:rsidRDefault="00E52D94" w:rsidP="000E11C3">
            <w:pPr>
              <w:pStyle w:val="EcorysBody"/>
              <w:numPr>
                <w:ilvl w:val="0"/>
                <w:numId w:val="26"/>
              </w:numPr>
              <w:rPr>
                <w:rFonts w:ascii="Arial" w:hAnsi="Arial" w:cs="Arial"/>
                <w:sz w:val="16"/>
                <w:szCs w:val="16"/>
              </w:rPr>
            </w:pPr>
            <w:r>
              <w:rPr>
                <w:rFonts w:ascii="Arial" w:hAnsi="Arial" w:cs="Arial"/>
                <w:sz w:val="16"/>
                <w:szCs w:val="16"/>
              </w:rPr>
              <w:t>Rishikimi i procedurave dhe sistemeve p</w:t>
            </w:r>
            <w:r w:rsidR="00D7294C">
              <w:rPr>
                <w:rFonts w:ascii="Arial" w:hAnsi="Arial" w:cs="Arial"/>
                <w:sz w:val="16"/>
                <w:szCs w:val="16"/>
              </w:rPr>
              <w:t>ë</w:t>
            </w:r>
            <w:r>
              <w:rPr>
                <w:rFonts w:ascii="Arial" w:hAnsi="Arial" w:cs="Arial"/>
                <w:sz w:val="16"/>
                <w:szCs w:val="16"/>
              </w:rPr>
              <w:t>r zhvillimin e nj</w:t>
            </w:r>
            <w:r w:rsidR="00D7294C">
              <w:rPr>
                <w:rFonts w:ascii="Arial" w:hAnsi="Arial" w:cs="Arial"/>
                <w:sz w:val="16"/>
                <w:szCs w:val="16"/>
              </w:rPr>
              <w:t>ë</w:t>
            </w:r>
            <w:r>
              <w:rPr>
                <w:rFonts w:ascii="Arial" w:hAnsi="Arial" w:cs="Arial"/>
                <w:sz w:val="16"/>
                <w:szCs w:val="16"/>
              </w:rPr>
              <w:t xml:space="preserve"> Liste Unike gjith</w:t>
            </w:r>
            <w:r w:rsidR="00D7294C">
              <w:rPr>
                <w:rFonts w:ascii="Arial" w:hAnsi="Arial" w:cs="Arial"/>
                <w:sz w:val="16"/>
                <w:szCs w:val="16"/>
              </w:rPr>
              <w:t>ë</w:t>
            </w:r>
            <w:r>
              <w:rPr>
                <w:rFonts w:ascii="Arial" w:hAnsi="Arial" w:cs="Arial"/>
                <w:sz w:val="16"/>
                <w:szCs w:val="16"/>
              </w:rPr>
              <w:t>p</w:t>
            </w:r>
            <w:r w:rsidR="00D7294C">
              <w:rPr>
                <w:rFonts w:ascii="Arial" w:hAnsi="Arial" w:cs="Arial"/>
                <w:sz w:val="16"/>
                <w:szCs w:val="16"/>
              </w:rPr>
              <w:t>ë</w:t>
            </w:r>
            <w:r>
              <w:rPr>
                <w:rFonts w:ascii="Arial" w:hAnsi="Arial" w:cs="Arial"/>
                <w:sz w:val="16"/>
                <w:szCs w:val="16"/>
              </w:rPr>
              <w:t>rfshir</w:t>
            </w:r>
            <w:r w:rsidR="00D7294C">
              <w:rPr>
                <w:rFonts w:ascii="Arial" w:hAnsi="Arial" w:cs="Arial"/>
                <w:sz w:val="16"/>
                <w:szCs w:val="16"/>
              </w:rPr>
              <w:t>ë</w:t>
            </w:r>
            <w:r>
              <w:rPr>
                <w:rFonts w:ascii="Arial" w:hAnsi="Arial" w:cs="Arial"/>
                <w:sz w:val="16"/>
                <w:szCs w:val="16"/>
              </w:rPr>
              <w:t>se t</w:t>
            </w:r>
            <w:r w:rsidR="00D7294C">
              <w:rPr>
                <w:rFonts w:ascii="Arial" w:hAnsi="Arial" w:cs="Arial"/>
                <w:sz w:val="16"/>
                <w:szCs w:val="16"/>
              </w:rPr>
              <w:t>ë</w:t>
            </w:r>
            <w:r>
              <w:rPr>
                <w:rFonts w:ascii="Arial" w:hAnsi="Arial" w:cs="Arial"/>
                <w:sz w:val="16"/>
                <w:szCs w:val="16"/>
              </w:rPr>
              <w:t xml:space="preserve"> Projekteve me R</w:t>
            </w:r>
            <w:r w:rsidR="00D7294C">
              <w:rPr>
                <w:rFonts w:ascii="Arial" w:hAnsi="Arial" w:cs="Arial"/>
                <w:sz w:val="16"/>
                <w:szCs w:val="16"/>
              </w:rPr>
              <w:t>ë</w:t>
            </w:r>
            <w:r>
              <w:rPr>
                <w:rFonts w:ascii="Arial" w:hAnsi="Arial" w:cs="Arial"/>
                <w:sz w:val="16"/>
                <w:szCs w:val="16"/>
              </w:rPr>
              <w:t>nd</w:t>
            </w:r>
            <w:r w:rsidR="00D7294C">
              <w:rPr>
                <w:rFonts w:ascii="Arial" w:hAnsi="Arial" w:cs="Arial"/>
                <w:sz w:val="16"/>
                <w:szCs w:val="16"/>
              </w:rPr>
              <w:t>ë</w:t>
            </w:r>
            <w:r>
              <w:rPr>
                <w:rFonts w:ascii="Arial" w:hAnsi="Arial" w:cs="Arial"/>
                <w:sz w:val="16"/>
                <w:szCs w:val="16"/>
              </w:rPr>
              <w:t>si Komb</w:t>
            </w:r>
            <w:r w:rsidR="00D7294C">
              <w:rPr>
                <w:rFonts w:ascii="Arial" w:hAnsi="Arial" w:cs="Arial"/>
                <w:sz w:val="16"/>
                <w:szCs w:val="16"/>
              </w:rPr>
              <w:t>ë</w:t>
            </w:r>
            <w:r>
              <w:rPr>
                <w:rFonts w:ascii="Arial" w:hAnsi="Arial" w:cs="Arial"/>
                <w:sz w:val="16"/>
                <w:szCs w:val="16"/>
              </w:rPr>
              <w:t>tare duke p</w:t>
            </w:r>
            <w:r w:rsidR="00D7294C">
              <w:rPr>
                <w:rFonts w:ascii="Arial" w:hAnsi="Arial" w:cs="Arial"/>
                <w:sz w:val="16"/>
                <w:szCs w:val="16"/>
              </w:rPr>
              <w:t>ë</w:t>
            </w:r>
            <w:r>
              <w:rPr>
                <w:rFonts w:ascii="Arial" w:hAnsi="Arial" w:cs="Arial"/>
                <w:sz w:val="16"/>
                <w:szCs w:val="16"/>
              </w:rPr>
              <w:t>rfshir</w:t>
            </w:r>
            <w:r w:rsidR="00D7294C">
              <w:rPr>
                <w:rFonts w:ascii="Arial" w:hAnsi="Arial" w:cs="Arial"/>
                <w:sz w:val="16"/>
                <w:szCs w:val="16"/>
              </w:rPr>
              <w:t>ë</w:t>
            </w:r>
            <w:r>
              <w:rPr>
                <w:rFonts w:ascii="Arial" w:hAnsi="Arial" w:cs="Arial"/>
                <w:sz w:val="16"/>
                <w:szCs w:val="16"/>
              </w:rPr>
              <w:t xml:space="preserve"> PPP-t</w:t>
            </w:r>
            <w:r w:rsidR="00D7294C">
              <w:rPr>
                <w:rFonts w:ascii="Arial" w:hAnsi="Arial" w:cs="Arial"/>
                <w:sz w:val="16"/>
                <w:szCs w:val="16"/>
              </w:rPr>
              <w:t>ë</w:t>
            </w:r>
            <w:r>
              <w:rPr>
                <w:rFonts w:ascii="Arial" w:hAnsi="Arial" w:cs="Arial"/>
                <w:sz w:val="16"/>
                <w:szCs w:val="16"/>
              </w:rPr>
              <w:t xml:space="preserve"> dhe Koncesionet</w:t>
            </w:r>
            <w:r w:rsidR="001C233F">
              <w:rPr>
                <w:rFonts w:ascii="Arial" w:hAnsi="Arial" w:cs="Arial"/>
                <w:sz w:val="16"/>
                <w:szCs w:val="16"/>
              </w:rPr>
              <w:t xml:space="preserve">, </w:t>
            </w:r>
            <w:r w:rsidR="001C233F" w:rsidRPr="00065095">
              <w:rPr>
                <w:rFonts w:ascii="Arial" w:hAnsi="Arial" w:cs="Arial"/>
                <w:sz w:val="16"/>
                <w:szCs w:val="16"/>
              </w:rPr>
              <w:t>duke përfshirë udhëzime të hollësishme për përgatitjen dhe vlerësimin e studimeve të fizibilitetit për të mbuluar, ndër të tjera, pajtueshmërinë me rregullat e ndihmës shtetërore.</w:t>
            </w:r>
          </w:p>
        </w:tc>
        <w:tc>
          <w:tcPr>
            <w:tcW w:w="777" w:type="dxa"/>
            <w:tcBorders>
              <w:top w:val="single" w:sz="4" w:space="0" w:color="auto"/>
              <w:left w:val="single" w:sz="4" w:space="0" w:color="auto"/>
              <w:bottom w:val="single" w:sz="4" w:space="0" w:color="auto"/>
              <w:right w:val="single" w:sz="4" w:space="0" w:color="auto"/>
            </w:tcBorders>
            <w:vAlign w:val="center"/>
          </w:tcPr>
          <w:p w14:paraId="1C094DAE" w14:textId="1148BF41" w:rsidR="00733B9C" w:rsidRPr="001F151E" w:rsidRDefault="00405701" w:rsidP="002B7FF8">
            <w:pPr>
              <w:jc w:val="center"/>
              <w:rPr>
                <w:sz w:val="16"/>
                <w:szCs w:val="16"/>
              </w:rPr>
            </w:pPr>
            <w:r>
              <w:rPr>
                <w:sz w:val="16"/>
                <w:szCs w:val="16"/>
              </w:rPr>
              <w:t>T</w:t>
            </w:r>
            <w:r w:rsidR="00733B9C" w:rsidRPr="001F151E">
              <w:rPr>
                <w:sz w:val="16"/>
                <w:szCs w:val="16"/>
              </w:rPr>
              <w:t>1 2024</w:t>
            </w:r>
          </w:p>
        </w:tc>
        <w:tc>
          <w:tcPr>
            <w:tcW w:w="826" w:type="dxa"/>
            <w:tcBorders>
              <w:top w:val="single" w:sz="4" w:space="0" w:color="auto"/>
              <w:left w:val="single" w:sz="4" w:space="0" w:color="auto"/>
              <w:bottom w:val="single" w:sz="4" w:space="0" w:color="auto"/>
              <w:right w:val="single" w:sz="4" w:space="0" w:color="auto"/>
            </w:tcBorders>
            <w:vAlign w:val="center"/>
          </w:tcPr>
          <w:p w14:paraId="2BF5D1AC" w14:textId="0F6EC469" w:rsidR="00733B9C" w:rsidRPr="001F151E" w:rsidRDefault="00405701" w:rsidP="002B7FF8">
            <w:pPr>
              <w:jc w:val="center"/>
              <w:rPr>
                <w:sz w:val="16"/>
                <w:szCs w:val="16"/>
              </w:rPr>
            </w:pPr>
            <w:r>
              <w:rPr>
                <w:sz w:val="16"/>
                <w:szCs w:val="16"/>
              </w:rPr>
              <w:t>T</w:t>
            </w:r>
            <w:r w:rsidR="00733B9C" w:rsidRPr="001F151E">
              <w:rPr>
                <w:sz w:val="16"/>
                <w:szCs w:val="16"/>
              </w:rPr>
              <w:t>4 2024</w:t>
            </w:r>
          </w:p>
        </w:tc>
        <w:tc>
          <w:tcPr>
            <w:tcW w:w="1738" w:type="dxa"/>
            <w:vMerge w:val="restart"/>
            <w:tcBorders>
              <w:top w:val="single" w:sz="4" w:space="0" w:color="auto"/>
              <w:left w:val="single" w:sz="4" w:space="0" w:color="auto"/>
              <w:bottom w:val="single" w:sz="4" w:space="0" w:color="auto"/>
              <w:right w:val="single" w:sz="4" w:space="0" w:color="auto"/>
            </w:tcBorders>
          </w:tcPr>
          <w:p w14:paraId="10798C94" w14:textId="54B8BCF8" w:rsidR="00733B9C" w:rsidRPr="001F151E" w:rsidRDefault="00405701" w:rsidP="002B7FF8">
            <w:pPr>
              <w:rPr>
                <w:b/>
                <w:bCs/>
                <w:sz w:val="16"/>
                <w:szCs w:val="16"/>
              </w:rPr>
            </w:pPr>
            <w:r>
              <w:rPr>
                <w:b/>
                <w:bCs/>
                <w:sz w:val="16"/>
                <w:szCs w:val="16"/>
              </w:rPr>
              <w:t>Nj</w:t>
            </w:r>
            <w:r w:rsidR="00D7294C">
              <w:rPr>
                <w:b/>
                <w:bCs/>
                <w:sz w:val="16"/>
                <w:szCs w:val="16"/>
              </w:rPr>
              <w:t>ë</w:t>
            </w:r>
            <w:r>
              <w:rPr>
                <w:b/>
                <w:bCs/>
                <w:sz w:val="16"/>
                <w:szCs w:val="16"/>
              </w:rPr>
              <w:t>sit</w:t>
            </w:r>
            <w:r w:rsidR="00D7294C">
              <w:rPr>
                <w:b/>
                <w:bCs/>
                <w:sz w:val="16"/>
                <w:szCs w:val="16"/>
              </w:rPr>
              <w:t>ë</w:t>
            </w:r>
            <w:r>
              <w:rPr>
                <w:b/>
                <w:bCs/>
                <w:sz w:val="16"/>
                <w:szCs w:val="16"/>
              </w:rPr>
              <w:t xml:space="preserve"> p</w:t>
            </w:r>
            <w:r w:rsidR="00D7294C">
              <w:rPr>
                <w:b/>
                <w:bCs/>
                <w:sz w:val="16"/>
                <w:szCs w:val="16"/>
              </w:rPr>
              <w:t>ë</w:t>
            </w:r>
            <w:r>
              <w:rPr>
                <w:b/>
                <w:bCs/>
                <w:sz w:val="16"/>
                <w:szCs w:val="16"/>
              </w:rPr>
              <w:t>rgjegj</w:t>
            </w:r>
            <w:r w:rsidR="00D7294C">
              <w:rPr>
                <w:b/>
                <w:bCs/>
                <w:sz w:val="16"/>
                <w:szCs w:val="16"/>
              </w:rPr>
              <w:t>ë</w:t>
            </w:r>
            <w:r>
              <w:rPr>
                <w:b/>
                <w:bCs/>
                <w:sz w:val="16"/>
                <w:szCs w:val="16"/>
              </w:rPr>
              <w:t>se</w:t>
            </w:r>
            <w:r w:rsidR="00733B9C" w:rsidRPr="001F151E">
              <w:rPr>
                <w:b/>
                <w:bCs/>
                <w:sz w:val="16"/>
                <w:szCs w:val="16"/>
              </w:rPr>
              <w:t xml:space="preserve">: </w:t>
            </w:r>
          </w:p>
          <w:p w14:paraId="2212BC1F" w14:textId="5561AD80" w:rsidR="00733B9C" w:rsidRPr="001F151E" w:rsidRDefault="00733B9C" w:rsidP="002B7FF8">
            <w:pPr>
              <w:rPr>
                <w:sz w:val="16"/>
                <w:szCs w:val="16"/>
              </w:rPr>
            </w:pPr>
            <w:r w:rsidRPr="001F151E">
              <w:rPr>
                <w:sz w:val="16"/>
                <w:szCs w:val="16"/>
              </w:rPr>
              <w:t>SASPAC (</w:t>
            </w:r>
            <w:r w:rsidR="00405701">
              <w:rPr>
                <w:sz w:val="16"/>
                <w:szCs w:val="16"/>
              </w:rPr>
              <w:t>lider p</w:t>
            </w:r>
            <w:r w:rsidR="00D7294C">
              <w:rPr>
                <w:sz w:val="16"/>
                <w:szCs w:val="16"/>
              </w:rPr>
              <w:t>ë</w:t>
            </w:r>
            <w:r w:rsidR="00405701">
              <w:rPr>
                <w:sz w:val="16"/>
                <w:szCs w:val="16"/>
              </w:rPr>
              <w:t>r</w:t>
            </w:r>
            <w:r w:rsidRPr="001F151E">
              <w:rPr>
                <w:sz w:val="16"/>
                <w:szCs w:val="16"/>
              </w:rPr>
              <w:t xml:space="preserve"> </w:t>
            </w:r>
            <w:r w:rsidR="00405701">
              <w:rPr>
                <w:sz w:val="16"/>
                <w:szCs w:val="16"/>
              </w:rPr>
              <w:t>List</w:t>
            </w:r>
            <w:r w:rsidR="00D7294C">
              <w:rPr>
                <w:sz w:val="16"/>
                <w:szCs w:val="16"/>
              </w:rPr>
              <w:t>ë</w:t>
            </w:r>
            <w:r w:rsidR="00405701">
              <w:rPr>
                <w:sz w:val="16"/>
                <w:szCs w:val="16"/>
              </w:rPr>
              <w:t>n Unike t</w:t>
            </w:r>
            <w:r w:rsidR="00D7294C">
              <w:rPr>
                <w:sz w:val="16"/>
                <w:szCs w:val="16"/>
              </w:rPr>
              <w:t>ë</w:t>
            </w:r>
            <w:r w:rsidR="00405701">
              <w:rPr>
                <w:sz w:val="16"/>
                <w:szCs w:val="16"/>
              </w:rPr>
              <w:t xml:space="preserve"> Projekteve</w:t>
            </w:r>
            <w:r w:rsidRPr="001F151E">
              <w:rPr>
                <w:sz w:val="16"/>
                <w:szCs w:val="16"/>
              </w:rPr>
              <w:t>), D</w:t>
            </w:r>
            <w:r w:rsidR="00405701">
              <w:rPr>
                <w:sz w:val="16"/>
                <w:szCs w:val="16"/>
              </w:rPr>
              <w:t xml:space="preserve">MIP </w:t>
            </w:r>
            <w:r w:rsidRPr="001F151E">
              <w:rPr>
                <w:sz w:val="16"/>
                <w:szCs w:val="16"/>
              </w:rPr>
              <w:t>(</w:t>
            </w:r>
            <w:r w:rsidR="00405701">
              <w:rPr>
                <w:sz w:val="16"/>
                <w:szCs w:val="16"/>
              </w:rPr>
              <w:t>lider p</w:t>
            </w:r>
            <w:r w:rsidR="00D7294C">
              <w:rPr>
                <w:sz w:val="16"/>
                <w:szCs w:val="16"/>
              </w:rPr>
              <w:t>ë</w:t>
            </w:r>
            <w:r w:rsidR="00405701">
              <w:rPr>
                <w:sz w:val="16"/>
                <w:szCs w:val="16"/>
              </w:rPr>
              <w:t>r rolin gatekeep-er</w:t>
            </w:r>
            <w:r w:rsidRPr="001F151E">
              <w:rPr>
                <w:sz w:val="16"/>
                <w:szCs w:val="16"/>
              </w:rPr>
              <w:t xml:space="preserve">), </w:t>
            </w:r>
          </w:p>
          <w:p w14:paraId="43C7A723" w14:textId="77777777" w:rsidR="00733B9C" w:rsidRDefault="00733B9C" w:rsidP="002B7FF8">
            <w:pPr>
              <w:pStyle w:val="EcorysBody"/>
              <w:rPr>
                <w:rFonts w:ascii="Arial" w:hAnsi="Arial" w:cs="Arial"/>
                <w:b/>
                <w:bCs/>
                <w:sz w:val="16"/>
                <w:szCs w:val="16"/>
              </w:rPr>
            </w:pPr>
          </w:p>
          <w:p w14:paraId="1F49E8D6" w14:textId="77777777" w:rsidR="0084458F" w:rsidRPr="001F151E" w:rsidRDefault="0084458F" w:rsidP="002B7FF8">
            <w:pPr>
              <w:pStyle w:val="EcorysBody"/>
              <w:rPr>
                <w:rFonts w:ascii="Arial" w:hAnsi="Arial" w:cs="Arial"/>
                <w:b/>
                <w:bCs/>
                <w:sz w:val="16"/>
                <w:szCs w:val="16"/>
              </w:rPr>
            </w:pPr>
          </w:p>
          <w:p w14:paraId="5D63B431" w14:textId="300DF4C8" w:rsidR="00733B9C" w:rsidRPr="001F151E" w:rsidRDefault="00405701" w:rsidP="002B7FF8">
            <w:pPr>
              <w:pStyle w:val="EcorysBody"/>
              <w:rPr>
                <w:rFonts w:ascii="Arial" w:hAnsi="Arial" w:cs="Arial"/>
                <w:b/>
                <w:bCs/>
                <w:sz w:val="16"/>
                <w:szCs w:val="16"/>
              </w:rPr>
            </w:pPr>
            <w:r>
              <w:rPr>
                <w:rFonts w:ascii="Arial" w:hAnsi="Arial" w:cs="Arial"/>
                <w:b/>
                <w:bCs/>
                <w:sz w:val="16"/>
                <w:szCs w:val="16"/>
              </w:rPr>
              <w:lastRenderedPageBreak/>
              <w:t>Partner</w:t>
            </w:r>
            <w:r w:rsidR="00D7294C">
              <w:rPr>
                <w:rFonts w:ascii="Arial" w:hAnsi="Arial" w:cs="Arial"/>
                <w:b/>
                <w:bCs/>
                <w:sz w:val="16"/>
                <w:szCs w:val="16"/>
              </w:rPr>
              <w:t>ë</w:t>
            </w:r>
            <w:r>
              <w:rPr>
                <w:rFonts w:ascii="Arial" w:hAnsi="Arial" w:cs="Arial"/>
                <w:b/>
                <w:bCs/>
                <w:sz w:val="16"/>
                <w:szCs w:val="16"/>
              </w:rPr>
              <w:t>t</w:t>
            </w:r>
            <w:r w:rsidR="00733B9C" w:rsidRPr="001F151E">
              <w:rPr>
                <w:rFonts w:ascii="Arial" w:hAnsi="Arial" w:cs="Arial"/>
                <w:b/>
                <w:bCs/>
                <w:sz w:val="16"/>
                <w:szCs w:val="16"/>
              </w:rPr>
              <w:t>:</w:t>
            </w:r>
          </w:p>
          <w:p w14:paraId="5504AAC5" w14:textId="64EDD9C9" w:rsidR="00733B9C" w:rsidRPr="001F151E" w:rsidRDefault="00405701" w:rsidP="00405701">
            <w:pPr>
              <w:pStyle w:val="EcorysBody"/>
              <w:rPr>
                <w:rFonts w:ascii="Arial" w:hAnsi="Arial" w:cs="Arial"/>
                <w:sz w:val="16"/>
                <w:szCs w:val="16"/>
              </w:rPr>
            </w:pPr>
            <w:r>
              <w:rPr>
                <w:rFonts w:ascii="Arial" w:hAnsi="Arial" w:cs="Arial"/>
                <w:sz w:val="16"/>
                <w:szCs w:val="16"/>
              </w:rPr>
              <w:t>FMN</w:t>
            </w:r>
            <w:r w:rsidR="00733B9C" w:rsidRPr="001F151E">
              <w:rPr>
                <w:rFonts w:ascii="Arial" w:hAnsi="Arial" w:cs="Arial"/>
                <w:sz w:val="16"/>
                <w:szCs w:val="16"/>
              </w:rPr>
              <w:t xml:space="preserve">, </w:t>
            </w:r>
            <w:r>
              <w:rPr>
                <w:rFonts w:ascii="Arial" w:hAnsi="Arial" w:cs="Arial"/>
                <w:sz w:val="16"/>
                <w:szCs w:val="16"/>
              </w:rPr>
              <w:t>BE</w:t>
            </w:r>
            <w:r w:rsidR="00733B9C" w:rsidRPr="001F151E">
              <w:rPr>
                <w:rStyle w:val="FootnoteReference"/>
                <w:rFonts w:cs="Arial"/>
              </w:rPr>
              <w:footnoteReference w:id="25"/>
            </w:r>
          </w:p>
        </w:tc>
      </w:tr>
      <w:tr w:rsidR="00733B9C" w:rsidRPr="001F151E" w14:paraId="02C28C2E" w14:textId="77777777" w:rsidTr="002B7FF8">
        <w:trPr>
          <w:trHeight w:val="20"/>
        </w:trPr>
        <w:tc>
          <w:tcPr>
            <w:tcW w:w="1972" w:type="dxa"/>
            <w:vMerge/>
            <w:tcBorders>
              <w:top w:val="single" w:sz="4" w:space="0" w:color="auto"/>
              <w:left w:val="single" w:sz="4" w:space="0" w:color="auto"/>
              <w:bottom w:val="single" w:sz="4" w:space="0" w:color="auto"/>
              <w:right w:val="single" w:sz="4" w:space="0" w:color="auto"/>
            </w:tcBorders>
            <w:vAlign w:val="center"/>
            <w:hideMark/>
          </w:tcPr>
          <w:p w14:paraId="4BD4C3CE" w14:textId="77777777" w:rsidR="00733B9C" w:rsidRPr="001F151E" w:rsidRDefault="00733B9C" w:rsidP="002B7FF8">
            <w:pPr>
              <w:spacing w:line="240" w:lineRule="auto"/>
              <w:rPr>
                <w:sz w:val="16"/>
                <w:szCs w:val="16"/>
              </w:rPr>
            </w:pPr>
          </w:p>
        </w:tc>
        <w:tc>
          <w:tcPr>
            <w:tcW w:w="3703" w:type="dxa"/>
            <w:tcBorders>
              <w:top w:val="single" w:sz="4" w:space="0" w:color="auto"/>
              <w:left w:val="single" w:sz="4" w:space="0" w:color="auto"/>
              <w:right w:val="single" w:sz="4" w:space="0" w:color="auto"/>
            </w:tcBorders>
            <w:vAlign w:val="center"/>
          </w:tcPr>
          <w:p w14:paraId="3C68A0FC" w14:textId="1477041F" w:rsidR="00733B9C" w:rsidRPr="001F151E" w:rsidRDefault="00E52D94" w:rsidP="00897DDC">
            <w:pPr>
              <w:pStyle w:val="EcorysBody"/>
              <w:numPr>
                <w:ilvl w:val="0"/>
                <w:numId w:val="26"/>
              </w:numPr>
              <w:rPr>
                <w:rFonts w:ascii="Arial" w:hAnsi="Arial" w:cs="Arial"/>
                <w:sz w:val="16"/>
                <w:szCs w:val="16"/>
              </w:rPr>
            </w:pPr>
            <w:r>
              <w:rPr>
                <w:rFonts w:ascii="Arial" w:hAnsi="Arial" w:cs="Arial"/>
                <w:sz w:val="16"/>
                <w:szCs w:val="16"/>
              </w:rPr>
              <w:t>Zhvillimi dhe zbatimi i nj</w:t>
            </w:r>
            <w:r w:rsidR="00D7294C">
              <w:rPr>
                <w:rFonts w:ascii="Arial" w:hAnsi="Arial" w:cs="Arial"/>
                <w:sz w:val="16"/>
                <w:szCs w:val="16"/>
              </w:rPr>
              <w:t>ë</w:t>
            </w:r>
            <w:r>
              <w:rPr>
                <w:rFonts w:ascii="Arial" w:hAnsi="Arial" w:cs="Arial"/>
                <w:sz w:val="16"/>
                <w:szCs w:val="16"/>
              </w:rPr>
              <w:t xml:space="preserve"> plani p</w:t>
            </w:r>
            <w:r w:rsidR="00D7294C">
              <w:rPr>
                <w:rFonts w:ascii="Arial" w:hAnsi="Arial" w:cs="Arial"/>
                <w:sz w:val="16"/>
                <w:szCs w:val="16"/>
              </w:rPr>
              <w:t>ë</w:t>
            </w:r>
            <w:r>
              <w:rPr>
                <w:rFonts w:ascii="Arial" w:hAnsi="Arial" w:cs="Arial"/>
                <w:sz w:val="16"/>
                <w:szCs w:val="16"/>
              </w:rPr>
              <w:t>r t</w:t>
            </w:r>
            <w:r w:rsidR="00D7294C">
              <w:rPr>
                <w:rFonts w:ascii="Arial" w:hAnsi="Arial" w:cs="Arial"/>
                <w:sz w:val="16"/>
                <w:szCs w:val="16"/>
              </w:rPr>
              <w:t>ë</w:t>
            </w:r>
            <w:r>
              <w:rPr>
                <w:rFonts w:ascii="Arial" w:hAnsi="Arial" w:cs="Arial"/>
                <w:sz w:val="16"/>
                <w:szCs w:val="16"/>
              </w:rPr>
              <w:t xml:space="preserve"> p</w:t>
            </w:r>
            <w:r w:rsidR="00D7294C">
              <w:rPr>
                <w:rFonts w:ascii="Arial" w:hAnsi="Arial" w:cs="Arial"/>
                <w:sz w:val="16"/>
                <w:szCs w:val="16"/>
              </w:rPr>
              <w:t>ë</w:t>
            </w:r>
            <w:r>
              <w:rPr>
                <w:rFonts w:ascii="Arial" w:hAnsi="Arial" w:cs="Arial"/>
                <w:sz w:val="16"/>
                <w:szCs w:val="16"/>
              </w:rPr>
              <w:t>rmir</w:t>
            </w:r>
            <w:r w:rsidR="00D7294C">
              <w:rPr>
                <w:rFonts w:ascii="Arial" w:hAnsi="Arial" w:cs="Arial"/>
                <w:sz w:val="16"/>
                <w:szCs w:val="16"/>
              </w:rPr>
              <w:t>ë</w:t>
            </w:r>
            <w:r>
              <w:rPr>
                <w:rFonts w:ascii="Arial" w:hAnsi="Arial" w:cs="Arial"/>
                <w:sz w:val="16"/>
                <w:szCs w:val="16"/>
              </w:rPr>
              <w:t>suar m</w:t>
            </w:r>
            <w:r w:rsidR="00D7294C">
              <w:rPr>
                <w:rFonts w:ascii="Arial" w:hAnsi="Arial" w:cs="Arial"/>
                <w:sz w:val="16"/>
                <w:szCs w:val="16"/>
              </w:rPr>
              <w:t>ë</w:t>
            </w:r>
            <w:r>
              <w:rPr>
                <w:rFonts w:ascii="Arial" w:hAnsi="Arial" w:cs="Arial"/>
                <w:sz w:val="16"/>
                <w:szCs w:val="16"/>
              </w:rPr>
              <w:t xml:space="preserve"> tej konceptin e List</w:t>
            </w:r>
            <w:r w:rsidR="00D7294C">
              <w:rPr>
                <w:rFonts w:ascii="Arial" w:hAnsi="Arial" w:cs="Arial"/>
                <w:sz w:val="16"/>
                <w:szCs w:val="16"/>
              </w:rPr>
              <w:t>ë</w:t>
            </w:r>
            <w:r>
              <w:rPr>
                <w:rFonts w:ascii="Arial" w:hAnsi="Arial" w:cs="Arial"/>
                <w:sz w:val="16"/>
                <w:szCs w:val="16"/>
              </w:rPr>
              <w:t>s Unike t</w:t>
            </w:r>
            <w:r w:rsidR="00D7294C">
              <w:rPr>
                <w:rFonts w:ascii="Arial" w:hAnsi="Arial" w:cs="Arial"/>
                <w:sz w:val="16"/>
                <w:szCs w:val="16"/>
              </w:rPr>
              <w:t>ë</w:t>
            </w:r>
            <w:r>
              <w:rPr>
                <w:rFonts w:ascii="Arial" w:hAnsi="Arial" w:cs="Arial"/>
                <w:sz w:val="16"/>
                <w:szCs w:val="16"/>
              </w:rPr>
              <w:t xml:space="preserve"> Projekteve dhe rolin gatekeep-er t</w:t>
            </w:r>
            <w:r w:rsidR="00D7294C">
              <w:rPr>
                <w:rFonts w:ascii="Arial" w:hAnsi="Arial" w:cs="Arial"/>
                <w:sz w:val="16"/>
                <w:szCs w:val="16"/>
              </w:rPr>
              <w:t>ë</w:t>
            </w:r>
            <w:r>
              <w:rPr>
                <w:rFonts w:ascii="Arial" w:hAnsi="Arial" w:cs="Arial"/>
                <w:sz w:val="16"/>
                <w:szCs w:val="16"/>
              </w:rPr>
              <w:t xml:space="preserve"> MF-s</w:t>
            </w:r>
            <w:r w:rsidR="00D7294C">
              <w:rPr>
                <w:rFonts w:ascii="Arial" w:hAnsi="Arial" w:cs="Arial"/>
                <w:sz w:val="16"/>
                <w:szCs w:val="16"/>
              </w:rPr>
              <w:t>ë</w:t>
            </w:r>
            <w:r>
              <w:rPr>
                <w:rFonts w:ascii="Arial" w:hAnsi="Arial" w:cs="Arial"/>
                <w:sz w:val="16"/>
                <w:szCs w:val="16"/>
              </w:rPr>
              <w:t>.</w:t>
            </w:r>
          </w:p>
        </w:tc>
        <w:tc>
          <w:tcPr>
            <w:tcW w:w="777" w:type="dxa"/>
            <w:tcBorders>
              <w:top w:val="single" w:sz="4" w:space="0" w:color="auto"/>
              <w:left w:val="single" w:sz="4" w:space="0" w:color="auto"/>
              <w:right w:val="single" w:sz="4" w:space="0" w:color="auto"/>
            </w:tcBorders>
            <w:vAlign w:val="center"/>
          </w:tcPr>
          <w:p w14:paraId="14F4B3A6" w14:textId="4D821DBA" w:rsidR="00733B9C" w:rsidRPr="001F151E" w:rsidRDefault="00405701" w:rsidP="002B7FF8">
            <w:pPr>
              <w:jc w:val="center"/>
              <w:rPr>
                <w:sz w:val="16"/>
                <w:szCs w:val="16"/>
              </w:rPr>
            </w:pPr>
            <w:r>
              <w:rPr>
                <w:sz w:val="16"/>
                <w:szCs w:val="16"/>
              </w:rPr>
              <w:t>T</w:t>
            </w:r>
            <w:r w:rsidR="00733B9C" w:rsidRPr="001F151E">
              <w:rPr>
                <w:sz w:val="16"/>
                <w:szCs w:val="16"/>
              </w:rPr>
              <w:t>4 2024</w:t>
            </w:r>
          </w:p>
        </w:tc>
        <w:tc>
          <w:tcPr>
            <w:tcW w:w="826" w:type="dxa"/>
            <w:tcBorders>
              <w:top w:val="single" w:sz="4" w:space="0" w:color="auto"/>
              <w:left w:val="single" w:sz="4" w:space="0" w:color="auto"/>
              <w:right w:val="single" w:sz="4" w:space="0" w:color="auto"/>
            </w:tcBorders>
            <w:vAlign w:val="center"/>
          </w:tcPr>
          <w:p w14:paraId="0A9CA174" w14:textId="124B83AE" w:rsidR="00733B9C" w:rsidRPr="001F151E" w:rsidRDefault="00405701" w:rsidP="002B7FF8">
            <w:pPr>
              <w:jc w:val="center"/>
              <w:rPr>
                <w:sz w:val="16"/>
                <w:szCs w:val="16"/>
              </w:rPr>
            </w:pPr>
            <w:r>
              <w:rPr>
                <w:sz w:val="16"/>
                <w:szCs w:val="16"/>
              </w:rPr>
              <w:t>T</w:t>
            </w:r>
            <w:r w:rsidR="004B5FE4" w:rsidRPr="001F151E">
              <w:rPr>
                <w:sz w:val="16"/>
                <w:szCs w:val="16"/>
              </w:rPr>
              <w:t>1</w:t>
            </w:r>
            <w:r w:rsidR="00733B9C" w:rsidRPr="001F151E">
              <w:rPr>
                <w:sz w:val="16"/>
                <w:szCs w:val="16"/>
              </w:rPr>
              <w:t xml:space="preserve"> 202</w:t>
            </w:r>
            <w:r w:rsidR="004B5FE4" w:rsidRPr="001F151E">
              <w:rPr>
                <w:sz w:val="16"/>
                <w:szCs w:val="16"/>
              </w:rPr>
              <w:t>5</w:t>
            </w: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35EA90D2" w14:textId="77777777" w:rsidR="00733B9C" w:rsidRPr="001F151E" w:rsidRDefault="00733B9C" w:rsidP="002B7FF8">
            <w:pPr>
              <w:spacing w:line="240" w:lineRule="auto"/>
              <w:rPr>
                <w:sz w:val="16"/>
                <w:szCs w:val="16"/>
              </w:rPr>
            </w:pPr>
          </w:p>
        </w:tc>
      </w:tr>
    </w:tbl>
    <w:p w14:paraId="2BD8403A" w14:textId="77777777" w:rsidR="00733B9C" w:rsidRDefault="00733B9C" w:rsidP="00733B9C">
      <w:pPr>
        <w:rPr>
          <w:lang w:val="en-GB"/>
        </w:rPr>
      </w:pPr>
    </w:p>
    <w:p w14:paraId="33E27EB5" w14:textId="77777777" w:rsidR="00800575" w:rsidRDefault="00800575" w:rsidP="00733B9C">
      <w:pPr>
        <w:rPr>
          <w:lang w:val="en-GB"/>
        </w:rPr>
      </w:pPr>
    </w:p>
    <w:p w14:paraId="613EEA6F" w14:textId="77777777" w:rsidR="00800575" w:rsidRPr="001F151E" w:rsidRDefault="00800575" w:rsidP="00733B9C">
      <w:pPr>
        <w:rPr>
          <w:lang w:val="en-GB"/>
        </w:rPr>
      </w:pPr>
    </w:p>
    <w:p w14:paraId="2224C4EB" w14:textId="3821E911" w:rsidR="00733B9C" w:rsidRPr="009D660E" w:rsidRDefault="00730674" w:rsidP="00733B9C">
      <w:pPr>
        <w:pStyle w:val="H5"/>
        <w:rPr>
          <w:lang w:val="it-IT"/>
        </w:rPr>
      </w:pPr>
      <w:r w:rsidRPr="009D660E">
        <w:rPr>
          <w:lang w:val="it-IT"/>
        </w:rPr>
        <w:t>Treguesit e performanc</w:t>
      </w:r>
      <w:r w:rsidR="00D7294C" w:rsidRPr="009D660E">
        <w:rPr>
          <w:lang w:val="it-IT"/>
        </w:rPr>
        <w:t>ë</w:t>
      </w:r>
      <w:r w:rsidRPr="009D660E">
        <w:rPr>
          <w:lang w:val="it-IT"/>
        </w:rPr>
        <w:t>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5B5670" w:rsidRPr="001F151E" w14:paraId="18DADA38" w14:textId="77777777" w:rsidTr="004F380A">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61D926" w14:textId="07847243" w:rsidR="005B5670" w:rsidRPr="001F151E" w:rsidRDefault="00730674" w:rsidP="00730674">
            <w:pPr>
              <w:pStyle w:val="T-bold"/>
              <w:spacing w:line="200" w:lineRule="exact"/>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D457E0" w14:textId="2BDBA536" w:rsidR="005B5670" w:rsidRPr="001F151E" w:rsidRDefault="00730674" w:rsidP="004F380A">
            <w:pPr>
              <w:pStyle w:val="T-bold"/>
              <w:spacing w:line="200" w:lineRule="exact"/>
              <w:jc w:val="center"/>
            </w:pPr>
            <w:r>
              <w:t>Vlera baz</w:t>
            </w:r>
            <w:r w:rsidR="00D7294C">
              <w:t>ë</w:t>
            </w:r>
            <w:r>
              <w:t xml:space="preserve"> (viti</w:t>
            </w:r>
            <w:r w:rsidR="005B5670"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C1ABF" w14:textId="1968EEF0" w:rsidR="005B5670" w:rsidRPr="001F151E" w:rsidRDefault="00730674" w:rsidP="004F380A">
            <w:pPr>
              <w:pStyle w:val="T-bold"/>
              <w:spacing w:line="200" w:lineRule="exact"/>
              <w:jc w:val="center"/>
            </w:pPr>
            <w:r>
              <w:t>Vlera e synuar</w:t>
            </w:r>
          </w:p>
        </w:tc>
      </w:tr>
      <w:tr w:rsidR="005B5670" w:rsidRPr="001F151E" w14:paraId="4A96099E" w14:textId="77777777" w:rsidTr="004F380A">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EF25F1A" w14:textId="77777777" w:rsidR="005B5670" w:rsidRPr="001F151E" w:rsidRDefault="005B5670" w:rsidP="004F380A">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53372A3B" w14:textId="77777777" w:rsidR="005B5670" w:rsidRPr="001F151E" w:rsidRDefault="005B5670" w:rsidP="004F380A">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C05B5" w14:textId="77777777" w:rsidR="005B5670" w:rsidRPr="001F151E" w:rsidRDefault="005B5670" w:rsidP="004F380A">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3B64A" w14:textId="77777777" w:rsidR="005B5670" w:rsidRPr="001F151E" w:rsidRDefault="005B5670" w:rsidP="004F380A">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4FDF1" w14:textId="77777777" w:rsidR="005B5670" w:rsidRPr="001F151E" w:rsidRDefault="005B5670" w:rsidP="004F380A">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EBDD9" w14:textId="77777777" w:rsidR="005B5670" w:rsidRPr="001F151E" w:rsidRDefault="005B5670" w:rsidP="004F380A">
            <w:pPr>
              <w:pStyle w:val="T-bold"/>
              <w:spacing w:line="200" w:lineRule="exact"/>
              <w:jc w:val="center"/>
            </w:pPr>
            <w:r w:rsidRPr="001F151E">
              <w:t>2026</w:t>
            </w:r>
          </w:p>
        </w:tc>
      </w:tr>
      <w:tr w:rsidR="005B5670" w:rsidRPr="001F151E" w14:paraId="10ADFC66" w14:textId="77777777" w:rsidTr="004F380A">
        <w:tc>
          <w:tcPr>
            <w:tcW w:w="3114" w:type="dxa"/>
            <w:tcBorders>
              <w:top w:val="single" w:sz="4" w:space="0" w:color="auto"/>
              <w:left w:val="single" w:sz="4" w:space="0" w:color="auto"/>
              <w:bottom w:val="single" w:sz="4" w:space="0" w:color="auto"/>
              <w:right w:val="single" w:sz="4" w:space="0" w:color="auto"/>
            </w:tcBorders>
          </w:tcPr>
          <w:p w14:paraId="78FBDFCA" w14:textId="403B7A62" w:rsidR="005B5670" w:rsidRPr="009D660E" w:rsidRDefault="00730674" w:rsidP="00CD7428">
            <w:pPr>
              <w:pStyle w:val="ListParagraph"/>
              <w:numPr>
                <w:ilvl w:val="0"/>
                <w:numId w:val="35"/>
              </w:numPr>
              <w:spacing w:line="200" w:lineRule="exact"/>
              <w:rPr>
                <w:sz w:val="16"/>
                <w:szCs w:val="16"/>
                <w:lang w:val="it-IT"/>
              </w:rPr>
            </w:pPr>
            <w:r w:rsidRPr="009D660E">
              <w:rPr>
                <w:sz w:val="16"/>
                <w:szCs w:val="16"/>
                <w:lang w:val="it-IT"/>
              </w:rPr>
              <w:t>Treguesi i performanc</w:t>
            </w:r>
            <w:r w:rsidR="00D7294C" w:rsidRPr="009D660E">
              <w:rPr>
                <w:sz w:val="16"/>
                <w:szCs w:val="16"/>
                <w:lang w:val="it-IT"/>
              </w:rPr>
              <w:t>ë</w:t>
            </w:r>
            <w:r w:rsidRPr="009D660E">
              <w:rPr>
                <w:sz w:val="16"/>
                <w:szCs w:val="16"/>
                <w:lang w:val="it-IT"/>
              </w:rPr>
              <w:t xml:space="preserve">s </w:t>
            </w:r>
            <w:r w:rsidR="005B5670" w:rsidRPr="009D660E">
              <w:rPr>
                <w:sz w:val="16"/>
                <w:szCs w:val="16"/>
                <w:lang w:val="it-IT"/>
              </w:rPr>
              <w:t xml:space="preserve">PEFA 11. </w:t>
            </w:r>
            <w:r w:rsidRPr="009D660E">
              <w:rPr>
                <w:sz w:val="16"/>
                <w:szCs w:val="16"/>
                <w:lang w:val="it-IT"/>
              </w:rPr>
              <w:t>Menaxhimi i Investimeve Publike</w:t>
            </w:r>
            <w:r w:rsidR="005B5670" w:rsidRPr="009D660E">
              <w:rPr>
                <w:sz w:val="16"/>
                <w:szCs w:val="16"/>
                <w:lang w:val="it-IT"/>
              </w:rPr>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14:paraId="43524DCA" w14:textId="77777777" w:rsidR="009B6A5D" w:rsidRPr="001F151E" w:rsidRDefault="005B5670" w:rsidP="004F380A">
            <w:pPr>
              <w:pStyle w:val="EcorysBody"/>
              <w:spacing w:line="200" w:lineRule="exact"/>
              <w:jc w:val="center"/>
              <w:rPr>
                <w:rFonts w:ascii="Arial" w:hAnsi="Arial" w:cs="Arial"/>
                <w:sz w:val="16"/>
                <w:szCs w:val="16"/>
              </w:rPr>
            </w:pPr>
            <w:r w:rsidRPr="001F151E">
              <w:rPr>
                <w:rFonts w:ascii="Arial" w:hAnsi="Arial" w:cs="Arial"/>
                <w:sz w:val="16"/>
                <w:szCs w:val="16"/>
              </w:rPr>
              <w:t xml:space="preserve">C+ </w:t>
            </w:r>
          </w:p>
          <w:p w14:paraId="399DE74F" w14:textId="5F6BBD84" w:rsidR="005B5670" w:rsidRPr="001F151E" w:rsidRDefault="005B5670" w:rsidP="004F380A">
            <w:pPr>
              <w:pStyle w:val="EcorysBody"/>
              <w:spacing w:line="200" w:lineRule="exact"/>
              <w:jc w:val="center"/>
              <w:rPr>
                <w:rFonts w:ascii="Arial" w:hAnsi="Arial" w:cs="Arial"/>
                <w:sz w:val="16"/>
                <w:szCs w:val="16"/>
              </w:rPr>
            </w:pPr>
            <w:r w:rsidRPr="001F151E">
              <w:rPr>
                <w:rFonts w:ascii="Arial" w:hAnsi="Arial" w:cs="Arial"/>
                <w:sz w:val="16"/>
                <w:szCs w:val="16"/>
              </w:rPr>
              <w:t>(2017)</w:t>
            </w:r>
          </w:p>
        </w:tc>
        <w:tc>
          <w:tcPr>
            <w:tcW w:w="1181" w:type="dxa"/>
            <w:tcBorders>
              <w:top w:val="single" w:sz="4" w:space="0" w:color="auto"/>
              <w:left w:val="single" w:sz="4" w:space="0" w:color="auto"/>
              <w:bottom w:val="single" w:sz="4" w:space="0" w:color="auto"/>
              <w:right w:val="single" w:sz="4" w:space="0" w:color="auto"/>
            </w:tcBorders>
            <w:vAlign w:val="center"/>
          </w:tcPr>
          <w:p w14:paraId="79BF85A8" w14:textId="6F8C7894" w:rsidR="005B5670" w:rsidRPr="001F151E" w:rsidRDefault="004F380A" w:rsidP="004F380A">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43777491" w14:textId="7AFAC2F8" w:rsidR="005B5670" w:rsidRPr="001F151E" w:rsidRDefault="004F380A" w:rsidP="004F380A">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58BFC64D" w14:textId="01169205" w:rsidR="005B5670" w:rsidRPr="001F151E" w:rsidRDefault="004F380A" w:rsidP="004F380A">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502759D4" w14:textId="55E6D68F" w:rsidR="005B5670" w:rsidRPr="001F151E" w:rsidRDefault="005C272B" w:rsidP="004F380A">
            <w:pPr>
              <w:pStyle w:val="EcorysBody"/>
              <w:spacing w:line="200" w:lineRule="exact"/>
              <w:jc w:val="center"/>
              <w:rPr>
                <w:rFonts w:ascii="Arial" w:hAnsi="Arial" w:cs="Arial"/>
                <w:sz w:val="16"/>
                <w:szCs w:val="16"/>
              </w:rPr>
            </w:pPr>
            <w:r>
              <w:rPr>
                <w:rFonts w:ascii="Arial" w:hAnsi="Arial" w:cs="Arial"/>
                <w:sz w:val="16"/>
                <w:szCs w:val="16"/>
              </w:rPr>
              <w:t>B+</w:t>
            </w:r>
          </w:p>
        </w:tc>
      </w:tr>
      <w:tr w:rsidR="004F380A" w:rsidRPr="0059094E" w14:paraId="6740B04E" w14:textId="77777777" w:rsidTr="004F380A">
        <w:trPr>
          <w:trHeight w:val="21"/>
        </w:trPr>
        <w:tc>
          <w:tcPr>
            <w:tcW w:w="3114" w:type="dxa"/>
            <w:tcBorders>
              <w:top w:val="single" w:sz="4" w:space="0" w:color="auto"/>
              <w:left w:val="single" w:sz="4" w:space="0" w:color="auto"/>
              <w:bottom w:val="single" w:sz="4" w:space="0" w:color="auto"/>
              <w:right w:val="single" w:sz="4" w:space="0" w:color="auto"/>
            </w:tcBorders>
          </w:tcPr>
          <w:p w14:paraId="7E201C0E" w14:textId="5CB34422" w:rsidR="004F380A" w:rsidRPr="001F151E" w:rsidRDefault="00730674" w:rsidP="00CD7428">
            <w:pPr>
              <w:pStyle w:val="ListParagraph"/>
              <w:numPr>
                <w:ilvl w:val="0"/>
                <w:numId w:val="35"/>
              </w:numPr>
              <w:spacing w:line="200" w:lineRule="exact"/>
              <w:rPr>
                <w:sz w:val="16"/>
                <w:szCs w:val="16"/>
              </w:rPr>
            </w:pPr>
            <w:r>
              <w:rPr>
                <w:sz w:val="16"/>
                <w:szCs w:val="16"/>
              </w:rPr>
              <w:t>Prezantimi i procedurave t</w:t>
            </w:r>
            <w:r w:rsidR="00D7294C">
              <w:rPr>
                <w:sz w:val="16"/>
                <w:szCs w:val="16"/>
              </w:rPr>
              <w:t>ë</w:t>
            </w:r>
            <w:r>
              <w:rPr>
                <w:sz w:val="16"/>
                <w:szCs w:val="16"/>
              </w:rPr>
              <w:t xml:space="preserve"> p</w:t>
            </w:r>
            <w:r w:rsidR="00D7294C">
              <w:rPr>
                <w:sz w:val="16"/>
                <w:szCs w:val="16"/>
              </w:rPr>
              <w:t>ë</w:t>
            </w:r>
            <w:r>
              <w:rPr>
                <w:sz w:val="16"/>
                <w:szCs w:val="16"/>
              </w:rPr>
              <w:t>rmir</w:t>
            </w:r>
            <w:r w:rsidR="00D7294C">
              <w:rPr>
                <w:sz w:val="16"/>
                <w:szCs w:val="16"/>
              </w:rPr>
              <w:t>ë</w:t>
            </w:r>
            <w:r>
              <w:rPr>
                <w:sz w:val="16"/>
                <w:szCs w:val="16"/>
              </w:rPr>
              <w:t>suara t</w:t>
            </w:r>
            <w:r w:rsidR="00D7294C">
              <w:rPr>
                <w:sz w:val="16"/>
                <w:szCs w:val="16"/>
              </w:rPr>
              <w:t>ë</w:t>
            </w:r>
            <w:r>
              <w:rPr>
                <w:sz w:val="16"/>
                <w:szCs w:val="16"/>
              </w:rPr>
              <w:t xml:space="preserve"> MIP-s</w:t>
            </w:r>
            <w:r w:rsidR="00D7294C">
              <w:rPr>
                <w:sz w:val="16"/>
                <w:szCs w:val="16"/>
              </w:rPr>
              <w:t>ë</w:t>
            </w:r>
            <w:r w:rsidR="001C233F">
              <w:rPr>
                <w:sz w:val="16"/>
                <w:szCs w:val="16"/>
              </w:rPr>
              <w:t xml:space="preserve"> </w:t>
            </w:r>
            <w:r w:rsidR="001C233F" w:rsidRPr="00065095">
              <w:rPr>
                <w:sz w:val="16"/>
                <w:szCs w:val="16"/>
              </w:rPr>
              <w:t>(përfshirë mekanizmat përkatës të vendimmarrjes)</w:t>
            </w:r>
          </w:p>
        </w:tc>
        <w:tc>
          <w:tcPr>
            <w:tcW w:w="1180" w:type="dxa"/>
            <w:tcBorders>
              <w:top w:val="single" w:sz="4" w:space="0" w:color="auto"/>
              <w:left w:val="single" w:sz="4" w:space="0" w:color="auto"/>
              <w:bottom w:val="single" w:sz="4" w:space="0" w:color="auto"/>
              <w:right w:val="single" w:sz="4" w:space="0" w:color="auto"/>
            </w:tcBorders>
            <w:vAlign w:val="center"/>
          </w:tcPr>
          <w:p w14:paraId="30E136D4" w14:textId="77777777" w:rsidR="004F380A" w:rsidRPr="001F151E" w:rsidRDefault="004F380A" w:rsidP="004F380A">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4B0132AA" w14:textId="7EF493FB" w:rsidR="004F380A" w:rsidRPr="009D660E" w:rsidRDefault="00730674" w:rsidP="004F380A">
            <w:pPr>
              <w:pStyle w:val="EcorysBody"/>
              <w:spacing w:line="200" w:lineRule="exact"/>
              <w:jc w:val="center"/>
              <w:rPr>
                <w:rFonts w:ascii="Arial" w:hAnsi="Arial" w:cs="Arial"/>
                <w:sz w:val="16"/>
                <w:szCs w:val="16"/>
                <w:lang w:val="it-IT"/>
              </w:rPr>
            </w:pPr>
            <w:r w:rsidRPr="009D660E">
              <w:rPr>
                <w:rFonts w:ascii="Arial" w:hAnsi="Arial" w:cs="Arial"/>
                <w:sz w:val="16"/>
                <w:szCs w:val="16"/>
                <w:lang w:val="it-IT"/>
              </w:rPr>
              <w:t>Operacionalizimi i procedurave t</w:t>
            </w:r>
            <w:r w:rsidR="00D7294C" w:rsidRPr="009D660E">
              <w:rPr>
                <w:rFonts w:ascii="Arial" w:hAnsi="Arial" w:cs="Arial"/>
                <w:sz w:val="16"/>
                <w:szCs w:val="16"/>
                <w:lang w:val="it-IT"/>
              </w:rPr>
              <w:t>ë</w:t>
            </w:r>
            <w:r w:rsidRPr="009D660E">
              <w:rPr>
                <w:rFonts w:ascii="Arial" w:hAnsi="Arial" w:cs="Arial"/>
                <w:sz w:val="16"/>
                <w:szCs w:val="16"/>
                <w:lang w:val="it-IT"/>
              </w:rPr>
              <w:t xml:space="preserve"> MIP-s</w:t>
            </w:r>
            <w:r w:rsidR="00D7294C" w:rsidRPr="009D660E">
              <w:rPr>
                <w:rFonts w:ascii="Arial" w:hAnsi="Arial" w:cs="Arial"/>
                <w:sz w:val="16"/>
                <w:szCs w:val="16"/>
                <w:lang w:val="it-IT"/>
              </w:rPr>
              <w:t>ë</w:t>
            </w:r>
          </w:p>
        </w:tc>
        <w:tc>
          <w:tcPr>
            <w:tcW w:w="1180" w:type="dxa"/>
            <w:tcBorders>
              <w:top w:val="single" w:sz="4" w:space="0" w:color="auto"/>
              <w:left w:val="single" w:sz="4" w:space="0" w:color="auto"/>
              <w:bottom w:val="single" w:sz="4" w:space="0" w:color="auto"/>
              <w:right w:val="single" w:sz="4" w:space="0" w:color="auto"/>
            </w:tcBorders>
            <w:vAlign w:val="center"/>
          </w:tcPr>
          <w:p w14:paraId="080180D3" w14:textId="5E3461B4" w:rsidR="004F380A" w:rsidRPr="009D660E" w:rsidRDefault="001C233F" w:rsidP="001C233F">
            <w:pPr>
              <w:pStyle w:val="EcorysBody"/>
              <w:spacing w:line="200" w:lineRule="exact"/>
              <w:jc w:val="center"/>
              <w:rPr>
                <w:rFonts w:ascii="Arial" w:hAnsi="Arial" w:cs="Arial"/>
                <w:sz w:val="16"/>
                <w:szCs w:val="16"/>
                <w:lang w:val="it-IT"/>
              </w:rPr>
            </w:pPr>
            <w:r w:rsidRPr="009D660E">
              <w:rPr>
                <w:rFonts w:ascii="Arial" w:hAnsi="Arial" w:cs="Arial"/>
                <w:sz w:val="16"/>
                <w:szCs w:val="16"/>
                <w:lang w:val="it-IT"/>
              </w:rPr>
              <w:t>Përmirësimi dhe z</w:t>
            </w:r>
            <w:r w:rsidR="00730674" w:rsidRPr="009D660E">
              <w:rPr>
                <w:rFonts w:ascii="Arial" w:hAnsi="Arial" w:cs="Arial"/>
                <w:sz w:val="16"/>
                <w:szCs w:val="16"/>
                <w:lang w:val="it-IT"/>
              </w:rPr>
              <w:t>batimi i procedurave t</w:t>
            </w:r>
            <w:r w:rsidR="00D7294C" w:rsidRPr="009D660E">
              <w:rPr>
                <w:rFonts w:ascii="Arial" w:hAnsi="Arial" w:cs="Arial"/>
                <w:sz w:val="16"/>
                <w:szCs w:val="16"/>
                <w:lang w:val="it-IT"/>
              </w:rPr>
              <w:t>ë</w:t>
            </w:r>
            <w:r w:rsidR="00730674" w:rsidRPr="009D660E">
              <w:rPr>
                <w:rFonts w:ascii="Arial" w:hAnsi="Arial" w:cs="Arial"/>
                <w:sz w:val="16"/>
                <w:szCs w:val="16"/>
                <w:lang w:val="it-IT"/>
              </w:rPr>
              <w:t xml:space="preserve"> MIP-s</w:t>
            </w:r>
            <w:r w:rsidR="00D7294C" w:rsidRPr="009D660E">
              <w:rPr>
                <w:rFonts w:ascii="Arial" w:hAnsi="Arial" w:cs="Arial"/>
                <w:sz w:val="16"/>
                <w:szCs w:val="16"/>
                <w:lang w:val="it-IT"/>
              </w:rPr>
              <w:t>ë</w:t>
            </w:r>
          </w:p>
        </w:tc>
        <w:tc>
          <w:tcPr>
            <w:tcW w:w="1181" w:type="dxa"/>
            <w:tcBorders>
              <w:top w:val="single" w:sz="4" w:space="0" w:color="auto"/>
              <w:left w:val="single" w:sz="4" w:space="0" w:color="auto"/>
              <w:bottom w:val="single" w:sz="4" w:space="0" w:color="auto"/>
              <w:right w:val="single" w:sz="4" w:space="0" w:color="auto"/>
            </w:tcBorders>
            <w:vAlign w:val="center"/>
          </w:tcPr>
          <w:p w14:paraId="3CB7C2B2" w14:textId="4084AE3E" w:rsidR="004F380A" w:rsidRPr="009D660E" w:rsidRDefault="00730674" w:rsidP="004F380A">
            <w:pPr>
              <w:pStyle w:val="EcorysBody"/>
              <w:spacing w:line="200" w:lineRule="exact"/>
              <w:jc w:val="center"/>
              <w:rPr>
                <w:rFonts w:ascii="Arial" w:hAnsi="Arial" w:cs="Arial"/>
                <w:sz w:val="16"/>
                <w:szCs w:val="16"/>
                <w:lang w:val="it-IT"/>
              </w:rPr>
            </w:pPr>
            <w:r w:rsidRPr="009D660E">
              <w:rPr>
                <w:rFonts w:ascii="Arial" w:hAnsi="Arial" w:cs="Arial"/>
                <w:sz w:val="16"/>
                <w:szCs w:val="16"/>
                <w:lang w:val="it-IT"/>
              </w:rPr>
              <w:t>Zbatimi i procedurave t</w:t>
            </w:r>
            <w:r w:rsidR="00D7294C" w:rsidRPr="009D660E">
              <w:rPr>
                <w:rFonts w:ascii="Arial" w:hAnsi="Arial" w:cs="Arial"/>
                <w:sz w:val="16"/>
                <w:szCs w:val="16"/>
                <w:lang w:val="it-IT"/>
              </w:rPr>
              <w:t>ë</w:t>
            </w:r>
            <w:r w:rsidRPr="009D660E">
              <w:rPr>
                <w:rFonts w:ascii="Arial" w:hAnsi="Arial" w:cs="Arial"/>
                <w:sz w:val="16"/>
                <w:szCs w:val="16"/>
                <w:lang w:val="it-IT"/>
              </w:rPr>
              <w:t xml:space="preserve"> MIP-s</w:t>
            </w:r>
            <w:r w:rsidR="00D7294C" w:rsidRPr="009D660E">
              <w:rPr>
                <w:rFonts w:ascii="Arial" w:hAnsi="Arial" w:cs="Arial"/>
                <w:sz w:val="16"/>
                <w:szCs w:val="16"/>
                <w:lang w:val="it-IT"/>
              </w:rPr>
              <w:t>ë</w:t>
            </w:r>
          </w:p>
        </w:tc>
        <w:tc>
          <w:tcPr>
            <w:tcW w:w="1181" w:type="dxa"/>
            <w:tcBorders>
              <w:top w:val="single" w:sz="4" w:space="0" w:color="auto"/>
              <w:left w:val="single" w:sz="4" w:space="0" w:color="auto"/>
              <w:bottom w:val="single" w:sz="4" w:space="0" w:color="auto"/>
              <w:right w:val="single" w:sz="4" w:space="0" w:color="auto"/>
            </w:tcBorders>
            <w:vAlign w:val="center"/>
          </w:tcPr>
          <w:p w14:paraId="70B4E84C" w14:textId="66962790" w:rsidR="004F380A" w:rsidRPr="009D660E" w:rsidRDefault="00730674" w:rsidP="004F380A">
            <w:pPr>
              <w:pStyle w:val="EcorysBody"/>
              <w:spacing w:line="200" w:lineRule="exact"/>
              <w:jc w:val="center"/>
              <w:rPr>
                <w:rFonts w:ascii="Arial" w:hAnsi="Arial" w:cs="Arial"/>
                <w:sz w:val="16"/>
                <w:szCs w:val="16"/>
                <w:lang w:val="it-IT"/>
              </w:rPr>
            </w:pPr>
            <w:r w:rsidRPr="009D660E">
              <w:rPr>
                <w:rFonts w:ascii="Arial" w:hAnsi="Arial" w:cs="Arial"/>
                <w:sz w:val="16"/>
                <w:szCs w:val="16"/>
                <w:lang w:val="it-IT"/>
              </w:rPr>
              <w:t>P</w:t>
            </w:r>
            <w:r w:rsidR="00D7294C" w:rsidRPr="009D660E">
              <w:rPr>
                <w:rFonts w:ascii="Arial" w:hAnsi="Arial" w:cs="Arial"/>
                <w:sz w:val="16"/>
                <w:szCs w:val="16"/>
                <w:lang w:val="it-IT"/>
              </w:rPr>
              <w:t>ë</w:t>
            </w:r>
            <w:r w:rsidRPr="009D660E">
              <w:rPr>
                <w:rFonts w:ascii="Arial" w:hAnsi="Arial" w:cs="Arial"/>
                <w:sz w:val="16"/>
                <w:szCs w:val="16"/>
                <w:lang w:val="it-IT"/>
              </w:rPr>
              <w:t>rdit</w:t>
            </w:r>
            <w:r w:rsidR="00D7294C" w:rsidRPr="009D660E">
              <w:rPr>
                <w:rFonts w:ascii="Arial" w:hAnsi="Arial" w:cs="Arial"/>
                <w:sz w:val="16"/>
                <w:szCs w:val="16"/>
                <w:lang w:val="it-IT"/>
              </w:rPr>
              <w:t>ë</w:t>
            </w:r>
            <w:r w:rsidRPr="009D660E">
              <w:rPr>
                <w:rFonts w:ascii="Arial" w:hAnsi="Arial" w:cs="Arial"/>
                <w:sz w:val="16"/>
                <w:szCs w:val="16"/>
                <w:lang w:val="it-IT"/>
              </w:rPr>
              <w:t>simi i procedurave t</w:t>
            </w:r>
            <w:r w:rsidR="00D7294C" w:rsidRPr="009D660E">
              <w:rPr>
                <w:rFonts w:ascii="Arial" w:hAnsi="Arial" w:cs="Arial"/>
                <w:sz w:val="16"/>
                <w:szCs w:val="16"/>
                <w:lang w:val="it-IT"/>
              </w:rPr>
              <w:t>ë</w:t>
            </w:r>
            <w:r w:rsidRPr="009D660E">
              <w:rPr>
                <w:rFonts w:ascii="Arial" w:hAnsi="Arial" w:cs="Arial"/>
                <w:sz w:val="16"/>
                <w:szCs w:val="16"/>
                <w:lang w:val="it-IT"/>
              </w:rPr>
              <w:t xml:space="preserve"> MIP-s</w:t>
            </w:r>
            <w:r w:rsidR="00D7294C" w:rsidRPr="009D660E">
              <w:rPr>
                <w:rFonts w:ascii="Arial" w:hAnsi="Arial" w:cs="Arial"/>
                <w:sz w:val="16"/>
                <w:szCs w:val="16"/>
                <w:lang w:val="it-IT"/>
              </w:rPr>
              <w:t>ë</w:t>
            </w:r>
          </w:p>
        </w:tc>
      </w:tr>
      <w:tr w:rsidR="009B6A5D" w:rsidRPr="001F151E" w14:paraId="450EDDBA" w14:textId="77777777" w:rsidTr="004F380A">
        <w:tc>
          <w:tcPr>
            <w:tcW w:w="3114" w:type="dxa"/>
            <w:tcBorders>
              <w:top w:val="single" w:sz="4" w:space="0" w:color="auto"/>
              <w:left w:val="single" w:sz="4" w:space="0" w:color="auto"/>
              <w:bottom w:val="single" w:sz="4" w:space="0" w:color="auto"/>
              <w:right w:val="single" w:sz="4" w:space="0" w:color="auto"/>
            </w:tcBorders>
          </w:tcPr>
          <w:p w14:paraId="2951E1D7" w14:textId="62D8D77F" w:rsidR="009B6A5D" w:rsidRPr="009D660E" w:rsidRDefault="006C2E19" w:rsidP="00CD7428">
            <w:pPr>
              <w:pStyle w:val="ListParagraph"/>
              <w:numPr>
                <w:ilvl w:val="0"/>
                <w:numId w:val="35"/>
              </w:numPr>
              <w:spacing w:line="200" w:lineRule="exact"/>
              <w:rPr>
                <w:iCs/>
                <w:sz w:val="16"/>
                <w:szCs w:val="16"/>
                <w:lang w:val="it-IT"/>
              </w:rPr>
            </w:pPr>
            <w:r w:rsidRPr="009D660E">
              <w:rPr>
                <w:iCs/>
                <w:sz w:val="16"/>
                <w:szCs w:val="16"/>
                <w:lang w:val="it-IT"/>
              </w:rPr>
              <w:t>Pjesa e projekteve të investimeve publike që propozohen në bazë të prioriteteve strategjike të qeverisë (vlera e projekteve në një vit të caktuar)</w:t>
            </w:r>
          </w:p>
        </w:tc>
        <w:tc>
          <w:tcPr>
            <w:tcW w:w="1180" w:type="dxa"/>
            <w:tcBorders>
              <w:top w:val="single" w:sz="4" w:space="0" w:color="auto"/>
              <w:left w:val="single" w:sz="4" w:space="0" w:color="auto"/>
              <w:bottom w:val="single" w:sz="4" w:space="0" w:color="auto"/>
              <w:right w:val="single" w:sz="4" w:space="0" w:color="auto"/>
            </w:tcBorders>
            <w:vAlign w:val="center"/>
          </w:tcPr>
          <w:p w14:paraId="713D8031" w14:textId="77777777" w:rsidR="009B6A5D" w:rsidRPr="001F151E" w:rsidRDefault="009B6A5D" w:rsidP="004F380A">
            <w:pPr>
              <w:pStyle w:val="EcorysBody"/>
              <w:spacing w:line="200" w:lineRule="exact"/>
              <w:jc w:val="center"/>
              <w:rPr>
                <w:rFonts w:ascii="Arial" w:hAnsi="Arial" w:cs="Arial"/>
                <w:sz w:val="16"/>
                <w:szCs w:val="16"/>
              </w:rPr>
            </w:pPr>
            <w:r w:rsidRPr="001F151E">
              <w:rPr>
                <w:rFonts w:ascii="Arial" w:hAnsi="Arial" w:cs="Arial"/>
                <w:sz w:val="16"/>
                <w:szCs w:val="16"/>
              </w:rPr>
              <w:t xml:space="preserve">82% </w:t>
            </w:r>
          </w:p>
          <w:p w14:paraId="4551C0C8" w14:textId="1D9827D9" w:rsidR="009B6A5D" w:rsidRPr="001F151E" w:rsidRDefault="009B6A5D" w:rsidP="004F380A">
            <w:pPr>
              <w:pStyle w:val="EcorysBody"/>
              <w:spacing w:line="200" w:lineRule="exact"/>
              <w:jc w:val="center"/>
              <w:rPr>
                <w:rFonts w:ascii="Arial" w:hAnsi="Arial" w:cs="Arial"/>
                <w:sz w:val="16"/>
                <w:szCs w:val="16"/>
              </w:rPr>
            </w:pPr>
            <w:r w:rsidRPr="001F151E">
              <w:rPr>
                <w:rFonts w:ascii="Arial" w:hAnsi="Arial" w:cs="Arial"/>
                <w:sz w:val="16"/>
                <w:szCs w:val="16"/>
              </w:rPr>
              <w:t>(2020)</w:t>
            </w:r>
          </w:p>
        </w:tc>
        <w:tc>
          <w:tcPr>
            <w:tcW w:w="1181" w:type="dxa"/>
            <w:tcBorders>
              <w:top w:val="single" w:sz="4" w:space="0" w:color="auto"/>
              <w:left w:val="single" w:sz="4" w:space="0" w:color="auto"/>
              <w:bottom w:val="single" w:sz="4" w:space="0" w:color="auto"/>
              <w:right w:val="single" w:sz="4" w:space="0" w:color="auto"/>
            </w:tcBorders>
            <w:vAlign w:val="center"/>
          </w:tcPr>
          <w:p w14:paraId="6C5DA407" w14:textId="77777777" w:rsidR="009B6A5D" w:rsidRPr="001F151E" w:rsidRDefault="009B6A5D" w:rsidP="004F380A">
            <w:pPr>
              <w:pStyle w:val="EcorysBody"/>
              <w:spacing w:line="200" w:lineRule="exact"/>
              <w:jc w:val="center"/>
              <w:rPr>
                <w:rFonts w:ascii="Arial" w:hAnsi="Arial" w:cs="Arial"/>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tcPr>
          <w:p w14:paraId="5F6A858B" w14:textId="56DD70C4" w:rsidR="009B6A5D" w:rsidRPr="001F151E" w:rsidRDefault="00452F6A" w:rsidP="00452F6A">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82%</w:t>
            </w:r>
          </w:p>
        </w:tc>
        <w:tc>
          <w:tcPr>
            <w:tcW w:w="1181" w:type="dxa"/>
            <w:tcBorders>
              <w:top w:val="single" w:sz="4" w:space="0" w:color="auto"/>
              <w:left w:val="single" w:sz="4" w:space="0" w:color="auto"/>
              <w:bottom w:val="single" w:sz="4" w:space="0" w:color="auto"/>
              <w:right w:val="single" w:sz="4" w:space="0" w:color="auto"/>
            </w:tcBorders>
            <w:vAlign w:val="center"/>
          </w:tcPr>
          <w:p w14:paraId="14922002" w14:textId="4DCBB95A" w:rsidR="009B6A5D" w:rsidRPr="001F151E" w:rsidRDefault="00452F6A" w:rsidP="009B6A5D">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82%</w:t>
            </w:r>
          </w:p>
        </w:tc>
        <w:tc>
          <w:tcPr>
            <w:tcW w:w="1181" w:type="dxa"/>
            <w:tcBorders>
              <w:top w:val="single" w:sz="4" w:space="0" w:color="auto"/>
              <w:left w:val="single" w:sz="4" w:space="0" w:color="auto"/>
              <w:bottom w:val="single" w:sz="4" w:space="0" w:color="auto"/>
              <w:right w:val="single" w:sz="4" w:space="0" w:color="auto"/>
            </w:tcBorders>
            <w:vAlign w:val="center"/>
          </w:tcPr>
          <w:p w14:paraId="44E29F87" w14:textId="0DC3DB9C" w:rsidR="009B6A5D" w:rsidRPr="001F151E" w:rsidRDefault="00B13E9F" w:rsidP="004F380A">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82%</w:t>
            </w:r>
          </w:p>
        </w:tc>
      </w:tr>
      <w:tr w:rsidR="00452F6A" w:rsidRPr="001F151E" w14:paraId="542ABA66" w14:textId="77777777" w:rsidTr="00EF2CB7">
        <w:tc>
          <w:tcPr>
            <w:tcW w:w="3114" w:type="dxa"/>
            <w:tcBorders>
              <w:top w:val="single" w:sz="4" w:space="0" w:color="auto"/>
              <w:left w:val="single" w:sz="4" w:space="0" w:color="auto"/>
              <w:bottom w:val="single" w:sz="4" w:space="0" w:color="auto"/>
              <w:right w:val="single" w:sz="4" w:space="0" w:color="auto"/>
            </w:tcBorders>
          </w:tcPr>
          <w:p w14:paraId="1A8D50F3" w14:textId="6F81668B" w:rsidR="00452F6A" w:rsidRPr="001F151E" w:rsidRDefault="006C2E19" w:rsidP="00CD7428">
            <w:pPr>
              <w:pStyle w:val="ListParagraph"/>
              <w:numPr>
                <w:ilvl w:val="0"/>
                <w:numId w:val="35"/>
              </w:numPr>
              <w:spacing w:line="200" w:lineRule="exact"/>
              <w:rPr>
                <w:sz w:val="16"/>
                <w:szCs w:val="16"/>
              </w:rPr>
            </w:pPr>
            <w:r>
              <w:rPr>
                <w:sz w:val="16"/>
                <w:szCs w:val="16"/>
              </w:rPr>
              <w:t>Disbursimet aktuale p</w:t>
            </w:r>
            <w:r w:rsidR="00D7294C">
              <w:rPr>
                <w:sz w:val="16"/>
                <w:szCs w:val="16"/>
              </w:rPr>
              <w:t>ë</w:t>
            </w:r>
            <w:r>
              <w:rPr>
                <w:sz w:val="16"/>
                <w:szCs w:val="16"/>
              </w:rPr>
              <w:t>r projektet e m</w:t>
            </w:r>
            <w:r w:rsidR="00D7294C">
              <w:rPr>
                <w:sz w:val="16"/>
                <w:szCs w:val="16"/>
              </w:rPr>
              <w:t>ë</w:t>
            </w:r>
            <w:r>
              <w:rPr>
                <w:sz w:val="16"/>
                <w:szCs w:val="16"/>
              </w:rPr>
              <w:t>dha t</w:t>
            </w:r>
            <w:r w:rsidR="00D7294C">
              <w:rPr>
                <w:sz w:val="16"/>
                <w:szCs w:val="16"/>
              </w:rPr>
              <w:t>ë</w:t>
            </w:r>
            <w:r>
              <w:rPr>
                <w:sz w:val="16"/>
                <w:szCs w:val="16"/>
              </w:rPr>
              <w:t xml:space="preserve"> investimit krahasuar me disbursimet e planifikuara shoq</w:t>
            </w:r>
            <w:r w:rsidR="00D7294C">
              <w:rPr>
                <w:sz w:val="16"/>
                <w:szCs w:val="16"/>
              </w:rPr>
              <w:t>ë</w:t>
            </w:r>
            <w:r>
              <w:rPr>
                <w:sz w:val="16"/>
                <w:szCs w:val="16"/>
              </w:rPr>
              <w:t>ruar me shpjegimet p</w:t>
            </w:r>
            <w:r w:rsidR="00D7294C">
              <w:rPr>
                <w:sz w:val="16"/>
                <w:szCs w:val="16"/>
              </w:rPr>
              <w:t>ë</w:t>
            </w:r>
            <w:r>
              <w:rPr>
                <w:sz w:val="16"/>
                <w:szCs w:val="16"/>
              </w:rPr>
              <w:t>rkat</w:t>
            </w:r>
            <w:r w:rsidR="00D7294C">
              <w:rPr>
                <w:sz w:val="16"/>
                <w:szCs w:val="16"/>
              </w:rPr>
              <w:t>ë</w:t>
            </w:r>
            <w:r>
              <w:rPr>
                <w:sz w:val="16"/>
                <w:szCs w:val="16"/>
              </w:rPr>
              <w:t>se n</w:t>
            </w:r>
            <w:r w:rsidR="00D7294C">
              <w:rPr>
                <w:sz w:val="16"/>
                <w:szCs w:val="16"/>
              </w:rPr>
              <w:t>ë</w:t>
            </w:r>
            <w:r>
              <w:rPr>
                <w:sz w:val="16"/>
                <w:szCs w:val="16"/>
              </w:rPr>
              <w:t xml:space="preserve"> rastet kur ka devijime.</w:t>
            </w:r>
          </w:p>
        </w:tc>
        <w:tc>
          <w:tcPr>
            <w:tcW w:w="1180" w:type="dxa"/>
            <w:tcBorders>
              <w:top w:val="single" w:sz="4" w:space="0" w:color="auto"/>
              <w:left w:val="single" w:sz="4" w:space="0" w:color="auto"/>
              <w:bottom w:val="single" w:sz="4" w:space="0" w:color="auto"/>
              <w:right w:val="single" w:sz="4" w:space="0" w:color="auto"/>
            </w:tcBorders>
            <w:vAlign w:val="center"/>
          </w:tcPr>
          <w:p w14:paraId="6FACABB7" w14:textId="3DBCE94D" w:rsidR="00452F6A" w:rsidRPr="001F151E" w:rsidRDefault="00452F6A" w:rsidP="00452F6A">
            <w:pPr>
              <w:pStyle w:val="EcorysBody"/>
              <w:spacing w:line="200" w:lineRule="exact"/>
              <w:jc w:val="center"/>
              <w:rPr>
                <w:rFonts w:ascii="Arial" w:hAnsi="Arial" w:cs="Arial"/>
                <w:sz w:val="16"/>
                <w:szCs w:val="16"/>
              </w:rPr>
            </w:pPr>
            <w:r w:rsidRPr="001F151E">
              <w:rPr>
                <w:rFonts w:ascii="Arial" w:hAnsi="Arial" w:cs="Arial"/>
                <w:sz w:val="16"/>
                <w:szCs w:val="16"/>
              </w:rPr>
              <w:t>98%</w:t>
            </w:r>
          </w:p>
          <w:p w14:paraId="3A673DCA" w14:textId="5848D9CC" w:rsidR="00452F6A" w:rsidRPr="001F151E" w:rsidRDefault="00452F6A" w:rsidP="00452F6A">
            <w:pPr>
              <w:pStyle w:val="EcorysBody"/>
              <w:spacing w:line="200" w:lineRule="exact"/>
              <w:jc w:val="center"/>
              <w:rPr>
                <w:rFonts w:ascii="Arial" w:hAnsi="Arial" w:cs="Arial"/>
                <w:sz w:val="16"/>
                <w:szCs w:val="16"/>
              </w:rPr>
            </w:pPr>
            <w:r w:rsidRPr="001F151E">
              <w:rPr>
                <w:rFonts w:ascii="Arial" w:hAnsi="Arial" w:cs="Arial"/>
                <w:sz w:val="16"/>
                <w:szCs w:val="16"/>
              </w:rPr>
              <w:t>(2022)</w:t>
            </w:r>
          </w:p>
        </w:tc>
        <w:tc>
          <w:tcPr>
            <w:tcW w:w="1181" w:type="dxa"/>
            <w:tcBorders>
              <w:top w:val="single" w:sz="4" w:space="0" w:color="auto"/>
              <w:left w:val="single" w:sz="4" w:space="0" w:color="auto"/>
              <w:bottom w:val="single" w:sz="4" w:space="0" w:color="auto"/>
              <w:right w:val="single" w:sz="4" w:space="0" w:color="auto"/>
            </w:tcBorders>
            <w:vAlign w:val="center"/>
          </w:tcPr>
          <w:p w14:paraId="25BA3B1C" w14:textId="77777777" w:rsidR="00452F6A" w:rsidRPr="001F151E" w:rsidRDefault="00452F6A" w:rsidP="00452F6A">
            <w:pPr>
              <w:pStyle w:val="EcorysBody"/>
              <w:spacing w:line="200" w:lineRule="exact"/>
              <w:jc w:val="center"/>
              <w:rPr>
                <w:rFonts w:ascii="Arial" w:hAnsi="Arial" w:cs="Arial"/>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tcPr>
          <w:p w14:paraId="747A7B02" w14:textId="12F4A8A7" w:rsidR="00452F6A" w:rsidRPr="001F151E" w:rsidRDefault="00452F6A" w:rsidP="00452F6A">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98%</w:t>
            </w:r>
          </w:p>
        </w:tc>
        <w:tc>
          <w:tcPr>
            <w:tcW w:w="1181" w:type="dxa"/>
            <w:tcBorders>
              <w:top w:val="single" w:sz="4" w:space="0" w:color="auto"/>
              <w:left w:val="single" w:sz="4" w:space="0" w:color="auto"/>
              <w:bottom w:val="single" w:sz="4" w:space="0" w:color="auto"/>
              <w:right w:val="single" w:sz="4" w:space="0" w:color="auto"/>
            </w:tcBorders>
            <w:vAlign w:val="center"/>
          </w:tcPr>
          <w:p w14:paraId="19CDF3C4" w14:textId="73CC2F86" w:rsidR="00452F6A" w:rsidRPr="001F151E" w:rsidRDefault="00452F6A" w:rsidP="00452F6A">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98%</w:t>
            </w:r>
          </w:p>
        </w:tc>
        <w:tc>
          <w:tcPr>
            <w:tcW w:w="1181" w:type="dxa"/>
            <w:tcBorders>
              <w:top w:val="single" w:sz="4" w:space="0" w:color="auto"/>
              <w:left w:val="single" w:sz="4" w:space="0" w:color="auto"/>
              <w:bottom w:val="single" w:sz="4" w:space="0" w:color="auto"/>
              <w:right w:val="single" w:sz="4" w:space="0" w:color="auto"/>
            </w:tcBorders>
            <w:vAlign w:val="center"/>
          </w:tcPr>
          <w:p w14:paraId="0D0D5962" w14:textId="261FC972" w:rsidR="00452F6A" w:rsidRPr="001F151E" w:rsidRDefault="00452F6A" w:rsidP="00452F6A">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98%</w:t>
            </w:r>
          </w:p>
        </w:tc>
      </w:tr>
      <w:tr w:rsidR="00452F6A" w:rsidRPr="001F151E" w14:paraId="0E6A06F6" w14:textId="77777777" w:rsidTr="00EF2CB7">
        <w:tc>
          <w:tcPr>
            <w:tcW w:w="3114" w:type="dxa"/>
            <w:tcBorders>
              <w:top w:val="single" w:sz="4" w:space="0" w:color="auto"/>
              <w:left w:val="single" w:sz="4" w:space="0" w:color="auto"/>
              <w:bottom w:val="single" w:sz="4" w:space="0" w:color="auto"/>
              <w:right w:val="single" w:sz="4" w:space="0" w:color="auto"/>
            </w:tcBorders>
          </w:tcPr>
          <w:p w14:paraId="452563AA" w14:textId="13D842B4" w:rsidR="00452F6A" w:rsidRPr="001F151E" w:rsidRDefault="006C2E19" w:rsidP="00CD7428">
            <w:pPr>
              <w:pStyle w:val="ListParagraph"/>
              <w:numPr>
                <w:ilvl w:val="0"/>
                <w:numId w:val="35"/>
              </w:numPr>
              <w:spacing w:line="200" w:lineRule="exact"/>
              <w:rPr>
                <w:sz w:val="16"/>
                <w:szCs w:val="16"/>
              </w:rPr>
            </w:pPr>
            <w:r>
              <w:rPr>
                <w:sz w:val="16"/>
                <w:szCs w:val="16"/>
              </w:rPr>
              <w:t xml:space="preserve">Raporti </w:t>
            </w:r>
            <w:r w:rsidRPr="006C2E19">
              <w:rPr>
                <w:sz w:val="16"/>
                <w:szCs w:val="16"/>
              </w:rPr>
              <w:t>i investimeve të reja publike të paraqitura brenda ciklit të PBA-së kundrejt totalit të investimeve të reja publike të miratuara në një vit.</w:t>
            </w:r>
          </w:p>
        </w:tc>
        <w:tc>
          <w:tcPr>
            <w:tcW w:w="1180" w:type="dxa"/>
            <w:tcBorders>
              <w:top w:val="single" w:sz="4" w:space="0" w:color="auto"/>
              <w:left w:val="single" w:sz="4" w:space="0" w:color="auto"/>
              <w:bottom w:val="single" w:sz="4" w:space="0" w:color="auto"/>
              <w:right w:val="single" w:sz="4" w:space="0" w:color="auto"/>
            </w:tcBorders>
            <w:vAlign w:val="center"/>
          </w:tcPr>
          <w:p w14:paraId="2027A14D" w14:textId="77777777" w:rsidR="00452F6A" w:rsidRPr="001F151E" w:rsidRDefault="00452F6A" w:rsidP="00452F6A">
            <w:pPr>
              <w:pStyle w:val="EcorysBody"/>
              <w:spacing w:line="200" w:lineRule="exact"/>
              <w:jc w:val="center"/>
              <w:rPr>
                <w:rFonts w:ascii="Arial" w:hAnsi="Arial" w:cs="Arial"/>
                <w:sz w:val="16"/>
                <w:szCs w:val="16"/>
              </w:rPr>
            </w:pPr>
            <w:r w:rsidRPr="001F151E">
              <w:rPr>
                <w:rFonts w:ascii="Arial" w:hAnsi="Arial" w:cs="Arial"/>
                <w:sz w:val="16"/>
                <w:szCs w:val="16"/>
              </w:rPr>
              <w:t>74.2%</w:t>
            </w:r>
          </w:p>
          <w:p w14:paraId="466D3CBC" w14:textId="7DD41064" w:rsidR="00452F6A" w:rsidRPr="001F151E" w:rsidRDefault="00452F6A" w:rsidP="00452F6A">
            <w:pPr>
              <w:pStyle w:val="EcorysBody"/>
              <w:spacing w:line="200" w:lineRule="exact"/>
              <w:jc w:val="center"/>
              <w:rPr>
                <w:rFonts w:ascii="Arial" w:hAnsi="Arial" w:cs="Arial"/>
                <w:sz w:val="16"/>
                <w:szCs w:val="16"/>
              </w:rPr>
            </w:pPr>
            <w:r w:rsidRPr="001F151E">
              <w:rPr>
                <w:rFonts w:ascii="Arial" w:hAnsi="Arial" w:cs="Arial"/>
                <w:sz w:val="16"/>
                <w:szCs w:val="16"/>
              </w:rPr>
              <w:t>(2022)</w:t>
            </w:r>
          </w:p>
        </w:tc>
        <w:tc>
          <w:tcPr>
            <w:tcW w:w="1181" w:type="dxa"/>
            <w:tcBorders>
              <w:top w:val="single" w:sz="4" w:space="0" w:color="auto"/>
              <w:left w:val="single" w:sz="4" w:space="0" w:color="auto"/>
              <w:bottom w:val="single" w:sz="4" w:space="0" w:color="auto"/>
              <w:right w:val="single" w:sz="4" w:space="0" w:color="auto"/>
            </w:tcBorders>
            <w:vAlign w:val="center"/>
          </w:tcPr>
          <w:p w14:paraId="67BFD92D" w14:textId="77777777" w:rsidR="00452F6A" w:rsidRPr="001F151E" w:rsidRDefault="00452F6A" w:rsidP="00452F6A">
            <w:pPr>
              <w:pStyle w:val="EcorysBody"/>
              <w:spacing w:line="200" w:lineRule="exact"/>
              <w:jc w:val="center"/>
              <w:rPr>
                <w:rFonts w:ascii="Arial" w:hAnsi="Arial" w:cs="Arial"/>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tcPr>
          <w:p w14:paraId="45FB8E3B" w14:textId="5271C7F0" w:rsidR="00452F6A" w:rsidRPr="001F151E" w:rsidRDefault="00452F6A" w:rsidP="000E0F67">
            <w:pPr>
              <w:pStyle w:val="EcorysBody"/>
              <w:spacing w:line="200" w:lineRule="exact"/>
              <w:jc w:val="center"/>
              <w:rPr>
                <w:rFonts w:ascii="Arial" w:hAnsi="Arial" w:cs="Arial"/>
                <w:sz w:val="16"/>
                <w:szCs w:val="16"/>
              </w:rPr>
            </w:pPr>
            <w:r w:rsidRPr="001F151E">
              <w:rPr>
                <w:rFonts w:cs="Calibri"/>
              </w:rPr>
              <w:t xml:space="preserve">≥ </w:t>
            </w:r>
            <w:r w:rsidR="000E0F67">
              <w:rPr>
                <w:rFonts w:ascii="Arial" w:hAnsi="Arial" w:cs="Arial"/>
                <w:sz w:val="16"/>
                <w:szCs w:val="16"/>
              </w:rPr>
              <w:t>80</w:t>
            </w: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5E8C4313" w14:textId="0EBC9B26" w:rsidR="00452F6A" w:rsidRPr="001F151E" w:rsidRDefault="00452F6A" w:rsidP="000E0F67">
            <w:pPr>
              <w:pStyle w:val="EcorysBody"/>
              <w:spacing w:line="200" w:lineRule="exact"/>
              <w:jc w:val="center"/>
              <w:rPr>
                <w:rFonts w:ascii="Arial" w:hAnsi="Arial" w:cs="Arial"/>
                <w:sz w:val="16"/>
                <w:szCs w:val="16"/>
              </w:rPr>
            </w:pPr>
            <w:r w:rsidRPr="001F151E">
              <w:rPr>
                <w:rFonts w:cs="Calibri"/>
              </w:rPr>
              <w:t xml:space="preserve">≥ </w:t>
            </w:r>
            <w:r w:rsidR="000E0F67">
              <w:rPr>
                <w:rFonts w:ascii="Arial" w:hAnsi="Arial" w:cs="Arial"/>
                <w:sz w:val="16"/>
                <w:szCs w:val="16"/>
              </w:rPr>
              <w:t>85</w:t>
            </w: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45F62158" w14:textId="6A8E8750" w:rsidR="00452F6A" w:rsidRPr="001F151E" w:rsidRDefault="00452F6A" w:rsidP="000E0F67">
            <w:pPr>
              <w:pStyle w:val="EcorysBody"/>
              <w:spacing w:line="200" w:lineRule="exact"/>
              <w:jc w:val="center"/>
              <w:rPr>
                <w:rFonts w:ascii="Arial" w:hAnsi="Arial" w:cs="Arial"/>
                <w:sz w:val="16"/>
                <w:szCs w:val="16"/>
              </w:rPr>
            </w:pPr>
            <w:r w:rsidRPr="001F151E">
              <w:rPr>
                <w:rFonts w:cs="Calibri"/>
              </w:rPr>
              <w:t xml:space="preserve">≥ </w:t>
            </w:r>
            <w:r w:rsidR="000E0F67">
              <w:rPr>
                <w:rFonts w:ascii="Arial" w:hAnsi="Arial" w:cs="Arial"/>
                <w:sz w:val="16"/>
                <w:szCs w:val="16"/>
              </w:rPr>
              <w:t>90</w:t>
            </w:r>
            <w:r w:rsidRPr="001F151E">
              <w:rPr>
                <w:rFonts w:ascii="Arial" w:hAnsi="Arial" w:cs="Arial"/>
                <w:sz w:val="16"/>
                <w:szCs w:val="16"/>
              </w:rPr>
              <w:t>%</w:t>
            </w:r>
          </w:p>
        </w:tc>
      </w:tr>
    </w:tbl>
    <w:p w14:paraId="4E20F8D1" w14:textId="77777777" w:rsidR="009B6A5D" w:rsidRPr="001F151E" w:rsidRDefault="009B6A5D" w:rsidP="00733B9C">
      <w:pPr>
        <w:rPr>
          <w:lang w:val="en-GB"/>
        </w:rPr>
      </w:pPr>
    </w:p>
    <w:p w14:paraId="047F8C16" w14:textId="77777777" w:rsidR="009816F6" w:rsidRPr="001F151E" w:rsidRDefault="009816F6" w:rsidP="002C447B">
      <w:pPr>
        <w:pStyle w:val="H5"/>
        <w:rPr>
          <w:lang w:val="en-GB"/>
        </w:rPr>
      </w:pPr>
    </w:p>
    <w:p w14:paraId="16D6C6A7" w14:textId="48D4B7A1" w:rsidR="00D9120D" w:rsidRPr="001F151E" w:rsidRDefault="00B45F59" w:rsidP="00C96708">
      <w:pPr>
        <w:pStyle w:val="Heading2"/>
        <w:rPr>
          <w:rStyle w:val="IntenseReference"/>
          <w:rFonts w:eastAsiaTheme="majorEastAsia" w:cstheme="majorBidi"/>
          <w:i w:val="0"/>
          <w:sz w:val="22"/>
          <w:szCs w:val="22"/>
          <w:lang w:val="en-GB"/>
        </w:rPr>
      </w:pPr>
      <w:bookmarkStart w:id="23" w:name="_Toc151048290"/>
      <w:bookmarkStart w:id="24" w:name="_Toc161748816"/>
      <w:r>
        <w:rPr>
          <w:rStyle w:val="IntenseReference"/>
          <w:rFonts w:eastAsiaTheme="majorEastAsia" w:cstheme="majorBidi"/>
          <w:i w:val="0"/>
          <w:sz w:val="22"/>
          <w:szCs w:val="22"/>
          <w:lang w:val="en-GB"/>
        </w:rPr>
        <w:t>Komponenti</w:t>
      </w:r>
      <w:r w:rsidR="00D9120D" w:rsidRPr="001F151E">
        <w:rPr>
          <w:rStyle w:val="IntenseReference"/>
          <w:rFonts w:eastAsiaTheme="majorEastAsia" w:cstheme="majorBidi"/>
          <w:i w:val="0"/>
          <w:sz w:val="22"/>
          <w:szCs w:val="22"/>
          <w:lang w:val="en-GB"/>
        </w:rPr>
        <w:t xml:space="preserve"> 2.4 </w:t>
      </w:r>
      <w:bookmarkEnd w:id="23"/>
      <w:r>
        <w:rPr>
          <w:rStyle w:val="IntenseReference"/>
          <w:rFonts w:eastAsiaTheme="majorEastAsia" w:cstheme="majorBidi"/>
          <w:i w:val="0"/>
          <w:sz w:val="22"/>
          <w:szCs w:val="22"/>
          <w:lang w:val="en-GB"/>
        </w:rPr>
        <w:t>Financat Vendore</w:t>
      </w:r>
      <w:bookmarkEnd w:id="24"/>
    </w:p>
    <w:p w14:paraId="488FBF26" w14:textId="77777777" w:rsidR="00D9120D" w:rsidRPr="001F151E" w:rsidRDefault="00D9120D" w:rsidP="00D9120D">
      <w:pPr>
        <w:rPr>
          <w:lang w:val="en-GB"/>
        </w:rPr>
      </w:pPr>
    </w:p>
    <w:p w14:paraId="51EC0AF8" w14:textId="77777777" w:rsidR="00B45F59" w:rsidRPr="001F151E" w:rsidRDefault="00B45F59" w:rsidP="00B45F59">
      <w:pPr>
        <w:pStyle w:val="H5"/>
        <w:spacing w:line="276" w:lineRule="auto"/>
        <w:jc w:val="both"/>
        <w:rPr>
          <w:lang w:val="en-GB"/>
        </w:rPr>
      </w:pPr>
      <w:r>
        <w:rPr>
          <w:lang w:val="en-GB"/>
        </w:rPr>
        <w:t>Objektivi</w:t>
      </w:r>
    </w:p>
    <w:p w14:paraId="676DBDAF" w14:textId="77777777" w:rsidR="00B45F59" w:rsidRPr="001F151E" w:rsidRDefault="00B45F59" w:rsidP="00B45F59">
      <w:pPr>
        <w:spacing w:line="276" w:lineRule="auto"/>
        <w:jc w:val="both"/>
        <w:rPr>
          <w:lang w:val="en-GB"/>
        </w:rPr>
      </w:pPr>
      <w:r w:rsidRPr="00985E0C">
        <w:rPr>
          <w:lang w:val="en-GB"/>
        </w:rPr>
        <w:t>Synimi për vi</w:t>
      </w:r>
      <w:r>
        <w:rPr>
          <w:lang w:val="en-GB"/>
        </w:rPr>
        <w:t>tin 2030 është që bashkitë të kenë</w:t>
      </w:r>
      <w:r w:rsidRPr="00985E0C">
        <w:rPr>
          <w:lang w:val="en-GB"/>
        </w:rPr>
        <w:t xml:space="preserve"> sisteme të fuqishme</w:t>
      </w:r>
      <w:r>
        <w:rPr>
          <w:lang w:val="en-GB"/>
        </w:rPr>
        <w:t xml:space="preserve"> të</w:t>
      </w:r>
      <w:r w:rsidRPr="00985E0C">
        <w:rPr>
          <w:lang w:val="en-GB"/>
        </w:rPr>
        <w:t xml:space="preserve"> MFP</w:t>
      </w:r>
      <w:r>
        <w:rPr>
          <w:lang w:val="en-GB"/>
        </w:rPr>
        <w:t>-së</w:t>
      </w:r>
      <w:r w:rsidRPr="00985E0C">
        <w:rPr>
          <w:lang w:val="en-GB"/>
        </w:rPr>
        <w:t xml:space="preserve"> dhe burime </w:t>
      </w:r>
      <w:r>
        <w:rPr>
          <w:lang w:val="en-GB"/>
        </w:rPr>
        <w:t xml:space="preserve">financiare të përshtatshme përmes </w:t>
      </w:r>
      <w:r w:rsidRPr="00985E0C">
        <w:rPr>
          <w:lang w:val="en-GB"/>
        </w:rPr>
        <w:t xml:space="preserve">mekanizmave transparentë të ndarjes dhe transferimit të të </w:t>
      </w:r>
      <w:r>
        <w:rPr>
          <w:lang w:val="en-GB"/>
        </w:rPr>
        <w:t xml:space="preserve">ardhurave </w:t>
      </w:r>
      <w:r w:rsidRPr="00985E0C">
        <w:rPr>
          <w:lang w:val="en-GB"/>
        </w:rPr>
        <w:t xml:space="preserve">dhe kapaciteteve të mbledhjes së të </w:t>
      </w:r>
      <w:r>
        <w:rPr>
          <w:lang w:val="en-GB"/>
        </w:rPr>
        <w:t xml:space="preserve">ardhurave </w:t>
      </w:r>
      <w:r w:rsidRPr="00985E0C">
        <w:rPr>
          <w:lang w:val="en-GB"/>
        </w:rPr>
        <w:t>që u mundësojnë atyre të ofrojnë shërbime publike në përputhje me standardet e aplikueshme.</w:t>
      </w:r>
    </w:p>
    <w:p w14:paraId="7812CA7F" w14:textId="77777777" w:rsidR="00B45F59" w:rsidRPr="001F151E" w:rsidRDefault="00B45F59" w:rsidP="00B45F59">
      <w:pPr>
        <w:pStyle w:val="H5"/>
        <w:spacing w:line="276" w:lineRule="auto"/>
        <w:jc w:val="both"/>
        <w:rPr>
          <w:lang w:val="en-GB"/>
        </w:rPr>
      </w:pPr>
    </w:p>
    <w:p w14:paraId="03EF67DF" w14:textId="77777777" w:rsidR="00B45F59" w:rsidRPr="001F151E" w:rsidRDefault="00B45F59" w:rsidP="00B45F59">
      <w:pPr>
        <w:pStyle w:val="H5"/>
        <w:spacing w:line="276" w:lineRule="auto"/>
        <w:jc w:val="both"/>
        <w:rPr>
          <w:lang w:val="en-GB"/>
        </w:rPr>
      </w:pPr>
      <w:r>
        <w:rPr>
          <w:lang w:val="en-GB"/>
        </w:rPr>
        <w:t>Konteksti</w:t>
      </w:r>
    </w:p>
    <w:p w14:paraId="127081B3" w14:textId="77777777" w:rsidR="00B45F59" w:rsidRPr="009D660E" w:rsidRDefault="00B45F59" w:rsidP="00B45F59">
      <w:pPr>
        <w:spacing w:line="276" w:lineRule="auto"/>
        <w:jc w:val="both"/>
        <w:rPr>
          <w:lang w:val="it-IT"/>
        </w:rPr>
      </w:pPr>
      <w:r>
        <w:rPr>
          <w:lang w:val="en-GB"/>
        </w:rPr>
        <w:t>Reformat për</w:t>
      </w:r>
      <w:r w:rsidRPr="00221AC3">
        <w:rPr>
          <w:lang w:val="en-GB"/>
        </w:rPr>
        <w:t xml:space="preserve"> formulimin e PBA-së </w:t>
      </w:r>
      <w:r>
        <w:rPr>
          <w:lang w:val="en-GB"/>
        </w:rPr>
        <w:t>në nivel vendor dhe për transfertat për</w:t>
      </w:r>
      <w:r w:rsidRPr="00221AC3">
        <w:rPr>
          <w:lang w:val="en-GB"/>
        </w:rPr>
        <w:t xml:space="preserve"> bashki</w:t>
      </w:r>
      <w:r>
        <w:rPr>
          <w:lang w:val="en-GB"/>
        </w:rPr>
        <w:t>të</w:t>
      </w:r>
      <w:r w:rsidRPr="00221AC3">
        <w:rPr>
          <w:lang w:val="en-GB"/>
        </w:rPr>
        <w:t xml:space="preserve"> janë zbatuar në lidhje me axhendën e reformës së decentralizimit të qeverisjes vendore. Pas Reformës Administrative Territoriale, në vitin 2015 numri i </w:t>
      </w:r>
      <w:r>
        <w:rPr>
          <w:lang w:val="en-GB"/>
        </w:rPr>
        <w:t>njësive të vetëqeverisjes vendore</w:t>
      </w:r>
      <w:r w:rsidRPr="00221AC3">
        <w:rPr>
          <w:lang w:val="en-GB"/>
        </w:rPr>
        <w:t xml:space="preserve"> (NJ</w:t>
      </w:r>
      <w:r>
        <w:rPr>
          <w:lang w:val="en-GB"/>
        </w:rPr>
        <w:t>VQV</w:t>
      </w:r>
      <w:r w:rsidRPr="00221AC3">
        <w:rPr>
          <w:lang w:val="en-GB"/>
        </w:rPr>
        <w:t>) është reduktuar nga 373 në 61 dhe është krijuar Këshilli Konsulta</w:t>
      </w:r>
      <w:r>
        <w:rPr>
          <w:lang w:val="en-GB"/>
        </w:rPr>
        <w:t xml:space="preserve">tiv për të debatuar dhe dakordësuar </w:t>
      </w:r>
      <w:r w:rsidRPr="00221AC3">
        <w:rPr>
          <w:lang w:val="en-GB"/>
        </w:rPr>
        <w:t xml:space="preserve">për çështje të ndryshme ndërmjet pushtetit qendror dhe atij </w:t>
      </w:r>
      <w:r>
        <w:rPr>
          <w:lang w:val="en-GB"/>
        </w:rPr>
        <w:t>vendor. Axh</w:t>
      </w:r>
      <w:r w:rsidRPr="00221AC3">
        <w:rPr>
          <w:lang w:val="en-GB"/>
        </w:rPr>
        <w:t xml:space="preserve">enda e decentralizimit u avancua më tej, fillimisht përmes një ligji organik “Për Vetëqeverisjen Vendore” i cili përcakton kompetencat dhe funksionet e njësive të vetëqeverisjes vendore. </w:t>
      </w:r>
      <w:r>
        <w:rPr>
          <w:lang w:val="en-GB"/>
        </w:rPr>
        <w:t>P</w:t>
      </w:r>
      <w:r w:rsidRPr="00221AC3">
        <w:rPr>
          <w:lang w:val="en-GB"/>
        </w:rPr>
        <w:t>ër të siguruar burime të qëndrueshme financimi, llogaridhënie dhe transparencë për strukturën e re të qeverisjes vendore</w:t>
      </w:r>
      <w:r>
        <w:rPr>
          <w:lang w:val="en-GB"/>
        </w:rPr>
        <w:t xml:space="preserve"> k</w:t>
      </w:r>
      <w:r w:rsidRPr="00221AC3">
        <w:rPr>
          <w:lang w:val="en-GB"/>
        </w:rPr>
        <w:t>ërkohej një kuadër i fortë rregullator.</w:t>
      </w:r>
      <w:r>
        <w:rPr>
          <w:lang w:val="en-GB"/>
        </w:rPr>
        <w:t xml:space="preserve"> </w:t>
      </w:r>
      <w:r w:rsidRPr="009D660E">
        <w:rPr>
          <w:lang w:val="it-IT"/>
        </w:rPr>
        <w:t>Rrjedhimisht, në vitin 2017 u miratua ligji i ri për financat e vetëqeverisjes vendore. Ky ligj përforcon autonominë fiskale vendore, duke zgjeruar opsionet e financimit dhe duke përcaktuar rregullat dhe procedurat për menaxhimin e financave publike (MFP) në nivelin vendor. Balancon rritjen e autonomisë financiare me disiplinën fiskale duke vendosur rregulla për shpenzime të kujdesshme, politika transparente, parashikime realiste të të ardhurave dhe shpenzimeve dhe harmonizimin e proceseve buxhetore me qeverinë qendrore.</w:t>
      </w:r>
    </w:p>
    <w:p w14:paraId="012C5F89" w14:textId="77777777" w:rsidR="00B45F59" w:rsidRPr="009D660E" w:rsidRDefault="00B45F59" w:rsidP="00B45F59">
      <w:pPr>
        <w:spacing w:line="276" w:lineRule="auto"/>
        <w:jc w:val="both"/>
        <w:rPr>
          <w:lang w:val="it-IT"/>
        </w:rPr>
      </w:pPr>
    </w:p>
    <w:p w14:paraId="1E59C464" w14:textId="77777777" w:rsidR="00B45F59" w:rsidRPr="009D660E" w:rsidRDefault="00B45F59" w:rsidP="00B45F59">
      <w:pPr>
        <w:spacing w:line="276" w:lineRule="auto"/>
        <w:jc w:val="both"/>
        <w:rPr>
          <w:lang w:val="it-IT"/>
        </w:rPr>
      </w:pPr>
      <w:r w:rsidRPr="009D660E">
        <w:rPr>
          <w:lang w:val="it-IT"/>
        </w:rPr>
        <w:lastRenderedPageBreak/>
        <w:t>Progresi i fundit i axhendës së decentralizimit është shoqëruar me disa përmirësime thelbësore në performancën financiare të qeverisjes vendore. Raporti i të ardhurave nga burimet veta të qeverisjes vendore ndaj PBB-së u dyfishua gjatë një periudhe shtatëvjeçare</w:t>
      </w:r>
      <w:r w:rsidRPr="001F151E">
        <w:rPr>
          <w:rStyle w:val="FootnoteReference"/>
          <w:lang w:val="en-GB"/>
        </w:rPr>
        <w:footnoteReference w:id="26"/>
      </w:r>
      <w:r w:rsidRPr="009D660E">
        <w:rPr>
          <w:lang w:val="it-IT"/>
        </w:rPr>
        <w:t xml:space="preserve"> (1.66% në vitin 2022 krahasuar me 0.82% në vitin 2015). Ndërkohë, të ardhurat e NJVQV-ve nga burimet e veta (tatimore dhe jotatimore) janë rritur me 164% ndërmjet viteve 2015 dhe 2022. Mbi 80% e NJVQV-ve kanë shënuar një rritje të rëndësishme të të ardhurave të veta gjatë të njëjtës periudhe</w:t>
      </w:r>
      <w:r w:rsidRPr="001F151E">
        <w:rPr>
          <w:rStyle w:val="FootnoteReference"/>
          <w:lang w:val="en-GB"/>
        </w:rPr>
        <w:footnoteReference w:id="27"/>
      </w:r>
      <w:r w:rsidRPr="009D660E">
        <w:rPr>
          <w:lang w:val="it-IT"/>
        </w:rPr>
        <w:t>, që paraqet përmirësim të kapacitetit të tyre fiskal për financimin e shërbimeve vendore. Shpenzimet e pushtetit vendor përfaqësonin rreth 9.02% të totalit të shpenzimeve publike në vitin 2022, krahasuar me 7.7% në vitin 2015. Për më tepër, sistemi i transfertave të bazuara në formulë, të granteve të pakushtëzuara tek bashkitë është përmirësuar. Grantet për NJVQV-të bazohen në treguesit e numrit të popullsisë, dendësisë së popullsisë dhe numrit të nxënësve dhe rregullohen më tej duke ndjekur një ekuacion financiar bazuar në kapacitetin fiskal të bashkisë për të rritur të ardhurat. Me transferimin e funksioneve të caktuara të qeverisë (arsimi parashkollor, vaditje, administrim pyjor, mbrojtje nga zjarri, rrugë rurale) nga pushteti qendror tek bashkitë në vitin 2016, formula për përcaktimin e transfertave është përshtatur në përputhje me rrethanat. Bashkitë janë të lira të ndajnë dhe të bartin grantet e pakushtëzuara që marrin. Përveç këtyre granteve të pakushtëzuara, jepen edhe disa grante të kushtëzuara për të kompensuar koston e funksioneve të qeverisë qendrore që i delegohen pushtetit vendor – p.sh. regjistrimet civile. Llogaritja e granteve është e rregulluar me Ligjin për Financat e Vetëqeverisjes Vendore</w:t>
      </w:r>
      <w:r w:rsidRPr="001F151E">
        <w:rPr>
          <w:rStyle w:val="FootnoteReference"/>
          <w:lang w:val="en-GB"/>
        </w:rPr>
        <w:footnoteReference w:id="28"/>
      </w:r>
      <w:r w:rsidRPr="009D660E">
        <w:rPr>
          <w:lang w:val="it-IT"/>
        </w:rPr>
        <w:t>. Për të siguruar një planifikim të mirëintegruar dhe efikas, janë bërë arritje të rëndësishme për forcimin e menaxhimit financiar në qeverisjen vendore në kuadrin rregullator, si miratimi i ligjit "Për Vetëqeverisjen Vendore", Ligjit "Për Financat e Vetëqeverisjes Vendore" dhe disa akte nënligjore dhe udhëzime.</w:t>
      </w:r>
    </w:p>
    <w:p w14:paraId="74CFFDF4" w14:textId="77777777" w:rsidR="00B45F59" w:rsidRPr="009D660E" w:rsidRDefault="00B45F59" w:rsidP="00B45F59">
      <w:pPr>
        <w:spacing w:line="276" w:lineRule="auto"/>
        <w:jc w:val="both"/>
        <w:rPr>
          <w:highlight w:val="yellow"/>
          <w:lang w:val="it-IT"/>
        </w:rPr>
      </w:pPr>
    </w:p>
    <w:p w14:paraId="6A4E65DF" w14:textId="77777777" w:rsidR="00B45F59" w:rsidRPr="009D660E" w:rsidRDefault="00B45F59" w:rsidP="00B45F59">
      <w:pPr>
        <w:spacing w:line="276" w:lineRule="auto"/>
        <w:jc w:val="both"/>
        <w:rPr>
          <w:lang w:val="it-IT"/>
        </w:rPr>
      </w:pPr>
      <w:r w:rsidRPr="009D660E">
        <w:rPr>
          <w:lang w:val="it-IT"/>
        </w:rPr>
        <w:t>Sistemi i mbikëqyrjes financiare të bashkive nga qeveria qendrore gjithashtu është përmirësuar me qëllim të mbështetjes së bashkive në vështirësi fiskale. Bashkitë me nivel shumë të lartë borxhesh dhe detyrimesh të prapambetura duhet të përgatisin dhe zbatojnë një plan rehabilitimi financiar nën mbikëqyrjen e MF-së</w:t>
      </w:r>
      <w:r w:rsidRPr="001F151E">
        <w:rPr>
          <w:rStyle w:val="FootnoteReference"/>
          <w:lang w:val="en-GB"/>
        </w:rPr>
        <w:footnoteReference w:id="29"/>
      </w:r>
      <w:r w:rsidRPr="009D660E">
        <w:rPr>
          <w:lang w:val="it-IT"/>
        </w:rPr>
        <w:t>. MF përgatit raportin vjetor: “Për gjendjen e vështirësive financiare të njësive të vetëqeverisjes vendore”, për monitorimin e gjendjes financiare të njësive të vetëqeverisjes vendore.</w:t>
      </w:r>
    </w:p>
    <w:p w14:paraId="5CA717B8" w14:textId="77777777" w:rsidR="00B45F59" w:rsidRPr="009D660E" w:rsidRDefault="00B45F59" w:rsidP="00B45F59">
      <w:pPr>
        <w:spacing w:line="276" w:lineRule="auto"/>
        <w:jc w:val="both"/>
        <w:rPr>
          <w:lang w:val="it-IT"/>
        </w:rPr>
      </w:pPr>
    </w:p>
    <w:p w14:paraId="1145C36A" w14:textId="77777777" w:rsidR="00B45F59" w:rsidRPr="009D660E" w:rsidRDefault="00B45F59" w:rsidP="00B45F59">
      <w:pPr>
        <w:spacing w:line="276" w:lineRule="auto"/>
        <w:jc w:val="both"/>
        <w:rPr>
          <w:lang w:val="it-IT"/>
        </w:rPr>
      </w:pPr>
      <w:r w:rsidRPr="009D660E">
        <w:rPr>
          <w:lang w:val="it-IT"/>
        </w:rPr>
        <w:t>Gjithashtu formulimi i PBA-së nga NJVQV-të është zhvilluar më tej duke respektuar autonominë vendore. NJVQV-të zhvillojnë PBA-në e tyre me programet buxhetore, qëllimet e politikave, objektivat, produktet dhe TKP-të dhe monitorojnë dhe raportojnë për zbatimin e buxhetit. Është duke u zhvilluar një reformë për të përafruar strukturën programore të buxhetit të NJVQV-ve me marrëveshjet e ofrimit të shërbimeve në çdo bashki.</w:t>
      </w:r>
    </w:p>
    <w:p w14:paraId="3C667D9E" w14:textId="77777777" w:rsidR="00B45F59" w:rsidRPr="009D660E" w:rsidRDefault="00B45F59" w:rsidP="00B45F59">
      <w:pPr>
        <w:rPr>
          <w:lang w:val="it-IT"/>
        </w:rPr>
      </w:pPr>
    </w:p>
    <w:p w14:paraId="42EDF482" w14:textId="77777777" w:rsidR="00B45F59" w:rsidRPr="001F151E" w:rsidRDefault="00B45F59" w:rsidP="00B45F59">
      <w:pPr>
        <w:pStyle w:val="H5"/>
        <w:spacing w:line="276" w:lineRule="auto"/>
        <w:jc w:val="both"/>
        <w:rPr>
          <w:lang w:val="en-GB"/>
        </w:rPr>
      </w:pPr>
      <w:r>
        <w:rPr>
          <w:lang w:val="en-GB"/>
        </w:rPr>
        <w:t>Prioritetet</w:t>
      </w:r>
    </w:p>
    <w:p w14:paraId="3DC9FE76" w14:textId="77777777" w:rsidR="00B45F59" w:rsidRPr="001F151E" w:rsidRDefault="00B45F59" w:rsidP="00B45F59">
      <w:pPr>
        <w:spacing w:line="276" w:lineRule="auto"/>
        <w:jc w:val="both"/>
        <w:rPr>
          <w:lang w:val="en-GB"/>
        </w:rPr>
      </w:pPr>
      <w:r>
        <w:rPr>
          <w:lang w:val="en-GB"/>
        </w:rPr>
        <w:t xml:space="preserve">Prioritetet për periudhën </w:t>
      </w:r>
      <w:r w:rsidRPr="001F151E">
        <w:rPr>
          <w:lang w:val="en-GB"/>
        </w:rPr>
        <w:t xml:space="preserve">2023-2026 </w:t>
      </w:r>
      <w:r>
        <w:rPr>
          <w:lang w:val="en-GB"/>
        </w:rPr>
        <w:t>janë</w:t>
      </w:r>
      <w:r w:rsidRPr="001F151E">
        <w:rPr>
          <w:lang w:val="en-GB"/>
        </w:rPr>
        <w:t xml:space="preserve">: </w:t>
      </w:r>
    </w:p>
    <w:p w14:paraId="0933C98A" w14:textId="77777777" w:rsidR="00B45F59" w:rsidRPr="001F151E" w:rsidRDefault="00B45F59" w:rsidP="00B45F59">
      <w:pPr>
        <w:pStyle w:val="N-Bullet"/>
        <w:rPr>
          <w:color w:val="FF0000"/>
          <w:lang w:val="en-GB"/>
        </w:rPr>
      </w:pPr>
      <w:r w:rsidRPr="00EE273F">
        <w:rPr>
          <w:rStyle w:val="rynqvb"/>
          <w:lang w:val="en-GB"/>
        </w:rPr>
        <w:t>Përshtatja e formulës së transfertave të pakushtëzuara, për shkak të ndryshimit të të dhënave të reja të Censusit për numrin e popullsisë si dhe rishikimit të kritereve në bazë të këtyre rezultateve.</w:t>
      </w:r>
    </w:p>
    <w:p w14:paraId="22C7705A" w14:textId="77777777" w:rsidR="00B45F59" w:rsidRDefault="00B45F59" w:rsidP="00B45F59">
      <w:pPr>
        <w:pStyle w:val="N-Bullet"/>
        <w:rPr>
          <w:lang w:val="en-GB"/>
        </w:rPr>
      </w:pPr>
      <w:r w:rsidRPr="00EE273F">
        <w:rPr>
          <w:lang w:val="en-GB"/>
        </w:rPr>
        <w:t xml:space="preserve">Përmirësimi i praktikave për </w:t>
      </w:r>
      <w:r>
        <w:rPr>
          <w:lang w:val="en-GB"/>
        </w:rPr>
        <w:t xml:space="preserve">zbatimin </w:t>
      </w:r>
      <w:r w:rsidRPr="00EE273F">
        <w:rPr>
          <w:lang w:val="en-GB"/>
        </w:rPr>
        <w:t>e bux</w:t>
      </w:r>
      <w:r>
        <w:rPr>
          <w:lang w:val="en-GB"/>
        </w:rPr>
        <w:t>hetit, monitorimin e buxhetit; f</w:t>
      </w:r>
      <w:r w:rsidRPr="00EE273F">
        <w:rPr>
          <w:lang w:val="en-GB"/>
        </w:rPr>
        <w:t>ormulimi</w:t>
      </w:r>
      <w:r>
        <w:rPr>
          <w:lang w:val="en-GB"/>
        </w:rPr>
        <w:t>n dhe përgatitjen</w:t>
      </w:r>
      <w:r w:rsidRPr="00EE273F">
        <w:rPr>
          <w:lang w:val="en-GB"/>
        </w:rPr>
        <w:t xml:space="preserve"> e PBA-së.</w:t>
      </w:r>
    </w:p>
    <w:p w14:paraId="582DEF88" w14:textId="77777777" w:rsidR="00B45F59" w:rsidRPr="00CD6BCF" w:rsidRDefault="00B45F59" w:rsidP="00B45F59">
      <w:pPr>
        <w:pStyle w:val="N-Bullet"/>
        <w:rPr>
          <w:rStyle w:val="rynqvb"/>
          <w:lang w:val="en-GB"/>
        </w:rPr>
      </w:pPr>
      <w:r w:rsidRPr="00CD6BCF">
        <w:rPr>
          <w:rStyle w:val="rynqvb"/>
          <w:lang w:val="en-GB"/>
        </w:rPr>
        <w:t xml:space="preserve">Forcimi i sistemeve të menaxhimit të financave publike dhe informacionit financiar në nivelin vendor përmes </w:t>
      </w:r>
      <w:r w:rsidRPr="00957E16">
        <w:rPr>
          <w:rStyle w:val="rynqvb"/>
          <w:lang w:val="en-GB"/>
        </w:rPr>
        <w:t>përdorimit të SIMFSH në nivelin</w:t>
      </w:r>
      <w:r w:rsidRPr="00CD6BCF">
        <w:rPr>
          <w:rStyle w:val="rynqvb"/>
          <w:lang w:val="en-GB"/>
        </w:rPr>
        <w:t xml:space="preserve"> vendor.</w:t>
      </w:r>
    </w:p>
    <w:p w14:paraId="754B0F24" w14:textId="77777777" w:rsidR="00B45F59" w:rsidRDefault="00B45F59" w:rsidP="00B45F59">
      <w:pPr>
        <w:pStyle w:val="N-Bullet"/>
        <w:numPr>
          <w:ilvl w:val="0"/>
          <w:numId w:val="0"/>
        </w:numPr>
        <w:ind w:left="360"/>
        <w:jc w:val="both"/>
        <w:rPr>
          <w:lang w:val="en-GB"/>
        </w:rPr>
      </w:pPr>
    </w:p>
    <w:p w14:paraId="54CA354F" w14:textId="77777777" w:rsidR="00FA16E5" w:rsidRDefault="00FA16E5" w:rsidP="00B45F59">
      <w:pPr>
        <w:pStyle w:val="N-Bullet"/>
        <w:numPr>
          <w:ilvl w:val="0"/>
          <w:numId w:val="0"/>
        </w:numPr>
        <w:ind w:left="360"/>
        <w:jc w:val="both"/>
        <w:rPr>
          <w:lang w:val="en-GB"/>
        </w:rPr>
      </w:pPr>
    </w:p>
    <w:p w14:paraId="6C6BEF83" w14:textId="77777777" w:rsidR="00FA16E5" w:rsidRDefault="00FA16E5" w:rsidP="00B45F59">
      <w:pPr>
        <w:pStyle w:val="N-Bullet"/>
        <w:numPr>
          <w:ilvl w:val="0"/>
          <w:numId w:val="0"/>
        </w:numPr>
        <w:ind w:left="360"/>
        <w:jc w:val="both"/>
        <w:rPr>
          <w:lang w:val="en-GB"/>
        </w:rPr>
      </w:pPr>
    </w:p>
    <w:p w14:paraId="15570D30" w14:textId="77777777" w:rsidR="008A250D" w:rsidRDefault="008A250D" w:rsidP="00B45F59">
      <w:pPr>
        <w:pStyle w:val="N-Bullet"/>
        <w:numPr>
          <w:ilvl w:val="0"/>
          <w:numId w:val="0"/>
        </w:numPr>
        <w:ind w:left="360"/>
        <w:jc w:val="both"/>
        <w:rPr>
          <w:lang w:val="en-GB"/>
        </w:rPr>
      </w:pPr>
    </w:p>
    <w:p w14:paraId="47A1AD6C" w14:textId="77777777" w:rsidR="008A250D" w:rsidRDefault="008A250D" w:rsidP="00B45F59">
      <w:pPr>
        <w:pStyle w:val="N-Bullet"/>
        <w:numPr>
          <w:ilvl w:val="0"/>
          <w:numId w:val="0"/>
        </w:numPr>
        <w:ind w:left="360"/>
        <w:jc w:val="both"/>
        <w:rPr>
          <w:lang w:val="en-GB"/>
        </w:rPr>
      </w:pPr>
    </w:p>
    <w:p w14:paraId="2086F0E9" w14:textId="77777777" w:rsidR="008A250D" w:rsidRDefault="008A250D" w:rsidP="00B45F59">
      <w:pPr>
        <w:pStyle w:val="N-Bullet"/>
        <w:numPr>
          <w:ilvl w:val="0"/>
          <w:numId w:val="0"/>
        </w:numPr>
        <w:ind w:left="360"/>
        <w:jc w:val="both"/>
        <w:rPr>
          <w:lang w:val="en-GB"/>
        </w:rPr>
      </w:pPr>
    </w:p>
    <w:p w14:paraId="0191EAC0" w14:textId="77777777" w:rsidR="00477C1A" w:rsidRDefault="00477C1A" w:rsidP="00B45F59">
      <w:pPr>
        <w:pStyle w:val="N-Bullet"/>
        <w:numPr>
          <w:ilvl w:val="0"/>
          <w:numId w:val="0"/>
        </w:numPr>
        <w:ind w:left="360"/>
        <w:jc w:val="both"/>
        <w:rPr>
          <w:lang w:val="en-GB"/>
        </w:rPr>
      </w:pPr>
    </w:p>
    <w:p w14:paraId="55E7724F" w14:textId="77777777" w:rsidR="00477C1A" w:rsidRDefault="00477C1A" w:rsidP="00B45F59">
      <w:pPr>
        <w:pStyle w:val="N-Bullet"/>
        <w:numPr>
          <w:ilvl w:val="0"/>
          <w:numId w:val="0"/>
        </w:numPr>
        <w:ind w:left="360"/>
        <w:jc w:val="both"/>
        <w:rPr>
          <w:lang w:val="en-GB"/>
        </w:rPr>
      </w:pPr>
    </w:p>
    <w:p w14:paraId="2B192122" w14:textId="77777777" w:rsidR="00477C1A" w:rsidRDefault="00477C1A" w:rsidP="00B45F59">
      <w:pPr>
        <w:pStyle w:val="N-Bullet"/>
        <w:numPr>
          <w:ilvl w:val="0"/>
          <w:numId w:val="0"/>
        </w:numPr>
        <w:ind w:left="360"/>
        <w:jc w:val="both"/>
        <w:rPr>
          <w:lang w:val="en-GB"/>
        </w:rPr>
      </w:pPr>
    </w:p>
    <w:p w14:paraId="7E18F1E2" w14:textId="77777777" w:rsidR="00477C1A" w:rsidRDefault="00477C1A" w:rsidP="00B45F59">
      <w:pPr>
        <w:pStyle w:val="N-Bullet"/>
        <w:numPr>
          <w:ilvl w:val="0"/>
          <w:numId w:val="0"/>
        </w:numPr>
        <w:ind w:left="360"/>
        <w:jc w:val="both"/>
        <w:rPr>
          <w:lang w:val="en-GB"/>
        </w:rPr>
      </w:pPr>
    </w:p>
    <w:p w14:paraId="73D4EAF7" w14:textId="77777777" w:rsidR="008A250D" w:rsidRDefault="008A250D" w:rsidP="00B45F59">
      <w:pPr>
        <w:pStyle w:val="N-Bullet"/>
        <w:numPr>
          <w:ilvl w:val="0"/>
          <w:numId w:val="0"/>
        </w:numPr>
        <w:ind w:left="360"/>
        <w:jc w:val="both"/>
        <w:rPr>
          <w:lang w:val="en-GB"/>
        </w:rPr>
      </w:pPr>
    </w:p>
    <w:p w14:paraId="03D0704D" w14:textId="77777777" w:rsidR="00FA16E5" w:rsidRPr="001F151E" w:rsidRDefault="00FA16E5" w:rsidP="00B45F59">
      <w:pPr>
        <w:pStyle w:val="N-Bullet"/>
        <w:numPr>
          <w:ilvl w:val="0"/>
          <w:numId w:val="0"/>
        </w:numPr>
        <w:ind w:left="360"/>
        <w:jc w:val="both"/>
        <w:rPr>
          <w:lang w:val="en-GB"/>
        </w:rPr>
      </w:pPr>
    </w:p>
    <w:p w14:paraId="5B90D701" w14:textId="77777777" w:rsidR="00B45F59" w:rsidRPr="001F151E" w:rsidRDefault="00B45F59" w:rsidP="00B45F59">
      <w:pPr>
        <w:pStyle w:val="H5"/>
        <w:rPr>
          <w:lang w:val="en-GB"/>
        </w:rPr>
      </w:pPr>
      <w:r>
        <w:rPr>
          <w:lang w:val="en-GB"/>
        </w:rPr>
        <w:lastRenderedPageBreak/>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97"/>
        <w:gridCol w:w="3333"/>
        <w:gridCol w:w="993"/>
        <w:gridCol w:w="924"/>
        <w:gridCol w:w="1569"/>
      </w:tblGrid>
      <w:tr w:rsidR="00B45F59" w:rsidRPr="001F151E" w14:paraId="6E866A76" w14:textId="77777777" w:rsidTr="00D73907">
        <w:trPr>
          <w:trHeight w:val="182"/>
          <w:tblHeader/>
        </w:trPr>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95362D" w14:textId="77777777" w:rsidR="00B45F59" w:rsidRPr="00C25E99" w:rsidRDefault="00B45F59" w:rsidP="00B45F59">
            <w:pPr>
              <w:pStyle w:val="T-bold"/>
            </w:pPr>
            <w:r w:rsidRPr="00C25E99">
              <w:t>Masa</w:t>
            </w:r>
          </w:p>
        </w:tc>
        <w:tc>
          <w:tcPr>
            <w:tcW w:w="3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4C3D02" w14:textId="77777777" w:rsidR="00B45F59" w:rsidRPr="00C25E99" w:rsidRDefault="00B45F59" w:rsidP="00B45F59">
            <w:pPr>
              <w:pStyle w:val="T-bold"/>
            </w:pPr>
            <w:r w:rsidRPr="00C25E99">
              <w:t>Aktiviteti</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CD3558" w14:textId="77777777" w:rsidR="00B45F59" w:rsidRPr="00C25E99" w:rsidRDefault="00B45F59" w:rsidP="00B45F59">
            <w:pPr>
              <w:pStyle w:val="T-bold"/>
              <w:jc w:val="center"/>
            </w:pPr>
            <w:r w:rsidRPr="00C25E99">
              <w:t>Fillimi</w:t>
            </w: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842C9D" w14:textId="77777777" w:rsidR="00B45F59" w:rsidRPr="00C25E99" w:rsidRDefault="00B45F59" w:rsidP="00B45F59">
            <w:pPr>
              <w:pStyle w:val="T-bold"/>
              <w:jc w:val="center"/>
            </w:pPr>
            <w:r w:rsidRPr="00C25E99">
              <w:t>Mbarimi</w:t>
            </w:r>
          </w:p>
        </w:tc>
        <w:tc>
          <w:tcPr>
            <w:tcW w:w="1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B04CFE" w14:textId="77777777" w:rsidR="00B45F59" w:rsidRPr="00C25E99" w:rsidRDefault="00B45F59" w:rsidP="00B45F59">
            <w:pPr>
              <w:pStyle w:val="T-bold"/>
            </w:pPr>
            <w:r w:rsidRPr="00C25E99">
              <w:t>Grupet e interesit</w:t>
            </w:r>
          </w:p>
        </w:tc>
      </w:tr>
      <w:tr w:rsidR="00B45F59" w:rsidRPr="001F151E" w14:paraId="6A00407E" w14:textId="77777777" w:rsidTr="00D73907">
        <w:trPr>
          <w:trHeight w:val="20"/>
        </w:trPr>
        <w:tc>
          <w:tcPr>
            <w:tcW w:w="2197" w:type="dxa"/>
            <w:vMerge w:val="restart"/>
            <w:tcBorders>
              <w:top w:val="single" w:sz="4" w:space="0" w:color="auto"/>
              <w:left w:val="single" w:sz="4" w:space="0" w:color="auto"/>
              <w:bottom w:val="single" w:sz="4" w:space="0" w:color="auto"/>
              <w:right w:val="single" w:sz="4" w:space="0" w:color="auto"/>
            </w:tcBorders>
          </w:tcPr>
          <w:p w14:paraId="35AF27EE" w14:textId="77777777" w:rsidR="00B45F59" w:rsidRPr="001F151E" w:rsidRDefault="00B45F59" w:rsidP="00B45F59">
            <w:pPr>
              <w:pStyle w:val="EcorysBody"/>
              <w:rPr>
                <w:rFonts w:ascii="Arial" w:hAnsi="Arial" w:cs="Arial"/>
                <w:b/>
                <w:bCs/>
                <w:sz w:val="16"/>
                <w:szCs w:val="16"/>
              </w:rPr>
            </w:pPr>
            <w:r w:rsidRPr="001F151E">
              <w:rPr>
                <w:rFonts w:ascii="Arial" w:hAnsi="Arial" w:cs="Arial"/>
                <w:b/>
                <w:bCs/>
                <w:sz w:val="16"/>
                <w:szCs w:val="16"/>
              </w:rPr>
              <w:t>M</w:t>
            </w:r>
            <w:r>
              <w:rPr>
                <w:rFonts w:ascii="Arial" w:hAnsi="Arial" w:cs="Arial"/>
                <w:b/>
                <w:bCs/>
                <w:sz w:val="16"/>
                <w:szCs w:val="16"/>
              </w:rPr>
              <w:t>asa</w:t>
            </w:r>
            <w:r w:rsidRPr="001F151E">
              <w:rPr>
                <w:rFonts w:ascii="Arial" w:hAnsi="Arial" w:cs="Arial"/>
                <w:b/>
                <w:bCs/>
                <w:sz w:val="16"/>
                <w:szCs w:val="16"/>
              </w:rPr>
              <w:t xml:space="preserve"> 2.4.1 </w:t>
            </w:r>
            <w:r w:rsidRPr="00CD6BCF">
              <w:rPr>
                <w:rFonts w:ascii="Arial" w:hAnsi="Arial" w:cs="Arial"/>
                <w:b/>
                <w:bCs/>
                <w:sz w:val="16"/>
                <w:szCs w:val="16"/>
              </w:rPr>
              <w:t>P</w:t>
            </w:r>
            <w:r>
              <w:rPr>
                <w:rFonts w:ascii="Arial" w:hAnsi="Arial" w:cs="Arial"/>
                <w:b/>
                <w:bCs/>
                <w:sz w:val="16"/>
                <w:szCs w:val="16"/>
              </w:rPr>
              <w:t>ë</w:t>
            </w:r>
            <w:r w:rsidRPr="00CD6BCF">
              <w:rPr>
                <w:rFonts w:ascii="Arial" w:hAnsi="Arial" w:cs="Arial"/>
                <w:b/>
                <w:bCs/>
                <w:sz w:val="16"/>
                <w:szCs w:val="16"/>
              </w:rPr>
              <w:t>rmir</w:t>
            </w:r>
            <w:r>
              <w:rPr>
                <w:rFonts w:ascii="Arial" w:hAnsi="Arial" w:cs="Arial"/>
                <w:b/>
                <w:bCs/>
                <w:sz w:val="16"/>
                <w:szCs w:val="16"/>
              </w:rPr>
              <w:t>ë</w:t>
            </w:r>
            <w:r w:rsidRPr="00CD6BCF">
              <w:rPr>
                <w:rFonts w:ascii="Arial" w:hAnsi="Arial" w:cs="Arial"/>
                <w:b/>
                <w:bCs/>
                <w:sz w:val="16"/>
                <w:szCs w:val="16"/>
              </w:rPr>
              <w:t>simi i formulës së granteve dhe siste</w:t>
            </w:r>
            <w:r>
              <w:rPr>
                <w:rFonts w:ascii="Arial" w:hAnsi="Arial" w:cs="Arial"/>
                <w:b/>
                <w:bCs/>
                <w:sz w:val="16"/>
                <w:szCs w:val="16"/>
              </w:rPr>
              <w:t>mit të llogaritjes për qeverisjen</w:t>
            </w:r>
            <w:r w:rsidRPr="00CD6BCF">
              <w:rPr>
                <w:rFonts w:ascii="Arial" w:hAnsi="Arial" w:cs="Arial"/>
                <w:b/>
                <w:bCs/>
                <w:sz w:val="16"/>
                <w:szCs w:val="16"/>
              </w:rPr>
              <w:t xml:space="preserve"> vendor</w:t>
            </w:r>
            <w:r>
              <w:rPr>
                <w:rFonts w:ascii="Arial" w:hAnsi="Arial" w:cs="Arial"/>
                <w:b/>
                <w:bCs/>
                <w:sz w:val="16"/>
                <w:szCs w:val="16"/>
              </w:rPr>
              <w:t>e.</w:t>
            </w:r>
          </w:p>
        </w:tc>
        <w:tc>
          <w:tcPr>
            <w:tcW w:w="3333" w:type="dxa"/>
            <w:tcBorders>
              <w:top w:val="single" w:sz="4" w:space="0" w:color="auto"/>
              <w:left w:val="single" w:sz="4" w:space="0" w:color="auto"/>
              <w:bottom w:val="single" w:sz="4" w:space="0" w:color="auto"/>
              <w:right w:val="single" w:sz="4" w:space="0" w:color="auto"/>
            </w:tcBorders>
            <w:vAlign w:val="center"/>
            <w:hideMark/>
          </w:tcPr>
          <w:p w14:paraId="1B9BA111" w14:textId="77777777" w:rsidR="00B45F59" w:rsidRPr="00C25E99" w:rsidRDefault="00B45F59" w:rsidP="00B45F59">
            <w:pPr>
              <w:pStyle w:val="EcorysBody"/>
              <w:numPr>
                <w:ilvl w:val="0"/>
                <w:numId w:val="27"/>
              </w:numPr>
              <w:rPr>
                <w:rFonts w:ascii="Arial" w:hAnsi="Arial" w:cs="Arial"/>
                <w:sz w:val="16"/>
                <w:szCs w:val="16"/>
              </w:rPr>
            </w:pPr>
            <w:r w:rsidRPr="00C25E99">
              <w:rPr>
                <w:rFonts w:ascii="Arial" w:hAnsi="Arial" w:cs="Arial"/>
                <w:sz w:val="16"/>
                <w:szCs w:val="16"/>
              </w:rPr>
              <w:t>Rishikimi dhe përditësimi i formulës së transfertave të pakushtëzuara, duke përdorur të dhëna të reja të bazuara në regjistrimin e popullsisë.</w:t>
            </w:r>
          </w:p>
        </w:tc>
        <w:tc>
          <w:tcPr>
            <w:tcW w:w="993" w:type="dxa"/>
            <w:tcBorders>
              <w:top w:val="single" w:sz="4" w:space="0" w:color="auto"/>
              <w:left w:val="single" w:sz="4" w:space="0" w:color="auto"/>
              <w:bottom w:val="single" w:sz="4" w:space="0" w:color="auto"/>
              <w:right w:val="single" w:sz="4" w:space="0" w:color="auto"/>
            </w:tcBorders>
            <w:vAlign w:val="center"/>
          </w:tcPr>
          <w:p w14:paraId="3C7EC738" w14:textId="77777777" w:rsidR="00B45F59" w:rsidRPr="00C25E99" w:rsidRDefault="00B45F59" w:rsidP="00B45F59">
            <w:pPr>
              <w:jc w:val="center"/>
              <w:rPr>
                <w:sz w:val="16"/>
                <w:szCs w:val="16"/>
              </w:rPr>
            </w:pPr>
            <w:r w:rsidRPr="00C25E99">
              <w:rPr>
                <w:sz w:val="16"/>
                <w:szCs w:val="16"/>
              </w:rPr>
              <w:t>T4 2024</w:t>
            </w:r>
          </w:p>
        </w:tc>
        <w:tc>
          <w:tcPr>
            <w:tcW w:w="924" w:type="dxa"/>
            <w:tcBorders>
              <w:top w:val="single" w:sz="4" w:space="0" w:color="auto"/>
              <w:left w:val="single" w:sz="4" w:space="0" w:color="auto"/>
              <w:bottom w:val="single" w:sz="4" w:space="0" w:color="auto"/>
              <w:right w:val="single" w:sz="4" w:space="0" w:color="auto"/>
            </w:tcBorders>
            <w:vAlign w:val="center"/>
          </w:tcPr>
          <w:p w14:paraId="66AD721A" w14:textId="77777777" w:rsidR="00B45F59" w:rsidRPr="001F151E" w:rsidRDefault="00B45F59" w:rsidP="00B45F59">
            <w:pPr>
              <w:jc w:val="center"/>
              <w:rPr>
                <w:sz w:val="16"/>
                <w:szCs w:val="16"/>
              </w:rPr>
            </w:pPr>
            <w:r>
              <w:rPr>
                <w:sz w:val="16"/>
                <w:szCs w:val="16"/>
              </w:rPr>
              <w:t>T</w:t>
            </w:r>
            <w:r w:rsidRPr="001F151E">
              <w:rPr>
                <w:sz w:val="16"/>
                <w:szCs w:val="16"/>
              </w:rPr>
              <w:t>4 2025</w:t>
            </w:r>
          </w:p>
        </w:tc>
        <w:tc>
          <w:tcPr>
            <w:tcW w:w="1569" w:type="dxa"/>
            <w:vMerge w:val="restart"/>
            <w:tcBorders>
              <w:top w:val="single" w:sz="4" w:space="0" w:color="auto"/>
              <w:left w:val="single" w:sz="4" w:space="0" w:color="auto"/>
              <w:bottom w:val="single" w:sz="4" w:space="0" w:color="auto"/>
              <w:right w:val="single" w:sz="4" w:space="0" w:color="auto"/>
            </w:tcBorders>
          </w:tcPr>
          <w:p w14:paraId="26FF4995" w14:textId="77777777" w:rsidR="00B45F59" w:rsidRPr="00C25E99" w:rsidRDefault="00B45F59" w:rsidP="00B45F59">
            <w:pPr>
              <w:rPr>
                <w:b/>
                <w:bCs/>
                <w:sz w:val="16"/>
                <w:szCs w:val="16"/>
              </w:rPr>
            </w:pPr>
            <w:r w:rsidRPr="00C25E99">
              <w:rPr>
                <w:b/>
                <w:bCs/>
                <w:sz w:val="16"/>
                <w:szCs w:val="16"/>
              </w:rPr>
              <w:t>Njësitë Përgjegjëse:</w:t>
            </w:r>
          </w:p>
          <w:p w14:paraId="2AB68F74" w14:textId="77777777" w:rsidR="00B45F59" w:rsidRPr="001F151E" w:rsidRDefault="00B45F59" w:rsidP="00B45F59">
            <w:pPr>
              <w:pStyle w:val="EcorysBody"/>
              <w:rPr>
                <w:rFonts w:ascii="Arial" w:hAnsi="Arial" w:cs="Arial"/>
                <w:sz w:val="16"/>
                <w:szCs w:val="16"/>
              </w:rPr>
            </w:pPr>
            <w:r w:rsidRPr="00C25E99">
              <w:rPr>
                <w:rFonts w:ascii="Arial" w:hAnsi="Arial" w:cs="Arial"/>
                <w:sz w:val="16"/>
                <w:szCs w:val="16"/>
              </w:rPr>
              <w:t>DFV (lider)</w:t>
            </w:r>
          </w:p>
          <w:p w14:paraId="38AA2311" w14:textId="77777777" w:rsidR="00B45F59" w:rsidRPr="001F151E" w:rsidRDefault="00B45F59" w:rsidP="00B45F59">
            <w:pPr>
              <w:pStyle w:val="EcorysBody"/>
              <w:rPr>
                <w:rFonts w:ascii="Arial" w:hAnsi="Arial" w:cs="Arial"/>
                <w:b/>
                <w:bCs/>
                <w:sz w:val="16"/>
                <w:szCs w:val="16"/>
              </w:rPr>
            </w:pPr>
          </w:p>
          <w:p w14:paraId="7210196A" w14:textId="77777777" w:rsidR="00B45F59" w:rsidRPr="001F151E" w:rsidRDefault="00B45F59" w:rsidP="00B45F59">
            <w:pPr>
              <w:pStyle w:val="EcorysBody"/>
              <w:rPr>
                <w:rFonts w:ascii="Arial" w:hAnsi="Arial" w:cs="Arial"/>
                <w:b/>
                <w:bCs/>
                <w:sz w:val="16"/>
                <w:szCs w:val="16"/>
              </w:rPr>
            </w:pPr>
            <w:r>
              <w:rPr>
                <w:rFonts w:ascii="Arial" w:hAnsi="Arial" w:cs="Arial"/>
                <w:b/>
                <w:bCs/>
                <w:sz w:val="16"/>
                <w:szCs w:val="16"/>
              </w:rPr>
              <w:t>Partnerët</w:t>
            </w:r>
            <w:r w:rsidRPr="001F151E">
              <w:rPr>
                <w:rFonts w:ascii="Arial" w:hAnsi="Arial" w:cs="Arial"/>
                <w:b/>
                <w:bCs/>
                <w:sz w:val="16"/>
                <w:szCs w:val="16"/>
              </w:rPr>
              <w:t xml:space="preserve">: </w:t>
            </w:r>
          </w:p>
          <w:p w14:paraId="6EABFA55" w14:textId="77777777" w:rsidR="00B45F59" w:rsidRPr="001F151E" w:rsidRDefault="00B45F59" w:rsidP="00B45F59">
            <w:pPr>
              <w:pStyle w:val="EcorysBody"/>
              <w:rPr>
                <w:rFonts w:ascii="Arial" w:hAnsi="Arial" w:cs="Arial"/>
                <w:sz w:val="16"/>
                <w:szCs w:val="16"/>
              </w:rPr>
            </w:pPr>
            <w:r w:rsidRPr="001F151E">
              <w:rPr>
                <w:rFonts w:ascii="Arial" w:hAnsi="Arial" w:cs="Arial"/>
                <w:sz w:val="16"/>
                <w:szCs w:val="16"/>
              </w:rPr>
              <w:t>SECO,</w:t>
            </w:r>
            <w:r w:rsidRPr="001F151E">
              <w:rPr>
                <w:rFonts w:ascii="Arial" w:hAnsi="Arial" w:cs="Arial"/>
                <w:b/>
                <w:bCs/>
                <w:sz w:val="16"/>
                <w:szCs w:val="16"/>
              </w:rPr>
              <w:t xml:space="preserve"> </w:t>
            </w:r>
            <w:r w:rsidRPr="001F151E">
              <w:rPr>
                <w:rFonts w:ascii="Arial" w:hAnsi="Arial" w:cs="Arial"/>
                <w:sz w:val="16"/>
                <w:szCs w:val="16"/>
              </w:rPr>
              <w:t>Helvetas</w:t>
            </w:r>
            <w:r w:rsidRPr="001F151E">
              <w:rPr>
                <w:rStyle w:val="FootnoteReference"/>
                <w:rFonts w:cs="Arial"/>
                <w:sz w:val="16"/>
                <w:szCs w:val="16"/>
              </w:rPr>
              <w:footnoteReference w:id="30"/>
            </w:r>
          </w:p>
          <w:p w14:paraId="56AF6E69" w14:textId="77777777" w:rsidR="00B45F59" w:rsidRPr="001F151E" w:rsidRDefault="00B45F59" w:rsidP="00B45F59">
            <w:pPr>
              <w:pStyle w:val="EcorysBody"/>
              <w:rPr>
                <w:rFonts w:ascii="Arial" w:hAnsi="Arial" w:cs="Arial"/>
                <w:sz w:val="16"/>
                <w:szCs w:val="16"/>
              </w:rPr>
            </w:pPr>
          </w:p>
          <w:p w14:paraId="232BA2C4" w14:textId="77777777" w:rsidR="00B45F59" w:rsidRPr="001F151E" w:rsidRDefault="00B45F59" w:rsidP="00B45F59">
            <w:pPr>
              <w:pStyle w:val="EcorysBody"/>
              <w:rPr>
                <w:rFonts w:ascii="Arial" w:hAnsi="Arial" w:cs="Arial"/>
                <w:sz w:val="16"/>
                <w:szCs w:val="16"/>
              </w:rPr>
            </w:pPr>
          </w:p>
          <w:p w14:paraId="5C0FECE7" w14:textId="77777777" w:rsidR="00B45F59" w:rsidRPr="001F151E" w:rsidRDefault="00B45F59" w:rsidP="00B45F59">
            <w:pPr>
              <w:rPr>
                <w:sz w:val="16"/>
                <w:szCs w:val="16"/>
              </w:rPr>
            </w:pPr>
          </w:p>
        </w:tc>
      </w:tr>
      <w:tr w:rsidR="00B45F59" w:rsidRPr="001F151E" w14:paraId="67776773" w14:textId="77777777" w:rsidTr="00D73907">
        <w:trPr>
          <w:trHeight w:val="20"/>
        </w:trPr>
        <w:tc>
          <w:tcPr>
            <w:tcW w:w="2197" w:type="dxa"/>
            <w:vMerge/>
            <w:tcBorders>
              <w:top w:val="single" w:sz="4" w:space="0" w:color="auto"/>
              <w:left w:val="single" w:sz="4" w:space="0" w:color="auto"/>
              <w:bottom w:val="single" w:sz="4" w:space="0" w:color="auto"/>
              <w:right w:val="single" w:sz="4" w:space="0" w:color="auto"/>
            </w:tcBorders>
            <w:vAlign w:val="center"/>
            <w:hideMark/>
          </w:tcPr>
          <w:p w14:paraId="26B7152A" w14:textId="77777777" w:rsidR="00B45F59" w:rsidRPr="001F151E" w:rsidRDefault="00B45F59" w:rsidP="00B45F59">
            <w:pPr>
              <w:spacing w:line="240" w:lineRule="auto"/>
              <w:rPr>
                <w:b/>
                <w:bCs/>
                <w:sz w:val="16"/>
                <w:szCs w:val="16"/>
              </w:rPr>
            </w:pPr>
          </w:p>
        </w:tc>
        <w:tc>
          <w:tcPr>
            <w:tcW w:w="3333" w:type="dxa"/>
            <w:tcBorders>
              <w:top w:val="single" w:sz="4" w:space="0" w:color="auto"/>
              <w:left w:val="single" w:sz="4" w:space="0" w:color="auto"/>
              <w:right w:val="single" w:sz="4" w:space="0" w:color="auto"/>
            </w:tcBorders>
            <w:vAlign w:val="center"/>
            <w:hideMark/>
          </w:tcPr>
          <w:p w14:paraId="58B3BB9B" w14:textId="77777777" w:rsidR="00B45F59" w:rsidRPr="008F59A0" w:rsidRDefault="00B45F59" w:rsidP="00B45F59">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rPr>
            </w:pPr>
            <w:r w:rsidRPr="008F59A0">
              <w:rPr>
                <w:sz w:val="16"/>
                <w:szCs w:val="16"/>
              </w:rPr>
              <w:t>Zh</w:t>
            </w:r>
            <w:r>
              <w:rPr>
                <w:sz w:val="16"/>
                <w:szCs w:val="16"/>
              </w:rPr>
              <w:t xml:space="preserve">villimi dhe zbatimi gradual </w:t>
            </w:r>
            <w:r w:rsidRPr="008F59A0">
              <w:rPr>
                <w:sz w:val="16"/>
                <w:szCs w:val="16"/>
              </w:rPr>
              <w:t>i një sistemi shtes</w:t>
            </w:r>
            <w:r>
              <w:rPr>
                <w:sz w:val="16"/>
                <w:szCs w:val="16"/>
              </w:rPr>
              <w:t>ë</w:t>
            </w:r>
            <w:r w:rsidRPr="008F59A0">
              <w:rPr>
                <w:sz w:val="16"/>
                <w:szCs w:val="16"/>
              </w:rPr>
              <w:t xml:space="preserve"> gr</w:t>
            </w:r>
            <w:r>
              <w:rPr>
                <w:sz w:val="16"/>
                <w:szCs w:val="16"/>
              </w:rPr>
              <w:t>antesh të bazuara në performancë</w:t>
            </w:r>
            <w:r w:rsidRPr="008F59A0">
              <w:rPr>
                <w:sz w:val="16"/>
                <w:szCs w:val="16"/>
              </w:rPr>
              <w:t>, të bazuar në tregues të matshëm dhe të verifikueshëm.</w:t>
            </w:r>
          </w:p>
        </w:tc>
        <w:tc>
          <w:tcPr>
            <w:tcW w:w="993" w:type="dxa"/>
            <w:tcBorders>
              <w:top w:val="single" w:sz="4" w:space="0" w:color="auto"/>
              <w:left w:val="single" w:sz="4" w:space="0" w:color="auto"/>
              <w:right w:val="single" w:sz="4" w:space="0" w:color="auto"/>
            </w:tcBorders>
            <w:vAlign w:val="center"/>
          </w:tcPr>
          <w:p w14:paraId="023110DD" w14:textId="77777777" w:rsidR="00B45F59" w:rsidRPr="001F151E" w:rsidRDefault="00B45F59" w:rsidP="00B45F59">
            <w:pPr>
              <w:jc w:val="center"/>
              <w:rPr>
                <w:sz w:val="16"/>
                <w:szCs w:val="16"/>
              </w:rPr>
            </w:pPr>
            <w:r>
              <w:rPr>
                <w:sz w:val="16"/>
                <w:szCs w:val="16"/>
              </w:rPr>
              <w:t>T</w:t>
            </w:r>
            <w:r w:rsidRPr="001F151E">
              <w:rPr>
                <w:sz w:val="16"/>
                <w:szCs w:val="16"/>
              </w:rPr>
              <w:t>3 2024</w:t>
            </w:r>
          </w:p>
        </w:tc>
        <w:tc>
          <w:tcPr>
            <w:tcW w:w="924" w:type="dxa"/>
            <w:tcBorders>
              <w:top w:val="single" w:sz="4" w:space="0" w:color="auto"/>
              <w:left w:val="single" w:sz="4" w:space="0" w:color="auto"/>
              <w:right w:val="single" w:sz="4" w:space="0" w:color="auto"/>
            </w:tcBorders>
            <w:vAlign w:val="center"/>
          </w:tcPr>
          <w:p w14:paraId="2F60A2D0" w14:textId="77777777" w:rsidR="00B45F59" w:rsidRPr="001F151E" w:rsidRDefault="00B45F59" w:rsidP="00B45F59">
            <w:pPr>
              <w:jc w:val="center"/>
              <w:rPr>
                <w:sz w:val="16"/>
                <w:szCs w:val="16"/>
              </w:rPr>
            </w:pPr>
            <w:r>
              <w:rPr>
                <w:sz w:val="16"/>
                <w:szCs w:val="16"/>
              </w:rPr>
              <w:t>T</w:t>
            </w:r>
            <w:r w:rsidRPr="001F151E">
              <w:rPr>
                <w:sz w:val="16"/>
                <w:szCs w:val="16"/>
              </w:rPr>
              <w:t>3 2026</w:t>
            </w: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2952C5B5" w14:textId="77777777" w:rsidR="00B45F59" w:rsidRPr="001F151E" w:rsidRDefault="00B45F59" w:rsidP="00B45F59">
            <w:pPr>
              <w:spacing w:line="240" w:lineRule="auto"/>
              <w:rPr>
                <w:sz w:val="16"/>
                <w:szCs w:val="16"/>
              </w:rPr>
            </w:pPr>
          </w:p>
        </w:tc>
      </w:tr>
      <w:tr w:rsidR="00B45F59" w:rsidRPr="001F151E" w14:paraId="0B0F08BA" w14:textId="77777777" w:rsidTr="00D73907">
        <w:trPr>
          <w:trHeight w:val="20"/>
        </w:trPr>
        <w:tc>
          <w:tcPr>
            <w:tcW w:w="2197" w:type="dxa"/>
            <w:vMerge/>
            <w:tcBorders>
              <w:top w:val="single" w:sz="4" w:space="0" w:color="auto"/>
              <w:left w:val="single" w:sz="4" w:space="0" w:color="auto"/>
              <w:bottom w:val="single" w:sz="4" w:space="0" w:color="auto"/>
              <w:right w:val="single" w:sz="4" w:space="0" w:color="auto"/>
            </w:tcBorders>
            <w:vAlign w:val="center"/>
            <w:hideMark/>
          </w:tcPr>
          <w:p w14:paraId="6AC8978B" w14:textId="77777777" w:rsidR="00B45F59" w:rsidRPr="001F151E" w:rsidRDefault="00B45F59" w:rsidP="00B45F59">
            <w:pPr>
              <w:spacing w:line="240" w:lineRule="auto"/>
              <w:rPr>
                <w:b/>
                <w:bCs/>
                <w:sz w:val="16"/>
                <w:szCs w:val="16"/>
              </w:rPr>
            </w:pPr>
          </w:p>
        </w:tc>
        <w:tc>
          <w:tcPr>
            <w:tcW w:w="3333" w:type="dxa"/>
            <w:tcBorders>
              <w:top w:val="single" w:sz="4" w:space="0" w:color="auto"/>
              <w:left w:val="single" w:sz="4" w:space="0" w:color="auto"/>
              <w:right w:val="single" w:sz="4" w:space="0" w:color="auto"/>
            </w:tcBorders>
            <w:vAlign w:val="center"/>
            <w:hideMark/>
          </w:tcPr>
          <w:p w14:paraId="2C6A9780" w14:textId="77777777" w:rsidR="00B45F59" w:rsidRPr="00731B4D" w:rsidRDefault="00B45F59" w:rsidP="00B45F59">
            <w:pPr>
              <w:pStyle w:val="EcorysBody"/>
              <w:numPr>
                <w:ilvl w:val="0"/>
                <w:numId w:val="27"/>
              </w:numPr>
              <w:rPr>
                <w:rFonts w:ascii="Arial" w:hAnsi="Arial" w:cs="Arial"/>
                <w:sz w:val="16"/>
                <w:szCs w:val="16"/>
              </w:rPr>
            </w:pPr>
            <w:r w:rsidRPr="00731B4D">
              <w:rPr>
                <w:rFonts w:ascii="Arial" w:hAnsi="Arial" w:cs="Arial"/>
                <w:sz w:val="16"/>
                <w:szCs w:val="16"/>
              </w:rPr>
              <w:t>Rishikimi dhe nëse është e nevojshme përditësimi i mekanizmit/formulës së grantit në lidhje me qeverisjen vendore dhe reformat e decentralizimit.</w:t>
            </w:r>
          </w:p>
        </w:tc>
        <w:tc>
          <w:tcPr>
            <w:tcW w:w="993" w:type="dxa"/>
            <w:tcBorders>
              <w:top w:val="single" w:sz="4" w:space="0" w:color="auto"/>
              <w:left w:val="single" w:sz="4" w:space="0" w:color="auto"/>
              <w:right w:val="single" w:sz="4" w:space="0" w:color="auto"/>
            </w:tcBorders>
            <w:vAlign w:val="center"/>
          </w:tcPr>
          <w:p w14:paraId="1042C17A" w14:textId="77777777" w:rsidR="00B45F59" w:rsidRPr="001F151E" w:rsidRDefault="00B45F59" w:rsidP="00B45F59">
            <w:pPr>
              <w:jc w:val="center"/>
              <w:rPr>
                <w:sz w:val="16"/>
                <w:szCs w:val="16"/>
              </w:rPr>
            </w:pPr>
            <w:r>
              <w:rPr>
                <w:sz w:val="16"/>
                <w:szCs w:val="16"/>
              </w:rPr>
              <w:t>T</w:t>
            </w:r>
            <w:r w:rsidRPr="001F151E">
              <w:rPr>
                <w:sz w:val="16"/>
                <w:szCs w:val="16"/>
              </w:rPr>
              <w:t>1 2025</w:t>
            </w:r>
          </w:p>
        </w:tc>
        <w:tc>
          <w:tcPr>
            <w:tcW w:w="924" w:type="dxa"/>
            <w:tcBorders>
              <w:top w:val="single" w:sz="4" w:space="0" w:color="auto"/>
              <w:left w:val="single" w:sz="4" w:space="0" w:color="auto"/>
              <w:right w:val="single" w:sz="4" w:space="0" w:color="auto"/>
            </w:tcBorders>
            <w:vAlign w:val="center"/>
          </w:tcPr>
          <w:p w14:paraId="6C050CBB"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18C6509B" w14:textId="77777777" w:rsidR="00B45F59" w:rsidRPr="001F151E" w:rsidRDefault="00B45F59" w:rsidP="00B45F59">
            <w:pPr>
              <w:spacing w:line="240" w:lineRule="auto"/>
              <w:rPr>
                <w:sz w:val="16"/>
                <w:szCs w:val="16"/>
              </w:rPr>
            </w:pPr>
          </w:p>
        </w:tc>
      </w:tr>
      <w:tr w:rsidR="00B45F59" w:rsidRPr="001F151E" w14:paraId="5D9C4073" w14:textId="77777777" w:rsidTr="00D73907">
        <w:trPr>
          <w:trHeight w:val="32"/>
        </w:trPr>
        <w:tc>
          <w:tcPr>
            <w:tcW w:w="2197" w:type="dxa"/>
            <w:vMerge w:val="restart"/>
            <w:tcBorders>
              <w:top w:val="single" w:sz="4" w:space="0" w:color="auto"/>
              <w:left w:val="single" w:sz="4" w:space="0" w:color="auto"/>
              <w:bottom w:val="single" w:sz="4" w:space="0" w:color="auto"/>
              <w:right w:val="single" w:sz="4" w:space="0" w:color="auto"/>
            </w:tcBorders>
            <w:hideMark/>
          </w:tcPr>
          <w:p w14:paraId="5ACE86CF" w14:textId="77777777" w:rsidR="00B45F59" w:rsidRPr="009D660E" w:rsidRDefault="00B45F59" w:rsidP="00B45F59">
            <w:pPr>
              <w:pStyle w:val="EcorysBody"/>
              <w:rPr>
                <w:rFonts w:ascii="Arial" w:hAnsi="Arial" w:cs="Arial"/>
                <w:b/>
                <w:bCs/>
                <w:sz w:val="16"/>
                <w:szCs w:val="16"/>
                <w:lang w:val="it-IT"/>
              </w:rPr>
            </w:pPr>
            <w:r w:rsidRPr="009D660E">
              <w:rPr>
                <w:rFonts w:ascii="Arial" w:hAnsi="Arial" w:cs="Arial"/>
                <w:b/>
                <w:bCs/>
                <w:sz w:val="16"/>
                <w:szCs w:val="16"/>
                <w:lang w:val="it-IT"/>
              </w:rPr>
              <w:t>Masa 2.4.2 Forcimi i formulimit dhe monitorimit të zbatimit të PBA-së në Bashkitë.</w:t>
            </w:r>
          </w:p>
        </w:tc>
        <w:tc>
          <w:tcPr>
            <w:tcW w:w="3333" w:type="dxa"/>
            <w:tcBorders>
              <w:top w:val="single" w:sz="4" w:space="0" w:color="auto"/>
              <w:left w:val="single" w:sz="4" w:space="0" w:color="auto"/>
              <w:bottom w:val="single" w:sz="4" w:space="0" w:color="auto"/>
              <w:right w:val="single" w:sz="4" w:space="0" w:color="auto"/>
            </w:tcBorders>
            <w:vAlign w:val="center"/>
            <w:hideMark/>
          </w:tcPr>
          <w:p w14:paraId="401698BA" w14:textId="77777777" w:rsidR="00B45F59" w:rsidRPr="009D660E" w:rsidRDefault="00B45F59" w:rsidP="00B45F59">
            <w:pPr>
              <w:pStyle w:val="EcorysBody"/>
              <w:numPr>
                <w:ilvl w:val="0"/>
                <w:numId w:val="28"/>
              </w:numPr>
              <w:rPr>
                <w:rFonts w:ascii="Arial" w:hAnsi="Arial" w:cs="Arial"/>
                <w:sz w:val="16"/>
                <w:szCs w:val="16"/>
                <w:lang w:val="it-IT"/>
              </w:rPr>
            </w:pPr>
            <w:r w:rsidRPr="009D660E">
              <w:rPr>
                <w:rFonts w:ascii="Arial" w:hAnsi="Arial" w:cs="Arial"/>
                <w:sz w:val="16"/>
                <w:szCs w:val="16"/>
                <w:lang w:val="it-IT"/>
              </w:rPr>
              <w:t>Rishikimi dhe përmirësimi i përshkrimit të programit të klasifikimeve buxhetore të përshtatura për marrëveshjet specifike të ofrimit të shërbimeve të kategorive të ndryshme të bashkive.</w:t>
            </w:r>
          </w:p>
        </w:tc>
        <w:tc>
          <w:tcPr>
            <w:tcW w:w="993" w:type="dxa"/>
            <w:tcBorders>
              <w:top w:val="single" w:sz="4" w:space="0" w:color="auto"/>
              <w:left w:val="single" w:sz="4" w:space="0" w:color="auto"/>
              <w:bottom w:val="single" w:sz="4" w:space="0" w:color="auto"/>
              <w:right w:val="single" w:sz="4" w:space="0" w:color="auto"/>
            </w:tcBorders>
            <w:vAlign w:val="center"/>
          </w:tcPr>
          <w:p w14:paraId="3DEDF621" w14:textId="77777777" w:rsidR="00B45F59" w:rsidRPr="001F151E" w:rsidRDefault="00B45F59" w:rsidP="00B45F59">
            <w:pPr>
              <w:jc w:val="center"/>
              <w:rPr>
                <w:sz w:val="16"/>
                <w:szCs w:val="16"/>
              </w:rPr>
            </w:pPr>
            <w:r>
              <w:rPr>
                <w:sz w:val="16"/>
                <w:szCs w:val="16"/>
              </w:rPr>
              <w:t>T</w:t>
            </w:r>
            <w:r w:rsidRPr="001F151E">
              <w:rPr>
                <w:sz w:val="16"/>
                <w:szCs w:val="16"/>
              </w:rPr>
              <w:t>1 2024</w:t>
            </w:r>
          </w:p>
        </w:tc>
        <w:tc>
          <w:tcPr>
            <w:tcW w:w="924" w:type="dxa"/>
            <w:tcBorders>
              <w:top w:val="single" w:sz="4" w:space="0" w:color="auto"/>
              <w:left w:val="single" w:sz="4" w:space="0" w:color="auto"/>
              <w:bottom w:val="single" w:sz="4" w:space="0" w:color="auto"/>
              <w:right w:val="single" w:sz="4" w:space="0" w:color="auto"/>
            </w:tcBorders>
            <w:vAlign w:val="center"/>
          </w:tcPr>
          <w:p w14:paraId="6D0832AB"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1569" w:type="dxa"/>
            <w:vMerge w:val="restart"/>
            <w:tcBorders>
              <w:top w:val="single" w:sz="4" w:space="0" w:color="auto"/>
              <w:left w:val="single" w:sz="4" w:space="0" w:color="auto"/>
              <w:bottom w:val="single" w:sz="4" w:space="0" w:color="auto"/>
              <w:right w:val="single" w:sz="4" w:space="0" w:color="auto"/>
            </w:tcBorders>
          </w:tcPr>
          <w:p w14:paraId="6E8CAC6D" w14:textId="77777777" w:rsidR="00B45F59" w:rsidRPr="001F151E" w:rsidRDefault="00B45F59" w:rsidP="00B45F59">
            <w:pPr>
              <w:rPr>
                <w:b/>
                <w:bCs/>
                <w:sz w:val="16"/>
                <w:szCs w:val="16"/>
              </w:rPr>
            </w:pPr>
            <w:r>
              <w:rPr>
                <w:b/>
                <w:bCs/>
                <w:sz w:val="16"/>
                <w:szCs w:val="16"/>
              </w:rPr>
              <w:t>Njësitë Përgjegjëse</w:t>
            </w:r>
            <w:r w:rsidRPr="001F151E">
              <w:rPr>
                <w:b/>
                <w:bCs/>
                <w:sz w:val="16"/>
                <w:szCs w:val="16"/>
              </w:rPr>
              <w:t xml:space="preserve">: </w:t>
            </w:r>
          </w:p>
          <w:p w14:paraId="25BFB76D" w14:textId="77777777" w:rsidR="00B45F59" w:rsidRPr="001F151E" w:rsidRDefault="00B45F59" w:rsidP="00B45F59">
            <w:pPr>
              <w:pStyle w:val="EcorysBody"/>
              <w:rPr>
                <w:rFonts w:ascii="Arial" w:hAnsi="Arial" w:cs="Arial"/>
                <w:sz w:val="16"/>
                <w:szCs w:val="16"/>
              </w:rPr>
            </w:pPr>
            <w:r>
              <w:rPr>
                <w:rFonts w:ascii="Arial" w:hAnsi="Arial" w:cs="Arial"/>
                <w:sz w:val="16"/>
                <w:szCs w:val="16"/>
              </w:rPr>
              <w:t>D</w:t>
            </w:r>
            <w:r w:rsidRPr="001F151E">
              <w:rPr>
                <w:rFonts w:ascii="Arial" w:hAnsi="Arial" w:cs="Arial"/>
                <w:sz w:val="16"/>
                <w:szCs w:val="16"/>
              </w:rPr>
              <w:t>F</w:t>
            </w:r>
            <w:r>
              <w:rPr>
                <w:rFonts w:ascii="Arial" w:hAnsi="Arial" w:cs="Arial"/>
                <w:sz w:val="16"/>
                <w:szCs w:val="16"/>
              </w:rPr>
              <w:t>V</w:t>
            </w:r>
            <w:r w:rsidRPr="001F151E">
              <w:rPr>
                <w:rFonts w:ascii="Arial" w:hAnsi="Arial" w:cs="Arial"/>
                <w:sz w:val="16"/>
                <w:szCs w:val="16"/>
              </w:rPr>
              <w:t xml:space="preserve"> (</w:t>
            </w:r>
            <w:r>
              <w:rPr>
                <w:rFonts w:ascii="Arial" w:hAnsi="Arial" w:cs="Arial"/>
                <w:sz w:val="16"/>
                <w:szCs w:val="16"/>
              </w:rPr>
              <w:t>lider</w:t>
            </w:r>
            <w:r w:rsidRPr="001F151E">
              <w:rPr>
                <w:rFonts w:ascii="Arial" w:hAnsi="Arial" w:cs="Arial"/>
                <w:sz w:val="16"/>
                <w:szCs w:val="16"/>
              </w:rPr>
              <w:t>)</w:t>
            </w:r>
          </w:p>
          <w:p w14:paraId="46ECA4BE" w14:textId="77777777" w:rsidR="00B45F59" w:rsidRPr="001F151E" w:rsidRDefault="00B45F59" w:rsidP="00B45F59">
            <w:pPr>
              <w:pStyle w:val="EcorysBody"/>
              <w:rPr>
                <w:rFonts w:ascii="Arial" w:hAnsi="Arial" w:cs="Arial"/>
                <w:b/>
                <w:bCs/>
                <w:sz w:val="16"/>
                <w:szCs w:val="16"/>
              </w:rPr>
            </w:pPr>
          </w:p>
          <w:p w14:paraId="7F78E62F" w14:textId="77777777" w:rsidR="00B45F59" w:rsidRPr="001F151E" w:rsidRDefault="00B45F59" w:rsidP="00B45F59">
            <w:pPr>
              <w:pStyle w:val="EcorysBody"/>
              <w:rPr>
                <w:rFonts w:ascii="Arial" w:hAnsi="Arial" w:cs="Arial"/>
                <w:b/>
                <w:bCs/>
                <w:sz w:val="16"/>
                <w:szCs w:val="16"/>
              </w:rPr>
            </w:pPr>
            <w:r>
              <w:rPr>
                <w:rFonts w:ascii="Arial" w:hAnsi="Arial" w:cs="Arial"/>
                <w:b/>
                <w:bCs/>
                <w:sz w:val="16"/>
                <w:szCs w:val="16"/>
              </w:rPr>
              <w:t>Partnerët</w:t>
            </w:r>
            <w:r w:rsidRPr="001F151E">
              <w:rPr>
                <w:rFonts w:ascii="Arial" w:hAnsi="Arial" w:cs="Arial"/>
                <w:b/>
                <w:bCs/>
                <w:sz w:val="16"/>
                <w:szCs w:val="16"/>
              </w:rPr>
              <w:t>:</w:t>
            </w:r>
          </w:p>
          <w:p w14:paraId="5C239F1F" w14:textId="77777777" w:rsidR="00B45F59" w:rsidRPr="001F151E" w:rsidRDefault="00B45F59" w:rsidP="00B45F59">
            <w:pPr>
              <w:pStyle w:val="EcorysBody"/>
              <w:rPr>
                <w:sz w:val="16"/>
                <w:szCs w:val="16"/>
              </w:rPr>
            </w:pPr>
            <w:r w:rsidRPr="001F151E">
              <w:rPr>
                <w:rFonts w:ascii="Arial" w:hAnsi="Arial" w:cs="Arial"/>
                <w:sz w:val="16"/>
                <w:szCs w:val="16"/>
              </w:rPr>
              <w:t>SECO</w:t>
            </w:r>
            <w:r w:rsidRPr="001F151E">
              <w:rPr>
                <w:rFonts w:ascii="Arial" w:hAnsi="Arial" w:cs="Arial"/>
                <w:szCs w:val="14"/>
                <w:vertAlign w:val="superscript"/>
              </w:rPr>
              <w:footnoteReference w:id="31"/>
            </w:r>
          </w:p>
        </w:tc>
      </w:tr>
      <w:tr w:rsidR="00B45F59" w:rsidRPr="001F151E" w14:paraId="41841963" w14:textId="77777777" w:rsidTr="00D73907">
        <w:trPr>
          <w:trHeight w:val="32"/>
        </w:trPr>
        <w:tc>
          <w:tcPr>
            <w:tcW w:w="2197" w:type="dxa"/>
            <w:vMerge/>
            <w:tcBorders>
              <w:top w:val="single" w:sz="4" w:space="0" w:color="auto"/>
              <w:left w:val="single" w:sz="4" w:space="0" w:color="auto"/>
              <w:bottom w:val="single" w:sz="4" w:space="0" w:color="auto"/>
              <w:right w:val="single" w:sz="4" w:space="0" w:color="auto"/>
            </w:tcBorders>
            <w:vAlign w:val="center"/>
            <w:hideMark/>
          </w:tcPr>
          <w:p w14:paraId="4E6173F6" w14:textId="77777777" w:rsidR="00B45F59" w:rsidRPr="001F151E" w:rsidRDefault="00B45F59" w:rsidP="00B45F59">
            <w:pPr>
              <w:spacing w:line="240" w:lineRule="auto"/>
              <w:rPr>
                <w:b/>
                <w:bCs/>
                <w:sz w:val="16"/>
                <w:szCs w:val="16"/>
              </w:rPr>
            </w:pPr>
          </w:p>
        </w:tc>
        <w:tc>
          <w:tcPr>
            <w:tcW w:w="3333" w:type="dxa"/>
            <w:tcBorders>
              <w:top w:val="single" w:sz="4" w:space="0" w:color="auto"/>
              <w:left w:val="single" w:sz="4" w:space="0" w:color="auto"/>
              <w:bottom w:val="single" w:sz="4" w:space="0" w:color="auto"/>
              <w:right w:val="single" w:sz="4" w:space="0" w:color="auto"/>
            </w:tcBorders>
            <w:vAlign w:val="center"/>
            <w:hideMark/>
          </w:tcPr>
          <w:p w14:paraId="0BAA8BB2" w14:textId="77777777" w:rsidR="00B45F59" w:rsidRPr="001F151E" w:rsidRDefault="00B45F59" w:rsidP="00B45F59">
            <w:pPr>
              <w:pStyle w:val="EcorysBody"/>
              <w:numPr>
                <w:ilvl w:val="0"/>
                <w:numId w:val="28"/>
              </w:numPr>
              <w:rPr>
                <w:rFonts w:ascii="Arial" w:hAnsi="Arial" w:cs="Arial"/>
                <w:sz w:val="16"/>
                <w:szCs w:val="16"/>
              </w:rPr>
            </w:pPr>
            <w:r w:rsidRPr="00A92BA3">
              <w:rPr>
                <w:rFonts w:ascii="Arial" w:hAnsi="Arial" w:cs="Arial"/>
                <w:sz w:val="16"/>
                <w:szCs w:val="16"/>
              </w:rPr>
              <w:t>Zbatimi i metodologjisë së re për hartimin e PBA-së së bazuar në performancë dhe monitorimi</w:t>
            </w:r>
            <w:r>
              <w:rPr>
                <w:rFonts w:ascii="Arial" w:hAnsi="Arial" w:cs="Arial"/>
                <w:sz w:val="16"/>
                <w:szCs w:val="16"/>
              </w:rPr>
              <w:t>n e</w:t>
            </w:r>
            <w:r w:rsidRPr="00A92BA3">
              <w:rPr>
                <w:rFonts w:ascii="Arial" w:hAnsi="Arial" w:cs="Arial"/>
                <w:sz w:val="16"/>
                <w:szCs w:val="16"/>
              </w:rPr>
              <w:t xml:space="preserve"> zbatimit të PBA-së.</w:t>
            </w:r>
          </w:p>
        </w:tc>
        <w:tc>
          <w:tcPr>
            <w:tcW w:w="993" w:type="dxa"/>
            <w:tcBorders>
              <w:top w:val="single" w:sz="4" w:space="0" w:color="auto"/>
              <w:left w:val="single" w:sz="4" w:space="0" w:color="auto"/>
              <w:bottom w:val="single" w:sz="4" w:space="0" w:color="auto"/>
              <w:right w:val="single" w:sz="4" w:space="0" w:color="auto"/>
            </w:tcBorders>
            <w:vAlign w:val="center"/>
          </w:tcPr>
          <w:p w14:paraId="28BDF1A6" w14:textId="77777777" w:rsidR="00B45F59" w:rsidRPr="001F151E" w:rsidRDefault="00B45F59" w:rsidP="00B45F59">
            <w:pPr>
              <w:jc w:val="center"/>
              <w:rPr>
                <w:sz w:val="16"/>
                <w:szCs w:val="16"/>
              </w:rPr>
            </w:pPr>
            <w:r>
              <w:rPr>
                <w:sz w:val="16"/>
                <w:szCs w:val="16"/>
              </w:rPr>
              <w:t>T</w:t>
            </w:r>
            <w:r w:rsidRPr="001F151E">
              <w:rPr>
                <w:sz w:val="16"/>
                <w:szCs w:val="16"/>
              </w:rPr>
              <w:t>1 2024</w:t>
            </w:r>
          </w:p>
        </w:tc>
        <w:tc>
          <w:tcPr>
            <w:tcW w:w="924" w:type="dxa"/>
            <w:tcBorders>
              <w:top w:val="single" w:sz="4" w:space="0" w:color="auto"/>
              <w:left w:val="single" w:sz="4" w:space="0" w:color="auto"/>
              <w:bottom w:val="single" w:sz="4" w:space="0" w:color="auto"/>
              <w:right w:val="single" w:sz="4" w:space="0" w:color="auto"/>
            </w:tcBorders>
            <w:vAlign w:val="center"/>
          </w:tcPr>
          <w:p w14:paraId="19EC39CF"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16727F23" w14:textId="77777777" w:rsidR="00B45F59" w:rsidRPr="001F151E" w:rsidRDefault="00B45F59" w:rsidP="00B45F59">
            <w:pPr>
              <w:spacing w:line="240" w:lineRule="auto"/>
              <w:rPr>
                <w:rFonts w:ascii="Open Sans Light" w:hAnsi="Open Sans Light" w:cs="Open Sans Light"/>
                <w:sz w:val="16"/>
                <w:szCs w:val="16"/>
              </w:rPr>
            </w:pPr>
          </w:p>
        </w:tc>
      </w:tr>
      <w:tr w:rsidR="00B45F59" w:rsidRPr="001F151E" w14:paraId="5DEFF2AE" w14:textId="77777777" w:rsidTr="00D73907">
        <w:trPr>
          <w:trHeight w:val="32"/>
        </w:trPr>
        <w:tc>
          <w:tcPr>
            <w:tcW w:w="2197" w:type="dxa"/>
            <w:vMerge/>
            <w:tcBorders>
              <w:top w:val="single" w:sz="4" w:space="0" w:color="auto"/>
              <w:left w:val="single" w:sz="4" w:space="0" w:color="auto"/>
              <w:bottom w:val="single" w:sz="4" w:space="0" w:color="auto"/>
              <w:right w:val="single" w:sz="4" w:space="0" w:color="auto"/>
            </w:tcBorders>
            <w:vAlign w:val="center"/>
            <w:hideMark/>
          </w:tcPr>
          <w:p w14:paraId="03CEC33C" w14:textId="77777777" w:rsidR="00B45F59" w:rsidRPr="001F151E" w:rsidRDefault="00B45F59" w:rsidP="00B45F59">
            <w:pPr>
              <w:spacing w:line="240" w:lineRule="auto"/>
              <w:rPr>
                <w:b/>
                <w:bCs/>
                <w:sz w:val="16"/>
                <w:szCs w:val="16"/>
              </w:rPr>
            </w:pPr>
          </w:p>
        </w:tc>
        <w:tc>
          <w:tcPr>
            <w:tcW w:w="3333" w:type="dxa"/>
            <w:tcBorders>
              <w:top w:val="single" w:sz="4" w:space="0" w:color="auto"/>
              <w:left w:val="single" w:sz="4" w:space="0" w:color="auto"/>
              <w:bottom w:val="single" w:sz="4" w:space="0" w:color="auto"/>
              <w:right w:val="single" w:sz="4" w:space="0" w:color="auto"/>
            </w:tcBorders>
            <w:vAlign w:val="center"/>
            <w:hideMark/>
          </w:tcPr>
          <w:p w14:paraId="2E24873A" w14:textId="77777777" w:rsidR="00B45F59" w:rsidRPr="00A92BA3" w:rsidRDefault="00B45F59" w:rsidP="00B45F59">
            <w:pPr>
              <w:pStyle w:val="EcorysBody"/>
              <w:numPr>
                <w:ilvl w:val="0"/>
                <w:numId w:val="28"/>
              </w:numPr>
              <w:rPr>
                <w:rFonts w:ascii="Arial" w:hAnsi="Arial" w:cs="Arial"/>
                <w:sz w:val="16"/>
                <w:szCs w:val="16"/>
              </w:rPr>
            </w:pPr>
            <w:r w:rsidRPr="00A92BA3">
              <w:rPr>
                <w:rFonts w:ascii="Arial" w:hAnsi="Arial" w:cs="Arial"/>
                <w:sz w:val="16"/>
                <w:szCs w:val="16"/>
              </w:rPr>
              <w:t>Përdorimi i treguesve të performancës në Programin Buxhetor Afatmesëm duke ndikuar drejtpërdrejt në rritjen e cilësisë së monitorimit të zbatimit të buxhetit vendor.</w:t>
            </w:r>
          </w:p>
        </w:tc>
        <w:tc>
          <w:tcPr>
            <w:tcW w:w="993" w:type="dxa"/>
            <w:tcBorders>
              <w:top w:val="single" w:sz="4" w:space="0" w:color="auto"/>
              <w:left w:val="single" w:sz="4" w:space="0" w:color="auto"/>
              <w:bottom w:val="single" w:sz="4" w:space="0" w:color="auto"/>
              <w:right w:val="single" w:sz="4" w:space="0" w:color="auto"/>
            </w:tcBorders>
            <w:vAlign w:val="center"/>
          </w:tcPr>
          <w:p w14:paraId="4A6478E9" w14:textId="77777777" w:rsidR="00B45F59" w:rsidRPr="001F151E" w:rsidRDefault="00B45F59" w:rsidP="00B45F59">
            <w:pPr>
              <w:jc w:val="center"/>
              <w:rPr>
                <w:sz w:val="16"/>
                <w:szCs w:val="16"/>
              </w:rPr>
            </w:pPr>
            <w:r>
              <w:rPr>
                <w:sz w:val="16"/>
                <w:szCs w:val="16"/>
              </w:rPr>
              <w:t>T</w:t>
            </w:r>
            <w:r w:rsidRPr="001F151E">
              <w:rPr>
                <w:sz w:val="16"/>
                <w:szCs w:val="16"/>
              </w:rPr>
              <w:t>1 2024</w:t>
            </w:r>
          </w:p>
        </w:tc>
        <w:tc>
          <w:tcPr>
            <w:tcW w:w="924" w:type="dxa"/>
            <w:tcBorders>
              <w:top w:val="single" w:sz="4" w:space="0" w:color="auto"/>
              <w:left w:val="single" w:sz="4" w:space="0" w:color="auto"/>
              <w:bottom w:val="single" w:sz="4" w:space="0" w:color="auto"/>
              <w:right w:val="single" w:sz="4" w:space="0" w:color="auto"/>
            </w:tcBorders>
            <w:vAlign w:val="center"/>
          </w:tcPr>
          <w:p w14:paraId="0B7F6F5E"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32E03221" w14:textId="77777777" w:rsidR="00B45F59" w:rsidRPr="001F151E" w:rsidRDefault="00B45F59" w:rsidP="00B45F59">
            <w:pPr>
              <w:spacing w:line="240" w:lineRule="auto"/>
              <w:rPr>
                <w:rFonts w:ascii="Open Sans Light" w:hAnsi="Open Sans Light" w:cs="Open Sans Light"/>
                <w:sz w:val="16"/>
                <w:szCs w:val="16"/>
              </w:rPr>
            </w:pPr>
          </w:p>
        </w:tc>
      </w:tr>
      <w:tr w:rsidR="00B45F59" w:rsidRPr="001F151E" w14:paraId="45BAC376" w14:textId="77777777" w:rsidTr="00D73907">
        <w:trPr>
          <w:trHeight w:val="32"/>
        </w:trPr>
        <w:tc>
          <w:tcPr>
            <w:tcW w:w="2197" w:type="dxa"/>
            <w:vMerge/>
            <w:tcBorders>
              <w:top w:val="single" w:sz="4" w:space="0" w:color="auto"/>
              <w:left w:val="single" w:sz="4" w:space="0" w:color="auto"/>
              <w:bottom w:val="single" w:sz="4" w:space="0" w:color="auto"/>
              <w:right w:val="single" w:sz="4" w:space="0" w:color="auto"/>
            </w:tcBorders>
            <w:vAlign w:val="center"/>
            <w:hideMark/>
          </w:tcPr>
          <w:p w14:paraId="593DDD1E" w14:textId="77777777" w:rsidR="00B45F59" w:rsidRPr="001F151E" w:rsidRDefault="00B45F59" w:rsidP="00B45F59">
            <w:pPr>
              <w:spacing w:line="240" w:lineRule="auto"/>
              <w:rPr>
                <w:b/>
                <w:bCs/>
                <w:sz w:val="16"/>
                <w:szCs w:val="16"/>
              </w:rPr>
            </w:pPr>
          </w:p>
        </w:tc>
        <w:tc>
          <w:tcPr>
            <w:tcW w:w="3333" w:type="dxa"/>
            <w:tcBorders>
              <w:top w:val="single" w:sz="4" w:space="0" w:color="auto"/>
              <w:left w:val="single" w:sz="4" w:space="0" w:color="auto"/>
              <w:bottom w:val="single" w:sz="4" w:space="0" w:color="auto"/>
              <w:right w:val="single" w:sz="4" w:space="0" w:color="auto"/>
            </w:tcBorders>
            <w:vAlign w:val="center"/>
            <w:hideMark/>
          </w:tcPr>
          <w:p w14:paraId="3558B4EC" w14:textId="77777777" w:rsidR="00B45F59" w:rsidRPr="001F151E" w:rsidRDefault="00B45F59" w:rsidP="00B45F59">
            <w:pPr>
              <w:pStyle w:val="EcorysBody"/>
              <w:numPr>
                <w:ilvl w:val="0"/>
                <w:numId w:val="28"/>
              </w:numPr>
              <w:rPr>
                <w:rFonts w:ascii="Arial" w:hAnsi="Arial" w:cs="Arial"/>
                <w:sz w:val="16"/>
                <w:szCs w:val="16"/>
              </w:rPr>
            </w:pPr>
            <w:r w:rsidRPr="00EC288B">
              <w:rPr>
                <w:rFonts w:ascii="Arial" w:hAnsi="Arial" w:cs="Arial"/>
                <w:sz w:val="16"/>
                <w:szCs w:val="16"/>
              </w:rPr>
              <w:t xml:space="preserve">Zhvillimi dhe zbatimi i aktiviteteve për ngritjen e kapaciteteve për formulimin e </w:t>
            </w:r>
            <w:r>
              <w:rPr>
                <w:rFonts w:ascii="Arial" w:hAnsi="Arial" w:cs="Arial"/>
                <w:sz w:val="16"/>
                <w:szCs w:val="16"/>
              </w:rPr>
              <w:t xml:space="preserve">PBA-së, raportimin e zbatimit të buxhetit gjatë </w:t>
            </w:r>
            <w:r w:rsidRPr="00EC288B">
              <w:rPr>
                <w:rFonts w:ascii="Arial" w:hAnsi="Arial" w:cs="Arial"/>
                <w:sz w:val="16"/>
                <w:szCs w:val="16"/>
              </w:rPr>
              <w:t>vitit dhe raportimin vjetor të ekzekutimit të buxhetit.</w:t>
            </w:r>
          </w:p>
        </w:tc>
        <w:tc>
          <w:tcPr>
            <w:tcW w:w="993" w:type="dxa"/>
            <w:tcBorders>
              <w:top w:val="single" w:sz="4" w:space="0" w:color="auto"/>
              <w:left w:val="single" w:sz="4" w:space="0" w:color="auto"/>
              <w:bottom w:val="single" w:sz="4" w:space="0" w:color="auto"/>
              <w:right w:val="single" w:sz="4" w:space="0" w:color="auto"/>
            </w:tcBorders>
            <w:vAlign w:val="center"/>
          </w:tcPr>
          <w:p w14:paraId="2721803A" w14:textId="77777777" w:rsidR="00B45F59" w:rsidRPr="001F151E" w:rsidRDefault="00B45F59" w:rsidP="00B45F59">
            <w:pPr>
              <w:jc w:val="center"/>
              <w:rPr>
                <w:sz w:val="16"/>
                <w:szCs w:val="16"/>
              </w:rPr>
            </w:pPr>
            <w:r>
              <w:rPr>
                <w:sz w:val="16"/>
                <w:szCs w:val="16"/>
              </w:rPr>
              <w:t>T</w:t>
            </w:r>
            <w:r w:rsidRPr="001F151E">
              <w:rPr>
                <w:sz w:val="16"/>
                <w:szCs w:val="16"/>
              </w:rPr>
              <w:t>1 2024</w:t>
            </w:r>
          </w:p>
        </w:tc>
        <w:tc>
          <w:tcPr>
            <w:tcW w:w="924" w:type="dxa"/>
            <w:tcBorders>
              <w:top w:val="single" w:sz="4" w:space="0" w:color="auto"/>
              <w:left w:val="single" w:sz="4" w:space="0" w:color="auto"/>
              <w:bottom w:val="single" w:sz="4" w:space="0" w:color="auto"/>
              <w:right w:val="single" w:sz="4" w:space="0" w:color="auto"/>
            </w:tcBorders>
            <w:vAlign w:val="center"/>
          </w:tcPr>
          <w:p w14:paraId="4B40F747"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165B4034" w14:textId="77777777" w:rsidR="00B45F59" w:rsidRPr="001F151E" w:rsidRDefault="00B45F59" w:rsidP="00B45F59">
            <w:pPr>
              <w:spacing w:line="240" w:lineRule="auto"/>
              <w:rPr>
                <w:rFonts w:ascii="Open Sans Light" w:hAnsi="Open Sans Light" w:cs="Open Sans Light"/>
                <w:sz w:val="16"/>
                <w:szCs w:val="16"/>
              </w:rPr>
            </w:pPr>
          </w:p>
        </w:tc>
      </w:tr>
      <w:tr w:rsidR="00B45F59" w:rsidRPr="001F151E" w14:paraId="1314B653" w14:textId="77777777" w:rsidTr="00D73907">
        <w:trPr>
          <w:trHeight w:val="32"/>
        </w:trPr>
        <w:tc>
          <w:tcPr>
            <w:tcW w:w="2197" w:type="dxa"/>
            <w:vMerge w:val="restart"/>
            <w:tcBorders>
              <w:top w:val="single" w:sz="4" w:space="0" w:color="auto"/>
              <w:left w:val="single" w:sz="4" w:space="0" w:color="auto"/>
              <w:right w:val="single" w:sz="4" w:space="0" w:color="auto"/>
            </w:tcBorders>
          </w:tcPr>
          <w:p w14:paraId="602ABBE3" w14:textId="77777777" w:rsidR="00B45F59" w:rsidRPr="003064A3" w:rsidRDefault="00B45F59" w:rsidP="00B45F59">
            <w:pPr>
              <w:pStyle w:val="EcorysBody"/>
              <w:rPr>
                <w:rFonts w:ascii="Arial" w:hAnsi="Arial" w:cs="Arial"/>
                <w:b/>
                <w:bCs/>
                <w:sz w:val="16"/>
                <w:szCs w:val="16"/>
              </w:rPr>
            </w:pPr>
            <w:r>
              <w:rPr>
                <w:rFonts w:ascii="Arial" w:hAnsi="Arial" w:cs="Arial"/>
                <w:b/>
                <w:bCs/>
                <w:sz w:val="16"/>
                <w:szCs w:val="16"/>
              </w:rPr>
              <w:t>Masa 2.4.3</w:t>
            </w:r>
            <w:r w:rsidRPr="001F151E">
              <w:rPr>
                <w:rFonts w:ascii="Arial" w:hAnsi="Arial" w:cs="Arial"/>
                <w:b/>
                <w:bCs/>
                <w:sz w:val="16"/>
                <w:szCs w:val="16"/>
              </w:rPr>
              <w:t xml:space="preserve"> </w:t>
            </w:r>
            <w:r w:rsidRPr="003064A3">
              <w:rPr>
                <w:b/>
                <w:bCs/>
              </w:rPr>
              <w:t>Zhvillimi dhe vendosja e Sistemit të ri të Menaxhimit të Buxhetit Vendor (SMBV) për përgatitjen dhe monitorimin e buxhetit v</w:t>
            </w:r>
            <w:r>
              <w:rPr>
                <w:b/>
                <w:bCs/>
              </w:rPr>
              <w:t>endor</w:t>
            </w:r>
          </w:p>
          <w:p w14:paraId="6276D7CB" w14:textId="77777777" w:rsidR="00B45F59" w:rsidRPr="001F151E" w:rsidRDefault="00B45F59" w:rsidP="00B45F59">
            <w:pPr>
              <w:pStyle w:val="EcorysBody"/>
              <w:rPr>
                <w:rFonts w:ascii="Arial" w:hAnsi="Arial" w:cs="Arial"/>
                <w:b/>
                <w:bCs/>
                <w:sz w:val="16"/>
                <w:szCs w:val="16"/>
              </w:rPr>
            </w:pPr>
          </w:p>
        </w:tc>
        <w:tc>
          <w:tcPr>
            <w:tcW w:w="3333" w:type="dxa"/>
            <w:tcBorders>
              <w:top w:val="single" w:sz="4" w:space="0" w:color="auto"/>
              <w:left w:val="single" w:sz="4" w:space="0" w:color="auto"/>
              <w:bottom w:val="single" w:sz="4" w:space="0" w:color="auto"/>
              <w:right w:val="single" w:sz="4" w:space="0" w:color="auto"/>
            </w:tcBorders>
          </w:tcPr>
          <w:p w14:paraId="044168E8" w14:textId="77777777" w:rsidR="00B45F59" w:rsidRPr="001F151E" w:rsidRDefault="00B45F59" w:rsidP="00CD7428">
            <w:pPr>
              <w:pStyle w:val="EcorysBody"/>
              <w:numPr>
                <w:ilvl w:val="0"/>
                <w:numId w:val="72"/>
              </w:numPr>
              <w:rPr>
                <w:rFonts w:ascii="Arial" w:hAnsi="Arial" w:cs="Arial"/>
                <w:sz w:val="16"/>
                <w:szCs w:val="16"/>
              </w:rPr>
            </w:pPr>
            <w:r w:rsidRPr="003064A3">
              <w:rPr>
                <w:rFonts w:ascii="Arial" w:hAnsi="Arial" w:cs="Arial"/>
                <w:sz w:val="16"/>
                <w:szCs w:val="16"/>
              </w:rPr>
              <w:t>Përgatit</w:t>
            </w:r>
            <w:r>
              <w:rPr>
                <w:rFonts w:ascii="Arial" w:hAnsi="Arial" w:cs="Arial"/>
                <w:sz w:val="16"/>
                <w:szCs w:val="16"/>
              </w:rPr>
              <w:t>ja e</w:t>
            </w:r>
            <w:r w:rsidRPr="003064A3">
              <w:rPr>
                <w:rFonts w:ascii="Arial" w:hAnsi="Arial" w:cs="Arial"/>
                <w:sz w:val="16"/>
                <w:szCs w:val="16"/>
              </w:rPr>
              <w:t xml:space="preserve"> një dokument</w:t>
            </w:r>
            <w:r>
              <w:rPr>
                <w:rFonts w:ascii="Arial" w:hAnsi="Arial" w:cs="Arial"/>
                <w:sz w:val="16"/>
                <w:szCs w:val="16"/>
              </w:rPr>
              <w:t>i</w:t>
            </w:r>
            <w:r w:rsidRPr="003064A3">
              <w:rPr>
                <w:rFonts w:ascii="Arial" w:hAnsi="Arial" w:cs="Arial"/>
                <w:sz w:val="16"/>
                <w:szCs w:val="16"/>
              </w:rPr>
              <w:t xml:space="preserve"> specifik për Sistemin e </w:t>
            </w:r>
            <w:r>
              <w:rPr>
                <w:rFonts w:ascii="Arial" w:hAnsi="Arial" w:cs="Arial"/>
                <w:sz w:val="16"/>
                <w:szCs w:val="16"/>
              </w:rPr>
              <w:t xml:space="preserve">Menaxhimit të </w:t>
            </w:r>
            <w:r w:rsidRPr="003064A3">
              <w:rPr>
                <w:rFonts w:ascii="Arial" w:hAnsi="Arial" w:cs="Arial"/>
                <w:sz w:val="16"/>
                <w:szCs w:val="16"/>
              </w:rPr>
              <w:t>Buxhetit Vendor (</w:t>
            </w:r>
            <w:r>
              <w:rPr>
                <w:rFonts w:ascii="Arial" w:hAnsi="Arial" w:cs="Arial"/>
                <w:sz w:val="16"/>
                <w:szCs w:val="16"/>
              </w:rPr>
              <w:t>SMBV)</w:t>
            </w:r>
            <w:r w:rsidRPr="003064A3">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C623DCF" w14:textId="77777777" w:rsidR="00B45F59" w:rsidRPr="001F151E" w:rsidRDefault="00B45F59" w:rsidP="00B45F59">
            <w:pPr>
              <w:jc w:val="center"/>
              <w:rPr>
                <w:sz w:val="16"/>
                <w:szCs w:val="16"/>
              </w:rPr>
            </w:pPr>
            <w:r>
              <w:rPr>
                <w:sz w:val="16"/>
                <w:szCs w:val="16"/>
              </w:rPr>
              <w:t>T</w:t>
            </w:r>
            <w:r w:rsidRPr="001F151E">
              <w:rPr>
                <w:sz w:val="16"/>
                <w:szCs w:val="16"/>
              </w:rPr>
              <w:t>4 2023</w:t>
            </w:r>
          </w:p>
        </w:tc>
        <w:tc>
          <w:tcPr>
            <w:tcW w:w="924" w:type="dxa"/>
            <w:tcBorders>
              <w:top w:val="single" w:sz="4" w:space="0" w:color="auto"/>
              <w:left w:val="single" w:sz="4" w:space="0" w:color="auto"/>
              <w:bottom w:val="single" w:sz="4" w:space="0" w:color="auto"/>
              <w:right w:val="single" w:sz="4" w:space="0" w:color="auto"/>
            </w:tcBorders>
            <w:vAlign w:val="center"/>
          </w:tcPr>
          <w:p w14:paraId="3FEA0A83" w14:textId="77777777" w:rsidR="00B45F59" w:rsidRPr="001F151E" w:rsidRDefault="00B45F59" w:rsidP="00B45F59">
            <w:pPr>
              <w:jc w:val="center"/>
              <w:rPr>
                <w:sz w:val="16"/>
                <w:szCs w:val="16"/>
              </w:rPr>
            </w:pPr>
            <w:r>
              <w:rPr>
                <w:sz w:val="16"/>
                <w:szCs w:val="16"/>
              </w:rPr>
              <w:t>T</w:t>
            </w:r>
            <w:r w:rsidRPr="001F151E">
              <w:rPr>
                <w:sz w:val="16"/>
                <w:szCs w:val="16"/>
              </w:rPr>
              <w:t>1 2024</w:t>
            </w:r>
          </w:p>
        </w:tc>
        <w:tc>
          <w:tcPr>
            <w:tcW w:w="1569" w:type="dxa"/>
            <w:vMerge w:val="restart"/>
            <w:tcBorders>
              <w:top w:val="single" w:sz="4" w:space="0" w:color="auto"/>
              <w:left w:val="single" w:sz="4" w:space="0" w:color="auto"/>
              <w:right w:val="single" w:sz="4" w:space="0" w:color="auto"/>
            </w:tcBorders>
          </w:tcPr>
          <w:p w14:paraId="10A2150A" w14:textId="77777777" w:rsidR="00B45F59" w:rsidRPr="001F151E" w:rsidRDefault="00B45F59" w:rsidP="00B45F59">
            <w:pPr>
              <w:rPr>
                <w:b/>
                <w:bCs/>
                <w:sz w:val="16"/>
                <w:szCs w:val="16"/>
              </w:rPr>
            </w:pPr>
            <w:r>
              <w:rPr>
                <w:b/>
                <w:bCs/>
                <w:sz w:val="16"/>
                <w:szCs w:val="16"/>
              </w:rPr>
              <w:t>Njësitë Përgjegjëse</w:t>
            </w:r>
            <w:r w:rsidRPr="001F151E">
              <w:rPr>
                <w:b/>
                <w:bCs/>
                <w:sz w:val="16"/>
                <w:szCs w:val="16"/>
              </w:rPr>
              <w:t xml:space="preserve">: </w:t>
            </w:r>
          </w:p>
          <w:p w14:paraId="350DE51E" w14:textId="77777777" w:rsidR="00B45F59" w:rsidRPr="001F151E" w:rsidRDefault="00B45F59" w:rsidP="00B45F59">
            <w:pPr>
              <w:pStyle w:val="EcorysBody"/>
              <w:rPr>
                <w:rFonts w:ascii="Arial" w:hAnsi="Arial" w:cs="Arial"/>
                <w:sz w:val="16"/>
                <w:szCs w:val="16"/>
              </w:rPr>
            </w:pPr>
            <w:r>
              <w:rPr>
                <w:rFonts w:ascii="Arial" w:hAnsi="Arial" w:cs="Arial"/>
                <w:sz w:val="16"/>
                <w:szCs w:val="16"/>
              </w:rPr>
              <w:t>D</w:t>
            </w:r>
            <w:r w:rsidRPr="001F151E">
              <w:rPr>
                <w:rFonts w:ascii="Arial" w:hAnsi="Arial" w:cs="Arial"/>
                <w:sz w:val="16"/>
                <w:szCs w:val="16"/>
              </w:rPr>
              <w:t>F</w:t>
            </w:r>
            <w:r>
              <w:rPr>
                <w:rFonts w:ascii="Arial" w:hAnsi="Arial" w:cs="Arial"/>
                <w:sz w:val="16"/>
                <w:szCs w:val="16"/>
              </w:rPr>
              <w:t>V</w:t>
            </w:r>
            <w:r w:rsidRPr="001F151E">
              <w:rPr>
                <w:rFonts w:ascii="Arial" w:hAnsi="Arial" w:cs="Arial"/>
                <w:sz w:val="16"/>
                <w:szCs w:val="16"/>
              </w:rPr>
              <w:t xml:space="preserve"> (</w:t>
            </w:r>
            <w:r>
              <w:rPr>
                <w:rFonts w:ascii="Arial" w:hAnsi="Arial" w:cs="Arial"/>
                <w:sz w:val="16"/>
                <w:szCs w:val="16"/>
              </w:rPr>
              <w:t>lider</w:t>
            </w:r>
            <w:r w:rsidRPr="001F151E">
              <w:rPr>
                <w:rFonts w:ascii="Arial" w:hAnsi="Arial" w:cs="Arial"/>
                <w:sz w:val="16"/>
                <w:szCs w:val="16"/>
              </w:rPr>
              <w:t>)</w:t>
            </w:r>
          </w:p>
          <w:p w14:paraId="711B8A7C" w14:textId="77777777" w:rsidR="00B45F59" w:rsidRPr="001F151E" w:rsidRDefault="00B45F59" w:rsidP="00B45F59">
            <w:pPr>
              <w:pStyle w:val="EcorysBody"/>
              <w:rPr>
                <w:rFonts w:ascii="Arial" w:hAnsi="Arial" w:cs="Arial"/>
                <w:b/>
                <w:bCs/>
                <w:sz w:val="16"/>
                <w:szCs w:val="16"/>
              </w:rPr>
            </w:pPr>
          </w:p>
          <w:p w14:paraId="489CA80A" w14:textId="77777777" w:rsidR="00B45F59" w:rsidRPr="001F151E" w:rsidRDefault="00B45F59" w:rsidP="00B45F59">
            <w:pPr>
              <w:pStyle w:val="EcorysBody"/>
              <w:rPr>
                <w:rFonts w:ascii="Arial" w:hAnsi="Arial" w:cs="Arial"/>
                <w:b/>
                <w:bCs/>
                <w:sz w:val="16"/>
                <w:szCs w:val="16"/>
              </w:rPr>
            </w:pPr>
            <w:r w:rsidRPr="001F151E">
              <w:rPr>
                <w:rFonts w:ascii="Arial" w:hAnsi="Arial" w:cs="Arial"/>
                <w:b/>
                <w:bCs/>
                <w:sz w:val="16"/>
                <w:szCs w:val="16"/>
              </w:rPr>
              <w:t>Partner</w:t>
            </w:r>
            <w:r>
              <w:rPr>
                <w:rFonts w:ascii="Arial" w:hAnsi="Arial" w:cs="Arial"/>
                <w:b/>
                <w:bCs/>
                <w:sz w:val="16"/>
                <w:szCs w:val="16"/>
              </w:rPr>
              <w:t>ët</w:t>
            </w:r>
            <w:r w:rsidRPr="001F151E">
              <w:rPr>
                <w:rFonts w:ascii="Arial" w:hAnsi="Arial" w:cs="Arial"/>
                <w:b/>
                <w:bCs/>
                <w:sz w:val="16"/>
                <w:szCs w:val="16"/>
              </w:rPr>
              <w:t>:</w:t>
            </w:r>
          </w:p>
          <w:p w14:paraId="3CE75E2D" w14:textId="77777777" w:rsidR="00B45F59" w:rsidRPr="001F151E" w:rsidRDefault="00B45F59" w:rsidP="00B45F59">
            <w:pPr>
              <w:spacing w:line="240" w:lineRule="auto"/>
              <w:rPr>
                <w:rFonts w:ascii="Open Sans Light" w:hAnsi="Open Sans Light" w:cs="Open Sans Light"/>
                <w:sz w:val="16"/>
                <w:szCs w:val="16"/>
              </w:rPr>
            </w:pPr>
            <w:r w:rsidRPr="001F151E">
              <w:rPr>
                <w:sz w:val="16"/>
                <w:szCs w:val="16"/>
              </w:rPr>
              <w:t>SECO</w:t>
            </w:r>
          </w:p>
        </w:tc>
      </w:tr>
      <w:tr w:rsidR="00B45F59" w:rsidRPr="001F151E" w14:paraId="76CDCAB6" w14:textId="77777777" w:rsidTr="00D73907">
        <w:trPr>
          <w:trHeight w:val="32"/>
        </w:trPr>
        <w:tc>
          <w:tcPr>
            <w:tcW w:w="2197" w:type="dxa"/>
            <w:vMerge/>
            <w:tcBorders>
              <w:left w:val="single" w:sz="4" w:space="0" w:color="auto"/>
              <w:right w:val="single" w:sz="4" w:space="0" w:color="auto"/>
            </w:tcBorders>
            <w:vAlign w:val="center"/>
          </w:tcPr>
          <w:p w14:paraId="1CA336B1" w14:textId="77777777" w:rsidR="00B45F59" w:rsidRPr="001F151E" w:rsidRDefault="00B45F59" w:rsidP="00B45F59">
            <w:pPr>
              <w:pStyle w:val="EcorysBody"/>
              <w:rPr>
                <w:rFonts w:ascii="Arial" w:hAnsi="Arial" w:cs="Arial"/>
                <w:b/>
                <w:bCs/>
                <w:sz w:val="16"/>
                <w:szCs w:val="16"/>
              </w:rPr>
            </w:pPr>
          </w:p>
        </w:tc>
        <w:tc>
          <w:tcPr>
            <w:tcW w:w="3333" w:type="dxa"/>
            <w:tcBorders>
              <w:top w:val="single" w:sz="4" w:space="0" w:color="auto"/>
              <w:left w:val="single" w:sz="4" w:space="0" w:color="auto"/>
              <w:bottom w:val="single" w:sz="4" w:space="0" w:color="auto"/>
              <w:right w:val="single" w:sz="4" w:space="0" w:color="auto"/>
            </w:tcBorders>
          </w:tcPr>
          <w:p w14:paraId="3C75E20B" w14:textId="77777777" w:rsidR="00B45F59" w:rsidRPr="009D660E" w:rsidRDefault="00B45F59" w:rsidP="00CD7428">
            <w:pPr>
              <w:pStyle w:val="EcorysBody"/>
              <w:numPr>
                <w:ilvl w:val="0"/>
                <w:numId w:val="72"/>
              </w:numPr>
              <w:rPr>
                <w:rFonts w:ascii="Arial" w:hAnsi="Arial" w:cs="Arial"/>
                <w:sz w:val="16"/>
                <w:szCs w:val="16"/>
                <w:lang w:val="it-IT"/>
              </w:rPr>
            </w:pPr>
            <w:r w:rsidRPr="009D660E">
              <w:rPr>
                <w:rFonts w:ascii="Arial" w:hAnsi="Arial" w:cs="Arial"/>
                <w:sz w:val="16"/>
                <w:szCs w:val="16"/>
                <w:lang w:val="it-IT"/>
              </w:rPr>
              <w:t xml:space="preserve">Zhvillimi dhe testimi i SMBV-së së ri. </w:t>
            </w:r>
          </w:p>
        </w:tc>
        <w:tc>
          <w:tcPr>
            <w:tcW w:w="993" w:type="dxa"/>
            <w:tcBorders>
              <w:top w:val="single" w:sz="4" w:space="0" w:color="auto"/>
              <w:left w:val="single" w:sz="4" w:space="0" w:color="auto"/>
              <w:bottom w:val="single" w:sz="4" w:space="0" w:color="auto"/>
              <w:right w:val="single" w:sz="4" w:space="0" w:color="auto"/>
            </w:tcBorders>
            <w:vAlign w:val="center"/>
          </w:tcPr>
          <w:p w14:paraId="116D8D40" w14:textId="77777777" w:rsidR="00B45F59" w:rsidRPr="001F151E" w:rsidRDefault="00B45F59" w:rsidP="00B45F59">
            <w:pPr>
              <w:jc w:val="center"/>
              <w:rPr>
                <w:sz w:val="16"/>
                <w:szCs w:val="16"/>
              </w:rPr>
            </w:pPr>
            <w:r>
              <w:rPr>
                <w:sz w:val="16"/>
                <w:szCs w:val="16"/>
              </w:rPr>
              <w:t>T</w:t>
            </w:r>
            <w:r w:rsidRPr="001F151E">
              <w:rPr>
                <w:sz w:val="16"/>
                <w:szCs w:val="16"/>
              </w:rPr>
              <w:t>2 2024</w:t>
            </w:r>
          </w:p>
        </w:tc>
        <w:tc>
          <w:tcPr>
            <w:tcW w:w="924" w:type="dxa"/>
            <w:tcBorders>
              <w:top w:val="single" w:sz="4" w:space="0" w:color="auto"/>
              <w:left w:val="single" w:sz="4" w:space="0" w:color="auto"/>
              <w:bottom w:val="single" w:sz="4" w:space="0" w:color="auto"/>
              <w:right w:val="single" w:sz="4" w:space="0" w:color="auto"/>
            </w:tcBorders>
            <w:vAlign w:val="center"/>
          </w:tcPr>
          <w:p w14:paraId="32D08E24" w14:textId="77777777" w:rsidR="00B45F59" w:rsidRPr="001F151E" w:rsidRDefault="00B45F59" w:rsidP="00B45F59">
            <w:pPr>
              <w:jc w:val="center"/>
              <w:rPr>
                <w:sz w:val="16"/>
                <w:szCs w:val="16"/>
              </w:rPr>
            </w:pPr>
            <w:r>
              <w:rPr>
                <w:sz w:val="16"/>
                <w:szCs w:val="16"/>
              </w:rPr>
              <w:t>T</w:t>
            </w:r>
            <w:r w:rsidRPr="001F151E">
              <w:rPr>
                <w:sz w:val="16"/>
                <w:szCs w:val="16"/>
              </w:rPr>
              <w:t>1 2025</w:t>
            </w:r>
          </w:p>
        </w:tc>
        <w:tc>
          <w:tcPr>
            <w:tcW w:w="1569" w:type="dxa"/>
            <w:vMerge/>
            <w:tcBorders>
              <w:left w:val="single" w:sz="4" w:space="0" w:color="auto"/>
              <w:right w:val="single" w:sz="4" w:space="0" w:color="auto"/>
            </w:tcBorders>
          </w:tcPr>
          <w:p w14:paraId="05E9D645" w14:textId="77777777" w:rsidR="00B45F59" w:rsidRPr="001F151E" w:rsidRDefault="00B45F59" w:rsidP="00B45F59">
            <w:pPr>
              <w:spacing w:line="240" w:lineRule="auto"/>
              <w:rPr>
                <w:rFonts w:ascii="Open Sans Light" w:hAnsi="Open Sans Light" w:cs="Open Sans Light"/>
                <w:sz w:val="16"/>
                <w:szCs w:val="16"/>
              </w:rPr>
            </w:pPr>
          </w:p>
        </w:tc>
      </w:tr>
      <w:tr w:rsidR="00B45F59" w:rsidRPr="001F151E" w14:paraId="650E29AB" w14:textId="77777777" w:rsidTr="00D73907">
        <w:trPr>
          <w:trHeight w:val="32"/>
        </w:trPr>
        <w:tc>
          <w:tcPr>
            <w:tcW w:w="2197" w:type="dxa"/>
            <w:vMerge/>
            <w:tcBorders>
              <w:left w:val="single" w:sz="4" w:space="0" w:color="auto"/>
              <w:right w:val="single" w:sz="4" w:space="0" w:color="auto"/>
            </w:tcBorders>
            <w:vAlign w:val="center"/>
          </w:tcPr>
          <w:p w14:paraId="4FE6AA6B" w14:textId="77777777" w:rsidR="00B45F59" w:rsidRPr="001F151E" w:rsidRDefault="00B45F59" w:rsidP="00B45F59">
            <w:pPr>
              <w:pStyle w:val="EcorysBody"/>
              <w:rPr>
                <w:rFonts w:ascii="Arial" w:hAnsi="Arial" w:cs="Arial"/>
                <w:b/>
                <w:bCs/>
                <w:sz w:val="16"/>
                <w:szCs w:val="16"/>
              </w:rPr>
            </w:pPr>
          </w:p>
        </w:tc>
        <w:tc>
          <w:tcPr>
            <w:tcW w:w="3333" w:type="dxa"/>
            <w:tcBorders>
              <w:top w:val="single" w:sz="4" w:space="0" w:color="auto"/>
              <w:left w:val="single" w:sz="4" w:space="0" w:color="auto"/>
              <w:bottom w:val="single" w:sz="4" w:space="0" w:color="auto"/>
              <w:right w:val="single" w:sz="4" w:space="0" w:color="auto"/>
            </w:tcBorders>
          </w:tcPr>
          <w:p w14:paraId="5F249FEA" w14:textId="77777777" w:rsidR="00B45F59" w:rsidRPr="001F151E" w:rsidRDefault="00B45F59" w:rsidP="00CD7428">
            <w:pPr>
              <w:pStyle w:val="EcorysBody"/>
              <w:numPr>
                <w:ilvl w:val="0"/>
                <w:numId w:val="72"/>
              </w:numPr>
              <w:rPr>
                <w:rFonts w:ascii="Arial" w:hAnsi="Arial" w:cs="Arial"/>
                <w:sz w:val="16"/>
                <w:szCs w:val="16"/>
              </w:rPr>
            </w:pPr>
            <w:r w:rsidRPr="00F7616A">
              <w:rPr>
                <w:rFonts w:ascii="Arial" w:hAnsi="Arial" w:cs="Arial"/>
                <w:sz w:val="16"/>
                <w:szCs w:val="16"/>
              </w:rPr>
              <w:t xml:space="preserve">Zhvillimi dhe zbatimi i aktiviteteve për ngritjen e kapaciteteve për përdorimin e </w:t>
            </w:r>
            <w:r>
              <w:rPr>
                <w:rFonts w:ascii="Arial" w:hAnsi="Arial" w:cs="Arial"/>
                <w:sz w:val="16"/>
                <w:szCs w:val="16"/>
              </w:rPr>
              <w:t>SMBV-së së ri</w:t>
            </w:r>
            <w:r w:rsidRPr="00F7616A">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B17B412" w14:textId="77777777" w:rsidR="00B45F59" w:rsidRPr="001F151E" w:rsidRDefault="00B45F59" w:rsidP="00B45F59">
            <w:pPr>
              <w:jc w:val="center"/>
              <w:rPr>
                <w:sz w:val="16"/>
                <w:szCs w:val="16"/>
              </w:rPr>
            </w:pPr>
            <w:r>
              <w:rPr>
                <w:sz w:val="16"/>
                <w:szCs w:val="16"/>
              </w:rPr>
              <w:t>T</w:t>
            </w:r>
            <w:r w:rsidRPr="001F151E">
              <w:rPr>
                <w:sz w:val="16"/>
                <w:szCs w:val="16"/>
              </w:rPr>
              <w:t>1 2024</w:t>
            </w:r>
          </w:p>
        </w:tc>
        <w:tc>
          <w:tcPr>
            <w:tcW w:w="924" w:type="dxa"/>
            <w:tcBorders>
              <w:top w:val="single" w:sz="4" w:space="0" w:color="auto"/>
              <w:left w:val="single" w:sz="4" w:space="0" w:color="auto"/>
              <w:bottom w:val="single" w:sz="4" w:space="0" w:color="auto"/>
              <w:right w:val="single" w:sz="4" w:space="0" w:color="auto"/>
            </w:tcBorders>
            <w:vAlign w:val="center"/>
          </w:tcPr>
          <w:p w14:paraId="7763C4C4" w14:textId="77777777" w:rsidR="00B45F59" w:rsidRPr="001F151E" w:rsidRDefault="00B45F59" w:rsidP="00B45F59">
            <w:pPr>
              <w:jc w:val="center"/>
              <w:rPr>
                <w:sz w:val="16"/>
                <w:szCs w:val="16"/>
              </w:rPr>
            </w:pPr>
            <w:r>
              <w:rPr>
                <w:sz w:val="16"/>
                <w:szCs w:val="16"/>
              </w:rPr>
              <w:t>T</w:t>
            </w:r>
            <w:r w:rsidRPr="001F151E">
              <w:rPr>
                <w:sz w:val="16"/>
                <w:szCs w:val="16"/>
              </w:rPr>
              <w:t>4 2024</w:t>
            </w:r>
          </w:p>
        </w:tc>
        <w:tc>
          <w:tcPr>
            <w:tcW w:w="1569" w:type="dxa"/>
            <w:vMerge/>
            <w:tcBorders>
              <w:left w:val="single" w:sz="4" w:space="0" w:color="auto"/>
              <w:right w:val="single" w:sz="4" w:space="0" w:color="auto"/>
            </w:tcBorders>
          </w:tcPr>
          <w:p w14:paraId="4980962D" w14:textId="77777777" w:rsidR="00B45F59" w:rsidRPr="001F151E" w:rsidRDefault="00B45F59" w:rsidP="00B45F59">
            <w:pPr>
              <w:spacing w:line="240" w:lineRule="auto"/>
              <w:rPr>
                <w:rFonts w:ascii="Open Sans Light" w:hAnsi="Open Sans Light" w:cs="Open Sans Light"/>
                <w:sz w:val="16"/>
                <w:szCs w:val="16"/>
              </w:rPr>
            </w:pPr>
          </w:p>
        </w:tc>
      </w:tr>
      <w:tr w:rsidR="00B45F59" w:rsidRPr="001F151E" w14:paraId="4789AB4B" w14:textId="77777777" w:rsidTr="00D73907">
        <w:trPr>
          <w:trHeight w:val="32"/>
        </w:trPr>
        <w:tc>
          <w:tcPr>
            <w:tcW w:w="2197" w:type="dxa"/>
            <w:vMerge/>
            <w:tcBorders>
              <w:left w:val="single" w:sz="4" w:space="0" w:color="auto"/>
              <w:right w:val="single" w:sz="4" w:space="0" w:color="auto"/>
            </w:tcBorders>
            <w:vAlign w:val="center"/>
          </w:tcPr>
          <w:p w14:paraId="6B615F7B" w14:textId="77777777" w:rsidR="00B45F59" w:rsidRPr="001F151E" w:rsidRDefault="00B45F59" w:rsidP="00B45F59">
            <w:pPr>
              <w:pStyle w:val="EcorysBody"/>
              <w:rPr>
                <w:rFonts w:ascii="Arial" w:hAnsi="Arial" w:cs="Arial"/>
                <w:b/>
                <w:bCs/>
                <w:sz w:val="16"/>
                <w:szCs w:val="16"/>
              </w:rPr>
            </w:pPr>
          </w:p>
        </w:tc>
        <w:tc>
          <w:tcPr>
            <w:tcW w:w="3333" w:type="dxa"/>
            <w:tcBorders>
              <w:top w:val="single" w:sz="4" w:space="0" w:color="auto"/>
              <w:left w:val="single" w:sz="4" w:space="0" w:color="auto"/>
              <w:bottom w:val="single" w:sz="4" w:space="0" w:color="auto"/>
              <w:right w:val="single" w:sz="4" w:space="0" w:color="auto"/>
            </w:tcBorders>
          </w:tcPr>
          <w:p w14:paraId="1198F423" w14:textId="77777777" w:rsidR="00B45F59" w:rsidRPr="00201595" w:rsidRDefault="00B45F59" w:rsidP="00CD7428">
            <w:pPr>
              <w:pStyle w:val="EcorysBody"/>
              <w:numPr>
                <w:ilvl w:val="0"/>
                <w:numId w:val="72"/>
              </w:numPr>
              <w:rPr>
                <w:rFonts w:ascii="Arial" w:hAnsi="Arial" w:cs="Arial"/>
                <w:sz w:val="16"/>
                <w:szCs w:val="16"/>
              </w:rPr>
            </w:pPr>
            <w:r w:rsidRPr="00201595">
              <w:rPr>
                <w:rFonts w:ascii="Arial" w:hAnsi="Arial" w:cs="Arial"/>
                <w:sz w:val="16"/>
                <w:szCs w:val="16"/>
              </w:rPr>
              <w:t xml:space="preserve">Funksionimi i plotë i </w:t>
            </w:r>
            <w:r>
              <w:rPr>
                <w:rFonts w:ascii="Arial" w:hAnsi="Arial" w:cs="Arial"/>
                <w:sz w:val="16"/>
                <w:szCs w:val="16"/>
              </w:rPr>
              <w:t>SMBV-së së ri</w:t>
            </w:r>
            <w:r w:rsidRPr="00201595">
              <w:rPr>
                <w:rFonts w:ascii="Arial" w:hAnsi="Arial" w:cs="Arial"/>
                <w:sz w:val="16"/>
                <w:szCs w:val="16"/>
              </w:rPr>
              <w:t xml:space="preserve"> nga të gjitha NJV</w:t>
            </w:r>
            <w:r>
              <w:rPr>
                <w:rFonts w:ascii="Arial" w:hAnsi="Arial" w:cs="Arial"/>
                <w:sz w:val="16"/>
                <w:szCs w:val="16"/>
              </w:rPr>
              <w:t>QV</w:t>
            </w:r>
            <w:r w:rsidRPr="00201595">
              <w:rPr>
                <w:rFonts w:ascii="Arial" w:hAnsi="Arial" w:cs="Arial"/>
                <w:sz w:val="16"/>
                <w:szCs w:val="16"/>
              </w:rPr>
              <w:t>-të.</w:t>
            </w:r>
          </w:p>
        </w:tc>
        <w:tc>
          <w:tcPr>
            <w:tcW w:w="993" w:type="dxa"/>
            <w:tcBorders>
              <w:top w:val="single" w:sz="4" w:space="0" w:color="auto"/>
              <w:left w:val="single" w:sz="4" w:space="0" w:color="auto"/>
              <w:bottom w:val="single" w:sz="4" w:space="0" w:color="auto"/>
              <w:right w:val="single" w:sz="4" w:space="0" w:color="auto"/>
            </w:tcBorders>
            <w:vAlign w:val="center"/>
          </w:tcPr>
          <w:p w14:paraId="33DA9F55" w14:textId="77777777" w:rsidR="00B45F59" w:rsidRPr="001F151E" w:rsidRDefault="00B45F59" w:rsidP="00B45F59">
            <w:pPr>
              <w:jc w:val="center"/>
              <w:rPr>
                <w:sz w:val="16"/>
                <w:szCs w:val="16"/>
              </w:rPr>
            </w:pPr>
            <w:r>
              <w:rPr>
                <w:sz w:val="16"/>
                <w:szCs w:val="16"/>
              </w:rPr>
              <w:t>T</w:t>
            </w:r>
            <w:r w:rsidRPr="001F151E">
              <w:rPr>
                <w:sz w:val="16"/>
                <w:szCs w:val="16"/>
              </w:rPr>
              <w:t>2 2024</w:t>
            </w:r>
          </w:p>
        </w:tc>
        <w:tc>
          <w:tcPr>
            <w:tcW w:w="924" w:type="dxa"/>
            <w:tcBorders>
              <w:top w:val="single" w:sz="4" w:space="0" w:color="auto"/>
              <w:left w:val="single" w:sz="4" w:space="0" w:color="auto"/>
              <w:bottom w:val="single" w:sz="4" w:space="0" w:color="auto"/>
              <w:right w:val="single" w:sz="4" w:space="0" w:color="auto"/>
            </w:tcBorders>
            <w:vAlign w:val="center"/>
          </w:tcPr>
          <w:p w14:paraId="651F57B1" w14:textId="77777777" w:rsidR="00B45F59" w:rsidRPr="001F151E" w:rsidRDefault="00B45F59" w:rsidP="00B45F59">
            <w:pPr>
              <w:jc w:val="center"/>
              <w:rPr>
                <w:sz w:val="16"/>
                <w:szCs w:val="16"/>
              </w:rPr>
            </w:pPr>
            <w:r>
              <w:rPr>
                <w:sz w:val="16"/>
                <w:szCs w:val="16"/>
              </w:rPr>
              <w:t>T</w:t>
            </w:r>
            <w:r w:rsidRPr="001F151E">
              <w:rPr>
                <w:sz w:val="16"/>
                <w:szCs w:val="16"/>
              </w:rPr>
              <w:t>4 2024</w:t>
            </w:r>
          </w:p>
        </w:tc>
        <w:tc>
          <w:tcPr>
            <w:tcW w:w="1569" w:type="dxa"/>
            <w:vMerge/>
            <w:tcBorders>
              <w:left w:val="single" w:sz="4" w:space="0" w:color="auto"/>
              <w:right w:val="single" w:sz="4" w:space="0" w:color="auto"/>
            </w:tcBorders>
          </w:tcPr>
          <w:p w14:paraId="7E741D01" w14:textId="77777777" w:rsidR="00B45F59" w:rsidRPr="001F151E" w:rsidRDefault="00B45F59" w:rsidP="00B45F59">
            <w:pPr>
              <w:spacing w:line="240" w:lineRule="auto"/>
              <w:rPr>
                <w:rFonts w:ascii="Open Sans Light" w:hAnsi="Open Sans Light" w:cs="Open Sans Light"/>
                <w:sz w:val="16"/>
                <w:szCs w:val="16"/>
              </w:rPr>
            </w:pPr>
          </w:p>
        </w:tc>
      </w:tr>
      <w:tr w:rsidR="00B45F59" w:rsidRPr="001F151E" w14:paraId="60B7042D" w14:textId="77777777" w:rsidTr="00D73907">
        <w:trPr>
          <w:trHeight w:val="32"/>
        </w:trPr>
        <w:tc>
          <w:tcPr>
            <w:tcW w:w="2197" w:type="dxa"/>
            <w:vMerge/>
            <w:tcBorders>
              <w:left w:val="single" w:sz="4" w:space="0" w:color="auto"/>
              <w:right w:val="single" w:sz="4" w:space="0" w:color="auto"/>
            </w:tcBorders>
            <w:vAlign w:val="center"/>
          </w:tcPr>
          <w:p w14:paraId="077D46DF" w14:textId="77777777" w:rsidR="00B45F59" w:rsidRPr="001F151E" w:rsidRDefault="00B45F59" w:rsidP="00B45F59">
            <w:pPr>
              <w:pStyle w:val="EcorysBody"/>
              <w:rPr>
                <w:rFonts w:ascii="Arial" w:hAnsi="Arial" w:cs="Arial"/>
                <w:b/>
                <w:bCs/>
                <w:sz w:val="16"/>
                <w:szCs w:val="16"/>
              </w:rPr>
            </w:pPr>
          </w:p>
        </w:tc>
        <w:tc>
          <w:tcPr>
            <w:tcW w:w="3333" w:type="dxa"/>
            <w:tcBorders>
              <w:top w:val="single" w:sz="4" w:space="0" w:color="auto"/>
              <w:left w:val="single" w:sz="4" w:space="0" w:color="auto"/>
              <w:bottom w:val="single" w:sz="4" w:space="0" w:color="auto"/>
              <w:right w:val="single" w:sz="4" w:space="0" w:color="auto"/>
            </w:tcBorders>
          </w:tcPr>
          <w:p w14:paraId="6C149EB1" w14:textId="77777777" w:rsidR="00B45F59" w:rsidRPr="001F151E" w:rsidRDefault="00B45F59" w:rsidP="00CD7428">
            <w:pPr>
              <w:pStyle w:val="EcorysBody"/>
              <w:numPr>
                <w:ilvl w:val="0"/>
                <w:numId w:val="72"/>
              </w:numPr>
              <w:rPr>
                <w:rFonts w:ascii="Arial" w:hAnsi="Arial" w:cs="Arial"/>
                <w:sz w:val="16"/>
                <w:szCs w:val="16"/>
              </w:rPr>
            </w:pPr>
            <w:r w:rsidRPr="00201595">
              <w:rPr>
                <w:rFonts w:ascii="Arial" w:hAnsi="Arial" w:cs="Arial"/>
                <w:sz w:val="16"/>
                <w:szCs w:val="16"/>
              </w:rPr>
              <w:t xml:space="preserve">Plani i mëtejshëm i specifikimeve dhe zhvillimit </w:t>
            </w:r>
            <w:r w:rsidRPr="00724521">
              <w:rPr>
                <w:rFonts w:ascii="Arial" w:hAnsi="Arial" w:cs="Arial"/>
                <w:sz w:val="16"/>
                <w:szCs w:val="16"/>
              </w:rPr>
              <w:t>të SIMFSH bazuar</w:t>
            </w:r>
            <w:r w:rsidRPr="00201595">
              <w:rPr>
                <w:rFonts w:ascii="Arial" w:hAnsi="Arial" w:cs="Arial"/>
                <w:sz w:val="16"/>
                <w:szCs w:val="16"/>
              </w:rPr>
              <w:t xml:space="preserve"> në përvojën </w:t>
            </w:r>
            <w:r w:rsidRPr="00203791">
              <w:rPr>
                <w:rFonts w:ascii="Arial" w:hAnsi="Arial" w:cs="Arial"/>
                <w:sz w:val="16"/>
                <w:szCs w:val="16"/>
              </w:rPr>
              <w:t>me software-in e PBA-së të bazuar në Web.</w:t>
            </w:r>
          </w:p>
        </w:tc>
        <w:tc>
          <w:tcPr>
            <w:tcW w:w="993" w:type="dxa"/>
            <w:tcBorders>
              <w:top w:val="single" w:sz="4" w:space="0" w:color="auto"/>
              <w:left w:val="single" w:sz="4" w:space="0" w:color="auto"/>
              <w:bottom w:val="single" w:sz="4" w:space="0" w:color="auto"/>
              <w:right w:val="single" w:sz="4" w:space="0" w:color="auto"/>
            </w:tcBorders>
            <w:vAlign w:val="center"/>
          </w:tcPr>
          <w:p w14:paraId="6E18E9A7" w14:textId="2F8CB299" w:rsidR="00B45F59" w:rsidRPr="001F151E" w:rsidRDefault="00B45F59" w:rsidP="00B45F59">
            <w:pPr>
              <w:jc w:val="center"/>
              <w:rPr>
                <w:sz w:val="16"/>
                <w:szCs w:val="16"/>
              </w:rPr>
            </w:pPr>
            <w:r>
              <w:rPr>
                <w:sz w:val="16"/>
                <w:szCs w:val="16"/>
              </w:rPr>
              <w:t>T</w:t>
            </w:r>
            <w:r w:rsidR="00D73907">
              <w:rPr>
                <w:sz w:val="16"/>
                <w:szCs w:val="16"/>
              </w:rPr>
              <w:t>4</w:t>
            </w:r>
            <w:r w:rsidRPr="001F151E">
              <w:rPr>
                <w:sz w:val="16"/>
                <w:szCs w:val="16"/>
              </w:rPr>
              <w:t xml:space="preserve"> 2024</w:t>
            </w:r>
          </w:p>
        </w:tc>
        <w:tc>
          <w:tcPr>
            <w:tcW w:w="924" w:type="dxa"/>
            <w:tcBorders>
              <w:top w:val="single" w:sz="4" w:space="0" w:color="auto"/>
              <w:left w:val="single" w:sz="4" w:space="0" w:color="auto"/>
              <w:bottom w:val="single" w:sz="4" w:space="0" w:color="auto"/>
              <w:right w:val="single" w:sz="4" w:space="0" w:color="auto"/>
            </w:tcBorders>
            <w:vAlign w:val="center"/>
          </w:tcPr>
          <w:p w14:paraId="4CC8A786" w14:textId="77777777" w:rsidR="00B45F59" w:rsidRPr="004D182B" w:rsidRDefault="00B45F59" w:rsidP="00B45F59">
            <w:pPr>
              <w:jc w:val="center"/>
            </w:pPr>
            <w:r w:rsidRPr="004D182B">
              <w:t>&gt;2026</w:t>
            </w:r>
          </w:p>
        </w:tc>
        <w:tc>
          <w:tcPr>
            <w:tcW w:w="1569" w:type="dxa"/>
            <w:vMerge/>
            <w:tcBorders>
              <w:left w:val="single" w:sz="4" w:space="0" w:color="auto"/>
              <w:bottom w:val="single" w:sz="4" w:space="0" w:color="auto"/>
              <w:right w:val="single" w:sz="4" w:space="0" w:color="auto"/>
            </w:tcBorders>
          </w:tcPr>
          <w:p w14:paraId="48CFA342" w14:textId="77777777" w:rsidR="00B45F59" w:rsidRPr="001F151E" w:rsidRDefault="00B45F59" w:rsidP="00B45F59">
            <w:pPr>
              <w:spacing w:line="240" w:lineRule="auto"/>
              <w:rPr>
                <w:rFonts w:ascii="Open Sans Light" w:hAnsi="Open Sans Light" w:cs="Open Sans Light"/>
                <w:sz w:val="16"/>
                <w:szCs w:val="16"/>
              </w:rPr>
            </w:pPr>
          </w:p>
        </w:tc>
      </w:tr>
      <w:tr w:rsidR="00B45F59" w:rsidRPr="001F151E" w14:paraId="59465DD1" w14:textId="77777777" w:rsidTr="00D73907">
        <w:trPr>
          <w:trHeight w:val="32"/>
        </w:trPr>
        <w:tc>
          <w:tcPr>
            <w:tcW w:w="2197" w:type="dxa"/>
            <w:tcBorders>
              <w:left w:val="single" w:sz="4" w:space="0" w:color="auto"/>
              <w:right w:val="single" w:sz="4" w:space="0" w:color="auto"/>
            </w:tcBorders>
          </w:tcPr>
          <w:p w14:paraId="68280D15" w14:textId="77777777" w:rsidR="00B45F59" w:rsidRPr="009D660E" w:rsidRDefault="00B45F59" w:rsidP="00B45F59">
            <w:pPr>
              <w:pStyle w:val="EcorysBody"/>
              <w:rPr>
                <w:rFonts w:ascii="Arial" w:hAnsi="Arial" w:cs="Arial"/>
                <w:b/>
                <w:bCs/>
                <w:sz w:val="16"/>
                <w:szCs w:val="16"/>
                <w:lang w:val="it-IT"/>
              </w:rPr>
            </w:pPr>
            <w:r w:rsidRPr="009D660E">
              <w:rPr>
                <w:rFonts w:ascii="Arial" w:hAnsi="Arial" w:cs="Arial"/>
                <w:b/>
                <w:bCs/>
                <w:sz w:val="16"/>
                <w:szCs w:val="16"/>
                <w:lang w:val="it-IT"/>
              </w:rPr>
              <w:t>Masa 2.4.4 Përmirësimi i nivelit të burimeve financiare nga taksat e ndara</w:t>
            </w:r>
          </w:p>
        </w:tc>
        <w:tc>
          <w:tcPr>
            <w:tcW w:w="3333" w:type="dxa"/>
            <w:tcBorders>
              <w:top w:val="single" w:sz="4" w:space="0" w:color="auto"/>
              <w:left w:val="single" w:sz="4" w:space="0" w:color="auto"/>
              <w:bottom w:val="single" w:sz="4" w:space="0" w:color="auto"/>
              <w:right w:val="single" w:sz="4" w:space="0" w:color="auto"/>
            </w:tcBorders>
          </w:tcPr>
          <w:p w14:paraId="638ADD8E" w14:textId="77777777" w:rsidR="00B45F59" w:rsidRPr="009D660E" w:rsidRDefault="00B45F59" w:rsidP="00CD7428">
            <w:pPr>
              <w:pStyle w:val="EcorysBody"/>
              <w:numPr>
                <w:ilvl w:val="0"/>
                <w:numId w:val="78"/>
              </w:numPr>
              <w:rPr>
                <w:rFonts w:ascii="Arial" w:hAnsi="Arial" w:cs="Arial"/>
                <w:sz w:val="16"/>
                <w:szCs w:val="16"/>
                <w:lang w:val="it-IT"/>
              </w:rPr>
            </w:pPr>
            <w:r w:rsidRPr="009D660E">
              <w:rPr>
                <w:rFonts w:ascii="Arial" w:hAnsi="Arial" w:cs="Arial"/>
                <w:bCs/>
                <w:sz w:val="16"/>
                <w:szCs w:val="16"/>
                <w:lang w:val="it-IT"/>
              </w:rPr>
              <w:t>Rishikimi, miratimi dhe konsolidimi i metodologjisë për ndarjen e taksave personale me NJVQV-të.</w:t>
            </w:r>
          </w:p>
        </w:tc>
        <w:tc>
          <w:tcPr>
            <w:tcW w:w="993" w:type="dxa"/>
            <w:tcBorders>
              <w:top w:val="single" w:sz="4" w:space="0" w:color="auto"/>
              <w:left w:val="single" w:sz="4" w:space="0" w:color="auto"/>
              <w:bottom w:val="single" w:sz="4" w:space="0" w:color="auto"/>
              <w:right w:val="single" w:sz="4" w:space="0" w:color="auto"/>
            </w:tcBorders>
            <w:vAlign w:val="center"/>
          </w:tcPr>
          <w:p w14:paraId="6162853F" w14:textId="77777777" w:rsidR="00B45F59" w:rsidRPr="001F151E" w:rsidRDefault="00B45F59" w:rsidP="00B45F59">
            <w:pPr>
              <w:jc w:val="center"/>
              <w:rPr>
                <w:sz w:val="16"/>
                <w:szCs w:val="16"/>
              </w:rPr>
            </w:pPr>
            <w:r>
              <w:rPr>
                <w:sz w:val="16"/>
                <w:szCs w:val="16"/>
              </w:rPr>
              <w:t>T</w:t>
            </w:r>
            <w:r w:rsidRPr="001F151E">
              <w:rPr>
                <w:sz w:val="16"/>
                <w:szCs w:val="16"/>
              </w:rPr>
              <w:t>3 2024</w:t>
            </w:r>
          </w:p>
        </w:tc>
        <w:tc>
          <w:tcPr>
            <w:tcW w:w="924" w:type="dxa"/>
            <w:tcBorders>
              <w:top w:val="single" w:sz="4" w:space="0" w:color="auto"/>
              <w:left w:val="single" w:sz="4" w:space="0" w:color="auto"/>
              <w:bottom w:val="single" w:sz="4" w:space="0" w:color="auto"/>
              <w:right w:val="single" w:sz="4" w:space="0" w:color="auto"/>
            </w:tcBorders>
            <w:vAlign w:val="center"/>
          </w:tcPr>
          <w:p w14:paraId="1B9EBAF9"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1569" w:type="dxa"/>
            <w:tcBorders>
              <w:top w:val="single" w:sz="4" w:space="0" w:color="auto"/>
              <w:left w:val="single" w:sz="4" w:space="0" w:color="auto"/>
              <w:bottom w:val="single" w:sz="4" w:space="0" w:color="auto"/>
              <w:right w:val="single" w:sz="4" w:space="0" w:color="auto"/>
            </w:tcBorders>
          </w:tcPr>
          <w:p w14:paraId="3377AA50" w14:textId="77777777" w:rsidR="00B45F59" w:rsidRPr="001F151E" w:rsidRDefault="00B45F59" w:rsidP="00B45F59">
            <w:pPr>
              <w:rPr>
                <w:b/>
                <w:bCs/>
                <w:sz w:val="16"/>
                <w:szCs w:val="16"/>
              </w:rPr>
            </w:pPr>
            <w:r>
              <w:rPr>
                <w:b/>
                <w:bCs/>
                <w:sz w:val="16"/>
                <w:szCs w:val="16"/>
              </w:rPr>
              <w:t>Njësitë Përgjegjëse</w:t>
            </w:r>
            <w:r w:rsidRPr="001F151E">
              <w:rPr>
                <w:b/>
                <w:bCs/>
                <w:sz w:val="16"/>
                <w:szCs w:val="16"/>
              </w:rPr>
              <w:t xml:space="preserve">: </w:t>
            </w:r>
          </w:p>
          <w:p w14:paraId="10CDA053" w14:textId="77777777" w:rsidR="00B45F59" w:rsidRPr="001F151E" w:rsidRDefault="00B45F59" w:rsidP="00B45F59">
            <w:pPr>
              <w:pStyle w:val="EcorysBody"/>
              <w:rPr>
                <w:rFonts w:ascii="Arial" w:hAnsi="Arial" w:cs="Arial"/>
                <w:sz w:val="16"/>
                <w:szCs w:val="16"/>
              </w:rPr>
            </w:pPr>
            <w:r>
              <w:rPr>
                <w:rFonts w:ascii="Arial" w:hAnsi="Arial" w:cs="Arial"/>
                <w:sz w:val="16"/>
                <w:szCs w:val="16"/>
              </w:rPr>
              <w:t>D</w:t>
            </w:r>
            <w:r w:rsidRPr="001F151E">
              <w:rPr>
                <w:rFonts w:ascii="Arial" w:hAnsi="Arial" w:cs="Arial"/>
                <w:sz w:val="16"/>
                <w:szCs w:val="16"/>
              </w:rPr>
              <w:t>F</w:t>
            </w:r>
            <w:r>
              <w:rPr>
                <w:rFonts w:ascii="Arial" w:hAnsi="Arial" w:cs="Arial"/>
                <w:sz w:val="16"/>
                <w:szCs w:val="16"/>
              </w:rPr>
              <w:t>V</w:t>
            </w:r>
            <w:r w:rsidRPr="001F151E">
              <w:rPr>
                <w:rFonts w:ascii="Arial" w:hAnsi="Arial" w:cs="Arial"/>
                <w:sz w:val="16"/>
                <w:szCs w:val="16"/>
              </w:rPr>
              <w:t xml:space="preserve"> (</w:t>
            </w:r>
            <w:r>
              <w:rPr>
                <w:rFonts w:ascii="Arial" w:hAnsi="Arial" w:cs="Arial"/>
                <w:sz w:val="16"/>
                <w:szCs w:val="16"/>
              </w:rPr>
              <w:t>lider</w:t>
            </w:r>
            <w:r w:rsidRPr="001F151E">
              <w:rPr>
                <w:rFonts w:ascii="Arial" w:hAnsi="Arial" w:cs="Arial"/>
                <w:sz w:val="16"/>
                <w:szCs w:val="16"/>
              </w:rPr>
              <w:t>)</w:t>
            </w:r>
          </w:p>
          <w:p w14:paraId="3B8C3ACA" w14:textId="77777777" w:rsidR="00B45F59" w:rsidRPr="001F151E" w:rsidRDefault="00B45F59" w:rsidP="00B45F59">
            <w:pPr>
              <w:pStyle w:val="EcorysBody"/>
              <w:rPr>
                <w:rFonts w:ascii="Arial" w:hAnsi="Arial" w:cs="Arial"/>
                <w:b/>
                <w:bCs/>
                <w:sz w:val="16"/>
                <w:szCs w:val="16"/>
              </w:rPr>
            </w:pPr>
          </w:p>
          <w:p w14:paraId="0DB8186D" w14:textId="77777777" w:rsidR="00B45F59" w:rsidRPr="001F151E" w:rsidRDefault="00B45F59" w:rsidP="00B45F59">
            <w:pPr>
              <w:pStyle w:val="EcorysBody"/>
              <w:rPr>
                <w:rFonts w:ascii="Arial" w:hAnsi="Arial" w:cs="Arial"/>
                <w:b/>
                <w:bCs/>
                <w:sz w:val="16"/>
                <w:szCs w:val="16"/>
              </w:rPr>
            </w:pPr>
            <w:r w:rsidRPr="001F151E">
              <w:rPr>
                <w:rFonts w:ascii="Arial" w:hAnsi="Arial" w:cs="Arial"/>
                <w:b/>
                <w:bCs/>
                <w:sz w:val="16"/>
                <w:szCs w:val="16"/>
              </w:rPr>
              <w:t>Partner</w:t>
            </w:r>
            <w:r>
              <w:rPr>
                <w:rFonts w:ascii="Arial" w:hAnsi="Arial" w:cs="Arial"/>
                <w:b/>
                <w:bCs/>
                <w:sz w:val="16"/>
                <w:szCs w:val="16"/>
              </w:rPr>
              <w:t>ët</w:t>
            </w:r>
            <w:r w:rsidRPr="001F151E">
              <w:rPr>
                <w:rFonts w:ascii="Arial" w:hAnsi="Arial" w:cs="Arial"/>
                <w:b/>
                <w:bCs/>
                <w:sz w:val="16"/>
                <w:szCs w:val="16"/>
              </w:rPr>
              <w:t>:</w:t>
            </w:r>
          </w:p>
          <w:p w14:paraId="6A8DB42F" w14:textId="77777777" w:rsidR="00B45F59" w:rsidRPr="001F151E" w:rsidRDefault="00B45F59" w:rsidP="00B45F59">
            <w:pPr>
              <w:spacing w:line="240" w:lineRule="auto"/>
              <w:rPr>
                <w:b/>
                <w:bCs/>
                <w:sz w:val="16"/>
                <w:szCs w:val="16"/>
              </w:rPr>
            </w:pPr>
            <w:r w:rsidRPr="001F151E">
              <w:rPr>
                <w:sz w:val="16"/>
                <w:szCs w:val="16"/>
              </w:rPr>
              <w:t>SECO</w:t>
            </w:r>
          </w:p>
        </w:tc>
      </w:tr>
    </w:tbl>
    <w:p w14:paraId="0596B3C4" w14:textId="77777777" w:rsidR="00B45F59" w:rsidRPr="009D660E" w:rsidRDefault="00B45F59" w:rsidP="00B45F59">
      <w:pPr>
        <w:pStyle w:val="H5"/>
        <w:rPr>
          <w:lang w:val="it-IT"/>
        </w:rPr>
      </w:pPr>
      <w:r w:rsidRPr="009D660E">
        <w:rPr>
          <w:lang w:val="it-IT"/>
        </w:rPr>
        <w:lastRenderedPageBreak/>
        <w:t>Treguesit e performancës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B45F59" w:rsidRPr="001F151E" w14:paraId="23FD6405" w14:textId="77777777" w:rsidTr="00B45F59">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7B1869" w14:textId="77777777" w:rsidR="00B45F59" w:rsidRPr="001B425D" w:rsidRDefault="00B45F59" w:rsidP="00B45F59">
            <w:pPr>
              <w:pStyle w:val="T-bold"/>
              <w:spacing w:line="200" w:lineRule="exact"/>
            </w:pPr>
            <w:r w:rsidRPr="001B425D">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641C14" w14:textId="77777777" w:rsidR="00B45F59" w:rsidRPr="001B425D" w:rsidRDefault="00B45F59" w:rsidP="00B45F59">
            <w:pPr>
              <w:pStyle w:val="T-bold"/>
              <w:spacing w:line="200" w:lineRule="exact"/>
              <w:jc w:val="center"/>
            </w:pPr>
            <w:r w:rsidRPr="001B425D">
              <w:t>Vlera bazë (viti)</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6245A" w14:textId="77777777" w:rsidR="00B45F59" w:rsidRPr="001B425D" w:rsidRDefault="00B45F59" w:rsidP="00B45F59">
            <w:pPr>
              <w:pStyle w:val="T-bold"/>
              <w:spacing w:line="200" w:lineRule="exact"/>
              <w:jc w:val="center"/>
            </w:pPr>
            <w:r w:rsidRPr="001B425D">
              <w:t>Vlera e synuar</w:t>
            </w:r>
          </w:p>
        </w:tc>
      </w:tr>
      <w:tr w:rsidR="00B45F59" w:rsidRPr="001F151E" w14:paraId="34C66D56" w14:textId="77777777" w:rsidTr="00B45F59">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AF2C6B1" w14:textId="77777777" w:rsidR="00B45F59" w:rsidRPr="001F151E" w:rsidRDefault="00B45F59" w:rsidP="00B45F59">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5EBD5AF3" w14:textId="77777777" w:rsidR="00B45F59" w:rsidRPr="001F151E" w:rsidRDefault="00B45F59" w:rsidP="00B45F59">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716A3" w14:textId="77777777" w:rsidR="00B45F59" w:rsidRPr="001F151E" w:rsidRDefault="00B45F59" w:rsidP="00B45F59">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C3672" w14:textId="77777777" w:rsidR="00B45F59" w:rsidRPr="001F151E" w:rsidRDefault="00B45F59" w:rsidP="00B45F59">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174FA" w14:textId="77777777" w:rsidR="00B45F59" w:rsidRPr="001F151E" w:rsidRDefault="00B45F59" w:rsidP="00B45F59">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17230" w14:textId="77777777" w:rsidR="00B45F59" w:rsidRPr="001F151E" w:rsidRDefault="00B45F59" w:rsidP="00B45F59">
            <w:pPr>
              <w:pStyle w:val="T-bold"/>
              <w:spacing w:line="200" w:lineRule="exact"/>
              <w:jc w:val="center"/>
            </w:pPr>
            <w:r w:rsidRPr="001F151E">
              <w:t>2026</w:t>
            </w:r>
          </w:p>
        </w:tc>
      </w:tr>
      <w:tr w:rsidR="00B45F59" w:rsidRPr="0059094E" w14:paraId="5A6B1B61" w14:textId="77777777" w:rsidTr="00B45F59">
        <w:tc>
          <w:tcPr>
            <w:tcW w:w="3114" w:type="dxa"/>
            <w:tcBorders>
              <w:top w:val="single" w:sz="4" w:space="0" w:color="auto"/>
              <w:left w:val="single" w:sz="4" w:space="0" w:color="auto"/>
              <w:bottom w:val="single" w:sz="4" w:space="0" w:color="auto"/>
              <w:right w:val="single" w:sz="4" w:space="0" w:color="auto"/>
            </w:tcBorders>
            <w:vAlign w:val="center"/>
          </w:tcPr>
          <w:p w14:paraId="3B5D442D" w14:textId="77777777" w:rsidR="00B45F59" w:rsidRPr="009D660E" w:rsidRDefault="00B45F59" w:rsidP="00CD7428">
            <w:pPr>
              <w:pStyle w:val="ListParagraph"/>
              <w:numPr>
                <w:ilvl w:val="0"/>
                <w:numId w:val="41"/>
              </w:numPr>
              <w:spacing w:line="200" w:lineRule="exact"/>
              <w:rPr>
                <w:sz w:val="16"/>
                <w:szCs w:val="16"/>
                <w:lang w:val="it-IT"/>
              </w:rPr>
            </w:pPr>
            <w:r w:rsidRPr="009D660E">
              <w:rPr>
                <w:sz w:val="16"/>
                <w:szCs w:val="16"/>
                <w:lang w:val="it-IT"/>
              </w:rPr>
              <w:t>Formula e grantit e rregulluar bazuar në të dhënat e Regjistrimit të Popullsisë</w:t>
            </w:r>
          </w:p>
        </w:tc>
        <w:tc>
          <w:tcPr>
            <w:tcW w:w="1180" w:type="dxa"/>
            <w:tcBorders>
              <w:top w:val="single" w:sz="4" w:space="0" w:color="auto"/>
              <w:left w:val="single" w:sz="4" w:space="0" w:color="auto"/>
              <w:bottom w:val="single" w:sz="4" w:space="0" w:color="auto"/>
              <w:right w:val="single" w:sz="4" w:space="0" w:color="auto"/>
            </w:tcBorders>
            <w:vAlign w:val="center"/>
          </w:tcPr>
          <w:p w14:paraId="040D3437" w14:textId="77777777" w:rsidR="00B45F59" w:rsidRPr="001F151E" w:rsidRDefault="00B45F59" w:rsidP="00B45F59">
            <w:pPr>
              <w:pStyle w:val="EcorysBody"/>
              <w:spacing w:line="200" w:lineRule="exact"/>
              <w:jc w:val="center"/>
              <w:rPr>
                <w:rFonts w:ascii="Arial" w:hAnsi="Arial" w:cs="Arial"/>
                <w:sz w:val="16"/>
                <w:szCs w:val="16"/>
              </w:rPr>
            </w:pPr>
            <w:r>
              <w:rPr>
                <w:rFonts w:ascii="Arial" w:hAnsi="Arial" w:cs="Arial"/>
                <w:sz w:val="16"/>
                <w:szCs w:val="16"/>
              </w:rPr>
              <w:t>ND</w:t>
            </w:r>
          </w:p>
        </w:tc>
        <w:tc>
          <w:tcPr>
            <w:tcW w:w="1181" w:type="dxa"/>
            <w:tcBorders>
              <w:top w:val="single" w:sz="4" w:space="0" w:color="auto"/>
              <w:left w:val="single" w:sz="4" w:space="0" w:color="auto"/>
              <w:bottom w:val="single" w:sz="4" w:space="0" w:color="auto"/>
              <w:right w:val="single" w:sz="4" w:space="0" w:color="auto"/>
            </w:tcBorders>
            <w:vAlign w:val="center"/>
          </w:tcPr>
          <w:p w14:paraId="0998C87F"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4550718D" w14:textId="77777777" w:rsidR="00B45F59" w:rsidRPr="009D660E" w:rsidRDefault="00B45F59" w:rsidP="00B45F59">
            <w:pPr>
              <w:pStyle w:val="EcorysBody"/>
              <w:spacing w:line="200" w:lineRule="exact"/>
              <w:jc w:val="center"/>
              <w:rPr>
                <w:rFonts w:ascii="Arial" w:hAnsi="Arial" w:cs="Arial"/>
                <w:sz w:val="16"/>
                <w:szCs w:val="16"/>
                <w:lang w:val="it-IT"/>
              </w:rPr>
            </w:pPr>
            <w:r w:rsidRPr="009D660E">
              <w:rPr>
                <w:rFonts w:ascii="Arial" w:hAnsi="Arial" w:cs="Arial"/>
                <w:sz w:val="16"/>
                <w:szCs w:val="16"/>
                <w:lang w:val="it-IT"/>
              </w:rPr>
              <w:t>Formula e grantit e rregulluar</w:t>
            </w:r>
          </w:p>
        </w:tc>
        <w:tc>
          <w:tcPr>
            <w:tcW w:w="1181" w:type="dxa"/>
            <w:tcBorders>
              <w:top w:val="single" w:sz="4" w:space="0" w:color="auto"/>
              <w:left w:val="single" w:sz="4" w:space="0" w:color="auto"/>
              <w:bottom w:val="single" w:sz="4" w:space="0" w:color="auto"/>
              <w:right w:val="single" w:sz="4" w:space="0" w:color="auto"/>
            </w:tcBorders>
            <w:vAlign w:val="center"/>
          </w:tcPr>
          <w:p w14:paraId="3A20F7A7" w14:textId="77777777" w:rsidR="00B45F59" w:rsidRPr="009D660E" w:rsidRDefault="00B45F59" w:rsidP="00B45F59">
            <w:pPr>
              <w:pStyle w:val="EcorysBody"/>
              <w:spacing w:line="200" w:lineRule="exact"/>
              <w:jc w:val="center"/>
              <w:rPr>
                <w:rFonts w:ascii="Arial" w:hAnsi="Arial" w:cs="Arial"/>
                <w:sz w:val="16"/>
                <w:szCs w:val="16"/>
                <w:lang w:val="it-IT"/>
              </w:rPr>
            </w:pPr>
            <w:r w:rsidRPr="009D660E">
              <w:rPr>
                <w:rFonts w:ascii="Arial" w:hAnsi="Arial" w:cs="Arial"/>
                <w:sz w:val="16"/>
                <w:szCs w:val="16"/>
                <w:lang w:val="it-IT"/>
              </w:rPr>
              <w:t>Formula e grantit zbatohet për të gjitha NJVQV-të</w:t>
            </w:r>
          </w:p>
        </w:tc>
        <w:tc>
          <w:tcPr>
            <w:tcW w:w="1181" w:type="dxa"/>
            <w:tcBorders>
              <w:top w:val="single" w:sz="4" w:space="0" w:color="auto"/>
              <w:left w:val="single" w:sz="4" w:space="0" w:color="auto"/>
              <w:bottom w:val="single" w:sz="4" w:space="0" w:color="auto"/>
              <w:right w:val="single" w:sz="4" w:space="0" w:color="auto"/>
            </w:tcBorders>
            <w:vAlign w:val="center"/>
          </w:tcPr>
          <w:p w14:paraId="1DC99BCF" w14:textId="77777777" w:rsidR="00B45F59" w:rsidRPr="009D660E" w:rsidRDefault="00B45F59" w:rsidP="00B45F59">
            <w:pPr>
              <w:pStyle w:val="EcorysBody"/>
              <w:spacing w:line="200" w:lineRule="exact"/>
              <w:jc w:val="center"/>
              <w:rPr>
                <w:rFonts w:ascii="Arial" w:hAnsi="Arial" w:cs="Arial"/>
                <w:sz w:val="16"/>
                <w:szCs w:val="16"/>
                <w:lang w:val="it-IT"/>
              </w:rPr>
            </w:pPr>
            <w:r w:rsidRPr="009D660E">
              <w:rPr>
                <w:rFonts w:ascii="Arial" w:hAnsi="Arial" w:cs="Arial"/>
                <w:sz w:val="16"/>
                <w:szCs w:val="16"/>
                <w:lang w:val="it-IT"/>
              </w:rPr>
              <w:t>Formula e grantit zbatohet për të gjitha NJVQV-të</w:t>
            </w:r>
          </w:p>
        </w:tc>
      </w:tr>
      <w:tr w:rsidR="00B45F59" w:rsidRPr="001F151E" w14:paraId="74B0D85F" w14:textId="77777777" w:rsidTr="00B45F59">
        <w:trPr>
          <w:trHeight w:val="21"/>
        </w:trPr>
        <w:tc>
          <w:tcPr>
            <w:tcW w:w="3114" w:type="dxa"/>
            <w:tcBorders>
              <w:top w:val="single" w:sz="4" w:space="0" w:color="auto"/>
              <w:left w:val="single" w:sz="4" w:space="0" w:color="auto"/>
              <w:bottom w:val="single" w:sz="4" w:space="0" w:color="auto"/>
              <w:right w:val="single" w:sz="4" w:space="0" w:color="auto"/>
            </w:tcBorders>
            <w:vAlign w:val="center"/>
          </w:tcPr>
          <w:p w14:paraId="5A064781" w14:textId="77777777" w:rsidR="00B45F59" w:rsidRPr="009D660E" w:rsidRDefault="00B45F59" w:rsidP="00CD7428">
            <w:pPr>
              <w:pStyle w:val="ListParagraph"/>
              <w:numPr>
                <w:ilvl w:val="0"/>
                <w:numId w:val="41"/>
              </w:numPr>
              <w:spacing w:line="200" w:lineRule="exact"/>
              <w:rPr>
                <w:sz w:val="16"/>
                <w:szCs w:val="16"/>
                <w:lang w:val="it-IT"/>
              </w:rPr>
            </w:pPr>
            <w:r w:rsidRPr="009D660E">
              <w:rPr>
                <w:sz w:val="16"/>
                <w:szCs w:val="16"/>
                <w:lang w:val="it-IT"/>
              </w:rPr>
              <w:t>Prezantohet skema shtesë e granteve të bazuara në performancë (SGBP).</w:t>
            </w:r>
          </w:p>
        </w:tc>
        <w:tc>
          <w:tcPr>
            <w:tcW w:w="1180" w:type="dxa"/>
            <w:tcBorders>
              <w:top w:val="single" w:sz="4" w:space="0" w:color="auto"/>
              <w:left w:val="single" w:sz="4" w:space="0" w:color="auto"/>
              <w:bottom w:val="single" w:sz="4" w:space="0" w:color="auto"/>
              <w:right w:val="single" w:sz="4" w:space="0" w:color="auto"/>
            </w:tcBorders>
            <w:vAlign w:val="center"/>
          </w:tcPr>
          <w:p w14:paraId="3DF215F3" w14:textId="77777777" w:rsidR="00B45F59" w:rsidRPr="001F151E" w:rsidRDefault="00B45F59" w:rsidP="00B45F59">
            <w:pPr>
              <w:pStyle w:val="EcorysBody"/>
              <w:spacing w:line="200" w:lineRule="exact"/>
              <w:jc w:val="center"/>
              <w:rPr>
                <w:rFonts w:ascii="Arial" w:hAnsi="Arial" w:cs="Arial"/>
                <w:sz w:val="16"/>
                <w:szCs w:val="16"/>
              </w:rPr>
            </w:pPr>
            <w:r>
              <w:rPr>
                <w:rFonts w:ascii="Arial" w:hAnsi="Arial" w:cs="Arial"/>
                <w:sz w:val="16"/>
                <w:szCs w:val="16"/>
              </w:rPr>
              <w:t>ND</w:t>
            </w:r>
          </w:p>
        </w:tc>
        <w:tc>
          <w:tcPr>
            <w:tcW w:w="1181" w:type="dxa"/>
            <w:tcBorders>
              <w:top w:val="single" w:sz="4" w:space="0" w:color="auto"/>
              <w:left w:val="single" w:sz="4" w:space="0" w:color="auto"/>
              <w:bottom w:val="single" w:sz="4" w:space="0" w:color="auto"/>
              <w:right w:val="single" w:sz="4" w:space="0" w:color="auto"/>
            </w:tcBorders>
            <w:vAlign w:val="center"/>
          </w:tcPr>
          <w:p w14:paraId="0B40EF4F"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55296FFB" w14:textId="77777777" w:rsidR="00B45F59" w:rsidRPr="001F151E" w:rsidRDefault="00B45F59" w:rsidP="00B45F59">
            <w:pPr>
              <w:pStyle w:val="EcorysBody"/>
              <w:spacing w:line="200" w:lineRule="exact"/>
              <w:jc w:val="center"/>
              <w:rPr>
                <w:rFonts w:ascii="Arial" w:hAnsi="Arial" w:cs="Arial"/>
                <w:sz w:val="16"/>
                <w:szCs w:val="16"/>
              </w:rPr>
            </w:pPr>
            <w:r>
              <w:rPr>
                <w:rFonts w:ascii="Arial" w:hAnsi="Arial" w:cs="Arial"/>
                <w:sz w:val="16"/>
                <w:szCs w:val="16"/>
              </w:rPr>
              <w:t>SGBP i hartuar</w:t>
            </w:r>
          </w:p>
        </w:tc>
        <w:tc>
          <w:tcPr>
            <w:tcW w:w="1181" w:type="dxa"/>
            <w:tcBorders>
              <w:top w:val="single" w:sz="4" w:space="0" w:color="auto"/>
              <w:left w:val="single" w:sz="4" w:space="0" w:color="auto"/>
              <w:bottom w:val="single" w:sz="4" w:space="0" w:color="auto"/>
              <w:right w:val="single" w:sz="4" w:space="0" w:color="auto"/>
            </w:tcBorders>
            <w:vAlign w:val="center"/>
          </w:tcPr>
          <w:p w14:paraId="31B9D88F" w14:textId="77777777" w:rsidR="00B45F59" w:rsidRPr="001F151E" w:rsidRDefault="00B45F59" w:rsidP="00B45F59">
            <w:pPr>
              <w:pStyle w:val="EcorysBody"/>
              <w:jc w:val="center"/>
              <w:rPr>
                <w:rFonts w:ascii="Arial" w:hAnsi="Arial" w:cs="Arial"/>
                <w:sz w:val="16"/>
                <w:szCs w:val="16"/>
              </w:rPr>
            </w:pPr>
            <w:r>
              <w:rPr>
                <w:rFonts w:ascii="Arial" w:hAnsi="Arial" w:cs="Arial"/>
                <w:sz w:val="16"/>
                <w:szCs w:val="16"/>
              </w:rPr>
              <w:t>SGBP i pilotuar</w:t>
            </w:r>
          </w:p>
        </w:tc>
        <w:tc>
          <w:tcPr>
            <w:tcW w:w="1181" w:type="dxa"/>
            <w:tcBorders>
              <w:top w:val="single" w:sz="4" w:space="0" w:color="auto"/>
              <w:left w:val="single" w:sz="4" w:space="0" w:color="auto"/>
              <w:bottom w:val="single" w:sz="4" w:space="0" w:color="auto"/>
              <w:right w:val="single" w:sz="4" w:space="0" w:color="auto"/>
            </w:tcBorders>
            <w:vAlign w:val="center"/>
          </w:tcPr>
          <w:p w14:paraId="41B5C0C3" w14:textId="77777777" w:rsidR="00B45F59" w:rsidRPr="001F151E" w:rsidRDefault="00B45F59" w:rsidP="00B45F59">
            <w:pPr>
              <w:pStyle w:val="EcorysBody"/>
              <w:jc w:val="center"/>
              <w:rPr>
                <w:rFonts w:ascii="Arial" w:hAnsi="Arial" w:cs="Arial"/>
                <w:sz w:val="16"/>
                <w:szCs w:val="16"/>
              </w:rPr>
            </w:pPr>
            <w:r>
              <w:rPr>
                <w:rFonts w:ascii="Arial" w:hAnsi="Arial" w:cs="Arial"/>
                <w:sz w:val="16"/>
                <w:szCs w:val="16"/>
              </w:rPr>
              <w:t>SGBP i pilotuar</w:t>
            </w:r>
          </w:p>
        </w:tc>
      </w:tr>
      <w:tr w:rsidR="00B45F59" w:rsidRPr="001F151E" w14:paraId="0BE903A7" w14:textId="77777777" w:rsidTr="00B45F59">
        <w:tc>
          <w:tcPr>
            <w:tcW w:w="3114" w:type="dxa"/>
            <w:tcBorders>
              <w:top w:val="single" w:sz="4" w:space="0" w:color="auto"/>
              <w:left w:val="single" w:sz="4" w:space="0" w:color="auto"/>
              <w:bottom w:val="single" w:sz="4" w:space="0" w:color="auto"/>
              <w:right w:val="single" w:sz="4" w:space="0" w:color="auto"/>
            </w:tcBorders>
            <w:vAlign w:val="center"/>
          </w:tcPr>
          <w:p w14:paraId="3F69A50E" w14:textId="77777777" w:rsidR="00B45F59" w:rsidRPr="009D660E" w:rsidRDefault="00B45F59" w:rsidP="00CD7428">
            <w:pPr>
              <w:pStyle w:val="ListParagraph"/>
              <w:numPr>
                <w:ilvl w:val="0"/>
                <w:numId w:val="41"/>
              </w:numPr>
              <w:spacing w:line="200" w:lineRule="exact"/>
              <w:rPr>
                <w:sz w:val="16"/>
                <w:szCs w:val="16"/>
                <w:lang w:val="it-IT"/>
              </w:rPr>
            </w:pPr>
            <w:r w:rsidRPr="009D660E">
              <w:rPr>
                <w:sz w:val="16"/>
                <w:szCs w:val="16"/>
                <w:lang w:val="it-IT"/>
              </w:rPr>
              <w:t>PEFA Treguesi i Performancës 7: Transfertat tek qeveria vendore</w:t>
            </w:r>
          </w:p>
        </w:tc>
        <w:tc>
          <w:tcPr>
            <w:tcW w:w="1180" w:type="dxa"/>
            <w:tcBorders>
              <w:top w:val="single" w:sz="4" w:space="0" w:color="auto"/>
              <w:left w:val="single" w:sz="4" w:space="0" w:color="auto"/>
              <w:bottom w:val="single" w:sz="4" w:space="0" w:color="auto"/>
              <w:right w:val="single" w:sz="4" w:space="0" w:color="auto"/>
            </w:tcBorders>
            <w:vAlign w:val="center"/>
          </w:tcPr>
          <w:p w14:paraId="52EDDD55"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C+ (2017)</w:t>
            </w:r>
          </w:p>
        </w:tc>
        <w:tc>
          <w:tcPr>
            <w:tcW w:w="1181" w:type="dxa"/>
            <w:tcBorders>
              <w:top w:val="single" w:sz="4" w:space="0" w:color="auto"/>
              <w:left w:val="single" w:sz="4" w:space="0" w:color="auto"/>
              <w:bottom w:val="single" w:sz="4" w:space="0" w:color="auto"/>
              <w:right w:val="single" w:sz="4" w:space="0" w:color="auto"/>
            </w:tcBorders>
            <w:vAlign w:val="center"/>
          </w:tcPr>
          <w:p w14:paraId="0A50D827"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5A811494"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24FF4563" w14:textId="4E723E24" w:rsidR="00B45F59" w:rsidRPr="001F151E" w:rsidRDefault="00F34801" w:rsidP="00B45F59">
            <w:pPr>
              <w:pStyle w:val="EcorysBody"/>
              <w:spacing w:line="200" w:lineRule="exact"/>
              <w:jc w:val="center"/>
              <w:rPr>
                <w:rFonts w:ascii="Arial" w:hAnsi="Arial" w:cs="Arial"/>
                <w:sz w:val="16"/>
                <w:szCs w:val="16"/>
              </w:rPr>
            </w:pPr>
            <w:r>
              <w:rPr>
                <w:rFonts w:ascii="Arial" w:hAnsi="Arial" w:cs="Arial"/>
                <w:sz w:val="16"/>
                <w:szCs w:val="16"/>
              </w:rPr>
              <w:t>B</w:t>
            </w:r>
          </w:p>
        </w:tc>
        <w:tc>
          <w:tcPr>
            <w:tcW w:w="1181" w:type="dxa"/>
            <w:tcBorders>
              <w:top w:val="single" w:sz="4" w:space="0" w:color="auto"/>
              <w:left w:val="single" w:sz="4" w:space="0" w:color="auto"/>
              <w:bottom w:val="single" w:sz="4" w:space="0" w:color="auto"/>
              <w:right w:val="single" w:sz="4" w:space="0" w:color="auto"/>
            </w:tcBorders>
            <w:vAlign w:val="center"/>
          </w:tcPr>
          <w:p w14:paraId="7015B5B6" w14:textId="59B9434E" w:rsidR="00B45F59" w:rsidRPr="001F151E" w:rsidRDefault="00F34801" w:rsidP="00B45F59">
            <w:pPr>
              <w:pStyle w:val="EcorysBody"/>
              <w:spacing w:line="200" w:lineRule="exact"/>
              <w:jc w:val="center"/>
              <w:rPr>
                <w:rFonts w:ascii="Arial" w:hAnsi="Arial" w:cs="Arial"/>
                <w:sz w:val="16"/>
                <w:szCs w:val="16"/>
              </w:rPr>
            </w:pPr>
            <w:r>
              <w:rPr>
                <w:rFonts w:ascii="Arial" w:hAnsi="Arial" w:cs="Arial"/>
                <w:sz w:val="16"/>
                <w:szCs w:val="16"/>
              </w:rPr>
              <w:t>B</w:t>
            </w:r>
          </w:p>
        </w:tc>
      </w:tr>
      <w:tr w:rsidR="00B45F59" w:rsidRPr="001F151E" w14:paraId="20797C37" w14:textId="77777777" w:rsidTr="00B45F59">
        <w:tc>
          <w:tcPr>
            <w:tcW w:w="3114" w:type="dxa"/>
            <w:tcBorders>
              <w:top w:val="single" w:sz="4" w:space="0" w:color="auto"/>
              <w:left w:val="single" w:sz="4" w:space="0" w:color="auto"/>
              <w:bottom w:val="single" w:sz="4" w:space="0" w:color="auto"/>
              <w:right w:val="single" w:sz="4" w:space="0" w:color="auto"/>
            </w:tcBorders>
            <w:vAlign w:val="center"/>
          </w:tcPr>
          <w:p w14:paraId="053DCCF4" w14:textId="77777777" w:rsidR="00B45F59" w:rsidRPr="009D660E" w:rsidRDefault="00B45F59" w:rsidP="00CD7428">
            <w:pPr>
              <w:pStyle w:val="ListParagraph"/>
              <w:numPr>
                <w:ilvl w:val="0"/>
                <w:numId w:val="41"/>
              </w:numPr>
              <w:spacing w:line="200" w:lineRule="exact"/>
              <w:rPr>
                <w:sz w:val="16"/>
                <w:szCs w:val="16"/>
                <w:lang w:val="it-IT"/>
              </w:rPr>
            </w:pPr>
            <w:r w:rsidRPr="009D660E">
              <w:rPr>
                <w:sz w:val="16"/>
                <w:szCs w:val="16"/>
                <w:lang w:val="it-IT"/>
              </w:rPr>
              <w:t>Përqindja e bashkive që përdorin software-in e ri SMBV</w:t>
            </w:r>
            <w:r w:rsidRPr="00203791">
              <w:rPr>
                <w:rStyle w:val="FootnoteReference"/>
                <w:sz w:val="16"/>
                <w:szCs w:val="16"/>
              </w:rPr>
              <w:footnoteReference w:id="32"/>
            </w:r>
          </w:p>
        </w:tc>
        <w:tc>
          <w:tcPr>
            <w:tcW w:w="1180" w:type="dxa"/>
            <w:tcBorders>
              <w:top w:val="single" w:sz="4" w:space="0" w:color="auto"/>
              <w:left w:val="single" w:sz="4" w:space="0" w:color="auto"/>
              <w:bottom w:val="single" w:sz="4" w:space="0" w:color="auto"/>
              <w:right w:val="single" w:sz="4" w:space="0" w:color="auto"/>
            </w:tcBorders>
            <w:vAlign w:val="center"/>
          </w:tcPr>
          <w:p w14:paraId="2EEC515B"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3AF9EA0C"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2094ADF8"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30%</w:t>
            </w:r>
          </w:p>
        </w:tc>
        <w:tc>
          <w:tcPr>
            <w:tcW w:w="1181" w:type="dxa"/>
            <w:tcBorders>
              <w:top w:val="single" w:sz="4" w:space="0" w:color="auto"/>
              <w:left w:val="single" w:sz="4" w:space="0" w:color="auto"/>
              <w:bottom w:val="single" w:sz="4" w:space="0" w:color="auto"/>
              <w:right w:val="single" w:sz="4" w:space="0" w:color="auto"/>
            </w:tcBorders>
            <w:vAlign w:val="center"/>
          </w:tcPr>
          <w:p w14:paraId="02E2D43F" w14:textId="77777777" w:rsidR="00B45F59" w:rsidRPr="001F151E" w:rsidRDefault="00B45F59" w:rsidP="00B45F59">
            <w:pPr>
              <w:pStyle w:val="EcorysBody"/>
              <w:spacing w:line="200" w:lineRule="exact"/>
              <w:jc w:val="center"/>
              <w:rPr>
                <w:rFonts w:ascii="Arial" w:hAnsi="Arial" w:cs="Arial"/>
                <w:sz w:val="16"/>
                <w:szCs w:val="16"/>
              </w:rPr>
            </w:pPr>
            <w:r>
              <w:rPr>
                <w:rFonts w:ascii="Arial" w:hAnsi="Arial" w:cs="Arial"/>
                <w:sz w:val="16"/>
                <w:szCs w:val="16"/>
              </w:rPr>
              <w:t>10</w:t>
            </w:r>
            <w:r w:rsidRPr="001F151E">
              <w:rPr>
                <w:rFonts w:ascii="Arial" w:hAnsi="Arial" w:cs="Arial"/>
                <w:sz w:val="16"/>
                <w:szCs w:val="16"/>
              </w:rPr>
              <w:t>0%</w:t>
            </w:r>
          </w:p>
        </w:tc>
        <w:tc>
          <w:tcPr>
            <w:tcW w:w="1181" w:type="dxa"/>
            <w:tcBorders>
              <w:top w:val="single" w:sz="4" w:space="0" w:color="auto"/>
              <w:left w:val="single" w:sz="4" w:space="0" w:color="auto"/>
              <w:bottom w:val="single" w:sz="4" w:space="0" w:color="auto"/>
              <w:right w:val="single" w:sz="4" w:space="0" w:color="auto"/>
            </w:tcBorders>
            <w:vAlign w:val="center"/>
          </w:tcPr>
          <w:p w14:paraId="52F51D7F"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100%</w:t>
            </w:r>
          </w:p>
        </w:tc>
      </w:tr>
      <w:tr w:rsidR="00B45F59" w:rsidRPr="001F151E" w14:paraId="76AF6829" w14:textId="77777777" w:rsidTr="00B45F59">
        <w:tc>
          <w:tcPr>
            <w:tcW w:w="3114" w:type="dxa"/>
            <w:tcBorders>
              <w:top w:val="single" w:sz="4" w:space="0" w:color="auto"/>
              <w:left w:val="single" w:sz="4" w:space="0" w:color="auto"/>
              <w:bottom w:val="single" w:sz="4" w:space="0" w:color="auto"/>
              <w:right w:val="single" w:sz="4" w:space="0" w:color="auto"/>
            </w:tcBorders>
            <w:vAlign w:val="center"/>
          </w:tcPr>
          <w:p w14:paraId="6F9F03BF" w14:textId="77777777" w:rsidR="00B45F59" w:rsidRPr="00203791" w:rsidRDefault="00B45F59" w:rsidP="00CD7428">
            <w:pPr>
              <w:pStyle w:val="ListParagraph"/>
              <w:numPr>
                <w:ilvl w:val="0"/>
                <w:numId w:val="41"/>
              </w:numPr>
              <w:spacing w:line="200" w:lineRule="exact"/>
              <w:rPr>
                <w:sz w:val="16"/>
                <w:szCs w:val="16"/>
              </w:rPr>
            </w:pPr>
            <w:r w:rsidRPr="00203791">
              <w:rPr>
                <w:sz w:val="16"/>
                <w:szCs w:val="16"/>
              </w:rPr>
              <w:t>Përqindja e bashkive që publikojnë planet e performancës për ofrimin e shërbimeve</w:t>
            </w:r>
            <w:r w:rsidRPr="00203791">
              <w:rPr>
                <w:rStyle w:val="FootnoteReference"/>
                <w:sz w:val="16"/>
                <w:szCs w:val="16"/>
              </w:rPr>
              <w:footnoteReference w:id="33"/>
            </w:r>
          </w:p>
        </w:tc>
        <w:tc>
          <w:tcPr>
            <w:tcW w:w="1180" w:type="dxa"/>
            <w:tcBorders>
              <w:top w:val="single" w:sz="4" w:space="0" w:color="auto"/>
              <w:left w:val="single" w:sz="4" w:space="0" w:color="auto"/>
              <w:bottom w:val="single" w:sz="4" w:space="0" w:color="auto"/>
              <w:right w:val="single" w:sz="4" w:space="0" w:color="auto"/>
            </w:tcBorders>
            <w:vAlign w:val="center"/>
          </w:tcPr>
          <w:p w14:paraId="425FB850"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6D2EADB3"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32CAA7A9"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238ECD25"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50%</w:t>
            </w:r>
          </w:p>
        </w:tc>
        <w:tc>
          <w:tcPr>
            <w:tcW w:w="1181" w:type="dxa"/>
            <w:tcBorders>
              <w:top w:val="single" w:sz="4" w:space="0" w:color="auto"/>
              <w:left w:val="single" w:sz="4" w:space="0" w:color="auto"/>
              <w:bottom w:val="single" w:sz="4" w:space="0" w:color="auto"/>
              <w:right w:val="single" w:sz="4" w:space="0" w:color="auto"/>
            </w:tcBorders>
            <w:vAlign w:val="center"/>
          </w:tcPr>
          <w:p w14:paraId="3860DA9C"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70%</w:t>
            </w:r>
          </w:p>
        </w:tc>
      </w:tr>
      <w:tr w:rsidR="00B45F59" w:rsidRPr="001F151E" w14:paraId="73C3539C" w14:textId="77777777" w:rsidTr="00B45F59">
        <w:tc>
          <w:tcPr>
            <w:tcW w:w="3114" w:type="dxa"/>
            <w:tcBorders>
              <w:top w:val="single" w:sz="4" w:space="0" w:color="auto"/>
              <w:left w:val="single" w:sz="4" w:space="0" w:color="auto"/>
              <w:bottom w:val="single" w:sz="4" w:space="0" w:color="auto"/>
              <w:right w:val="single" w:sz="4" w:space="0" w:color="auto"/>
            </w:tcBorders>
            <w:vAlign w:val="center"/>
          </w:tcPr>
          <w:p w14:paraId="423BF6C3" w14:textId="77777777" w:rsidR="00B45F59" w:rsidRPr="009D660E" w:rsidRDefault="00B45F59" w:rsidP="00CD7428">
            <w:pPr>
              <w:pStyle w:val="ListParagraph"/>
              <w:numPr>
                <w:ilvl w:val="0"/>
                <w:numId w:val="41"/>
              </w:numPr>
              <w:spacing w:line="200" w:lineRule="exact"/>
              <w:rPr>
                <w:sz w:val="16"/>
                <w:szCs w:val="16"/>
                <w:lang w:val="it-IT"/>
              </w:rPr>
            </w:pPr>
            <w:r w:rsidRPr="009D660E">
              <w:rPr>
                <w:sz w:val="16"/>
                <w:szCs w:val="16"/>
                <w:lang w:val="it-IT"/>
              </w:rPr>
              <w:t>Përqindja e bashkive që publikojnë informacion mbi performancën e arritur nga ofrimi i shërbimeve.</w:t>
            </w:r>
            <w:r w:rsidRPr="00203791">
              <w:rPr>
                <w:rStyle w:val="FootnoteReference"/>
                <w:sz w:val="16"/>
                <w:szCs w:val="16"/>
              </w:rPr>
              <w:footnoteReference w:id="34"/>
            </w:r>
          </w:p>
        </w:tc>
        <w:tc>
          <w:tcPr>
            <w:tcW w:w="1180" w:type="dxa"/>
            <w:tcBorders>
              <w:top w:val="single" w:sz="4" w:space="0" w:color="auto"/>
              <w:left w:val="single" w:sz="4" w:space="0" w:color="auto"/>
              <w:bottom w:val="single" w:sz="4" w:space="0" w:color="auto"/>
              <w:right w:val="single" w:sz="4" w:space="0" w:color="auto"/>
            </w:tcBorders>
            <w:vAlign w:val="center"/>
          </w:tcPr>
          <w:p w14:paraId="11767913"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090F8667"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33A3CF3F"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2E5275B6"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50%</w:t>
            </w:r>
          </w:p>
        </w:tc>
        <w:tc>
          <w:tcPr>
            <w:tcW w:w="1181" w:type="dxa"/>
            <w:tcBorders>
              <w:top w:val="single" w:sz="4" w:space="0" w:color="auto"/>
              <w:left w:val="single" w:sz="4" w:space="0" w:color="auto"/>
              <w:bottom w:val="single" w:sz="4" w:space="0" w:color="auto"/>
              <w:right w:val="single" w:sz="4" w:space="0" w:color="auto"/>
            </w:tcBorders>
            <w:vAlign w:val="center"/>
          </w:tcPr>
          <w:p w14:paraId="2C7A8815"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70%</w:t>
            </w:r>
          </w:p>
        </w:tc>
      </w:tr>
      <w:tr w:rsidR="00B45F59" w:rsidRPr="001F151E" w14:paraId="2F11F489" w14:textId="77777777" w:rsidTr="00B45F59">
        <w:tc>
          <w:tcPr>
            <w:tcW w:w="3114" w:type="dxa"/>
            <w:tcBorders>
              <w:top w:val="single" w:sz="4" w:space="0" w:color="auto"/>
              <w:left w:val="single" w:sz="4" w:space="0" w:color="auto"/>
              <w:bottom w:val="single" w:sz="4" w:space="0" w:color="auto"/>
              <w:right w:val="single" w:sz="4" w:space="0" w:color="auto"/>
            </w:tcBorders>
            <w:vAlign w:val="center"/>
          </w:tcPr>
          <w:p w14:paraId="276B7A8A" w14:textId="77777777" w:rsidR="00B45F59" w:rsidRPr="00203791" w:rsidRDefault="00B45F59" w:rsidP="00CD7428">
            <w:pPr>
              <w:pStyle w:val="ListParagraph"/>
              <w:numPr>
                <w:ilvl w:val="0"/>
                <w:numId w:val="41"/>
              </w:numPr>
              <w:spacing w:line="200" w:lineRule="exact"/>
              <w:rPr>
                <w:sz w:val="16"/>
                <w:szCs w:val="16"/>
              </w:rPr>
            </w:pPr>
            <w:r w:rsidRPr="00203791">
              <w:rPr>
                <w:sz w:val="16"/>
                <w:szCs w:val="16"/>
              </w:rPr>
              <w:t>Prezantimi nga MF i Software-it të Menaxhimit të Buxhetit Vendor dhe E-Platformës</w:t>
            </w:r>
            <w:r w:rsidRPr="00203791">
              <w:rPr>
                <w:rStyle w:val="FootnoteReference"/>
                <w:sz w:val="16"/>
                <w:szCs w:val="16"/>
              </w:rPr>
              <w:footnoteReference w:id="35"/>
            </w:r>
          </w:p>
        </w:tc>
        <w:tc>
          <w:tcPr>
            <w:tcW w:w="1180" w:type="dxa"/>
            <w:tcBorders>
              <w:top w:val="single" w:sz="4" w:space="0" w:color="auto"/>
              <w:left w:val="single" w:sz="4" w:space="0" w:color="auto"/>
              <w:bottom w:val="single" w:sz="4" w:space="0" w:color="auto"/>
              <w:right w:val="single" w:sz="4" w:space="0" w:color="auto"/>
            </w:tcBorders>
            <w:vAlign w:val="center"/>
          </w:tcPr>
          <w:p w14:paraId="6148C524" w14:textId="77777777" w:rsidR="00B45F59" w:rsidRPr="001F151E" w:rsidRDefault="00B45F59" w:rsidP="00B45F5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FDB15" w14:textId="77777777" w:rsidR="00B45F59" w:rsidRPr="009D660E" w:rsidRDefault="00B45F59" w:rsidP="00B45F59">
            <w:pPr>
              <w:pStyle w:val="EcorysBody"/>
              <w:spacing w:line="200" w:lineRule="exact"/>
              <w:jc w:val="center"/>
              <w:rPr>
                <w:rFonts w:ascii="Arial" w:hAnsi="Arial" w:cs="Arial"/>
                <w:sz w:val="16"/>
                <w:szCs w:val="16"/>
                <w:lang w:val="it-IT"/>
              </w:rPr>
            </w:pPr>
            <w:r w:rsidRPr="009D660E">
              <w:rPr>
                <w:rFonts w:ascii="Arial" w:hAnsi="Arial" w:cs="Arial"/>
                <w:sz w:val="16"/>
                <w:szCs w:val="16"/>
                <w:lang w:val="it-IT"/>
              </w:rPr>
              <w:t>E-platforma e zhvilluar dhe e miratuar</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88C6" w14:textId="77777777" w:rsidR="00B45F59" w:rsidRPr="009D660E" w:rsidRDefault="00B45F59" w:rsidP="00B45F59">
            <w:pPr>
              <w:pStyle w:val="EcorysBody"/>
              <w:spacing w:line="200" w:lineRule="exact"/>
              <w:jc w:val="center"/>
              <w:rPr>
                <w:rFonts w:ascii="Arial" w:hAnsi="Arial" w:cs="Arial"/>
                <w:sz w:val="16"/>
                <w:szCs w:val="16"/>
                <w:lang w:val="it-IT"/>
              </w:rPr>
            </w:pPr>
            <w:r w:rsidRPr="009D660E">
              <w:rPr>
                <w:rFonts w:ascii="Arial" w:hAnsi="Arial" w:cs="Arial"/>
                <w:sz w:val="16"/>
                <w:szCs w:val="16"/>
                <w:lang w:val="it-IT"/>
              </w:rPr>
              <w:t xml:space="preserve">E-platforma plotësisht funksionale dhe e përdorur </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FED18" w14:textId="77777777" w:rsidR="00B45F59" w:rsidRPr="001F151E" w:rsidRDefault="00B45F59" w:rsidP="00B45F59">
            <w:pPr>
              <w:pStyle w:val="EcorysBody"/>
              <w:spacing w:line="200" w:lineRule="exact"/>
              <w:jc w:val="center"/>
              <w:rPr>
                <w:rFonts w:ascii="Arial" w:hAnsi="Arial" w:cs="Arial"/>
                <w:sz w:val="16"/>
                <w:szCs w:val="16"/>
              </w:rPr>
            </w:pPr>
            <w:r w:rsidRPr="00E413AB">
              <w:rPr>
                <w:rFonts w:ascii="Arial" w:hAnsi="Arial" w:cs="Arial"/>
                <w:sz w:val="16"/>
                <w:szCs w:val="16"/>
              </w:rPr>
              <w:t>E-platforma e mirëmbajtur</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79167" w14:textId="77777777" w:rsidR="00B45F59" w:rsidRPr="001F151E" w:rsidRDefault="00B45F59" w:rsidP="00B45F59">
            <w:pPr>
              <w:pStyle w:val="EcorysBody"/>
              <w:spacing w:line="200" w:lineRule="exact"/>
              <w:jc w:val="center"/>
              <w:rPr>
                <w:rFonts w:ascii="Arial" w:hAnsi="Arial" w:cs="Arial"/>
                <w:sz w:val="16"/>
                <w:szCs w:val="16"/>
              </w:rPr>
            </w:pPr>
            <w:r w:rsidRPr="00E413AB">
              <w:rPr>
                <w:rFonts w:ascii="Arial" w:hAnsi="Arial" w:cs="Arial"/>
                <w:sz w:val="16"/>
                <w:szCs w:val="16"/>
              </w:rPr>
              <w:t>E-platforma e mirëmbajtur</w:t>
            </w:r>
          </w:p>
        </w:tc>
      </w:tr>
    </w:tbl>
    <w:p w14:paraId="5EDEF69F" w14:textId="77777777" w:rsidR="00B45F59" w:rsidRPr="001F151E" w:rsidRDefault="00B45F59" w:rsidP="00B45F59">
      <w:pPr>
        <w:rPr>
          <w:lang w:val="en-GB"/>
        </w:rPr>
      </w:pPr>
    </w:p>
    <w:p w14:paraId="0374E74F" w14:textId="77777777" w:rsidR="00D9120D" w:rsidRPr="001F151E" w:rsidRDefault="00D9120D" w:rsidP="00D9120D">
      <w:pPr>
        <w:rPr>
          <w:lang w:val="en-GB"/>
        </w:rPr>
      </w:pPr>
    </w:p>
    <w:p w14:paraId="7CA81FC7" w14:textId="77777777" w:rsidR="00811658" w:rsidRPr="001F151E" w:rsidRDefault="00811658" w:rsidP="00D9120D">
      <w:pPr>
        <w:rPr>
          <w:lang w:val="en-GB"/>
        </w:rPr>
      </w:pPr>
    </w:p>
    <w:p w14:paraId="6FC36074" w14:textId="2865EADF" w:rsidR="002C447B" w:rsidRPr="009D660E" w:rsidRDefault="00A74514" w:rsidP="00C96708">
      <w:pPr>
        <w:pStyle w:val="Heading2"/>
        <w:rPr>
          <w:rStyle w:val="IntenseReference"/>
          <w:rFonts w:eastAsiaTheme="majorEastAsia" w:cstheme="majorBidi"/>
          <w:i w:val="0"/>
          <w:sz w:val="22"/>
          <w:szCs w:val="22"/>
          <w:lang w:val="it-IT"/>
        </w:rPr>
      </w:pPr>
      <w:bookmarkStart w:id="25" w:name="_Toc161748817"/>
      <w:r w:rsidRPr="009D660E">
        <w:rPr>
          <w:rStyle w:val="IntenseReference"/>
          <w:rFonts w:eastAsiaTheme="majorEastAsia" w:cstheme="majorBidi"/>
          <w:i w:val="0"/>
          <w:sz w:val="22"/>
          <w:szCs w:val="22"/>
          <w:lang w:val="it-IT"/>
        </w:rPr>
        <w:t>Komponenti</w:t>
      </w:r>
      <w:r w:rsidR="002C447B" w:rsidRPr="009D660E">
        <w:rPr>
          <w:rStyle w:val="IntenseReference"/>
          <w:rFonts w:eastAsiaTheme="majorEastAsia" w:cstheme="majorBidi"/>
          <w:i w:val="0"/>
          <w:sz w:val="22"/>
          <w:szCs w:val="22"/>
          <w:lang w:val="it-IT"/>
        </w:rPr>
        <w:t xml:space="preserve"> 2.5 </w:t>
      </w:r>
      <w:r w:rsidR="0003780F" w:rsidRPr="009D660E">
        <w:rPr>
          <w:rStyle w:val="IntenseReference"/>
          <w:rFonts w:eastAsiaTheme="majorEastAsia" w:cstheme="majorBidi"/>
          <w:i w:val="0"/>
          <w:sz w:val="22"/>
          <w:szCs w:val="22"/>
          <w:lang w:val="it-IT"/>
        </w:rPr>
        <w:t xml:space="preserve">Raportimi dhe Monitorimi i </w:t>
      </w:r>
      <w:r w:rsidR="002E0F45" w:rsidRPr="009D660E">
        <w:rPr>
          <w:rStyle w:val="IntenseReference"/>
          <w:rFonts w:eastAsiaTheme="majorEastAsia" w:cstheme="majorBidi"/>
          <w:i w:val="0"/>
          <w:sz w:val="22"/>
          <w:szCs w:val="22"/>
          <w:lang w:val="it-IT"/>
        </w:rPr>
        <w:t>Zbatimit</w:t>
      </w:r>
      <w:r w:rsidR="0003780F" w:rsidRPr="009D660E">
        <w:rPr>
          <w:rStyle w:val="IntenseReference"/>
          <w:rFonts w:eastAsiaTheme="majorEastAsia" w:cstheme="majorBidi"/>
          <w:i w:val="0"/>
          <w:sz w:val="22"/>
          <w:szCs w:val="22"/>
          <w:lang w:val="it-IT"/>
        </w:rPr>
        <w:t xml:space="preserve"> t</w:t>
      </w:r>
      <w:r w:rsidR="00D7294C" w:rsidRPr="009D660E">
        <w:rPr>
          <w:rStyle w:val="IntenseReference"/>
          <w:rFonts w:eastAsiaTheme="majorEastAsia" w:cstheme="majorBidi"/>
          <w:i w:val="0"/>
          <w:sz w:val="22"/>
          <w:szCs w:val="22"/>
          <w:lang w:val="it-IT"/>
        </w:rPr>
        <w:t>ë</w:t>
      </w:r>
      <w:r w:rsidR="0003780F" w:rsidRPr="009D660E">
        <w:rPr>
          <w:rStyle w:val="IntenseReference"/>
          <w:rFonts w:eastAsiaTheme="majorEastAsia" w:cstheme="majorBidi"/>
          <w:i w:val="0"/>
          <w:sz w:val="22"/>
          <w:szCs w:val="22"/>
          <w:lang w:val="it-IT"/>
        </w:rPr>
        <w:t xml:space="preserve"> Buxhetit</w:t>
      </w:r>
      <w:bookmarkEnd w:id="25"/>
    </w:p>
    <w:p w14:paraId="3558360E" w14:textId="77777777" w:rsidR="002C447B" w:rsidRPr="009D660E" w:rsidRDefault="002C447B" w:rsidP="00EA6F1D">
      <w:pPr>
        <w:spacing w:line="276" w:lineRule="auto"/>
        <w:jc w:val="both"/>
        <w:rPr>
          <w:rStyle w:val="IntenseReference"/>
          <w:rFonts w:cs="Times New Roman"/>
          <w:iCs/>
          <w:szCs w:val="21"/>
          <w:lang w:val="it-IT"/>
        </w:rPr>
      </w:pPr>
    </w:p>
    <w:p w14:paraId="35EADD42" w14:textId="38323DDA" w:rsidR="0007140E" w:rsidRPr="009D660E" w:rsidRDefault="0007140E" w:rsidP="00EA6F1D">
      <w:pPr>
        <w:pStyle w:val="H5"/>
        <w:spacing w:line="276" w:lineRule="auto"/>
        <w:jc w:val="both"/>
        <w:rPr>
          <w:rStyle w:val="IntenseReference"/>
          <w:i w:val="0"/>
          <w:lang w:val="it-IT"/>
        </w:rPr>
      </w:pPr>
      <w:r w:rsidRPr="009D660E">
        <w:rPr>
          <w:rStyle w:val="IntenseReference"/>
          <w:i w:val="0"/>
          <w:lang w:val="it-IT"/>
        </w:rPr>
        <w:t>Obje</w:t>
      </w:r>
      <w:r w:rsidR="00A74514" w:rsidRPr="009D660E">
        <w:rPr>
          <w:rStyle w:val="IntenseReference"/>
          <w:i w:val="0"/>
          <w:lang w:val="it-IT"/>
        </w:rPr>
        <w:t>ktivi</w:t>
      </w:r>
    </w:p>
    <w:p w14:paraId="0E370732" w14:textId="22B13105" w:rsidR="0007140E" w:rsidRPr="009D660E" w:rsidRDefault="00F03830" w:rsidP="00EA6F1D">
      <w:pPr>
        <w:spacing w:line="276" w:lineRule="auto"/>
        <w:jc w:val="both"/>
        <w:rPr>
          <w:lang w:val="it-IT"/>
        </w:rPr>
      </w:pPr>
      <w:r w:rsidRPr="009D660E">
        <w:rPr>
          <w:lang w:val="it-IT"/>
        </w:rPr>
        <w:t>Objektivi p</w:t>
      </w:r>
      <w:r w:rsidR="00D7294C" w:rsidRPr="009D660E">
        <w:rPr>
          <w:lang w:val="it-IT"/>
        </w:rPr>
        <w:t>ë</w:t>
      </w:r>
      <w:r w:rsidRPr="009D660E">
        <w:rPr>
          <w:lang w:val="it-IT"/>
        </w:rPr>
        <w:t xml:space="preserve">r vitin 2030 </w:t>
      </w:r>
      <w:r w:rsidR="00D7294C" w:rsidRPr="009D660E">
        <w:rPr>
          <w:lang w:val="it-IT"/>
        </w:rPr>
        <w:t>ë</w:t>
      </w:r>
      <w:r w:rsidRPr="009D660E">
        <w:rPr>
          <w:lang w:val="it-IT"/>
        </w:rPr>
        <w:t>sht</w:t>
      </w:r>
      <w:r w:rsidR="00D7294C" w:rsidRPr="009D660E">
        <w:rPr>
          <w:lang w:val="it-IT"/>
        </w:rPr>
        <w:t>ë</w:t>
      </w:r>
      <w:r w:rsidRPr="009D660E">
        <w:rPr>
          <w:lang w:val="it-IT"/>
        </w:rPr>
        <w:t xml:space="preserve"> q</w:t>
      </w:r>
      <w:r w:rsidR="00D7294C" w:rsidRPr="009D660E">
        <w:rPr>
          <w:lang w:val="it-IT"/>
        </w:rPr>
        <w:t>ë</w:t>
      </w:r>
      <w:r w:rsidRPr="009D660E">
        <w:rPr>
          <w:lang w:val="it-IT"/>
        </w:rPr>
        <w:t xml:space="preserve"> t</w:t>
      </w:r>
      <w:r w:rsidR="00D7294C" w:rsidRPr="009D660E">
        <w:rPr>
          <w:lang w:val="it-IT"/>
        </w:rPr>
        <w:t>ë</w:t>
      </w:r>
      <w:r w:rsidRPr="009D660E">
        <w:rPr>
          <w:lang w:val="it-IT"/>
        </w:rPr>
        <w:t xml:space="preserve"> ket</w:t>
      </w:r>
      <w:r w:rsidR="00D7294C" w:rsidRPr="009D660E">
        <w:rPr>
          <w:lang w:val="it-IT"/>
        </w:rPr>
        <w:t>ë</w:t>
      </w:r>
      <w:r w:rsidRPr="009D660E">
        <w:rPr>
          <w:lang w:val="it-IT"/>
        </w:rPr>
        <w:t xml:space="preserve"> nj</w:t>
      </w:r>
      <w:r w:rsidR="00D7294C" w:rsidRPr="009D660E">
        <w:rPr>
          <w:lang w:val="it-IT"/>
        </w:rPr>
        <w:t>ë</w:t>
      </w:r>
      <w:r w:rsidRPr="009D660E">
        <w:rPr>
          <w:lang w:val="it-IT"/>
        </w:rPr>
        <w:t xml:space="preserve"> s</w:t>
      </w:r>
      <w:r w:rsidR="002E0F45" w:rsidRPr="009D660E">
        <w:rPr>
          <w:lang w:val="it-IT"/>
        </w:rPr>
        <w:t>i</w:t>
      </w:r>
      <w:r w:rsidRPr="009D660E">
        <w:rPr>
          <w:lang w:val="it-IT"/>
        </w:rPr>
        <w:t>stem gjith</w:t>
      </w:r>
      <w:r w:rsidR="00D7294C" w:rsidRPr="009D660E">
        <w:rPr>
          <w:lang w:val="it-IT"/>
        </w:rPr>
        <w:t>ë</w:t>
      </w:r>
      <w:r w:rsidRPr="009D660E">
        <w:rPr>
          <w:lang w:val="it-IT"/>
        </w:rPr>
        <w:t>p</w:t>
      </w:r>
      <w:r w:rsidR="00D7294C" w:rsidRPr="009D660E">
        <w:rPr>
          <w:lang w:val="it-IT"/>
        </w:rPr>
        <w:t>ë</w:t>
      </w:r>
      <w:r w:rsidRPr="009D660E">
        <w:rPr>
          <w:lang w:val="it-IT"/>
        </w:rPr>
        <w:t>rfshir</w:t>
      </w:r>
      <w:r w:rsidR="00D7294C" w:rsidRPr="009D660E">
        <w:rPr>
          <w:lang w:val="it-IT"/>
        </w:rPr>
        <w:t>ë</w:t>
      </w:r>
      <w:r w:rsidRPr="009D660E">
        <w:rPr>
          <w:lang w:val="it-IT"/>
        </w:rPr>
        <w:t>s dhe transparent t</w:t>
      </w:r>
      <w:r w:rsidR="00D7294C" w:rsidRPr="009D660E">
        <w:rPr>
          <w:lang w:val="it-IT"/>
        </w:rPr>
        <w:t>ë</w:t>
      </w:r>
      <w:r w:rsidRPr="009D660E">
        <w:rPr>
          <w:lang w:val="it-IT"/>
        </w:rPr>
        <w:t xml:space="preserve"> monitorimit dhe raportimit t</w:t>
      </w:r>
      <w:r w:rsidR="00D7294C" w:rsidRPr="009D660E">
        <w:rPr>
          <w:lang w:val="it-IT"/>
        </w:rPr>
        <w:t>ë</w:t>
      </w:r>
      <w:r w:rsidRPr="009D660E">
        <w:rPr>
          <w:lang w:val="it-IT"/>
        </w:rPr>
        <w:t xml:space="preserve"> buxhetit n</w:t>
      </w:r>
      <w:r w:rsidR="00D7294C" w:rsidRPr="009D660E">
        <w:rPr>
          <w:lang w:val="it-IT"/>
        </w:rPr>
        <w:t>ë</w:t>
      </w:r>
      <w:r w:rsidRPr="009D660E">
        <w:rPr>
          <w:lang w:val="it-IT"/>
        </w:rPr>
        <w:t xml:space="preserve"> nivel t</w:t>
      </w:r>
      <w:r w:rsidR="00D7294C" w:rsidRPr="009D660E">
        <w:rPr>
          <w:lang w:val="it-IT"/>
        </w:rPr>
        <w:t>ë</w:t>
      </w:r>
      <w:r w:rsidRPr="009D660E">
        <w:rPr>
          <w:lang w:val="it-IT"/>
        </w:rPr>
        <w:t xml:space="preserve"> institucioneve buxhetore dhe n</w:t>
      </w:r>
      <w:r w:rsidR="00D7294C" w:rsidRPr="009D660E">
        <w:rPr>
          <w:lang w:val="it-IT"/>
        </w:rPr>
        <w:t>ë</w:t>
      </w:r>
      <w:r w:rsidRPr="009D660E">
        <w:rPr>
          <w:lang w:val="it-IT"/>
        </w:rPr>
        <w:t xml:space="preserve"> nivel qendror q</w:t>
      </w:r>
      <w:r w:rsidR="00D7294C" w:rsidRPr="009D660E">
        <w:rPr>
          <w:lang w:val="it-IT"/>
        </w:rPr>
        <w:t>ë</w:t>
      </w:r>
      <w:r w:rsidRPr="009D660E">
        <w:rPr>
          <w:lang w:val="it-IT"/>
        </w:rPr>
        <w:t xml:space="preserve"> mbulon t</w:t>
      </w:r>
      <w:r w:rsidR="00D7294C" w:rsidRPr="009D660E">
        <w:rPr>
          <w:lang w:val="it-IT"/>
        </w:rPr>
        <w:t>ë</w:t>
      </w:r>
      <w:r w:rsidRPr="009D660E">
        <w:rPr>
          <w:lang w:val="it-IT"/>
        </w:rPr>
        <w:t xml:space="preserve"> gjitha aspektet e raportimit buxhetor.</w:t>
      </w:r>
    </w:p>
    <w:p w14:paraId="701BB0F3" w14:textId="77777777" w:rsidR="0007140E" w:rsidRPr="009D660E" w:rsidRDefault="0007140E" w:rsidP="00EA6F1D">
      <w:pPr>
        <w:pStyle w:val="H5"/>
        <w:spacing w:line="276" w:lineRule="auto"/>
        <w:jc w:val="both"/>
        <w:rPr>
          <w:rStyle w:val="IntenseReference"/>
          <w:i w:val="0"/>
          <w:lang w:val="it-IT"/>
        </w:rPr>
      </w:pPr>
    </w:p>
    <w:p w14:paraId="7160456C" w14:textId="40BA1D2B" w:rsidR="0007140E" w:rsidRPr="009D660E" w:rsidRDefault="00A74514" w:rsidP="00EA6F1D">
      <w:pPr>
        <w:pStyle w:val="H5"/>
        <w:spacing w:line="276" w:lineRule="auto"/>
        <w:jc w:val="both"/>
        <w:rPr>
          <w:rStyle w:val="IntenseReference"/>
          <w:i w:val="0"/>
          <w:lang w:val="it-IT"/>
        </w:rPr>
      </w:pPr>
      <w:r w:rsidRPr="009D660E">
        <w:rPr>
          <w:rStyle w:val="IntenseReference"/>
          <w:i w:val="0"/>
          <w:lang w:val="it-IT"/>
        </w:rPr>
        <w:t>Konteksti</w:t>
      </w:r>
    </w:p>
    <w:p w14:paraId="2EA82920" w14:textId="3711F14F" w:rsidR="008637AA" w:rsidRPr="009D660E" w:rsidRDefault="00F03830" w:rsidP="008637AA">
      <w:pPr>
        <w:spacing w:line="276" w:lineRule="auto"/>
        <w:jc w:val="both"/>
        <w:rPr>
          <w:lang w:val="it-IT"/>
        </w:rPr>
      </w:pPr>
      <w:r w:rsidRPr="009D660E">
        <w:rPr>
          <w:lang w:val="it-IT"/>
        </w:rPr>
        <w:t>Kuadri ligjor i menaxhimit t</w:t>
      </w:r>
      <w:r w:rsidR="00D7294C" w:rsidRPr="009D660E">
        <w:rPr>
          <w:lang w:val="it-IT"/>
        </w:rPr>
        <w:t>ë</w:t>
      </w:r>
      <w:r w:rsidRPr="009D660E">
        <w:rPr>
          <w:lang w:val="it-IT"/>
        </w:rPr>
        <w:t xml:space="preserve"> buxhetit</w:t>
      </w:r>
      <w:r w:rsidR="0007140E" w:rsidRPr="001F151E">
        <w:rPr>
          <w:rStyle w:val="FootnoteReference"/>
          <w:lang w:val="en-GB"/>
        </w:rPr>
        <w:footnoteReference w:id="36"/>
      </w:r>
      <w:r w:rsidR="0007140E" w:rsidRPr="009D660E">
        <w:rPr>
          <w:lang w:val="it-IT"/>
        </w:rPr>
        <w:t xml:space="preserve"> </w:t>
      </w:r>
      <w:r w:rsidR="00D7294C" w:rsidRPr="009D660E">
        <w:rPr>
          <w:lang w:val="it-IT"/>
        </w:rPr>
        <w:t>ë</w:t>
      </w:r>
      <w:r w:rsidRPr="009D660E">
        <w:rPr>
          <w:lang w:val="it-IT"/>
        </w:rPr>
        <w:t>sht</w:t>
      </w:r>
      <w:r w:rsidR="00D7294C" w:rsidRPr="009D660E">
        <w:rPr>
          <w:lang w:val="it-IT"/>
        </w:rPr>
        <w:t>ë</w:t>
      </w:r>
      <w:r w:rsidRPr="009D660E">
        <w:rPr>
          <w:lang w:val="it-IT"/>
        </w:rPr>
        <w:t xml:space="preserve"> konsoliduar</w:t>
      </w:r>
      <w:r w:rsidR="0007140E" w:rsidRPr="009D660E">
        <w:rPr>
          <w:lang w:val="it-IT"/>
        </w:rPr>
        <w:t xml:space="preserve">, </w:t>
      </w:r>
      <w:r w:rsidRPr="009D660E">
        <w:rPr>
          <w:lang w:val="it-IT"/>
        </w:rPr>
        <w:t>me disa p</w:t>
      </w:r>
      <w:r w:rsidR="00D7294C" w:rsidRPr="009D660E">
        <w:rPr>
          <w:lang w:val="it-IT"/>
        </w:rPr>
        <w:t>ë</w:t>
      </w:r>
      <w:r w:rsidRPr="009D660E">
        <w:rPr>
          <w:lang w:val="it-IT"/>
        </w:rPr>
        <w:t>rmir</w:t>
      </w:r>
      <w:r w:rsidR="00D7294C" w:rsidRPr="009D660E">
        <w:rPr>
          <w:lang w:val="it-IT"/>
        </w:rPr>
        <w:t>ë</w:t>
      </w:r>
      <w:r w:rsidRPr="009D660E">
        <w:rPr>
          <w:lang w:val="it-IT"/>
        </w:rPr>
        <w:t>sime n</w:t>
      </w:r>
      <w:r w:rsidR="00D7294C" w:rsidRPr="009D660E">
        <w:rPr>
          <w:lang w:val="it-IT"/>
        </w:rPr>
        <w:t>ë</w:t>
      </w:r>
      <w:r w:rsidRPr="009D660E">
        <w:rPr>
          <w:lang w:val="it-IT"/>
        </w:rPr>
        <w:t xml:space="preserve"> monitorimin e performanc</w:t>
      </w:r>
      <w:r w:rsidR="00D7294C" w:rsidRPr="009D660E">
        <w:rPr>
          <w:lang w:val="it-IT"/>
        </w:rPr>
        <w:t>ë</w:t>
      </w:r>
      <w:r w:rsidRPr="009D660E">
        <w:rPr>
          <w:lang w:val="it-IT"/>
        </w:rPr>
        <w:t>s financiare t</w:t>
      </w:r>
      <w:r w:rsidR="00D7294C" w:rsidRPr="009D660E">
        <w:rPr>
          <w:lang w:val="it-IT"/>
        </w:rPr>
        <w:t>ë</w:t>
      </w:r>
      <w:r w:rsidRPr="009D660E">
        <w:rPr>
          <w:lang w:val="it-IT"/>
        </w:rPr>
        <w:t xml:space="preserve"> sektorit t</w:t>
      </w:r>
      <w:r w:rsidR="00D7294C" w:rsidRPr="009D660E">
        <w:rPr>
          <w:lang w:val="it-IT"/>
        </w:rPr>
        <w:t>ë</w:t>
      </w:r>
      <w:r w:rsidRPr="009D660E">
        <w:rPr>
          <w:lang w:val="it-IT"/>
        </w:rPr>
        <w:t xml:space="preserve"> qeverisjes qendrore q</w:t>
      </w:r>
      <w:r w:rsidR="00D7294C" w:rsidRPr="009D660E">
        <w:rPr>
          <w:lang w:val="it-IT"/>
        </w:rPr>
        <w:t>ë</w:t>
      </w:r>
      <w:r w:rsidRPr="009D660E">
        <w:rPr>
          <w:lang w:val="it-IT"/>
        </w:rPr>
        <w:t xml:space="preserve"> synon ndryshimin e shpesht</w:t>
      </w:r>
      <w:r w:rsidR="00D7294C" w:rsidRPr="009D660E">
        <w:rPr>
          <w:lang w:val="it-IT"/>
        </w:rPr>
        <w:t>ë</w:t>
      </w:r>
      <w:r w:rsidRPr="009D660E">
        <w:rPr>
          <w:lang w:val="it-IT"/>
        </w:rPr>
        <w:t>sis</w:t>
      </w:r>
      <w:r w:rsidR="00D7294C" w:rsidRPr="009D660E">
        <w:rPr>
          <w:lang w:val="it-IT"/>
        </w:rPr>
        <w:t>ë</w:t>
      </w:r>
      <w:r w:rsidRPr="009D660E">
        <w:rPr>
          <w:lang w:val="it-IT"/>
        </w:rPr>
        <w:t xml:space="preserve"> s</w:t>
      </w:r>
      <w:r w:rsidR="00D7294C" w:rsidRPr="009D660E">
        <w:rPr>
          <w:lang w:val="it-IT"/>
        </w:rPr>
        <w:t>ë</w:t>
      </w:r>
      <w:r w:rsidRPr="009D660E">
        <w:rPr>
          <w:lang w:val="it-IT"/>
        </w:rPr>
        <w:t xml:space="preserve"> raportimit, p</w:t>
      </w:r>
      <w:r w:rsidR="00D7294C" w:rsidRPr="009D660E">
        <w:rPr>
          <w:lang w:val="it-IT"/>
        </w:rPr>
        <w:t>ë</w:t>
      </w:r>
      <w:r w:rsidRPr="009D660E">
        <w:rPr>
          <w:lang w:val="it-IT"/>
        </w:rPr>
        <w:t>rmbajtjen e tij dhe p</w:t>
      </w:r>
      <w:r w:rsidR="00D7294C" w:rsidRPr="009D660E">
        <w:rPr>
          <w:lang w:val="it-IT"/>
        </w:rPr>
        <w:t>ë</w:t>
      </w:r>
      <w:r w:rsidRPr="009D660E">
        <w:rPr>
          <w:lang w:val="it-IT"/>
        </w:rPr>
        <w:t xml:space="preserve">rcaktimin e roleve </w:t>
      </w:r>
      <w:r w:rsidR="005B7B11" w:rsidRPr="009D660E">
        <w:rPr>
          <w:lang w:val="it-IT"/>
        </w:rPr>
        <w:t>dhe p</w:t>
      </w:r>
      <w:r w:rsidR="00D7294C" w:rsidRPr="009D660E">
        <w:rPr>
          <w:lang w:val="it-IT"/>
        </w:rPr>
        <w:t>ë</w:t>
      </w:r>
      <w:r w:rsidR="005B7B11" w:rsidRPr="009D660E">
        <w:rPr>
          <w:lang w:val="it-IT"/>
        </w:rPr>
        <w:t>rgjegj</w:t>
      </w:r>
      <w:r w:rsidR="00D7294C" w:rsidRPr="009D660E">
        <w:rPr>
          <w:lang w:val="it-IT"/>
        </w:rPr>
        <w:t>ë</w:t>
      </w:r>
      <w:r w:rsidR="005B7B11" w:rsidRPr="009D660E">
        <w:rPr>
          <w:lang w:val="it-IT"/>
        </w:rPr>
        <w:t xml:space="preserve">sive </w:t>
      </w:r>
      <w:r w:rsidR="00D7294C" w:rsidRPr="009D660E">
        <w:rPr>
          <w:lang w:val="it-IT"/>
        </w:rPr>
        <w:t>ë</w:t>
      </w:r>
      <w:r w:rsidR="005B7B11" w:rsidRPr="009D660E">
        <w:rPr>
          <w:lang w:val="it-IT"/>
        </w:rPr>
        <w:t>t</w:t>
      </w:r>
      <w:r w:rsidR="00D7294C" w:rsidRPr="009D660E">
        <w:rPr>
          <w:lang w:val="it-IT"/>
        </w:rPr>
        <w:t>ë</w:t>
      </w:r>
      <w:r w:rsidR="005B7B11" w:rsidRPr="009D660E">
        <w:rPr>
          <w:lang w:val="it-IT"/>
        </w:rPr>
        <w:t xml:space="preserve"> pal</w:t>
      </w:r>
      <w:r w:rsidR="00D7294C" w:rsidRPr="009D660E">
        <w:rPr>
          <w:lang w:val="it-IT"/>
        </w:rPr>
        <w:t>ë</w:t>
      </w:r>
      <w:r w:rsidR="005B7B11" w:rsidRPr="009D660E">
        <w:rPr>
          <w:lang w:val="it-IT"/>
        </w:rPr>
        <w:t>ve p</w:t>
      </w:r>
      <w:r w:rsidR="00D7294C" w:rsidRPr="009D660E">
        <w:rPr>
          <w:lang w:val="it-IT"/>
        </w:rPr>
        <w:t>ë</w:t>
      </w:r>
      <w:r w:rsidR="005B7B11" w:rsidRPr="009D660E">
        <w:rPr>
          <w:lang w:val="it-IT"/>
        </w:rPr>
        <w:t>rkat</w:t>
      </w:r>
      <w:r w:rsidR="00D7294C" w:rsidRPr="009D660E">
        <w:rPr>
          <w:lang w:val="it-IT"/>
        </w:rPr>
        <w:t>ë</w:t>
      </w:r>
      <w:r w:rsidR="005B7B11" w:rsidRPr="009D660E">
        <w:rPr>
          <w:lang w:val="it-IT"/>
        </w:rPr>
        <w:t>se. SIMFSH-ja, i projektuar si nj</w:t>
      </w:r>
      <w:r w:rsidR="00D7294C" w:rsidRPr="009D660E">
        <w:rPr>
          <w:lang w:val="it-IT"/>
        </w:rPr>
        <w:t>ë</w:t>
      </w:r>
      <w:r w:rsidR="005B7B11" w:rsidRPr="009D660E">
        <w:rPr>
          <w:lang w:val="it-IT"/>
        </w:rPr>
        <w:t xml:space="preserve"> zgjerim </w:t>
      </w:r>
      <w:r w:rsidR="00E63B05" w:rsidRPr="009D660E">
        <w:rPr>
          <w:lang w:val="it-IT"/>
        </w:rPr>
        <w:t>i Sistemit Informativ Financiar Qeveritar (SIFQ) ekzistues, ka gjithashtu modulin e Monitorimit t</w:t>
      </w:r>
      <w:r w:rsidR="00D7294C" w:rsidRPr="009D660E">
        <w:rPr>
          <w:lang w:val="it-IT"/>
        </w:rPr>
        <w:t>ë</w:t>
      </w:r>
      <w:r w:rsidR="00E63B05" w:rsidRPr="009D660E">
        <w:rPr>
          <w:lang w:val="it-IT"/>
        </w:rPr>
        <w:t xml:space="preserve"> Buxhetit dhe Portofolit t</w:t>
      </w:r>
      <w:r w:rsidR="00D7294C" w:rsidRPr="009D660E">
        <w:rPr>
          <w:lang w:val="it-IT"/>
        </w:rPr>
        <w:t>ë</w:t>
      </w:r>
      <w:r w:rsidR="00E63B05" w:rsidRPr="009D660E">
        <w:rPr>
          <w:lang w:val="it-IT"/>
        </w:rPr>
        <w:t xml:space="preserve"> Projekteve, i cili </w:t>
      </w:r>
      <w:r w:rsidR="00D7294C" w:rsidRPr="009D660E">
        <w:rPr>
          <w:lang w:val="it-IT"/>
        </w:rPr>
        <w:t>ë</w:t>
      </w:r>
      <w:r w:rsidR="00E63B05" w:rsidRPr="009D660E">
        <w:rPr>
          <w:lang w:val="it-IT"/>
        </w:rPr>
        <w:t>sht</w:t>
      </w:r>
      <w:r w:rsidR="00D7294C" w:rsidRPr="009D660E">
        <w:rPr>
          <w:lang w:val="it-IT"/>
        </w:rPr>
        <w:t>ë</w:t>
      </w:r>
      <w:r w:rsidR="00E63B05" w:rsidRPr="009D660E">
        <w:rPr>
          <w:lang w:val="it-IT"/>
        </w:rPr>
        <w:t xml:space="preserve"> tashm</w:t>
      </w:r>
      <w:r w:rsidR="00D7294C" w:rsidRPr="009D660E">
        <w:rPr>
          <w:lang w:val="it-IT"/>
        </w:rPr>
        <w:t>ë</w:t>
      </w:r>
      <w:r w:rsidR="00E63B05" w:rsidRPr="009D660E">
        <w:rPr>
          <w:lang w:val="it-IT"/>
        </w:rPr>
        <w:t xml:space="preserve"> n</w:t>
      </w:r>
      <w:r w:rsidR="00D7294C" w:rsidRPr="009D660E">
        <w:rPr>
          <w:lang w:val="it-IT"/>
        </w:rPr>
        <w:t>ë</w:t>
      </w:r>
      <w:r w:rsidR="00E63B05" w:rsidRPr="009D660E">
        <w:rPr>
          <w:lang w:val="it-IT"/>
        </w:rPr>
        <w:t xml:space="preserve"> p</w:t>
      </w:r>
      <w:r w:rsidR="00D7294C" w:rsidRPr="009D660E">
        <w:rPr>
          <w:lang w:val="it-IT"/>
        </w:rPr>
        <w:t>ë</w:t>
      </w:r>
      <w:r w:rsidR="00E63B05" w:rsidRPr="009D660E">
        <w:rPr>
          <w:lang w:val="it-IT"/>
        </w:rPr>
        <w:t>rdorim.</w:t>
      </w:r>
      <w:r w:rsidR="0007140E" w:rsidRPr="009D660E">
        <w:rPr>
          <w:lang w:val="it-IT"/>
        </w:rPr>
        <w:t xml:space="preserve"> </w:t>
      </w:r>
      <w:r w:rsidR="00645572" w:rsidRPr="009D660E">
        <w:rPr>
          <w:lang w:val="it-IT"/>
        </w:rPr>
        <w:t>Prandaj, jan</w:t>
      </w:r>
      <w:r w:rsidR="00D7294C" w:rsidRPr="009D660E">
        <w:rPr>
          <w:lang w:val="it-IT"/>
        </w:rPr>
        <w:t>ë</w:t>
      </w:r>
      <w:r w:rsidR="00645572" w:rsidRPr="009D660E">
        <w:rPr>
          <w:lang w:val="it-IT"/>
        </w:rPr>
        <w:t xml:space="preserve"> p</w:t>
      </w:r>
      <w:r w:rsidR="00D7294C" w:rsidRPr="009D660E">
        <w:rPr>
          <w:lang w:val="it-IT"/>
        </w:rPr>
        <w:t>ë</w:t>
      </w:r>
      <w:r w:rsidR="00645572" w:rsidRPr="009D660E">
        <w:rPr>
          <w:lang w:val="it-IT"/>
        </w:rPr>
        <w:t>rmir</w:t>
      </w:r>
      <w:r w:rsidR="00D7294C" w:rsidRPr="009D660E">
        <w:rPr>
          <w:lang w:val="it-IT"/>
        </w:rPr>
        <w:t>ë</w:t>
      </w:r>
      <w:r w:rsidR="00645572" w:rsidRPr="009D660E">
        <w:rPr>
          <w:lang w:val="it-IT"/>
        </w:rPr>
        <w:t>suar raportet e zbatimit t</w:t>
      </w:r>
      <w:r w:rsidR="00D7294C" w:rsidRPr="009D660E">
        <w:rPr>
          <w:lang w:val="it-IT"/>
        </w:rPr>
        <w:t>ë</w:t>
      </w:r>
      <w:r w:rsidR="00645572" w:rsidRPr="009D660E">
        <w:rPr>
          <w:lang w:val="it-IT"/>
        </w:rPr>
        <w:t xml:space="preserve"> buxhetit </w:t>
      </w:r>
      <w:r w:rsidR="002B3875" w:rsidRPr="009D660E">
        <w:rPr>
          <w:lang w:val="it-IT"/>
        </w:rPr>
        <w:t>gjat</w:t>
      </w:r>
      <w:r w:rsidR="00D7294C" w:rsidRPr="009D660E">
        <w:rPr>
          <w:lang w:val="it-IT"/>
        </w:rPr>
        <w:t>ë</w:t>
      </w:r>
      <w:r w:rsidR="00645572" w:rsidRPr="009D660E">
        <w:rPr>
          <w:lang w:val="it-IT"/>
        </w:rPr>
        <w:t xml:space="preserve"> vitit, raporti i Performanc</w:t>
      </w:r>
      <w:r w:rsidR="00D7294C" w:rsidRPr="009D660E">
        <w:rPr>
          <w:lang w:val="it-IT"/>
        </w:rPr>
        <w:t>ë</w:t>
      </w:r>
      <w:r w:rsidR="00645572" w:rsidRPr="009D660E">
        <w:rPr>
          <w:lang w:val="it-IT"/>
        </w:rPr>
        <w:t xml:space="preserve">s Makroekonomike, Fiskale dhe Buxhetore </w:t>
      </w:r>
      <w:r w:rsidR="00731A7B" w:rsidRPr="009D660E">
        <w:rPr>
          <w:lang w:val="it-IT"/>
        </w:rPr>
        <w:t>i</w:t>
      </w:r>
      <w:r w:rsidR="00645572" w:rsidRPr="009D660E">
        <w:rPr>
          <w:lang w:val="it-IT"/>
        </w:rPr>
        <w:t xml:space="preserve"> mesvitit </w:t>
      </w:r>
      <w:r w:rsidR="00731A7B" w:rsidRPr="009D660E">
        <w:rPr>
          <w:lang w:val="it-IT"/>
        </w:rPr>
        <w:t>dhe raporti i fundvitit. N</w:t>
      </w:r>
      <w:r w:rsidR="00D7294C" w:rsidRPr="009D660E">
        <w:rPr>
          <w:lang w:val="it-IT"/>
        </w:rPr>
        <w:t>ë</w:t>
      </w:r>
      <w:r w:rsidR="00731A7B" w:rsidRPr="009D660E">
        <w:rPr>
          <w:lang w:val="it-IT"/>
        </w:rPr>
        <w:t xml:space="preserve"> vitin 2023 </w:t>
      </w:r>
      <w:r w:rsidR="00D7294C" w:rsidRPr="009D660E">
        <w:rPr>
          <w:lang w:val="it-IT"/>
        </w:rPr>
        <w:t>ë</w:t>
      </w:r>
      <w:r w:rsidR="00731A7B" w:rsidRPr="009D660E">
        <w:rPr>
          <w:lang w:val="it-IT"/>
        </w:rPr>
        <w:t>sht</w:t>
      </w:r>
      <w:r w:rsidR="00D7294C" w:rsidRPr="009D660E">
        <w:rPr>
          <w:lang w:val="it-IT"/>
        </w:rPr>
        <w:t>ë</w:t>
      </w:r>
      <w:r w:rsidR="00731A7B" w:rsidRPr="009D660E">
        <w:rPr>
          <w:lang w:val="it-IT"/>
        </w:rPr>
        <w:t xml:space="preserve"> nxjerr</w:t>
      </w:r>
      <w:r w:rsidR="00D7294C" w:rsidRPr="009D660E">
        <w:rPr>
          <w:lang w:val="it-IT"/>
        </w:rPr>
        <w:t>ë</w:t>
      </w:r>
      <w:r w:rsidR="00731A7B" w:rsidRPr="009D660E">
        <w:rPr>
          <w:lang w:val="it-IT"/>
        </w:rPr>
        <w:t xml:space="preserve"> nj</w:t>
      </w:r>
      <w:r w:rsidR="00D7294C" w:rsidRPr="009D660E">
        <w:rPr>
          <w:lang w:val="it-IT"/>
        </w:rPr>
        <w:t>ë</w:t>
      </w:r>
      <w:r w:rsidR="00731A7B" w:rsidRPr="009D660E">
        <w:rPr>
          <w:lang w:val="it-IT"/>
        </w:rPr>
        <w:t xml:space="preserve"> udh</w:t>
      </w:r>
      <w:r w:rsidR="00D7294C" w:rsidRPr="009D660E">
        <w:rPr>
          <w:lang w:val="it-IT"/>
        </w:rPr>
        <w:t>ë</w:t>
      </w:r>
      <w:r w:rsidR="00731A7B" w:rsidRPr="009D660E">
        <w:rPr>
          <w:lang w:val="it-IT"/>
        </w:rPr>
        <w:t xml:space="preserve">zues </w:t>
      </w:r>
      <w:r w:rsidR="00657DEB" w:rsidRPr="009D660E">
        <w:rPr>
          <w:lang w:val="it-IT"/>
        </w:rPr>
        <w:t>i ri p</w:t>
      </w:r>
      <w:r w:rsidR="00D7294C" w:rsidRPr="009D660E">
        <w:rPr>
          <w:lang w:val="it-IT"/>
        </w:rPr>
        <w:t>ë</w:t>
      </w:r>
      <w:r w:rsidR="00657DEB" w:rsidRPr="009D660E">
        <w:rPr>
          <w:lang w:val="it-IT"/>
        </w:rPr>
        <w:t>r monitorimin e buxhetit</w:t>
      </w:r>
      <w:r w:rsidR="0007140E" w:rsidRPr="009D660E">
        <w:rPr>
          <w:lang w:val="it-IT"/>
        </w:rPr>
        <w:t>.</w:t>
      </w:r>
      <w:r w:rsidR="0007140E" w:rsidRPr="001D40C2">
        <w:rPr>
          <w:vertAlign w:val="superscript"/>
        </w:rPr>
        <w:footnoteReference w:id="37"/>
      </w:r>
      <w:r w:rsidR="0007140E" w:rsidRPr="009D660E">
        <w:rPr>
          <w:lang w:val="it-IT"/>
        </w:rPr>
        <w:t xml:space="preserve"> </w:t>
      </w:r>
      <w:r w:rsidR="008637AA" w:rsidRPr="009D660E">
        <w:rPr>
          <w:lang w:val="it-IT"/>
        </w:rPr>
        <w:t>Në përputhje me Ligjin Organik të Buxhetit, Ministri i Financave nxjerr një udhëzues standard, i cili përmban udhëzime për procedurat, formatet dhe afatet që duhet të ndjekin të gjitha Njësitë e Qeverisjes Qendrore gjatë kryerjes së raporteve periodike të monitorimit të ekzekutimit të buxhetit. Në këto rrethana, udhëzimi i ri i nxjerrë në maj 2023 synon të përmirësojë më tej procesin e monitorimit të kryer nga ML/IB-të, por nuk është në objektin e tij parashikimi i një ‘raporti të monitorimit të buxhetit agregat’.</w:t>
      </w:r>
    </w:p>
    <w:p w14:paraId="043E78C9" w14:textId="2A4684D8" w:rsidR="008637AA" w:rsidRPr="009D660E" w:rsidRDefault="008637AA" w:rsidP="008637AA">
      <w:pPr>
        <w:spacing w:line="276" w:lineRule="auto"/>
        <w:jc w:val="both"/>
        <w:rPr>
          <w:lang w:val="it-IT"/>
        </w:rPr>
      </w:pPr>
      <w:r w:rsidRPr="009D660E">
        <w:rPr>
          <w:lang w:val="it-IT"/>
        </w:rPr>
        <w:t xml:space="preserve">Ky udhëzues i ri, përcakton të gjitha procedurat dhe afatet që duhen ndjekur nga të gjitha njësitë e qeverisjes qendrore gjatë monitorimit të zbatimit të buxhetit për performancën financiare dhe jofinanciare, produktet dhe objektivat e politikave të realizuara për çdo program. Anekset e reja të miratuara në kuadër të këtij udhëzimi, të cilat mund të gjenerohen përmes SMFSH-së, përmbajnë të dhëna për ecurinë e shpenzimeve buxhetore sipas </w:t>
      </w:r>
      <w:r w:rsidRPr="009D660E">
        <w:rPr>
          <w:lang w:val="it-IT"/>
        </w:rPr>
        <w:lastRenderedPageBreak/>
        <w:t>klasifikimit të tyre ekonomik, performancën e produkteve që lidhen me Treguesit Kyç të Performancës së tyre për çdo program buxhetor.</w:t>
      </w:r>
    </w:p>
    <w:p w14:paraId="6BAC676C" w14:textId="34DC60A6" w:rsidR="008637AA" w:rsidRPr="009D660E" w:rsidRDefault="008637AA" w:rsidP="008637AA">
      <w:pPr>
        <w:spacing w:line="276" w:lineRule="auto"/>
        <w:jc w:val="both"/>
        <w:rPr>
          <w:lang w:val="it-IT"/>
        </w:rPr>
      </w:pPr>
      <w:r w:rsidRPr="009D660E">
        <w:rPr>
          <w:lang w:val="it-IT"/>
        </w:rPr>
        <w:t>Monitorimi i objektivave për çdo politikë të programit buxhetor bazohet në treguesin përkatës të performancës, ndërsa monitorimi i produkteve bëhet për nga sasia dhe vlera. Pra, monitorimi është procesi që lidh realizimin e objektivave dhe produkteve me fondet përkatëse të planifikuara për arritjen e tyre. Procesi i monitorimit mund të bëhet dhe paraqitet vetëm në nivel programi për çdo ML/IB-të.</w:t>
      </w:r>
    </w:p>
    <w:p w14:paraId="5008811C" w14:textId="572BE1C0" w:rsidR="008637AA" w:rsidRPr="009D660E" w:rsidRDefault="008637AA" w:rsidP="008637AA">
      <w:pPr>
        <w:spacing w:line="276" w:lineRule="auto"/>
        <w:jc w:val="both"/>
        <w:rPr>
          <w:lang w:val="it-IT"/>
        </w:rPr>
      </w:pPr>
      <w:r w:rsidRPr="009D660E">
        <w:rPr>
          <w:lang w:val="it-IT"/>
        </w:rPr>
        <w:t xml:space="preserve">Ndërkohë, informacioni i përmbledhur i raporteve të monitorimit për ML/IB-të është pjesë e Raportit Vjetor të </w:t>
      </w:r>
      <w:r w:rsidR="00C249FF" w:rsidRPr="009D660E">
        <w:rPr>
          <w:lang w:val="it-IT"/>
        </w:rPr>
        <w:t>Zbatimit</w:t>
      </w:r>
      <w:r w:rsidRPr="009D660E">
        <w:rPr>
          <w:lang w:val="it-IT"/>
        </w:rPr>
        <w:t xml:space="preserve"> të Buxhetit, i cili paraqet ecurinë buxhetore financiare dhe jofinanciare të programeve të ML/IB-ve.</w:t>
      </w:r>
    </w:p>
    <w:p w14:paraId="714DF825" w14:textId="61818612" w:rsidR="008637AA" w:rsidRPr="009D660E" w:rsidRDefault="008637AA" w:rsidP="008637AA">
      <w:pPr>
        <w:spacing w:line="276" w:lineRule="auto"/>
        <w:jc w:val="both"/>
        <w:rPr>
          <w:lang w:val="it-IT"/>
        </w:rPr>
      </w:pPr>
      <w:r w:rsidRPr="009D660E">
        <w:rPr>
          <w:lang w:val="it-IT"/>
        </w:rPr>
        <w:t xml:space="preserve">Për më tepër, </w:t>
      </w:r>
      <w:r w:rsidR="00C249FF" w:rsidRPr="009D660E">
        <w:rPr>
          <w:lang w:val="it-IT"/>
        </w:rPr>
        <w:t>dokumenti</w:t>
      </w:r>
      <w:r w:rsidRPr="009D660E">
        <w:rPr>
          <w:lang w:val="it-IT"/>
        </w:rPr>
        <w:t xml:space="preserve"> për Raportin Vjetor të </w:t>
      </w:r>
      <w:r w:rsidR="00C249FF" w:rsidRPr="009D660E">
        <w:rPr>
          <w:lang w:val="it-IT"/>
        </w:rPr>
        <w:t>Zbatimit</w:t>
      </w:r>
      <w:r w:rsidRPr="009D660E">
        <w:rPr>
          <w:lang w:val="it-IT"/>
        </w:rPr>
        <w:t xml:space="preserve"> të Buxhetit përmban një informacion dhe analizë të sintetizuar për ecurinë e shpenzimeve të përgjithshme, duke përfshirë ato sipas klasifikimit të tyre ekonomik dhe funksional.</w:t>
      </w:r>
    </w:p>
    <w:p w14:paraId="5AC8EAFD" w14:textId="3D753050" w:rsidR="0007140E" w:rsidRPr="009D660E" w:rsidRDefault="0007140E" w:rsidP="008637AA">
      <w:pPr>
        <w:spacing w:line="240" w:lineRule="auto"/>
        <w:jc w:val="both"/>
        <w:rPr>
          <w:lang w:val="it-IT"/>
        </w:rPr>
      </w:pPr>
    </w:p>
    <w:p w14:paraId="68EBC2AD" w14:textId="126A68BA" w:rsidR="0007140E" w:rsidRPr="001F151E" w:rsidRDefault="00A74514" w:rsidP="00EA6F1D">
      <w:pPr>
        <w:pStyle w:val="H5"/>
        <w:spacing w:line="276" w:lineRule="auto"/>
        <w:jc w:val="both"/>
        <w:rPr>
          <w:rStyle w:val="IntenseReference"/>
          <w:i w:val="0"/>
          <w:lang w:val="en-GB"/>
        </w:rPr>
      </w:pPr>
      <w:r>
        <w:rPr>
          <w:rStyle w:val="IntenseReference"/>
          <w:i w:val="0"/>
          <w:lang w:val="en-GB"/>
        </w:rPr>
        <w:t>Prioritetet</w:t>
      </w:r>
    </w:p>
    <w:p w14:paraId="37984DBA" w14:textId="3BAD949D" w:rsidR="0007140E" w:rsidRPr="001F151E" w:rsidRDefault="00657DEB" w:rsidP="00EA6F1D">
      <w:pPr>
        <w:spacing w:line="276" w:lineRule="auto"/>
        <w:jc w:val="both"/>
        <w:rPr>
          <w:lang w:val="en-GB"/>
        </w:rPr>
      </w:pPr>
      <w:r>
        <w:rPr>
          <w:lang w:val="en-GB"/>
        </w:rPr>
        <w:t>Prioritetet deri n</w:t>
      </w:r>
      <w:r w:rsidR="00D7294C">
        <w:rPr>
          <w:lang w:val="en-GB"/>
        </w:rPr>
        <w:t>ë</w:t>
      </w:r>
      <w:r>
        <w:rPr>
          <w:lang w:val="en-GB"/>
        </w:rPr>
        <w:t xml:space="preserve"> vitin 2026 jan</w:t>
      </w:r>
      <w:r w:rsidR="00D7294C">
        <w:rPr>
          <w:lang w:val="en-GB"/>
        </w:rPr>
        <w:t>ë</w:t>
      </w:r>
      <w:r w:rsidR="0007140E" w:rsidRPr="001F151E">
        <w:rPr>
          <w:lang w:val="en-GB"/>
        </w:rPr>
        <w:t>:</w:t>
      </w:r>
    </w:p>
    <w:p w14:paraId="68EA9B1B" w14:textId="4CC0BB6E" w:rsidR="0007140E" w:rsidRPr="001F151E" w:rsidRDefault="001D40C2" w:rsidP="00EA6F1D">
      <w:pPr>
        <w:pStyle w:val="N-Bullet"/>
        <w:spacing w:line="276" w:lineRule="auto"/>
        <w:jc w:val="both"/>
        <w:rPr>
          <w:lang w:val="en-GB"/>
        </w:rPr>
      </w:pPr>
      <w:r>
        <w:rPr>
          <w:lang w:val="en-GB"/>
        </w:rPr>
        <w:t>P</w:t>
      </w:r>
      <w:r w:rsidR="00D7294C">
        <w:rPr>
          <w:lang w:val="en-GB"/>
        </w:rPr>
        <w:t>ë</w:t>
      </w:r>
      <w:r>
        <w:rPr>
          <w:lang w:val="en-GB"/>
        </w:rPr>
        <w:t>rmir</w:t>
      </w:r>
      <w:r w:rsidR="00D7294C">
        <w:rPr>
          <w:lang w:val="en-GB"/>
        </w:rPr>
        <w:t>ë</w:t>
      </w:r>
      <w:r>
        <w:rPr>
          <w:lang w:val="en-GB"/>
        </w:rPr>
        <w:t>simi i monitorimit dhe raportimit t</w:t>
      </w:r>
      <w:r w:rsidR="00D7294C">
        <w:rPr>
          <w:lang w:val="en-GB"/>
        </w:rPr>
        <w:t>ë</w:t>
      </w:r>
      <w:r>
        <w:rPr>
          <w:lang w:val="en-GB"/>
        </w:rPr>
        <w:t xml:space="preserve"> </w:t>
      </w:r>
      <w:r w:rsidR="002E0F45">
        <w:rPr>
          <w:lang w:val="en-GB"/>
        </w:rPr>
        <w:t>zbatimit</w:t>
      </w:r>
      <w:r>
        <w:rPr>
          <w:lang w:val="en-GB"/>
        </w:rPr>
        <w:t xml:space="preserve"> t</w:t>
      </w:r>
      <w:r w:rsidR="00D7294C">
        <w:rPr>
          <w:lang w:val="en-GB"/>
        </w:rPr>
        <w:t>ë</w:t>
      </w:r>
      <w:r>
        <w:rPr>
          <w:lang w:val="en-GB"/>
        </w:rPr>
        <w:t xml:space="preserve"> buxhetit nga institucionet buxhetore dhe n</w:t>
      </w:r>
      <w:r w:rsidR="00D7294C">
        <w:rPr>
          <w:lang w:val="en-GB"/>
        </w:rPr>
        <w:t>ë</w:t>
      </w:r>
      <w:r>
        <w:rPr>
          <w:lang w:val="en-GB"/>
        </w:rPr>
        <w:t xml:space="preserve"> nivel t</w:t>
      </w:r>
      <w:r w:rsidR="00D7294C">
        <w:rPr>
          <w:lang w:val="en-GB"/>
        </w:rPr>
        <w:t>ë</w:t>
      </w:r>
      <w:r>
        <w:rPr>
          <w:lang w:val="en-GB"/>
        </w:rPr>
        <w:t xml:space="preserve"> p</w:t>
      </w:r>
      <w:r w:rsidR="00D7294C">
        <w:rPr>
          <w:lang w:val="en-GB"/>
        </w:rPr>
        <w:t>ë</w:t>
      </w:r>
      <w:r>
        <w:rPr>
          <w:lang w:val="en-GB"/>
        </w:rPr>
        <w:t>rmbledhur duke p</w:t>
      </w:r>
      <w:r w:rsidR="00D7294C">
        <w:rPr>
          <w:lang w:val="en-GB"/>
        </w:rPr>
        <w:t>ë</w:t>
      </w:r>
      <w:r>
        <w:rPr>
          <w:lang w:val="en-GB"/>
        </w:rPr>
        <w:t>rfshir</w:t>
      </w:r>
      <w:r w:rsidR="00D7294C">
        <w:rPr>
          <w:lang w:val="en-GB"/>
        </w:rPr>
        <w:t>ë</w:t>
      </w:r>
      <w:r>
        <w:rPr>
          <w:lang w:val="en-GB"/>
        </w:rPr>
        <w:t xml:space="preserve"> p</w:t>
      </w:r>
      <w:r w:rsidR="00D7294C">
        <w:rPr>
          <w:lang w:val="en-GB"/>
        </w:rPr>
        <w:t>ë</w:t>
      </w:r>
      <w:r>
        <w:rPr>
          <w:lang w:val="en-GB"/>
        </w:rPr>
        <w:t>rgatitjen e raportit t</w:t>
      </w:r>
      <w:r w:rsidR="00D7294C">
        <w:rPr>
          <w:lang w:val="en-GB"/>
        </w:rPr>
        <w:t>ë</w:t>
      </w:r>
      <w:r>
        <w:rPr>
          <w:lang w:val="en-GB"/>
        </w:rPr>
        <w:t xml:space="preserve"> </w:t>
      </w:r>
      <w:r w:rsidR="002E0F45">
        <w:rPr>
          <w:lang w:val="en-GB"/>
        </w:rPr>
        <w:t>zbatimit</w:t>
      </w:r>
      <w:r>
        <w:rPr>
          <w:lang w:val="en-GB"/>
        </w:rPr>
        <w:t xml:space="preserve"> t</w:t>
      </w:r>
      <w:r w:rsidR="00D7294C">
        <w:rPr>
          <w:lang w:val="en-GB"/>
        </w:rPr>
        <w:t>ë</w:t>
      </w:r>
      <w:r>
        <w:rPr>
          <w:lang w:val="en-GB"/>
        </w:rPr>
        <w:t xml:space="preserve"> buxhetit p</w:t>
      </w:r>
      <w:r w:rsidR="00D7294C">
        <w:rPr>
          <w:lang w:val="en-GB"/>
        </w:rPr>
        <w:t>ë</w:t>
      </w:r>
      <w:r>
        <w:rPr>
          <w:lang w:val="en-GB"/>
        </w:rPr>
        <w:t>r qytetar</w:t>
      </w:r>
      <w:r w:rsidR="00D7294C">
        <w:rPr>
          <w:lang w:val="en-GB"/>
        </w:rPr>
        <w:t>ë</w:t>
      </w:r>
      <w:r w:rsidR="00850ABB">
        <w:rPr>
          <w:lang w:val="en-GB"/>
        </w:rPr>
        <w:t>t.</w:t>
      </w:r>
    </w:p>
    <w:p w14:paraId="0B4D400A" w14:textId="40EDD2D1" w:rsidR="0007140E" w:rsidRPr="001F151E" w:rsidRDefault="001D40C2" w:rsidP="00EA6F1D">
      <w:pPr>
        <w:pStyle w:val="N-Bullet"/>
        <w:spacing w:line="276" w:lineRule="auto"/>
        <w:jc w:val="both"/>
        <w:rPr>
          <w:lang w:val="en-GB"/>
        </w:rPr>
      </w:pPr>
      <w:r>
        <w:rPr>
          <w:lang w:val="en-GB"/>
        </w:rPr>
        <w:t>Rritja e fush</w:t>
      </w:r>
      <w:r w:rsidR="00D7294C">
        <w:rPr>
          <w:lang w:val="en-GB"/>
        </w:rPr>
        <w:t>ë</w:t>
      </w:r>
      <w:r>
        <w:rPr>
          <w:lang w:val="en-GB"/>
        </w:rPr>
        <w:t>s s</w:t>
      </w:r>
      <w:r w:rsidR="00D7294C">
        <w:rPr>
          <w:lang w:val="en-GB"/>
        </w:rPr>
        <w:t>ë</w:t>
      </w:r>
      <w:r>
        <w:rPr>
          <w:lang w:val="en-GB"/>
        </w:rPr>
        <w:t xml:space="preserve"> raportimit p</w:t>
      </w:r>
      <w:r w:rsidR="00D7294C">
        <w:rPr>
          <w:lang w:val="en-GB"/>
        </w:rPr>
        <w:t>ë</w:t>
      </w:r>
      <w:r>
        <w:rPr>
          <w:lang w:val="en-GB"/>
        </w:rPr>
        <w:t>r zbatimin e t</w:t>
      </w:r>
      <w:r w:rsidR="00D7294C">
        <w:rPr>
          <w:lang w:val="en-GB"/>
        </w:rPr>
        <w:t>ë</w:t>
      </w:r>
      <w:r>
        <w:rPr>
          <w:lang w:val="en-GB"/>
        </w:rPr>
        <w:t xml:space="preserve"> gjitha projekteve t</w:t>
      </w:r>
      <w:r w:rsidR="00D7294C">
        <w:rPr>
          <w:lang w:val="en-GB"/>
        </w:rPr>
        <w:t>ë</w:t>
      </w:r>
      <w:r>
        <w:rPr>
          <w:lang w:val="en-GB"/>
        </w:rPr>
        <w:t xml:space="preserve"> investimeve publike. </w:t>
      </w:r>
    </w:p>
    <w:p w14:paraId="2D9E8252" w14:textId="20188156" w:rsidR="0007140E" w:rsidRPr="009D660E" w:rsidRDefault="001D40C2" w:rsidP="00EA6F1D">
      <w:pPr>
        <w:pStyle w:val="N-Bullet"/>
        <w:spacing w:line="276" w:lineRule="auto"/>
        <w:jc w:val="both"/>
        <w:rPr>
          <w:lang w:val="it-IT"/>
        </w:rPr>
      </w:pPr>
      <w:r w:rsidRPr="009D660E">
        <w:rPr>
          <w:lang w:val="it-IT"/>
        </w:rPr>
        <w:t>P</w:t>
      </w:r>
      <w:r w:rsidR="00D7294C" w:rsidRPr="009D660E">
        <w:rPr>
          <w:lang w:val="it-IT"/>
        </w:rPr>
        <w:t>ë</w:t>
      </w:r>
      <w:r w:rsidRPr="009D660E">
        <w:rPr>
          <w:lang w:val="it-IT"/>
        </w:rPr>
        <w:t>rmir</w:t>
      </w:r>
      <w:r w:rsidR="00D7294C" w:rsidRPr="009D660E">
        <w:rPr>
          <w:lang w:val="it-IT"/>
        </w:rPr>
        <w:t>ë</w:t>
      </w:r>
      <w:r w:rsidRPr="009D660E">
        <w:rPr>
          <w:lang w:val="it-IT"/>
        </w:rPr>
        <w:t>simi i raportimit p</w:t>
      </w:r>
      <w:r w:rsidR="00D7294C" w:rsidRPr="009D660E">
        <w:rPr>
          <w:lang w:val="it-IT"/>
        </w:rPr>
        <w:t>ë</w:t>
      </w:r>
      <w:r w:rsidRPr="009D660E">
        <w:rPr>
          <w:lang w:val="it-IT"/>
        </w:rPr>
        <w:t>r t</w:t>
      </w:r>
      <w:r w:rsidR="00D7294C" w:rsidRPr="009D660E">
        <w:rPr>
          <w:lang w:val="it-IT"/>
        </w:rPr>
        <w:t>ë</w:t>
      </w:r>
      <w:r w:rsidRPr="009D660E">
        <w:rPr>
          <w:lang w:val="it-IT"/>
        </w:rPr>
        <w:t xml:space="preserve"> gjitha PPP-t</w:t>
      </w:r>
      <w:r w:rsidR="00D7294C" w:rsidRPr="009D660E">
        <w:rPr>
          <w:lang w:val="it-IT"/>
        </w:rPr>
        <w:t>ë</w:t>
      </w:r>
      <w:r w:rsidRPr="009D660E">
        <w:rPr>
          <w:lang w:val="it-IT"/>
        </w:rPr>
        <w:t xml:space="preserve"> dhe kontratat koncesionare.</w:t>
      </w:r>
    </w:p>
    <w:p w14:paraId="46705233" w14:textId="6555947C" w:rsidR="004D182B" w:rsidRPr="009D660E" w:rsidRDefault="004D182B" w:rsidP="00EA6F1D">
      <w:pPr>
        <w:spacing w:after="160" w:line="276" w:lineRule="auto"/>
        <w:jc w:val="both"/>
        <w:rPr>
          <w:rStyle w:val="IntenseReference"/>
          <w:b/>
          <w:bCs/>
          <w:i w:val="0"/>
          <w:lang w:val="it-IT"/>
        </w:rPr>
      </w:pPr>
    </w:p>
    <w:p w14:paraId="01F291AB" w14:textId="299C46D4" w:rsidR="0007140E" w:rsidRPr="001F151E" w:rsidRDefault="00A74514" w:rsidP="0007140E">
      <w:pPr>
        <w:pStyle w:val="H5"/>
        <w:rPr>
          <w:rStyle w:val="IntenseReference"/>
          <w:i w:val="0"/>
          <w:lang w:val="en-GB"/>
        </w:rPr>
      </w:pPr>
      <w:r>
        <w:rPr>
          <w:rStyle w:val="IntenseReference"/>
          <w:i w:val="0"/>
          <w:lang w:val="en-G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22"/>
        <w:gridCol w:w="3717"/>
        <w:gridCol w:w="751"/>
        <w:gridCol w:w="742"/>
        <w:gridCol w:w="1684"/>
      </w:tblGrid>
      <w:tr w:rsidR="0007140E" w:rsidRPr="001F151E" w14:paraId="7EBB303D" w14:textId="77777777" w:rsidTr="002B7FF8">
        <w:trPr>
          <w:trHeight w:val="182"/>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CAF44F" w14:textId="0914060E" w:rsidR="0007140E" w:rsidRPr="001F151E" w:rsidRDefault="0007140E" w:rsidP="00A74514">
            <w:pPr>
              <w:pStyle w:val="T-bold"/>
            </w:pPr>
            <w:r w:rsidRPr="001F151E">
              <w:t>M</w:t>
            </w:r>
            <w:r w:rsidR="00A74514">
              <w:t>asa</w:t>
            </w:r>
          </w:p>
        </w:tc>
        <w:tc>
          <w:tcPr>
            <w:tcW w:w="3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0B5477" w14:textId="62125594" w:rsidR="0007140E" w:rsidRPr="001F151E" w:rsidRDefault="0007140E" w:rsidP="00A74514">
            <w:pPr>
              <w:pStyle w:val="T-bold"/>
            </w:pPr>
            <w:r w:rsidRPr="001F151E">
              <w:t>A</w:t>
            </w:r>
            <w:r w:rsidR="00A74514">
              <w:t>ktiviteti</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B43AF0" w14:textId="1D2134BF" w:rsidR="0007140E" w:rsidRPr="001F151E" w:rsidRDefault="00A74514" w:rsidP="002B7FF8">
            <w:pPr>
              <w:pStyle w:val="T-bold"/>
              <w:jc w:val="center"/>
            </w:pPr>
            <w:r>
              <w:t>Fillimi</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45DDA2" w14:textId="4BDF6B5A" w:rsidR="0007140E" w:rsidRPr="001F151E" w:rsidRDefault="00A74514" w:rsidP="002B7FF8">
            <w:pPr>
              <w:pStyle w:val="T-bold"/>
              <w:jc w:val="center"/>
            </w:pPr>
            <w:r>
              <w:t>Mbarimi</w:t>
            </w:r>
          </w:p>
        </w:tc>
        <w:tc>
          <w:tcPr>
            <w:tcW w:w="1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45E87" w14:textId="08406577" w:rsidR="0007140E" w:rsidRPr="001F151E" w:rsidRDefault="00A74514" w:rsidP="002B7FF8">
            <w:pPr>
              <w:pStyle w:val="T-bold"/>
            </w:pPr>
            <w:r>
              <w:t>Grupet e interesit</w:t>
            </w:r>
          </w:p>
        </w:tc>
      </w:tr>
      <w:tr w:rsidR="0007140E" w:rsidRPr="001F151E" w14:paraId="14D546C3" w14:textId="77777777" w:rsidTr="002B7FF8">
        <w:trPr>
          <w:trHeight w:val="20"/>
        </w:trPr>
        <w:tc>
          <w:tcPr>
            <w:tcW w:w="2122" w:type="dxa"/>
            <w:vMerge w:val="restart"/>
            <w:tcBorders>
              <w:top w:val="single" w:sz="4" w:space="0" w:color="auto"/>
              <w:left w:val="single" w:sz="4" w:space="0" w:color="auto"/>
              <w:bottom w:val="single" w:sz="4" w:space="0" w:color="auto"/>
              <w:right w:val="single" w:sz="4" w:space="0" w:color="auto"/>
            </w:tcBorders>
            <w:hideMark/>
          </w:tcPr>
          <w:p w14:paraId="6E369423" w14:textId="0B3E7C15" w:rsidR="0007140E" w:rsidRPr="001F151E" w:rsidRDefault="0007140E" w:rsidP="002E0F45">
            <w:pPr>
              <w:pStyle w:val="EcorysBody"/>
              <w:rPr>
                <w:rFonts w:ascii="Arial" w:hAnsi="Arial" w:cs="Arial"/>
                <w:b/>
                <w:bCs/>
                <w:sz w:val="16"/>
                <w:szCs w:val="16"/>
              </w:rPr>
            </w:pPr>
            <w:r w:rsidRPr="001F151E">
              <w:rPr>
                <w:rFonts w:ascii="Arial" w:hAnsi="Arial" w:cs="Arial"/>
                <w:b/>
                <w:bCs/>
                <w:sz w:val="16"/>
                <w:szCs w:val="16"/>
              </w:rPr>
              <w:t>M</w:t>
            </w:r>
            <w:r w:rsidR="00A74514">
              <w:rPr>
                <w:rFonts w:ascii="Arial" w:hAnsi="Arial" w:cs="Arial"/>
                <w:b/>
                <w:bCs/>
                <w:sz w:val="16"/>
                <w:szCs w:val="16"/>
              </w:rPr>
              <w:t>asa</w:t>
            </w:r>
            <w:r w:rsidRPr="001F151E">
              <w:rPr>
                <w:rFonts w:ascii="Arial" w:hAnsi="Arial" w:cs="Arial"/>
                <w:b/>
                <w:bCs/>
                <w:sz w:val="16"/>
                <w:szCs w:val="16"/>
              </w:rPr>
              <w:t xml:space="preserve"> 2.5.1 </w:t>
            </w:r>
            <w:r w:rsidR="00C55CFD">
              <w:rPr>
                <w:rFonts w:ascii="Arial" w:hAnsi="Arial" w:cs="Arial"/>
                <w:b/>
                <w:bCs/>
                <w:sz w:val="16"/>
                <w:szCs w:val="16"/>
              </w:rPr>
              <w:t>P</w:t>
            </w:r>
            <w:r w:rsidR="00D7294C">
              <w:rPr>
                <w:rFonts w:ascii="Arial" w:hAnsi="Arial" w:cs="Arial"/>
                <w:b/>
                <w:bCs/>
                <w:sz w:val="16"/>
                <w:szCs w:val="16"/>
              </w:rPr>
              <w:t>ë</w:t>
            </w:r>
            <w:r w:rsidR="00C55CFD">
              <w:rPr>
                <w:rFonts w:ascii="Arial" w:hAnsi="Arial" w:cs="Arial"/>
                <w:b/>
                <w:bCs/>
                <w:sz w:val="16"/>
                <w:szCs w:val="16"/>
              </w:rPr>
              <w:t>rmir</w:t>
            </w:r>
            <w:r w:rsidR="00D7294C">
              <w:rPr>
                <w:rFonts w:ascii="Arial" w:hAnsi="Arial" w:cs="Arial"/>
                <w:b/>
                <w:bCs/>
                <w:sz w:val="16"/>
                <w:szCs w:val="16"/>
              </w:rPr>
              <w:t>ë</w:t>
            </w:r>
            <w:r w:rsidR="00C55CFD">
              <w:rPr>
                <w:rFonts w:ascii="Arial" w:hAnsi="Arial" w:cs="Arial"/>
                <w:b/>
                <w:bCs/>
                <w:sz w:val="16"/>
                <w:szCs w:val="16"/>
              </w:rPr>
              <w:t xml:space="preserve">simi </w:t>
            </w:r>
            <w:r w:rsidR="00C55CFD" w:rsidRPr="00C55CFD">
              <w:rPr>
                <w:rFonts w:ascii="Arial" w:hAnsi="Arial" w:cs="Arial"/>
                <w:b/>
                <w:bCs/>
                <w:sz w:val="16"/>
                <w:szCs w:val="16"/>
              </w:rPr>
              <w:t>i raportimit dhe monitorimit t</w:t>
            </w:r>
            <w:r w:rsidR="00D7294C">
              <w:rPr>
                <w:rFonts w:ascii="Arial" w:hAnsi="Arial" w:cs="Arial"/>
                <w:b/>
                <w:bCs/>
                <w:sz w:val="16"/>
                <w:szCs w:val="16"/>
              </w:rPr>
              <w:t>ë</w:t>
            </w:r>
            <w:r w:rsidR="00C55CFD" w:rsidRPr="00C55CFD">
              <w:rPr>
                <w:rFonts w:ascii="Arial" w:hAnsi="Arial" w:cs="Arial"/>
                <w:b/>
                <w:bCs/>
                <w:sz w:val="16"/>
                <w:szCs w:val="16"/>
              </w:rPr>
              <w:t xml:space="preserve"> </w:t>
            </w:r>
            <w:r w:rsidR="002E0F45">
              <w:rPr>
                <w:rFonts w:ascii="Arial" w:hAnsi="Arial" w:cs="Arial"/>
                <w:b/>
                <w:bCs/>
                <w:sz w:val="16"/>
                <w:szCs w:val="16"/>
              </w:rPr>
              <w:t>zbatimit</w:t>
            </w:r>
            <w:r w:rsidR="00C55CFD" w:rsidRPr="00C55CFD">
              <w:rPr>
                <w:rFonts w:ascii="Arial" w:hAnsi="Arial" w:cs="Arial"/>
                <w:b/>
                <w:bCs/>
                <w:sz w:val="16"/>
                <w:szCs w:val="16"/>
              </w:rPr>
              <w:t xml:space="preserve"> t</w:t>
            </w:r>
            <w:r w:rsidR="00D7294C">
              <w:rPr>
                <w:rFonts w:ascii="Arial" w:hAnsi="Arial" w:cs="Arial"/>
                <w:b/>
                <w:bCs/>
                <w:sz w:val="16"/>
                <w:szCs w:val="16"/>
              </w:rPr>
              <w:t>ë</w:t>
            </w:r>
            <w:r w:rsidR="00C55CFD" w:rsidRPr="00C55CFD">
              <w:rPr>
                <w:rFonts w:ascii="Arial" w:hAnsi="Arial" w:cs="Arial"/>
                <w:b/>
                <w:bCs/>
                <w:sz w:val="16"/>
                <w:szCs w:val="16"/>
              </w:rPr>
              <w:t xml:space="preserve"> buxhetit dhe prezantimi i raportit t</w:t>
            </w:r>
            <w:r w:rsidR="00D7294C">
              <w:rPr>
                <w:rFonts w:ascii="Arial" w:hAnsi="Arial" w:cs="Arial"/>
                <w:b/>
                <w:bCs/>
                <w:sz w:val="16"/>
                <w:szCs w:val="16"/>
              </w:rPr>
              <w:t>ë</w:t>
            </w:r>
            <w:r w:rsidR="00C55CFD" w:rsidRPr="00C55CFD">
              <w:rPr>
                <w:rFonts w:ascii="Arial" w:hAnsi="Arial" w:cs="Arial"/>
                <w:b/>
                <w:bCs/>
                <w:sz w:val="16"/>
                <w:szCs w:val="16"/>
              </w:rPr>
              <w:t xml:space="preserve"> </w:t>
            </w:r>
            <w:r w:rsidR="002E0F45">
              <w:rPr>
                <w:rFonts w:ascii="Arial" w:hAnsi="Arial" w:cs="Arial"/>
                <w:b/>
                <w:bCs/>
                <w:sz w:val="16"/>
                <w:szCs w:val="16"/>
              </w:rPr>
              <w:t>Zba</w:t>
            </w:r>
            <w:r w:rsidR="00C55CFD" w:rsidRPr="00C55CFD">
              <w:rPr>
                <w:rFonts w:ascii="Arial" w:hAnsi="Arial" w:cs="Arial"/>
                <w:b/>
                <w:bCs/>
                <w:sz w:val="16"/>
                <w:szCs w:val="16"/>
              </w:rPr>
              <w:t>t</w:t>
            </w:r>
            <w:r w:rsidR="002E0F45">
              <w:rPr>
                <w:rFonts w:ascii="Arial" w:hAnsi="Arial" w:cs="Arial"/>
                <w:b/>
                <w:bCs/>
                <w:sz w:val="16"/>
                <w:szCs w:val="16"/>
              </w:rPr>
              <w:t>imit</w:t>
            </w:r>
            <w:r w:rsidR="00C55CFD" w:rsidRPr="00C55CFD">
              <w:rPr>
                <w:rFonts w:ascii="Arial" w:hAnsi="Arial" w:cs="Arial"/>
                <w:b/>
                <w:bCs/>
                <w:sz w:val="16"/>
                <w:szCs w:val="16"/>
              </w:rPr>
              <w:t xml:space="preserve"> t</w:t>
            </w:r>
            <w:r w:rsidR="00D7294C">
              <w:rPr>
                <w:rFonts w:ascii="Arial" w:hAnsi="Arial" w:cs="Arial"/>
                <w:b/>
                <w:bCs/>
                <w:sz w:val="16"/>
                <w:szCs w:val="16"/>
              </w:rPr>
              <w:t>ë</w:t>
            </w:r>
            <w:r w:rsidR="00C55CFD" w:rsidRPr="00C55CFD">
              <w:rPr>
                <w:rFonts w:ascii="Arial" w:hAnsi="Arial" w:cs="Arial"/>
                <w:b/>
                <w:bCs/>
                <w:sz w:val="16"/>
                <w:szCs w:val="16"/>
              </w:rPr>
              <w:t xml:space="preserve"> Buxhetit p</w:t>
            </w:r>
            <w:r w:rsidR="00D7294C">
              <w:rPr>
                <w:rFonts w:ascii="Arial" w:hAnsi="Arial" w:cs="Arial"/>
                <w:b/>
                <w:bCs/>
                <w:sz w:val="16"/>
                <w:szCs w:val="16"/>
              </w:rPr>
              <w:t>ë</w:t>
            </w:r>
            <w:r w:rsidR="00C55CFD" w:rsidRPr="00C55CFD">
              <w:rPr>
                <w:rFonts w:ascii="Arial" w:hAnsi="Arial" w:cs="Arial"/>
                <w:b/>
                <w:bCs/>
                <w:sz w:val="16"/>
                <w:szCs w:val="16"/>
              </w:rPr>
              <w:t>r Qytetar</w:t>
            </w:r>
            <w:r w:rsidR="00D7294C">
              <w:rPr>
                <w:rFonts w:ascii="Arial" w:hAnsi="Arial" w:cs="Arial"/>
                <w:b/>
                <w:bCs/>
                <w:sz w:val="16"/>
                <w:szCs w:val="16"/>
              </w:rPr>
              <w:t>ë</w:t>
            </w:r>
            <w:r w:rsidR="00C55CFD" w:rsidRPr="00C55CFD">
              <w:rPr>
                <w:rFonts w:ascii="Arial" w:hAnsi="Arial" w:cs="Arial"/>
                <w:b/>
                <w:bCs/>
                <w:sz w:val="16"/>
                <w:szCs w:val="16"/>
              </w:rPr>
              <w:t>t;</w:t>
            </w:r>
          </w:p>
        </w:tc>
        <w:tc>
          <w:tcPr>
            <w:tcW w:w="3717" w:type="dxa"/>
            <w:tcBorders>
              <w:top w:val="single" w:sz="4" w:space="0" w:color="auto"/>
              <w:left w:val="single" w:sz="4" w:space="0" w:color="auto"/>
              <w:bottom w:val="single" w:sz="4" w:space="0" w:color="auto"/>
              <w:right w:val="single" w:sz="4" w:space="0" w:color="auto"/>
            </w:tcBorders>
            <w:vAlign w:val="center"/>
            <w:hideMark/>
          </w:tcPr>
          <w:p w14:paraId="3EDDE5D8" w14:textId="47DFDBFB" w:rsidR="0007140E" w:rsidRPr="001F151E" w:rsidRDefault="00477C1A" w:rsidP="00CD7428">
            <w:pPr>
              <w:pStyle w:val="T-number"/>
              <w:numPr>
                <w:ilvl w:val="0"/>
                <w:numId w:val="79"/>
              </w:numPr>
            </w:pPr>
            <w:r>
              <w:t xml:space="preserve">Rishikimi i përmbajtjes / formatit të tabelave të raporteve vjetore të zbatimit të buxhetit, me evidentimin e vlerave plan/fakt në çdo tabelë. </w:t>
            </w:r>
          </w:p>
        </w:tc>
        <w:tc>
          <w:tcPr>
            <w:tcW w:w="751" w:type="dxa"/>
            <w:tcBorders>
              <w:top w:val="single" w:sz="4" w:space="0" w:color="auto"/>
              <w:left w:val="single" w:sz="4" w:space="0" w:color="auto"/>
              <w:bottom w:val="single" w:sz="4" w:space="0" w:color="auto"/>
              <w:right w:val="single" w:sz="4" w:space="0" w:color="auto"/>
            </w:tcBorders>
            <w:vAlign w:val="center"/>
          </w:tcPr>
          <w:p w14:paraId="61C7754B" w14:textId="2F27E1EB" w:rsidR="0007140E" w:rsidRPr="001F151E" w:rsidRDefault="004F1726" w:rsidP="002B7FF8">
            <w:pPr>
              <w:jc w:val="center"/>
              <w:rPr>
                <w:sz w:val="16"/>
                <w:szCs w:val="16"/>
              </w:rPr>
            </w:pPr>
            <w:r>
              <w:rPr>
                <w:sz w:val="16"/>
                <w:szCs w:val="16"/>
              </w:rPr>
              <w:t>T</w:t>
            </w:r>
            <w:r w:rsidR="00C71B37" w:rsidRPr="001F151E">
              <w:rPr>
                <w:sz w:val="16"/>
                <w:szCs w:val="16"/>
              </w:rPr>
              <w:t>1 2024</w:t>
            </w:r>
          </w:p>
        </w:tc>
        <w:tc>
          <w:tcPr>
            <w:tcW w:w="742" w:type="dxa"/>
            <w:tcBorders>
              <w:top w:val="single" w:sz="4" w:space="0" w:color="auto"/>
              <w:left w:val="single" w:sz="4" w:space="0" w:color="auto"/>
              <w:bottom w:val="single" w:sz="4" w:space="0" w:color="auto"/>
              <w:right w:val="single" w:sz="4" w:space="0" w:color="auto"/>
            </w:tcBorders>
            <w:vAlign w:val="center"/>
          </w:tcPr>
          <w:p w14:paraId="3BEBB8AE" w14:textId="701CB1B9" w:rsidR="0007140E" w:rsidRPr="001F151E" w:rsidRDefault="004F1726" w:rsidP="002B7FF8">
            <w:pPr>
              <w:jc w:val="center"/>
              <w:rPr>
                <w:sz w:val="16"/>
                <w:szCs w:val="16"/>
              </w:rPr>
            </w:pPr>
            <w:r>
              <w:rPr>
                <w:sz w:val="16"/>
                <w:szCs w:val="16"/>
              </w:rPr>
              <w:t>T</w:t>
            </w:r>
            <w:r w:rsidR="00C71B37" w:rsidRPr="001F151E">
              <w:rPr>
                <w:sz w:val="16"/>
                <w:szCs w:val="16"/>
              </w:rPr>
              <w:t>4 2024</w:t>
            </w:r>
          </w:p>
        </w:tc>
        <w:tc>
          <w:tcPr>
            <w:tcW w:w="1684" w:type="dxa"/>
            <w:vMerge w:val="restart"/>
            <w:tcBorders>
              <w:top w:val="single" w:sz="4" w:space="0" w:color="auto"/>
              <w:left w:val="single" w:sz="4" w:space="0" w:color="auto"/>
              <w:bottom w:val="single" w:sz="4" w:space="0" w:color="auto"/>
              <w:right w:val="single" w:sz="4" w:space="0" w:color="auto"/>
            </w:tcBorders>
          </w:tcPr>
          <w:p w14:paraId="5D18BD68" w14:textId="436E09B8" w:rsidR="0007140E" w:rsidRPr="001F151E" w:rsidRDefault="00A74514" w:rsidP="002B7FF8">
            <w:pPr>
              <w:rPr>
                <w:b/>
                <w:bCs/>
                <w:sz w:val="16"/>
                <w:szCs w:val="16"/>
              </w:rPr>
            </w:pPr>
            <w:r>
              <w:rPr>
                <w:b/>
                <w:bCs/>
                <w:sz w:val="16"/>
                <w:szCs w:val="16"/>
              </w:rPr>
              <w:t>Nj</w:t>
            </w:r>
            <w:r w:rsidR="00D7294C">
              <w:rPr>
                <w:b/>
                <w:bCs/>
                <w:sz w:val="16"/>
                <w:szCs w:val="16"/>
              </w:rPr>
              <w:t>ë</w:t>
            </w:r>
            <w:r>
              <w:rPr>
                <w:b/>
                <w:bCs/>
                <w:sz w:val="16"/>
                <w:szCs w:val="16"/>
              </w:rPr>
              <w:t>sit</w:t>
            </w:r>
            <w:r w:rsidR="00D7294C">
              <w:rPr>
                <w:b/>
                <w:bCs/>
                <w:sz w:val="16"/>
                <w:szCs w:val="16"/>
              </w:rPr>
              <w:t>ë</w:t>
            </w:r>
            <w:r>
              <w:rPr>
                <w:b/>
                <w:bCs/>
                <w:sz w:val="16"/>
                <w:szCs w:val="16"/>
              </w:rPr>
              <w:t xml:space="preserve"> p</w:t>
            </w:r>
            <w:r w:rsidR="00D7294C">
              <w:rPr>
                <w:b/>
                <w:bCs/>
                <w:sz w:val="16"/>
                <w:szCs w:val="16"/>
              </w:rPr>
              <w:t>ë</w:t>
            </w:r>
            <w:r>
              <w:rPr>
                <w:b/>
                <w:bCs/>
                <w:sz w:val="16"/>
                <w:szCs w:val="16"/>
              </w:rPr>
              <w:t>rgjegj</w:t>
            </w:r>
            <w:r w:rsidR="00D7294C">
              <w:rPr>
                <w:b/>
                <w:bCs/>
                <w:sz w:val="16"/>
                <w:szCs w:val="16"/>
              </w:rPr>
              <w:t>ë</w:t>
            </w:r>
            <w:r>
              <w:rPr>
                <w:b/>
                <w:bCs/>
                <w:sz w:val="16"/>
                <w:szCs w:val="16"/>
              </w:rPr>
              <w:t>se</w:t>
            </w:r>
            <w:r w:rsidR="0007140E" w:rsidRPr="001F151E">
              <w:rPr>
                <w:b/>
                <w:bCs/>
                <w:sz w:val="16"/>
                <w:szCs w:val="16"/>
              </w:rPr>
              <w:t xml:space="preserve">: </w:t>
            </w:r>
          </w:p>
          <w:p w14:paraId="4366A346" w14:textId="2735CD82" w:rsidR="004D182B" w:rsidRPr="004D182B" w:rsidRDefault="00A74514" w:rsidP="004D182B">
            <w:pPr>
              <w:pStyle w:val="EcorysBody"/>
              <w:rPr>
                <w:rFonts w:ascii="Arial" w:hAnsi="Arial" w:cs="Arial"/>
                <w:sz w:val="16"/>
                <w:szCs w:val="16"/>
              </w:rPr>
            </w:pPr>
            <w:r>
              <w:rPr>
                <w:rFonts w:ascii="Arial" w:hAnsi="Arial" w:cs="Arial"/>
                <w:sz w:val="16"/>
                <w:szCs w:val="16"/>
              </w:rPr>
              <w:t>D</w:t>
            </w:r>
            <w:r w:rsidR="004D182B" w:rsidRPr="004D182B">
              <w:rPr>
                <w:rFonts w:ascii="Arial" w:hAnsi="Arial" w:cs="Arial"/>
                <w:sz w:val="16"/>
                <w:szCs w:val="16"/>
              </w:rPr>
              <w:t>M</w:t>
            </w:r>
            <w:r>
              <w:rPr>
                <w:rFonts w:ascii="Arial" w:hAnsi="Arial" w:cs="Arial"/>
                <w:sz w:val="16"/>
                <w:szCs w:val="16"/>
              </w:rPr>
              <w:t>B (Li</w:t>
            </w:r>
            <w:r w:rsidR="004D182B" w:rsidRPr="004D182B">
              <w:rPr>
                <w:rFonts w:ascii="Arial" w:hAnsi="Arial" w:cs="Arial"/>
                <w:sz w:val="16"/>
                <w:szCs w:val="16"/>
              </w:rPr>
              <w:t>d</w:t>
            </w:r>
            <w:r>
              <w:rPr>
                <w:rFonts w:ascii="Arial" w:hAnsi="Arial" w:cs="Arial"/>
                <w:sz w:val="16"/>
                <w:szCs w:val="16"/>
              </w:rPr>
              <w:t>er), DPB</w:t>
            </w:r>
            <w:r w:rsidR="004D182B" w:rsidRPr="004D182B">
              <w:rPr>
                <w:rFonts w:ascii="Arial" w:hAnsi="Arial" w:cs="Arial"/>
                <w:sz w:val="16"/>
                <w:szCs w:val="16"/>
              </w:rPr>
              <w:t xml:space="preserve">, </w:t>
            </w:r>
            <w:r>
              <w:rPr>
                <w:rFonts w:ascii="Arial" w:hAnsi="Arial" w:cs="Arial"/>
                <w:sz w:val="16"/>
                <w:szCs w:val="16"/>
              </w:rPr>
              <w:t>DPTH</w:t>
            </w:r>
          </w:p>
          <w:p w14:paraId="0D66AC3D" w14:textId="77777777" w:rsidR="0007140E" w:rsidRPr="001F151E" w:rsidRDefault="0007140E" w:rsidP="002B7FF8">
            <w:pPr>
              <w:pStyle w:val="EcorysBody"/>
              <w:rPr>
                <w:rFonts w:ascii="Arial" w:hAnsi="Arial" w:cs="Arial"/>
                <w:b/>
                <w:bCs/>
                <w:sz w:val="16"/>
                <w:szCs w:val="16"/>
              </w:rPr>
            </w:pPr>
          </w:p>
          <w:p w14:paraId="36EA482C" w14:textId="602CFE1F" w:rsidR="0007140E" w:rsidRPr="001F151E" w:rsidRDefault="0007140E" w:rsidP="002B7FF8">
            <w:pPr>
              <w:pStyle w:val="EcorysBody"/>
              <w:rPr>
                <w:rFonts w:ascii="Arial" w:hAnsi="Arial" w:cs="Arial"/>
                <w:b/>
                <w:bCs/>
                <w:sz w:val="16"/>
                <w:szCs w:val="16"/>
              </w:rPr>
            </w:pPr>
            <w:r w:rsidRPr="001F151E">
              <w:rPr>
                <w:rFonts w:ascii="Arial" w:hAnsi="Arial" w:cs="Arial"/>
                <w:b/>
                <w:bCs/>
                <w:sz w:val="16"/>
                <w:szCs w:val="16"/>
              </w:rPr>
              <w:t>Partner</w:t>
            </w:r>
            <w:r w:rsidR="00D7294C">
              <w:rPr>
                <w:rFonts w:ascii="Arial" w:hAnsi="Arial" w:cs="Arial"/>
                <w:b/>
                <w:bCs/>
                <w:sz w:val="16"/>
                <w:szCs w:val="16"/>
              </w:rPr>
              <w:t>ë</w:t>
            </w:r>
            <w:r w:rsidR="00A74514">
              <w:rPr>
                <w:rFonts w:ascii="Arial" w:hAnsi="Arial" w:cs="Arial"/>
                <w:b/>
                <w:bCs/>
                <w:sz w:val="16"/>
                <w:szCs w:val="16"/>
              </w:rPr>
              <w:t>t</w:t>
            </w:r>
            <w:r w:rsidRPr="001F151E">
              <w:rPr>
                <w:rFonts w:ascii="Arial" w:hAnsi="Arial" w:cs="Arial"/>
                <w:b/>
                <w:bCs/>
                <w:sz w:val="16"/>
                <w:szCs w:val="16"/>
              </w:rPr>
              <w:t>:</w:t>
            </w:r>
          </w:p>
          <w:p w14:paraId="21174596" w14:textId="0A879E72" w:rsidR="0007140E" w:rsidRPr="001F151E" w:rsidRDefault="00255E1B" w:rsidP="004D182B">
            <w:pPr>
              <w:pStyle w:val="EcorysBody"/>
              <w:rPr>
                <w:sz w:val="16"/>
                <w:szCs w:val="16"/>
              </w:rPr>
            </w:pPr>
            <w:r>
              <w:rPr>
                <w:rFonts w:ascii="Arial" w:hAnsi="Arial" w:cs="Arial"/>
                <w:sz w:val="16"/>
                <w:szCs w:val="16"/>
              </w:rPr>
              <w:t>BE</w:t>
            </w:r>
            <w:r>
              <w:rPr>
                <w:rStyle w:val="FootnoteReference"/>
                <w:rFonts w:cs="Arial"/>
              </w:rPr>
              <w:footnoteReference w:id="38"/>
            </w:r>
          </w:p>
        </w:tc>
      </w:tr>
      <w:tr w:rsidR="00FB5BD5" w:rsidRPr="001F151E" w14:paraId="4F15BE87" w14:textId="77777777" w:rsidTr="008D411E">
        <w:trPr>
          <w:trHeight w:val="20"/>
        </w:trPr>
        <w:tc>
          <w:tcPr>
            <w:tcW w:w="2122" w:type="dxa"/>
            <w:vMerge/>
            <w:tcBorders>
              <w:left w:val="single" w:sz="4" w:space="0" w:color="auto"/>
              <w:bottom w:val="single" w:sz="4" w:space="0" w:color="auto"/>
              <w:right w:val="single" w:sz="4" w:space="0" w:color="auto"/>
            </w:tcBorders>
            <w:vAlign w:val="center"/>
            <w:hideMark/>
          </w:tcPr>
          <w:p w14:paraId="55087451" w14:textId="77777777" w:rsidR="00FB5BD5" w:rsidRPr="001F151E" w:rsidRDefault="00FB5BD5" w:rsidP="00FB5BD5">
            <w:pPr>
              <w:spacing w:line="240" w:lineRule="auto"/>
              <w:rPr>
                <w:b/>
                <w:bCs/>
                <w:sz w:val="16"/>
                <w:szCs w:val="16"/>
              </w:rPr>
            </w:pPr>
          </w:p>
        </w:tc>
        <w:tc>
          <w:tcPr>
            <w:tcW w:w="3717" w:type="dxa"/>
            <w:tcBorders>
              <w:top w:val="single" w:sz="4" w:space="0" w:color="auto"/>
              <w:left w:val="single" w:sz="4" w:space="0" w:color="auto"/>
              <w:right w:val="single" w:sz="4" w:space="0" w:color="auto"/>
            </w:tcBorders>
            <w:shd w:val="clear" w:color="auto" w:fill="FFFFFF" w:themeFill="background1"/>
            <w:vAlign w:val="center"/>
            <w:hideMark/>
          </w:tcPr>
          <w:p w14:paraId="40631A39" w14:textId="219FCAA8" w:rsidR="00FB5BD5" w:rsidRPr="001F151E" w:rsidRDefault="00E522A2" w:rsidP="00E522A2">
            <w:pPr>
              <w:pStyle w:val="T-number"/>
            </w:pPr>
            <w:r>
              <w:t>Publikimi i Raportit periodik t</w:t>
            </w:r>
            <w:r w:rsidR="00D7294C">
              <w:t>ë</w:t>
            </w:r>
            <w:r>
              <w:t xml:space="preserve"> Zba</w:t>
            </w:r>
            <w:r w:rsidR="004F1726">
              <w:t>timit t</w:t>
            </w:r>
            <w:r w:rsidR="00D7294C">
              <w:t>ë</w:t>
            </w:r>
            <w:r w:rsidR="004F1726">
              <w:t xml:space="preserve"> Buxhetit p</w:t>
            </w:r>
            <w:r w:rsidR="00D7294C">
              <w:t>ë</w:t>
            </w:r>
            <w:r w:rsidR="004F1726">
              <w:t>r Qytetar</w:t>
            </w:r>
            <w:r w:rsidR="00D7294C">
              <w:t>ë</w:t>
            </w:r>
            <w:r w:rsidR="004F1726">
              <w:t xml:space="preserve">t. </w:t>
            </w:r>
          </w:p>
        </w:tc>
        <w:tc>
          <w:tcPr>
            <w:tcW w:w="751" w:type="dxa"/>
            <w:tcBorders>
              <w:top w:val="single" w:sz="4" w:space="0" w:color="auto"/>
              <w:left w:val="single" w:sz="4" w:space="0" w:color="auto"/>
              <w:right w:val="single" w:sz="4" w:space="0" w:color="auto"/>
            </w:tcBorders>
            <w:shd w:val="clear" w:color="auto" w:fill="FFFFFF" w:themeFill="background1"/>
            <w:vAlign w:val="center"/>
          </w:tcPr>
          <w:p w14:paraId="34F1CB88" w14:textId="47E543A7" w:rsidR="00FB5BD5" w:rsidRPr="001F151E" w:rsidRDefault="004F1726" w:rsidP="008D411E">
            <w:pPr>
              <w:jc w:val="center"/>
              <w:rPr>
                <w:sz w:val="16"/>
                <w:szCs w:val="16"/>
              </w:rPr>
            </w:pPr>
            <w:r>
              <w:rPr>
                <w:sz w:val="16"/>
                <w:szCs w:val="16"/>
              </w:rPr>
              <w:t>T</w:t>
            </w:r>
            <w:r w:rsidR="00FB5BD5" w:rsidRPr="001F151E">
              <w:rPr>
                <w:sz w:val="16"/>
                <w:szCs w:val="16"/>
              </w:rPr>
              <w:t>2 2025</w:t>
            </w:r>
          </w:p>
        </w:tc>
        <w:tc>
          <w:tcPr>
            <w:tcW w:w="742" w:type="dxa"/>
            <w:tcBorders>
              <w:top w:val="single" w:sz="4" w:space="0" w:color="auto"/>
              <w:left w:val="single" w:sz="4" w:space="0" w:color="auto"/>
              <w:right w:val="single" w:sz="4" w:space="0" w:color="auto"/>
            </w:tcBorders>
            <w:shd w:val="clear" w:color="auto" w:fill="FFFFFF" w:themeFill="background1"/>
            <w:vAlign w:val="center"/>
          </w:tcPr>
          <w:p w14:paraId="3B19FD8B" w14:textId="4F711CB8" w:rsidR="00FB5BD5" w:rsidRPr="001F151E" w:rsidRDefault="008D182F" w:rsidP="008D411E">
            <w:pPr>
              <w:jc w:val="center"/>
              <w:rPr>
                <w:sz w:val="16"/>
                <w:szCs w:val="16"/>
              </w:rPr>
            </w:pPr>
            <w:r>
              <w:rPr>
                <w:sz w:val="16"/>
                <w:szCs w:val="16"/>
              </w:rPr>
              <w:t>Çdo vit</w:t>
            </w:r>
          </w:p>
        </w:tc>
        <w:tc>
          <w:tcPr>
            <w:tcW w:w="1684" w:type="dxa"/>
            <w:vMerge/>
            <w:tcBorders>
              <w:left w:val="single" w:sz="4" w:space="0" w:color="auto"/>
              <w:bottom w:val="single" w:sz="4" w:space="0" w:color="auto"/>
              <w:right w:val="single" w:sz="4" w:space="0" w:color="auto"/>
            </w:tcBorders>
            <w:vAlign w:val="center"/>
            <w:hideMark/>
          </w:tcPr>
          <w:p w14:paraId="6F208EDE" w14:textId="77777777" w:rsidR="00FB5BD5" w:rsidRPr="001F151E" w:rsidRDefault="00FB5BD5" w:rsidP="00FB5BD5">
            <w:pPr>
              <w:spacing w:line="240" w:lineRule="auto"/>
              <w:rPr>
                <w:sz w:val="16"/>
                <w:szCs w:val="16"/>
              </w:rPr>
            </w:pPr>
          </w:p>
        </w:tc>
      </w:tr>
      <w:tr w:rsidR="0007140E" w:rsidRPr="001F151E" w14:paraId="07390CD9" w14:textId="77777777" w:rsidTr="00611D69">
        <w:trPr>
          <w:trHeight w:val="32"/>
        </w:trPr>
        <w:tc>
          <w:tcPr>
            <w:tcW w:w="2122" w:type="dxa"/>
            <w:vMerge w:val="restart"/>
            <w:tcBorders>
              <w:top w:val="single" w:sz="4" w:space="0" w:color="auto"/>
              <w:left w:val="single" w:sz="4" w:space="0" w:color="auto"/>
              <w:bottom w:val="single" w:sz="4" w:space="0" w:color="auto"/>
              <w:right w:val="single" w:sz="4" w:space="0" w:color="auto"/>
            </w:tcBorders>
            <w:hideMark/>
          </w:tcPr>
          <w:p w14:paraId="103B1FD5" w14:textId="0227338F" w:rsidR="0007140E" w:rsidRPr="009D660E" w:rsidRDefault="0007140E" w:rsidP="00C55CFD">
            <w:pPr>
              <w:pStyle w:val="EcorysBody"/>
              <w:rPr>
                <w:rFonts w:ascii="Arial" w:hAnsi="Arial" w:cs="Arial"/>
                <w:b/>
                <w:bCs/>
                <w:sz w:val="16"/>
                <w:szCs w:val="16"/>
                <w:lang w:val="it-IT"/>
              </w:rPr>
            </w:pPr>
            <w:r w:rsidRPr="009D660E">
              <w:rPr>
                <w:rFonts w:ascii="Arial" w:hAnsi="Arial" w:cs="Arial"/>
                <w:b/>
                <w:bCs/>
                <w:sz w:val="16"/>
                <w:szCs w:val="16"/>
                <w:lang w:val="it-IT"/>
              </w:rPr>
              <w:t>M</w:t>
            </w:r>
            <w:r w:rsidR="00A74514" w:rsidRPr="009D660E">
              <w:rPr>
                <w:rFonts w:ascii="Arial" w:hAnsi="Arial" w:cs="Arial"/>
                <w:b/>
                <w:bCs/>
                <w:sz w:val="16"/>
                <w:szCs w:val="16"/>
                <w:lang w:val="it-IT"/>
              </w:rPr>
              <w:t>asa</w:t>
            </w:r>
            <w:r w:rsidRPr="009D660E">
              <w:rPr>
                <w:rFonts w:ascii="Arial" w:hAnsi="Arial" w:cs="Arial"/>
                <w:b/>
                <w:bCs/>
                <w:sz w:val="16"/>
                <w:szCs w:val="16"/>
                <w:lang w:val="it-IT"/>
              </w:rPr>
              <w:t xml:space="preserve"> 2.5.2 </w:t>
            </w:r>
            <w:r w:rsidR="00C55CFD" w:rsidRPr="009D660E">
              <w:rPr>
                <w:rFonts w:ascii="Arial" w:hAnsi="Arial" w:cs="Arial"/>
                <w:b/>
                <w:bCs/>
                <w:sz w:val="16"/>
                <w:szCs w:val="16"/>
                <w:lang w:val="it-IT"/>
              </w:rPr>
              <w:t>P</w:t>
            </w:r>
            <w:r w:rsidR="00D7294C" w:rsidRPr="009D660E">
              <w:rPr>
                <w:rFonts w:ascii="Arial" w:hAnsi="Arial" w:cs="Arial"/>
                <w:b/>
                <w:bCs/>
                <w:sz w:val="16"/>
                <w:szCs w:val="16"/>
                <w:lang w:val="it-IT"/>
              </w:rPr>
              <w:t>ë</w:t>
            </w:r>
            <w:r w:rsidR="00C55CFD" w:rsidRPr="009D660E">
              <w:rPr>
                <w:rFonts w:ascii="Arial" w:hAnsi="Arial" w:cs="Arial"/>
                <w:b/>
                <w:bCs/>
                <w:sz w:val="16"/>
                <w:szCs w:val="16"/>
                <w:lang w:val="it-IT"/>
              </w:rPr>
              <w:t>rmir</w:t>
            </w:r>
            <w:r w:rsidR="00D7294C" w:rsidRPr="009D660E">
              <w:rPr>
                <w:rFonts w:ascii="Arial" w:hAnsi="Arial" w:cs="Arial"/>
                <w:b/>
                <w:bCs/>
                <w:sz w:val="16"/>
                <w:szCs w:val="16"/>
                <w:lang w:val="it-IT"/>
              </w:rPr>
              <w:t>ë</w:t>
            </w:r>
            <w:r w:rsidR="00C55CFD" w:rsidRPr="009D660E">
              <w:rPr>
                <w:rFonts w:ascii="Arial" w:hAnsi="Arial" w:cs="Arial"/>
                <w:b/>
                <w:bCs/>
                <w:sz w:val="16"/>
                <w:szCs w:val="16"/>
                <w:lang w:val="it-IT"/>
              </w:rPr>
              <w:t>simi i monitorimit dhe raportimit p</w:t>
            </w:r>
            <w:r w:rsidR="00D7294C" w:rsidRPr="009D660E">
              <w:rPr>
                <w:rFonts w:ascii="Arial" w:hAnsi="Arial" w:cs="Arial"/>
                <w:b/>
                <w:bCs/>
                <w:sz w:val="16"/>
                <w:szCs w:val="16"/>
                <w:lang w:val="it-IT"/>
              </w:rPr>
              <w:t>ë</w:t>
            </w:r>
            <w:r w:rsidR="00C55CFD" w:rsidRPr="009D660E">
              <w:rPr>
                <w:rFonts w:ascii="Arial" w:hAnsi="Arial" w:cs="Arial"/>
                <w:b/>
                <w:bCs/>
                <w:sz w:val="16"/>
                <w:szCs w:val="16"/>
                <w:lang w:val="it-IT"/>
              </w:rPr>
              <w:t>r Projektet e Investimeve Publike</w:t>
            </w:r>
          </w:p>
        </w:tc>
        <w:tc>
          <w:tcPr>
            <w:tcW w:w="3717" w:type="dxa"/>
            <w:tcBorders>
              <w:top w:val="single" w:sz="4" w:space="0" w:color="auto"/>
              <w:left w:val="single" w:sz="4" w:space="0" w:color="auto"/>
              <w:bottom w:val="single" w:sz="4" w:space="0" w:color="auto"/>
              <w:right w:val="single" w:sz="4" w:space="0" w:color="auto"/>
            </w:tcBorders>
            <w:vAlign w:val="center"/>
            <w:hideMark/>
          </w:tcPr>
          <w:p w14:paraId="4740D93D" w14:textId="0BF1885F" w:rsidR="0007140E" w:rsidRPr="009D660E" w:rsidRDefault="008D182F" w:rsidP="00CD7428">
            <w:pPr>
              <w:pStyle w:val="EcorysBody"/>
              <w:numPr>
                <w:ilvl w:val="0"/>
                <w:numId w:val="34"/>
              </w:numPr>
              <w:rPr>
                <w:rFonts w:ascii="Arial" w:hAnsi="Arial" w:cs="Arial"/>
                <w:sz w:val="16"/>
                <w:szCs w:val="16"/>
                <w:lang w:val="it-IT"/>
              </w:rPr>
            </w:pPr>
            <w:r w:rsidRPr="009D660E">
              <w:rPr>
                <w:rFonts w:ascii="Arial" w:hAnsi="Arial" w:cs="Arial"/>
                <w:sz w:val="16"/>
                <w:szCs w:val="16"/>
                <w:lang w:val="it-IT"/>
              </w:rPr>
              <w:t>Zbatimi i procedur</w:t>
            </w:r>
            <w:r w:rsidR="00D7294C" w:rsidRPr="009D660E">
              <w:rPr>
                <w:rFonts w:ascii="Arial" w:hAnsi="Arial" w:cs="Arial"/>
                <w:sz w:val="16"/>
                <w:szCs w:val="16"/>
                <w:lang w:val="it-IT"/>
              </w:rPr>
              <w:t>ë</w:t>
            </w:r>
            <w:r w:rsidRPr="009D660E">
              <w:rPr>
                <w:rFonts w:ascii="Arial" w:hAnsi="Arial" w:cs="Arial"/>
                <w:sz w:val="16"/>
                <w:szCs w:val="16"/>
                <w:lang w:val="it-IT"/>
              </w:rPr>
              <w:t>s s</w:t>
            </w:r>
            <w:r w:rsidR="00D7294C" w:rsidRPr="009D660E">
              <w:rPr>
                <w:rFonts w:ascii="Arial" w:hAnsi="Arial" w:cs="Arial"/>
                <w:sz w:val="16"/>
                <w:szCs w:val="16"/>
                <w:lang w:val="it-IT"/>
              </w:rPr>
              <w:t>ë</w:t>
            </w:r>
            <w:r w:rsidRPr="009D660E">
              <w:rPr>
                <w:rFonts w:ascii="Arial" w:hAnsi="Arial" w:cs="Arial"/>
                <w:sz w:val="16"/>
                <w:szCs w:val="16"/>
                <w:lang w:val="it-IT"/>
              </w:rPr>
              <w:t xml:space="preserve"> monitorimit t</w:t>
            </w:r>
            <w:r w:rsidR="00D7294C" w:rsidRPr="009D660E">
              <w:rPr>
                <w:rFonts w:ascii="Arial" w:hAnsi="Arial" w:cs="Arial"/>
                <w:sz w:val="16"/>
                <w:szCs w:val="16"/>
                <w:lang w:val="it-IT"/>
              </w:rPr>
              <w:t>ë</w:t>
            </w:r>
            <w:r w:rsidRPr="009D660E">
              <w:rPr>
                <w:rFonts w:ascii="Arial" w:hAnsi="Arial" w:cs="Arial"/>
                <w:sz w:val="16"/>
                <w:szCs w:val="16"/>
                <w:lang w:val="it-IT"/>
              </w:rPr>
              <w:t xml:space="preserve"> MIP-s</w:t>
            </w:r>
            <w:r w:rsidR="00D7294C" w:rsidRPr="009D660E">
              <w:rPr>
                <w:rFonts w:ascii="Arial" w:hAnsi="Arial" w:cs="Arial"/>
                <w:sz w:val="16"/>
                <w:szCs w:val="16"/>
                <w:lang w:val="it-IT"/>
              </w:rPr>
              <w:t>ë</w:t>
            </w:r>
            <w:r w:rsidRPr="009D660E">
              <w:rPr>
                <w:rFonts w:ascii="Arial" w:hAnsi="Arial" w:cs="Arial"/>
                <w:sz w:val="16"/>
                <w:szCs w:val="16"/>
                <w:lang w:val="it-IT"/>
              </w:rPr>
              <w:t xml:space="preserve"> t</w:t>
            </w:r>
            <w:r w:rsidR="00D7294C" w:rsidRPr="009D660E">
              <w:rPr>
                <w:rFonts w:ascii="Arial" w:hAnsi="Arial" w:cs="Arial"/>
                <w:sz w:val="16"/>
                <w:szCs w:val="16"/>
                <w:lang w:val="it-IT"/>
              </w:rPr>
              <w:t>ë</w:t>
            </w:r>
            <w:r w:rsidRPr="009D660E">
              <w:rPr>
                <w:rFonts w:ascii="Arial" w:hAnsi="Arial" w:cs="Arial"/>
                <w:sz w:val="16"/>
                <w:szCs w:val="16"/>
                <w:lang w:val="it-IT"/>
              </w:rPr>
              <w:t xml:space="preserve"> miratuar rishtazi dhe p</w:t>
            </w:r>
            <w:r w:rsidR="00D7294C" w:rsidRPr="009D660E">
              <w:rPr>
                <w:rFonts w:ascii="Arial" w:hAnsi="Arial" w:cs="Arial"/>
                <w:sz w:val="16"/>
                <w:szCs w:val="16"/>
                <w:lang w:val="it-IT"/>
              </w:rPr>
              <w:t>ë</w:t>
            </w:r>
            <w:r w:rsidRPr="009D660E">
              <w:rPr>
                <w:rFonts w:ascii="Arial" w:hAnsi="Arial" w:cs="Arial"/>
                <w:sz w:val="16"/>
                <w:szCs w:val="16"/>
                <w:lang w:val="it-IT"/>
              </w:rPr>
              <w:t>rmir</w:t>
            </w:r>
            <w:r w:rsidR="00D7294C" w:rsidRPr="009D660E">
              <w:rPr>
                <w:rFonts w:ascii="Arial" w:hAnsi="Arial" w:cs="Arial"/>
                <w:sz w:val="16"/>
                <w:szCs w:val="16"/>
                <w:lang w:val="it-IT"/>
              </w:rPr>
              <w:t>ë</w:t>
            </w:r>
            <w:r w:rsidRPr="009D660E">
              <w:rPr>
                <w:rFonts w:ascii="Arial" w:hAnsi="Arial" w:cs="Arial"/>
                <w:sz w:val="16"/>
                <w:szCs w:val="16"/>
                <w:lang w:val="it-IT"/>
              </w:rPr>
              <w:t>simi i procedurave n</w:t>
            </w:r>
            <w:r w:rsidR="00D7294C" w:rsidRPr="009D660E">
              <w:rPr>
                <w:rFonts w:ascii="Arial" w:hAnsi="Arial" w:cs="Arial"/>
                <w:sz w:val="16"/>
                <w:szCs w:val="16"/>
                <w:lang w:val="it-IT"/>
              </w:rPr>
              <w:t>ë</w:t>
            </w:r>
            <w:r w:rsidRPr="009D660E">
              <w:rPr>
                <w:rFonts w:ascii="Arial" w:hAnsi="Arial" w:cs="Arial"/>
                <w:sz w:val="16"/>
                <w:szCs w:val="16"/>
                <w:lang w:val="it-IT"/>
              </w:rPr>
              <w:t xml:space="preserve">se </w:t>
            </w:r>
            <w:r w:rsidR="00D7294C" w:rsidRPr="009D660E">
              <w:rPr>
                <w:rFonts w:ascii="Arial" w:hAnsi="Arial" w:cs="Arial"/>
                <w:sz w:val="16"/>
                <w:szCs w:val="16"/>
                <w:lang w:val="it-IT"/>
              </w:rPr>
              <w:t>ë</w:t>
            </w:r>
            <w:r w:rsidRPr="009D660E">
              <w:rPr>
                <w:rFonts w:ascii="Arial" w:hAnsi="Arial" w:cs="Arial"/>
                <w:sz w:val="16"/>
                <w:szCs w:val="16"/>
                <w:lang w:val="it-IT"/>
              </w:rPr>
              <w:t>sht</w:t>
            </w:r>
            <w:r w:rsidR="00D7294C" w:rsidRPr="009D660E">
              <w:rPr>
                <w:rFonts w:ascii="Arial" w:hAnsi="Arial" w:cs="Arial"/>
                <w:sz w:val="16"/>
                <w:szCs w:val="16"/>
                <w:lang w:val="it-IT"/>
              </w:rPr>
              <w:t>ë</w:t>
            </w:r>
            <w:r w:rsidRPr="009D660E">
              <w:rPr>
                <w:rFonts w:ascii="Arial" w:hAnsi="Arial" w:cs="Arial"/>
                <w:sz w:val="16"/>
                <w:szCs w:val="16"/>
                <w:lang w:val="it-IT"/>
              </w:rPr>
              <w:t xml:space="preserve"> e nevojshme</w:t>
            </w:r>
          </w:p>
        </w:tc>
        <w:tc>
          <w:tcPr>
            <w:tcW w:w="751" w:type="dxa"/>
            <w:tcBorders>
              <w:top w:val="single" w:sz="4" w:space="0" w:color="auto"/>
              <w:left w:val="single" w:sz="4" w:space="0" w:color="auto"/>
              <w:bottom w:val="single" w:sz="4" w:space="0" w:color="auto"/>
              <w:right w:val="single" w:sz="4" w:space="0" w:color="auto"/>
            </w:tcBorders>
            <w:vAlign w:val="center"/>
          </w:tcPr>
          <w:p w14:paraId="1DDACF1B" w14:textId="47650160" w:rsidR="0007140E" w:rsidRPr="001F151E" w:rsidRDefault="004F1726" w:rsidP="00611D69">
            <w:pPr>
              <w:jc w:val="center"/>
              <w:rPr>
                <w:sz w:val="16"/>
                <w:szCs w:val="16"/>
              </w:rPr>
            </w:pPr>
            <w:r>
              <w:rPr>
                <w:sz w:val="16"/>
                <w:szCs w:val="16"/>
              </w:rPr>
              <w:t>T</w:t>
            </w:r>
            <w:r w:rsidR="00284E31" w:rsidRPr="001F151E">
              <w:rPr>
                <w:sz w:val="16"/>
                <w:szCs w:val="16"/>
              </w:rPr>
              <w:t>1 2023</w:t>
            </w:r>
          </w:p>
        </w:tc>
        <w:tc>
          <w:tcPr>
            <w:tcW w:w="742" w:type="dxa"/>
            <w:tcBorders>
              <w:top w:val="single" w:sz="4" w:space="0" w:color="auto"/>
              <w:left w:val="single" w:sz="4" w:space="0" w:color="auto"/>
              <w:bottom w:val="single" w:sz="4" w:space="0" w:color="auto"/>
              <w:right w:val="single" w:sz="4" w:space="0" w:color="auto"/>
            </w:tcBorders>
            <w:vAlign w:val="center"/>
          </w:tcPr>
          <w:p w14:paraId="6E47FF65" w14:textId="5EDD2931" w:rsidR="0007140E" w:rsidRPr="001F151E" w:rsidRDefault="004F1726" w:rsidP="00611D69">
            <w:pPr>
              <w:jc w:val="center"/>
              <w:rPr>
                <w:sz w:val="16"/>
                <w:szCs w:val="16"/>
              </w:rPr>
            </w:pPr>
            <w:r>
              <w:rPr>
                <w:sz w:val="16"/>
                <w:szCs w:val="16"/>
              </w:rPr>
              <w:t>T</w:t>
            </w:r>
            <w:r w:rsidR="00284E31" w:rsidRPr="001F151E">
              <w:rPr>
                <w:sz w:val="16"/>
                <w:szCs w:val="16"/>
              </w:rPr>
              <w:t>4 2024</w:t>
            </w:r>
          </w:p>
        </w:tc>
        <w:tc>
          <w:tcPr>
            <w:tcW w:w="1684" w:type="dxa"/>
            <w:vMerge w:val="restart"/>
            <w:tcBorders>
              <w:top w:val="single" w:sz="4" w:space="0" w:color="auto"/>
              <w:left w:val="single" w:sz="4" w:space="0" w:color="auto"/>
              <w:bottom w:val="single" w:sz="4" w:space="0" w:color="auto"/>
              <w:right w:val="single" w:sz="4" w:space="0" w:color="auto"/>
            </w:tcBorders>
          </w:tcPr>
          <w:p w14:paraId="5B1DB58F" w14:textId="3F6B8A03" w:rsidR="0007140E" w:rsidRPr="001F151E" w:rsidRDefault="00A74514" w:rsidP="002B7FF8">
            <w:pPr>
              <w:rPr>
                <w:b/>
                <w:bCs/>
                <w:sz w:val="16"/>
                <w:szCs w:val="16"/>
              </w:rPr>
            </w:pPr>
            <w:r>
              <w:rPr>
                <w:b/>
                <w:bCs/>
                <w:sz w:val="16"/>
                <w:szCs w:val="16"/>
              </w:rPr>
              <w:t>Nj</w:t>
            </w:r>
            <w:r w:rsidR="00D7294C">
              <w:rPr>
                <w:b/>
                <w:bCs/>
                <w:sz w:val="16"/>
                <w:szCs w:val="16"/>
              </w:rPr>
              <w:t>ë</w:t>
            </w:r>
            <w:r>
              <w:rPr>
                <w:b/>
                <w:bCs/>
                <w:sz w:val="16"/>
                <w:szCs w:val="16"/>
              </w:rPr>
              <w:t>sit</w:t>
            </w:r>
            <w:r w:rsidR="00D7294C">
              <w:rPr>
                <w:b/>
                <w:bCs/>
                <w:sz w:val="16"/>
                <w:szCs w:val="16"/>
              </w:rPr>
              <w:t>ë</w:t>
            </w:r>
            <w:r>
              <w:rPr>
                <w:b/>
                <w:bCs/>
                <w:sz w:val="16"/>
                <w:szCs w:val="16"/>
              </w:rPr>
              <w:t xml:space="preserve"> p</w:t>
            </w:r>
            <w:r w:rsidR="00D7294C">
              <w:rPr>
                <w:b/>
                <w:bCs/>
                <w:sz w:val="16"/>
                <w:szCs w:val="16"/>
              </w:rPr>
              <w:t>ë</w:t>
            </w:r>
            <w:r>
              <w:rPr>
                <w:b/>
                <w:bCs/>
                <w:sz w:val="16"/>
                <w:szCs w:val="16"/>
              </w:rPr>
              <w:t>rgjegj</w:t>
            </w:r>
            <w:r w:rsidR="00D7294C">
              <w:rPr>
                <w:b/>
                <w:bCs/>
                <w:sz w:val="16"/>
                <w:szCs w:val="16"/>
              </w:rPr>
              <w:t>ë</w:t>
            </w:r>
            <w:r>
              <w:rPr>
                <w:b/>
                <w:bCs/>
                <w:sz w:val="16"/>
                <w:szCs w:val="16"/>
              </w:rPr>
              <w:t>se</w:t>
            </w:r>
            <w:r w:rsidR="0007140E" w:rsidRPr="001F151E">
              <w:rPr>
                <w:b/>
                <w:bCs/>
                <w:sz w:val="16"/>
                <w:szCs w:val="16"/>
              </w:rPr>
              <w:t xml:space="preserve">: </w:t>
            </w:r>
          </w:p>
          <w:p w14:paraId="1DCB1022" w14:textId="3B360780" w:rsidR="0007140E" w:rsidRPr="001F151E" w:rsidRDefault="0007140E" w:rsidP="002B7FF8">
            <w:pPr>
              <w:rPr>
                <w:sz w:val="16"/>
                <w:szCs w:val="16"/>
              </w:rPr>
            </w:pPr>
            <w:r w:rsidRPr="001F151E">
              <w:rPr>
                <w:sz w:val="16"/>
                <w:szCs w:val="16"/>
              </w:rPr>
              <w:t>D</w:t>
            </w:r>
            <w:r w:rsidR="00A74514">
              <w:rPr>
                <w:sz w:val="16"/>
                <w:szCs w:val="16"/>
              </w:rPr>
              <w:t>MIP (lider</w:t>
            </w:r>
            <w:r w:rsidR="00611D69" w:rsidRPr="001F151E">
              <w:rPr>
                <w:sz w:val="16"/>
                <w:szCs w:val="16"/>
              </w:rPr>
              <w:t>)</w:t>
            </w:r>
            <w:r w:rsidRPr="001F151E">
              <w:rPr>
                <w:sz w:val="16"/>
                <w:szCs w:val="16"/>
              </w:rPr>
              <w:t xml:space="preserve">, </w:t>
            </w:r>
            <w:r w:rsidR="00A74514">
              <w:rPr>
                <w:sz w:val="16"/>
                <w:szCs w:val="16"/>
              </w:rPr>
              <w:t>Institucionet Buxhetore</w:t>
            </w:r>
            <w:r w:rsidRPr="001F151E">
              <w:rPr>
                <w:sz w:val="16"/>
                <w:szCs w:val="16"/>
              </w:rPr>
              <w:t xml:space="preserve">, </w:t>
            </w:r>
          </w:p>
          <w:p w14:paraId="1236B262" w14:textId="77777777" w:rsidR="0007140E" w:rsidRPr="001F151E" w:rsidRDefault="0007140E" w:rsidP="002B7FF8">
            <w:pPr>
              <w:pStyle w:val="EcorysBody"/>
              <w:rPr>
                <w:rFonts w:ascii="Arial" w:hAnsi="Arial" w:cs="Arial"/>
                <w:b/>
                <w:bCs/>
                <w:sz w:val="16"/>
                <w:szCs w:val="16"/>
              </w:rPr>
            </w:pPr>
          </w:p>
          <w:p w14:paraId="57661EC2" w14:textId="0DAFDCDF" w:rsidR="0007140E" w:rsidRPr="001F151E" w:rsidRDefault="00A74514" w:rsidP="002B7FF8">
            <w:pPr>
              <w:pStyle w:val="EcorysBody"/>
              <w:rPr>
                <w:rFonts w:ascii="Arial" w:hAnsi="Arial" w:cs="Arial"/>
                <w:b/>
                <w:bCs/>
                <w:sz w:val="16"/>
                <w:szCs w:val="16"/>
              </w:rPr>
            </w:pPr>
            <w:r>
              <w:rPr>
                <w:rFonts w:ascii="Arial" w:hAnsi="Arial" w:cs="Arial"/>
                <w:b/>
                <w:bCs/>
                <w:sz w:val="16"/>
                <w:szCs w:val="16"/>
              </w:rPr>
              <w:t>Partner</w:t>
            </w:r>
            <w:r w:rsidR="00D7294C">
              <w:rPr>
                <w:rFonts w:ascii="Arial" w:hAnsi="Arial" w:cs="Arial"/>
                <w:b/>
                <w:bCs/>
                <w:sz w:val="16"/>
                <w:szCs w:val="16"/>
              </w:rPr>
              <w:t>ë</w:t>
            </w:r>
            <w:r>
              <w:rPr>
                <w:rFonts w:ascii="Arial" w:hAnsi="Arial" w:cs="Arial"/>
                <w:b/>
                <w:bCs/>
                <w:sz w:val="16"/>
                <w:szCs w:val="16"/>
              </w:rPr>
              <w:t>t</w:t>
            </w:r>
            <w:r w:rsidR="0007140E" w:rsidRPr="001F151E">
              <w:rPr>
                <w:rFonts w:ascii="Arial" w:hAnsi="Arial" w:cs="Arial"/>
                <w:b/>
                <w:bCs/>
                <w:sz w:val="16"/>
                <w:szCs w:val="16"/>
              </w:rPr>
              <w:t>:</w:t>
            </w:r>
          </w:p>
          <w:p w14:paraId="03B6EB6C" w14:textId="0B47556C" w:rsidR="0007140E" w:rsidRPr="001F151E" w:rsidRDefault="00A74514" w:rsidP="002B7FF8">
            <w:pPr>
              <w:pStyle w:val="EcorysBody"/>
              <w:rPr>
                <w:rFonts w:ascii="Arial" w:hAnsi="Arial" w:cs="Arial"/>
                <w:sz w:val="16"/>
                <w:szCs w:val="16"/>
              </w:rPr>
            </w:pPr>
            <w:r>
              <w:rPr>
                <w:rFonts w:ascii="Arial" w:hAnsi="Arial" w:cs="Arial"/>
                <w:sz w:val="16"/>
                <w:szCs w:val="16"/>
              </w:rPr>
              <w:t>Banka Bot</w:t>
            </w:r>
            <w:r w:rsidR="00D7294C">
              <w:rPr>
                <w:rFonts w:ascii="Arial" w:hAnsi="Arial" w:cs="Arial"/>
                <w:sz w:val="16"/>
                <w:szCs w:val="16"/>
              </w:rPr>
              <w:t>ë</w:t>
            </w:r>
            <w:r>
              <w:rPr>
                <w:rFonts w:ascii="Arial" w:hAnsi="Arial" w:cs="Arial"/>
                <w:sz w:val="16"/>
                <w:szCs w:val="16"/>
              </w:rPr>
              <w:t>rore</w:t>
            </w:r>
          </w:p>
          <w:p w14:paraId="1B7233C7" w14:textId="77777777" w:rsidR="0007140E" w:rsidRPr="001F151E" w:rsidRDefault="0007140E" w:rsidP="002B7FF8">
            <w:pPr>
              <w:rPr>
                <w:sz w:val="16"/>
                <w:szCs w:val="16"/>
              </w:rPr>
            </w:pPr>
          </w:p>
        </w:tc>
      </w:tr>
      <w:tr w:rsidR="0007140E" w:rsidRPr="001F151E" w14:paraId="42798187" w14:textId="77777777" w:rsidTr="00611D69">
        <w:trPr>
          <w:trHeight w:val="32"/>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32AE931C" w14:textId="77777777" w:rsidR="0007140E" w:rsidRPr="001F151E" w:rsidRDefault="0007140E" w:rsidP="002B7FF8">
            <w:pPr>
              <w:spacing w:line="240" w:lineRule="auto"/>
              <w:rPr>
                <w:b/>
                <w:bCs/>
                <w:sz w:val="16"/>
                <w:szCs w:val="16"/>
              </w:rPr>
            </w:pPr>
          </w:p>
        </w:tc>
        <w:tc>
          <w:tcPr>
            <w:tcW w:w="3717" w:type="dxa"/>
            <w:tcBorders>
              <w:top w:val="single" w:sz="4" w:space="0" w:color="auto"/>
              <w:left w:val="single" w:sz="4" w:space="0" w:color="auto"/>
              <w:bottom w:val="single" w:sz="4" w:space="0" w:color="auto"/>
              <w:right w:val="single" w:sz="4" w:space="0" w:color="auto"/>
            </w:tcBorders>
            <w:vAlign w:val="center"/>
            <w:hideMark/>
          </w:tcPr>
          <w:p w14:paraId="6E4E6E70" w14:textId="0A0FBC79" w:rsidR="0007140E" w:rsidRPr="001F151E" w:rsidRDefault="008D182F" w:rsidP="00CD7428">
            <w:pPr>
              <w:pStyle w:val="EcorysBody"/>
              <w:numPr>
                <w:ilvl w:val="0"/>
                <w:numId w:val="34"/>
              </w:numPr>
              <w:rPr>
                <w:rFonts w:ascii="Arial" w:hAnsi="Arial" w:cs="Arial"/>
                <w:sz w:val="16"/>
                <w:szCs w:val="16"/>
              </w:rPr>
            </w:pPr>
            <w:r>
              <w:rPr>
                <w:rFonts w:ascii="Arial" w:hAnsi="Arial" w:cs="Arial"/>
                <w:sz w:val="16"/>
                <w:szCs w:val="16"/>
              </w:rPr>
              <w:t>P</w:t>
            </w:r>
            <w:r w:rsidR="00D7294C">
              <w:rPr>
                <w:rFonts w:ascii="Arial" w:hAnsi="Arial" w:cs="Arial"/>
                <w:sz w:val="16"/>
                <w:szCs w:val="16"/>
              </w:rPr>
              <w:t>ë</w:t>
            </w:r>
            <w:r>
              <w:rPr>
                <w:rFonts w:ascii="Arial" w:hAnsi="Arial" w:cs="Arial"/>
                <w:sz w:val="16"/>
                <w:szCs w:val="16"/>
              </w:rPr>
              <w:t>rshtatja e SIMFSH-s</w:t>
            </w:r>
            <w:r w:rsidR="00D7294C">
              <w:rPr>
                <w:rFonts w:ascii="Arial" w:hAnsi="Arial" w:cs="Arial"/>
                <w:sz w:val="16"/>
                <w:szCs w:val="16"/>
              </w:rPr>
              <w:t>ë</w:t>
            </w:r>
            <w:r>
              <w:rPr>
                <w:rFonts w:ascii="Arial" w:hAnsi="Arial" w:cs="Arial"/>
                <w:sz w:val="16"/>
                <w:szCs w:val="16"/>
              </w:rPr>
              <w:t xml:space="preserve"> p</w:t>
            </w:r>
            <w:r w:rsidR="00D7294C">
              <w:rPr>
                <w:rFonts w:ascii="Arial" w:hAnsi="Arial" w:cs="Arial"/>
                <w:sz w:val="16"/>
                <w:szCs w:val="16"/>
              </w:rPr>
              <w:t>ë</w:t>
            </w:r>
            <w:r>
              <w:rPr>
                <w:rFonts w:ascii="Arial" w:hAnsi="Arial" w:cs="Arial"/>
                <w:sz w:val="16"/>
                <w:szCs w:val="16"/>
              </w:rPr>
              <w:t>r t</w:t>
            </w:r>
            <w:r w:rsidR="00D7294C">
              <w:rPr>
                <w:rFonts w:ascii="Arial" w:hAnsi="Arial" w:cs="Arial"/>
                <w:sz w:val="16"/>
                <w:szCs w:val="16"/>
              </w:rPr>
              <w:t>ë</w:t>
            </w:r>
            <w:r>
              <w:rPr>
                <w:rFonts w:ascii="Arial" w:hAnsi="Arial" w:cs="Arial"/>
                <w:sz w:val="16"/>
                <w:szCs w:val="16"/>
              </w:rPr>
              <w:t xml:space="preserve"> pasqyruar ndryshimet n</w:t>
            </w:r>
            <w:r w:rsidR="00D7294C">
              <w:rPr>
                <w:rFonts w:ascii="Arial" w:hAnsi="Arial" w:cs="Arial"/>
                <w:sz w:val="16"/>
                <w:szCs w:val="16"/>
              </w:rPr>
              <w:t>ë</w:t>
            </w:r>
            <w:r>
              <w:rPr>
                <w:rFonts w:ascii="Arial" w:hAnsi="Arial" w:cs="Arial"/>
                <w:sz w:val="16"/>
                <w:szCs w:val="16"/>
              </w:rPr>
              <w:t xml:space="preserve"> lidhje me procedurat e MIP-s</w:t>
            </w:r>
            <w:r w:rsidR="00D7294C">
              <w:rPr>
                <w:rFonts w:ascii="Arial" w:hAnsi="Arial" w:cs="Arial"/>
                <w:sz w:val="16"/>
                <w:szCs w:val="16"/>
              </w:rPr>
              <w:t>ë</w:t>
            </w:r>
            <w:r>
              <w:rPr>
                <w:rFonts w:ascii="Arial" w:hAnsi="Arial" w:cs="Arial"/>
                <w:sz w:val="16"/>
                <w:szCs w:val="16"/>
              </w:rPr>
              <w:t xml:space="preserve"> t</w:t>
            </w:r>
            <w:r w:rsidR="00D7294C">
              <w:rPr>
                <w:rFonts w:ascii="Arial" w:hAnsi="Arial" w:cs="Arial"/>
                <w:sz w:val="16"/>
                <w:szCs w:val="16"/>
              </w:rPr>
              <w:t>ë</w:t>
            </w:r>
            <w:r>
              <w:rPr>
                <w:rFonts w:ascii="Arial" w:hAnsi="Arial" w:cs="Arial"/>
                <w:sz w:val="16"/>
                <w:szCs w:val="16"/>
              </w:rPr>
              <w:t xml:space="preserve"> miratuara rishtazi. </w:t>
            </w:r>
          </w:p>
        </w:tc>
        <w:tc>
          <w:tcPr>
            <w:tcW w:w="751" w:type="dxa"/>
            <w:tcBorders>
              <w:top w:val="single" w:sz="4" w:space="0" w:color="auto"/>
              <w:left w:val="single" w:sz="4" w:space="0" w:color="auto"/>
              <w:bottom w:val="single" w:sz="4" w:space="0" w:color="auto"/>
              <w:right w:val="single" w:sz="4" w:space="0" w:color="auto"/>
            </w:tcBorders>
            <w:vAlign w:val="center"/>
          </w:tcPr>
          <w:p w14:paraId="51EFB3A6" w14:textId="4ECA53C9" w:rsidR="0007140E" w:rsidRPr="001F151E" w:rsidRDefault="004F1726" w:rsidP="00611D69">
            <w:pPr>
              <w:jc w:val="center"/>
              <w:rPr>
                <w:sz w:val="16"/>
                <w:szCs w:val="16"/>
              </w:rPr>
            </w:pPr>
            <w:r>
              <w:rPr>
                <w:sz w:val="16"/>
                <w:szCs w:val="16"/>
              </w:rPr>
              <w:t>T</w:t>
            </w:r>
            <w:r w:rsidR="0072161F" w:rsidRPr="001F151E">
              <w:rPr>
                <w:sz w:val="16"/>
                <w:szCs w:val="16"/>
              </w:rPr>
              <w:t>1 2024</w:t>
            </w:r>
          </w:p>
        </w:tc>
        <w:tc>
          <w:tcPr>
            <w:tcW w:w="742" w:type="dxa"/>
            <w:tcBorders>
              <w:top w:val="single" w:sz="4" w:space="0" w:color="auto"/>
              <w:left w:val="single" w:sz="4" w:space="0" w:color="auto"/>
              <w:bottom w:val="single" w:sz="4" w:space="0" w:color="auto"/>
              <w:right w:val="single" w:sz="4" w:space="0" w:color="auto"/>
            </w:tcBorders>
            <w:vAlign w:val="center"/>
          </w:tcPr>
          <w:p w14:paraId="73CBD5F9" w14:textId="06FAC739" w:rsidR="0007140E" w:rsidRPr="001F151E" w:rsidRDefault="004F1726" w:rsidP="00611D69">
            <w:pPr>
              <w:jc w:val="center"/>
              <w:rPr>
                <w:sz w:val="16"/>
                <w:szCs w:val="16"/>
              </w:rPr>
            </w:pPr>
            <w:r>
              <w:rPr>
                <w:sz w:val="16"/>
                <w:szCs w:val="16"/>
              </w:rPr>
              <w:t>T</w:t>
            </w:r>
            <w:r w:rsidR="0072161F" w:rsidRPr="001F151E">
              <w:rPr>
                <w:sz w:val="16"/>
                <w:szCs w:val="16"/>
              </w:rPr>
              <w:t>4 2024</w:t>
            </w: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6DDC9628" w14:textId="77777777" w:rsidR="0007140E" w:rsidRPr="001F151E" w:rsidRDefault="0007140E" w:rsidP="002B7FF8">
            <w:pPr>
              <w:spacing w:line="240" w:lineRule="auto"/>
              <w:rPr>
                <w:sz w:val="16"/>
                <w:szCs w:val="16"/>
              </w:rPr>
            </w:pPr>
          </w:p>
        </w:tc>
      </w:tr>
      <w:tr w:rsidR="0072161F" w:rsidRPr="001F151E" w14:paraId="0A4B4366" w14:textId="77777777" w:rsidTr="00611D69">
        <w:trPr>
          <w:trHeight w:val="2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A6B01C4" w14:textId="77777777" w:rsidR="0072161F" w:rsidRPr="001F151E" w:rsidRDefault="0072161F" w:rsidP="0072161F">
            <w:pPr>
              <w:spacing w:line="240" w:lineRule="auto"/>
              <w:rPr>
                <w:b/>
                <w:bCs/>
                <w:sz w:val="16"/>
                <w:szCs w:val="16"/>
              </w:rPr>
            </w:pPr>
          </w:p>
        </w:tc>
        <w:tc>
          <w:tcPr>
            <w:tcW w:w="3717" w:type="dxa"/>
            <w:tcBorders>
              <w:top w:val="single" w:sz="4" w:space="0" w:color="auto"/>
              <w:left w:val="single" w:sz="4" w:space="0" w:color="auto"/>
              <w:bottom w:val="single" w:sz="4" w:space="0" w:color="auto"/>
              <w:right w:val="single" w:sz="4" w:space="0" w:color="auto"/>
            </w:tcBorders>
            <w:vAlign w:val="center"/>
            <w:hideMark/>
          </w:tcPr>
          <w:p w14:paraId="062FA15C" w14:textId="1BA849D0" w:rsidR="0072161F" w:rsidRPr="009D660E" w:rsidRDefault="008D182F" w:rsidP="00CD7428">
            <w:pPr>
              <w:pStyle w:val="EcorysBody"/>
              <w:numPr>
                <w:ilvl w:val="0"/>
                <w:numId w:val="34"/>
              </w:numPr>
              <w:rPr>
                <w:rFonts w:ascii="Arial" w:hAnsi="Arial" w:cs="Arial"/>
                <w:sz w:val="16"/>
                <w:szCs w:val="16"/>
                <w:lang w:val="it-IT"/>
              </w:rPr>
            </w:pPr>
            <w:r w:rsidRPr="009D660E">
              <w:rPr>
                <w:rFonts w:ascii="Arial" w:hAnsi="Arial" w:cs="Arial"/>
                <w:sz w:val="16"/>
                <w:szCs w:val="16"/>
                <w:lang w:val="it-IT"/>
              </w:rPr>
              <w:t>Planifikimi dhe ofrimi i aktiviteteve trajnuese p</w:t>
            </w:r>
            <w:r w:rsidR="00D7294C" w:rsidRPr="009D660E">
              <w:rPr>
                <w:rFonts w:ascii="Arial" w:hAnsi="Arial" w:cs="Arial"/>
                <w:sz w:val="16"/>
                <w:szCs w:val="16"/>
                <w:lang w:val="it-IT"/>
              </w:rPr>
              <w:t>ë</w:t>
            </w:r>
            <w:r w:rsidRPr="009D660E">
              <w:rPr>
                <w:rFonts w:ascii="Arial" w:hAnsi="Arial" w:cs="Arial"/>
                <w:sz w:val="16"/>
                <w:szCs w:val="16"/>
                <w:lang w:val="it-IT"/>
              </w:rPr>
              <w:t>r monitorimin dhe raportimin e Projekteve t</w:t>
            </w:r>
            <w:r w:rsidR="00D7294C" w:rsidRPr="009D660E">
              <w:rPr>
                <w:rFonts w:ascii="Arial" w:hAnsi="Arial" w:cs="Arial"/>
                <w:sz w:val="16"/>
                <w:szCs w:val="16"/>
                <w:lang w:val="it-IT"/>
              </w:rPr>
              <w:t>ë</w:t>
            </w:r>
            <w:r w:rsidRPr="009D660E">
              <w:rPr>
                <w:rFonts w:ascii="Arial" w:hAnsi="Arial" w:cs="Arial"/>
                <w:sz w:val="16"/>
                <w:szCs w:val="16"/>
                <w:lang w:val="it-IT"/>
              </w:rPr>
              <w:t xml:space="preserve"> Investimeve Publike</w:t>
            </w:r>
          </w:p>
        </w:tc>
        <w:tc>
          <w:tcPr>
            <w:tcW w:w="751" w:type="dxa"/>
            <w:tcBorders>
              <w:top w:val="single" w:sz="4" w:space="0" w:color="auto"/>
              <w:left w:val="single" w:sz="4" w:space="0" w:color="auto"/>
              <w:bottom w:val="single" w:sz="4" w:space="0" w:color="auto"/>
              <w:right w:val="single" w:sz="4" w:space="0" w:color="auto"/>
            </w:tcBorders>
            <w:vAlign w:val="center"/>
          </w:tcPr>
          <w:p w14:paraId="6C4E0223" w14:textId="317D457F" w:rsidR="0072161F" w:rsidRPr="001F151E" w:rsidRDefault="004F1726" w:rsidP="00611D69">
            <w:pPr>
              <w:jc w:val="center"/>
              <w:rPr>
                <w:sz w:val="16"/>
                <w:szCs w:val="16"/>
              </w:rPr>
            </w:pPr>
            <w:r>
              <w:rPr>
                <w:sz w:val="16"/>
                <w:szCs w:val="16"/>
              </w:rPr>
              <w:t>T</w:t>
            </w:r>
            <w:r w:rsidR="0072161F" w:rsidRPr="001F151E">
              <w:rPr>
                <w:sz w:val="16"/>
                <w:szCs w:val="16"/>
              </w:rPr>
              <w:t>2 2024</w:t>
            </w:r>
          </w:p>
        </w:tc>
        <w:tc>
          <w:tcPr>
            <w:tcW w:w="742" w:type="dxa"/>
            <w:tcBorders>
              <w:top w:val="single" w:sz="4" w:space="0" w:color="auto"/>
              <w:left w:val="single" w:sz="4" w:space="0" w:color="auto"/>
              <w:bottom w:val="single" w:sz="4" w:space="0" w:color="auto"/>
              <w:right w:val="single" w:sz="4" w:space="0" w:color="auto"/>
            </w:tcBorders>
            <w:vAlign w:val="center"/>
          </w:tcPr>
          <w:p w14:paraId="07B4F001" w14:textId="04118BA4" w:rsidR="0072161F" w:rsidRPr="001F151E" w:rsidRDefault="004F1726" w:rsidP="00611D69">
            <w:pPr>
              <w:jc w:val="center"/>
              <w:rPr>
                <w:sz w:val="16"/>
                <w:szCs w:val="16"/>
              </w:rPr>
            </w:pPr>
            <w:r>
              <w:rPr>
                <w:sz w:val="16"/>
                <w:szCs w:val="16"/>
              </w:rPr>
              <w:t>T</w:t>
            </w:r>
            <w:r w:rsidR="0072161F" w:rsidRPr="001F151E">
              <w:rPr>
                <w:sz w:val="16"/>
                <w:szCs w:val="16"/>
              </w:rPr>
              <w:t>4 2026</w:t>
            </w: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4368106F" w14:textId="77777777" w:rsidR="0072161F" w:rsidRPr="001F151E" w:rsidRDefault="0072161F" w:rsidP="0072161F">
            <w:pPr>
              <w:spacing w:line="240" w:lineRule="auto"/>
              <w:rPr>
                <w:sz w:val="16"/>
                <w:szCs w:val="16"/>
              </w:rPr>
            </w:pPr>
          </w:p>
        </w:tc>
      </w:tr>
      <w:tr w:rsidR="0072161F" w:rsidRPr="001F151E" w14:paraId="634F7816" w14:textId="77777777" w:rsidTr="00611D69">
        <w:trPr>
          <w:trHeight w:val="20"/>
        </w:trPr>
        <w:tc>
          <w:tcPr>
            <w:tcW w:w="2122" w:type="dxa"/>
            <w:vMerge w:val="restart"/>
            <w:tcBorders>
              <w:top w:val="single" w:sz="4" w:space="0" w:color="auto"/>
              <w:left w:val="single" w:sz="4" w:space="0" w:color="auto"/>
              <w:right w:val="single" w:sz="4" w:space="0" w:color="auto"/>
            </w:tcBorders>
          </w:tcPr>
          <w:p w14:paraId="04656811" w14:textId="7940CE92" w:rsidR="0072161F" w:rsidRPr="009D660E" w:rsidRDefault="0072161F" w:rsidP="002E0F45">
            <w:pPr>
              <w:spacing w:line="240" w:lineRule="auto"/>
              <w:rPr>
                <w:b/>
                <w:bCs/>
                <w:sz w:val="16"/>
                <w:szCs w:val="16"/>
                <w:lang w:val="it-IT"/>
              </w:rPr>
            </w:pPr>
            <w:r w:rsidRPr="009D660E">
              <w:rPr>
                <w:b/>
                <w:bCs/>
                <w:sz w:val="16"/>
                <w:szCs w:val="16"/>
                <w:lang w:val="it-IT"/>
              </w:rPr>
              <w:t>M</w:t>
            </w:r>
            <w:r w:rsidR="00A74514" w:rsidRPr="009D660E">
              <w:rPr>
                <w:b/>
                <w:bCs/>
                <w:sz w:val="16"/>
                <w:szCs w:val="16"/>
                <w:lang w:val="it-IT"/>
              </w:rPr>
              <w:t>asa</w:t>
            </w:r>
            <w:r w:rsidRPr="009D660E">
              <w:rPr>
                <w:b/>
                <w:bCs/>
                <w:sz w:val="16"/>
                <w:szCs w:val="16"/>
                <w:lang w:val="it-IT"/>
              </w:rPr>
              <w:t xml:space="preserve"> 2.5.3 </w:t>
            </w:r>
            <w:r w:rsidR="002E0F45" w:rsidRPr="009D660E">
              <w:rPr>
                <w:b/>
                <w:bCs/>
                <w:sz w:val="16"/>
                <w:szCs w:val="16"/>
                <w:lang w:val="it-IT"/>
              </w:rPr>
              <w:t>P</w:t>
            </w:r>
            <w:r w:rsidR="00D7294C" w:rsidRPr="009D660E">
              <w:rPr>
                <w:b/>
                <w:bCs/>
                <w:sz w:val="16"/>
                <w:szCs w:val="16"/>
                <w:lang w:val="it-IT"/>
              </w:rPr>
              <w:t>ë</w:t>
            </w:r>
            <w:r w:rsidR="002E0F45" w:rsidRPr="009D660E">
              <w:rPr>
                <w:b/>
                <w:bCs/>
                <w:sz w:val="16"/>
                <w:szCs w:val="16"/>
                <w:lang w:val="it-IT"/>
              </w:rPr>
              <w:t>rmir</w:t>
            </w:r>
            <w:r w:rsidR="00D7294C" w:rsidRPr="009D660E">
              <w:rPr>
                <w:b/>
                <w:bCs/>
                <w:sz w:val="16"/>
                <w:szCs w:val="16"/>
                <w:lang w:val="it-IT"/>
              </w:rPr>
              <w:t>ë</w:t>
            </w:r>
            <w:r w:rsidR="002E0F45" w:rsidRPr="009D660E">
              <w:rPr>
                <w:b/>
                <w:bCs/>
                <w:sz w:val="16"/>
                <w:szCs w:val="16"/>
                <w:lang w:val="it-IT"/>
              </w:rPr>
              <w:t>simi i monitorimit dhe raportimit p</w:t>
            </w:r>
            <w:r w:rsidR="00D7294C" w:rsidRPr="009D660E">
              <w:rPr>
                <w:b/>
                <w:bCs/>
                <w:sz w:val="16"/>
                <w:szCs w:val="16"/>
                <w:lang w:val="it-IT"/>
              </w:rPr>
              <w:t>ë</w:t>
            </w:r>
            <w:r w:rsidR="002E0F45" w:rsidRPr="009D660E">
              <w:rPr>
                <w:b/>
                <w:bCs/>
                <w:sz w:val="16"/>
                <w:szCs w:val="16"/>
                <w:lang w:val="it-IT"/>
              </w:rPr>
              <w:t>r PPP-t</w:t>
            </w:r>
            <w:r w:rsidR="00D7294C" w:rsidRPr="009D660E">
              <w:rPr>
                <w:b/>
                <w:bCs/>
                <w:sz w:val="16"/>
                <w:szCs w:val="16"/>
                <w:lang w:val="it-IT"/>
              </w:rPr>
              <w:t>ë</w:t>
            </w:r>
            <w:r w:rsidR="002E0F45" w:rsidRPr="009D660E">
              <w:rPr>
                <w:b/>
                <w:bCs/>
                <w:sz w:val="16"/>
                <w:szCs w:val="16"/>
                <w:lang w:val="it-IT"/>
              </w:rPr>
              <w:t xml:space="preserve"> dhe kontratat koncesionare</w:t>
            </w:r>
          </w:p>
        </w:tc>
        <w:tc>
          <w:tcPr>
            <w:tcW w:w="3717" w:type="dxa"/>
            <w:tcBorders>
              <w:top w:val="single" w:sz="4" w:space="0" w:color="auto"/>
              <w:left w:val="single" w:sz="4" w:space="0" w:color="auto"/>
              <w:bottom w:val="single" w:sz="4" w:space="0" w:color="auto"/>
              <w:right w:val="single" w:sz="4" w:space="0" w:color="auto"/>
            </w:tcBorders>
          </w:tcPr>
          <w:p w14:paraId="4155F6A5" w14:textId="3F61AD64" w:rsidR="0072161F" w:rsidRPr="009D660E" w:rsidRDefault="008D182F" w:rsidP="00CD7428">
            <w:pPr>
              <w:pStyle w:val="EcorysBody"/>
              <w:numPr>
                <w:ilvl w:val="0"/>
                <w:numId w:val="36"/>
              </w:numPr>
              <w:rPr>
                <w:rFonts w:ascii="Arial" w:hAnsi="Arial" w:cs="Arial"/>
                <w:sz w:val="16"/>
                <w:szCs w:val="16"/>
                <w:lang w:val="it-IT"/>
              </w:rPr>
            </w:pPr>
            <w:r w:rsidRPr="009D660E">
              <w:rPr>
                <w:rFonts w:ascii="Arial" w:hAnsi="Arial" w:cs="Arial"/>
                <w:sz w:val="16"/>
                <w:szCs w:val="16"/>
                <w:lang w:val="it-IT"/>
              </w:rPr>
              <w:t>P</w:t>
            </w:r>
            <w:r w:rsidR="00D7294C" w:rsidRPr="009D660E">
              <w:rPr>
                <w:rFonts w:ascii="Arial" w:hAnsi="Arial" w:cs="Arial"/>
                <w:sz w:val="16"/>
                <w:szCs w:val="16"/>
                <w:lang w:val="it-IT"/>
              </w:rPr>
              <w:t>ë</w:t>
            </w:r>
            <w:r w:rsidRPr="009D660E">
              <w:rPr>
                <w:rFonts w:ascii="Arial" w:hAnsi="Arial" w:cs="Arial"/>
                <w:sz w:val="16"/>
                <w:szCs w:val="16"/>
                <w:lang w:val="it-IT"/>
              </w:rPr>
              <w:t>rdit</w:t>
            </w:r>
            <w:r w:rsidR="00D7294C" w:rsidRPr="009D660E">
              <w:rPr>
                <w:rFonts w:ascii="Arial" w:hAnsi="Arial" w:cs="Arial"/>
                <w:sz w:val="16"/>
                <w:szCs w:val="16"/>
                <w:lang w:val="it-IT"/>
              </w:rPr>
              <w:t>ë</w:t>
            </w:r>
            <w:r w:rsidRPr="009D660E">
              <w:rPr>
                <w:rFonts w:ascii="Arial" w:hAnsi="Arial" w:cs="Arial"/>
                <w:sz w:val="16"/>
                <w:szCs w:val="16"/>
                <w:lang w:val="it-IT"/>
              </w:rPr>
              <w:t>simi i legjislacionit p</w:t>
            </w:r>
            <w:r w:rsidR="00D7294C" w:rsidRPr="009D660E">
              <w:rPr>
                <w:rFonts w:ascii="Arial" w:hAnsi="Arial" w:cs="Arial"/>
                <w:sz w:val="16"/>
                <w:szCs w:val="16"/>
                <w:lang w:val="it-IT"/>
              </w:rPr>
              <w:t>ë</w:t>
            </w:r>
            <w:r w:rsidRPr="009D660E">
              <w:rPr>
                <w:rFonts w:ascii="Arial" w:hAnsi="Arial" w:cs="Arial"/>
                <w:sz w:val="16"/>
                <w:szCs w:val="16"/>
                <w:lang w:val="it-IT"/>
              </w:rPr>
              <w:t>r PPP-t</w:t>
            </w:r>
            <w:r w:rsidR="00D7294C" w:rsidRPr="009D660E">
              <w:rPr>
                <w:rFonts w:ascii="Arial" w:hAnsi="Arial" w:cs="Arial"/>
                <w:sz w:val="16"/>
                <w:szCs w:val="16"/>
                <w:lang w:val="it-IT"/>
              </w:rPr>
              <w:t>ë</w:t>
            </w:r>
            <w:r w:rsidRPr="009D660E">
              <w:rPr>
                <w:rFonts w:ascii="Arial" w:hAnsi="Arial" w:cs="Arial"/>
                <w:sz w:val="16"/>
                <w:szCs w:val="16"/>
                <w:lang w:val="it-IT"/>
              </w:rPr>
              <w:t xml:space="preserve"> </w:t>
            </w:r>
            <w:r w:rsidR="00800575" w:rsidRPr="00561FA4">
              <w:rPr>
                <w:rStyle w:val="FootnoteReference"/>
                <w:rFonts w:cs="Arial"/>
              </w:rPr>
              <w:footnoteReference w:id="39"/>
            </w:r>
            <w:r w:rsidRPr="009D660E">
              <w:rPr>
                <w:rFonts w:ascii="Arial" w:hAnsi="Arial" w:cs="Arial"/>
                <w:sz w:val="16"/>
                <w:szCs w:val="16"/>
                <w:lang w:val="it-IT"/>
              </w:rPr>
              <w:t>dhe akteve n</w:t>
            </w:r>
            <w:r w:rsidR="00D7294C" w:rsidRPr="009D660E">
              <w:rPr>
                <w:rFonts w:ascii="Arial" w:hAnsi="Arial" w:cs="Arial"/>
                <w:sz w:val="16"/>
                <w:szCs w:val="16"/>
                <w:lang w:val="it-IT"/>
              </w:rPr>
              <w:t>ë</w:t>
            </w:r>
            <w:r w:rsidRPr="009D660E">
              <w:rPr>
                <w:rFonts w:ascii="Arial" w:hAnsi="Arial" w:cs="Arial"/>
                <w:sz w:val="16"/>
                <w:szCs w:val="16"/>
                <w:lang w:val="it-IT"/>
              </w:rPr>
              <w:t>nligjore p</w:t>
            </w:r>
            <w:r w:rsidR="00D7294C" w:rsidRPr="009D660E">
              <w:rPr>
                <w:rFonts w:ascii="Arial" w:hAnsi="Arial" w:cs="Arial"/>
                <w:sz w:val="16"/>
                <w:szCs w:val="16"/>
                <w:lang w:val="it-IT"/>
              </w:rPr>
              <w:t>ë</w:t>
            </w:r>
            <w:r w:rsidRPr="009D660E">
              <w:rPr>
                <w:rFonts w:ascii="Arial" w:hAnsi="Arial" w:cs="Arial"/>
                <w:sz w:val="16"/>
                <w:szCs w:val="16"/>
                <w:lang w:val="it-IT"/>
              </w:rPr>
              <w:t>rkat</w:t>
            </w:r>
            <w:r w:rsidR="00D7294C" w:rsidRPr="009D660E">
              <w:rPr>
                <w:rFonts w:ascii="Arial" w:hAnsi="Arial" w:cs="Arial"/>
                <w:sz w:val="16"/>
                <w:szCs w:val="16"/>
                <w:lang w:val="it-IT"/>
              </w:rPr>
              <w:t>ë</w:t>
            </w:r>
            <w:r w:rsidR="00833198" w:rsidRPr="009D660E">
              <w:rPr>
                <w:rFonts w:ascii="Arial" w:hAnsi="Arial" w:cs="Arial"/>
                <w:sz w:val="16"/>
                <w:szCs w:val="16"/>
                <w:lang w:val="it-IT"/>
              </w:rPr>
              <w:t>se</w:t>
            </w:r>
            <w:r w:rsidR="0072161F" w:rsidRPr="00561FA4">
              <w:rPr>
                <w:rStyle w:val="FootnoteReference"/>
                <w:rFonts w:cs="Arial"/>
              </w:rPr>
              <w:footnoteReference w:id="40"/>
            </w:r>
            <w:r w:rsidR="0072161F" w:rsidRPr="009D660E">
              <w:rPr>
                <w:rFonts w:ascii="Arial" w:hAnsi="Arial" w:cs="Arial"/>
                <w:sz w:val="16"/>
                <w:szCs w:val="16"/>
                <w:lang w:val="it-IT"/>
              </w:rPr>
              <w:t xml:space="preserve"> </w:t>
            </w:r>
            <w:r w:rsidR="00833198" w:rsidRPr="009D660E">
              <w:rPr>
                <w:rFonts w:ascii="Arial" w:hAnsi="Arial" w:cs="Arial"/>
                <w:sz w:val="16"/>
                <w:szCs w:val="16"/>
                <w:lang w:val="it-IT"/>
              </w:rPr>
              <w:t>p</w:t>
            </w:r>
            <w:r w:rsidR="00D7294C" w:rsidRPr="009D660E">
              <w:rPr>
                <w:rFonts w:ascii="Arial" w:hAnsi="Arial" w:cs="Arial"/>
                <w:sz w:val="16"/>
                <w:szCs w:val="16"/>
                <w:lang w:val="it-IT"/>
              </w:rPr>
              <w:t>ë</w:t>
            </w:r>
            <w:r w:rsidR="00833198" w:rsidRPr="009D660E">
              <w:rPr>
                <w:rFonts w:ascii="Arial" w:hAnsi="Arial" w:cs="Arial"/>
                <w:sz w:val="16"/>
                <w:szCs w:val="16"/>
                <w:lang w:val="it-IT"/>
              </w:rPr>
              <w:t>r t</w:t>
            </w:r>
            <w:r w:rsidR="00D7294C" w:rsidRPr="009D660E">
              <w:rPr>
                <w:rFonts w:ascii="Arial" w:hAnsi="Arial" w:cs="Arial"/>
                <w:sz w:val="16"/>
                <w:szCs w:val="16"/>
                <w:lang w:val="it-IT"/>
              </w:rPr>
              <w:t>ë</w:t>
            </w:r>
            <w:r w:rsidR="00833198" w:rsidRPr="009D660E">
              <w:rPr>
                <w:rFonts w:ascii="Arial" w:hAnsi="Arial" w:cs="Arial"/>
                <w:sz w:val="16"/>
                <w:szCs w:val="16"/>
                <w:lang w:val="it-IT"/>
              </w:rPr>
              <w:t xml:space="preserve"> siguruar monitorim dhe raportim adekuat n</w:t>
            </w:r>
            <w:r w:rsidR="00D7294C" w:rsidRPr="009D660E">
              <w:rPr>
                <w:rFonts w:ascii="Arial" w:hAnsi="Arial" w:cs="Arial"/>
                <w:sz w:val="16"/>
                <w:szCs w:val="16"/>
                <w:lang w:val="it-IT"/>
              </w:rPr>
              <w:t>ë</w:t>
            </w:r>
            <w:r w:rsidR="00833198" w:rsidRPr="009D660E">
              <w:rPr>
                <w:rFonts w:ascii="Arial" w:hAnsi="Arial" w:cs="Arial"/>
                <w:sz w:val="16"/>
                <w:szCs w:val="16"/>
                <w:lang w:val="it-IT"/>
              </w:rPr>
              <w:t xml:space="preserve"> nivel kontratash dhe portofoli/programi</w:t>
            </w:r>
          </w:p>
        </w:tc>
        <w:tc>
          <w:tcPr>
            <w:tcW w:w="751" w:type="dxa"/>
            <w:tcBorders>
              <w:top w:val="single" w:sz="4" w:space="0" w:color="auto"/>
              <w:left w:val="single" w:sz="4" w:space="0" w:color="auto"/>
              <w:bottom w:val="single" w:sz="4" w:space="0" w:color="auto"/>
              <w:right w:val="single" w:sz="4" w:space="0" w:color="auto"/>
            </w:tcBorders>
            <w:vAlign w:val="center"/>
          </w:tcPr>
          <w:p w14:paraId="19E3E0B3" w14:textId="62CA3D29" w:rsidR="0072161F" w:rsidRPr="00561FA4" w:rsidRDefault="00561FA4" w:rsidP="00CE3EA1">
            <w:pPr>
              <w:jc w:val="center"/>
              <w:rPr>
                <w:sz w:val="16"/>
                <w:szCs w:val="16"/>
              </w:rPr>
            </w:pPr>
            <w:r>
              <w:rPr>
                <w:sz w:val="16"/>
                <w:szCs w:val="16"/>
              </w:rPr>
              <w:t>T</w:t>
            </w:r>
            <w:r w:rsidRPr="001F151E">
              <w:rPr>
                <w:sz w:val="16"/>
                <w:szCs w:val="16"/>
              </w:rPr>
              <w:t>4 2024</w:t>
            </w:r>
          </w:p>
        </w:tc>
        <w:tc>
          <w:tcPr>
            <w:tcW w:w="742" w:type="dxa"/>
            <w:tcBorders>
              <w:top w:val="single" w:sz="4" w:space="0" w:color="auto"/>
              <w:left w:val="single" w:sz="4" w:space="0" w:color="auto"/>
              <w:bottom w:val="single" w:sz="4" w:space="0" w:color="auto"/>
              <w:right w:val="single" w:sz="4" w:space="0" w:color="auto"/>
            </w:tcBorders>
            <w:vAlign w:val="center"/>
          </w:tcPr>
          <w:p w14:paraId="562FF4D0" w14:textId="29B7F961" w:rsidR="0072161F" w:rsidRPr="00561FA4" w:rsidRDefault="004F1726" w:rsidP="00561FA4">
            <w:pPr>
              <w:jc w:val="center"/>
              <w:rPr>
                <w:sz w:val="16"/>
                <w:szCs w:val="16"/>
              </w:rPr>
            </w:pPr>
            <w:r w:rsidRPr="00561FA4">
              <w:rPr>
                <w:sz w:val="16"/>
                <w:szCs w:val="16"/>
              </w:rPr>
              <w:t>T</w:t>
            </w:r>
            <w:r w:rsidR="00C157D5" w:rsidRPr="00561FA4">
              <w:rPr>
                <w:sz w:val="16"/>
                <w:szCs w:val="16"/>
              </w:rPr>
              <w:t>4 202</w:t>
            </w:r>
            <w:r w:rsidR="00561FA4">
              <w:rPr>
                <w:sz w:val="16"/>
                <w:szCs w:val="16"/>
              </w:rPr>
              <w:t>5</w:t>
            </w:r>
          </w:p>
        </w:tc>
        <w:tc>
          <w:tcPr>
            <w:tcW w:w="1684" w:type="dxa"/>
            <w:vMerge w:val="restart"/>
            <w:tcBorders>
              <w:top w:val="single" w:sz="4" w:space="0" w:color="auto"/>
              <w:left w:val="single" w:sz="4" w:space="0" w:color="auto"/>
              <w:right w:val="single" w:sz="4" w:space="0" w:color="auto"/>
            </w:tcBorders>
          </w:tcPr>
          <w:p w14:paraId="08CFBBD6" w14:textId="009FFD96" w:rsidR="0072161F" w:rsidRPr="001F151E" w:rsidRDefault="00A74514" w:rsidP="0072161F">
            <w:pPr>
              <w:spacing w:line="240" w:lineRule="auto"/>
              <w:rPr>
                <w:b/>
                <w:bCs/>
                <w:sz w:val="16"/>
                <w:szCs w:val="16"/>
              </w:rPr>
            </w:pPr>
            <w:r>
              <w:rPr>
                <w:b/>
                <w:bCs/>
                <w:sz w:val="16"/>
                <w:szCs w:val="16"/>
              </w:rPr>
              <w:t>Nj</w:t>
            </w:r>
            <w:r w:rsidR="00D7294C">
              <w:rPr>
                <w:b/>
                <w:bCs/>
                <w:sz w:val="16"/>
                <w:szCs w:val="16"/>
              </w:rPr>
              <w:t>ë</w:t>
            </w:r>
            <w:r>
              <w:rPr>
                <w:b/>
                <w:bCs/>
                <w:sz w:val="16"/>
                <w:szCs w:val="16"/>
              </w:rPr>
              <w:t>sit</w:t>
            </w:r>
            <w:r w:rsidR="00D7294C">
              <w:rPr>
                <w:b/>
                <w:bCs/>
                <w:sz w:val="16"/>
                <w:szCs w:val="16"/>
              </w:rPr>
              <w:t>ë</w:t>
            </w:r>
            <w:r>
              <w:rPr>
                <w:b/>
                <w:bCs/>
                <w:sz w:val="16"/>
                <w:szCs w:val="16"/>
              </w:rPr>
              <w:t xml:space="preserve"> p</w:t>
            </w:r>
            <w:r w:rsidR="00D7294C">
              <w:rPr>
                <w:b/>
                <w:bCs/>
                <w:sz w:val="16"/>
                <w:szCs w:val="16"/>
              </w:rPr>
              <w:t>ë</w:t>
            </w:r>
            <w:r>
              <w:rPr>
                <w:b/>
                <w:bCs/>
                <w:sz w:val="16"/>
                <w:szCs w:val="16"/>
              </w:rPr>
              <w:t>rgjegj</w:t>
            </w:r>
            <w:r w:rsidR="00D7294C">
              <w:rPr>
                <w:b/>
                <w:bCs/>
                <w:sz w:val="16"/>
                <w:szCs w:val="16"/>
              </w:rPr>
              <w:t>ë</w:t>
            </w:r>
            <w:r>
              <w:rPr>
                <w:b/>
                <w:bCs/>
                <w:sz w:val="16"/>
                <w:szCs w:val="16"/>
              </w:rPr>
              <w:t>se</w:t>
            </w:r>
            <w:r w:rsidR="0072161F" w:rsidRPr="001F151E">
              <w:rPr>
                <w:b/>
                <w:bCs/>
                <w:sz w:val="16"/>
                <w:szCs w:val="16"/>
              </w:rPr>
              <w:t>:</w:t>
            </w:r>
          </w:p>
          <w:p w14:paraId="2465C647" w14:textId="19F084D3" w:rsidR="0072161F" w:rsidRPr="001F151E" w:rsidRDefault="00203791" w:rsidP="0072161F">
            <w:pPr>
              <w:spacing w:line="240" w:lineRule="auto"/>
              <w:rPr>
                <w:sz w:val="16"/>
                <w:szCs w:val="16"/>
              </w:rPr>
            </w:pPr>
            <w:r>
              <w:rPr>
                <w:sz w:val="16"/>
                <w:szCs w:val="16"/>
              </w:rPr>
              <w:t>DK (lider</w:t>
            </w:r>
            <w:r w:rsidR="0072161F" w:rsidRPr="001F151E">
              <w:rPr>
                <w:sz w:val="16"/>
                <w:szCs w:val="16"/>
              </w:rPr>
              <w:t>), ATRAKO, D</w:t>
            </w:r>
            <w:r>
              <w:rPr>
                <w:sz w:val="16"/>
                <w:szCs w:val="16"/>
              </w:rPr>
              <w:t>MIP</w:t>
            </w:r>
            <w:r w:rsidR="0072161F" w:rsidRPr="001F151E">
              <w:rPr>
                <w:sz w:val="16"/>
                <w:szCs w:val="16"/>
              </w:rPr>
              <w:t xml:space="preserve">, </w:t>
            </w:r>
          </w:p>
          <w:p w14:paraId="6F745AD8" w14:textId="77777777" w:rsidR="0072161F" w:rsidRPr="001F151E" w:rsidRDefault="0072161F" w:rsidP="0072161F">
            <w:pPr>
              <w:spacing w:line="240" w:lineRule="auto"/>
              <w:rPr>
                <w:sz w:val="16"/>
                <w:szCs w:val="16"/>
              </w:rPr>
            </w:pPr>
          </w:p>
          <w:p w14:paraId="5DCE147E" w14:textId="0CE5E717" w:rsidR="0072161F" w:rsidRPr="00A74514" w:rsidRDefault="0072161F" w:rsidP="0072161F">
            <w:pPr>
              <w:spacing w:line="240" w:lineRule="auto"/>
              <w:rPr>
                <w:b/>
                <w:bCs/>
                <w:sz w:val="16"/>
                <w:szCs w:val="16"/>
              </w:rPr>
            </w:pPr>
            <w:r w:rsidRPr="00A74514">
              <w:rPr>
                <w:b/>
                <w:bCs/>
                <w:sz w:val="16"/>
                <w:szCs w:val="16"/>
              </w:rPr>
              <w:t>Partner</w:t>
            </w:r>
            <w:r w:rsidR="00D7294C">
              <w:rPr>
                <w:b/>
                <w:bCs/>
                <w:sz w:val="16"/>
                <w:szCs w:val="16"/>
              </w:rPr>
              <w:t>ë</w:t>
            </w:r>
            <w:r w:rsidR="00A74514" w:rsidRPr="00A74514">
              <w:rPr>
                <w:b/>
                <w:bCs/>
                <w:sz w:val="16"/>
                <w:szCs w:val="16"/>
              </w:rPr>
              <w:t>t</w:t>
            </w:r>
            <w:r w:rsidRPr="00A74514">
              <w:rPr>
                <w:b/>
                <w:bCs/>
                <w:sz w:val="16"/>
                <w:szCs w:val="16"/>
              </w:rPr>
              <w:t>:</w:t>
            </w:r>
          </w:p>
          <w:p w14:paraId="45F501B6" w14:textId="4264CF85" w:rsidR="0072161F" w:rsidRPr="001F151E" w:rsidRDefault="0072161F" w:rsidP="0072161F">
            <w:pPr>
              <w:spacing w:line="240" w:lineRule="auto"/>
              <w:rPr>
                <w:sz w:val="16"/>
                <w:szCs w:val="16"/>
              </w:rPr>
            </w:pPr>
            <w:r w:rsidRPr="001F151E">
              <w:rPr>
                <w:sz w:val="16"/>
                <w:szCs w:val="16"/>
              </w:rPr>
              <w:t>F</w:t>
            </w:r>
            <w:r w:rsidR="00A74514">
              <w:rPr>
                <w:sz w:val="16"/>
                <w:szCs w:val="16"/>
              </w:rPr>
              <w:t>MN, BE</w:t>
            </w:r>
            <w:r w:rsidRPr="001F151E">
              <w:rPr>
                <w:rStyle w:val="FootnoteReference"/>
              </w:rPr>
              <w:footnoteReference w:id="41"/>
            </w:r>
          </w:p>
        </w:tc>
      </w:tr>
      <w:tr w:rsidR="0072161F" w:rsidRPr="001F151E" w14:paraId="5E939E74" w14:textId="77777777" w:rsidTr="00611D69">
        <w:trPr>
          <w:trHeight w:val="20"/>
        </w:trPr>
        <w:tc>
          <w:tcPr>
            <w:tcW w:w="2122" w:type="dxa"/>
            <w:vMerge/>
            <w:tcBorders>
              <w:left w:val="single" w:sz="4" w:space="0" w:color="auto"/>
              <w:right w:val="single" w:sz="4" w:space="0" w:color="auto"/>
            </w:tcBorders>
            <w:vAlign w:val="center"/>
          </w:tcPr>
          <w:p w14:paraId="7ABEBD14" w14:textId="77777777" w:rsidR="0072161F" w:rsidRPr="001F151E" w:rsidRDefault="0072161F" w:rsidP="0072161F">
            <w:pPr>
              <w:spacing w:line="240" w:lineRule="auto"/>
              <w:rPr>
                <w:b/>
                <w:bCs/>
                <w:sz w:val="16"/>
                <w:szCs w:val="16"/>
              </w:rPr>
            </w:pPr>
          </w:p>
        </w:tc>
        <w:tc>
          <w:tcPr>
            <w:tcW w:w="3717" w:type="dxa"/>
            <w:tcBorders>
              <w:top w:val="single" w:sz="4" w:space="0" w:color="auto"/>
              <w:left w:val="single" w:sz="4" w:space="0" w:color="auto"/>
              <w:bottom w:val="single" w:sz="4" w:space="0" w:color="auto"/>
              <w:right w:val="single" w:sz="4" w:space="0" w:color="auto"/>
            </w:tcBorders>
            <w:vAlign w:val="center"/>
          </w:tcPr>
          <w:p w14:paraId="0268A759" w14:textId="681FF410" w:rsidR="0072161F" w:rsidRPr="001F151E" w:rsidRDefault="00833198" w:rsidP="00CD7428">
            <w:pPr>
              <w:pStyle w:val="EcorysBody"/>
              <w:numPr>
                <w:ilvl w:val="0"/>
                <w:numId w:val="36"/>
              </w:numPr>
              <w:rPr>
                <w:rFonts w:ascii="Arial" w:hAnsi="Arial" w:cs="Arial"/>
                <w:sz w:val="16"/>
                <w:szCs w:val="16"/>
              </w:rPr>
            </w:pPr>
            <w:r>
              <w:rPr>
                <w:rFonts w:ascii="Arial" w:hAnsi="Arial" w:cs="Arial"/>
                <w:sz w:val="16"/>
                <w:szCs w:val="16"/>
              </w:rPr>
              <w:t>Zhvillimi i nj</w:t>
            </w:r>
            <w:r w:rsidR="00D7294C">
              <w:rPr>
                <w:rFonts w:ascii="Arial" w:hAnsi="Arial" w:cs="Arial"/>
                <w:sz w:val="16"/>
                <w:szCs w:val="16"/>
              </w:rPr>
              <w:t>ë</w:t>
            </w:r>
            <w:r>
              <w:rPr>
                <w:rFonts w:ascii="Arial" w:hAnsi="Arial" w:cs="Arial"/>
                <w:sz w:val="16"/>
                <w:szCs w:val="16"/>
              </w:rPr>
              <w:t xml:space="preserve"> sistemi informacioni t</w:t>
            </w:r>
            <w:r w:rsidR="00D7294C">
              <w:rPr>
                <w:rFonts w:ascii="Arial" w:hAnsi="Arial" w:cs="Arial"/>
                <w:sz w:val="16"/>
                <w:szCs w:val="16"/>
              </w:rPr>
              <w:t>ë</w:t>
            </w:r>
            <w:r>
              <w:rPr>
                <w:rFonts w:ascii="Arial" w:hAnsi="Arial" w:cs="Arial"/>
                <w:sz w:val="16"/>
                <w:szCs w:val="16"/>
              </w:rPr>
              <w:t xml:space="preserve"> dedikuar p</w:t>
            </w:r>
            <w:r w:rsidR="00D7294C">
              <w:rPr>
                <w:rFonts w:ascii="Arial" w:hAnsi="Arial" w:cs="Arial"/>
                <w:sz w:val="16"/>
                <w:szCs w:val="16"/>
              </w:rPr>
              <w:t>ë</w:t>
            </w:r>
            <w:r>
              <w:rPr>
                <w:rFonts w:ascii="Arial" w:hAnsi="Arial" w:cs="Arial"/>
                <w:sz w:val="16"/>
                <w:szCs w:val="16"/>
              </w:rPr>
              <w:t>r monitorimin dhe raportimin p</w:t>
            </w:r>
            <w:r w:rsidR="00D7294C">
              <w:rPr>
                <w:rFonts w:ascii="Arial" w:hAnsi="Arial" w:cs="Arial"/>
                <w:sz w:val="16"/>
                <w:szCs w:val="16"/>
              </w:rPr>
              <w:t>ë</w:t>
            </w:r>
            <w:r>
              <w:rPr>
                <w:rFonts w:ascii="Arial" w:hAnsi="Arial" w:cs="Arial"/>
                <w:sz w:val="16"/>
                <w:szCs w:val="16"/>
              </w:rPr>
              <w:t>r PPP-t</w:t>
            </w:r>
            <w:r w:rsidR="00D7294C">
              <w:rPr>
                <w:rFonts w:ascii="Arial" w:hAnsi="Arial" w:cs="Arial"/>
                <w:sz w:val="16"/>
                <w:szCs w:val="16"/>
              </w:rPr>
              <w:t>ë</w:t>
            </w:r>
            <w:r>
              <w:rPr>
                <w:rFonts w:ascii="Arial" w:hAnsi="Arial" w:cs="Arial"/>
                <w:sz w:val="16"/>
                <w:szCs w:val="16"/>
              </w:rPr>
              <w:t xml:space="preserve"> dhe kontratat koncesionare dhe p</w:t>
            </w:r>
            <w:r w:rsidR="00D7294C">
              <w:rPr>
                <w:rFonts w:ascii="Arial" w:hAnsi="Arial" w:cs="Arial"/>
                <w:sz w:val="16"/>
                <w:szCs w:val="16"/>
              </w:rPr>
              <w:t>ë</w:t>
            </w:r>
            <w:r>
              <w:rPr>
                <w:rFonts w:ascii="Arial" w:hAnsi="Arial" w:cs="Arial"/>
                <w:sz w:val="16"/>
                <w:szCs w:val="16"/>
              </w:rPr>
              <w:t>rgatitja p</w:t>
            </w:r>
            <w:r w:rsidR="00D7294C">
              <w:rPr>
                <w:rFonts w:ascii="Arial" w:hAnsi="Arial" w:cs="Arial"/>
                <w:sz w:val="16"/>
                <w:szCs w:val="16"/>
              </w:rPr>
              <w:t>ë</w:t>
            </w:r>
            <w:r>
              <w:rPr>
                <w:rFonts w:ascii="Arial" w:hAnsi="Arial" w:cs="Arial"/>
                <w:sz w:val="16"/>
                <w:szCs w:val="16"/>
              </w:rPr>
              <w:t>r nd</w:t>
            </w:r>
            <w:r w:rsidR="00D7294C">
              <w:rPr>
                <w:rFonts w:ascii="Arial" w:hAnsi="Arial" w:cs="Arial"/>
                <w:sz w:val="16"/>
                <w:szCs w:val="16"/>
              </w:rPr>
              <w:t>ë</w:t>
            </w:r>
            <w:r>
              <w:rPr>
                <w:rFonts w:ascii="Arial" w:hAnsi="Arial" w:cs="Arial"/>
                <w:sz w:val="16"/>
                <w:szCs w:val="16"/>
              </w:rPr>
              <w:t xml:space="preserve">rlidhjet e nevojshme me sistemet e tjera. </w:t>
            </w:r>
          </w:p>
        </w:tc>
        <w:tc>
          <w:tcPr>
            <w:tcW w:w="751" w:type="dxa"/>
            <w:tcBorders>
              <w:top w:val="single" w:sz="4" w:space="0" w:color="auto"/>
              <w:left w:val="single" w:sz="4" w:space="0" w:color="auto"/>
              <w:bottom w:val="single" w:sz="4" w:space="0" w:color="auto"/>
              <w:right w:val="single" w:sz="4" w:space="0" w:color="auto"/>
            </w:tcBorders>
            <w:vAlign w:val="center"/>
          </w:tcPr>
          <w:p w14:paraId="03E8B736" w14:textId="4A890ED6" w:rsidR="0072161F" w:rsidRPr="001F151E" w:rsidRDefault="004F1726" w:rsidP="00611D69">
            <w:pPr>
              <w:jc w:val="center"/>
              <w:rPr>
                <w:sz w:val="16"/>
                <w:szCs w:val="16"/>
              </w:rPr>
            </w:pPr>
            <w:r>
              <w:rPr>
                <w:sz w:val="16"/>
                <w:szCs w:val="16"/>
              </w:rPr>
              <w:t>T</w:t>
            </w:r>
            <w:r w:rsidR="008F6F42" w:rsidRPr="001F151E">
              <w:rPr>
                <w:sz w:val="16"/>
                <w:szCs w:val="16"/>
              </w:rPr>
              <w:t>4 2025</w:t>
            </w:r>
          </w:p>
        </w:tc>
        <w:tc>
          <w:tcPr>
            <w:tcW w:w="742" w:type="dxa"/>
            <w:tcBorders>
              <w:top w:val="single" w:sz="4" w:space="0" w:color="auto"/>
              <w:left w:val="single" w:sz="4" w:space="0" w:color="auto"/>
              <w:bottom w:val="single" w:sz="4" w:space="0" w:color="auto"/>
              <w:right w:val="single" w:sz="4" w:space="0" w:color="auto"/>
            </w:tcBorders>
            <w:vAlign w:val="center"/>
          </w:tcPr>
          <w:p w14:paraId="11C936BD" w14:textId="4F7BBDF1" w:rsidR="0072161F" w:rsidRPr="001F151E" w:rsidRDefault="004F1726" w:rsidP="00611D69">
            <w:pPr>
              <w:jc w:val="center"/>
              <w:rPr>
                <w:sz w:val="16"/>
                <w:szCs w:val="16"/>
              </w:rPr>
            </w:pPr>
            <w:r>
              <w:rPr>
                <w:sz w:val="16"/>
                <w:szCs w:val="16"/>
              </w:rPr>
              <w:t>T</w:t>
            </w:r>
            <w:r w:rsidR="008F6F42" w:rsidRPr="001F151E">
              <w:rPr>
                <w:sz w:val="16"/>
                <w:szCs w:val="16"/>
              </w:rPr>
              <w:t>4 2026</w:t>
            </w:r>
          </w:p>
        </w:tc>
        <w:tc>
          <w:tcPr>
            <w:tcW w:w="1684" w:type="dxa"/>
            <w:vMerge/>
            <w:tcBorders>
              <w:left w:val="single" w:sz="4" w:space="0" w:color="auto"/>
              <w:right w:val="single" w:sz="4" w:space="0" w:color="auto"/>
            </w:tcBorders>
            <w:vAlign w:val="center"/>
          </w:tcPr>
          <w:p w14:paraId="6F45A9E5" w14:textId="77777777" w:rsidR="0072161F" w:rsidRPr="001F151E" w:rsidRDefault="0072161F" w:rsidP="0072161F">
            <w:pPr>
              <w:spacing w:line="240" w:lineRule="auto"/>
              <w:rPr>
                <w:sz w:val="16"/>
                <w:szCs w:val="16"/>
              </w:rPr>
            </w:pPr>
          </w:p>
        </w:tc>
      </w:tr>
      <w:tr w:rsidR="0072161F" w:rsidRPr="001F151E" w14:paraId="32B8469A" w14:textId="77777777" w:rsidTr="00611D69">
        <w:trPr>
          <w:trHeight w:val="20"/>
        </w:trPr>
        <w:tc>
          <w:tcPr>
            <w:tcW w:w="2122" w:type="dxa"/>
            <w:vMerge/>
            <w:tcBorders>
              <w:left w:val="single" w:sz="4" w:space="0" w:color="auto"/>
              <w:bottom w:val="single" w:sz="4" w:space="0" w:color="auto"/>
              <w:right w:val="single" w:sz="4" w:space="0" w:color="auto"/>
            </w:tcBorders>
            <w:vAlign w:val="center"/>
          </w:tcPr>
          <w:p w14:paraId="6032ABB8" w14:textId="77777777" w:rsidR="0072161F" w:rsidRPr="001F151E" w:rsidRDefault="0072161F" w:rsidP="0072161F">
            <w:pPr>
              <w:spacing w:line="240" w:lineRule="auto"/>
              <w:rPr>
                <w:b/>
                <w:bCs/>
                <w:sz w:val="16"/>
                <w:szCs w:val="16"/>
              </w:rPr>
            </w:pPr>
          </w:p>
        </w:tc>
        <w:tc>
          <w:tcPr>
            <w:tcW w:w="3717" w:type="dxa"/>
            <w:tcBorders>
              <w:top w:val="single" w:sz="4" w:space="0" w:color="auto"/>
              <w:left w:val="single" w:sz="4" w:space="0" w:color="auto"/>
              <w:bottom w:val="single" w:sz="4" w:space="0" w:color="auto"/>
              <w:right w:val="single" w:sz="4" w:space="0" w:color="auto"/>
            </w:tcBorders>
            <w:vAlign w:val="center"/>
          </w:tcPr>
          <w:p w14:paraId="12F29B0C" w14:textId="5C806D6B" w:rsidR="0072161F" w:rsidRPr="001F151E" w:rsidRDefault="00833198" w:rsidP="00CD7428">
            <w:pPr>
              <w:pStyle w:val="EcorysBody"/>
              <w:numPr>
                <w:ilvl w:val="0"/>
                <w:numId w:val="36"/>
              </w:numPr>
              <w:rPr>
                <w:rFonts w:ascii="Arial" w:hAnsi="Arial" w:cs="Arial"/>
                <w:sz w:val="16"/>
                <w:szCs w:val="16"/>
              </w:rPr>
            </w:pPr>
            <w:r>
              <w:rPr>
                <w:rFonts w:ascii="Arial" w:hAnsi="Arial" w:cs="Arial"/>
                <w:sz w:val="16"/>
                <w:szCs w:val="16"/>
              </w:rPr>
              <w:t>Planifikimi dhe ofrimi i aktiviteteve trajnuese p</w:t>
            </w:r>
            <w:r w:rsidR="00D7294C">
              <w:rPr>
                <w:rFonts w:ascii="Arial" w:hAnsi="Arial" w:cs="Arial"/>
                <w:sz w:val="16"/>
                <w:szCs w:val="16"/>
              </w:rPr>
              <w:t>ë</w:t>
            </w:r>
            <w:r>
              <w:rPr>
                <w:rFonts w:ascii="Arial" w:hAnsi="Arial" w:cs="Arial"/>
                <w:sz w:val="16"/>
                <w:szCs w:val="16"/>
              </w:rPr>
              <w:t>r n</w:t>
            </w:r>
            <w:r w:rsidR="00D7294C">
              <w:rPr>
                <w:rFonts w:ascii="Arial" w:hAnsi="Arial" w:cs="Arial"/>
                <w:sz w:val="16"/>
                <w:szCs w:val="16"/>
              </w:rPr>
              <w:t>ë</w:t>
            </w:r>
            <w:r>
              <w:rPr>
                <w:rFonts w:ascii="Arial" w:hAnsi="Arial" w:cs="Arial"/>
                <w:sz w:val="16"/>
                <w:szCs w:val="16"/>
              </w:rPr>
              <w:t>pun</w:t>
            </w:r>
            <w:r w:rsidR="00D7294C">
              <w:rPr>
                <w:rFonts w:ascii="Arial" w:hAnsi="Arial" w:cs="Arial"/>
                <w:sz w:val="16"/>
                <w:szCs w:val="16"/>
              </w:rPr>
              <w:t>ë</w:t>
            </w:r>
            <w:r>
              <w:rPr>
                <w:rFonts w:ascii="Arial" w:hAnsi="Arial" w:cs="Arial"/>
                <w:sz w:val="16"/>
                <w:szCs w:val="16"/>
              </w:rPr>
              <w:t>sit civil</w:t>
            </w:r>
            <w:r w:rsidR="00D7294C">
              <w:rPr>
                <w:rFonts w:ascii="Arial" w:hAnsi="Arial" w:cs="Arial"/>
                <w:sz w:val="16"/>
                <w:szCs w:val="16"/>
              </w:rPr>
              <w:t>ë</w:t>
            </w:r>
            <w:r>
              <w:rPr>
                <w:rFonts w:ascii="Arial" w:hAnsi="Arial" w:cs="Arial"/>
                <w:sz w:val="16"/>
                <w:szCs w:val="16"/>
              </w:rPr>
              <w:t xml:space="preserve"> p</w:t>
            </w:r>
            <w:r w:rsidR="00D7294C">
              <w:rPr>
                <w:rFonts w:ascii="Arial" w:hAnsi="Arial" w:cs="Arial"/>
                <w:sz w:val="16"/>
                <w:szCs w:val="16"/>
              </w:rPr>
              <w:t>ë</w:t>
            </w:r>
            <w:r>
              <w:rPr>
                <w:rFonts w:ascii="Arial" w:hAnsi="Arial" w:cs="Arial"/>
                <w:sz w:val="16"/>
                <w:szCs w:val="16"/>
              </w:rPr>
              <w:t>rgjegj</w:t>
            </w:r>
            <w:r w:rsidR="00D7294C">
              <w:rPr>
                <w:rFonts w:ascii="Arial" w:hAnsi="Arial" w:cs="Arial"/>
                <w:sz w:val="16"/>
                <w:szCs w:val="16"/>
              </w:rPr>
              <w:t>ë</w:t>
            </w:r>
            <w:r>
              <w:rPr>
                <w:rFonts w:ascii="Arial" w:hAnsi="Arial" w:cs="Arial"/>
                <w:sz w:val="16"/>
                <w:szCs w:val="16"/>
              </w:rPr>
              <w:t>s p</w:t>
            </w:r>
            <w:r w:rsidR="00D7294C">
              <w:rPr>
                <w:rFonts w:ascii="Arial" w:hAnsi="Arial" w:cs="Arial"/>
                <w:sz w:val="16"/>
                <w:szCs w:val="16"/>
              </w:rPr>
              <w:t>ë</w:t>
            </w:r>
            <w:r>
              <w:rPr>
                <w:rFonts w:ascii="Arial" w:hAnsi="Arial" w:cs="Arial"/>
                <w:sz w:val="16"/>
                <w:szCs w:val="16"/>
              </w:rPr>
              <w:t xml:space="preserve">r monitorimin dhe raportimin e PPP-ve dhe kontratave koncesionare. </w:t>
            </w:r>
          </w:p>
        </w:tc>
        <w:tc>
          <w:tcPr>
            <w:tcW w:w="751" w:type="dxa"/>
            <w:tcBorders>
              <w:top w:val="single" w:sz="4" w:space="0" w:color="auto"/>
              <w:left w:val="single" w:sz="4" w:space="0" w:color="auto"/>
              <w:bottom w:val="single" w:sz="4" w:space="0" w:color="auto"/>
              <w:right w:val="single" w:sz="4" w:space="0" w:color="auto"/>
            </w:tcBorders>
            <w:vAlign w:val="center"/>
          </w:tcPr>
          <w:p w14:paraId="0032CFBD" w14:textId="0864F54D" w:rsidR="0072161F" w:rsidRPr="001F151E" w:rsidRDefault="004F1726" w:rsidP="00611D69">
            <w:pPr>
              <w:jc w:val="center"/>
              <w:rPr>
                <w:sz w:val="16"/>
                <w:szCs w:val="16"/>
              </w:rPr>
            </w:pPr>
            <w:r>
              <w:rPr>
                <w:sz w:val="16"/>
                <w:szCs w:val="16"/>
              </w:rPr>
              <w:t>T</w:t>
            </w:r>
            <w:r w:rsidR="008F6F42" w:rsidRPr="001F151E">
              <w:rPr>
                <w:sz w:val="16"/>
                <w:szCs w:val="16"/>
              </w:rPr>
              <w:t xml:space="preserve">1 </w:t>
            </w:r>
            <w:r w:rsidR="009D3AD8" w:rsidRPr="001F151E">
              <w:rPr>
                <w:sz w:val="16"/>
                <w:szCs w:val="16"/>
              </w:rPr>
              <w:t>2025</w:t>
            </w:r>
          </w:p>
        </w:tc>
        <w:tc>
          <w:tcPr>
            <w:tcW w:w="742" w:type="dxa"/>
            <w:tcBorders>
              <w:top w:val="single" w:sz="4" w:space="0" w:color="auto"/>
              <w:left w:val="single" w:sz="4" w:space="0" w:color="auto"/>
              <w:bottom w:val="single" w:sz="4" w:space="0" w:color="auto"/>
              <w:right w:val="single" w:sz="4" w:space="0" w:color="auto"/>
            </w:tcBorders>
            <w:vAlign w:val="center"/>
          </w:tcPr>
          <w:p w14:paraId="385837DD" w14:textId="79D45447" w:rsidR="0072161F" w:rsidRPr="001F151E" w:rsidRDefault="004F1726" w:rsidP="00611D69">
            <w:pPr>
              <w:jc w:val="center"/>
              <w:rPr>
                <w:sz w:val="16"/>
                <w:szCs w:val="16"/>
              </w:rPr>
            </w:pPr>
            <w:r>
              <w:rPr>
                <w:sz w:val="16"/>
                <w:szCs w:val="16"/>
              </w:rPr>
              <w:t>T</w:t>
            </w:r>
            <w:r w:rsidR="008F6F42" w:rsidRPr="001F151E">
              <w:rPr>
                <w:sz w:val="16"/>
                <w:szCs w:val="16"/>
              </w:rPr>
              <w:t xml:space="preserve">4 </w:t>
            </w:r>
            <w:r w:rsidR="009D3AD8" w:rsidRPr="001F151E">
              <w:rPr>
                <w:sz w:val="16"/>
                <w:szCs w:val="16"/>
              </w:rPr>
              <w:t>2026</w:t>
            </w:r>
          </w:p>
        </w:tc>
        <w:tc>
          <w:tcPr>
            <w:tcW w:w="1684" w:type="dxa"/>
            <w:vMerge/>
            <w:tcBorders>
              <w:left w:val="single" w:sz="4" w:space="0" w:color="auto"/>
              <w:bottom w:val="single" w:sz="4" w:space="0" w:color="auto"/>
              <w:right w:val="single" w:sz="4" w:space="0" w:color="auto"/>
            </w:tcBorders>
            <w:vAlign w:val="center"/>
          </w:tcPr>
          <w:p w14:paraId="2B63E797" w14:textId="77777777" w:rsidR="0072161F" w:rsidRPr="001F151E" w:rsidRDefault="0072161F" w:rsidP="0072161F">
            <w:pPr>
              <w:spacing w:line="240" w:lineRule="auto"/>
              <w:rPr>
                <w:sz w:val="16"/>
                <w:szCs w:val="16"/>
              </w:rPr>
            </w:pPr>
          </w:p>
        </w:tc>
      </w:tr>
    </w:tbl>
    <w:p w14:paraId="62794501" w14:textId="77777777" w:rsidR="0007140E" w:rsidRPr="001F151E" w:rsidRDefault="0007140E" w:rsidP="0007140E">
      <w:pPr>
        <w:pStyle w:val="H5"/>
        <w:rPr>
          <w:rStyle w:val="IntenseReference"/>
          <w:i w:val="0"/>
          <w:lang w:val="en-GB"/>
        </w:rPr>
      </w:pPr>
    </w:p>
    <w:p w14:paraId="61592701" w14:textId="04AE6DB4" w:rsidR="0007140E" w:rsidRPr="009D660E" w:rsidRDefault="00A74514" w:rsidP="0007140E">
      <w:pPr>
        <w:pStyle w:val="H5"/>
        <w:rPr>
          <w:rStyle w:val="IntenseReference"/>
          <w:i w:val="0"/>
          <w:lang w:val="it-IT"/>
        </w:rPr>
      </w:pPr>
      <w:r w:rsidRPr="009D660E">
        <w:rPr>
          <w:rStyle w:val="IntenseReference"/>
          <w:i w:val="0"/>
          <w:lang w:val="it-IT"/>
        </w:rPr>
        <w:t>Treguesit e performanc</w:t>
      </w:r>
      <w:r w:rsidR="00D7294C" w:rsidRPr="009D660E">
        <w:rPr>
          <w:rStyle w:val="IntenseReference"/>
          <w:i w:val="0"/>
          <w:lang w:val="it-IT"/>
        </w:rPr>
        <w:t>ë</w:t>
      </w:r>
      <w:r w:rsidRPr="009D660E">
        <w:rPr>
          <w:rStyle w:val="IntenseReference"/>
          <w:i w:val="0"/>
          <w:lang w:val="it-IT"/>
        </w:rPr>
        <w:t>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07140E" w:rsidRPr="001F151E" w14:paraId="1BC25F67" w14:textId="77777777" w:rsidTr="002B7FF8">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99A93" w14:textId="61AAC35E" w:rsidR="0007140E" w:rsidRPr="001F151E" w:rsidRDefault="00833198" w:rsidP="002B7FF8">
            <w:pPr>
              <w:pStyle w:val="T-bold"/>
            </w:pPr>
            <w:bookmarkStart w:id="26" w:name="_Hlk150325807"/>
            <w:bookmarkEnd w:id="17"/>
            <w:r>
              <w:lastRenderedPageBreak/>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6BDAE2" w14:textId="6431D968" w:rsidR="0007140E" w:rsidRPr="001F151E" w:rsidRDefault="003C7E9B" w:rsidP="003C7E9B">
            <w:pPr>
              <w:pStyle w:val="T-bold"/>
              <w:jc w:val="center"/>
            </w:pPr>
            <w:r>
              <w:t>Vlera baz</w:t>
            </w:r>
            <w:r w:rsidR="00D7294C">
              <w:t>ë</w:t>
            </w:r>
            <w:r>
              <w:t xml:space="preserve"> (viti</w:t>
            </w:r>
            <w:r w:rsidR="0007140E"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B8F601" w14:textId="45AFDCB8" w:rsidR="0007140E" w:rsidRPr="001F151E" w:rsidRDefault="003C7E9B" w:rsidP="002B7FF8">
            <w:pPr>
              <w:pStyle w:val="T-bold"/>
              <w:jc w:val="center"/>
            </w:pPr>
            <w:r>
              <w:t>Vlera e synuar</w:t>
            </w:r>
          </w:p>
        </w:tc>
      </w:tr>
      <w:tr w:rsidR="0007140E" w:rsidRPr="001F151E" w14:paraId="3AEEC271" w14:textId="77777777" w:rsidTr="002B7FF8">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AD2C07F" w14:textId="77777777" w:rsidR="0007140E" w:rsidRPr="001F151E" w:rsidRDefault="0007140E" w:rsidP="002B7FF8">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522F85F4" w14:textId="77777777" w:rsidR="0007140E" w:rsidRPr="001F151E" w:rsidRDefault="0007140E" w:rsidP="002B7FF8">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2B5DD" w14:textId="77777777" w:rsidR="0007140E" w:rsidRPr="001F151E" w:rsidRDefault="0007140E" w:rsidP="002B7FF8">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7990E" w14:textId="77777777" w:rsidR="0007140E" w:rsidRPr="001F151E" w:rsidRDefault="0007140E" w:rsidP="002B7FF8">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3789A7" w14:textId="77777777" w:rsidR="0007140E" w:rsidRPr="001F151E" w:rsidRDefault="0007140E" w:rsidP="002B7FF8">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87DCB" w14:textId="77777777" w:rsidR="0007140E" w:rsidRPr="001F151E" w:rsidRDefault="0007140E" w:rsidP="002B7FF8">
            <w:pPr>
              <w:pStyle w:val="T-bold"/>
              <w:jc w:val="center"/>
            </w:pPr>
            <w:r w:rsidRPr="001F151E">
              <w:t>2026</w:t>
            </w:r>
          </w:p>
        </w:tc>
      </w:tr>
      <w:tr w:rsidR="0007140E" w:rsidRPr="001F151E" w14:paraId="1B4CB921" w14:textId="77777777" w:rsidTr="002B7FF8">
        <w:tc>
          <w:tcPr>
            <w:tcW w:w="3114" w:type="dxa"/>
            <w:tcBorders>
              <w:top w:val="single" w:sz="4" w:space="0" w:color="auto"/>
              <w:left w:val="single" w:sz="4" w:space="0" w:color="auto"/>
              <w:bottom w:val="single" w:sz="4" w:space="0" w:color="auto"/>
              <w:right w:val="single" w:sz="4" w:space="0" w:color="auto"/>
            </w:tcBorders>
          </w:tcPr>
          <w:p w14:paraId="331B4F20" w14:textId="7329C85D" w:rsidR="0007140E" w:rsidRPr="009D660E" w:rsidRDefault="003C7E9B" w:rsidP="00CD7428">
            <w:pPr>
              <w:pStyle w:val="ListParagraph"/>
              <w:numPr>
                <w:ilvl w:val="0"/>
                <w:numId w:val="37"/>
              </w:numPr>
              <w:rPr>
                <w:sz w:val="16"/>
                <w:szCs w:val="16"/>
                <w:lang w:val="it-IT"/>
              </w:rPr>
            </w:pPr>
            <w:r w:rsidRPr="009D660E">
              <w:rPr>
                <w:sz w:val="16"/>
                <w:szCs w:val="16"/>
                <w:lang w:val="it-IT"/>
              </w:rPr>
              <w:t>Treguesi i Performanc</w:t>
            </w:r>
            <w:r w:rsidR="00D7294C" w:rsidRPr="009D660E">
              <w:rPr>
                <w:sz w:val="16"/>
                <w:szCs w:val="16"/>
                <w:lang w:val="it-IT"/>
              </w:rPr>
              <w:t>ë</w:t>
            </w:r>
            <w:r w:rsidRPr="009D660E">
              <w:rPr>
                <w:sz w:val="16"/>
                <w:szCs w:val="16"/>
                <w:lang w:val="it-IT"/>
              </w:rPr>
              <w:t>s PEFA</w:t>
            </w:r>
            <w:r w:rsidR="0007140E" w:rsidRPr="009D660E">
              <w:rPr>
                <w:sz w:val="16"/>
                <w:szCs w:val="16"/>
                <w:lang w:val="it-IT"/>
              </w:rPr>
              <w:t xml:space="preserve"> 28 “</w:t>
            </w:r>
            <w:r w:rsidRPr="009D660E">
              <w:rPr>
                <w:sz w:val="16"/>
                <w:szCs w:val="16"/>
                <w:lang w:val="it-IT"/>
              </w:rPr>
              <w:t xml:space="preserve">Raportet e buxhetit </w:t>
            </w:r>
            <w:r w:rsidR="002B3875" w:rsidRPr="009D660E">
              <w:rPr>
                <w:sz w:val="16"/>
                <w:szCs w:val="16"/>
                <w:lang w:val="it-IT"/>
              </w:rPr>
              <w:t>gjat</w:t>
            </w:r>
            <w:r w:rsidR="00D7294C" w:rsidRPr="009D660E">
              <w:rPr>
                <w:sz w:val="16"/>
                <w:szCs w:val="16"/>
                <w:lang w:val="it-IT"/>
              </w:rPr>
              <w:t>ë</w:t>
            </w:r>
            <w:r w:rsidRPr="009D660E">
              <w:rPr>
                <w:sz w:val="16"/>
                <w:szCs w:val="16"/>
                <w:lang w:val="it-IT"/>
              </w:rPr>
              <w:t xml:space="preserve"> vitit</w:t>
            </w:r>
            <w:r w:rsidR="0007140E" w:rsidRPr="009D660E">
              <w:rPr>
                <w:sz w:val="16"/>
                <w:szCs w:val="16"/>
                <w:lang w:val="it-IT"/>
              </w:rPr>
              <w:t>”</w:t>
            </w:r>
          </w:p>
        </w:tc>
        <w:tc>
          <w:tcPr>
            <w:tcW w:w="1180" w:type="dxa"/>
            <w:tcBorders>
              <w:top w:val="single" w:sz="4" w:space="0" w:color="auto"/>
              <w:left w:val="single" w:sz="4" w:space="0" w:color="auto"/>
              <w:bottom w:val="single" w:sz="4" w:space="0" w:color="auto"/>
              <w:right w:val="single" w:sz="4" w:space="0" w:color="auto"/>
            </w:tcBorders>
            <w:vAlign w:val="center"/>
          </w:tcPr>
          <w:p w14:paraId="709C76AE" w14:textId="77777777" w:rsidR="0007140E" w:rsidRPr="001F151E" w:rsidRDefault="0007140E" w:rsidP="0007140E">
            <w:pPr>
              <w:pStyle w:val="T-normal"/>
              <w:jc w:val="center"/>
            </w:pPr>
            <w:r w:rsidRPr="001F151E">
              <w:t xml:space="preserve">D+ </w:t>
            </w:r>
          </w:p>
          <w:p w14:paraId="39B75EE9" w14:textId="5109660A" w:rsidR="0007140E" w:rsidRPr="001F151E" w:rsidRDefault="0007140E" w:rsidP="0007140E">
            <w:pPr>
              <w:pStyle w:val="T-normal"/>
              <w:jc w:val="center"/>
            </w:pPr>
            <w:r w:rsidRPr="001F151E">
              <w:t>(2017)</w:t>
            </w:r>
          </w:p>
        </w:tc>
        <w:tc>
          <w:tcPr>
            <w:tcW w:w="1181" w:type="dxa"/>
            <w:tcBorders>
              <w:top w:val="single" w:sz="4" w:space="0" w:color="auto"/>
              <w:left w:val="single" w:sz="4" w:space="0" w:color="auto"/>
              <w:bottom w:val="single" w:sz="4" w:space="0" w:color="auto"/>
              <w:right w:val="single" w:sz="4" w:space="0" w:color="auto"/>
            </w:tcBorders>
            <w:vAlign w:val="center"/>
          </w:tcPr>
          <w:p w14:paraId="4AC0D3C8" w14:textId="05EBA0AE" w:rsidR="0007140E" w:rsidRPr="001F151E" w:rsidRDefault="0007140E" w:rsidP="0007140E">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62896FE7" w14:textId="3D9208AD" w:rsidR="0007140E" w:rsidRPr="001F151E" w:rsidRDefault="00591766" w:rsidP="0007140E">
            <w:pPr>
              <w:pStyle w:val="T-normal"/>
              <w:jc w:val="center"/>
            </w:pPr>
            <w:r>
              <w:t>B</w:t>
            </w:r>
          </w:p>
        </w:tc>
        <w:tc>
          <w:tcPr>
            <w:tcW w:w="1181" w:type="dxa"/>
            <w:tcBorders>
              <w:top w:val="single" w:sz="4" w:space="0" w:color="auto"/>
              <w:left w:val="single" w:sz="4" w:space="0" w:color="auto"/>
              <w:bottom w:val="single" w:sz="4" w:space="0" w:color="auto"/>
              <w:right w:val="single" w:sz="4" w:space="0" w:color="auto"/>
            </w:tcBorders>
            <w:vAlign w:val="center"/>
          </w:tcPr>
          <w:p w14:paraId="4D96DF5D" w14:textId="1AD68CB2" w:rsidR="0007140E" w:rsidRPr="001F151E" w:rsidRDefault="00591766" w:rsidP="0007140E">
            <w:pPr>
              <w:pStyle w:val="T-normal"/>
              <w:jc w:val="center"/>
            </w:pPr>
            <w:r>
              <w:t>B+</w:t>
            </w:r>
          </w:p>
        </w:tc>
        <w:tc>
          <w:tcPr>
            <w:tcW w:w="1181" w:type="dxa"/>
            <w:tcBorders>
              <w:top w:val="single" w:sz="4" w:space="0" w:color="auto"/>
              <w:left w:val="single" w:sz="4" w:space="0" w:color="auto"/>
              <w:bottom w:val="single" w:sz="4" w:space="0" w:color="auto"/>
              <w:right w:val="single" w:sz="4" w:space="0" w:color="auto"/>
            </w:tcBorders>
            <w:vAlign w:val="center"/>
          </w:tcPr>
          <w:p w14:paraId="3003C296" w14:textId="03247AB4" w:rsidR="0007140E" w:rsidRPr="001F151E" w:rsidRDefault="0007140E" w:rsidP="0007140E">
            <w:pPr>
              <w:pStyle w:val="T-normal"/>
              <w:jc w:val="center"/>
            </w:pPr>
            <w:r w:rsidRPr="001F151E">
              <w:t>A</w:t>
            </w:r>
          </w:p>
        </w:tc>
      </w:tr>
      <w:tr w:rsidR="00BF7807" w:rsidRPr="001F151E" w14:paraId="0FA364F2" w14:textId="77777777" w:rsidTr="002B7FF8">
        <w:tc>
          <w:tcPr>
            <w:tcW w:w="3114" w:type="dxa"/>
            <w:tcBorders>
              <w:top w:val="single" w:sz="4" w:space="0" w:color="auto"/>
              <w:left w:val="single" w:sz="4" w:space="0" w:color="auto"/>
              <w:bottom w:val="single" w:sz="4" w:space="0" w:color="auto"/>
              <w:right w:val="single" w:sz="4" w:space="0" w:color="auto"/>
            </w:tcBorders>
          </w:tcPr>
          <w:p w14:paraId="36AC48F2" w14:textId="40AE32E4" w:rsidR="00BF7807" w:rsidRPr="001F151E" w:rsidRDefault="003C7E9B" w:rsidP="00CD7428">
            <w:pPr>
              <w:pStyle w:val="ListParagraph"/>
              <w:numPr>
                <w:ilvl w:val="0"/>
                <w:numId w:val="37"/>
              </w:numPr>
              <w:rPr>
                <w:sz w:val="16"/>
                <w:szCs w:val="16"/>
              </w:rPr>
            </w:pPr>
            <w:r>
              <w:rPr>
                <w:sz w:val="16"/>
                <w:szCs w:val="16"/>
              </w:rPr>
              <w:t>Publikimi i raporteve t</w:t>
            </w:r>
            <w:r w:rsidR="00D7294C">
              <w:rPr>
                <w:sz w:val="16"/>
                <w:szCs w:val="16"/>
              </w:rPr>
              <w:t>ë</w:t>
            </w:r>
            <w:r>
              <w:rPr>
                <w:sz w:val="16"/>
                <w:szCs w:val="16"/>
              </w:rPr>
              <w:t xml:space="preserve"> zbatimit t</w:t>
            </w:r>
            <w:r w:rsidR="00D7294C">
              <w:rPr>
                <w:sz w:val="16"/>
                <w:szCs w:val="16"/>
              </w:rPr>
              <w:t>ë</w:t>
            </w:r>
            <w:r>
              <w:rPr>
                <w:sz w:val="16"/>
                <w:szCs w:val="16"/>
              </w:rPr>
              <w:t xml:space="preserve"> buxhetit p</w:t>
            </w:r>
            <w:r w:rsidR="00D7294C">
              <w:rPr>
                <w:sz w:val="16"/>
                <w:szCs w:val="16"/>
              </w:rPr>
              <w:t>ë</w:t>
            </w:r>
            <w:r>
              <w:rPr>
                <w:sz w:val="16"/>
                <w:szCs w:val="16"/>
              </w:rPr>
              <w:t>r qytetar</w:t>
            </w:r>
            <w:r w:rsidR="00D7294C">
              <w:rPr>
                <w:sz w:val="16"/>
                <w:szCs w:val="16"/>
              </w:rPr>
              <w:t>ë</w:t>
            </w:r>
            <w:r>
              <w:rPr>
                <w:sz w:val="16"/>
                <w:szCs w:val="16"/>
              </w:rPr>
              <w:t>t</w:t>
            </w:r>
          </w:p>
        </w:tc>
        <w:tc>
          <w:tcPr>
            <w:tcW w:w="1180" w:type="dxa"/>
            <w:tcBorders>
              <w:top w:val="single" w:sz="4" w:space="0" w:color="auto"/>
              <w:left w:val="single" w:sz="4" w:space="0" w:color="auto"/>
              <w:bottom w:val="single" w:sz="4" w:space="0" w:color="auto"/>
              <w:right w:val="single" w:sz="4" w:space="0" w:color="auto"/>
            </w:tcBorders>
            <w:vAlign w:val="center"/>
          </w:tcPr>
          <w:p w14:paraId="0A773E57" w14:textId="02E8507E" w:rsidR="00BF7807" w:rsidRPr="001F151E" w:rsidRDefault="00CE27F3" w:rsidP="0007140E">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1B9F3B97" w14:textId="2564B4B0" w:rsidR="00BF7807" w:rsidRPr="001F151E" w:rsidRDefault="00CE27F3" w:rsidP="0007140E">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46BDDB3C" w14:textId="7289A9A2" w:rsidR="00BF7807" w:rsidRPr="001F151E" w:rsidDel="00927AAF" w:rsidRDefault="00D85B61" w:rsidP="0007140E">
            <w:pPr>
              <w:pStyle w:val="T-normal"/>
              <w:jc w:val="center"/>
            </w:pPr>
            <w:r>
              <w:t>Miratimi i formateve</w:t>
            </w:r>
          </w:p>
        </w:tc>
        <w:tc>
          <w:tcPr>
            <w:tcW w:w="1181" w:type="dxa"/>
            <w:tcBorders>
              <w:top w:val="single" w:sz="4" w:space="0" w:color="auto"/>
              <w:left w:val="single" w:sz="4" w:space="0" w:color="auto"/>
              <w:bottom w:val="single" w:sz="4" w:space="0" w:color="auto"/>
              <w:right w:val="single" w:sz="4" w:space="0" w:color="auto"/>
            </w:tcBorders>
            <w:vAlign w:val="center"/>
          </w:tcPr>
          <w:p w14:paraId="7C905C4B" w14:textId="43E2B9EE" w:rsidR="00BF7807" w:rsidRPr="001F151E" w:rsidDel="0016565B" w:rsidRDefault="00D85B61" w:rsidP="0007140E">
            <w:pPr>
              <w:pStyle w:val="T-normal"/>
              <w:jc w:val="center"/>
            </w:pPr>
            <w:r>
              <w:t>Publikimi i raportit</w:t>
            </w:r>
          </w:p>
        </w:tc>
        <w:tc>
          <w:tcPr>
            <w:tcW w:w="1181" w:type="dxa"/>
            <w:tcBorders>
              <w:top w:val="single" w:sz="4" w:space="0" w:color="auto"/>
              <w:left w:val="single" w:sz="4" w:space="0" w:color="auto"/>
              <w:bottom w:val="single" w:sz="4" w:space="0" w:color="auto"/>
              <w:right w:val="single" w:sz="4" w:space="0" w:color="auto"/>
            </w:tcBorders>
            <w:vAlign w:val="center"/>
          </w:tcPr>
          <w:p w14:paraId="49319EBC" w14:textId="33E03E17" w:rsidR="00BF7807" w:rsidRPr="001F151E" w:rsidRDefault="00BF7807" w:rsidP="0007140E">
            <w:pPr>
              <w:pStyle w:val="T-normal"/>
              <w:jc w:val="center"/>
            </w:pPr>
          </w:p>
        </w:tc>
      </w:tr>
      <w:tr w:rsidR="00025C2F" w:rsidRPr="0059094E" w14:paraId="2CC0D3B4" w14:textId="77777777" w:rsidTr="002B7FF8">
        <w:trPr>
          <w:trHeight w:val="736"/>
        </w:trPr>
        <w:tc>
          <w:tcPr>
            <w:tcW w:w="3114" w:type="dxa"/>
            <w:tcBorders>
              <w:top w:val="single" w:sz="4" w:space="0" w:color="auto"/>
              <w:left w:val="single" w:sz="4" w:space="0" w:color="auto"/>
              <w:bottom w:val="single" w:sz="4" w:space="0" w:color="auto"/>
              <w:right w:val="single" w:sz="4" w:space="0" w:color="auto"/>
            </w:tcBorders>
          </w:tcPr>
          <w:p w14:paraId="1FEDB729" w14:textId="2204127A" w:rsidR="00025C2F" w:rsidRPr="009D660E" w:rsidRDefault="00D85B61" w:rsidP="00CD7428">
            <w:pPr>
              <w:pStyle w:val="ListParagraph"/>
              <w:numPr>
                <w:ilvl w:val="0"/>
                <w:numId w:val="37"/>
              </w:numPr>
              <w:rPr>
                <w:sz w:val="16"/>
                <w:szCs w:val="16"/>
                <w:lang w:val="it-IT"/>
              </w:rPr>
            </w:pPr>
            <w:r w:rsidRPr="009D660E">
              <w:rPr>
                <w:sz w:val="16"/>
                <w:szCs w:val="16"/>
                <w:lang w:val="it-IT"/>
              </w:rPr>
              <w:t>Zhvillimi i nj</w:t>
            </w:r>
            <w:r w:rsidR="00D7294C" w:rsidRPr="009D660E">
              <w:rPr>
                <w:sz w:val="16"/>
                <w:szCs w:val="16"/>
                <w:lang w:val="it-IT"/>
              </w:rPr>
              <w:t>ë</w:t>
            </w:r>
            <w:r w:rsidRPr="009D660E">
              <w:rPr>
                <w:sz w:val="16"/>
                <w:szCs w:val="16"/>
                <w:lang w:val="it-IT"/>
              </w:rPr>
              <w:t xml:space="preserve"> sistemi informacioni t</w:t>
            </w:r>
            <w:r w:rsidR="00D7294C" w:rsidRPr="009D660E">
              <w:rPr>
                <w:sz w:val="16"/>
                <w:szCs w:val="16"/>
                <w:lang w:val="it-IT"/>
              </w:rPr>
              <w:t>ë</w:t>
            </w:r>
            <w:r w:rsidRPr="009D660E">
              <w:rPr>
                <w:sz w:val="16"/>
                <w:szCs w:val="16"/>
                <w:lang w:val="it-IT"/>
              </w:rPr>
              <w:t xml:space="preserve"> dedikuar p</w:t>
            </w:r>
            <w:r w:rsidR="00D7294C" w:rsidRPr="009D660E">
              <w:rPr>
                <w:sz w:val="16"/>
                <w:szCs w:val="16"/>
                <w:lang w:val="it-IT"/>
              </w:rPr>
              <w:t>ë</w:t>
            </w:r>
            <w:r w:rsidRPr="009D660E">
              <w:rPr>
                <w:sz w:val="16"/>
                <w:szCs w:val="16"/>
                <w:lang w:val="it-IT"/>
              </w:rPr>
              <w:t xml:space="preserve">r monitorimin dhe raportimin e PPP-ve dhe kontratave koncesionare. </w:t>
            </w:r>
          </w:p>
        </w:tc>
        <w:tc>
          <w:tcPr>
            <w:tcW w:w="1180" w:type="dxa"/>
            <w:tcBorders>
              <w:top w:val="single" w:sz="4" w:space="0" w:color="auto"/>
              <w:left w:val="single" w:sz="4" w:space="0" w:color="auto"/>
              <w:bottom w:val="single" w:sz="4" w:space="0" w:color="auto"/>
              <w:right w:val="single" w:sz="4" w:space="0" w:color="auto"/>
            </w:tcBorders>
            <w:vAlign w:val="center"/>
          </w:tcPr>
          <w:p w14:paraId="57647074" w14:textId="5400ACF0" w:rsidR="00025C2F" w:rsidRPr="001F151E" w:rsidRDefault="00CE27F3" w:rsidP="00025C2F">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433AF75E" w14:textId="029C3577" w:rsidR="00025C2F" w:rsidRPr="001F151E" w:rsidRDefault="00025C2F" w:rsidP="00025C2F">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4830BA33" w14:textId="38F750EC" w:rsidR="00025C2F" w:rsidRPr="001F151E" w:rsidRDefault="00CE27F3" w:rsidP="00025C2F">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10640355" w14:textId="343328E2" w:rsidR="00025C2F" w:rsidRPr="009D660E" w:rsidRDefault="00D85B61" w:rsidP="00025C2F">
            <w:pPr>
              <w:pStyle w:val="T-normal"/>
              <w:jc w:val="center"/>
              <w:rPr>
                <w:lang w:val="it-IT"/>
              </w:rPr>
            </w:pPr>
            <w:r w:rsidRPr="009D660E">
              <w:rPr>
                <w:lang w:val="it-IT"/>
              </w:rPr>
              <w:t>Kontraktimi i sistemit t</w:t>
            </w:r>
            <w:r w:rsidR="00D7294C" w:rsidRPr="009D660E">
              <w:rPr>
                <w:lang w:val="it-IT"/>
              </w:rPr>
              <w:t>ë</w:t>
            </w:r>
            <w:r w:rsidRPr="009D660E">
              <w:rPr>
                <w:lang w:val="it-IT"/>
              </w:rPr>
              <w:t xml:space="preserve"> informacionit</w:t>
            </w:r>
          </w:p>
        </w:tc>
        <w:tc>
          <w:tcPr>
            <w:tcW w:w="1181" w:type="dxa"/>
            <w:tcBorders>
              <w:top w:val="single" w:sz="4" w:space="0" w:color="auto"/>
              <w:left w:val="single" w:sz="4" w:space="0" w:color="auto"/>
              <w:bottom w:val="single" w:sz="4" w:space="0" w:color="auto"/>
              <w:right w:val="single" w:sz="4" w:space="0" w:color="auto"/>
            </w:tcBorders>
            <w:vAlign w:val="center"/>
          </w:tcPr>
          <w:p w14:paraId="67E08E52" w14:textId="03A10B3E" w:rsidR="00025C2F" w:rsidRPr="009D660E" w:rsidRDefault="00D85B61" w:rsidP="00025C2F">
            <w:pPr>
              <w:pStyle w:val="T-normal"/>
              <w:jc w:val="center"/>
              <w:rPr>
                <w:lang w:val="it-IT"/>
              </w:rPr>
            </w:pPr>
            <w:r w:rsidRPr="009D660E">
              <w:rPr>
                <w:lang w:val="it-IT"/>
              </w:rPr>
              <w:t xml:space="preserve">Zhvillimi dhe vendosja </w:t>
            </w:r>
            <w:r w:rsidR="00182B61" w:rsidRPr="009D660E">
              <w:rPr>
                <w:lang w:val="it-IT"/>
              </w:rPr>
              <w:t>e sistemit t</w:t>
            </w:r>
            <w:r w:rsidR="00D7294C" w:rsidRPr="009D660E">
              <w:rPr>
                <w:lang w:val="it-IT"/>
              </w:rPr>
              <w:t>ë</w:t>
            </w:r>
            <w:r w:rsidR="00182B61" w:rsidRPr="009D660E">
              <w:rPr>
                <w:lang w:val="it-IT"/>
              </w:rPr>
              <w:t xml:space="preserve"> informacionit</w:t>
            </w:r>
          </w:p>
        </w:tc>
      </w:tr>
      <w:tr w:rsidR="0007140E" w:rsidRPr="001F151E" w14:paraId="12B8FFFD" w14:textId="77777777" w:rsidTr="002B7FF8">
        <w:trPr>
          <w:trHeight w:val="736"/>
        </w:trPr>
        <w:tc>
          <w:tcPr>
            <w:tcW w:w="3114" w:type="dxa"/>
            <w:tcBorders>
              <w:top w:val="single" w:sz="4" w:space="0" w:color="auto"/>
              <w:left w:val="single" w:sz="4" w:space="0" w:color="auto"/>
              <w:bottom w:val="single" w:sz="4" w:space="0" w:color="auto"/>
              <w:right w:val="single" w:sz="4" w:space="0" w:color="auto"/>
            </w:tcBorders>
          </w:tcPr>
          <w:p w14:paraId="0B57EBF0" w14:textId="12DAB263" w:rsidR="0007140E" w:rsidRPr="009D660E" w:rsidRDefault="00D85B61" w:rsidP="00CD7428">
            <w:pPr>
              <w:pStyle w:val="ListParagraph"/>
              <w:numPr>
                <w:ilvl w:val="0"/>
                <w:numId w:val="37"/>
              </w:numPr>
              <w:rPr>
                <w:sz w:val="16"/>
                <w:szCs w:val="16"/>
                <w:lang w:val="it-IT"/>
              </w:rPr>
            </w:pPr>
            <w:r w:rsidRPr="009D660E">
              <w:rPr>
                <w:sz w:val="16"/>
                <w:szCs w:val="16"/>
                <w:lang w:val="it-IT"/>
              </w:rPr>
              <w:t>Numri i kontratave PPP t</w:t>
            </w:r>
            <w:r w:rsidR="00D7294C" w:rsidRPr="009D660E">
              <w:rPr>
                <w:sz w:val="16"/>
                <w:szCs w:val="16"/>
                <w:lang w:val="it-IT"/>
              </w:rPr>
              <w:t>ë</w:t>
            </w:r>
            <w:r w:rsidRPr="009D660E">
              <w:rPr>
                <w:sz w:val="16"/>
                <w:szCs w:val="16"/>
                <w:lang w:val="it-IT"/>
              </w:rPr>
              <w:t xml:space="preserve"> mbuluara n</w:t>
            </w:r>
            <w:r w:rsidR="00D7294C" w:rsidRPr="009D660E">
              <w:rPr>
                <w:sz w:val="16"/>
                <w:szCs w:val="16"/>
                <w:lang w:val="it-IT"/>
              </w:rPr>
              <w:t>ë</w:t>
            </w:r>
            <w:r w:rsidRPr="009D660E">
              <w:rPr>
                <w:sz w:val="16"/>
                <w:szCs w:val="16"/>
                <w:lang w:val="it-IT"/>
              </w:rPr>
              <w:t xml:space="preserve"> raportin vjetor t</w:t>
            </w:r>
            <w:r w:rsidR="00D7294C" w:rsidRPr="009D660E">
              <w:rPr>
                <w:sz w:val="16"/>
                <w:szCs w:val="16"/>
                <w:lang w:val="it-IT"/>
              </w:rPr>
              <w:t>ë</w:t>
            </w:r>
            <w:r w:rsidRPr="009D660E">
              <w:rPr>
                <w:sz w:val="16"/>
                <w:szCs w:val="16"/>
                <w:lang w:val="it-IT"/>
              </w:rPr>
              <w:t xml:space="preserve"> p</w:t>
            </w:r>
            <w:r w:rsidR="00D7294C" w:rsidRPr="009D660E">
              <w:rPr>
                <w:sz w:val="16"/>
                <w:szCs w:val="16"/>
                <w:lang w:val="it-IT"/>
              </w:rPr>
              <w:t>ë</w:t>
            </w:r>
            <w:r w:rsidRPr="009D660E">
              <w:rPr>
                <w:sz w:val="16"/>
                <w:szCs w:val="16"/>
                <w:lang w:val="it-IT"/>
              </w:rPr>
              <w:t>rmbledhur p</w:t>
            </w:r>
            <w:r w:rsidR="00D7294C" w:rsidRPr="009D660E">
              <w:rPr>
                <w:sz w:val="16"/>
                <w:szCs w:val="16"/>
                <w:lang w:val="it-IT"/>
              </w:rPr>
              <w:t>ë</w:t>
            </w:r>
            <w:r w:rsidRPr="009D660E">
              <w:rPr>
                <w:sz w:val="16"/>
                <w:szCs w:val="16"/>
                <w:lang w:val="it-IT"/>
              </w:rPr>
              <w:t>r PPP-t</w:t>
            </w:r>
            <w:r w:rsidR="00D7294C" w:rsidRPr="009D660E">
              <w:rPr>
                <w:sz w:val="16"/>
                <w:szCs w:val="16"/>
                <w:lang w:val="it-IT"/>
              </w:rPr>
              <w:t>ë</w:t>
            </w:r>
            <w:r w:rsidRPr="009D660E">
              <w:rPr>
                <w:sz w:val="16"/>
                <w:szCs w:val="16"/>
                <w:lang w:val="it-IT"/>
              </w:rPr>
              <w:t xml:space="preserve"> dhe kontratat koncesionare.</w:t>
            </w:r>
          </w:p>
        </w:tc>
        <w:tc>
          <w:tcPr>
            <w:tcW w:w="1180" w:type="dxa"/>
            <w:tcBorders>
              <w:top w:val="single" w:sz="4" w:space="0" w:color="auto"/>
              <w:left w:val="single" w:sz="4" w:space="0" w:color="auto"/>
              <w:bottom w:val="single" w:sz="4" w:space="0" w:color="auto"/>
              <w:right w:val="single" w:sz="4" w:space="0" w:color="auto"/>
            </w:tcBorders>
            <w:vAlign w:val="center"/>
          </w:tcPr>
          <w:p w14:paraId="4702FAD4" w14:textId="75965F10" w:rsidR="0007140E" w:rsidRPr="001F151E" w:rsidRDefault="00CF0EB0" w:rsidP="0007140E">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585D6A09" w14:textId="701FBA3B" w:rsidR="0007140E" w:rsidRPr="001F151E" w:rsidRDefault="00CF0EB0" w:rsidP="0007140E">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12B9BF01" w14:textId="206BCA00" w:rsidR="0007140E" w:rsidRPr="001F151E" w:rsidRDefault="00025C2F" w:rsidP="004808DD">
            <w:pPr>
              <w:pStyle w:val="T-normal"/>
              <w:jc w:val="center"/>
            </w:pPr>
            <w:r w:rsidRPr="001F151E">
              <w:t>1</w:t>
            </w:r>
            <w:r w:rsidR="004808DD">
              <w:t>00</w:t>
            </w:r>
          </w:p>
        </w:tc>
        <w:tc>
          <w:tcPr>
            <w:tcW w:w="1181" w:type="dxa"/>
            <w:tcBorders>
              <w:top w:val="single" w:sz="4" w:space="0" w:color="auto"/>
              <w:left w:val="single" w:sz="4" w:space="0" w:color="auto"/>
              <w:bottom w:val="single" w:sz="4" w:space="0" w:color="auto"/>
              <w:right w:val="single" w:sz="4" w:space="0" w:color="auto"/>
            </w:tcBorders>
            <w:vAlign w:val="center"/>
          </w:tcPr>
          <w:p w14:paraId="7AE133C5" w14:textId="7EC535BD" w:rsidR="0007140E" w:rsidRPr="001F151E" w:rsidRDefault="004808DD" w:rsidP="0007140E">
            <w:pPr>
              <w:pStyle w:val="T-normal"/>
              <w:jc w:val="center"/>
            </w:pPr>
            <w:r>
              <w:t>150</w:t>
            </w:r>
          </w:p>
        </w:tc>
        <w:tc>
          <w:tcPr>
            <w:tcW w:w="1181" w:type="dxa"/>
            <w:tcBorders>
              <w:top w:val="single" w:sz="4" w:space="0" w:color="auto"/>
              <w:left w:val="single" w:sz="4" w:space="0" w:color="auto"/>
              <w:bottom w:val="single" w:sz="4" w:space="0" w:color="auto"/>
              <w:right w:val="single" w:sz="4" w:space="0" w:color="auto"/>
            </w:tcBorders>
            <w:vAlign w:val="center"/>
          </w:tcPr>
          <w:p w14:paraId="2C8C056D" w14:textId="2B4433BB" w:rsidR="0007140E" w:rsidRPr="001F151E" w:rsidRDefault="004808DD" w:rsidP="0007140E">
            <w:pPr>
              <w:pStyle w:val="T-normal"/>
              <w:jc w:val="center"/>
            </w:pPr>
            <w:r>
              <w:t>200</w:t>
            </w:r>
          </w:p>
        </w:tc>
      </w:tr>
    </w:tbl>
    <w:p w14:paraId="326C5866" w14:textId="77777777" w:rsidR="00EA6F1D" w:rsidRDefault="00EA6F1D" w:rsidP="0007140E">
      <w:pPr>
        <w:rPr>
          <w:lang w:val="en-GB"/>
        </w:rPr>
      </w:pPr>
    </w:p>
    <w:p w14:paraId="01880851" w14:textId="77777777" w:rsidR="00EA6F1D" w:rsidRPr="001F151E" w:rsidRDefault="00EA6F1D" w:rsidP="0007140E">
      <w:pPr>
        <w:rPr>
          <w:lang w:val="en-GB"/>
        </w:rPr>
      </w:pPr>
    </w:p>
    <w:p w14:paraId="79CA2C49" w14:textId="24D49C01" w:rsidR="003779B6" w:rsidRPr="009D660E" w:rsidRDefault="000C1943" w:rsidP="00830244">
      <w:pPr>
        <w:pStyle w:val="Heading1"/>
        <w:rPr>
          <w:lang w:val="it-IT"/>
        </w:rPr>
      </w:pPr>
      <w:bookmarkStart w:id="27" w:name="_Toc161748818"/>
      <w:r w:rsidRPr="009D660E">
        <w:rPr>
          <w:lang w:val="it-IT"/>
        </w:rPr>
        <w:t>Shtylla</w:t>
      </w:r>
      <w:r w:rsidR="003779B6" w:rsidRPr="009D660E">
        <w:rPr>
          <w:lang w:val="it-IT"/>
        </w:rPr>
        <w:t xml:space="preserve"> 3 </w:t>
      </w:r>
      <w:r w:rsidRPr="009D660E">
        <w:rPr>
          <w:lang w:val="it-IT"/>
        </w:rPr>
        <w:t>Menaxhimi dhe mobilizimi i t</w:t>
      </w:r>
      <w:r w:rsidR="00F1459A" w:rsidRPr="009D660E">
        <w:rPr>
          <w:lang w:val="it-IT"/>
        </w:rPr>
        <w:t>ë</w:t>
      </w:r>
      <w:r w:rsidRPr="009D660E">
        <w:rPr>
          <w:lang w:val="it-IT"/>
        </w:rPr>
        <w:t xml:space="preserve"> ardhurave</w:t>
      </w:r>
      <w:bookmarkEnd w:id="27"/>
    </w:p>
    <w:p w14:paraId="1F0C12C1" w14:textId="77777777" w:rsidR="00D75C41" w:rsidRPr="009D660E" w:rsidRDefault="00D75C41" w:rsidP="00D75C41">
      <w:pPr>
        <w:rPr>
          <w:lang w:val="it-IT"/>
        </w:rPr>
      </w:pPr>
    </w:p>
    <w:p w14:paraId="3265F9E0" w14:textId="77777777" w:rsidR="00D75C41" w:rsidRPr="009D660E" w:rsidRDefault="00D75C41" w:rsidP="00D75C41">
      <w:pPr>
        <w:rPr>
          <w:lang w:val="it-IT"/>
        </w:rPr>
      </w:pPr>
    </w:p>
    <w:p w14:paraId="4599DB25" w14:textId="1E520B4F" w:rsidR="00D75C41" w:rsidRPr="001F151E" w:rsidRDefault="000C1943" w:rsidP="00C96708">
      <w:pPr>
        <w:pStyle w:val="Heading2"/>
        <w:rPr>
          <w:lang w:val="en-GB"/>
        </w:rPr>
      </w:pPr>
      <w:bookmarkStart w:id="28" w:name="_Toc161748819"/>
      <w:r>
        <w:rPr>
          <w:lang w:val="en-GB"/>
        </w:rPr>
        <w:t>Hyrje</w:t>
      </w:r>
      <w:bookmarkEnd w:id="28"/>
    </w:p>
    <w:p w14:paraId="4AB4D540" w14:textId="77777777" w:rsidR="006F09FB" w:rsidRPr="001F151E" w:rsidRDefault="006F09FB" w:rsidP="006F09FB">
      <w:pPr>
        <w:rPr>
          <w:lang w:val="en-GB"/>
        </w:rPr>
      </w:pPr>
    </w:p>
    <w:p w14:paraId="7589B38D" w14:textId="3BC54B98" w:rsidR="00B45F59" w:rsidRPr="001F151E" w:rsidRDefault="00B45F59" w:rsidP="00B45F59">
      <w:pPr>
        <w:rPr>
          <w:lang w:val="en-GB"/>
        </w:rPr>
      </w:pPr>
      <w:r w:rsidRPr="00876A96">
        <w:rPr>
          <w:lang w:val="en-GB"/>
        </w:rPr>
        <w:t xml:space="preserve">Objektivi specifik 3 “Përmirësimi i sistemeve të menaxhimit </w:t>
      </w:r>
      <w:r>
        <w:rPr>
          <w:lang w:val="en-GB"/>
        </w:rPr>
        <w:t xml:space="preserve">doganor dhe të të </w:t>
      </w:r>
      <w:r w:rsidRPr="00876A96">
        <w:rPr>
          <w:lang w:val="en-GB"/>
        </w:rPr>
        <w:t xml:space="preserve">ardhurave </w:t>
      </w:r>
      <w:r>
        <w:rPr>
          <w:lang w:val="en-GB"/>
        </w:rPr>
        <w:t>m</w:t>
      </w:r>
      <w:r w:rsidRPr="00876A96">
        <w:rPr>
          <w:lang w:val="en-GB"/>
        </w:rPr>
        <w:t>e synim rritjen e të ardhurave dhe përmirësimin e ofrimit të shërbimeve” mbulon komponentët Menaxhimi</w:t>
      </w:r>
      <w:r>
        <w:rPr>
          <w:lang w:val="en-GB"/>
        </w:rPr>
        <w:t xml:space="preserve"> i Taksave, Menaxhimi i Taksës së Pasurisë</w:t>
      </w:r>
      <w:r w:rsidRPr="00876A96">
        <w:rPr>
          <w:lang w:val="en-GB"/>
        </w:rPr>
        <w:t xml:space="preserve"> (K</w:t>
      </w:r>
      <w:r>
        <w:rPr>
          <w:lang w:val="en-GB"/>
        </w:rPr>
        <w:t>adastra Fiskale) dhe Menaxhimi Doganor</w:t>
      </w:r>
      <w:r w:rsidRPr="00876A96">
        <w:rPr>
          <w:lang w:val="en-GB"/>
        </w:rPr>
        <w:t>.</w:t>
      </w:r>
    </w:p>
    <w:p w14:paraId="449613D2" w14:textId="77777777" w:rsidR="00481BA4" w:rsidRPr="001F151E" w:rsidRDefault="00481BA4" w:rsidP="00481BA4">
      <w:pPr>
        <w:pStyle w:val="H5"/>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9016"/>
      </w:tblGrid>
      <w:tr w:rsidR="00272B75" w:rsidRPr="0059094E" w14:paraId="5E595982" w14:textId="77777777" w:rsidTr="00946517">
        <w:trPr>
          <w:trHeight w:val="303"/>
        </w:trPr>
        <w:tc>
          <w:tcPr>
            <w:tcW w:w="9016" w:type="dxa"/>
            <w:shd w:val="clear" w:color="auto" w:fill="F2F2F2" w:themeFill="background1" w:themeFillShade="F2"/>
          </w:tcPr>
          <w:p w14:paraId="3323DB0D" w14:textId="0746A703" w:rsidR="00272B75" w:rsidRPr="001F151E" w:rsidRDefault="000C1943" w:rsidP="00AF4755">
            <w:pPr>
              <w:pStyle w:val="T-normal"/>
              <w:spacing w:after="60" w:line="220" w:lineRule="exact"/>
              <w:rPr>
                <w:b/>
                <w:bCs/>
              </w:rPr>
            </w:pPr>
            <w:r>
              <w:rPr>
                <w:b/>
                <w:bCs/>
              </w:rPr>
              <w:t>Komponenti 3.1</w:t>
            </w:r>
            <w:r w:rsidR="00272B75" w:rsidRPr="001F151E">
              <w:rPr>
                <w:b/>
                <w:bCs/>
              </w:rPr>
              <w:t xml:space="preserve"> </w:t>
            </w:r>
            <w:r>
              <w:rPr>
                <w:b/>
                <w:bCs/>
              </w:rPr>
              <w:t>Menaxhimi i taksave</w:t>
            </w:r>
          </w:p>
          <w:p w14:paraId="23141DDA" w14:textId="14F95C61" w:rsidR="00272B75" w:rsidRPr="001F151E" w:rsidRDefault="000C1943" w:rsidP="00AF4755">
            <w:pPr>
              <w:pStyle w:val="T-normal"/>
              <w:spacing w:after="60" w:line="220" w:lineRule="exact"/>
            </w:pPr>
            <w:r>
              <w:t>Synimi</w:t>
            </w:r>
            <w:r w:rsidR="00272B75" w:rsidRPr="001F151E">
              <w:t xml:space="preserve"> 2030: </w:t>
            </w:r>
            <w:r w:rsidR="007522B0">
              <w:t>Rritja e mobilizimit t</w:t>
            </w:r>
            <w:r w:rsidR="00F1459A">
              <w:t>ë</w:t>
            </w:r>
            <w:r w:rsidR="007522B0">
              <w:t xml:space="preserve"> t</w:t>
            </w:r>
            <w:r w:rsidR="00F1459A">
              <w:t>ë</w:t>
            </w:r>
            <w:r w:rsidR="007522B0">
              <w:t xml:space="preserve"> ardhurave</w:t>
            </w:r>
            <w:r w:rsidR="00504898">
              <w:t xml:space="preserve"> me q</w:t>
            </w:r>
            <w:r w:rsidR="00F1459A">
              <w:t>ë</w:t>
            </w:r>
            <w:r w:rsidR="00504898">
              <w:t>llim krijimin e nj</w:t>
            </w:r>
            <w:r w:rsidR="00F1459A">
              <w:t>ë</w:t>
            </w:r>
            <w:r w:rsidR="00504898">
              <w:t xml:space="preserve"> hap</w:t>
            </w:r>
            <w:r w:rsidR="00F1459A">
              <w:t>ë</w:t>
            </w:r>
            <w:r w:rsidR="00504898">
              <w:t>sire fiskale p</w:t>
            </w:r>
            <w:r w:rsidR="00F1459A">
              <w:t>ë</w:t>
            </w:r>
            <w:r w:rsidR="00504898">
              <w:t>r investime dhe zhvillim t</w:t>
            </w:r>
            <w:r w:rsidR="00F1459A">
              <w:t>ë</w:t>
            </w:r>
            <w:r w:rsidR="00504898">
              <w:t xml:space="preserve"> q</w:t>
            </w:r>
            <w:r w:rsidR="00F1459A">
              <w:t>ë</w:t>
            </w:r>
            <w:r w:rsidR="00504898">
              <w:t>ndruesh</w:t>
            </w:r>
            <w:r w:rsidR="00F1459A">
              <w:t>ë</w:t>
            </w:r>
            <w:r w:rsidR="00504898">
              <w:t>m n</w:t>
            </w:r>
            <w:r w:rsidR="00F1459A">
              <w:t>ë</w:t>
            </w:r>
            <w:r w:rsidR="00504898">
              <w:t>p</w:t>
            </w:r>
            <w:r w:rsidR="00F1459A">
              <w:t>ë</w:t>
            </w:r>
            <w:r w:rsidR="00504898">
              <w:t>rmjet nj</w:t>
            </w:r>
            <w:r w:rsidR="00F1459A">
              <w:t>ë</w:t>
            </w:r>
            <w:r w:rsidR="00504898">
              <w:t xml:space="preserve"> kombinimi t</w:t>
            </w:r>
            <w:r w:rsidR="00F1459A">
              <w:t>ë</w:t>
            </w:r>
            <w:r w:rsidR="00504898">
              <w:t xml:space="preserve"> reformave t</w:t>
            </w:r>
            <w:r w:rsidR="00F1459A">
              <w:t>ë</w:t>
            </w:r>
            <w:r w:rsidR="00504898">
              <w:t xml:space="preserve"> politikave tatimore dhe modernizimit t</w:t>
            </w:r>
            <w:r w:rsidR="00F1459A">
              <w:t>ë</w:t>
            </w:r>
            <w:r w:rsidR="00504898">
              <w:t xml:space="preserve"> sistemeve administrative; sigurimin e p</w:t>
            </w:r>
            <w:r w:rsidR="00F1459A">
              <w:t>ë</w:t>
            </w:r>
            <w:r w:rsidR="00504898">
              <w:t>rputhjes me rregulloret e BE-s</w:t>
            </w:r>
            <w:r w:rsidR="00F1459A">
              <w:t>ë</w:t>
            </w:r>
            <w:r w:rsidR="00504898">
              <w:t xml:space="preserve"> dhe p</w:t>
            </w:r>
            <w:r w:rsidR="00F1459A">
              <w:t>ë</w:t>
            </w:r>
            <w:r w:rsidR="00504898">
              <w:t>rmir</w:t>
            </w:r>
            <w:r w:rsidR="00F1459A">
              <w:t>ë</w:t>
            </w:r>
            <w:r w:rsidR="00504898">
              <w:t>simin e ofrimit t</w:t>
            </w:r>
            <w:r w:rsidR="00F1459A">
              <w:t>ë</w:t>
            </w:r>
            <w:r w:rsidR="00504898">
              <w:t xml:space="preserve"> sh</w:t>
            </w:r>
            <w:r w:rsidR="00F1459A">
              <w:t>ë</w:t>
            </w:r>
            <w:r w:rsidR="00504898">
              <w:t>rbimeve p</w:t>
            </w:r>
            <w:r w:rsidR="00F1459A">
              <w:t>ë</w:t>
            </w:r>
            <w:r w:rsidR="00504898">
              <w:t xml:space="preserve">r taksapaguesit.  </w:t>
            </w:r>
          </w:p>
          <w:p w14:paraId="432790D7" w14:textId="331A8C9F" w:rsidR="00272B75" w:rsidRPr="001F151E" w:rsidRDefault="00504898" w:rsidP="00AF4755">
            <w:pPr>
              <w:spacing w:line="220" w:lineRule="exact"/>
              <w:jc w:val="both"/>
              <w:rPr>
                <w:rStyle w:val="IntenseReference"/>
                <w:i w:val="0"/>
                <w:color w:val="auto"/>
                <w:sz w:val="16"/>
                <w:szCs w:val="16"/>
              </w:rPr>
            </w:pPr>
            <w:r>
              <w:rPr>
                <w:sz w:val="16"/>
                <w:szCs w:val="16"/>
              </w:rPr>
              <w:t>M</w:t>
            </w:r>
            <w:r w:rsidR="0013409C">
              <w:rPr>
                <w:sz w:val="16"/>
                <w:szCs w:val="16"/>
              </w:rPr>
              <w:t>asat p</w:t>
            </w:r>
            <w:r w:rsidR="00F1459A">
              <w:rPr>
                <w:sz w:val="16"/>
                <w:szCs w:val="16"/>
              </w:rPr>
              <w:t>ë</w:t>
            </w:r>
            <w:r w:rsidR="0013409C">
              <w:rPr>
                <w:sz w:val="16"/>
                <w:szCs w:val="16"/>
              </w:rPr>
              <w:t>r vite</w:t>
            </w:r>
            <w:r>
              <w:rPr>
                <w:sz w:val="16"/>
                <w:szCs w:val="16"/>
              </w:rPr>
              <w:t>t 2023-2026</w:t>
            </w:r>
            <w:r w:rsidR="00272B75" w:rsidRPr="001F151E">
              <w:rPr>
                <w:sz w:val="16"/>
                <w:szCs w:val="16"/>
              </w:rPr>
              <w:t>:</w:t>
            </w:r>
          </w:p>
          <w:p w14:paraId="5FEC62C4" w14:textId="67FC1A58" w:rsidR="00272B75" w:rsidRPr="001F151E" w:rsidRDefault="00272B75" w:rsidP="00AF4755">
            <w:pPr>
              <w:pStyle w:val="T-bullet0"/>
              <w:spacing w:line="220" w:lineRule="exact"/>
              <w:ind w:left="284" w:hanging="284"/>
              <w:rPr>
                <w:rStyle w:val="IntenseReference"/>
                <w:rFonts w:eastAsiaTheme="majorEastAsia"/>
                <w:i w:val="0"/>
                <w:iCs/>
                <w:color w:val="auto"/>
                <w:sz w:val="16"/>
                <w:szCs w:val="16"/>
              </w:rPr>
            </w:pPr>
            <w:r w:rsidRPr="001F151E">
              <w:rPr>
                <w:rStyle w:val="IntenseReference"/>
                <w:rFonts w:eastAsiaTheme="majorEastAsia"/>
                <w:i w:val="0"/>
                <w:iCs/>
                <w:color w:val="auto"/>
                <w:sz w:val="16"/>
                <w:szCs w:val="16"/>
              </w:rPr>
              <w:t xml:space="preserve">3.1.1 </w:t>
            </w:r>
            <w:r w:rsidR="00504898">
              <w:rPr>
                <w:rStyle w:val="IntenseReference"/>
                <w:rFonts w:eastAsiaTheme="majorEastAsia"/>
                <w:i w:val="0"/>
                <w:iCs/>
                <w:color w:val="auto"/>
                <w:sz w:val="16"/>
                <w:szCs w:val="16"/>
              </w:rPr>
              <w:t>Rritja e kapaciteteve institucionale p</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r t</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 xml:space="preserve"> analizuar dhe zhvilluar politikat tatimore dhe p</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r t</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 xml:space="preserve"> menaxhuar reformat tatimore;</w:t>
            </w:r>
          </w:p>
          <w:p w14:paraId="0A95F12B" w14:textId="023ACA0A" w:rsidR="00272B75" w:rsidRPr="001F151E" w:rsidRDefault="00272B75" w:rsidP="00AF4755">
            <w:pPr>
              <w:pStyle w:val="T-bullet0"/>
              <w:spacing w:line="220" w:lineRule="exact"/>
              <w:ind w:left="284" w:hanging="284"/>
              <w:rPr>
                <w:rStyle w:val="IntenseReference"/>
                <w:rFonts w:eastAsiaTheme="majorEastAsia"/>
                <w:i w:val="0"/>
                <w:iCs/>
                <w:color w:val="auto"/>
                <w:sz w:val="16"/>
                <w:szCs w:val="16"/>
              </w:rPr>
            </w:pPr>
            <w:r w:rsidRPr="001F151E">
              <w:rPr>
                <w:rStyle w:val="IntenseReference"/>
                <w:rFonts w:eastAsiaTheme="majorEastAsia"/>
                <w:i w:val="0"/>
                <w:iCs/>
                <w:color w:val="auto"/>
                <w:sz w:val="16"/>
                <w:szCs w:val="16"/>
              </w:rPr>
              <w:t xml:space="preserve">3.1.2 </w:t>
            </w:r>
            <w:r w:rsidR="00504898">
              <w:rPr>
                <w:rStyle w:val="IntenseReference"/>
                <w:rFonts w:eastAsiaTheme="majorEastAsia"/>
                <w:i w:val="0"/>
                <w:iCs/>
                <w:color w:val="auto"/>
                <w:sz w:val="16"/>
                <w:szCs w:val="16"/>
              </w:rPr>
              <w:t>Zhvillimi dhe zbatimi i iniciativave p</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r t</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 xml:space="preserve"> reduktuar hendekun e pajtueshm</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ris</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 xml:space="preserve"> me TVSH-n</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w:t>
            </w:r>
          </w:p>
          <w:p w14:paraId="3551AAAE" w14:textId="38E2B612" w:rsidR="00272B75" w:rsidRPr="001F151E" w:rsidRDefault="00272B75" w:rsidP="00AF4755">
            <w:pPr>
              <w:pStyle w:val="T-bullet0"/>
              <w:spacing w:line="220" w:lineRule="exact"/>
              <w:ind w:left="284" w:hanging="284"/>
              <w:rPr>
                <w:rStyle w:val="IntenseReference"/>
                <w:rFonts w:eastAsiaTheme="majorEastAsia"/>
                <w:i w:val="0"/>
                <w:iCs/>
                <w:color w:val="auto"/>
                <w:sz w:val="16"/>
                <w:szCs w:val="16"/>
              </w:rPr>
            </w:pPr>
            <w:r w:rsidRPr="001F151E">
              <w:rPr>
                <w:rStyle w:val="IntenseReference"/>
                <w:rFonts w:eastAsiaTheme="majorEastAsia"/>
                <w:i w:val="0"/>
                <w:iCs/>
                <w:color w:val="auto"/>
                <w:sz w:val="16"/>
                <w:szCs w:val="16"/>
              </w:rPr>
              <w:t xml:space="preserve">3.1.3 </w:t>
            </w:r>
            <w:r w:rsidR="00504898">
              <w:rPr>
                <w:rStyle w:val="IntenseReference"/>
                <w:rFonts w:eastAsiaTheme="majorEastAsia"/>
                <w:i w:val="0"/>
                <w:iCs/>
                <w:color w:val="auto"/>
                <w:sz w:val="16"/>
                <w:szCs w:val="16"/>
              </w:rPr>
              <w:t>Zhvillimi dhe zbatimi i nj</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 xml:space="preserve"> qasjeje t</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 xml:space="preserve"> integruar p</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r t</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 xml:space="preserve"> reduktuar pun</w:t>
            </w:r>
            <w:r w:rsidR="00F1459A">
              <w:rPr>
                <w:rStyle w:val="IntenseReference"/>
                <w:rFonts w:eastAsiaTheme="majorEastAsia"/>
                <w:i w:val="0"/>
                <w:iCs/>
                <w:color w:val="auto"/>
                <w:sz w:val="16"/>
                <w:szCs w:val="16"/>
              </w:rPr>
              <w:t>ë</w:t>
            </w:r>
            <w:r w:rsidR="00504898">
              <w:rPr>
                <w:rStyle w:val="IntenseReference"/>
                <w:rFonts w:eastAsiaTheme="majorEastAsia"/>
                <w:i w:val="0"/>
                <w:iCs/>
                <w:color w:val="auto"/>
                <w:sz w:val="16"/>
                <w:szCs w:val="16"/>
              </w:rPr>
              <w:t>n e padeklaruar;</w:t>
            </w:r>
          </w:p>
          <w:p w14:paraId="190DA78F" w14:textId="0484D188" w:rsidR="00272B75" w:rsidRPr="001F151E" w:rsidRDefault="00272B75" w:rsidP="00AF4755">
            <w:pPr>
              <w:pStyle w:val="T-bullet0"/>
              <w:spacing w:line="220" w:lineRule="exact"/>
              <w:ind w:left="284" w:hanging="284"/>
              <w:rPr>
                <w:rStyle w:val="IntenseReference"/>
                <w:rFonts w:eastAsiaTheme="majorEastAsia"/>
                <w:i w:val="0"/>
                <w:iCs/>
                <w:color w:val="auto"/>
                <w:sz w:val="16"/>
                <w:szCs w:val="16"/>
              </w:rPr>
            </w:pPr>
            <w:r w:rsidRPr="001F151E">
              <w:rPr>
                <w:rStyle w:val="IntenseReference"/>
                <w:rFonts w:eastAsiaTheme="majorEastAsia"/>
                <w:i w:val="0"/>
                <w:iCs/>
                <w:color w:val="auto"/>
                <w:sz w:val="16"/>
                <w:szCs w:val="16"/>
              </w:rPr>
              <w:t xml:space="preserve">3.1.4 </w:t>
            </w:r>
            <w:r w:rsidR="00977F1E">
              <w:rPr>
                <w:rStyle w:val="IntenseReference"/>
                <w:rFonts w:eastAsiaTheme="majorEastAsia"/>
                <w:i w:val="0"/>
                <w:iCs/>
                <w:color w:val="auto"/>
                <w:sz w:val="16"/>
                <w:szCs w:val="16"/>
              </w:rPr>
              <w:t>Sigurimi i taksimit t</w:t>
            </w:r>
            <w:r w:rsidR="00F1459A">
              <w:rPr>
                <w:rStyle w:val="IntenseReference"/>
                <w:rFonts w:eastAsiaTheme="majorEastAsia"/>
                <w:i w:val="0"/>
                <w:iCs/>
                <w:color w:val="auto"/>
                <w:sz w:val="16"/>
                <w:szCs w:val="16"/>
              </w:rPr>
              <w:t>ë</w:t>
            </w:r>
            <w:r w:rsidR="00977F1E">
              <w:rPr>
                <w:rStyle w:val="IntenseReference"/>
                <w:rFonts w:eastAsiaTheme="majorEastAsia"/>
                <w:i w:val="0"/>
                <w:iCs/>
                <w:color w:val="auto"/>
                <w:sz w:val="16"/>
                <w:szCs w:val="16"/>
              </w:rPr>
              <w:t xml:space="preserve"> çdo pasurie t</w:t>
            </w:r>
            <w:r w:rsidR="00F1459A">
              <w:rPr>
                <w:rStyle w:val="IntenseReference"/>
                <w:rFonts w:eastAsiaTheme="majorEastAsia"/>
                <w:i w:val="0"/>
                <w:iCs/>
                <w:color w:val="auto"/>
                <w:sz w:val="16"/>
                <w:szCs w:val="16"/>
              </w:rPr>
              <w:t>ë</w:t>
            </w:r>
            <w:r w:rsidR="00977F1E">
              <w:rPr>
                <w:rStyle w:val="IntenseReference"/>
                <w:rFonts w:eastAsiaTheme="majorEastAsia"/>
                <w:i w:val="0"/>
                <w:iCs/>
                <w:color w:val="auto"/>
                <w:sz w:val="16"/>
                <w:szCs w:val="16"/>
              </w:rPr>
              <w:t xml:space="preserve"> pajustifiku</w:t>
            </w:r>
            <w:r w:rsidR="001F2BA8">
              <w:rPr>
                <w:rStyle w:val="IntenseReference"/>
                <w:rFonts w:eastAsiaTheme="majorEastAsia"/>
                <w:i w:val="0"/>
                <w:iCs/>
                <w:color w:val="auto"/>
                <w:sz w:val="16"/>
                <w:szCs w:val="16"/>
              </w:rPr>
              <w:t>ar</w:t>
            </w:r>
            <w:r w:rsidR="00977F1E">
              <w:rPr>
                <w:rStyle w:val="IntenseReference"/>
                <w:rFonts w:eastAsiaTheme="majorEastAsia"/>
                <w:i w:val="0"/>
                <w:iCs/>
                <w:color w:val="auto"/>
                <w:sz w:val="16"/>
                <w:szCs w:val="16"/>
              </w:rPr>
              <w:t xml:space="preserve"> brenda dhe jasht</w:t>
            </w:r>
            <w:r w:rsidR="00F1459A">
              <w:rPr>
                <w:rStyle w:val="IntenseReference"/>
                <w:rFonts w:eastAsiaTheme="majorEastAsia"/>
                <w:i w:val="0"/>
                <w:iCs/>
                <w:color w:val="auto"/>
                <w:sz w:val="16"/>
                <w:szCs w:val="16"/>
              </w:rPr>
              <w:t>ë</w:t>
            </w:r>
            <w:r w:rsidR="00977F1E">
              <w:rPr>
                <w:rStyle w:val="IntenseReference"/>
                <w:rFonts w:eastAsiaTheme="majorEastAsia"/>
                <w:i w:val="0"/>
                <w:iCs/>
                <w:color w:val="auto"/>
                <w:sz w:val="16"/>
                <w:szCs w:val="16"/>
              </w:rPr>
              <w:t xml:space="preserve"> vendit. </w:t>
            </w:r>
          </w:p>
          <w:p w14:paraId="64013A03" w14:textId="2E9DCCF6" w:rsidR="00272B75" w:rsidRPr="001F151E" w:rsidRDefault="00272B75" w:rsidP="00AF4755">
            <w:pPr>
              <w:pStyle w:val="T-bullet0"/>
              <w:spacing w:line="220" w:lineRule="exact"/>
              <w:ind w:left="284" w:hanging="284"/>
            </w:pPr>
            <w:r w:rsidRPr="001F151E">
              <w:rPr>
                <w:rStyle w:val="IntenseReference"/>
                <w:rFonts w:eastAsiaTheme="majorEastAsia"/>
                <w:i w:val="0"/>
                <w:iCs/>
                <w:color w:val="auto"/>
                <w:sz w:val="16"/>
                <w:szCs w:val="16"/>
              </w:rPr>
              <w:t>3.1.</w:t>
            </w:r>
            <w:r w:rsidR="004D4B0A" w:rsidRPr="001F151E">
              <w:rPr>
                <w:rStyle w:val="IntenseReference"/>
                <w:rFonts w:eastAsiaTheme="majorEastAsia"/>
                <w:i w:val="0"/>
                <w:iCs/>
                <w:color w:val="auto"/>
                <w:sz w:val="16"/>
                <w:szCs w:val="16"/>
              </w:rPr>
              <w:t>5</w:t>
            </w:r>
            <w:r w:rsidRPr="001F151E">
              <w:rPr>
                <w:rStyle w:val="IntenseReference"/>
                <w:rFonts w:eastAsiaTheme="majorEastAsia"/>
                <w:i w:val="0"/>
                <w:iCs/>
                <w:color w:val="auto"/>
                <w:sz w:val="16"/>
                <w:szCs w:val="16"/>
              </w:rPr>
              <w:t xml:space="preserve"> </w:t>
            </w:r>
            <w:r w:rsidR="00977F1E">
              <w:rPr>
                <w:rStyle w:val="IntenseReference"/>
                <w:rFonts w:eastAsiaTheme="majorEastAsia"/>
                <w:i w:val="0"/>
                <w:iCs/>
                <w:color w:val="auto"/>
                <w:sz w:val="16"/>
                <w:szCs w:val="16"/>
              </w:rPr>
              <w:t>P</w:t>
            </w:r>
            <w:r w:rsidR="00F1459A">
              <w:rPr>
                <w:rStyle w:val="IntenseReference"/>
                <w:rFonts w:eastAsiaTheme="majorEastAsia"/>
                <w:i w:val="0"/>
                <w:iCs/>
                <w:color w:val="auto"/>
                <w:sz w:val="16"/>
                <w:szCs w:val="16"/>
              </w:rPr>
              <w:t>ë</w:t>
            </w:r>
            <w:r w:rsidR="00977F1E">
              <w:rPr>
                <w:rStyle w:val="IntenseReference"/>
                <w:rFonts w:eastAsiaTheme="majorEastAsia"/>
                <w:i w:val="0"/>
                <w:iCs/>
                <w:color w:val="auto"/>
                <w:sz w:val="16"/>
                <w:szCs w:val="16"/>
              </w:rPr>
              <w:t>rmir</w:t>
            </w:r>
            <w:r w:rsidR="00F1459A">
              <w:rPr>
                <w:rStyle w:val="IntenseReference"/>
                <w:rFonts w:eastAsiaTheme="majorEastAsia"/>
                <w:i w:val="0"/>
                <w:iCs/>
                <w:color w:val="auto"/>
                <w:sz w:val="16"/>
                <w:szCs w:val="16"/>
              </w:rPr>
              <w:t>ë</w:t>
            </w:r>
            <w:r w:rsidR="00977F1E">
              <w:rPr>
                <w:rStyle w:val="IntenseReference"/>
                <w:rFonts w:eastAsiaTheme="majorEastAsia"/>
                <w:i w:val="0"/>
                <w:iCs/>
                <w:color w:val="auto"/>
                <w:sz w:val="16"/>
                <w:szCs w:val="16"/>
              </w:rPr>
              <w:t>simi i ofrimit t</w:t>
            </w:r>
            <w:r w:rsidR="00F1459A">
              <w:rPr>
                <w:rStyle w:val="IntenseReference"/>
                <w:rFonts w:eastAsiaTheme="majorEastAsia"/>
                <w:i w:val="0"/>
                <w:iCs/>
                <w:color w:val="auto"/>
                <w:sz w:val="16"/>
                <w:szCs w:val="16"/>
              </w:rPr>
              <w:t>ë</w:t>
            </w:r>
            <w:r w:rsidR="00977F1E">
              <w:rPr>
                <w:rStyle w:val="IntenseReference"/>
                <w:rFonts w:eastAsiaTheme="majorEastAsia"/>
                <w:i w:val="0"/>
                <w:iCs/>
                <w:color w:val="auto"/>
                <w:sz w:val="16"/>
                <w:szCs w:val="16"/>
              </w:rPr>
              <w:t xml:space="preserve"> sh</w:t>
            </w:r>
            <w:r w:rsidR="00F1459A">
              <w:rPr>
                <w:rStyle w:val="IntenseReference"/>
                <w:rFonts w:eastAsiaTheme="majorEastAsia"/>
                <w:i w:val="0"/>
                <w:iCs/>
                <w:color w:val="auto"/>
                <w:sz w:val="16"/>
                <w:szCs w:val="16"/>
              </w:rPr>
              <w:t>ë</w:t>
            </w:r>
            <w:r w:rsidR="00977F1E">
              <w:rPr>
                <w:rStyle w:val="IntenseReference"/>
                <w:rFonts w:eastAsiaTheme="majorEastAsia"/>
                <w:i w:val="0"/>
                <w:iCs/>
                <w:color w:val="auto"/>
                <w:sz w:val="16"/>
                <w:szCs w:val="16"/>
              </w:rPr>
              <w:t>rbimeve p</w:t>
            </w:r>
            <w:r w:rsidR="00F1459A">
              <w:rPr>
                <w:rStyle w:val="IntenseReference"/>
                <w:rFonts w:eastAsiaTheme="majorEastAsia"/>
                <w:i w:val="0"/>
                <w:iCs/>
                <w:color w:val="auto"/>
                <w:sz w:val="16"/>
                <w:szCs w:val="16"/>
              </w:rPr>
              <w:t>ë</w:t>
            </w:r>
            <w:r w:rsidR="00977F1E">
              <w:rPr>
                <w:rStyle w:val="IntenseReference"/>
                <w:rFonts w:eastAsiaTheme="majorEastAsia"/>
                <w:i w:val="0"/>
                <w:iCs/>
                <w:color w:val="auto"/>
                <w:sz w:val="16"/>
                <w:szCs w:val="16"/>
              </w:rPr>
              <w:t>r taksapaguesit</w:t>
            </w:r>
          </w:p>
          <w:p w14:paraId="65FF8380" w14:textId="77777777" w:rsidR="00272B75" w:rsidRPr="001F151E" w:rsidRDefault="00272B75" w:rsidP="00AF4755">
            <w:pPr>
              <w:pStyle w:val="T-normal"/>
              <w:spacing w:line="220" w:lineRule="exact"/>
              <w:rPr>
                <w:b/>
                <w:bCs/>
              </w:rPr>
            </w:pPr>
          </w:p>
          <w:p w14:paraId="1E1B7A94" w14:textId="7E6E63D6" w:rsidR="00272B75" w:rsidRPr="009D660E" w:rsidRDefault="0013409C" w:rsidP="00AF4755">
            <w:pPr>
              <w:pStyle w:val="T-normal"/>
              <w:spacing w:after="60" w:line="220" w:lineRule="exact"/>
              <w:rPr>
                <w:b/>
                <w:bCs/>
                <w:lang w:val="it-IT"/>
              </w:rPr>
            </w:pPr>
            <w:r w:rsidRPr="009D660E">
              <w:rPr>
                <w:b/>
                <w:bCs/>
                <w:lang w:val="it-IT"/>
              </w:rPr>
              <w:t>Komponenti</w:t>
            </w:r>
            <w:r w:rsidR="00272B75" w:rsidRPr="009D660E">
              <w:rPr>
                <w:b/>
                <w:bCs/>
                <w:lang w:val="it-IT"/>
              </w:rPr>
              <w:t xml:space="preserve"> 3.2 </w:t>
            </w:r>
            <w:r w:rsidRPr="009D660E">
              <w:rPr>
                <w:b/>
                <w:bCs/>
                <w:lang w:val="it-IT"/>
              </w:rPr>
              <w:t>Menaxhimi i taks</w:t>
            </w:r>
            <w:r w:rsidR="00F1459A" w:rsidRPr="009D660E">
              <w:rPr>
                <w:b/>
                <w:bCs/>
                <w:lang w:val="it-IT"/>
              </w:rPr>
              <w:t>ë</w:t>
            </w:r>
            <w:r w:rsidRPr="009D660E">
              <w:rPr>
                <w:b/>
                <w:bCs/>
                <w:lang w:val="it-IT"/>
              </w:rPr>
              <w:t>s s</w:t>
            </w:r>
            <w:r w:rsidR="00F1459A" w:rsidRPr="009D660E">
              <w:rPr>
                <w:b/>
                <w:bCs/>
                <w:lang w:val="it-IT"/>
              </w:rPr>
              <w:t>ë</w:t>
            </w:r>
            <w:r w:rsidRPr="009D660E">
              <w:rPr>
                <w:b/>
                <w:bCs/>
                <w:lang w:val="it-IT"/>
              </w:rPr>
              <w:t xml:space="preserve"> pasuris</w:t>
            </w:r>
            <w:r w:rsidR="00F1459A" w:rsidRPr="009D660E">
              <w:rPr>
                <w:b/>
                <w:bCs/>
                <w:lang w:val="it-IT"/>
              </w:rPr>
              <w:t>ë</w:t>
            </w:r>
          </w:p>
          <w:p w14:paraId="2C729088" w14:textId="67330868" w:rsidR="00272B75" w:rsidRPr="009D660E" w:rsidRDefault="0013409C" w:rsidP="00AF4755">
            <w:pPr>
              <w:pStyle w:val="T-normal"/>
              <w:spacing w:after="60" w:line="220" w:lineRule="exact"/>
              <w:rPr>
                <w:lang w:val="it-IT"/>
              </w:rPr>
            </w:pPr>
            <w:r w:rsidRPr="009D660E">
              <w:rPr>
                <w:lang w:val="it-IT"/>
              </w:rPr>
              <w:t>Synimi</w:t>
            </w:r>
            <w:r w:rsidR="00272B75" w:rsidRPr="009D660E">
              <w:rPr>
                <w:lang w:val="it-IT"/>
              </w:rPr>
              <w:t xml:space="preserve"> 2030: </w:t>
            </w:r>
            <w:r w:rsidRPr="009D660E">
              <w:rPr>
                <w:lang w:val="it-IT"/>
              </w:rPr>
              <w:t>krijimi i nj</w:t>
            </w:r>
            <w:r w:rsidR="00F1459A" w:rsidRPr="009D660E">
              <w:rPr>
                <w:lang w:val="it-IT"/>
              </w:rPr>
              <w:t>ë</w:t>
            </w:r>
            <w:r w:rsidRPr="009D660E">
              <w:rPr>
                <w:lang w:val="it-IT"/>
              </w:rPr>
              <w:t xml:space="preserve"> kadastre fiskale plot</w:t>
            </w:r>
            <w:r w:rsidR="00F1459A" w:rsidRPr="009D660E">
              <w:rPr>
                <w:lang w:val="it-IT"/>
              </w:rPr>
              <w:t>ë</w:t>
            </w:r>
            <w:r w:rsidRPr="009D660E">
              <w:rPr>
                <w:lang w:val="it-IT"/>
              </w:rPr>
              <w:t>sisht funksionale dhe nj</w:t>
            </w:r>
            <w:r w:rsidR="00F1459A" w:rsidRPr="009D660E">
              <w:rPr>
                <w:lang w:val="it-IT"/>
              </w:rPr>
              <w:t>ë</w:t>
            </w:r>
            <w:r w:rsidRPr="009D660E">
              <w:rPr>
                <w:lang w:val="it-IT"/>
              </w:rPr>
              <w:t xml:space="preserve"> sistemi efektiv t</w:t>
            </w:r>
            <w:r w:rsidR="00F1459A" w:rsidRPr="009D660E">
              <w:rPr>
                <w:lang w:val="it-IT"/>
              </w:rPr>
              <w:t>ë</w:t>
            </w:r>
            <w:r w:rsidRPr="009D660E">
              <w:rPr>
                <w:lang w:val="it-IT"/>
              </w:rPr>
              <w:t xml:space="preserve"> mbledhjes s</w:t>
            </w:r>
            <w:r w:rsidR="00F1459A" w:rsidRPr="009D660E">
              <w:rPr>
                <w:lang w:val="it-IT"/>
              </w:rPr>
              <w:t>ë</w:t>
            </w:r>
            <w:r w:rsidRPr="009D660E">
              <w:rPr>
                <w:lang w:val="it-IT"/>
              </w:rPr>
              <w:t xml:space="preserve"> taks</w:t>
            </w:r>
            <w:r w:rsidR="00F1459A" w:rsidRPr="009D660E">
              <w:rPr>
                <w:lang w:val="it-IT"/>
              </w:rPr>
              <w:t>ë</w:t>
            </w:r>
            <w:r w:rsidRPr="009D660E">
              <w:rPr>
                <w:lang w:val="it-IT"/>
              </w:rPr>
              <w:t>s s</w:t>
            </w:r>
            <w:r w:rsidR="00F1459A" w:rsidRPr="009D660E">
              <w:rPr>
                <w:lang w:val="it-IT"/>
              </w:rPr>
              <w:t>ë</w:t>
            </w:r>
            <w:r w:rsidRPr="009D660E">
              <w:rPr>
                <w:lang w:val="it-IT"/>
              </w:rPr>
              <w:t xml:space="preserve"> pasuris</w:t>
            </w:r>
            <w:r w:rsidR="00F1459A" w:rsidRPr="009D660E">
              <w:rPr>
                <w:lang w:val="it-IT"/>
              </w:rPr>
              <w:t>ë</w:t>
            </w:r>
            <w:r w:rsidRPr="009D660E">
              <w:rPr>
                <w:lang w:val="it-IT"/>
              </w:rPr>
              <w:t xml:space="preserve"> q</w:t>
            </w:r>
            <w:r w:rsidR="00F1459A" w:rsidRPr="009D660E">
              <w:rPr>
                <w:lang w:val="it-IT"/>
              </w:rPr>
              <w:t>ë</w:t>
            </w:r>
            <w:r w:rsidRPr="009D660E">
              <w:rPr>
                <w:lang w:val="it-IT"/>
              </w:rPr>
              <w:t xml:space="preserve"> synon t</w:t>
            </w:r>
            <w:r w:rsidR="00F1459A" w:rsidRPr="009D660E">
              <w:rPr>
                <w:lang w:val="it-IT"/>
              </w:rPr>
              <w:t>ë</w:t>
            </w:r>
            <w:r w:rsidRPr="009D660E">
              <w:rPr>
                <w:lang w:val="it-IT"/>
              </w:rPr>
              <w:t xml:space="preserve"> gjitha pronat n</w:t>
            </w:r>
            <w:r w:rsidR="00F1459A" w:rsidRPr="009D660E">
              <w:rPr>
                <w:lang w:val="it-IT"/>
              </w:rPr>
              <w:t>ë</w:t>
            </w:r>
            <w:r w:rsidRPr="009D660E">
              <w:rPr>
                <w:lang w:val="it-IT"/>
              </w:rPr>
              <w:t xml:space="preserve"> t</w:t>
            </w:r>
            <w:r w:rsidR="00F1459A" w:rsidRPr="009D660E">
              <w:rPr>
                <w:lang w:val="it-IT"/>
              </w:rPr>
              <w:t>ë</w:t>
            </w:r>
            <w:r w:rsidRPr="009D660E">
              <w:rPr>
                <w:lang w:val="it-IT"/>
              </w:rPr>
              <w:t xml:space="preserve"> gjitha bashkit</w:t>
            </w:r>
            <w:r w:rsidR="00F1459A" w:rsidRPr="009D660E">
              <w:rPr>
                <w:lang w:val="it-IT"/>
              </w:rPr>
              <w:t>ë</w:t>
            </w:r>
            <w:r w:rsidRPr="009D660E">
              <w:rPr>
                <w:lang w:val="it-IT"/>
              </w:rPr>
              <w:t xml:space="preserve"> e vendit me q</w:t>
            </w:r>
            <w:r w:rsidR="00F1459A" w:rsidRPr="009D660E">
              <w:rPr>
                <w:lang w:val="it-IT"/>
              </w:rPr>
              <w:t>ë</w:t>
            </w:r>
            <w:r w:rsidRPr="009D660E">
              <w:rPr>
                <w:lang w:val="it-IT"/>
              </w:rPr>
              <w:t>llim sjelljen e t</w:t>
            </w:r>
            <w:r w:rsidR="00F1459A" w:rsidRPr="009D660E">
              <w:rPr>
                <w:lang w:val="it-IT"/>
              </w:rPr>
              <w:t>ë</w:t>
            </w:r>
            <w:r w:rsidRPr="009D660E">
              <w:rPr>
                <w:lang w:val="it-IT"/>
              </w:rPr>
              <w:t xml:space="preserve"> ardhurave shtes</w:t>
            </w:r>
            <w:r w:rsidR="00F1459A" w:rsidRPr="009D660E">
              <w:rPr>
                <w:lang w:val="it-IT"/>
              </w:rPr>
              <w:t>ë</w:t>
            </w:r>
            <w:r w:rsidRPr="009D660E">
              <w:rPr>
                <w:lang w:val="it-IT"/>
              </w:rPr>
              <w:t xml:space="preserve"> p</w:t>
            </w:r>
            <w:r w:rsidR="00F1459A" w:rsidRPr="009D660E">
              <w:rPr>
                <w:lang w:val="it-IT"/>
              </w:rPr>
              <w:t>ë</w:t>
            </w:r>
            <w:r w:rsidRPr="009D660E">
              <w:rPr>
                <w:lang w:val="it-IT"/>
              </w:rPr>
              <w:t>r qeverit</w:t>
            </w:r>
            <w:r w:rsidR="00F1459A" w:rsidRPr="009D660E">
              <w:rPr>
                <w:lang w:val="it-IT"/>
              </w:rPr>
              <w:t>ë</w:t>
            </w:r>
            <w:r w:rsidRPr="009D660E">
              <w:rPr>
                <w:lang w:val="it-IT"/>
              </w:rPr>
              <w:t xml:space="preserve"> vendore</w:t>
            </w:r>
            <w:r w:rsidR="00272B75" w:rsidRPr="009D660E">
              <w:rPr>
                <w:lang w:val="it-IT"/>
              </w:rPr>
              <w:t xml:space="preserve">. </w:t>
            </w:r>
          </w:p>
          <w:p w14:paraId="56928A71" w14:textId="68A23984" w:rsidR="00272B75" w:rsidRPr="001F151E" w:rsidRDefault="0013409C" w:rsidP="00AF4755">
            <w:pPr>
              <w:spacing w:line="220" w:lineRule="exact"/>
              <w:jc w:val="both"/>
              <w:rPr>
                <w:sz w:val="16"/>
                <w:szCs w:val="16"/>
              </w:rPr>
            </w:pPr>
            <w:r>
              <w:rPr>
                <w:sz w:val="16"/>
                <w:szCs w:val="16"/>
              </w:rPr>
              <w:t>Masat p</w:t>
            </w:r>
            <w:r w:rsidR="00F1459A">
              <w:rPr>
                <w:sz w:val="16"/>
                <w:szCs w:val="16"/>
              </w:rPr>
              <w:t>ë</w:t>
            </w:r>
            <w:r>
              <w:rPr>
                <w:sz w:val="16"/>
                <w:szCs w:val="16"/>
              </w:rPr>
              <w:t>r vitet</w:t>
            </w:r>
            <w:r w:rsidR="00272B75" w:rsidRPr="001F151E">
              <w:rPr>
                <w:sz w:val="16"/>
                <w:szCs w:val="16"/>
              </w:rPr>
              <w:t xml:space="preserve"> 2023-20</w:t>
            </w:r>
            <w:r w:rsidR="00E80DF6">
              <w:rPr>
                <w:sz w:val="16"/>
                <w:szCs w:val="16"/>
              </w:rPr>
              <w:t>30</w:t>
            </w:r>
            <w:r w:rsidR="00272B75" w:rsidRPr="001F151E">
              <w:rPr>
                <w:sz w:val="16"/>
                <w:szCs w:val="16"/>
              </w:rPr>
              <w:t>:</w:t>
            </w:r>
          </w:p>
          <w:p w14:paraId="37EACD8C" w14:textId="2E493197" w:rsidR="00272B75" w:rsidRPr="001F151E" w:rsidRDefault="0013409C" w:rsidP="00AF4755">
            <w:pPr>
              <w:pStyle w:val="T-bullet0"/>
              <w:spacing w:line="220" w:lineRule="exact"/>
              <w:ind w:left="284" w:hanging="284"/>
              <w:rPr>
                <w:rStyle w:val="IntenseReference"/>
                <w:rFonts w:eastAsiaTheme="majorEastAsia"/>
                <w:i w:val="0"/>
                <w:color w:val="auto"/>
                <w:sz w:val="16"/>
                <w:szCs w:val="16"/>
              </w:rPr>
            </w:pPr>
            <w:r>
              <w:rPr>
                <w:rStyle w:val="IntenseReference"/>
                <w:rFonts w:eastAsiaTheme="majorEastAsia"/>
                <w:i w:val="0"/>
                <w:color w:val="auto"/>
                <w:sz w:val="16"/>
                <w:szCs w:val="16"/>
              </w:rPr>
              <w:t>3.2.1  P</w:t>
            </w:r>
            <w:r w:rsidR="00F1459A">
              <w:rPr>
                <w:rStyle w:val="IntenseReference"/>
                <w:rFonts w:eastAsiaTheme="majorEastAsia"/>
                <w:i w:val="0"/>
                <w:color w:val="auto"/>
                <w:sz w:val="16"/>
                <w:szCs w:val="16"/>
              </w:rPr>
              <w:t>ë</w:t>
            </w:r>
            <w:r>
              <w:rPr>
                <w:rStyle w:val="IntenseReference"/>
                <w:rFonts w:eastAsiaTheme="majorEastAsia"/>
                <w:i w:val="0"/>
                <w:color w:val="auto"/>
                <w:sz w:val="16"/>
                <w:szCs w:val="16"/>
              </w:rPr>
              <w:t>rmir</w:t>
            </w:r>
            <w:r w:rsidR="00F1459A">
              <w:rPr>
                <w:rStyle w:val="IntenseReference"/>
                <w:rFonts w:eastAsiaTheme="majorEastAsia"/>
                <w:i w:val="0"/>
                <w:color w:val="auto"/>
                <w:sz w:val="16"/>
                <w:szCs w:val="16"/>
              </w:rPr>
              <w:t>ë</w:t>
            </w:r>
            <w:r>
              <w:rPr>
                <w:rStyle w:val="IntenseReference"/>
                <w:rFonts w:eastAsiaTheme="majorEastAsia"/>
                <w:i w:val="0"/>
                <w:color w:val="auto"/>
                <w:sz w:val="16"/>
                <w:szCs w:val="16"/>
              </w:rPr>
              <w:t>simi i kadastr</w:t>
            </w:r>
            <w:r w:rsidR="00F1459A">
              <w:rPr>
                <w:rStyle w:val="IntenseReference"/>
                <w:rFonts w:eastAsiaTheme="majorEastAsia"/>
                <w:i w:val="0"/>
                <w:color w:val="auto"/>
                <w:sz w:val="16"/>
                <w:szCs w:val="16"/>
              </w:rPr>
              <w:t>ë</w:t>
            </w:r>
            <w:r>
              <w:rPr>
                <w:rStyle w:val="IntenseReference"/>
                <w:rFonts w:eastAsiaTheme="majorEastAsia"/>
                <w:i w:val="0"/>
                <w:color w:val="auto"/>
                <w:sz w:val="16"/>
                <w:szCs w:val="16"/>
              </w:rPr>
              <w:t>s fiskale dhe sistemit t</w:t>
            </w:r>
            <w:r w:rsidR="00F1459A">
              <w:rPr>
                <w:rStyle w:val="IntenseReference"/>
                <w:rFonts w:eastAsiaTheme="majorEastAsia"/>
                <w:i w:val="0"/>
                <w:color w:val="auto"/>
                <w:sz w:val="16"/>
                <w:szCs w:val="16"/>
              </w:rPr>
              <w:t>ë</w:t>
            </w:r>
            <w:r>
              <w:rPr>
                <w:rStyle w:val="IntenseReference"/>
                <w:rFonts w:eastAsiaTheme="majorEastAsia"/>
                <w:i w:val="0"/>
                <w:color w:val="auto"/>
                <w:sz w:val="16"/>
                <w:szCs w:val="16"/>
              </w:rPr>
              <w:t xml:space="preserve"> mbledhjes s</w:t>
            </w:r>
            <w:r w:rsidR="00F1459A">
              <w:rPr>
                <w:rStyle w:val="IntenseReference"/>
                <w:rFonts w:eastAsiaTheme="majorEastAsia"/>
                <w:i w:val="0"/>
                <w:color w:val="auto"/>
                <w:sz w:val="16"/>
                <w:szCs w:val="16"/>
              </w:rPr>
              <w:t>ë</w:t>
            </w:r>
            <w:r>
              <w:rPr>
                <w:rStyle w:val="IntenseReference"/>
                <w:rFonts w:eastAsiaTheme="majorEastAsia"/>
                <w:i w:val="0"/>
                <w:color w:val="auto"/>
                <w:sz w:val="16"/>
                <w:szCs w:val="16"/>
              </w:rPr>
              <w:t xml:space="preserve"> taks</w:t>
            </w:r>
            <w:r w:rsidR="00F1459A">
              <w:rPr>
                <w:rStyle w:val="IntenseReference"/>
                <w:rFonts w:eastAsiaTheme="majorEastAsia"/>
                <w:i w:val="0"/>
                <w:color w:val="auto"/>
                <w:sz w:val="16"/>
                <w:szCs w:val="16"/>
              </w:rPr>
              <w:t>ë</w:t>
            </w:r>
            <w:r>
              <w:rPr>
                <w:rStyle w:val="IntenseReference"/>
                <w:rFonts w:eastAsiaTheme="majorEastAsia"/>
                <w:i w:val="0"/>
                <w:color w:val="auto"/>
                <w:sz w:val="16"/>
                <w:szCs w:val="16"/>
              </w:rPr>
              <w:t>s s</w:t>
            </w:r>
            <w:r w:rsidR="00F1459A">
              <w:rPr>
                <w:rStyle w:val="IntenseReference"/>
                <w:rFonts w:eastAsiaTheme="majorEastAsia"/>
                <w:i w:val="0"/>
                <w:color w:val="auto"/>
                <w:sz w:val="16"/>
                <w:szCs w:val="16"/>
              </w:rPr>
              <w:t>ë</w:t>
            </w:r>
            <w:r>
              <w:rPr>
                <w:rStyle w:val="IntenseReference"/>
                <w:rFonts w:eastAsiaTheme="majorEastAsia"/>
                <w:i w:val="0"/>
                <w:color w:val="auto"/>
                <w:sz w:val="16"/>
                <w:szCs w:val="16"/>
              </w:rPr>
              <w:t xml:space="preserve"> pasuris</w:t>
            </w:r>
            <w:r w:rsidR="00F1459A">
              <w:rPr>
                <w:rStyle w:val="IntenseReference"/>
                <w:rFonts w:eastAsiaTheme="majorEastAsia"/>
                <w:i w:val="0"/>
                <w:color w:val="auto"/>
                <w:sz w:val="16"/>
                <w:szCs w:val="16"/>
              </w:rPr>
              <w:t>ë</w:t>
            </w:r>
            <w:r w:rsidR="00272B75" w:rsidRPr="001F151E">
              <w:rPr>
                <w:rStyle w:val="IntenseReference"/>
                <w:rFonts w:eastAsiaTheme="majorEastAsia"/>
                <w:i w:val="0"/>
                <w:color w:val="auto"/>
                <w:sz w:val="16"/>
                <w:szCs w:val="16"/>
              </w:rPr>
              <w:t xml:space="preserve"> </w:t>
            </w:r>
          </w:p>
          <w:p w14:paraId="235C3D91" w14:textId="77777777" w:rsidR="00272B75" w:rsidRPr="001F151E" w:rsidRDefault="00272B75" w:rsidP="00AF4755">
            <w:pPr>
              <w:spacing w:line="220" w:lineRule="exact"/>
              <w:jc w:val="both"/>
              <w:rPr>
                <w:sz w:val="16"/>
                <w:szCs w:val="16"/>
              </w:rPr>
            </w:pPr>
          </w:p>
          <w:p w14:paraId="1B481A11" w14:textId="77777777" w:rsidR="00B45F59" w:rsidRPr="001F151E" w:rsidRDefault="00B45F59" w:rsidP="00B45F59">
            <w:pPr>
              <w:pStyle w:val="T-normal"/>
              <w:spacing w:after="60" w:line="220" w:lineRule="exact"/>
              <w:rPr>
                <w:b/>
                <w:bCs/>
              </w:rPr>
            </w:pPr>
            <w:r>
              <w:rPr>
                <w:b/>
                <w:bCs/>
              </w:rPr>
              <w:t>Komponenti</w:t>
            </w:r>
            <w:r w:rsidRPr="001F151E">
              <w:rPr>
                <w:b/>
                <w:bCs/>
              </w:rPr>
              <w:t xml:space="preserve"> 3.3 </w:t>
            </w:r>
            <w:r>
              <w:rPr>
                <w:b/>
                <w:bCs/>
              </w:rPr>
              <w:t>Menaxhimi Doganor</w:t>
            </w:r>
          </w:p>
          <w:p w14:paraId="381CCEB9" w14:textId="77777777" w:rsidR="00B45F59" w:rsidRPr="001F151E" w:rsidRDefault="00B45F59" w:rsidP="00B45F59">
            <w:pPr>
              <w:pStyle w:val="T-normal"/>
              <w:spacing w:after="60" w:line="220" w:lineRule="exact"/>
            </w:pPr>
            <w:r>
              <w:t xml:space="preserve">Synimi </w:t>
            </w:r>
            <w:r w:rsidRPr="001F151E">
              <w:t xml:space="preserve">2030: </w:t>
            </w:r>
            <w:r w:rsidRPr="002B5335">
              <w:t>Një Administratë Doganore efektive e cila ofron shërbime të përmirësuara për qytetarët dhe bizneset dhe funksionon në përputhje me standardet dhe legjislacionin e BE-së.</w:t>
            </w:r>
          </w:p>
          <w:p w14:paraId="44337329" w14:textId="77777777" w:rsidR="00B45F59" w:rsidRPr="001F151E" w:rsidRDefault="00B45F59" w:rsidP="00B45F59">
            <w:pPr>
              <w:spacing w:line="220" w:lineRule="exact"/>
              <w:jc w:val="both"/>
            </w:pPr>
            <w:r>
              <w:rPr>
                <w:sz w:val="16"/>
                <w:szCs w:val="16"/>
              </w:rPr>
              <w:t>Masat</w:t>
            </w:r>
            <w:r w:rsidRPr="001F151E">
              <w:rPr>
                <w:sz w:val="16"/>
                <w:szCs w:val="16"/>
              </w:rPr>
              <w:t xml:space="preserve"> 2023-2026:</w:t>
            </w:r>
            <w:r w:rsidRPr="001F151E">
              <w:t xml:space="preserve"> </w:t>
            </w:r>
          </w:p>
          <w:p w14:paraId="04D5D193" w14:textId="77777777" w:rsidR="00B45F59" w:rsidRDefault="00B45F59" w:rsidP="00B45F59">
            <w:pPr>
              <w:pStyle w:val="T-bullet0"/>
              <w:rPr>
                <w:rStyle w:val="IntenseReference"/>
                <w:rFonts w:eastAsiaTheme="majorEastAsia"/>
                <w:i w:val="0"/>
                <w:iCs/>
                <w:color w:val="auto"/>
                <w:sz w:val="16"/>
                <w:szCs w:val="16"/>
              </w:rPr>
            </w:pPr>
            <w:r w:rsidRPr="001F151E">
              <w:rPr>
                <w:rStyle w:val="IntenseReference"/>
                <w:rFonts w:eastAsiaTheme="majorEastAsia"/>
                <w:i w:val="0"/>
                <w:iCs/>
                <w:color w:val="auto"/>
                <w:sz w:val="16"/>
                <w:szCs w:val="16"/>
              </w:rPr>
              <w:t xml:space="preserve">3.3.1 </w:t>
            </w:r>
            <w:r w:rsidRPr="00311060">
              <w:rPr>
                <w:rStyle w:val="IntenseReference"/>
                <w:rFonts w:eastAsiaTheme="majorEastAsia"/>
                <w:i w:val="0"/>
                <w:iCs/>
                <w:color w:val="auto"/>
                <w:sz w:val="16"/>
                <w:szCs w:val="16"/>
              </w:rPr>
              <w:t>Modernizimi i proceseve të biz</w:t>
            </w:r>
            <w:r>
              <w:rPr>
                <w:rStyle w:val="IntenseReference"/>
                <w:rFonts w:eastAsiaTheme="majorEastAsia"/>
                <w:i w:val="0"/>
                <w:iCs/>
                <w:color w:val="auto"/>
                <w:sz w:val="16"/>
                <w:szCs w:val="16"/>
              </w:rPr>
              <w:t>nesit dhe menaxhimit të riskut</w:t>
            </w:r>
            <w:r w:rsidRPr="00311060">
              <w:rPr>
                <w:rStyle w:val="IntenseReference"/>
                <w:rFonts w:eastAsiaTheme="majorEastAsia"/>
                <w:i w:val="0"/>
                <w:iCs/>
                <w:color w:val="auto"/>
                <w:sz w:val="16"/>
                <w:szCs w:val="16"/>
              </w:rPr>
              <w:t xml:space="preserve"> të </w:t>
            </w:r>
            <w:r>
              <w:rPr>
                <w:rStyle w:val="IntenseReference"/>
                <w:rFonts w:eastAsiaTheme="majorEastAsia"/>
                <w:i w:val="0"/>
                <w:iCs/>
                <w:color w:val="auto"/>
                <w:sz w:val="16"/>
                <w:szCs w:val="16"/>
              </w:rPr>
              <w:t>Administratës Doganore</w:t>
            </w:r>
          </w:p>
          <w:p w14:paraId="19D5BA8A" w14:textId="77777777" w:rsidR="00B45F59" w:rsidRDefault="00B45F59" w:rsidP="00B45F59">
            <w:pPr>
              <w:pStyle w:val="T-bullet0"/>
              <w:rPr>
                <w:rStyle w:val="IntenseReference"/>
                <w:rFonts w:eastAsiaTheme="majorEastAsia"/>
                <w:i w:val="0"/>
                <w:iCs/>
                <w:color w:val="auto"/>
                <w:sz w:val="16"/>
                <w:szCs w:val="16"/>
              </w:rPr>
            </w:pPr>
            <w:r w:rsidRPr="00311060">
              <w:rPr>
                <w:rStyle w:val="IntenseReference"/>
                <w:rFonts w:eastAsiaTheme="majorEastAsia"/>
                <w:i w:val="0"/>
                <w:iCs/>
                <w:color w:val="auto"/>
                <w:sz w:val="16"/>
                <w:szCs w:val="16"/>
              </w:rPr>
              <w:t xml:space="preserve">3.3.2 </w:t>
            </w:r>
            <w:r>
              <w:rPr>
                <w:rStyle w:val="IntenseReference"/>
                <w:rFonts w:eastAsiaTheme="majorEastAsia"/>
                <w:i w:val="0"/>
                <w:iCs/>
                <w:color w:val="auto"/>
                <w:sz w:val="16"/>
                <w:szCs w:val="16"/>
              </w:rPr>
              <w:t>Zhvillimi i kuadrit të integritetit dhe luftës</w:t>
            </w:r>
            <w:r w:rsidRPr="00311060">
              <w:rPr>
                <w:rStyle w:val="IntenseReference"/>
                <w:rFonts w:eastAsiaTheme="majorEastAsia"/>
                <w:i w:val="0"/>
                <w:iCs/>
                <w:color w:val="auto"/>
                <w:sz w:val="16"/>
                <w:szCs w:val="16"/>
              </w:rPr>
              <w:t xml:space="preserve"> kundër informalitetit dhe korrupsionit</w:t>
            </w:r>
          </w:p>
          <w:p w14:paraId="3761F435" w14:textId="77777777" w:rsidR="00B45F59" w:rsidRPr="009D660E" w:rsidRDefault="00B45F59" w:rsidP="00B45F59">
            <w:pPr>
              <w:pStyle w:val="T-bullet0"/>
              <w:rPr>
                <w:rStyle w:val="IntenseReference"/>
                <w:rFonts w:eastAsiaTheme="majorEastAsia"/>
                <w:i w:val="0"/>
                <w:iCs/>
                <w:color w:val="auto"/>
                <w:sz w:val="16"/>
                <w:szCs w:val="16"/>
                <w:lang w:val="it-IT"/>
              </w:rPr>
            </w:pPr>
            <w:r w:rsidRPr="009D660E">
              <w:rPr>
                <w:rStyle w:val="IntenseReference"/>
                <w:rFonts w:eastAsiaTheme="majorEastAsia"/>
                <w:i w:val="0"/>
                <w:iCs/>
                <w:color w:val="auto"/>
                <w:sz w:val="16"/>
                <w:szCs w:val="16"/>
                <w:lang w:val="it-IT"/>
              </w:rPr>
              <w:t>3.3.3 Rritja e numrit të Operatorëve Ekonomikë të Autorizuar</w:t>
            </w:r>
          </w:p>
          <w:p w14:paraId="43E2784F" w14:textId="77777777" w:rsidR="00B45F59" w:rsidRPr="009D660E" w:rsidRDefault="00B45F59" w:rsidP="00B45F59">
            <w:pPr>
              <w:pStyle w:val="T-bullet0"/>
              <w:rPr>
                <w:rStyle w:val="IntenseReference"/>
                <w:rFonts w:eastAsiaTheme="majorEastAsia"/>
                <w:i w:val="0"/>
                <w:iCs/>
                <w:color w:val="auto"/>
                <w:sz w:val="16"/>
                <w:szCs w:val="16"/>
                <w:lang w:val="it-IT"/>
              </w:rPr>
            </w:pPr>
            <w:r w:rsidRPr="009D660E">
              <w:rPr>
                <w:rStyle w:val="IntenseReference"/>
                <w:rFonts w:eastAsiaTheme="majorEastAsia"/>
                <w:i w:val="0"/>
                <w:iCs/>
                <w:color w:val="auto"/>
                <w:sz w:val="16"/>
                <w:szCs w:val="16"/>
                <w:lang w:val="it-IT"/>
              </w:rPr>
              <w:t>3.3.4 Zbatimi i “dritares së vetme kombëtare”</w:t>
            </w:r>
          </w:p>
          <w:p w14:paraId="4C832619" w14:textId="622E4D7B" w:rsidR="00272B75" w:rsidRPr="009D660E" w:rsidRDefault="00B45F59" w:rsidP="00B45F59">
            <w:pPr>
              <w:pStyle w:val="T-bullet0"/>
              <w:spacing w:line="220" w:lineRule="exact"/>
              <w:ind w:left="284" w:hanging="284"/>
              <w:rPr>
                <w:rFonts w:eastAsiaTheme="majorEastAsia"/>
                <w:iCs/>
                <w:lang w:val="it-IT"/>
              </w:rPr>
            </w:pPr>
            <w:r w:rsidRPr="009D660E">
              <w:rPr>
                <w:rStyle w:val="IntenseReference"/>
                <w:rFonts w:eastAsiaTheme="majorEastAsia"/>
                <w:i w:val="0"/>
                <w:iCs/>
                <w:color w:val="auto"/>
                <w:sz w:val="16"/>
                <w:szCs w:val="16"/>
                <w:lang w:val="it-IT"/>
              </w:rPr>
              <w:t>3.3.5 Përmirësimi i përdorimit të Sistemit të Ri të Kompjuterizuar të Transitit</w:t>
            </w:r>
          </w:p>
        </w:tc>
      </w:tr>
    </w:tbl>
    <w:p w14:paraId="3C373438" w14:textId="77777777" w:rsidR="00AF4755" w:rsidRPr="009D660E" w:rsidRDefault="00AF4755" w:rsidP="00F75A43">
      <w:pPr>
        <w:rPr>
          <w:lang w:val="it-IT"/>
        </w:rPr>
      </w:pPr>
    </w:p>
    <w:p w14:paraId="7D788112" w14:textId="77777777" w:rsidR="00AF4755" w:rsidRPr="009D660E" w:rsidRDefault="00AF4755" w:rsidP="00F75A43">
      <w:pPr>
        <w:rPr>
          <w:lang w:val="it-IT"/>
        </w:rPr>
      </w:pPr>
    </w:p>
    <w:p w14:paraId="3019E718" w14:textId="5C81FE4A" w:rsidR="00481BA4" w:rsidRPr="001F151E" w:rsidRDefault="0013409C" w:rsidP="00481BA4">
      <w:pPr>
        <w:pStyle w:val="Heading2"/>
        <w:rPr>
          <w:lang w:val="en-GB"/>
        </w:rPr>
      </w:pPr>
      <w:bookmarkStart w:id="29" w:name="_Toc12883787"/>
      <w:bookmarkStart w:id="30" w:name="_Toc22732953"/>
      <w:bookmarkStart w:id="31" w:name="_Toc151048294"/>
      <w:bookmarkStart w:id="32" w:name="_Toc161748820"/>
      <w:bookmarkEnd w:id="26"/>
      <w:r>
        <w:rPr>
          <w:lang w:val="en-GB"/>
        </w:rPr>
        <w:lastRenderedPageBreak/>
        <w:t>Komponenti</w:t>
      </w:r>
      <w:r w:rsidR="00481BA4" w:rsidRPr="001F151E">
        <w:rPr>
          <w:lang w:val="en-GB"/>
        </w:rPr>
        <w:t xml:space="preserve"> 3.1 </w:t>
      </w:r>
      <w:bookmarkEnd w:id="29"/>
      <w:bookmarkEnd w:id="30"/>
      <w:bookmarkEnd w:id="31"/>
      <w:r>
        <w:rPr>
          <w:lang w:val="en-GB"/>
        </w:rPr>
        <w:t>Menaxhimi i taksave</w:t>
      </w:r>
      <w:bookmarkEnd w:id="32"/>
    </w:p>
    <w:p w14:paraId="6CC35AEF" w14:textId="77777777" w:rsidR="00481BA4" w:rsidRPr="001F151E" w:rsidRDefault="00481BA4" w:rsidP="00481BA4">
      <w:pPr>
        <w:pStyle w:val="H5"/>
        <w:rPr>
          <w:lang w:val="en-GB"/>
        </w:rPr>
      </w:pPr>
    </w:p>
    <w:p w14:paraId="1D846D26" w14:textId="6F73C0B1" w:rsidR="00481BA4" w:rsidRPr="001F151E" w:rsidRDefault="00481BA4" w:rsidP="00EA6F1D">
      <w:pPr>
        <w:pStyle w:val="H5"/>
        <w:spacing w:line="276" w:lineRule="auto"/>
        <w:jc w:val="both"/>
        <w:rPr>
          <w:lang w:val="en-GB"/>
        </w:rPr>
      </w:pPr>
      <w:r w:rsidRPr="001F151E">
        <w:rPr>
          <w:lang w:val="en-GB"/>
        </w:rPr>
        <w:t>O</w:t>
      </w:r>
      <w:r w:rsidR="0013409C">
        <w:rPr>
          <w:lang w:val="en-GB"/>
        </w:rPr>
        <w:t>bjektivi</w:t>
      </w:r>
    </w:p>
    <w:p w14:paraId="7C5C1B0D" w14:textId="35130913" w:rsidR="00481BA4" w:rsidRPr="001F151E" w:rsidRDefault="00CC7C6F" w:rsidP="00EA6F1D">
      <w:pPr>
        <w:spacing w:line="276" w:lineRule="auto"/>
        <w:jc w:val="both"/>
        <w:rPr>
          <w:lang w:val="en-GB"/>
        </w:rPr>
      </w:pPr>
      <w:r>
        <w:rPr>
          <w:lang w:val="en-GB"/>
        </w:rPr>
        <w:t>Synimi p</w:t>
      </w:r>
      <w:r w:rsidR="00F1459A">
        <w:rPr>
          <w:lang w:val="en-GB"/>
        </w:rPr>
        <w:t>ë</w:t>
      </w:r>
      <w:r>
        <w:rPr>
          <w:lang w:val="en-GB"/>
        </w:rPr>
        <w:t>r vitin</w:t>
      </w:r>
      <w:r w:rsidR="00481BA4" w:rsidRPr="001F151E">
        <w:rPr>
          <w:lang w:val="en-GB"/>
        </w:rPr>
        <w:t xml:space="preserve"> 2030 </w:t>
      </w:r>
      <w:r w:rsidR="00F1459A">
        <w:rPr>
          <w:lang w:val="en-GB"/>
        </w:rPr>
        <w:t>ë</w:t>
      </w:r>
      <w:r>
        <w:rPr>
          <w:lang w:val="en-GB"/>
        </w:rPr>
        <w:t>sht</w:t>
      </w:r>
      <w:r w:rsidR="00F1459A">
        <w:rPr>
          <w:lang w:val="en-GB"/>
        </w:rPr>
        <w:t>ë</w:t>
      </w:r>
      <w:r>
        <w:rPr>
          <w:lang w:val="en-GB"/>
        </w:rPr>
        <w:t xml:space="preserve"> rritja e mobilizimit t</w:t>
      </w:r>
      <w:r w:rsidR="00F1459A">
        <w:rPr>
          <w:lang w:val="en-GB"/>
        </w:rPr>
        <w:t>ë</w:t>
      </w:r>
      <w:r>
        <w:rPr>
          <w:lang w:val="en-GB"/>
        </w:rPr>
        <w:t xml:space="preserve"> t</w:t>
      </w:r>
      <w:r w:rsidR="00F1459A">
        <w:rPr>
          <w:lang w:val="en-GB"/>
        </w:rPr>
        <w:t>ë</w:t>
      </w:r>
      <w:r>
        <w:rPr>
          <w:lang w:val="en-GB"/>
        </w:rPr>
        <w:t xml:space="preserve"> ardhurave me synimin p</w:t>
      </w:r>
      <w:r w:rsidR="00F1459A">
        <w:rPr>
          <w:lang w:val="en-GB"/>
        </w:rPr>
        <w:t>ë</w:t>
      </w:r>
      <w:r>
        <w:rPr>
          <w:lang w:val="en-GB"/>
        </w:rPr>
        <w:t>r t</w:t>
      </w:r>
      <w:r w:rsidR="00F1459A">
        <w:rPr>
          <w:lang w:val="en-GB"/>
        </w:rPr>
        <w:t>ë</w:t>
      </w:r>
      <w:r>
        <w:rPr>
          <w:lang w:val="en-GB"/>
        </w:rPr>
        <w:t xml:space="preserve"> krijuar hap</w:t>
      </w:r>
      <w:r w:rsidR="00F1459A">
        <w:rPr>
          <w:lang w:val="en-GB"/>
        </w:rPr>
        <w:t>ë</w:t>
      </w:r>
      <w:r>
        <w:rPr>
          <w:lang w:val="en-GB"/>
        </w:rPr>
        <w:t>sir</w:t>
      </w:r>
      <w:r w:rsidR="00F1459A">
        <w:rPr>
          <w:lang w:val="en-GB"/>
        </w:rPr>
        <w:t>ë</w:t>
      </w:r>
      <w:r>
        <w:rPr>
          <w:lang w:val="en-GB"/>
        </w:rPr>
        <w:t xml:space="preserve"> fiskale p</w:t>
      </w:r>
      <w:r w:rsidR="00F1459A">
        <w:rPr>
          <w:lang w:val="en-GB"/>
        </w:rPr>
        <w:t>ë</w:t>
      </w:r>
      <w:r>
        <w:rPr>
          <w:lang w:val="en-GB"/>
        </w:rPr>
        <w:t>r investime dhe zhvillim t</w:t>
      </w:r>
      <w:r w:rsidR="00F1459A">
        <w:rPr>
          <w:lang w:val="en-GB"/>
        </w:rPr>
        <w:t>ë</w:t>
      </w:r>
      <w:r>
        <w:rPr>
          <w:lang w:val="en-GB"/>
        </w:rPr>
        <w:t xml:space="preserve"> q</w:t>
      </w:r>
      <w:r w:rsidR="00F1459A">
        <w:rPr>
          <w:lang w:val="en-GB"/>
        </w:rPr>
        <w:t>ë</w:t>
      </w:r>
      <w:r>
        <w:rPr>
          <w:lang w:val="en-GB"/>
        </w:rPr>
        <w:t>ndruesh</w:t>
      </w:r>
      <w:r w:rsidR="00F1459A">
        <w:rPr>
          <w:lang w:val="en-GB"/>
        </w:rPr>
        <w:t>ë</w:t>
      </w:r>
      <w:r>
        <w:rPr>
          <w:lang w:val="en-GB"/>
        </w:rPr>
        <w:t>m n</w:t>
      </w:r>
      <w:r w:rsidR="00F1459A">
        <w:rPr>
          <w:lang w:val="en-GB"/>
        </w:rPr>
        <w:t>ë</w:t>
      </w:r>
      <w:r>
        <w:rPr>
          <w:lang w:val="en-GB"/>
        </w:rPr>
        <w:t>p</w:t>
      </w:r>
      <w:r w:rsidR="00F1459A">
        <w:rPr>
          <w:lang w:val="en-GB"/>
        </w:rPr>
        <w:t>ë</w:t>
      </w:r>
      <w:r>
        <w:rPr>
          <w:lang w:val="en-GB"/>
        </w:rPr>
        <w:t>rmjet nj</w:t>
      </w:r>
      <w:r w:rsidR="00F1459A">
        <w:rPr>
          <w:lang w:val="en-GB"/>
        </w:rPr>
        <w:t>ë</w:t>
      </w:r>
      <w:r>
        <w:rPr>
          <w:lang w:val="en-GB"/>
        </w:rPr>
        <w:t xml:space="preserve"> kombinimi t</w:t>
      </w:r>
      <w:r w:rsidR="00F1459A">
        <w:rPr>
          <w:lang w:val="en-GB"/>
        </w:rPr>
        <w:t>ë</w:t>
      </w:r>
      <w:r>
        <w:rPr>
          <w:lang w:val="en-GB"/>
        </w:rPr>
        <w:t xml:space="preserve"> reformave t</w:t>
      </w:r>
      <w:r w:rsidR="00F1459A">
        <w:rPr>
          <w:lang w:val="en-GB"/>
        </w:rPr>
        <w:t>ë</w:t>
      </w:r>
      <w:r>
        <w:rPr>
          <w:lang w:val="en-GB"/>
        </w:rPr>
        <w:t xml:space="preserve"> politikave tatimore dhe modernizimit t</w:t>
      </w:r>
      <w:r w:rsidR="00F1459A">
        <w:rPr>
          <w:lang w:val="en-GB"/>
        </w:rPr>
        <w:t>ë</w:t>
      </w:r>
      <w:r>
        <w:rPr>
          <w:lang w:val="en-GB"/>
        </w:rPr>
        <w:t xml:space="preserve"> sistemeve administrative; p</w:t>
      </w:r>
      <w:r w:rsidR="00F1459A">
        <w:rPr>
          <w:lang w:val="en-GB"/>
        </w:rPr>
        <w:t>ë</w:t>
      </w:r>
      <w:r>
        <w:rPr>
          <w:lang w:val="en-GB"/>
        </w:rPr>
        <w:t>r t</w:t>
      </w:r>
      <w:r w:rsidR="00F1459A">
        <w:rPr>
          <w:lang w:val="en-GB"/>
        </w:rPr>
        <w:t>ë</w:t>
      </w:r>
      <w:r>
        <w:rPr>
          <w:lang w:val="en-GB"/>
        </w:rPr>
        <w:t xml:space="preserve"> siguruar p</w:t>
      </w:r>
      <w:r w:rsidR="00F1459A">
        <w:rPr>
          <w:lang w:val="en-GB"/>
        </w:rPr>
        <w:t>ë</w:t>
      </w:r>
      <w:r>
        <w:rPr>
          <w:lang w:val="en-GB"/>
        </w:rPr>
        <w:t>rputhjen me rregulloret e BE-s</w:t>
      </w:r>
      <w:r w:rsidR="00F1459A">
        <w:rPr>
          <w:lang w:val="en-GB"/>
        </w:rPr>
        <w:t>ë</w:t>
      </w:r>
      <w:r>
        <w:rPr>
          <w:lang w:val="en-GB"/>
        </w:rPr>
        <w:t xml:space="preserve"> dhe p</w:t>
      </w:r>
      <w:r w:rsidR="00F1459A">
        <w:rPr>
          <w:lang w:val="en-GB"/>
        </w:rPr>
        <w:t>ë</w:t>
      </w:r>
      <w:r>
        <w:rPr>
          <w:lang w:val="en-GB"/>
        </w:rPr>
        <w:t>r t</w:t>
      </w:r>
      <w:r w:rsidR="00F1459A">
        <w:rPr>
          <w:lang w:val="en-GB"/>
        </w:rPr>
        <w:t>ë</w:t>
      </w:r>
      <w:r>
        <w:rPr>
          <w:lang w:val="en-GB"/>
        </w:rPr>
        <w:t xml:space="preserve"> p</w:t>
      </w:r>
      <w:r w:rsidR="00F1459A">
        <w:rPr>
          <w:lang w:val="en-GB"/>
        </w:rPr>
        <w:t>ë</w:t>
      </w:r>
      <w:r>
        <w:rPr>
          <w:lang w:val="en-GB"/>
        </w:rPr>
        <w:t>rmir</w:t>
      </w:r>
      <w:r w:rsidR="00F1459A">
        <w:rPr>
          <w:lang w:val="en-GB"/>
        </w:rPr>
        <w:t>ë</w:t>
      </w:r>
      <w:r>
        <w:rPr>
          <w:lang w:val="en-GB"/>
        </w:rPr>
        <w:t>suar ofrimin e sh</w:t>
      </w:r>
      <w:r w:rsidR="00F1459A">
        <w:rPr>
          <w:lang w:val="en-GB"/>
        </w:rPr>
        <w:t>ë</w:t>
      </w:r>
      <w:r>
        <w:rPr>
          <w:lang w:val="en-GB"/>
        </w:rPr>
        <w:t>rbimeve p</w:t>
      </w:r>
      <w:r w:rsidR="00F1459A">
        <w:rPr>
          <w:lang w:val="en-GB"/>
        </w:rPr>
        <w:t>ë</w:t>
      </w:r>
      <w:r>
        <w:rPr>
          <w:lang w:val="en-GB"/>
        </w:rPr>
        <w:t>r taksapaguesit</w:t>
      </w:r>
    </w:p>
    <w:p w14:paraId="7486B02A" w14:textId="77777777" w:rsidR="00481BA4" w:rsidRPr="001F151E" w:rsidRDefault="00481BA4" w:rsidP="00EA6F1D">
      <w:pPr>
        <w:pStyle w:val="H5"/>
        <w:spacing w:line="276" w:lineRule="auto"/>
        <w:jc w:val="both"/>
        <w:rPr>
          <w:lang w:val="en-GB"/>
        </w:rPr>
      </w:pPr>
    </w:p>
    <w:p w14:paraId="6E213191" w14:textId="1B2A6235" w:rsidR="00481BA4" w:rsidRPr="001F151E" w:rsidRDefault="0013409C" w:rsidP="00EA6F1D">
      <w:pPr>
        <w:pStyle w:val="H5"/>
        <w:spacing w:line="276" w:lineRule="auto"/>
        <w:jc w:val="both"/>
        <w:rPr>
          <w:rFonts w:ascii="Calibri" w:hAnsi="Calibri" w:cs="Times New Roman"/>
          <w:sz w:val="21"/>
          <w:szCs w:val="21"/>
          <w:lang w:val="en-GB"/>
        </w:rPr>
      </w:pPr>
      <w:r>
        <w:rPr>
          <w:lang w:val="en-GB"/>
        </w:rPr>
        <w:t>Konteksti</w:t>
      </w:r>
    </w:p>
    <w:p w14:paraId="387983E7" w14:textId="63F77337" w:rsidR="00481BA4" w:rsidRPr="009D660E" w:rsidRDefault="00CC7C6F" w:rsidP="00EA6F1D">
      <w:pPr>
        <w:spacing w:line="276" w:lineRule="auto"/>
        <w:jc w:val="both"/>
        <w:rPr>
          <w:lang w:val="it-IT"/>
        </w:rPr>
      </w:pPr>
      <w:r w:rsidRPr="00CC7C6F">
        <w:rPr>
          <w:lang w:val="en-GB"/>
        </w:rPr>
        <w:t>Gjatë viteve të fundit, Drejtoria e Përgjithshme e Tatimeve (DPT) ka zbatuar disa reforma në fushën e menaxhimit të të ardhurave. Këto përfshij</w:t>
      </w:r>
      <w:r>
        <w:rPr>
          <w:lang w:val="en-GB"/>
        </w:rPr>
        <w:t>në përmirësime në menaxhimin e pajtueshm</w:t>
      </w:r>
      <w:r w:rsidR="00F1459A">
        <w:rPr>
          <w:lang w:val="en-GB"/>
        </w:rPr>
        <w:t>ë</w:t>
      </w:r>
      <w:r>
        <w:rPr>
          <w:lang w:val="en-GB"/>
        </w:rPr>
        <w:t>ris</w:t>
      </w:r>
      <w:r w:rsidR="00F1459A">
        <w:rPr>
          <w:lang w:val="en-GB"/>
        </w:rPr>
        <w:t>ë</w:t>
      </w:r>
      <w:r>
        <w:rPr>
          <w:lang w:val="en-GB"/>
        </w:rPr>
        <w:t xml:space="preserve"> s</w:t>
      </w:r>
      <w:r w:rsidR="00F1459A">
        <w:rPr>
          <w:lang w:val="en-GB"/>
        </w:rPr>
        <w:t>ë</w:t>
      </w:r>
      <w:r>
        <w:rPr>
          <w:lang w:val="en-GB"/>
        </w:rPr>
        <w:t xml:space="preserve"> riskut</w:t>
      </w:r>
      <w:r w:rsidRPr="00CC7C6F">
        <w:rPr>
          <w:lang w:val="en-GB"/>
        </w:rPr>
        <w:t>, investimet në sistemet e teknologjisë së informacionit, strukturat organizative dhe transparencën për taksapaguesit përmes fushatave ndërgjegjësuese, faqeve miqësore të internetit të përdoruesve dhe qendrave të thirrjeve. Formalizimi i ekonomisë ka qenë një fokus kyç d</w:t>
      </w:r>
      <w:r>
        <w:rPr>
          <w:lang w:val="en-GB"/>
        </w:rPr>
        <w:t>he nismat e fundit nënvizojnë</w:t>
      </w:r>
      <w:r w:rsidRPr="00CC7C6F">
        <w:rPr>
          <w:lang w:val="en-GB"/>
        </w:rPr>
        <w:t xml:space="preserve"> angazhim</w:t>
      </w:r>
      <w:r>
        <w:rPr>
          <w:lang w:val="en-GB"/>
        </w:rPr>
        <w:t>in</w:t>
      </w:r>
      <w:r w:rsidRPr="00CC7C6F">
        <w:rPr>
          <w:lang w:val="en-GB"/>
        </w:rPr>
        <w:t xml:space="preserve"> për të rritur aftësitë e autoritetit tatimor. Për të forcuar pajtueshmërinë midis individëve me pasuri të lartë, </w:t>
      </w:r>
      <w:r w:rsidR="00F1459A">
        <w:rPr>
          <w:lang w:val="en-GB"/>
        </w:rPr>
        <w:t>ë</w:t>
      </w:r>
      <w:r>
        <w:rPr>
          <w:lang w:val="en-GB"/>
        </w:rPr>
        <w:t>sht</w:t>
      </w:r>
      <w:r w:rsidR="00F1459A">
        <w:rPr>
          <w:lang w:val="en-GB"/>
        </w:rPr>
        <w:t>ë</w:t>
      </w:r>
      <w:r>
        <w:rPr>
          <w:lang w:val="en-GB"/>
        </w:rPr>
        <w:t xml:space="preserve"> krijuar rishtazi një departament i specializuar n</w:t>
      </w:r>
      <w:r w:rsidR="00F1459A">
        <w:rPr>
          <w:lang w:val="en-GB"/>
        </w:rPr>
        <w:t>ë</w:t>
      </w:r>
      <w:r>
        <w:rPr>
          <w:lang w:val="en-GB"/>
        </w:rPr>
        <w:t xml:space="preserve"> DPT</w:t>
      </w:r>
      <w:r w:rsidRPr="00CC7C6F">
        <w:rPr>
          <w:lang w:val="en-GB"/>
        </w:rPr>
        <w:t xml:space="preserve">. Gjithashtu në vitin 2022 u finalizua një iniciativë fiskalizimi, që synonte t'i jepte DPT-së të dhëna të detyrueshme në kohë reale. </w:t>
      </w:r>
      <w:r w:rsidRPr="009D660E">
        <w:rPr>
          <w:lang w:val="it-IT"/>
        </w:rPr>
        <w:t>Kjo përfshin integrimin e një sistemi t</w:t>
      </w:r>
      <w:r w:rsidR="00F1459A" w:rsidRPr="009D660E">
        <w:rPr>
          <w:lang w:val="it-IT"/>
        </w:rPr>
        <w:t>ë</w:t>
      </w:r>
      <w:r w:rsidRPr="009D660E">
        <w:rPr>
          <w:lang w:val="it-IT"/>
        </w:rPr>
        <w:t xml:space="preserve"> TI-s</w:t>
      </w:r>
      <w:r w:rsidR="00F1459A" w:rsidRPr="009D660E">
        <w:rPr>
          <w:lang w:val="it-IT"/>
        </w:rPr>
        <w:t>ë</w:t>
      </w:r>
      <w:r w:rsidRPr="009D660E">
        <w:rPr>
          <w:lang w:val="it-IT"/>
        </w:rPr>
        <w:t xml:space="preserve"> që kap informacionin e arkës dhe të faturave elektronike. Me synimin rritjen e mobilizimit t</w:t>
      </w:r>
      <w:r w:rsidR="00F1459A" w:rsidRPr="009D660E">
        <w:rPr>
          <w:lang w:val="it-IT"/>
        </w:rPr>
        <w:t>ë</w:t>
      </w:r>
      <w:r w:rsidRPr="009D660E">
        <w:rPr>
          <w:lang w:val="it-IT"/>
        </w:rPr>
        <w:t xml:space="preserve"> të ardhurave dhe përmirësimin e ofrimit t</w:t>
      </w:r>
      <w:r w:rsidR="00F1459A" w:rsidRPr="009D660E">
        <w:rPr>
          <w:lang w:val="it-IT"/>
        </w:rPr>
        <w:t>ë</w:t>
      </w:r>
      <w:r w:rsidRPr="009D660E">
        <w:rPr>
          <w:lang w:val="it-IT"/>
        </w:rPr>
        <w:t xml:space="preserve"> shërbimeve, MF ka zhvilluar dhe zbatuar më shumë se 70% të masave dhe aktiviteteve në politikat tatimore dhe reformat e administrimit të të ardhurave pjesë të Strategjisë Afatmesme të të Ardhurave 2022-2026</w:t>
      </w:r>
      <w:r w:rsidR="00481BA4" w:rsidRPr="009D660E">
        <w:rPr>
          <w:lang w:val="it-IT"/>
        </w:rPr>
        <w:t>.</w:t>
      </w:r>
      <w:r w:rsidR="00481BA4" w:rsidRPr="001F151E">
        <w:rPr>
          <w:vertAlign w:val="superscript"/>
          <w:lang w:val="en-GB"/>
        </w:rPr>
        <w:footnoteReference w:id="42"/>
      </w:r>
      <w:r w:rsidR="00481BA4" w:rsidRPr="009D660E">
        <w:rPr>
          <w:lang w:val="it-IT"/>
        </w:rPr>
        <w:t xml:space="preserve"> </w:t>
      </w:r>
    </w:p>
    <w:p w14:paraId="28C6016C" w14:textId="77777777" w:rsidR="00481BA4" w:rsidRPr="009D660E" w:rsidRDefault="00481BA4" w:rsidP="00EA6F1D">
      <w:pPr>
        <w:spacing w:line="276" w:lineRule="auto"/>
        <w:jc w:val="both"/>
        <w:rPr>
          <w:lang w:val="it-IT"/>
        </w:rPr>
      </w:pPr>
    </w:p>
    <w:p w14:paraId="4F31512B" w14:textId="4185F19C" w:rsidR="00481BA4" w:rsidRPr="009D660E" w:rsidRDefault="00481BA4" w:rsidP="00EA6F1D">
      <w:pPr>
        <w:pStyle w:val="H5"/>
        <w:spacing w:line="276" w:lineRule="auto"/>
        <w:jc w:val="both"/>
        <w:rPr>
          <w:lang w:val="it-IT"/>
        </w:rPr>
      </w:pPr>
      <w:r w:rsidRPr="009D660E">
        <w:rPr>
          <w:lang w:val="it-IT"/>
        </w:rPr>
        <w:t>Priorit</w:t>
      </w:r>
      <w:r w:rsidR="0013409C" w:rsidRPr="009D660E">
        <w:rPr>
          <w:lang w:val="it-IT"/>
        </w:rPr>
        <w:t>etet</w:t>
      </w:r>
    </w:p>
    <w:p w14:paraId="3203BCA8" w14:textId="40334142" w:rsidR="00481BA4" w:rsidRPr="009D660E" w:rsidRDefault="001803C7" w:rsidP="00EA6F1D">
      <w:pPr>
        <w:spacing w:line="276" w:lineRule="auto"/>
        <w:jc w:val="both"/>
        <w:rPr>
          <w:lang w:val="it-IT"/>
        </w:rPr>
      </w:pPr>
      <w:r w:rsidRPr="009D660E">
        <w:rPr>
          <w:lang w:val="it-IT"/>
        </w:rPr>
        <w:t>N</w:t>
      </w:r>
      <w:r w:rsidR="00F1459A" w:rsidRPr="009D660E">
        <w:rPr>
          <w:lang w:val="it-IT"/>
        </w:rPr>
        <w:t>ë</w:t>
      </w:r>
      <w:r w:rsidRPr="009D660E">
        <w:rPr>
          <w:lang w:val="it-IT"/>
        </w:rPr>
        <w:t xml:space="preserve"> p</w:t>
      </w:r>
      <w:r w:rsidR="00F1459A" w:rsidRPr="009D660E">
        <w:rPr>
          <w:lang w:val="it-IT"/>
        </w:rPr>
        <w:t>ë</w:t>
      </w:r>
      <w:r w:rsidRPr="009D660E">
        <w:rPr>
          <w:lang w:val="it-IT"/>
        </w:rPr>
        <w:t>rputhje me Strategjin</w:t>
      </w:r>
      <w:r w:rsidR="00F1459A" w:rsidRPr="009D660E">
        <w:rPr>
          <w:lang w:val="it-IT"/>
        </w:rPr>
        <w:t>ë</w:t>
      </w:r>
      <w:r w:rsidRPr="009D660E">
        <w:rPr>
          <w:lang w:val="it-IT"/>
        </w:rPr>
        <w:t xml:space="preserve"> Afatmesme t</w:t>
      </w:r>
      <w:r w:rsidR="00F1459A" w:rsidRPr="009D660E">
        <w:rPr>
          <w:lang w:val="it-IT"/>
        </w:rPr>
        <w:t>ë</w:t>
      </w:r>
      <w:r w:rsidRPr="009D660E">
        <w:rPr>
          <w:lang w:val="it-IT"/>
        </w:rPr>
        <w:t xml:space="preserve"> t</w:t>
      </w:r>
      <w:r w:rsidR="00F1459A" w:rsidRPr="009D660E">
        <w:rPr>
          <w:lang w:val="it-IT"/>
        </w:rPr>
        <w:t>ë</w:t>
      </w:r>
      <w:r w:rsidRPr="009D660E">
        <w:rPr>
          <w:lang w:val="it-IT"/>
        </w:rPr>
        <w:t xml:space="preserve"> Ardhurave (SAA), prioritetet p</w:t>
      </w:r>
      <w:r w:rsidR="00F1459A" w:rsidRPr="009D660E">
        <w:rPr>
          <w:lang w:val="it-IT"/>
        </w:rPr>
        <w:t>ë</w:t>
      </w:r>
      <w:r w:rsidRPr="009D660E">
        <w:rPr>
          <w:lang w:val="it-IT"/>
        </w:rPr>
        <w:t>r periudh</w:t>
      </w:r>
      <w:r w:rsidR="00F1459A" w:rsidRPr="009D660E">
        <w:rPr>
          <w:lang w:val="it-IT"/>
        </w:rPr>
        <w:t>ë</w:t>
      </w:r>
      <w:r w:rsidRPr="009D660E">
        <w:rPr>
          <w:lang w:val="it-IT"/>
        </w:rPr>
        <w:t>n 2023-2026 jan</w:t>
      </w:r>
      <w:r w:rsidR="00F1459A" w:rsidRPr="009D660E">
        <w:rPr>
          <w:lang w:val="it-IT"/>
        </w:rPr>
        <w:t>ë</w:t>
      </w:r>
      <w:r w:rsidR="00481BA4" w:rsidRPr="009D660E">
        <w:rPr>
          <w:lang w:val="it-IT"/>
        </w:rPr>
        <w:t>:</w:t>
      </w:r>
    </w:p>
    <w:p w14:paraId="5469514C" w14:textId="1DF62AE7" w:rsidR="00481BA4" w:rsidRPr="009D660E" w:rsidRDefault="001803C7" w:rsidP="00EA6F1D">
      <w:pPr>
        <w:pStyle w:val="N-Bullet"/>
        <w:spacing w:line="276" w:lineRule="auto"/>
        <w:jc w:val="both"/>
        <w:rPr>
          <w:lang w:val="it-IT"/>
        </w:rPr>
      </w:pPr>
      <w:r w:rsidRPr="009D660E">
        <w:rPr>
          <w:lang w:val="it-IT"/>
        </w:rPr>
        <w:t>P</w:t>
      </w:r>
      <w:r w:rsidR="00F1459A" w:rsidRPr="009D660E">
        <w:rPr>
          <w:lang w:val="it-IT"/>
        </w:rPr>
        <w:t>ë</w:t>
      </w:r>
      <w:r w:rsidRPr="009D660E">
        <w:rPr>
          <w:lang w:val="it-IT"/>
        </w:rPr>
        <w:t>rmir</w:t>
      </w:r>
      <w:r w:rsidR="00F1459A" w:rsidRPr="009D660E">
        <w:rPr>
          <w:lang w:val="it-IT"/>
        </w:rPr>
        <w:t>ë</w:t>
      </w:r>
      <w:r w:rsidRPr="009D660E">
        <w:rPr>
          <w:lang w:val="it-IT"/>
        </w:rPr>
        <w:t xml:space="preserve">simi i kapaciteteve </w:t>
      </w:r>
      <w:r>
        <w:rPr>
          <w:rStyle w:val="rynqvb"/>
          <w:lang w:val="sq-AL"/>
        </w:rPr>
        <w:t>institucionale për të analizuar dhe zhvilluar politikat tatimore dhe për të menaxhuar reformat tatimore</w:t>
      </w:r>
      <w:r w:rsidR="00481BA4" w:rsidRPr="009D660E">
        <w:rPr>
          <w:lang w:val="it-IT"/>
        </w:rPr>
        <w:t>.</w:t>
      </w:r>
    </w:p>
    <w:p w14:paraId="6760A966" w14:textId="1B1415EF" w:rsidR="00481BA4" w:rsidRPr="009D660E" w:rsidRDefault="001803C7" w:rsidP="00EA6F1D">
      <w:pPr>
        <w:pStyle w:val="N-Bullet"/>
        <w:spacing w:line="276" w:lineRule="auto"/>
        <w:jc w:val="both"/>
        <w:rPr>
          <w:lang w:val="it-IT"/>
        </w:rPr>
      </w:pPr>
      <w:r w:rsidRPr="009D660E">
        <w:rPr>
          <w:lang w:val="it-IT"/>
        </w:rPr>
        <w:t>Nd</w:t>
      </w:r>
      <w:r w:rsidR="00F1459A" w:rsidRPr="009D660E">
        <w:rPr>
          <w:lang w:val="it-IT"/>
        </w:rPr>
        <w:t>ë</w:t>
      </w:r>
      <w:r w:rsidRPr="009D660E">
        <w:rPr>
          <w:lang w:val="it-IT"/>
        </w:rPr>
        <w:t xml:space="preserve">rmarrja e veprimeve </w:t>
      </w:r>
      <w:r>
        <w:rPr>
          <w:rStyle w:val="rynqvb"/>
          <w:lang w:val="sq-AL"/>
        </w:rPr>
        <w:t>që synojnë reduktimin e hendekut të pajtueshmërisë me TVSH-në</w:t>
      </w:r>
      <w:r w:rsidR="00481BA4" w:rsidRPr="009D660E">
        <w:rPr>
          <w:lang w:val="it-IT"/>
        </w:rPr>
        <w:t>;</w:t>
      </w:r>
    </w:p>
    <w:p w14:paraId="024F9144" w14:textId="1834BDCA" w:rsidR="00481BA4" w:rsidRPr="009D660E" w:rsidRDefault="001803C7" w:rsidP="00EA6F1D">
      <w:pPr>
        <w:pStyle w:val="N-Bullet"/>
        <w:spacing w:line="276" w:lineRule="auto"/>
        <w:jc w:val="both"/>
        <w:rPr>
          <w:lang w:val="it-IT"/>
        </w:rPr>
      </w:pPr>
      <w:r w:rsidRPr="009D660E">
        <w:rPr>
          <w:lang w:val="it-IT"/>
        </w:rPr>
        <w:t>Reduktimi i pun</w:t>
      </w:r>
      <w:r w:rsidR="00F1459A" w:rsidRPr="009D660E">
        <w:rPr>
          <w:lang w:val="it-IT"/>
        </w:rPr>
        <w:t>ë</w:t>
      </w:r>
      <w:r w:rsidRPr="009D660E">
        <w:rPr>
          <w:lang w:val="it-IT"/>
        </w:rPr>
        <w:t>s s</w:t>
      </w:r>
      <w:r w:rsidR="00F1459A" w:rsidRPr="009D660E">
        <w:rPr>
          <w:lang w:val="it-IT"/>
        </w:rPr>
        <w:t>ë</w:t>
      </w:r>
      <w:r w:rsidRPr="009D660E">
        <w:rPr>
          <w:lang w:val="it-IT"/>
        </w:rPr>
        <w:t xml:space="preserve"> padeklaruar dhe reduktimi i ekonomis</w:t>
      </w:r>
      <w:r w:rsidR="00F1459A" w:rsidRPr="009D660E">
        <w:rPr>
          <w:lang w:val="it-IT"/>
        </w:rPr>
        <w:t>ë</w:t>
      </w:r>
      <w:r w:rsidRPr="009D660E">
        <w:rPr>
          <w:lang w:val="it-IT"/>
        </w:rPr>
        <w:t xml:space="preserve"> s</w:t>
      </w:r>
      <w:r w:rsidR="00F1459A" w:rsidRPr="009D660E">
        <w:rPr>
          <w:lang w:val="it-IT"/>
        </w:rPr>
        <w:t>ë</w:t>
      </w:r>
      <w:r w:rsidRPr="009D660E">
        <w:rPr>
          <w:lang w:val="it-IT"/>
        </w:rPr>
        <w:t xml:space="preserve"> paras</w:t>
      </w:r>
      <w:r w:rsidR="00F1459A" w:rsidRPr="009D660E">
        <w:rPr>
          <w:lang w:val="it-IT"/>
        </w:rPr>
        <w:t>ë</w:t>
      </w:r>
      <w:r w:rsidRPr="009D660E">
        <w:rPr>
          <w:lang w:val="it-IT"/>
        </w:rPr>
        <w:t xml:space="preserve"> n</w:t>
      </w:r>
      <w:r w:rsidR="00F1459A" w:rsidRPr="009D660E">
        <w:rPr>
          <w:lang w:val="it-IT"/>
        </w:rPr>
        <w:t>ë</w:t>
      </w:r>
      <w:r w:rsidRPr="009D660E">
        <w:rPr>
          <w:lang w:val="it-IT"/>
        </w:rPr>
        <w:t xml:space="preserve"> dor</w:t>
      </w:r>
      <w:r w:rsidR="00F1459A" w:rsidRPr="009D660E">
        <w:rPr>
          <w:lang w:val="it-IT"/>
        </w:rPr>
        <w:t>ë</w:t>
      </w:r>
      <w:r w:rsidR="00481BA4" w:rsidRPr="009D660E">
        <w:rPr>
          <w:lang w:val="it-IT"/>
        </w:rPr>
        <w:t>;</w:t>
      </w:r>
    </w:p>
    <w:p w14:paraId="41847DB3" w14:textId="693981B0" w:rsidR="00481BA4" w:rsidRPr="009D660E" w:rsidRDefault="00666BF1" w:rsidP="00EA6F1D">
      <w:pPr>
        <w:pStyle w:val="N-Bullet"/>
        <w:spacing w:line="276" w:lineRule="auto"/>
        <w:jc w:val="both"/>
        <w:rPr>
          <w:lang w:val="it-IT"/>
        </w:rPr>
      </w:pPr>
      <w:r w:rsidRPr="009D660E">
        <w:rPr>
          <w:lang w:val="it-IT"/>
        </w:rPr>
        <w:t>Rritja e taksimit t</w:t>
      </w:r>
      <w:r w:rsidR="00F1459A" w:rsidRPr="009D660E">
        <w:rPr>
          <w:lang w:val="it-IT"/>
        </w:rPr>
        <w:t>ë</w:t>
      </w:r>
      <w:r w:rsidRPr="009D660E">
        <w:rPr>
          <w:lang w:val="it-IT"/>
        </w:rPr>
        <w:t xml:space="preserve"> pasuris</w:t>
      </w:r>
      <w:r w:rsidR="00F1459A" w:rsidRPr="009D660E">
        <w:rPr>
          <w:lang w:val="it-IT"/>
        </w:rPr>
        <w:t>ë</w:t>
      </w:r>
      <w:r w:rsidRPr="009D660E">
        <w:rPr>
          <w:lang w:val="it-IT"/>
        </w:rPr>
        <w:t xml:space="preserve"> s</w:t>
      </w:r>
      <w:r w:rsidR="00F1459A" w:rsidRPr="009D660E">
        <w:rPr>
          <w:lang w:val="it-IT"/>
        </w:rPr>
        <w:t>ë</w:t>
      </w:r>
      <w:r w:rsidRPr="009D660E">
        <w:rPr>
          <w:lang w:val="it-IT"/>
        </w:rPr>
        <w:t xml:space="preserve"> pajustifikuar brenda dhe jasht</w:t>
      </w:r>
      <w:r w:rsidR="00F1459A" w:rsidRPr="009D660E">
        <w:rPr>
          <w:lang w:val="it-IT"/>
        </w:rPr>
        <w:t>ë</w:t>
      </w:r>
      <w:r w:rsidRPr="009D660E">
        <w:rPr>
          <w:lang w:val="it-IT"/>
        </w:rPr>
        <w:t xml:space="preserve"> vendit</w:t>
      </w:r>
      <w:r w:rsidR="00481BA4" w:rsidRPr="009D660E">
        <w:rPr>
          <w:lang w:val="it-IT"/>
        </w:rPr>
        <w:t>;</w:t>
      </w:r>
    </w:p>
    <w:p w14:paraId="12D70503" w14:textId="24E4285C" w:rsidR="00481BA4" w:rsidRPr="001F151E" w:rsidRDefault="00666BF1" w:rsidP="00EA6F1D">
      <w:pPr>
        <w:pStyle w:val="N-Bullet"/>
        <w:spacing w:line="276" w:lineRule="auto"/>
        <w:jc w:val="both"/>
        <w:rPr>
          <w:lang w:val="en-GB"/>
        </w:rPr>
      </w:pPr>
      <w:r>
        <w:rPr>
          <w:lang w:val="en-GB"/>
        </w:rPr>
        <w:t>Reduktimi i evazionit fiskal</w:t>
      </w:r>
      <w:r w:rsidR="00481BA4" w:rsidRPr="001F151E">
        <w:rPr>
          <w:lang w:val="en-GB"/>
        </w:rPr>
        <w:t>;</w:t>
      </w:r>
    </w:p>
    <w:p w14:paraId="5DE80B6C" w14:textId="604C13A9" w:rsidR="00481BA4" w:rsidRPr="001F151E" w:rsidRDefault="00666BF1" w:rsidP="00EA6F1D">
      <w:pPr>
        <w:pStyle w:val="N-Bullet"/>
        <w:spacing w:line="276" w:lineRule="auto"/>
        <w:jc w:val="both"/>
        <w:rPr>
          <w:lang w:val="en-GB"/>
        </w:rPr>
      </w:pPr>
      <w:r>
        <w:rPr>
          <w:lang w:val="en-GB"/>
        </w:rPr>
        <w:t>Ulja e kostos s</w:t>
      </w:r>
      <w:r w:rsidR="00F1459A">
        <w:rPr>
          <w:lang w:val="en-GB"/>
        </w:rPr>
        <w:t>ë</w:t>
      </w:r>
      <w:r>
        <w:rPr>
          <w:lang w:val="en-GB"/>
        </w:rPr>
        <w:t xml:space="preserve"> pajtueshm</w:t>
      </w:r>
      <w:r w:rsidR="00F1459A">
        <w:rPr>
          <w:lang w:val="en-GB"/>
        </w:rPr>
        <w:t>ë</w:t>
      </w:r>
      <w:r>
        <w:rPr>
          <w:lang w:val="en-GB"/>
        </w:rPr>
        <w:t>ris</w:t>
      </w:r>
      <w:r w:rsidR="00F1459A">
        <w:rPr>
          <w:lang w:val="en-GB"/>
        </w:rPr>
        <w:t>ë</w:t>
      </w:r>
      <w:r>
        <w:rPr>
          <w:lang w:val="en-GB"/>
        </w:rPr>
        <w:t xml:space="preserve"> dhe p</w:t>
      </w:r>
      <w:r w:rsidR="00F1459A">
        <w:rPr>
          <w:lang w:val="en-GB"/>
        </w:rPr>
        <w:t>ë</w:t>
      </w:r>
      <w:r>
        <w:rPr>
          <w:lang w:val="en-GB"/>
        </w:rPr>
        <w:t>rmir</w:t>
      </w:r>
      <w:r w:rsidR="00F1459A">
        <w:rPr>
          <w:lang w:val="en-GB"/>
        </w:rPr>
        <w:t>ë</w:t>
      </w:r>
      <w:r>
        <w:rPr>
          <w:lang w:val="en-GB"/>
        </w:rPr>
        <w:t>simi i ofrimit t</w:t>
      </w:r>
      <w:r w:rsidR="00F1459A">
        <w:rPr>
          <w:lang w:val="en-GB"/>
        </w:rPr>
        <w:t>ë</w:t>
      </w:r>
      <w:r>
        <w:rPr>
          <w:lang w:val="en-GB"/>
        </w:rPr>
        <w:t xml:space="preserve"> sh</w:t>
      </w:r>
      <w:r w:rsidR="00F1459A">
        <w:rPr>
          <w:lang w:val="en-GB"/>
        </w:rPr>
        <w:t>ë</w:t>
      </w:r>
      <w:r>
        <w:rPr>
          <w:lang w:val="en-GB"/>
        </w:rPr>
        <w:t>rbimeve n</w:t>
      </w:r>
      <w:r w:rsidR="00F1459A">
        <w:rPr>
          <w:lang w:val="en-GB"/>
        </w:rPr>
        <w:t>ë</w:t>
      </w:r>
      <w:r>
        <w:rPr>
          <w:lang w:val="en-GB"/>
        </w:rPr>
        <w:t>p</w:t>
      </w:r>
      <w:r w:rsidR="00F1459A">
        <w:rPr>
          <w:lang w:val="en-GB"/>
        </w:rPr>
        <w:t>ë</w:t>
      </w:r>
      <w:r>
        <w:rPr>
          <w:lang w:val="en-GB"/>
        </w:rPr>
        <w:t>rmjet zhvillimit t</w:t>
      </w:r>
      <w:r w:rsidR="00F1459A">
        <w:rPr>
          <w:lang w:val="en-GB"/>
        </w:rPr>
        <w:t>ë</w:t>
      </w:r>
      <w:r>
        <w:rPr>
          <w:lang w:val="en-GB"/>
        </w:rPr>
        <w:t xml:space="preserve"> kapaciteteve institucionale t</w:t>
      </w:r>
      <w:r w:rsidR="00F1459A">
        <w:rPr>
          <w:lang w:val="en-GB"/>
        </w:rPr>
        <w:t>ë</w:t>
      </w:r>
      <w:r>
        <w:rPr>
          <w:lang w:val="en-GB"/>
        </w:rPr>
        <w:t xml:space="preserve"> administrat</w:t>
      </w:r>
      <w:r w:rsidR="00F1459A">
        <w:rPr>
          <w:lang w:val="en-GB"/>
        </w:rPr>
        <w:t>ë</w:t>
      </w:r>
      <w:r>
        <w:rPr>
          <w:lang w:val="en-GB"/>
        </w:rPr>
        <w:t>s tatimore</w:t>
      </w:r>
      <w:r w:rsidR="00481BA4" w:rsidRPr="001F151E">
        <w:rPr>
          <w:lang w:val="en-GB"/>
        </w:rPr>
        <w:t>.</w:t>
      </w:r>
    </w:p>
    <w:p w14:paraId="2A0B0514" w14:textId="77777777" w:rsidR="00481BA4" w:rsidRPr="001F151E" w:rsidRDefault="00481BA4" w:rsidP="00481BA4">
      <w:pPr>
        <w:autoSpaceDE w:val="0"/>
        <w:autoSpaceDN w:val="0"/>
        <w:adjustRightInd w:val="0"/>
        <w:spacing w:line="240" w:lineRule="auto"/>
        <w:rPr>
          <w:rFonts w:ascii="Segoe UI" w:hAnsi="Segoe UI" w:cs="Segoe UI"/>
          <w:color w:val="000000"/>
          <w:sz w:val="20"/>
          <w:szCs w:val="20"/>
          <w:lang w:val="en-GB"/>
        </w:rPr>
      </w:pPr>
    </w:p>
    <w:p w14:paraId="03CE97C0" w14:textId="126F6D38" w:rsidR="00481BA4" w:rsidRPr="001F151E" w:rsidRDefault="0013409C" w:rsidP="00481BA4">
      <w:pPr>
        <w:pStyle w:val="H5"/>
        <w:rPr>
          <w:lang w:val="en-GB"/>
        </w:rPr>
      </w:pPr>
      <w:r>
        <w:rPr>
          <w:lang w:val="en-GB"/>
        </w:rPr>
        <w:t>Masat dhe aktivitetet</w:t>
      </w:r>
    </w:p>
    <w:p w14:paraId="46766003" w14:textId="00695144" w:rsidR="006B50E5" w:rsidRPr="001F151E" w:rsidRDefault="006B50E5" w:rsidP="00AD50A8">
      <w:pPr>
        <w:rPr>
          <w:lang w:val="en-GB"/>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65"/>
        <w:gridCol w:w="3606"/>
        <w:gridCol w:w="811"/>
        <w:gridCol w:w="811"/>
        <w:gridCol w:w="1623"/>
      </w:tblGrid>
      <w:tr w:rsidR="001414AB" w:rsidRPr="001F151E" w14:paraId="0E62AF0B" w14:textId="77777777" w:rsidTr="0084664A">
        <w:trPr>
          <w:trHeight w:val="182"/>
          <w:tblHeader/>
        </w:trPr>
        <w:tc>
          <w:tcPr>
            <w:tcW w:w="1200" w:type="pct"/>
            <w:shd w:val="clear" w:color="auto" w:fill="D9D9D9" w:themeFill="background1" w:themeFillShade="D9"/>
          </w:tcPr>
          <w:p w14:paraId="27A05F2B" w14:textId="10FCE022" w:rsidR="00481BA4" w:rsidRPr="001F151E" w:rsidRDefault="00481BA4" w:rsidP="0013409C">
            <w:pPr>
              <w:pStyle w:val="T-bold"/>
            </w:pPr>
            <w:r w:rsidRPr="001F151E">
              <w:t>M</w:t>
            </w:r>
            <w:r w:rsidR="0013409C">
              <w:t>asa</w:t>
            </w:r>
          </w:p>
        </w:tc>
        <w:tc>
          <w:tcPr>
            <w:tcW w:w="2000" w:type="pct"/>
            <w:shd w:val="clear" w:color="auto" w:fill="D9D9D9" w:themeFill="background1" w:themeFillShade="D9"/>
          </w:tcPr>
          <w:p w14:paraId="4E6FB3DC" w14:textId="3E748162" w:rsidR="00481BA4" w:rsidRPr="001F151E" w:rsidRDefault="00481BA4" w:rsidP="002B7FF8">
            <w:pPr>
              <w:pStyle w:val="T-bold"/>
              <w:spacing w:line="288" w:lineRule="auto"/>
            </w:pPr>
            <w:r w:rsidRPr="001F151E">
              <w:t>A</w:t>
            </w:r>
            <w:r w:rsidR="0013409C">
              <w:t>ktiviteti</w:t>
            </w:r>
          </w:p>
        </w:tc>
        <w:tc>
          <w:tcPr>
            <w:tcW w:w="450" w:type="pct"/>
            <w:shd w:val="clear" w:color="auto" w:fill="D9D9D9" w:themeFill="background1" w:themeFillShade="D9"/>
          </w:tcPr>
          <w:p w14:paraId="2E53E473" w14:textId="42064095" w:rsidR="00481BA4" w:rsidRPr="001F151E" w:rsidRDefault="0013409C" w:rsidP="0013409C">
            <w:pPr>
              <w:pStyle w:val="T-bold"/>
              <w:spacing w:line="288" w:lineRule="auto"/>
              <w:jc w:val="center"/>
            </w:pPr>
            <w:r>
              <w:t>Fillimi</w:t>
            </w:r>
          </w:p>
        </w:tc>
        <w:tc>
          <w:tcPr>
            <w:tcW w:w="450" w:type="pct"/>
            <w:shd w:val="clear" w:color="auto" w:fill="D9D9D9" w:themeFill="background1" w:themeFillShade="D9"/>
          </w:tcPr>
          <w:p w14:paraId="636FEE56" w14:textId="4A1501D5" w:rsidR="00481BA4" w:rsidRPr="001F151E" w:rsidRDefault="0013409C" w:rsidP="002B7FF8">
            <w:pPr>
              <w:pStyle w:val="T-bold"/>
              <w:spacing w:line="288" w:lineRule="auto"/>
              <w:jc w:val="center"/>
            </w:pPr>
            <w:r>
              <w:t>Mbarimi</w:t>
            </w:r>
          </w:p>
        </w:tc>
        <w:tc>
          <w:tcPr>
            <w:tcW w:w="900" w:type="pct"/>
            <w:shd w:val="clear" w:color="auto" w:fill="D9D9D9" w:themeFill="background1" w:themeFillShade="D9"/>
          </w:tcPr>
          <w:p w14:paraId="58173BEC" w14:textId="3FEBF1DE" w:rsidR="00481BA4" w:rsidRPr="001F151E" w:rsidRDefault="0013409C" w:rsidP="002B7FF8">
            <w:pPr>
              <w:pStyle w:val="T-bold"/>
              <w:spacing w:line="288" w:lineRule="auto"/>
            </w:pPr>
            <w:r>
              <w:t>Grupet e interesit</w:t>
            </w:r>
          </w:p>
        </w:tc>
      </w:tr>
      <w:tr w:rsidR="004D4B0A" w:rsidRPr="001F151E" w14:paraId="474E8969" w14:textId="77777777" w:rsidTr="0084664A">
        <w:trPr>
          <w:trHeight w:val="20"/>
        </w:trPr>
        <w:tc>
          <w:tcPr>
            <w:tcW w:w="1200" w:type="pct"/>
            <w:shd w:val="clear" w:color="auto" w:fill="auto"/>
          </w:tcPr>
          <w:p w14:paraId="5789A784" w14:textId="6AB02BA2" w:rsidR="004D4B0A" w:rsidRPr="001F151E" w:rsidRDefault="004D4B0A" w:rsidP="004D4B0A">
            <w:pPr>
              <w:pStyle w:val="T-bold"/>
            </w:pPr>
            <w:r w:rsidRPr="001F151E">
              <w:t>M</w:t>
            </w:r>
            <w:r w:rsidR="00A716B2">
              <w:t>asa</w:t>
            </w:r>
            <w:r w:rsidRPr="001F151E">
              <w:t xml:space="preserve"> 3.1.1 </w:t>
            </w:r>
          </w:p>
          <w:p w14:paraId="7AE1F875" w14:textId="41CCC26D" w:rsidR="004D4B0A" w:rsidRPr="001F151E" w:rsidRDefault="005C0A80" w:rsidP="004D4B0A">
            <w:pPr>
              <w:pStyle w:val="T-bold"/>
            </w:pPr>
            <w:r>
              <w:t xml:space="preserve">Rritja </w:t>
            </w:r>
            <w:r w:rsidRPr="005C0A80">
              <w:t>e kapaciteteve institucionale për të analizuar dhe zhvilluar politikat tatimore dhe për të menaxhuar reformat tatimore</w:t>
            </w:r>
            <w:r w:rsidR="004D4B0A" w:rsidRPr="001F151E">
              <w:t xml:space="preserve"> </w:t>
            </w:r>
          </w:p>
        </w:tc>
        <w:tc>
          <w:tcPr>
            <w:tcW w:w="2000" w:type="pct"/>
            <w:vAlign w:val="center"/>
          </w:tcPr>
          <w:p w14:paraId="4A059AF0" w14:textId="7E657263" w:rsidR="004D4B0A" w:rsidRPr="009D660E" w:rsidRDefault="005C0A80" w:rsidP="00CD7428">
            <w:pPr>
              <w:pStyle w:val="T-number"/>
              <w:numPr>
                <w:ilvl w:val="0"/>
                <w:numId w:val="81"/>
              </w:numPr>
              <w:rPr>
                <w:lang w:val="it-IT"/>
              </w:rPr>
            </w:pPr>
            <w:r w:rsidRPr="009D660E">
              <w:rPr>
                <w:lang w:val="it-IT"/>
              </w:rPr>
              <w:t xml:space="preserve">Zhvillimi dhe </w:t>
            </w:r>
            <w:r>
              <w:rPr>
                <w:rStyle w:val="rynqvb"/>
                <w:lang w:val="sq-AL"/>
              </w:rPr>
              <w:t>zbatimi i ngritjes së kapaciteteve për analizën dhe vlerësimin e politikave tatimore.</w:t>
            </w:r>
          </w:p>
        </w:tc>
        <w:tc>
          <w:tcPr>
            <w:tcW w:w="450" w:type="pct"/>
            <w:shd w:val="clear" w:color="auto" w:fill="auto"/>
            <w:vAlign w:val="center"/>
          </w:tcPr>
          <w:p w14:paraId="5415BB88" w14:textId="7B9C49B9" w:rsidR="004D4B0A" w:rsidRPr="001F151E" w:rsidRDefault="00A716B2" w:rsidP="004D4B0A">
            <w:pPr>
              <w:jc w:val="center"/>
              <w:rPr>
                <w:sz w:val="16"/>
                <w:szCs w:val="16"/>
              </w:rPr>
            </w:pPr>
            <w:r>
              <w:rPr>
                <w:sz w:val="16"/>
                <w:szCs w:val="16"/>
              </w:rPr>
              <w:t>T</w:t>
            </w:r>
            <w:r w:rsidR="0084664A" w:rsidRPr="001F151E">
              <w:rPr>
                <w:sz w:val="16"/>
                <w:szCs w:val="16"/>
              </w:rPr>
              <w:t xml:space="preserve">1 </w:t>
            </w:r>
            <w:r w:rsidR="004D4B0A" w:rsidRPr="001F151E">
              <w:rPr>
                <w:sz w:val="16"/>
                <w:szCs w:val="16"/>
              </w:rPr>
              <w:t>2023</w:t>
            </w:r>
          </w:p>
        </w:tc>
        <w:tc>
          <w:tcPr>
            <w:tcW w:w="450" w:type="pct"/>
            <w:shd w:val="clear" w:color="auto" w:fill="auto"/>
            <w:vAlign w:val="center"/>
          </w:tcPr>
          <w:p w14:paraId="60C84225" w14:textId="6C4864AF" w:rsidR="004D4B0A" w:rsidRPr="001F151E" w:rsidRDefault="00A716B2" w:rsidP="004D4B0A">
            <w:pPr>
              <w:jc w:val="center"/>
              <w:rPr>
                <w:sz w:val="16"/>
                <w:szCs w:val="16"/>
              </w:rPr>
            </w:pPr>
            <w:r>
              <w:rPr>
                <w:sz w:val="16"/>
                <w:szCs w:val="16"/>
              </w:rPr>
              <w:t>T</w:t>
            </w:r>
            <w:r w:rsidR="0084664A" w:rsidRPr="001F151E">
              <w:rPr>
                <w:sz w:val="16"/>
                <w:szCs w:val="16"/>
              </w:rPr>
              <w:t xml:space="preserve">4 </w:t>
            </w:r>
            <w:r w:rsidR="004D4B0A" w:rsidRPr="001F151E">
              <w:rPr>
                <w:sz w:val="16"/>
                <w:szCs w:val="16"/>
              </w:rPr>
              <w:t>2026</w:t>
            </w:r>
          </w:p>
        </w:tc>
        <w:tc>
          <w:tcPr>
            <w:tcW w:w="900" w:type="pct"/>
          </w:tcPr>
          <w:p w14:paraId="7D9E7B4D" w14:textId="6678FE89" w:rsidR="004D4B0A" w:rsidRPr="001F151E" w:rsidRDefault="0013409C" w:rsidP="004D4B0A">
            <w:pPr>
              <w:rPr>
                <w:b/>
                <w:bCs/>
                <w:sz w:val="16"/>
                <w:szCs w:val="16"/>
              </w:rPr>
            </w:pPr>
            <w:r>
              <w:rPr>
                <w:b/>
                <w:bCs/>
                <w:sz w:val="16"/>
                <w:szCs w:val="16"/>
              </w:rPr>
              <w:t>Nj</w:t>
            </w:r>
            <w:r w:rsidR="00F1459A">
              <w:rPr>
                <w:b/>
                <w:bCs/>
                <w:sz w:val="16"/>
                <w:szCs w:val="16"/>
              </w:rPr>
              <w:t>ë</w:t>
            </w:r>
            <w:r>
              <w:rPr>
                <w:b/>
                <w:bCs/>
                <w:sz w:val="16"/>
                <w:szCs w:val="16"/>
              </w:rPr>
              <w:t>sit</w:t>
            </w:r>
            <w:r w:rsidR="00F1459A">
              <w:rPr>
                <w:b/>
                <w:bCs/>
                <w:sz w:val="16"/>
                <w:szCs w:val="16"/>
              </w:rPr>
              <w:t>ë</w:t>
            </w:r>
            <w:r>
              <w:rPr>
                <w:b/>
                <w:bCs/>
                <w:sz w:val="16"/>
                <w:szCs w:val="16"/>
              </w:rPr>
              <w:t xml:space="preserve"> p</w:t>
            </w:r>
            <w:r w:rsidR="00F1459A">
              <w:rPr>
                <w:b/>
                <w:bCs/>
                <w:sz w:val="16"/>
                <w:szCs w:val="16"/>
              </w:rPr>
              <w:t>ë</w:t>
            </w:r>
            <w:r>
              <w:rPr>
                <w:b/>
                <w:bCs/>
                <w:sz w:val="16"/>
                <w:szCs w:val="16"/>
              </w:rPr>
              <w:t>rgjegj</w:t>
            </w:r>
            <w:r w:rsidR="00F1459A">
              <w:rPr>
                <w:b/>
                <w:bCs/>
                <w:sz w:val="16"/>
                <w:szCs w:val="16"/>
              </w:rPr>
              <w:t>ë</w:t>
            </w:r>
            <w:r>
              <w:rPr>
                <w:b/>
                <w:bCs/>
                <w:sz w:val="16"/>
                <w:szCs w:val="16"/>
              </w:rPr>
              <w:t>se</w:t>
            </w:r>
            <w:r w:rsidR="004D4B0A" w:rsidRPr="001F151E">
              <w:rPr>
                <w:b/>
                <w:bCs/>
                <w:sz w:val="16"/>
                <w:szCs w:val="16"/>
              </w:rPr>
              <w:t>:</w:t>
            </w:r>
          </w:p>
          <w:p w14:paraId="43ED2E76" w14:textId="39C7A6F9" w:rsidR="004D4B0A" w:rsidRPr="001F151E" w:rsidRDefault="00F3594D" w:rsidP="004D4B0A">
            <w:pPr>
              <w:rPr>
                <w:sz w:val="16"/>
                <w:szCs w:val="16"/>
              </w:rPr>
            </w:pPr>
            <w:r>
              <w:rPr>
                <w:sz w:val="16"/>
                <w:szCs w:val="16"/>
              </w:rPr>
              <w:t>DPPF</w:t>
            </w:r>
            <w:r w:rsidR="0013409C">
              <w:rPr>
                <w:sz w:val="16"/>
                <w:szCs w:val="16"/>
              </w:rPr>
              <w:t xml:space="preserve"> (lider</w:t>
            </w:r>
            <w:r w:rsidR="004D4B0A" w:rsidRPr="001F151E">
              <w:rPr>
                <w:sz w:val="16"/>
                <w:szCs w:val="16"/>
              </w:rPr>
              <w:t>)</w:t>
            </w:r>
          </w:p>
          <w:p w14:paraId="7D1C3782" w14:textId="77777777" w:rsidR="004D4B0A" w:rsidRPr="001F151E" w:rsidRDefault="004D4B0A" w:rsidP="004D4B0A">
            <w:pPr>
              <w:rPr>
                <w:b/>
                <w:bCs/>
                <w:sz w:val="16"/>
                <w:szCs w:val="16"/>
              </w:rPr>
            </w:pPr>
          </w:p>
          <w:p w14:paraId="3E8A83D7" w14:textId="3A82600B" w:rsidR="004D4B0A" w:rsidRPr="001F151E" w:rsidRDefault="004D4B0A" w:rsidP="004D4B0A">
            <w:pPr>
              <w:rPr>
                <w:b/>
                <w:bCs/>
                <w:sz w:val="16"/>
                <w:szCs w:val="16"/>
              </w:rPr>
            </w:pPr>
            <w:r w:rsidRPr="001F151E">
              <w:rPr>
                <w:b/>
                <w:bCs/>
                <w:sz w:val="16"/>
                <w:szCs w:val="16"/>
              </w:rPr>
              <w:t>Partner</w:t>
            </w:r>
            <w:r w:rsidR="00F1459A">
              <w:rPr>
                <w:b/>
                <w:bCs/>
                <w:sz w:val="16"/>
                <w:szCs w:val="16"/>
              </w:rPr>
              <w:t>ë</w:t>
            </w:r>
            <w:r w:rsidR="0013409C">
              <w:rPr>
                <w:b/>
                <w:bCs/>
                <w:sz w:val="16"/>
                <w:szCs w:val="16"/>
              </w:rPr>
              <w:t>t</w:t>
            </w:r>
            <w:r w:rsidRPr="001F151E">
              <w:rPr>
                <w:b/>
                <w:bCs/>
                <w:sz w:val="16"/>
                <w:szCs w:val="16"/>
              </w:rPr>
              <w:t>:</w:t>
            </w:r>
          </w:p>
          <w:p w14:paraId="62F0B4A2" w14:textId="064250CB" w:rsidR="004D4B0A" w:rsidRPr="001F151E" w:rsidRDefault="0013409C" w:rsidP="004D4B0A">
            <w:pPr>
              <w:rPr>
                <w:sz w:val="16"/>
                <w:szCs w:val="16"/>
              </w:rPr>
            </w:pPr>
            <w:r>
              <w:rPr>
                <w:sz w:val="16"/>
                <w:szCs w:val="16"/>
              </w:rPr>
              <w:t>FMN</w:t>
            </w:r>
          </w:p>
        </w:tc>
      </w:tr>
      <w:tr w:rsidR="004D4B0A" w:rsidRPr="001F151E" w14:paraId="712F2287" w14:textId="77777777" w:rsidTr="0084664A">
        <w:trPr>
          <w:trHeight w:val="20"/>
        </w:trPr>
        <w:tc>
          <w:tcPr>
            <w:tcW w:w="1200" w:type="pct"/>
            <w:vMerge w:val="restart"/>
          </w:tcPr>
          <w:p w14:paraId="18AF3D15" w14:textId="39B15CD6" w:rsidR="004D4B0A" w:rsidRPr="001F151E" w:rsidRDefault="004D4B0A" w:rsidP="004D4B0A">
            <w:pPr>
              <w:pStyle w:val="T-bold"/>
            </w:pPr>
            <w:r w:rsidRPr="001F151E">
              <w:t>M</w:t>
            </w:r>
            <w:r w:rsidR="00A716B2">
              <w:t>asa</w:t>
            </w:r>
            <w:r w:rsidRPr="001F151E">
              <w:t xml:space="preserve"> 3.1.2 </w:t>
            </w:r>
            <w:r w:rsidR="005C0A80" w:rsidRPr="005C0A80">
              <w:t>Zhvillimi dhe zbatimi i iniciativave për të reduktuar hendekun e pajtueshmërisë me TVSH-në</w:t>
            </w:r>
          </w:p>
          <w:p w14:paraId="15C71D02" w14:textId="77777777" w:rsidR="004D4B0A" w:rsidRPr="001F151E" w:rsidRDefault="004D4B0A" w:rsidP="004D4B0A">
            <w:pPr>
              <w:pStyle w:val="T-bold"/>
            </w:pPr>
          </w:p>
        </w:tc>
        <w:tc>
          <w:tcPr>
            <w:tcW w:w="2000" w:type="pct"/>
            <w:tcBorders>
              <w:bottom w:val="single" w:sz="4" w:space="0" w:color="auto"/>
            </w:tcBorders>
            <w:vAlign w:val="center"/>
          </w:tcPr>
          <w:p w14:paraId="12B0890E" w14:textId="7CE13A59" w:rsidR="004D4B0A" w:rsidRPr="001F151E" w:rsidRDefault="00EC471D" w:rsidP="00897DDC">
            <w:pPr>
              <w:pStyle w:val="T-number"/>
            </w:pPr>
            <w:r>
              <w:t>P</w:t>
            </w:r>
            <w:r w:rsidR="00F1459A">
              <w:t>ë</w:t>
            </w:r>
            <w:r>
              <w:t>rmir</w:t>
            </w:r>
            <w:r w:rsidR="00F1459A">
              <w:t>ë</w:t>
            </w:r>
            <w:r>
              <w:t>simi i qasjeve t</w:t>
            </w:r>
            <w:r w:rsidR="00F1459A">
              <w:t>ë</w:t>
            </w:r>
            <w:r>
              <w:t xml:space="preserve"> menaxhimit t</w:t>
            </w:r>
            <w:r w:rsidR="00F1459A">
              <w:t>ë</w:t>
            </w:r>
            <w:r>
              <w:t xml:space="preserve"> riskut p</w:t>
            </w:r>
            <w:r w:rsidR="00F1459A">
              <w:t>ë</w:t>
            </w:r>
            <w:r>
              <w:t>r sektor</w:t>
            </w:r>
            <w:r w:rsidR="00F1459A">
              <w:t>ë</w:t>
            </w:r>
            <w:r>
              <w:t>t e identifikuar si me risk t</w:t>
            </w:r>
            <w:r w:rsidR="00F1459A">
              <w:t>ë</w:t>
            </w:r>
            <w:r>
              <w:t xml:space="preserve"> lart</w:t>
            </w:r>
            <w:r w:rsidR="00F1459A">
              <w:t>ë</w:t>
            </w:r>
          </w:p>
        </w:tc>
        <w:tc>
          <w:tcPr>
            <w:tcW w:w="450" w:type="pct"/>
            <w:tcBorders>
              <w:bottom w:val="single" w:sz="4" w:space="0" w:color="auto"/>
            </w:tcBorders>
            <w:shd w:val="clear" w:color="auto" w:fill="auto"/>
            <w:vAlign w:val="center"/>
          </w:tcPr>
          <w:p w14:paraId="1986A1D3" w14:textId="5A352386" w:rsidR="004D4B0A" w:rsidRPr="001F151E" w:rsidRDefault="00A716B2" w:rsidP="004D4B0A">
            <w:pPr>
              <w:jc w:val="center"/>
              <w:rPr>
                <w:sz w:val="16"/>
                <w:szCs w:val="16"/>
              </w:rPr>
            </w:pPr>
            <w:r>
              <w:rPr>
                <w:sz w:val="16"/>
                <w:szCs w:val="16"/>
              </w:rPr>
              <w:t>T</w:t>
            </w:r>
            <w:r w:rsidR="004D4B0A" w:rsidRPr="001F151E">
              <w:rPr>
                <w:sz w:val="16"/>
                <w:szCs w:val="16"/>
              </w:rPr>
              <w:t>1 2023</w:t>
            </w:r>
          </w:p>
        </w:tc>
        <w:tc>
          <w:tcPr>
            <w:tcW w:w="450" w:type="pct"/>
            <w:tcBorders>
              <w:bottom w:val="single" w:sz="4" w:space="0" w:color="auto"/>
            </w:tcBorders>
            <w:shd w:val="clear" w:color="auto" w:fill="auto"/>
            <w:vAlign w:val="center"/>
          </w:tcPr>
          <w:p w14:paraId="5CFAD6EB" w14:textId="0673400D" w:rsidR="004D4B0A" w:rsidRPr="001F151E" w:rsidRDefault="00A716B2" w:rsidP="004D4B0A">
            <w:pPr>
              <w:jc w:val="center"/>
              <w:rPr>
                <w:sz w:val="16"/>
                <w:szCs w:val="16"/>
              </w:rPr>
            </w:pPr>
            <w:r>
              <w:rPr>
                <w:sz w:val="16"/>
                <w:szCs w:val="16"/>
              </w:rPr>
              <w:t>T</w:t>
            </w:r>
            <w:r w:rsidR="004D4B0A" w:rsidRPr="001F151E">
              <w:rPr>
                <w:sz w:val="16"/>
                <w:szCs w:val="16"/>
              </w:rPr>
              <w:t>4 2026</w:t>
            </w:r>
          </w:p>
        </w:tc>
        <w:tc>
          <w:tcPr>
            <w:tcW w:w="900" w:type="pct"/>
            <w:vMerge w:val="restart"/>
          </w:tcPr>
          <w:p w14:paraId="1E13E936" w14:textId="4A078DF4" w:rsidR="004D4B0A" w:rsidRPr="001F151E" w:rsidRDefault="0013409C" w:rsidP="004D4B0A">
            <w:pPr>
              <w:rPr>
                <w:b/>
                <w:bCs/>
                <w:sz w:val="16"/>
                <w:szCs w:val="16"/>
              </w:rPr>
            </w:pPr>
            <w:r>
              <w:rPr>
                <w:b/>
                <w:bCs/>
                <w:sz w:val="16"/>
                <w:szCs w:val="16"/>
              </w:rPr>
              <w:t>Nj</w:t>
            </w:r>
            <w:r w:rsidR="00F1459A">
              <w:rPr>
                <w:b/>
                <w:bCs/>
                <w:sz w:val="16"/>
                <w:szCs w:val="16"/>
              </w:rPr>
              <w:t>ë</w:t>
            </w:r>
            <w:r>
              <w:rPr>
                <w:b/>
                <w:bCs/>
                <w:sz w:val="16"/>
                <w:szCs w:val="16"/>
              </w:rPr>
              <w:t>sit</w:t>
            </w:r>
            <w:r w:rsidR="00F1459A">
              <w:rPr>
                <w:b/>
                <w:bCs/>
                <w:sz w:val="16"/>
                <w:szCs w:val="16"/>
              </w:rPr>
              <w:t>ë</w:t>
            </w:r>
            <w:r>
              <w:rPr>
                <w:b/>
                <w:bCs/>
                <w:sz w:val="16"/>
                <w:szCs w:val="16"/>
              </w:rPr>
              <w:t xml:space="preserve"> p</w:t>
            </w:r>
            <w:r w:rsidR="00F1459A">
              <w:rPr>
                <w:b/>
                <w:bCs/>
                <w:sz w:val="16"/>
                <w:szCs w:val="16"/>
              </w:rPr>
              <w:t>ë</w:t>
            </w:r>
            <w:r>
              <w:rPr>
                <w:b/>
                <w:bCs/>
                <w:sz w:val="16"/>
                <w:szCs w:val="16"/>
              </w:rPr>
              <w:t>rgjegj</w:t>
            </w:r>
            <w:r w:rsidR="00F1459A">
              <w:rPr>
                <w:b/>
                <w:bCs/>
                <w:sz w:val="16"/>
                <w:szCs w:val="16"/>
              </w:rPr>
              <w:t>ë</w:t>
            </w:r>
            <w:r>
              <w:rPr>
                <w:b/>
                <w:bCs/>
                <w:sz w:val="16"/>
                <w:szCs w:val="16"/>
              </w:rPr>
              <w:t>se</w:t>
            </w:r>
            <w:r w:rsidR="004D4B0A" w:rsidRPr="001F151E">
              <w:rPr>
                <w:b/>
                <w:bCs/>
                <w:sz w:val="16"/>
                <w:szCs w:val="16"/>
              </w:rPr>
              <w:t>:</w:t>
            </w:r>
          </w:p>
          <w:p w14:paraId="7CE68F69" w14:textId="4543FE1F" w:rsidR="004D4B0A" w:rsidRPr="001F151E" w:rsidRDefault="0013409C" w:rsidP="004D4B0A">
            <w:pPr>
              <w:rPr>
                <w:sz w:val="16"/>
                <w:szCs w:val="16"/>
              </w:rPr>
            </w:pPr>
            <w:r>
              <w:rPr>
                <w:sz w:val="16"/>
                <w:szCs w:val="16"/>
              </w:rPr>
              <w:t>DPT (lider</w:t>
            </w:r>
            <w:r w:rsidR="004D4B0A" w:rsidRPr="001F151E">
              <w:rPr>
                <w:sz w:val="16"/>
                <w:szCs w:val="16"/>
              </w:rPr>
              <w:t>)</w:t>
            </w:r>
          </w:p>
          <w:p w14:paraId="3418A455" w14:textId="77777777" w:rsidR="004D4B0A" w:rsidRPr="001F151E" w:rsidRDefault="004D4B0A" w:rsidP="004D4B0A">
            <w:pPr>
              <w:rPr>
                <w:b/>
                <w:bCs/>
                <w:sz w:val="16"/>
                <w:szCs w:val="16"/>
              </w:rPr>
            </w:pPr>
          </w:p>
          <w:p w14:paraId="30652E04" w14:textId="38B88D24" w:rsidR="004D4B0A" w:rsidRPr="001F151E" w:rsidRDefault="004D4B0A" w:rsidP="004D4B0A">
            <w:pPr>
              <w:rPr>
                <w:b/>
                <w:bCs/>
                <w:sz w:val="16"/>
                <w:szCs w:val="16"/>
              </w:rPr>
            </w:pPr>
            <w:r w:rsidRPr="001F151E">
              <w:rPr>
                <w:b/>
                <w:bCs/>
                <w:sz w:val="16"/>
                <w:szCs w:val="16"/>
              </w:rPr>
              <w:t>Partner</w:t>
            </w:r>
            <w:r w:rsidR="00F1459A">
              <w:rPr>
                <w:b/>
                <w:bCs/>
                <w:sz w:val="16"/>
                <w:szCs w:val="16"/>
              </w:rPr>
              <w:t>ë</w:t>
            </w:r>
            <w:r w:rsidR="0013409C">
              <w:rPr>
                <w:b/>
                <w:bCs/>
                <w:sz w:val="16"/>
                <w:szCs w:val="16"/>
              </w:rPr>
              <w:t>t</w:t>
            </w:r>
            <w:r w:rsidRPr="001F151E">
              <w:rPr>
                <w:b/>
                <w:bCs/>
                <w:sz w:val="16"/>
                <w:szCs w:val="16"/>
              </w:rPr>
              <w:t>:</w:t>
            </w:r>
          </w:p>
          <w:p w14:paraId="34A320D4" w14:textId="42A9CE6F" w:rsidR="004D4B0A" w:rsidRPr="001F151E" w:rsidRDefault="0013409C" w:rsidP="004D4B0A">
            <w:pPr>
              <w:rPr>
                <w:sz w:val="16"/>
                <w:szCs w:val="16"/>
              </w:rPr>
            </w:pPr>
            <w:r>
              <w:rPr>
                <w:sz w:val="16"/>
                <w:szCs w:val="16"/>
              </w:rPr>
              <w:t>FMN</w:t>
            </w:r>
          </w:p>
        </w:tc>
      </w:tr>
      <w:tr w:rsidR="004D4B0A" w:rsidRPr="001F151E" w14:paraId="68323507" w14:textId="77777777" w:rsidTr="0084664A">
        <w:trPr>
          <w:trHeight w:val="20"/>
        </w:trPr>
        <w:tc>
          <w:tcPr>
            <w:tcW w:w="1200" w:type="pct"/>
            <w:vMerge/>
          </w:tcPr>
          <w:p w14:paraId="384C9A1E" w14:textId="77777777" w:rsidR="004D4B0A" w:rsidRPr="001F151E" w:rsidRDefault="004D4B0A" w:rsidP="004D4B0A">
            <w:pPr>
              <w:pStyle w:val="T-bold"/>
            </w:pPr>
          </w:p>
        </w:tc>
        <w:tc>
          <w:tcPr>
            <w:tcW w:w="2000" w:type="pct"/>
            <w:tcBorders>
              <w:bottom w:val="single" w:sz="4" w:space="0" w:color="auto"/>
            </w:tcBorders>
            <w:vAlign w:val="center"/>
          </w:tcPr>
          <w:p w14:paraId="6DC13B26" w14:textId="6FC5494A" w:rsidR="004D4B0A" w:rsidRPr="001F151E" w:rsidRDefault="0048636F" w:rsidP="00897DDC">
            <w:pPr>
              <w:pStyle w:val="T-number"/>
            </w:pPr>
            <w:r>
              <w:t>P</w:t>
            </w:r>
            <w:r w:rsidR="00F1459A">
              <w:t>ë</w:t>
            </w:r>
            <w:r>
              <w:t>rdorimi i sistemit t</w:t>
            </w:r>
            <w:r w:rsidR="00F1459A">
              <w:t>ë</w:t>
            </w:r>
            <w:r>
              <w:t xml:space="preserve"> Fiskalizimit p</w:t>
            </w:r>
            <w:r w:rsidR="00F1459A">
              <w:t>ë</w:t>
            </w:r>
            <w:r>
              <w:t>r maksimizimin e t</w:t>
            </w:r>
            <w:r w:rsidR="00F1459A">
              <w:t>ë</w:t>
            </w:r>
            <w:r>
              <w:t xml:space="preserve"> ardhurave nga TVSH-ja</w:t>
            </w:r>
          </w:p>
        </w:tc>
        <w:tc>
          <w:tcPr>
            <w:tcW w:w="450" w:type="pct"/>
            <w:tcBorders>
              <w:bottom w:val="single" w:sz="4" w:space="0" w:color="auto"/>
            </w:tcBorders>
            <w:shd w:val="clear" w:color="auto" w:fill="auto"/>
            <w:vAlign w:val="center"/>
          </w:tcPr>
          <w:p w14:paraId="2907213C" w14:textId="024C69C4" w:rsidR="004D4B0A" w:rsidRPr="001F151E" w:rsidRDefault="00A716B2" w:rsidP="004D4B0A">
            <w:pPr>
              <w:jc w:val="center"/>
              <w:rPr>
                <w:sz w:val="16"/>
                <w:szCs w:val="16"/>
              </w:rPr>
            </w:pPr>
            <w:r>
              <w:rPr>
                <w:sz w:val="16"/>
                <w:szCs w:val="16"/>
              </w:rPr>
              <w:t>T</w:t>
            </w:r>
            <w:r w:rsidR="004D4B0A" w:rsidRPr="001F151E">
              <w:rPr>
                <w:sz w:val="16"/>
                <w:szCs w:val="16"/>
              </w:rPr>
              <w:t>12023</w:t>
            </w:r>
          </w:p>
        </w:tc>
        <w:tc>
          <w:tcPr>
            <w:tcW w:w="450" w:type="pct"/>
            <w:tcBorders>
              <w:bottom w:val="single" w:sz="4" w:space="0" w:color="auto"/>
            </w:tcBorders>
            <w:shd w:val="clear" w:color="auto" w:fill="auto"/>
            <w:vAlign w:val="center"/>
          </w:tcPr>
          <w:p w14:paraId="1192BB2A" w14:textId="445D19E1" w:rsidR="004D4B0A" w:rsidRPr="001F151E" w:rsidRDefault="00A716B2" w:rsidP="004D4B0A">
            <w:pPr>
              <w:jc w:val="center"/>
              <w:rPr>
                <w:sz w:val="16"/>
                <w:szCs w:val="16"/>
              </w:rPr>
            </w:pPr>
            <w:r>
              <w:rPr>
                <w:sz w:val="16"/>
                <w:szCs w:val="16"/>
              </w:rPr>
              <w:t>T</w:t>
            </w:r>
            <w:r w:rsidR="004D4B0A" w:rsidRPr="001F151E">
              <w:rPr>
                <w:sz w:val="16"/>
                <w:szCs w:val="16"/>
              </w:rPr>
              <w:t>4 2026</w:t>
            </w:r>
          </w:p>
        </w:tc>
        <w:tc>
          <w:tcPr>
            <w:tcW w:w="900" w:type="pct"/>
            <w:vMerge/>
          </w:tcPr>
          <w:p w14:paraId="4522EEDC" w14:textId="77777777" w:rsidR="004D4B0A" w:rsidRPr="001F151E" w:rsidRDefault="004D4B0A" w:rsidP="004D4B0A">
            <w:pPr>
              <w:rPr>
                <w:sz w:val="16"/>
                <w:szCs w:val="16"/>
              </w:rPr>
            </w:pPr>
          </w:p>
        </w:tc>
      </w:tr>
      <w:tr w:rsidR="004D4B0A" w:rsidRPr="001F151E" w14:paraId="3DBD2A0A" w14:textId="77777777" w:rsidTr="0084664A">
        <w:trPr>
          <w:trHeight w:val="405"/>
        </w:trPr>
        <w:tc>
          <w:tcPr>
            <w:tcW w:w="1200" w:type="pct"/>
          </w:tcPr>
          <w:p w14:paraId="3FFEFF08" w14:textId="1B0DD2C6" w:rsidR="004D4B0A" w:rsidRPr="001F151E" w:rsidRDefault="004D4B0A" w:rsidP="004D4B0A">
            <w:pPr>
              <w:pStyle w:val="T-bold"/>
            </w:pPr>
            <w:r w:rsidRPr="001F151E">
              <w:t>M</w:t>
            </w:r>
            <w:r w:rsidR="00A716B2">
              <w:t>asa</w:t>
            </w:r>
            <w:r w:rsidRPr="001F151E">
              <w:t xml:space="preserve"> 3.1.3 </w:t>
            </w:r>
            <w:r w:rsidR="00EC471D">
              <w:t>Zhvillimi dhe zbatimi i nj</w:t>
            </w:r>
            <w:r w:rsidR="00F1459A">
              <w:t>ë</w:t>
            </w:r>
            <w:r w:rsidR="00EC471D">
              <w:t xml:space="preserve"> qasjeje t</w:t>
            </w:r>
            <w:r w:rsidR="00F1459A">
              <w:t>ë</w:t>
            </w:r>
            <w:r w:rsidR="00EC471D">
              <w:t xml:space="preserve"> integruar p</w:t>
            </w:r>
            <w:r w:rsidR="00F1459A">
              <w:t>ë</w:t>
            </w:r>
            <w:r w:rsidR="00EC471D">
              <w:t>r t</w:t>
            </w:r>
            <w:r w:rsidR="00F1459A">
              <w:t>ë</w:t>
            </w:r>
            <w:r w:rsidR="00EC471D">
              <w:t xml:space="preserve"> reduktuar pun</w:t>
            </w:r>
            <w:r w:rsidR="00F1459A">
              <w:t>ë</w:t>
            </w:r>
            <w:r w:rsidR="00EC471D">
              <w:t xml:space="preserve">n e padeklaruar </w:t>
            </w:r>
          </w:p>
          <w:p w14:paraId="348AB358" w14:textId="77777777" w:rsidR="004D4B0A" w:rsidRPr="001F151E" w:rsidRDefault="004D4B0A" w:rsidP="004D4B0A">
            <w:pPr>
              <w:pStyle w:val="T-bold"/>
            </w:pPr>
          </w:p>
        </w:tc>
        <w:tc>
          <w:tcPr>
            <w:tcW w:w="2000" w:type="pct"/>
            <w:tcBorders>
              <w:bottom w:val="single" w:sz="4" w:space="0" w:color="auto"/>
            </w:tcBorders>
            <w:vAlign w:val="center"/>
          </w:tcPr>
          <w:p w14:paraId="480EFDDA" w14:textId="15F1E6C6" w:rsidR="004D4B0A" w:rsidRPr="001F151E" w:rsidRDefault="0048636F" w:rsidP="00CD7428">
            <w:pPr>
              <w:pStyle w:val="T-number"/>
              <w:numPr>
                <w:ilvl w:val="0"/>
                <w:numId w:val="70"/>
              </w:numPr>
            </w:pPr>
            <w:r>
              <w:t>Forcimi i dispozitave ligjore p</w:t>
            </w:r>
            <w:r w:rsidR="00F1459A">
              <w:t>ë</w:t>
            </w:r>
            <w:r>
              <w:t>r sanksionet p</w:t>
            </w:r>
            <w:r w:rsidR="00F1459A">
              <w:t>ë</w:t>
            </w:r>
            <w:r>
              <w:t>r kund</w:t>
            </w:r>
            <w:r w:rsidR="00F1459A">
              <w:t>ë</w:t>
            </w:r>
            <w:r>
              <w:t>rvajtjet q</w:t>
            </w:r>
            <w:r w:rsidR="00F1459A">
              <w:t>ë</w:t>
            </w:r>
            <w:r>
              <w:t xml:space="preserve"> lidhen eme pun</w:t>
            </w:r>
            <w:r w:rsidR="00F1459A">
              <w:t>ë</w:t>
            </w:r>
            <w:r>
              <w:t>tor</w:t>
            </w:r>
            <w:r w:rsidR="00F1459A">
              <w:t>ë</w:t>
            </w:r>
            <w:r>
              <w:t>t e padeklaruar dhe n</w:t>
            </w:r>
            <w:r w:rsidR="00F1459A">
              <w:t>ë</w:t>
            </w:r>
            <w:r>
              <w:t>n-deklarimet</w:t>
            </w:r>
          </w:p>
        </w:tc>
        <w:tc>
          <w:tcPr>
            <w:tcW w:w="450" w:type="pct"/>
            <w:tcBorders>
              <w:bottom w:val="single" w:sz="4" w:space="0" w:color="auto"/>
            </w:tcBorders>
            <w:shd w:val="clear" w:color="auto" w:fill="auto"/>
            <w:vAlign w:val="center"/>
          </w:tcPr>
          <w:p w14:paraId="022D6798" w14:textId="7529C189" w:rsidR="004D4B0A" w:rsidRPr="001F151E" w:rsidRDefault="00A716B2" w:rsidP="004D4B0A">
            <w:pPr>
              <w:jc w:val="center"/>
              <w:rPr>
                <w:sz w:val="16"/>
                <w:szCs w:val="16"/>
              </w:rPr>
            </w:pPr>
            <w:r>
              <w:rPr>
                <w:sz w:val="16"/>
                <w:szCs w:val="16"/>
              </w:rPr>
              <w:t>T</w:t>
            </w:r>
            <w:r w:rsidR="004D4B0A" w:rsidRPr="001F151E">
              <w:rPr>
                <w:sz w:val="16"/>
                <w:szCs w:val="16"/>
              </w:rPr>
              <w:t>12023</w:t>
            </w:r>
          </w:p>
        </w:tc>
        <w:tc>
          <w:tcPr>
            <w:tcW w:w="450" w:type="pct"/>
            <w:tcBorders>
              <w:bottom w:val="single" w:sz="4" w:space="0" w:color="auto"/>
            </w:tcBorders>
            <w:shd w:val="clear" w:color="auto" w:fill="auto"/>
            <w:vAlign w:val="center"/>
          </w:tcPr>
          <w:p w14:paraId="22EBEC11" w14:textId="414AEF38" w:rsidR="004D4B0A" w:rsidRPr="001F151E" w:rsidRDefault="00A716B2" w:rsidP="004D4B0A">
            <w:pPr>
              <w:jc w:val="center"/>
              <w:rPr>
                <w:sz w:val="16"/>
                <w:szCs w:val="16"/>
              </w:rPr>
            </w:pPr>
            <w:r>
              <w:rPr>
                <w:sz w:val="16"/>
                <w:szCs w:val="16"/>
              </w:rPr>
              <w:t>T</w:t>
            </w:r>
            <w:r w:rsidR="004D4B0A" w:rsidRPr="001F151E">
              <w:rPr>
                <w:sz w:val="16"/>
                <w:szCs w:val="16"/>
              </w:rPr>
              <w:t>4 2024</w:t>
            </w:r>
          </w:p>
        </w:tc>
        <w:tc>
          <w:tcPr>
            <w:tcW w:w="900" w:type="pct"/>
          </w:tcPr>
          <w:p w14:paraId="4FCC0458" w14:textId="04442D9E" w:rsidR="004D4B0A" w:rsidRPr="001F151E" w:rsidRDefault="0013409C" w:rsidP="004D4B0A">
            <w:pPr>
              <w:rPr>
                <w:b/>
                <w:bCs/>
                <w:sz w:val="16"/>
                <w:szCs w:val="16"/>
              </w:rPr>
            </w:pPr>
            <w:r>
              <w:rPr>
                <w:b/>
                <w:bCs/>
                <w:sz w:val="16"/>
                <w:szCs w:val="16"/>
              </w:rPr>
              <w:t>Nj</w:t>
            </w:r>
            <w:r w:rsidR="00F1459A">
              <w:rPr>
                <w:b/>
                <w:bCs/>
                <w:sz w:val="16"/>
                <w:szCs w:val="16"/>
              </w:rPr>
              <w:t>ë</w:t>
            </w:r>
            <w:r>
              <w:rPr>
                <w:b/>
                <w:bCs/>
                <w:sz w:val="16"/>
                <w:szCs w:val="16"/>
              </w:rPr>
              <w:t>sit</w:t>
            </w:r>
            <w:r w:rsidR="00F1459A">
              <w:rPr>
                <w:b/>
                <w:bCs/>
                <w:sz w:val="16"/>
                <w:szCs w:val="16"/>
              </w:rPr>
              <w:t>ë</w:t>
            </w:r>
            <w:r>
              <w:rPr>
                <w:b/>
                <w:bCs/>
                <w:sz w:val="16"/>
                <w:szCs w:val="16"/>
              </w:rPr>
              <w:t xml:space="preserve"> p</w:t>
            </w:r>
            <w:r w:rsidR="00F1459A">
              <w:rPr>
                <w:b/>
                <w:bCs/>
                <w:sz w:val="16"/>
                <w:szCs w:val="16"/>
              </w:rPr>
              <w:t>ë</w:t>
            </w:r>
            <w:r>
              <w:rPr>
                <w:b/>
                <w:bCs/>
                <w:sz w:val="16"/>
                <w:szCs w:val="16"/>
              </w:rPr>
              <w:t>rgjegj</w:t>
            </w:r>
            <w:r w:rsidR="00F1459A">
              <w:rPr>
                <w:b/>
                <w:bCs/>
                <w:sz w:val="16"/>
                <w:szCs w:val="16"/>
              </w:rPr>
              <w:t>ë</w:t>
            </w:r>
            <w:r>
              <w:rPr>
                <w:b/>
                <w:bCs/>
                <w:sz w:val="16"/>
                <w:szCs w:val="16"/>
              </w:rPr>
              <w:t>se</w:t>
            </w:r>
            <w:r w:rsidR="004D4B0A" w:rsidRPr="001F151E">
              <w:rPr>
                <w:b/>
                <w:bCs/>
                <w:sz w:val="16"/>
                <w:szCs w:val="16"/>
              </w:rPr>
              <w:t>:</w:t>
            </w:r>
          </w:p>
          <w:p w14:paraId="60CF8F57" w14:textId="06677E2F" w:rsidR="004D4B0A" w:rsidRPr="001F151E" w:rsidRDefault="0013409C" w:rsidP="004D4B0A">
            <w:pPr>
              <w:rPr>
                <w:sz w:val="16"/>
                <w:szCs w:val="16"/>
              </w:rPr>
            </w:pPr>
            <w:r>
              <w:rPr>
                <w:sz w:val="16"/>
                <w:szCs w:val="16"/>
              </w:rPr>
              <w:t>DPT (lider</w:t>
            </w:r>
            <w:r w:rsidR="004D4B0A" w:rsidRPr="001F151E">
              <w:rPr>
                <w:sz w:val="16"/>
                <w:szCs w:val="16"/>
              </w:rPr>
              <w:t>)</w:t>
            </w:r>
          </w:p>
          <w:p w14:paraId="15BAE19D" w14:textId="77777777" w:rsidR="004D4B0A" w:rsidRPr="001F151E" w:rsidRDefault="004D4B0A" w:rsidP="004D4B0A">
            <w:pPr>
              <w:rPr>
                <w:b/>
                <w:bCs/>
                <w:sz w:val="16"/>
                <w:szCs w:val="16"/>
              </w:rPr>
            </w:pPr>
          </w:p>
          <w:p w14:paraId="3D6DF1D1" w14:textId="1F5CF870" w:rsidR="004D4B0A" w:rsidRPr="001F151E" w:rsidRDefault="004D4B0A" w:rsidP="004D4B0A">
            <w:pPr>
              <w:rPr>
                <w:b/>
                <w:bCs/>
                <w:sz w:val="16"/>
                <w:szCs w:val="16"/>
              </w:rPr>
            </w:pPr>
            <w:r w:rsidRPr="001F151E">
              <w:rPr>
                <w:b/>
                <w:bCs/>
                <w:sz w:val="16"/>
                <w:szCs w:val="16"/>
              </w:rPr>
              <w:t>Partner</w:t>
            </w:r>
            <w:r w:rsidR="00F1459A">
              <w:rPr>
                <w:b/>
                <w:bCs/>
                <w:sz w:val="16"/>
                <w:szCs w:val="16"/>
              </w:rPr>
              <w:t>ë</w:t>
            </w:r>
            <w:r w:rsidR="0013409C">
              <w:rPr>
                <w:b/>
                <w:bCs/>
                <w:sz w:val="16"/>
                <w:szCs w:val="16"/>
              </w:rPr>
              <w:t>t</w:t>
            </w:r>
            <w:r w:rsidRPr="001F151E">
              <w:rPr>
                <w:b/>
                <w:bCs/>
                <w:sz w:val="16"/>
                <w:szCs w:val="16"/>
              </w:rPr>
              <w:t>:</w:t>
            </w:r>
          </w:p>
          <w:p w14:paraId="3DE2B817" w14:textId="6DC2178D" w:rsidR="004D4B0A" w:rsidRPr="001F151E" w:rsidRDefault="0013409C" w:rsidP="004D4B0A">
            <w:pPr>
              <w:rPr>
                <w:sz w:val="16"/>
                <w:szCs w:val="16"/>
              </w:rPr>
            </w:pPr>
            <w:r>
              <w:rPr>
                <w:sz w:val="16"/>
                <w:szCs w:val="16"/>
              </w:rPr>
              <w:lastRenderedPageBreak/>
              <w:t>FMN</w:t>
            </w:r>
          </w:p>
        </w:tc>
      </w:tr>
      <w:tr w:rsidR="004D4B0A" w:rsidRPr="001F151E" w14:paraId="350216CF" w14:textId="77777777" w:rsidTr="0084664A">
        <w:trPr>
          <w:trHeight w:val="20"/>
        </w:trPr>
        <w:tc>
          <w:tcPr>
            <w:tcW w:w="1200" w:type="pct"/>
          </w:tcPr>
          <w:p w14:paraId="675D90B6" w14:textId="0EA823D4" w:rsidR="004D4B0A" w:rsidRPr="001F151E" w:rsidRDefault="004D4B0A" w:rsidP="004D4B0A">
            <w:pPr>
              <w:pStyle w:val="T-bold"/>
            </w:pPr>
            <w:r w:rsidRPr="001F151E">
              <w:lastRenderedPageBreak/>
              <w:t>M</w:t>
            </w:r>
            <w:r w:rsidR="00A716B2">
              <w:t>asa</w:t>
            </w:r>
            <w:r w:rsidRPr="001F151E">
              <w:t xml:space="preserve"> 3.1.4 </w:t>
            </w:r>
          </w:p>
          <w:p w14:paraId="13ECA756" w14:textId="167D65E3" w:rsidR="004D4B0A" w:rsidRPr="001F151E" w:rsidRDefault="001F2BA8" w:rsidP="004D4B0A">
            <w:pPr>
              <w:pStyle w:val="T-bold"/>
            </w:pPr>
            <w:r>
              <w:t>Sigurimi i taksimit t</w:t>
            </w:r>
            <w:r w:rsidR="00F1459A">
              <w:t>ë</w:t>
            </w:r>
            <w:r>
              <w:t xml:space="preserve"> çdo pasurie t</w:t>
            </w:r>
            <w:r w:rsidR="00F1459A">
              <w:t>ë</w:t>
            </w:r>
            <w:r>
              <w:t xml:space="preserve"> pajustifikuar brenda dhe jasht</w:t>
            </w:r>
            <w:r w:rsidR="00F1459A">
              <w:t>ë</w:t>
            </w:r>
            <w:r>
              <w:t xml:space="preserve"> vendit</w:t>
            </w:r>
          </w:p>
          <w:p w14:paraId="78DC4982" w14:textId="77777777" w:rsidR="004D4B0A" w:rsidRPr="001F151E" w:rsidRDefault="004D4B0A" w:rsidP="004D4B0A">
            <w:pPr>
              <w:pStyle w:val="T-bold"/>
            </w:pPr>
          </w:p>
        </w:tc>
        <w:tc>
          <w:tcPr>
            <w:tcW w:w="2000" w:type="pct"/>
            <w:vAlign w:val="center"/>
          </w:tcPr>
          <w:p w14:paraId="35FCF411" w14:textId="4135BD70" w:rsidR="004D4B0A" w:rsidRPr="001F151E" w:rsidRDefault="001F2BA8" w:rsidP="00CD7428">
            <w:pPr>
              <w:pStyle w:val="T-number"/>
              <w:numPr>
                <w:ilvl w:val="0"/>
                <w:numId w:val="45"/>
              </w:numPr>
            </w:pPr>
            <w:r>
              <w:t>Vler</w:t>
            </w:r>
            <w:r w:rsidR="00F1459A">
              <w:t>ë</w:t>
            </w:r>
            <w:r>
              <w:t>simi i rasteve t</w:t>
            </w:r>
            <w:r w:rsidR="00F1459A">
              <w:t>ë</w:t>
            </w:r>
            <w:r>
              <w:t xml:space="preserve"> pasuris</w:t>
            </w:r>
            <w:r w:rsidR="00F1459A">
              <w:t>ë</w:t>
            </w:r>
            <w:r>
              <w:t xml:space="preserve"> s</w:t>
            </w:r>
            <w:r w:rsidR="00F1459A">
              <w:t>ë</w:t>
            </w:r>
            <w:r>
              <w:t xml:space="preserve"> madhe t</w:t>
            </w:r>
            <w:r w:rsidR="00F1459A">
              <w:t>ë</w:t>
            </w:r>
            <w:r>
              <w:t xml:space="preserve"> pashpjegueshme t</w:t>
            </w:r>
            <w:r w:rsidR="00F1459A">
              <w:t>ë</w:t>
            </w:r>
            <w:r>
              <w:t xml:space="preserve"> individ</w:t>
            </w:r>
            <w:r w:rsidR="00F1459A">
              <w:t>ë</w:t>
            </w:r>
            <w:r>
              <w:t>ve duke u dh</w:t>
            </w:r>
            <w:r w:rsidR="00F1459A">
              <w:t>ë</w:t>
            </w:r>
            <w:r>
              <w:t>n</w:t>
            </w:r>
            <w:r w:rsidR="00F1459A">
              <w:t>ë</w:t>
            </w:r>
            <w:r>
              <w:t xml:space="preserve"> inspektor</w:t>
            </w:r>
            <w:r w:rsidR="00F1459A">
              <w:t>ë</w:t>
            </w:r>
            <w:r>
              <w:t>ve kompetenc</w:t>
            </w:r>
            <w:r w:rsidR="00F1459A">
              <w:t>ë</w:t>
            </w:r>
            <w:r>
              <w:t xml:space="preserve"> ligjore p</w:t>
            </w:r>
            <w:r w:rsidR="00F1459A">
              <w:t>ë</w:t>
            </w:r>
            <w:r>
              <w:t>r t</w:t>
            </w:r>
            <w:r w:rsidR="00F1459A">
              <w:t>ë</w:t>
            </w:r>
            <w:r>
              <w:t xml:space="preserve"> dh</w:t>
            </w:r>
            <w:r w:rsidR="00F1459A">
              <w:t>ë</w:t>
            </w:r>
            <w:r>
              <w:t>n</w:t>
            </w:r>
            <w:r w:rsidR="00F1459A">
              <w:t>ë</w:t>
            </w:r>
            <w:r>
              <w:t xml:space="preserve"> vler</w:t>
            </w:r>
            <w:r w:rsidR="00F1459A">
              <w:t>ë</w:t>
            </w:r>
            <w:r>
              <w:t>sime tatimore n</w:t>
            </w:r>
            <w:r w:rsidR="00F1459A">
              <w:t>ë</w:t>
            </w:r>
            <w:r>
              <w:t>p</w:t>
            </w:r>
            <w:r w:rsidR="00F1459A">
              <w:t>ë</w:t>
            </w:r>
            <w:r>
              <w:t>rmjet metodave indirekte veçan</w:t>
            </w:r>
            <w:r w:rsidR="00F1459A">
              <w:t>ë</w:t>
            </w:r>
            <w:r>
              <w:t>risht p</w:t>
            </w:r>
            <w:r w:rsidR="00F1459A">
              <w:t>ë</w:t>
            </w:r>
            <w:r>
              <w:t>r individ</w:t>
            </w:r>
            <w:r w:rsidR="00F1459A">
              <w:t>ë</w:t>
            </w:r>
            <w:r>
              <w:t>t q</w:t>
            </w:r>
            <w:r w:rsidR="00F1459A">
              <w:t>ë</w:t>
            </w:r>
            <w:r>
              <w:t xml:space="preserve"> nuk marrin pjes</w:t>
            </w:r>
            <w:r w:rsidR="00F1459A">
              <w:t>ë</w:t>
            </w:r>
            <w:r>
              <w:t xml:space="preserve"> n</w:t>
            </w:r>
            <w:r w:rsidR="00F1459A">
              <w:t>ë</w:t>
            </w:r>
            <w:r>
              <w:t xml:space="preserve"> Programin e Deklarimit Vullnetar</w:t>
            </w:r>
          </w:p>
        </w:tc>
        <w:tc>
          <w:tcPr>
            <w:tcW w:w="450" w:type="pct"/>
            <w:shd w:val="clear" w:color="auto" w:fill="auto"/>
            <w:vAlign w:val="center"/>
          </w:tcPr>
          <w:p w14:paraId="442C031F" w14:textId="0267514F" w:rsidR="004D4B0A" w:rsidRPr="001F151E" w:rsidRDefault="00A716B2" w:rsidP="004D4B0A">
            <w:pPr>
              <w:jc w:val="center"/>
              <w:rPr>
                <w:sz w:val="16"/>
                <w:szCs w:val="16"/>
              </w:rPr>
            </w:pPr>
            <w:r>
              <w:rPr>
                <w:sz w:val="16"/>
                <w:szCs w:val="16"/>
              </w:rPr>
              <w:t>T</w:t>
            </w:r>
            <w:r w:rsidR="004D4B0A" w:rsidRPr="001F151E">
              <w:rPr>
                <w:sz w:val="16"/>
                <w:szCs w:val="16"/>
              </w:rPr>
              <w:t>12023</w:t>
            </w:r>
          </w:p>
        </w:tc>
        <w:tc>
          <w:tcPr>
            <w:tcW w:w="450" w:type="pct"/>
            <w:shd w:val="clear" w:color="auto" w:fill="auto"/>
            <w:vAlign w:val="center"/>
          </w:tcPr>
          <w:p w14:paraId="67809905" w14:textId="2E995FB7" w:rsidR="004D4B0A" w:rsidRPr="001F151E" w:rsidRDefault="00A716B2" w:rsidP="004D4B0A">
            <w:pPr>
              <w:jc w:val="center"/>
              <w:rPr>
                <w:sz w:val="16"/>
                <w:szCs w:val="16"/>
              </w:rPr>
            </w:pPr>
            <w:r>
              <w:rPr>
                <w:sz w:val="16"/>
                <w:szCs w:val="16"/>
              </w:rPr>
              <w:t>T</w:t>
            </w:r>
            <w:r w:rsidR="004D4B0A" w:rsidRPr="001F151E">
              <w:rPr>
                <w:sz w:val="16"/>
                <w:szCs w:val="16"/>
              </w:rPr>
              <w:t>4 2026</w:t>
            </w:r>
          </w:p>
        </w:tc>
        <w:tc>
          <w:tcPr>
            <w:tcW w:w="900" w:type="pct"/>
          </w:tcPr>
          <w:p w14:paraId="4B7B5013" w14:textId="64BD0D68" w:rsidR="004D4B0A" w:rsidRPr="001F151E" w:rsidRDefault="0013409C" w:rsidP="004D4B0A">
            <w:pPr>
              <w:rPr>
                <w:b/>
                <w:bCs/>
                <w:sz w:val="16"/>
                <w:szCs w:val="16"/>
              </w:rPr>
            </w:pPr>
            <w:r>
              <w:rPr>
                <w:b/>
                <w:bCs/>
                <w:sz w:val="16"/>
                <w:szCs w:val="16"/>
              </w:rPr>
              <w:t>Nj</w:t>
            </w:r>
            <w:r w:rsidR="00F1459A">
              <w:rPr>
                <w:b/>
                <w:bCs/>
                <w:sz w:val="16"/>
                <w:szCs w:val="16"/>
              </w:rPr>
              <w:t>ë</w:t>
            </w:r>
            <w:r>
              <w:rPr>
                <w:b/>
                <w:bCs/>
                <w:sz w:val="16"/>
                <w:szCs w:val="16"/>
              </w:rPr>
              <w:t>sit</w:t>
            </w:r>
            <w:r w:rsidR="00F1459A">
              <w:rPr>
                <w:b/>
                <w:bCs/>
                <w:sz w:val="16"/>
                <w:szCs w:val="16"/>
              </w:rPr>
              <w:t>ë</w:t>
            </w:r>
            <w:r>
              <w:rPr>
                <w:b/>
                <w:bCs/>
                <w:sz w:val="16"/>
                <w:szCs w:val="16"/>
              </w:rPr>
              <w:t xml:space="preserve"> p</w:t>
            </w:r>
            <w:r w:rsidR="00F1459A">
              <w:rPr>
                <w:b/>
                <w:bCs/>
                <w:sz w:val="16"/>
                <w:szCs w:val="16"/>
              </w:rPr>
              <w:t>ë</w:t>
            </w:r>
            <w:r>
              <w:rPr>
                <w:b/>
                <w:bCs/>
                <w:sz w:val="16"/>
                <w:szCs w:val="16"/>
              </w:rPr>
              <w:t>rgjegj</w:t>
            </w:r>
            <w:r w:rsidR="00F1459A">
              <w:rPr>
                <w:b/>
                <w:bCs/>
                <w:sz w:val="16"/>
                <w:szCs w:val="16"/>
              </w:rPr>
              <w:t>ë</w:t>
            </w:r>
            <w:r>
              <w:rPr>
                <w:b/>
                <w:bCs/>
                <w:sz w:val="16"/>
                <w:szCs w:val="16"/>
              </w:rPr>
              <w:t>se</w:t>
            </w:r>
            <w:r w:rsidR="004D4B0A" w:rsidRPr="001F151E">
              <w:rPr>
                <w:b/>
                <w:bCs/>
                <w:sz w:val="16"/>
                <w:szCs w:val="16"/>
              </w:rPr>
              <w:t>:</w:t>
            </w:r>
          </w:p>
          <w:p w14:paraId="54BBBB06" w14:textId="60D914E6" w:rsidR="004D4B0A" w:rsidRPr="001F151E" w:rsidRDefault="0013409C" w:rsidP="004D4B0A">
            <w:pPr>
              <w:rPr>
                <w:sz w:val="16"/>
                <w:szCs w:val="16"/>
              </w:rPr>
            </w:pPr>
            <w:r>
              <w:rPr>
                <w:sz w:val="16"/>
                <w:szCs w:val="16"/>
              </w:rPr>
              <w:t>DPT (lider</w:t>
            </w:r>
            <w:r w:rsidR="004D4B0A" w:rsidRPr="001F151E">
              <w:rPr>
                <w:sz w:val="16"/>
                <w:szCs w:val="16"/>
              </w:rPr>
              <w:t>)</w:t>
            </w:r>
          </w:p>
          <w:p w14:paraId="4102B204" w14:textId="77777777" w:rsidR="004D4B0A" w:rsidRPr="001F151E" w:rsidRDefault="004D4B0A" w:rsidP="004D4B0A">
            <w:pPr>
              <w:rPr>
                <w:b/>
                <w:bCs/>
                <w:sz w:val="16"/>
                <w:szCs w:val="16"/>
              </w:rPr>
            </w:pPr>
          </w:p>
          <w:p w14:paraId="1F741F51" w14:textId="0B5FC8E9" w:rsidR="004D4B0A" w:rsidRPr="001F151E" w:rsidRDefault="0013409C" w:rsidP="004D4B0A">
            <w:pPr>
              <w:rPr>
                <w:b/>
                <w:bCs/>
                <w:sz w:val="16"/>
                <w:szCs w:val="16"/>
              </w:rPr>
            </w:pPr>
            <w:r>
              <w:rPr>
                <w:b/>
                <w:bCs/>
                <w:sz w:val="16"/>
                <w:szCs w:val="16"/>
              </w:rPr>
              <w:t>Partner</w:t>
            </w:r>
            <w:r w:rsidR="00F1459A">
              <w:rPr>
                <w:b/>
                <w:bCs/>
                <w:sz w:val="16"/>
                <w:szCs w:val="16"/>
              </w:rPr>
              <w:t>ë</w:t>
            </w:r>
            <w:r>
              <w:rPr>
                <w:b/>
                <w:bCs/>
                <w:sz w:val="16"/>
                <w:szCs w:val="16"/>
              </w:rPr>
              <w:t>t</w:t>
            </w:r>
            <w:r w:rsidR="004D4B0A" w:rsidRPr="001F151E">
              <w:rPr>
                <w:b/>
                <w:bCs/>
                <w:sz w:val="16"/>
                <w:szCs w:val="16"/>
              </w:rPr>
              <w:t>:</w:t>
            </w:r>
          </w:p>
          <w:p w14:paraId="44E2346D" w14:textId="5B19B101" w:rsidR="004D4B0A" w:rsidRPr="001F151E" w:rsidRDefault="0013409C" w:rsidP="004D4B0A">
            <w:pPr>
              <w:rPr>
                <w:sz w:val="16"/>
                <w:szCs w:val="16"/>
              </w:rPr>
            </w:pPr>
            <w:r>
              <w:rPr>
                <w:sz w:val="16"/>
                <w:szCs w:val="16"/>
              </w:rPr>
              <w:t>FMN</w:t>
            </w:r>
          </w:p>
        </w:tc>
      </w:tr>
      <w:tr w:rsidR="004D4B0A" w:rsidRPr="001F151E" w14:paraId="26D4FE71" w14:textId="77777777" w:rsidTr="0084664A">
        <w:trPr>
          <w:trHeight w:val="20"/>
        </w:trPr>
        <w:tc>
          <w:tcPr>
            <w:tcW w:w="1200" w:type="pct"/>
            <w:vMerge w:val="restart"/>
          </w:tcPr>
          <w:p w14:paraId="00BA9924" w14:textId="7C024210" w:rsidR="004D4B0A" w:rsidRPr="001F151E" w:rsidRDefault="004D4B0A" w:rsidP="004D4B0A">
            <w:pPr>
              <w:pStyle w:val="T-bold"/>
            </w:pPr>
            <w:r w:rsidRPr="001F151E">
              <w:t>M</w:t>
            </w:r>
            <w:r w:rsidR="00A716B2">
              <w:t>asa</w:t>
            </w:r>
            <w:r w:rsidRPr="001F151E">
              <w:t xml:space="preserve"> 3.1.5</w:t>
            </w:r>
          </w:p>
          <w:p w14:paraId="4E51CD5F" w14:textId="05DC2AB8" w:rsidR="004D4B0A" w:rsidRPr="001F151E" w:rsidRDefault="001F2BA8" w:rsidP="004D4B0A">
            <w:pPr>
              <w:pStyle w:val="T-bold"/>
            </w:pPr>
            <w:r>
              <w:t>P</w:t>
            </w:r>
            <w:r w:rsidR="00F1459A">
              <w:t>ë</w:t>
            </w:r>
            <w:r>
              <w:t>rmir</w:t>
            </w:r>
            <w:r w:rsidR="00F1459A">
              <w:t>ë</w:t>
            </w:r>
            <w:r>
              <w:t>simi i ofrimit t</w:t>
            </w:r>
            <w:r w:rsidR="00F1459A">
              <w:t>ë</w:t>
            </w:r>
            <w:r>
              <w:t xml:space="preserve"> sh</w:t>
            </w:r>
            <w:r w:rsidR="00F1459A">
              <w:t>ë</w:t>
            </w:r>
            <w:r>
              <w:t>rbimeve p</w:t>
            </w:r>
            <w:r w:rsidR="00F1459A">
              <w:t>ë</w:t>
            </w:r>
            <w:r>
              <w:t>r taksapaguesit</w:t>
            </w:r>
          </w:p>
          <w:p w14:paraId="3340A53B" w14:textId="77777777" w:rsidR="004D4B0A" w:rsidRPr="001F151E" w:rsidRDefault="004D4B0A" w:rsidP="004D4B0A">
            <w:pPr>
              <w:pStyle w:val="T-bold"/>
            </w:pPr>
          </w:p>
        </w:tc>
        <w:tc>
          <w:tcPr>
            <w:tcW w:w="2000" w:type="pct"/>
            <w:vAlign w:val="center"/>
          </w:tcPr>
          <w:p w14:paraId="520F9B9A" w14:textId="2455EB92" w:rsidR="004D4B0A" w:rsidRPr="001F151E" w:rsidRDefault="001F2BA8" w:rsidP="00CD7428">
            <w:pPr>
              <w:pStyle w:val="T-number"/>
              <w:numPr>
                <w:ilvl w:val="0"/>
                <w:numId w:val="46"/>
              </w:numPr>
            </w:pPr>
            <w:r>
              <w:t xml:space="preserve">Hartimi </w:t>
            </w:r>
            <w:r>
              <w:rPr>
                <w:rStyle w:val="rynqvb"/>
                <w:lang w:val="sq-AL"/>
              </w:rPr>
              <w:t>dhe zbatimi i një strategjie të ofrimit të shërbimit të tatimpaguesve që synon përmirësimin e produkteve tatimore</w:t>
            </w:r>
          </w:p>
        </w:tc>
        <w:tc>
          <w:tcPr>
            <w:tcW w:w="450" w:type="pct"/>
            <w:shd w:val="clear" w:color="auto" w:fill="auto"/>
            <w:vAlign w:val="center"/>
          </w:tcPr>
          <w:p w14:paraId="3BD1549D" w14:textId="24628F56" w:rsidR="004D4B0A" w:rsidRPr="001F151E" w:rsidRDefault="00A716B2" w:rsidP="004D4B0A">
            <w:pPr>
              <w:jc w:val="center"/>
              <w:rPr>
                <w:sz w:val="16"/>
                <w:szCs w:val="16"/>
              </w:rPr>
            </w:pPr>
            <w:r>
              <w:rPr>
                <w:sz w:val="16"/>
                <w:szCs w:val="16"/>
              </w:rPr>
              <w:t>T</w:t>
            </w:r>
            <w:r w:rsidR="004D4B0A" w:rsidRPr="001F151E">
              <w:rPr>
                <w:sz w:val="16"/>
                <w:szCs w:val="16"/>
              </w:rPr>
              <w:t>12023</w:t>
            </w:r>
          </w:p>
        </w:tc>
        <w:tc>
          <w:tcPr>
            <w:tcW w:w="450" w:type="pct"/>
            <w:shd w:val="clear" w:color="auto" w:fill="auto"/>
            <w:vAlign w:val="center"/>
          </w:tcPr>
          <w:p w14:paraId="68A7D390" w14:textId="47A432E2" w:rsidR="004D4B0A" w:rsidRPr="001F151E" w:rsidRDefault="00A716B2" w:rsidP="004D4B0A">
            <w:pPr>
              <w:jc w:val="center"/>
              <w:rPr>
                <w:sz w:val="16"/>
                <w:szCs w:val="16"/>
              </w:rPr>
            </w:pPr>
            <w:r>
              <w:rPr>
                <w:sz w:val="16"/>
                <w:szCs w:val="16"/>
              </w:rPr>
              <w:t>T</w:t>
            </w:r>
            <w:r w:rsidR="004D4B0A" w:rsidRPr="001F151E">
              <w:rPr>
                <w:sz w:val="16"/>
                <w:szCs w:val="16"/>
              </w:rPr>
              <w:t>4 2026</w:t>
            </w:r>
          </w:p>
        </w:tc>
        <w:tc>
          <w:tcPr>
            <w:tcW w:w="900" w:type="pct"/>
            <w:vMerge w:val="restart"/>
          </w:tcPr>
          <w:p w14:paraId="096C34ED" w14:textId="0739D8FB" w:rsidR="004D4B0A" w:rsidRPr="001F151E" w:rsidRDefault="0013409C" w:rsidP="004D4B0A">
            <w:pPr>
              <w:rPr>
                <w:b/>
                <w:bCs/>
                <w:sz w:val="16"/>
                <w:szCs w:val="16"/>
              </w:rPr>
            </w:pPr>
            <w:r>
              <w:rPr>
                <w:b/>
                <w:bCs/>
                <w:sz w:val="16"/>
                <w:szCs w:val="16"/>
              </w:rPr>
              <w:t>Nj</w:t>
            </w:r>
            <w:r w:rsidR="00F1459A">
              <w:rPr>
                <w:b/>
                <w:bCs/>
                <w:sz w:val="16"/>
                <w:szCs w:val="16"/>
              </w:rPr>
              <w:t>ë</w:t>
            </w:r>
            <w:r>
              <w:rPr>
                <w:b/>
                <w:bCs/>
                <w:sz w:val="16"/>
                <w:szCs w:val="16"/>
              </w:rPr>
              <w:t>sit</w:t>
            </w:r>
            <w:r w:rsidR="00F1459A">
              <w:rPr>
                <w:b/>
                <w:bCs/>
                <w:sz w:val="16"/>
                <w:szCs w:val="16"/>
              </w:rPr>
              <w:t>ë</w:t>
            </w:r>
            <w:r>
              <w:rPr>
                <w:b/>
                <w:bCs/>
                <w:sz w:val="16"/>
                <w:szCs w:val="16"/>
              </w:rPr>
              <w:t xml:space="preserve"> p</w:t>
            </w:r>
            <w:r w:rsidR="00F1459A">
              <w:rPr>
                <w:b/>
                <w:bCs/>
                <w:sz w:val="16"/>
                <w:szCs w:val="16"/>
              </w:rPr>
              <w:t>ë</w:t>
            </w:r>
            <w:r>
              <w:rPr>
                <w:b/>
                <w:bCs/>
                <w:sz w:val="16"/>
                <w:szCs w:val="16"/>
              </w:rPr>
              <w:t>rgjegj</w:t>
            </w:r>
            <w:r w:rsidR="00F1459A">
              <w:rPr>
                <w:b/>
                <w:bCs/>
                <w:sz w:val="16"/>
                <w:szCs w:val="16"/>
              </w:rPr>
              <w:t>ë</w:t>
            </w:r>
            <w:r>
              <w:rPr>
                <w:b/>
                <w:bCs/>
                <w:sz w:val="16"/>
                <w:szCs w:val="16"/>
              </w:rPr>
              <w:t>se</w:t>
            </w:r>
            <w:r w:rsidR="004D4B0A" w:rsidRPr="001F151E">
              <w:rPr>
                <w:b/>
                <w:bCs/>
                <w:sz w:val="16"/>
                <w:szCs w:val="16"/>
              </w:rPr>
              <w:t>:</w:t>
            </w:r>
          </w:p>
          <w:p w14:paraId="17371402" w14:textId="3CE5AF17" w:rsidR="004D4B0A" w:rsidRPr="001F151E" w:rsidRDefault="00A716B2" w:rsidP="004D4B0A">
            <w:pPr>
              <w:rPr>
                <w:sz w:val="16"/>
                <w:szCs w:val="16"/>
              </w:rPr>
            </w:pPr>
            <w:r>
              <w:rPr>
                <w:sz w:val="16"/>
                <w:szCs w:val="16"/>
              </w:rPr>
              <w:t>DPT (lider</w:t>
            </w:r>
            <w:r w:rsidR="004D4B0A" w:rsidRPr="001F151E">
              <w:rPr>
                <w:sz w:val="16"/>
                <w:szCs w:val="16"/>
              </w:rPr>
              <w:t>)</w:t>
            </w:r>
          </w:p>
          <w:p w14:paraId="37075523" w14:textId="77777777" w:rsidR="004D4B0A" w:rsidRPr="001F151E" w:rsidRDefault="004D4B0A" w:rsidP="004D4B0A">
            <w:pPr>
              <w:rPr>
                <w:b/>
                <w:bCs/>
                <w:sz w:val="16"/>
                <w:szCs w:val="16"/>
              </w:rPr>
            </w:pPr>
          </w:p>
          <w:p w14:paraId="2F59F356" w14:textId="001E0B51" w:rsidR="004D4B0A" w:rsidRPr="001F151E" w:rsidRDefault="00A716B2" w:rsidP="004D4B0A">
            <w:pPr>
              <w:rPr>
                <w:b/>
                <w:bCs/>
                <w:sz w:val="16"/>
                <w:szCs w:val="16"/>
              </w:rPr>
            </w:pPr>
            <w:r>
              <w:rPr>
                <w:b/>
                <w:bCs/>
                <w:sz w:val="16"/>
                <w:szCs w:val="16"/>
              </w:rPr>
              <w:t>Partner</w:t>
            </w:r>
            <w:r w:rsidR="00F1459A">
              <w:rPr>
                <w:b/>
                <w:bCs/>
                <w:sz w:val="16"/>
                <w:szCs w:val="16"/>
              </w:rPr>
              <w:t>ë</w:t>
            </w:r>
            <w:r>
              <w:rPr>
                <w:b/>
                <w:bCs/>
                <w:sz w:val="16"/>
                <w:szCs w:val="16"/>
              </w:rPr>
              <w:t>t</w:t>
            </w:r>
            <w:r w:rsidR="004D4B0A" w:rsidRPr="001F151E">
              <w:rPr>
                <w:b/>
                <w:bCs/>
                <w:sz w:val="16"/>
                <w:szCs w:val="16"/>
              </w:rPr>
              <w:t>:</w:t>
            </w:r>
          </w:p>
          <w:p w14:paraId="28D8F8FE" w14:textId="09C36C6E" w:rsidR="004D4B0A" w:rsidRPr="001F151E" w:rsidRDefault="00A716B2" w:rsidP="004D4B0A">
            <w:pPr>
              <w:pStyle w:val="T-Bullet"/>
              <w:numPr>
                <w:ilvl w:val="0"/>
                <w:numId w:val="0"/>
              </w:numPr>
              <w:ind w:left="360" w:hanging="360"/>
            </w:pPr>
            <w:r>
              <w:t>FMN</w:t>
            </w:r>
          </w:p>
        </w:tc>
      </w:tr>
      <w:tr w:rsidR="004D4B0A" w:rsidRPr="001F151E" w14:paraId="2E75C540" w14:textId="77777777" w:rsidTr="0084664A">
        <w:trPr>
          <w:trHeight w:val="20"/>
        </w:trPr>
        <w:tc>
          <w:tcPr>
            <w:tcW w:w="1200" w:type="pct"/>
            <w:vMerge/>
          </w:tcPr>
          <w:p w14:paraId="54320A8B" w14:textId="77777777" w:rsidR="004D4B0A" w:rsidRPr="001F151E" w:rsidRDefault="004D4B0A" w:rsidP="004D4B0A">
            <w:pPr>
              <w:pStyle w:val="T-bold"/>
            </w:pPr>
          </w:p>
        </w:tc>
        <w:tc>
          <w:tcPr>
            <w:tcW w:w="2000" w:type="pct"/>
            <w:vAlign w:val="center"/>
          </w:tcPr>
          <w:p w14:paraId="1ECB5A01" w14:textId="789AF336" w:rsidR="004D4B0A" w:rsidRPr="001F151E" w:rsidRDefault="001F2BA8" w:rsidP="004D4B0A">
            <w:pPr>
              <w:pStyle w:val="T-number"/>
            </w:pPr>
            <w:r>
              <w:t>P</w:t>
            </w:r>
            <w:r w:rsidR="00F1459A">
              <w:t>ë</w:t>
            </w:r>
            <w:r>
              <w:t>rmir</w:t>
            </w:r>
            <w:r w:rsidR="00F1459A">
              <w:t>ë</w:t>
            </w:r>
            <w:r>
              <w:t xml:space="preserve">simi i efikasitetit </w:t>
            </w:r>
            <w:r>
              <w:rPr>
                <w:rStyle w:val="rynqvb"/>
                <w:lang w:val="sq-AL"/>
              </w:rPr>
              <w:t>të qendrës kombëtare të thirrjeve me një proces të strukturuar përshkallëzimi për t'u marrë me pyetjet e kompleksiteteve të ndryshme</w:t>
            </w:r>
          </w:p>
        </w:tc>
        <w:tc>
          <w:tcPr>
            <w:tcW w:w="450" w:type="pct"/>
            <w:shd w:val="clear" w:color="auto" w:fill="auto"/>
            <w:vAlign w:val="center"/>
          </w:tcPr>
          <w:p w14:paraId="7A48943A" w14:textId="32425F8D" w:rsidR="004D4B0A" w:rsidRPr="001F151E" w:rsidRDefault="00A716B2" w:rsidP="004D4B0A">
            <w:pPr>
              <w:jc w:val="center"/>
              <w:rPr>
                <w:sz w:val="16"/>
                <w:szCs w:val="16"/>
              </w:rPr>
            </w:pPr>
            <w:r>
              <w:rPr>
                <w:sz w:val="16"/>
                <w:szCs w:val="16"/>
              </w:rPr>
              <w:t>T</w:t>
            </w:r>
            <w:r w:rsidR="004D4B0A" w:rsidRPr="001F151E">
              <w:rPr>
                <w:sz w:val="16"/>
                <w:szCs w:val="16"/>
              </w:rPr>
              <w:t>12023</w:t>
            </w:r>
          </w:p>
        </w:tc>
        <w:tc>
          <w:tcPr>
            <w:tcW w:w="450" w:type="pct"/>
            <w:shd w:val="clear" w:color="auto" w:fill="auto"/>
            <w:vAlign w:val="center"/>
          </w:tcPr>
          <w:p w14:paraId="4D6B7A4B" w14:textId="55CFACAE" w:rsidR="004D4B0A" w:rsidRPr="001F151E" w:rsidRDefault="00A716B2" w:rsidP="004D4B0A">
            <w:pPr>
              <w:jc w:val="center"/>
              <w:rPr>
                <w:sz w:val="16"/>
                <w:szCs w:val="16"/>
              </w:rPr>
            </w:pPr>
            <w:r>
              <w:rPr>
                <w:sz w:val="16"/>
                <w:szCs w:val="16"/>
              </w:rPr>
              <w:t>T</w:t>
            </w:r>
            <w:r w:rsidR="004D4B0A" w:rsidRPr="001F151E">
              <w:rPr>
                <w:sz w:val="16"/>
                <w:szCs w:val="16"/>
              </w:rPr>
              <w:t>4 2026</w:t>
            </w:r>
          </w:p>
        </w:tc>
        <w:tc>
          <w:tcPr>
            <w:tcW w:w="900" w:type="pct"/>
            <w:vMerge/>
          </w:tcPr>
          <w:p w14:paraId="2F3F6797" w14:textId="77777777" w:rsidR="004D4B0A" w:rsidRPr="001F151E" w:rsidRDefault="004D4B0A" w:rsidP="004D4B0A">
            <w:pPr>
              <w:rPr>
                <w:sz w:val="16"/>
                <w:szCs w:val="16"/>
              </w:rPr>
            </w:pPr>
          </w:p>
        </w:tc>
      </w:tr>
      <w:tr w:rsidR="004D4B0A" w:rsidRPr="001F151E" w14:paraId="2D06531A" w14:textId="77777777" w:rsidTr="0084664A">
        <w:trPr>
          <w:trHeight w:val="20"/>
        </w:trPr>
        <w:tc>
          <w:tcPr>
            <w:tcW w:w="1200" w:type="pct"/>
            <w:vMerge/>
            <w:tcBorders>
              <w:bottom w:val="single" w:sz="4" w:space="0" w:color="auto"/>
            </w:tcBorders>
          </w:tcPr>
          <w:p w14:paraId="4D874B16" w14:textId="77777777" w:rsidR="004D4B0A" w:rsidRPr="001F151E" w:rsidRDefault="004D4B0A" w:rsidP="004D4B0A">
            <w:pPr>
              <w:pStyle w:val="T-bold"/>
            </w:pPr>
          </w:p>
        </w:tc>
        <w:tc>
          <w:tcPr>
            <w:tcW w:w="2000" w:type="pct"/>
            <w:tcBorders>
              <w:bottom w:val="single" w:sz="4" w:space="0" w:color="auto"/>
            </w:tcBorders>
            <w:vAlign w:val="center"/>
          </w:tcPr>
          <w:p w14:paraId="5A585B64" w14:textId="02931F9D" w:rsidR="004D4B0A" w:rsidRPr="001F151E" w:rsidRDefault="00957AD6" w:rsidP="004D4B0A">
            <w:pPr>
              <w:pStyle w:val="T-number"/>
            </w:pPr>
            <w:r>
              <w:t>Zhvillimi dhe zbatimi I programeve t</w:t>
            </w:r>
            <w:r w:rsidR="00F1459A">
              <w:t>ë</w:t>
            </w:r>
            <w:r>
              <w:t xml:space="preserve"> zhvillimit t</w:t>
            </w:r>
            <w:r w:rsidR="00F1459A">
              <w:t>ë</w:t>
            </w:r>
            <w:r>
              <w:t xml:space="preserve"> kapaciteteve p</w:t>
            </w:r>
            <w:r w:rsidR="00F1459A">
              <w:t>ë</w:t>
            </w:r>
            <w:r>
              <w:t>r stafin e DPT-s</w:t>
            </w:r>
            <w:r w:rsidR="00F1459A">
              <w:t>ë</w:t>
            </w:r>
            <w:r>
              <w:t xml:space="preserve"> (nga academia tatimore, universitetet dhe partner</w:t>
            </w:r>
            <w:r w:rsidR="00F1459A">
              <w:t>ë</w:t>
            </w:r>
            <w:r>
              <w:t xml:space="preserve"> t</w:t>
            </w:r>
            <w:r w:rsidR="00F1459A">
              <w:t>ë</w:t>
            </w:r>
            <w:r>
              <w:t xml:space="preserve"> tjer</w:t>
            </w:r>
            <w:r w:rsidR="00F1459A">
              <w:t>ë</w:t>
            </w:r>
            <w:r>
              <w:t xml:space="preserve">) </w:t>
            </w:r>
          </w:p>
        </w:tc>
        <w:tc>
          <w:tcPr>
            <w:tcW w:w="450" w:type="pct"/>
            <w:tcBorders>
              <w:bottom w:val="single" w:sz="4" w:space="0" w:color="auto"/>
            </w:tcBorders>
            <w:shd w:val="clear" w:color="auto" w:fill="auto"/>
            <w:vAlign w:val="center"/>
          </w:tcPr>
          <w:p w14:paraId="0AB6E159" w14:textId="4584C83B" w:rsidR="004D4B0A" w:rsidRPr="001F151E" w:rsidRDefault="00A716B2" w:rsidP="004D4B0A">
            <w:pPr>
              <w:jc w:val="center"/>
              <w:rPr>
                <w:sz w:val="16"/>
                <w:szCs w:val="16"/>
              </w:rPr>
            </w:pPr>
            <w:r>
              <w:rPr>
                <w:sz w:val="16"/>
                <w:szCs w:val="16"/>
              </w:rPr>
              <w:t>T</w:t>
            </w:r>
            <w:r w:rsidR="004D4B0A" w:rsidRPr="001F151E">
              <w:rPr>
                <w:sz w:val="16"/>
                <w:szCs w:val="16"/>
              </w:rPr>
              <w:t>1 2023</w:t>
            </w:r>
          </w:p>
        </w:tc>
        <w:tc>
          <w:tcPr>
            <w:tcW w:w="450" w:type="pct"/>
            <w:tcBorders>
              <w:bottom w:val="single" w:sz="4" w:space="0" w:color="auto"/>
            </w:tcBorders>
            <w:shd w:val="clear" w:color="auto" w:fill="auto"/>
            <w:vAlign w:val="center"/>
          </w:tcPr>
          <w:p w14:paraId="24EFDAE4" w14:textId="7F4742AD" w:rsidR="004D4B0A" w:rsidRPr="001F151E" w:rsidRDefault="00A716B2" w:rsidP="004D4B0A">
            <w:pPr>
              <w:jc w:val="center"/>
              <w:rPr>
                <w:sz w:val="16"/>
                <w:szCs w:val="16"/>
              </w:rPr>
            </w:pPr>
            <w:r>
              <w:rPr>
                <w:sz w:val="16"/>
                <w:szCs w:val="16"/>
              </w:rPr>
              <w:t>T</w:t>
            </w:r>
            <w:r w:rsidR="004D4B0A" w:rsidRPr="001F151E">
              <w:rPr>
                <w:sz w:val="16"/>
                <w:szCs w:val="16"/>
              </w:rPr>
              <w:t>4 2026</w:t>
            </w:r>
          </w:p>
        </w:tc>
        <w:tc>
          <w:tcPr>
            <w:tcW w:w="900" w:type="pct"/>
            <w:vMerge/>
            <w:tcBorders>
              <w:bottom w:val="single" w:sz="4" w:space="0" w:color="auto"/>
            </w:tcBorders>
          </w:tcPr>
          <w:p w14:paraId="20AD2237" w14:textId="77777777" w:rsidR="004D4B0A" w:rsidRPr="001F151E" w:rsidRDefault="004D4B0A" w:rsidP="004D4B0A">
            <w:pPr>
              <w:rPr>
                <w:sz w:val="16"/>
                <w:szCs w:val="16"/>
              </w:rPr>
            </w:pPr>
          </w:p>
        </w:tc>
      </w:tr>
    </w:tbl>
    <w:p w14:paraId="66AECBFC" w14:textId="77777777" w:rsidR="00481BA4" w:rsidRPr="001F151E" w:rsidRDefault="00481BA4" w:rsidP="00481BA4">
      <w:pPr>
        <w:rPr>
          <w:lang w:val="en-GB"/>
        </w:rPr>
      </w:pPr>
    </w:p>
    <w:p w14:paraId="737A13F8" w14:textId="1F2E55E1" w:rsidR="0021242B" w:rsidRDefault="0021242B">
      <w:pPr>
        <w:spacing w:after="160" w:line="259" w:lineRule="auto"/>
        <w:rPr>
          <w:rStyle w:val="IntenseReference"/>
          <w:b/>
          <w:bCs/>
          <w:i w:val="0"/>
          <w:lang w:val="en-GB"/>
        </w:rPr>
      </w:pPr>
    </w:p>
    <w:p w14:paraId="6DC77F7B" w14:textId="77777777" w:rsidR="00EA6F1D" w:rsidRDefault="00EA6F1D">
      <w:pPr>
        <w:spacing w:after="160" w:line="259" w:lineRule="auto"/>
        <w:rPr>
          <w:rStyle w:val="IntenseReference"/>
          <w:b/>
          <w:bCs/>
          <w:i w:val="0"/>
          <w:lang w:val="en-GB"/>
        </w:rPr>
      </w:pPr>
    </w:p>
    <w:p w14:paraId="5A7A66B1" w14:textId="1CE71548" w:rsidR="0064345E" w:rsidRPr="009D660E" w:rsidRDefault="00A716B2" w:rsidP="0064345E">
      <w:pPr>
        <w:pStyle w:val="H5"/>
        <w:rPr>
          <w:rStyle w:val="IntenseReference"/>
          <w:i w:val="0"/>
          <w:lang w:val="it-IT"/>
        </w:rPr>
      </w:pPr>
      <w:r w:rsidRPr="009D660E">
        <w:rPr>
          <w:rStyle w:val="IntenseReference"/>
          <w:i w:val="0"/>
          <w:lang w:val="it-IT"/>
        </w:rPr>
        <w:t>Treguesit e performanc</w:t>
      </w:r>
      <w:r w:rsidR="00F1459A" w:rsidRPr="009D660E">
        <w:rPr>
          <w:rStyle w:val="IntenseReference"/>
          <w:i w:val="0"/>
          <w:lang w:val="it-IT"/>
        </w:rPr>
        <w:t>ë</w:t>
      </w:r>
      <w:r w:rsidRPr="009D660E">
        <w:rPr>
          <w:rStyle w:val="IntenseReference"/>
          <w:i w:val="0"/>
          <w:lang w:val="it-IT"/>
        </w:rPr>
        <w:t>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64345E" w:rsidRPr="001F151E" w14:paraId="2D515509" w14:textId="77777777" w:rsidTr="002B7FF8">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C28CB6" w14:textId="192F0EF5" w:rsidR="0064345E" w:rsidRPr="001F151E" w:rsidRDefault="00A716B2" w:rsidP="002B7FF8">
            <w:pPr>
              <w:pStyle w:val="T-bold"/>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CF7FC" w14:textId="6AB26A67" w:rsidR="0064345E" w:rsidRPr="001F151E" w:rsidRDefault="00A716B2" w:rsidP="002B7FF8">
            <w:pPr>
              <w:pStyle w:val="T-bold"/>
              <w:jc w:val="center"/>
            </w:pPr>
            <w:r>
              <w:t>Vlera baz</w:t>
            </w:r>
            <w:r w:rsidR="00F1459A">
              <w:t>ë</w:t>
            </w:r>
            <w:r>
              <w:t xml:space="preserve"> (viti</w:t>
            </w:r>
            <w:r w:rsidR="0064345E"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25E87" w14:textId="1A0AA96B" w:rsidR="0064345E" w:rsidRPr="001F151E" w:rsidRDefault="00A716B2" w:rsidP="002B7FF8">
            <w:pPr>
              <w:pStyle w:val="T-bold"/>
              <w:jc w:val="center"/>
            </w:pPr>
            <w:r>
              <w:t>Vlera e synuar</w:t>
            </w:r>
          </w:p>
        </w:tc>
      </w:tr>
      <w:tr w:rsidR="0064345E" w:rsidRPr="001F151E" w14:paraId="1A247E1C" w14:textId="77777777" w:rsidTr="002B7FF8">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437F4A4" w14:textId="77777777" w:rsidR="0064345E" w:rsidRPr="001F151E" w:rsidRDefault="0064345E" w:rsidP="002B7FF8">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1B0FE2A" w14:textId="77777777" w:rsidR="0064345E" w:rsidRPr="001F151E" w:rsidRDefault="0064345E" w:rsidP="002B7FF8">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348C7" w14:textId="77777777" w:rsidR="0064345E" w:rsidRPr="001F151E" w:rsidRDefault="0064345E" w:rsidP="002B7FF8">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BEAFC" w14:textId="77777777" w:rsidR="0064345E" w:rsidRPr="001F151E" w:rsidRDefault="0064345E" w:rsidP="002B7FF8">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D2A695" w14:textId="77777777" w:rsidR="0064345E" w:rsidRPr="001F151E" w:rsidRDefault="0064345E" w:rsidP="002B7FF8">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4D5E39" w14:textId="77777777" w:rsidR="0064345E" w:rsidRPr="001F151E" w:rsidRDefault="0064345E" w:rsidP="002B7FF8">
            <w:pPr>
              <w:pStyle w:val="T-bold"/>
              <w:jc w:val="center"/>
            </w:pPr>
            <w:r w:rsidRPr="001F151E">
              <w:t>2026</w:t>
            </w:r>
          </w:p>
        </w:tc>
      </w:tr>
      <w:tr w:rsidR="0064345E" w:rsidRPr="001F151E" w14:paraId="0747EF3D" w14:textId="77777777" w:rsidTr="002B7FF8">
        <w:tc>
          <w:tcPr>
            <w:tcW w:w="3114" w:type="dxa"/>
            <w:tcBorders>
              <w:top w:val="single" w:sz="4" w:space="0" w:color="auto"/>
              <w:left w:val="single" w:sz="4" w:space="0" w:color="auto"/>
              <w:bottom w:val="single" w:sz="4" w:space="0" w:color="auto"/>
              <w:right w:val="single" w:sz="4" w:space="0" w:color="auto"/>
            </w:tcBorders>
          </w:tcPr>
          <w:p w14:paraId="0893A01C" w14:textId="335BE6B5" w:rsidR="0064345E" w:rsidRPr="009D660E" w:rsidRDefault="00957AD6" w:rsidP="00CD7428">
            <w:pPr>
              <w:pStyle w:val="ListParagraph"/>
              <w:numPr>
                <w:ilvl w:val="0"/>
                <w:numId w:val="71"/>
              </w:numPr>
              <w:rPr>
                <w:sz w:val="16"/>
                <w:szCs w:val="16"/>
                <w:lang w:val="it-IT"/>
              </w:rPr>
            </w:pPr>
            <w:r w:rsidRPr="009D660E">
              <w:rPr>
                <w:sz w:val="16"/>
                <w:szCs w:val="16"/>
                <w:lang w:val="it-IT"/>
              </w:rPr>
              <w:t>Rritja e t</w:t>
            </w:r>
            <w:r w:rsidR="00F1459A" w:rsidRPr="009D660E">
              <w:rPr>
                <w:sz w:val="16"/>
                <w:szCs w:val="16"/>
                <w:lang w:val="it-IT"/>
              </w:rPr>
              <w:t>ë</w:t>
            </w:r>
            <w:r w:rsidRPr="009D660E">
              <w:rPr>
                <w:sz w:val="16"/>
                <w:szCs w:val="16"/>
                <w:lang w:val="it-IT"/>
              </w:rPr>
              <w:t xml:space="preserve"> hyrave nga TVSH-ja</w:t>
            </w:r>
            <w:r w:rsidR="00B2055E" w:rsidRPr="009D660E">
              <w:rPr>
                <w:sz w:val="16"/>
                <w:szCs w:val="16"/>
                <w:lang w:val="it-IT"/>
              </w:rPr>
              <w:t xml:space="preserve"> (</w:t>
            </w:r>
            <w:r w:rsidRPr="009D660E">
              <w:rPr>
                <w:sz w:val="16"/>
                <w:szCs w:val="16"/>
                <w:lang w:val="it-IT"/>
              </w:rPr>
              <w:t>e matur n</w:t>
            </w:r>
            <w:r w:rsidR="00F1459A" w:rsidRPr="009D660E">
              <w:rPr>
                <w:sz w:val="16"/>
                <w:szCs w:val="16"/>
                <w:lang w:val="it-IT"/>
              </w:rPr>
              <w:t>ë</w:t>
            </w:r>
            <w:r w:rsidRPr="009D660E">
              <w:rPr>
                <w:sz w:val="16"/>
                <w:szCs w:val="16"/>
                <w:lang w:val="it-IT"/>
              </w:rPr>
              <w:t xml:space="preserve"> baz</w:t>
            </w:r>
            <w:r w:rsidR="00F1459A" w:rsidRPr="009D660E">
              <w:rPr>
                <w:sz w:val="16"/>
                <w:szCs w:val="16"/>
                <w:lang w:val="it-IT"/>
              </w:rPr>
              <w:t>ë</w:t>
            </w:r>
            <w:r w:rsidRPr="009D660E">
              <w:rPr>
                <w:sz w:val="16"/>
                <w:szCs w:val="16"/>
                <w:lang w:val="it-IT"/>
              </w:rPr>
              <w:t xml:space="preserve"> kumulative</w:t>
            </w:r>
            <w:r w:rsidR="00B2055E" w:rsidRPr="009D660E">
              <w:rPr>
                <w:sz w:val="16"/>
                <w:szCs w:val="16"/>
                <w:lang w:val="it-IT"/>
              </w:rPr>
              <w:t>)</w:t>
            </w:r>
          </w:p>
        </w:tc>
        <w:tc>
          <w:tcPr>
            <w:tcW w:w="1180" w:type="dxa"/>
            <w:tcBorders>
              <w:top w:val="single" w:sz="4" w:space="0" w:color="auto"/>
              <w:left w:val="single" w:sz="4" w:space="0" w:color="auto"/>
              <w:bottom w:val="single" w:sz="4" w:space="0" w:color="auto"/>
              <w:right w:val="single" w:sz="4" w:space="0" w:color="auto"/>
            </w:tcBorders>
            <w:vAlign w:val="center"/>
          </w:tcPr>
          <w:p w14:paraId="22721815" w14:textId="71114DFD" w:rsidR="0064345E" w:rsidRPr="001F151E" w:rsidRDefault="00AD50A8" w:rsidP="0064345E">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0E12A32A" w14:textId="7CB3EE5A" w:rsidR="0064345E" w:rsidRPr="001F151E" w:rsidRDefault="00203791" w:rsidP="0064345E">
            <w:pPr>
              <w:pStyle w:val="T-normal"/>
              <w:jc w:val="center"/>
            </w:pPr>
            <w:r>
              <w:t>-</w:t>
            </w:r>
          </w:p>
        </w:tc>
        <w:tc>
          <w:tcPr>
            <w:tcW w:w="1180" w:type="dxa"/>
            <w:tcBorders>
              <w:top w:val="single" w:sz="4" w:space="0" w:color="auto"/>
              <w:left w:val="single" w:sz="4" w:space="0" w:color="auto"/>
              <w:bottom w:val="single" w:sz="4" w:space="0" w:color="auto"/>
              <w:right w:val="single" w:sz="4" w:space="0" w:color="auto"/>
            </w:tcBorders>
            <w:vAlign w:val="center"/>
          </w:tcPr>
          <w:p w14:paraId="26D6185A" w14:textId="7F54421D" w:rsidR="0064345E" w:rsidRPr="001F151E" w:rsidRDefault="00203791" w:rsidP="0064345E">
            <w:pPr>
              <w:pStyle w:val="T-normal"/>
              <w:jc w:val="center"/>
            </w:pPr>
            <w:r>
              <w:t>+</w:t>
            </w:r>
            <w:r w:rsidR="0064345E" w:rsidRPr="001F151E">
              <w:t>0.3</w:t>
            </w:r>
            <w:r>
              <w:t>6</w:t>
            </w:r>
            <w:r w:rsidR="0064345E" w:rsidRPr="001F151E">
              <w:t xml:space="preserve">% </w:t>
            </w:r>
          </w:p>
          <w:p w14:paraId="7C0A4B4F" w14:textId="0F12E9A1" w:rsidR="0064345E" w:rsidRPr="001F151E" w:rsidRDefault="00A716B2" w:rsidP="0064345E">
            <w:pPr>
              <w:pStyle w:val="T-normal"/>
              <w:jc w:val="center"/>
            </w:pPr>
            <w:r>
              <w:t>e PBB-s</w:t>
            </w:r>
            <w:r w:rsidR="00F1459A">
              <w:t>ë</w:t>
            </w:r>
          </w:p>
        </w:tc>
        <w:tc>
          <w:tcPr>
            <w:tcW w:w="1181" w:type="dxa"/>
            <w:tcBorders>
              <w:top w:val="single" w:sz="4" w:space="0" w:color="auto"/>
              <w:left w:val="single" w:sz="4" w:space="0" w:color="auto"/>
              <w:bottom w:val="single" w:sz="4" w:space="0" w:color="auto"/>
              <w:right w:val="single" w:sz="4" w:space="0" w:color="auto"/>
            </w:tcBorders>
            <w:vAlign w:val="center"/>
          </w:tcPr>
          <w:p w14:paraId="1E5DCE8C" w14:textId="580A13BA" w:rsidR="0064345E" w:rsidRPr="001F151E" w:rsidRDefault="00203791" w:rsidP="0064345E">
            <w:pPr>
              <w:pStyle w:val="T-normal"/>
              <w:jc w:val="center"/>
            </w:pPr>
            <w:r>
              <w:t>+0,45</w:t>
            </w:r>
            <w:r w:rsidR="0064345E" w:rsidRPr="001F151E">
              <w:t xml:space="preserve">% </w:t>
            </w:r>
          </w:p>
          <w:p w14:paraId="15FFAA26" w14:textId="1021A028" w:rsidR="0064345E" w:rsidRPr="001F151E" w:rsidRDefault="00A716B2" w:rsidP="0064345E">
            <w:pPr>
              <w:pStyle w:val="T-normal"/>
              <w:jc w:val="center"/>
            </w:pPr>
            <w:r>
              <w:t>e PBB-s</w:t>
            </w:r>
            <w:r w:rsidR="00F1459A">
              <w:t>ë</w:t>
            </w:r>
          </w:p>
        </w:tc>
        <w:tc>
          <w:tcPr>
            <w:tcW w:w="1181" w:type="dxa"/>
            <w:tcBorders>
              <w:top w:val="single" w:sz="4" w:space="0" w:color="auto"/>
              <w:left w:val="single" w:sz="4" w:space="0" w:color="auto"/>
              <w:bottom w:val="single" w:sz="4" w:space="0" w:color="auto"/>
              <w:right w:val="single" w:sz="4" w:space="0" w:color="auto"/>
            </w:tcBorders>
            <w:vAlign w:val="center"/>
          </w:tcPr>
          <w:p w14:paraId="3C68096E" w14:textId="62E55F3C" w:rsidR="0064345E" w:rsidRPr="001F151E" w:rsidRDefault="00203791" w:rsidP="0064345E">
            <w:pPr>
              <w:pStyle w:val="T-normal"/>
              <w:jc w:val="center"/>
            </w:pPr>
            <w:r>
              <w:t>+</w:t>
            </w:r>
            <w:r w:rsidR="0064345E" w:rsidRPr="001F151E">
              <w:t>0.</w:t>
            </w:r>
            <w:r>
              <w:t>47</w:t>
            </w:r>
            <w:r w:rsidR="0064345E" w:rsidRPr="001F151E">
              <w:t xml:space="preserve">% </w:t>
            </w:r>
          </w:p>
          <w:p w14:paraId="0C2F226A" w14:textId="18092307" w:rsidR="0064345E" w:rsidRPr="001F151E" w:rsidRDefault="00A716B2" w:rsidP="0064345E">
            <w:pPr>
              <w:pStyle w:val="T-normal"/>
              <w:jc w:val="center"/>
              <w:rPr>
                <w:sz w:val="14"/>
                <w:szCs w:val="14"/>
              </w:rPr>
            </w:pPr>
            <w:r>
              <w:t>e PBB-s</w:t>
            </w:r>
            <w:r w:rsidR="00F1459A">
              <w:t>ë</w:t>
            </w:r>
          </w:p>
        </w:tc>
      </w:tr>
      <w:tr w:rsidR="0064345E" w:rsidRPr="001F151E" w14:paraId="17E9B738" w14:textId="77777777" w:rsidTr="00B2055E">
        <w:trPr>
          <w:trHeight w:val="22"/>
        </w:trPr>
        <w:tc>
          <w:tcPr>
            <w:tcW w:w="3114" w:type="dxa"/>
            <w:tcBorders>
              <w:top w:val="single" w:sz="4" w:space="0" w:color="auto"/>
              <w:left w:val="single" w:sz="4" w:space="0" w:color="auto"/>
              <w:bottom w:val="single" w:sz="4" w:space="0" w:color="auto"/>
              <w:right w:val="single" w:sz="4" w:space="0" w:color="auto"/>
            </w:tcBorders>
          </w:tcPr>
          <w:p w14:paraId="6DB1A982" w14:textId="475FC306" w:rsidR="0064345E" w:rsidRPr="001F151E" w:rsidRDefault="00957AD6" w:rsidP="00CD7428">
            <w:pPr>
              <w:pStyle w:val="ListParagraph"/>
              <w:numPr>
                <w:ilvl w:val="0"/>
                <w:numId w:val="71"/>
              </w:numPr>
              <w:rPr>
                <w:sz w:val="16"/>
                <w:szCs w:val="16"/>
              </w:rPr>
            </w:pPr>
            <w:r>
              <w:rPr>
                <w:sz w:val="16"/>
                <w:szCs w:val="16"/>
              </w:rPr>
              <w:t>Rritja e t</w:t>
            </w:r>
            <w:r w:rsidR="00F1459A">
              <w:rPr>
                <w:sz w:val="16"/>
                <w:szCs w:val="16"/>
              </w:rPr>
              <w:t>ë</w:t>
            </w:r>
            <w:r>
              <w:rPr>
                <w:sz w:val="16"/>
                <w:szCs w:val="16"/>
              </w:rPr>
              <w:t xml:space="preserve"> ardhurave nga reduktimi i pun</w:t>
            </w:r>
            <w:r w:rsidR="00F1459A">
              <w:rPr>
                <w:sz w:val="16"/>
                <w:szCs w:val="16"/>
              </w:rPr>
              <w:t>ë</w:t>
            </w:r>
            <w:r>
              <w:rPr>
                <w:sz w:val="16"/>
                <w:szCs w:val="16"/>
              </w:rPr>
              <w:t>s s</w:t>
            </w:r>
            <w:r w:rsidR="00F1459A">
              <w:rPr>
                <w:sz w:val="16"/>
                <w:szCs w:val="16"/>
              </w:rPr>
              <w:t>ë</w:t>
            </w:r>
            <w:r>
              <w:rPr>
                <w:sz w:val="16"/>
                <w:szCs w:val="16"/>
              </w:rPr>
              <w:t xml:space="preserve"> n</w:t>
            </w:r>
            <w:r w:rsidR="00F1459A">
              <w:rPr>
                <w:sz w:val="16"/>
                <w:szCs w:val="16"/>
              </w:rPr>
              <w:t>ë</w:t>
            </w:r>
            <w:r>
              <w:rPr>
                <w:sz w:val="16"/>
                <w:szCs w:val="16"/>
              </w:rPr>
              <w:t>ndeklaruar dhe t</w:t>
            </w:r>
            <w:r w:rsidR="00F1459A">
              <w:rPr>
                <w:sz w:val="16"/>
                <w:szCs w:val="16"/>
              </w:rPr>
              <w:t>ë</w:t>
            </w:r>
            <w:r>
              <w:rPr>
                <w:sz w:val="16"/>
                <w:szCs w:val="16"/>
              </w:rPr>
              <w:t xml:space="preserve"> padeklaruar (e matur n</w:t>
            </w:r>
            <w:r w:rsidR="00F1459A">
              <w:rPr>
                <w:sz w:val="16"/>
                <w:szCs w:val="16"/>
              </w:rPr>
              <w:t>ë</w:t>
            </w:r>
            <w:r>
              <w:rPr>
                <w:sz w:val="16"/>
                <w:szCs w:val="16"/>
              </w:rPr>
              <w:t xml:space="preserve"> baz</w:t>
            </w:r>
            <w:r w:rsidR="00F1459A">
              <w:rPr>
                <w:sz w:val="16"/>
                <w:szCs w:val="16"/>
              </w:rPr>
              <w:t>ë</w:t>
            </w:r>
            <w:r>
              <w:rPr>
                <w:sz w:val="16"/>
                <w:szCs w:val="16"/>
              </w:rPr>
              <w:t xml:space="preserve"> kumulative)</w:t>
            </w:r>
          </w:p>
        </w:tc>
        <w:tc>
          <w:tcPr>
            <w:tcW w:w="1180" w:type="dxa"/>
            <w:tcBorders>
              <w:top w:val="single" w:sz="4" w:space="0" w:color="auto"/>
              <w:left w:val="single" w:sz="4" w:space="0" w:color="auto"/>
              <w:bottom w:val="single" w:sz="4" w:space="0" w:color="auto"/>
              <w:right w:val="single" w:sz="4" w:space="0" w:color="auto"/>
            </w:tcBorders>
            <w:vAlign w:val="center"/>
          </w:tcPr>
          <w:p w14:paraId="53C0E2D3" w14:textId="3FE9DEFE" w:rsidR="0064345E" w:rsidRPr="001F151E" w:rsidRDefault="00AD50A8" w:rsidP="0064345E">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270C9F90" w14:textId="77777777" w:rsidR="0064345E" w:rsidRPr="001F151E" w:rsidRDefault="0064345E" w:rsidP="0064345E">
            <w:pPr>
              <w:pStyle w:val="T-normal"/>
              <w:jc w:val="center"/>
            </w:pPr>
            <w:r w:rsidRPr="001F151E">
              <w:t xml:space="preserve">0.08% </w:t>
            </w:r>
          </w:p>
          <w:p w14:paraId="29CAA992" w14:textId="36B2E9F6" w:rsidR="0064345E" w:rsidRPr="001F151E" w:rsidRDefault="00A716B2" w:rsidP="0064345E">
            <w:pPr>
              <w:pStyle w:val="T-normal"/>
              <w:jc w:val="center"/>
            </w:pPr>
            <w:r>
              <w:t>e PBB-s</w:t>
            </w:r>
            <w:r w:rsidR="00F1459A">
              <w:t>ë</w:t>
            </w:r>
          </w:p>
        </w:tc>
        <w:tc>
          <w:tcPr>
            <w:tcW w:w="1180" w:type="dxa"/>
            <w:tcBorders>
              <w:top w:val="single" w:sz="4" w:space="0" w:color="auto"/>
              <w:left w:val="single" w:sz="4" w:space="0" w:color="auto"/>
              <w:bottom w:val="single" w:sz="4" w:space="0" w:color="auto"/>
              <w:right w:val="single" w:sz="4" w:space="0" w:color="auto"/>
            </w:tcBorders>
            <w:vAlign w:val="center"/>
          </w:tcPr>
          <w:p w14:paraId="3FA66019" w14:textId="77777777" w:rsidR="0064345E" w:rsidRPr="001F151E" w:rsidRDefault="0064345E" w:rsidP="0064345E">
            <w:pPr>
              <w:pStyle w:val="T-normal"/>
              <w:jc w:val="center"/>
            </w:pPr>
            <w:r w:rsidRPr="001F151E">
              <w:t xml:space="preserve">0.18% </w:t>
            </w:r>
          </w:p>
          <w:p w14:paraId="5ED8159D" w14:textId="38CFBCD6" w:rsidR="0064345E" w:rsidRPr="001F151E" w:rsidRDefault="00A716B2" w:rsidP="0064345E">
            <w:pPr>
              <w:pStyle w:val="T-normal"/>
              <w:jc w:val="center"/>
            </w:pPr>
            <w:r>
              <w:t>e PBB-s</w:t>
            </w:r>
            <w:r w:rsidR="00F1459A">
              <w:t>ë</w:t>
            </w:r>
          </w:p>
        </w:tc>
        <w:tc>
          <w:tcPr>
            <w:tcW w:w="1181" w:type="dxa"/>
            <w:tcBorders>
              <w:top w:val="single" w:sz="4" w:space="0" w:color="auto"/>
              <w:left w:val="single" w:sz="4" w:space="0" w:color="auto"/>
              <w:bottom w:val="single" w:sz="4" w:space="0" w:color="auto"/>
              <w:right w:val="single" w:sz="4" w:space="0" w:color="auto"/>
            </w:tcBorders>
            <w:vAlign w:val="center"/>
          </w:tcPr>
          <w:p w14:paraId="546E513C" w14:textId="77777777" w:rsidR="0064345E" w:rsidRPr="001F151E" w:rsidRDefault="0064345E" w:rsidP="0064345E">
            <w:pPr>
              <w:pStyle w:val="T-normal"/>
              <w:jc w:val="center"/>
            </w:pPr>
            <w:r w:rsidRPr="001F151E">
              <w:t xml:space="preserve">0.22% </w:t>
            </w:r>
          </w:p>
          <w:p w14:paraId="22C1FE21" w14:textId="62F238A7" w:rsidR="0064345E" w:rsidRPr="001F151E" w:rsidRDefault="00A716B2" w:rsidP="0064345E">
            <w:pPr>
              <w:pStyle w:val="T-normal"/>
              <w:jc w:val="center"/>
            </w:pPr>
            <w:r>
              <w:t>e PBB-s</w:t>
            </w:r>
            <w:r w:rsidR="00F1459A">
              <w:t>ë</w:t>
            </w:r>
          </w:p>
        </w:tc>
        <w:tc>
          <w:tcPr>
            <w:tcW w:w="1181" w:type="dxa"/>
            <w:tcBorders>
              <w:top w:val="single" w:sz="4" w:space="0" w:color="auto"/>
              <w:left w:val="single" w:sz="4" w:space="0" w:color="auto"/>
              <w:bottom w:val="single" w:sz="4" w:space="0" w:color="auto"/>
              <w:right w:val="single" w:sz="4" w:space="0" w:color="auto"/>
            </w:tcBorders>
            <w:vAlign w:val="center"/>
          </w:tcPr>
          <w:p w14:paraId="5C4EE88A" w14:textId="77777777" w:rsidR="0064345E" w:rsidRPr="001F151E" w:rsidRDefault="0064345E" w:rsidP="0064345E">
            <w:pPr>
              <w:pStyle w:val="T-normal"/>
              <w:jc w:val="center"/>
            </w:pPr>
            <w:r w:rsidRPr="001F151E">
              <w:t xml:space="preserve">0.28% </w:t>
            </w:r>
          </w:p>
          <w:p w14:paraId="073F0684" w14:textId="63ED7648" w:rsidR="0064345E" w:rsidRPr="001F151E" w:rsidRDefault="00A716B2" w:rsidP="0064345E">
            <w:pPr>
              <w:pStyle w:val="T-normal"/>
              <w:jc w:val="center"/>
            </w:pPr>
            <w:r>
              <w:t>e PBB-s</w:t>
            </w:r>
            <w:r w:rsidR="00F1459A">
              <w:t>ë</w:t>
            </w:r>
          </w:p>
        </w:tc>
      </w:tr>
    </w:tbl>
    <w:p w14:paraId="29FD67D5" w14:textId="77777777" w:rsidR="0064345E" w:rsidRPr="001F151E" w:rsidRDefault="0064345E" w:rsidP="00BA761C">
      <w:pPr>
        <w:rPr>
          <w:lang w:val="en-GB"/>
        </w:rPr>
      </w:pPr>
    </w:p>
    <w:p w14:paraId="57852921" w14:textId="1D8C67FF" w:rsidR="006F485F" w:rsidRPr="001F151E" w:rsidRDefault="006F485F" w:rsidP="00BA761C">
      <w:pPr>
        <w:rPr>
          <w:rFonts w:eastAsiaTheme="majorEastAsia" w:cstheme="majorBidi"/>
          <w:b/>
          <w:bCs/>
          <w:iCs/>
          <w:color w:val="0070C0"/>
          <w:sz w:val="26"/>
          <w:szCs w:val="26"/>
          <w:lang w:val="en-GB"/>
        </w:rPr>
      </w:pPr>
    </w:p>
    <w:p w14:paraId="2AD24F4B" w14:textId="00F510D8" w:rsidR="008522A0" w:rsidRPr="009D660E" w:rsidRDefault="00A716B2" w:rsidP="008522A0">
      <w:pPr>
        <w:pStyle w:val="Heading2"/>
        <w:rPr>
          <w:lang w:val="it-IT"/>
        </w:rPr>
      </w:pPr>
      <w:bookmarkStart w:id="33" w:name="_Toc151048295"/>
      <w:bookmarkStart w:id="34" w:name="_Toc161748821"/>
      <w:r w:rsidRPr="009D660E">
        <w:rPr>
          <w:lang w:val="it-IT"/>
        </w:rPr>
        <w:t>Komponenti</w:t>
      </w:r>
      <w:r w:rsidR="008522A0" w:rsidRPr="009D660E">
        <w:rPr>
          <w:lang w:val="it-IT"/>
        </w:rPr>
        <w:t xml:space="preserve"> 3.2 </w:t>
      </w:r>
      <w:bookmarkEnd w:id="33"/>
      <w:r w:rsidRPr="009D660E">
        <w:rPr>
          <w:lang w:val="it-IT"/>
        </w:rPr>
        <w:t>Menaxhimi i taks</w:t>
      </w:r>
      <w:r w:rsidR="00F1459A" w:rsidRPr="009D660E">
        <w:rPr>
          <w:lang w:val="it-IT"/>
        </w:rPr>
        <w:t>ë</w:t>
      </w:r>
      <w:r w:rsidRPr="009D660E">
        <w:rPr>
          <w:lang w:val="it-IT"/>
        </w:rPr>
        <w:t>s s</w:t>
      </w:r>
      <w:r w:rsidR="00F1459A" w:rsidRPr="009D660E">
        <w:rPr>
          <w:lang w:val="it-IT"/>
        </w:rPr>
        <w:t>ë</w:t>
      </w:r>
      <w:r w:rsidRPr="009D660E">
        <w:rPr>
          <w:lang w:val="it-IT"/>
        </w:rPr>
        <w:t xml:space="preserve"> pasuris</w:t>
      </w:r>
      <w:r w:rsidR="00F1459A" w:rsidRPr="009D660E">
        <w:rPr>
          <w:lang w:val="it-IT"/>
        </w:rPr>
        <w:t>ë</w:t>
      </w:r>
      <w:bookmarkEnd w:id="34"/>
    </w:p>
    <w:p w14:paraId="6138BCF9" w14:textId="77777777" w:rsidR="008522A0" w:rsidRPr="009D660E" w:rsidRDefault="008522A0" w:rsidP="008522A0">
      <w:pPr>
        <w:rPr>
          <w:lang w:val="it-IT"/>
        </w:rPr>
      </w:pPr>
    </w:p>
    <w:p w14:paraId="58B6764B" w14:textId="5CE6395F" w:rsidR="008522A0" w:rsidRPr="009D660E" w:rsidRDefault="00A716B2" w:rsidP="00EA6F1D">
      <w:pPr>
        <w:pStyle w:val="H5"/>
        <w:spacing w:line="276" w:lineRule="auto"/>
        <w:jc w:val="both"/>
        <w:rPr>
          <w:lang w:val="it-IT"/>
        </w:rPr>
      </w:pPr>
      <w:r w:rsidRPr="009D660E">
        <w:rPr>
          <w:lang w:val="it-IT"/>
        </w:rPr>
        <w:t>Objektivi</w:t>
      </w:r>
    </w:p>
    <w:p w14:paraId="6AE51347" w14:textId="73AF5A81" w:rsidR="008522A0" w:rsidRPr="009D660E" w:rsidRDefault="00BD6C0A" w:rsidP="00EA6F1D">
      <w:pPr>
        <w:spacing w:line="276" w:lineRule="auto"/>
        <w:jc w:val="both"/>
        <w:rPr>
          <w:lang w:val="it-IT"/>
        </w:rPr>
      </w:pPr>
      <w:r w:rsidRPr="009D660E">
        <w:rPr>
          <w:lang w:val="it-IT"/>
        </w:rPr>
        <w:t>Synimi për vitin 2030 është krijimi i një kadastre fiskale plotësisht funksionale dhe një sistemi efektiv të mbledhjes së taks</w:t>
      </w:r>
      <w:r w:rsidR="00F1459A" w:rsidRPr="009D660E">
        <w:rPr>
          <w:lang w:val="it-IT"/>
        </w:rPr>
        <w:t>ë</w:t>
      </w:r>
      <w:r w:rsidRPr="009D660E">
        <w:rPr>
          <w:lang w:val="it-IT"/>
        </w:rPr>
        <w:t>s s</w:t>
      </w:r>
      <w:r w:rsidR="00F1459A" w:rsidRPr="009D660E">
        <w:rPr>
          <w:lang w:val="it-IT"/>
        </w:rPr>
        <w:t>ë</w:t>
      </w:r>
      <w:r w:rsidRPr="009D660E">
        <w:rPr>
          <w:lang w:val="it-IT"/>
        </w:rPr>
        <w:t xml:space="preserve"> pasuris</w:t>
      </w:r>
      <w:r w:rsidR="00F1459A" w:rsidRPr="009D660E">
        <w:rPr>
          <w:lang w:val="it-IT"/>
        </w:rPr>
        <w:t>ë</w:t>
      </w:r>
      <w:r w:rsidRPr="009D660E">
        <w:rPr>
          <w:lang w:val="it-IT"/>
        </w:rPr>
        <w:t xml:space="preserve"> që synon të gjitha pronat në të gjitha bashkitë e vendit, me qëllim sjelljen e të ardhura shtesë për qeveritë vendore.</w:t>
      </w:r>
    </w:p>
    <w:p w14:paraId="71218A8B" w14:textId="77777777" w:rsidR="008522A0" w:rsidRPr="009D660E" w:rsidRDefault="008522A0" w:rsidP="00EA6F1D">
      <w:pPr>
        <w:pStyle w:val="H5"/>
        <w:spacing w:line="276" w:lineRule="auto"/>
        <w:jc w:val="both"/>
        <w:rPr>
          <w:lang w:val="it-IT"/>
        </w:rPr>
      </w:pPr>
    </w:p>
    <w:p w14:paraId="2ECCEB29" w14:textId="322515D5" w:rsidR="008522A0" w:rsidRPr="009D660E" w:rsidRDefault="00A716B2" w:rsidP="00EA6F1D">
      <w:pPr>
        <w:pStyle w:val="H5"/>
        <w:spacing w:line="276" w:lineRule="auto"/>
        <w:jc w:val="both"/>
        <w:rPr>
          <w:lang w:val="it-IT"/>
        </w:rPr>
      </w:pPr>
      <w:r w:rsidRPr="009D660E">
        <w:rPr>
          <w:lang w:val="it-IT"/>
        </w:rPr>
        <w:t>Konteksti</w:t>
      </w:r>
    </w:p>
    <w:p w14:paraId="066656B2" w14:textId="0379EA80" w:rsidR="008522A0" w:rsidRPr="009D660E" w:rsidRDefault="00640E26" w:rsidP="00EA6F1D">
      <w:pPr>
        <w:spacing w:line="276" w:lineRule="auto"/>
        <w:jc w:val="both"/>
        <w:rPr>
          <w:lang w:val="it-IT"/>
        </w:rPr>
      </w:pPr>
      <w:r w:rsidRPr="009D660E">
        <w:rPr>
          <w:lang w:val="it-IT"/>
        </w:rPr>
        <w:t>Reforma e fundit në fushën e taksës së pasuris</w:t>
      </w:r>
      <w:r w:rsidR="00F1459A" w:rsidRPr="009D660E">
        <w:rPr>
          <w:lang w:val="it-IT"/>
        </w:rPr>
        <w:t>ë</w:t>
      </w:r>
      <w:r w:rsidRPr="009D660E">
        <w:rPr>
          <w:lang w:val="it-IT"/>
        </w:rPr>
        <w:t xml:space="preserve"> synon të rrisë të ardhurat për bashkitë, duke kaluar nga një sistem i taksimit të bazuar në vlerë për ndërtesat dhe një sistem i thjeshtë tatimor </w:t>
      </w:r>
      <w:r w:rsidR="002043A0" w:rsidRPr="009D660E">
        <w:rPr>
          <w:lang w:val="it-IT"/>
        </w:rPr>
        <w:t>bazuar në</w:t>
      </w:r>
      <w:r w:rsidRPr="009D660E">
        <w:rPr>
          <w:lang w:val="it-IT"/>
        </w:rPr>
        <w:t xml:space="preserve"> sipërfaqen për </w:t>
      </w:r>
      <w:r w:rsidR="002043A0" w:rsidRPr="009D660E">
        <w:rPr>
          <w:lang w:val="it-IT"/>
        </w:rPr>
        <w:t>tokën bujqësore dhe truallin</w:t>
      </w:r>
      <w:r w:rsidRPr="009D660E">
        <w:rPr>
          <w:lang w:val="it-IT"/>
        </w:rPr>
        <w:t xml:space="preserve">, në një sistem taksimi modern që takson edhe ndërtesat edhe </w:t>
      </w:r>
      <w:r w:rsidR="000675E9" w:rsidRPr="009D660E">
        <w:rPr>
          <w:lang w:val="it-IT"/>
        </w:rPr>
        <w:t>parcelat</w:t>
      </w:r>
      <w:r w:rsidRPr="009D660E">
        <w:rPr>
          <w:lang w:val="it-IT"/>
        </w:rPr>
        <w:t>, bazuar në vlerën e tregut të këtyre</w:t>
      </w:r>
      <w:r w:rsidR="000675E9" w:rsidRPr="009D660E">
        <w:rPr>
          <w:lang w:val="it-IT"/>
        </w:rPr>
        <w:t xml:space="preserve"> pasurive të paluajtshme</w:t>
      </w:r>
      <w:r w:rsidRPr="009D660E">
        <w:rPr>
          <w:lang w:val="it-IT"/>
        </w:rPr>
        <w:t>. Sfidë kryesore ka qenë krijimi i një baze të dhënash gjithëpërfshirëse të integruar të pasurive</w:t>
      </w:r>
      <w:r w:rsidR="000675E9" w:rsidRPr="009D660E">
        <w:rPr>
          <w:lang w:val="it-IT"/>
        </w:rPr>
        <w:t xml:space="preserve"> të paluajtshme</w:t>
      </w:r>
      <w:r w:rsidRPr="009D660E">
        <w:rPr>
          <w:lang w:val="it-IT"/>
        </w:rPr>
        <w:t xml:space="preserve">. Të gjitha </w:t>
      </w:r>
      <w:r w:rsidR="000675E9" w:rsidRPr="009D660E">
        <w:rPr>
          <w:lang w:val="it-IT"/>
        </w:rPr>
        <w:t>pasuritë e paluajtshme të</w:t>
      </w:r>
      <w:r w:rsidRPr="009D660E">
        <w:rPr>
          <w:lang w:val="it-IT"/>
        </w:rPr>
        <w:t xml:space="preserve"> regjistruara do të vlerësohen në bazë të vlerës së tregut.</w:t>
      </w:r>
      <w:r w:rsidR="008522A0" w:rsidRPr="001F151E">
        <w:rPr>
          <w:rStyle w:val="FootnoteReference"/>
          <w:lang w:val="en-GB"/>
        </w:rPr>
        <w:footnoteReference w:id="43"/>
      </w:r>
    </w:p>
    <w:p w14:paraId="4D14D287" w14:textId="4E18E8A1" w:rsidR="00640E26" w:rsidRPr="009D660E" w:rsidRDefault="00640E26" w:rsidP="00EA6F1D">
      <w:pPr>
        <w:spacing w:line="276" w:lineRule="auto"/>
        <w:jc w:val="both"/>
        <w:rPr>
          <w:lang w:val="sq-AL"/>
        </w:rPr>
      </w:pPr>
      <w:r w:rsidRPr="009D660E">
        <w:rPr>
          <w:lang w:val="it-IT"/>
        </w:rPr>
        <w:t>Gjat</w:t>
      </w:r>
      <w:r w:rsidR="00F1459A" w:rsidRPr="009D660E">
        <w:rPr>
          <w:lang w:val="it-IT"/>
        </w:rPr>
        <w:t>ë</w:t>
      </w:r>
      <w:r w:rsidRPr="009D660E">
        <w:rPr>
          <w:lang w:val="it-IT"/>
        </w:rPr>
        <w:t xml:space="preserve"> faz</w:t>
      </w:r>
      <w:r w:rsidR="00F1459A" w:rsidRPr="009D660E">
        <w:rPr>
          <w:lang w:val="it-IT"/>
        </w:rPr>
        <w:t>ë</w:t>
      </w:r>
      <w:r w:rsidRPr="009D660E">
        <w:rPr>
          <w:lang w:val="it-IT"/>
        </w:rPr>
        <w:t>s s</w:t>
      </w:r>
      <w:r w:rsidR="00F1459A" w:rsidRPr="009D660E">
        <w:rPr>
          <w:lang w:val="it-IT"/>
        </w:rPr>
        <w:t>ë</w:t>
      </w:r>
      <w:r w:rsidRPr="009D660E">
        <w:rPr>
          <w:lang w:val="it-IT"/>
        </w:rPr>
        <w:t xml:space="preserve"> par</w:t>
      </w:r>
      <w:r w:rsidR="00F1459A" w:rsidRPr="009D660E">
        <w:rPr>
          <w:lang w:val="it-IT"/>
        </w:rPr>
        <w:t>ë</w:t>
      </w:r>
      <w:r w:rsidRPr="009D660E">
        <w:rPr>
          <w:lang w:val="it-IT"/>
        </w:rPr>
        <w:t xml:space="preserve"> t</w:t>
      </w:r>
      <w:r w:rsidR="00F1459A" w:rsidRPr="009D660E">
        <w:rPr>
          <w:lang w:val="it-IT"/>
        </w:rPr>
        <w:t>ë</w:t>
      </w:r>
      <w:r w:rsidRPr="009D660E">
        <w:rPr>
          <w:lang w:val="it-IT"/>
        </w:rPr>
        <w:t xml:space="preserve"> reform</w:t>
      </w:r>
      <w:r w:rsidR="00F1459A" w:rsidRPr="009D660E">
        <w:rPr>
          <w:lang w:val="it-IT"/>
        </w:rPr>
        <w:t>ë</w:t>
      </w:r>
      <w:r w:rsidRPr="009D660E">
        <w:rPr>
          <w:lang w:val="it-IT"/>
        </w:rPr>
        <w:t>s s</w:t>
      </w:r>
      <w:r w:rsidR="00F1459A" w:rsidRPr="009D660E">
        <w:rPr>
          <w:lang w:val="it-IT"/>
        </w:rPr>
        <w:t>ë</w:t>
      </w:r>
      <w:r w:rsidRPr="009D660E">
        <w:rPr>
          <w:lang w:val="it-IT"/>
        </w:rPr>
        <w:t xml:space="preserve"> </w:t>
      </w:r>
      <w:r w:rsidR="003F545C" w:rsidRPr="009D660E">
        <w:rPr>
          <w:lang w:val="it-IT"/>
        </w:rPr>
        <w:t>taks</w:t>
      </w:r>
      <w:r w:rsidR="00F1459A" w:rsidRPr="009D660E">
        <w:rPr>
          <w:lang w:val="it-IT"/>
        </w:rPr>
        <w:t>ë</w:t>
      </w:r>
      <w:r w:rsidR="003F545C" w:rsidRPr="009D660E">
        <w:rPr>
          <w:lang w:val="it-IT"/>
        </w:rPr>
        <w:t xml:space="preserve">s u krijua Drejtoria e </w:t>
      </w:r>
      <w:r w:rsidR="00594663" w:rsidRPr="009D660E">
        <w:rPr>
          <w:lang w:val="it-IT"/>
        </w:rPr>
        <w:t>P</w:t>
      </w:r>
      <w:r w:rsidR="00F1459A" w:rsidRPr="009D660E">
        <w:rPr>
          <w:lang w:val="it-IT"/>
        </w:rPr>
        <w:t>ë</w:t>
      </w:r>
      <w:r w:rsidR="003F545C" w:rsidRPr="009D660E">
        <w:rPr>
          <w:lang w:val="it-IT"/>
        </w:rPr>
        <w:t>rgjithshme e Taks</w:t>
      </w:r>
      <w:r w:rsidR="00F1459A" w:rsidRPr="009D660E">
        <w:rPr>
          <w:lang w:val="it-IT"/>
        </w:rPr>
        <w:t>ë</w:t>
      </w:r>
      <w:r w:rsidR="003F545C" w:rsidRPr="009D660E">
        <w:rPr>
          <w:lang w:val="it-IT"/>
        </w:rPr>
        <w:t>s s</w:t>
      </w:r>
      <w:r w:rsidR="00F1459A" w:rsidRPr="009D660E">
        <w:rPr>
          <w:lang w:val="it-IT"/>
        </w:rPr>
        <w:t>ë</w:t>
      </w:r>
      <w:r w:rsidR="003F545C" w:rsidRPr="009D660E">
        <w:rPr>
          <w:lang w:val="it-IT"/>
        </w:rPr>
        <w:t xml:space="preserve"> Pasuris</w:t>
      </w:r>
      <w:r w:rsidR="00F1459A" w:rsidRPr="009D660E">
        <w:rPr>
          <w:lang w:val="it-IT"/>
        </w:rPr>
        <w:t>ë</w:t>
      </w:r>
      <w:r w:rsidR="003F545C" w:rsidRPr="009D660E">
        <w:rPr>
          <w:lang w:val="it-IT"/>
        </w:rPr>
        <w:t xml:space="preserve"> (DPTP) dhe Kadastra Fiskale. DPTP-ja luan nj</w:t>
      </w:r>
      <w:r w:rsidR="00F1459A" w:rsidRPr="009D660E">
        <w:rPr>
          <w:lang w:val="it-IT"/>
        </w:rPr>
        <w:t>ë</w:t>
      </w:r>
      <w:r w:rsidR="003F545C" w:rsidRPr="009D660E">
        <w:rPr>
          <w:lang w:val="it-IT"/>
        </w:rPr>
        <w:t xml:space="preserve"> rol vendimtar, </w:t>
      </w:r>
      <w:r w:rsidR="003F545C">
        <w:rPr>
          <w:rStyle w:val="rynqvb"/>
          <w:lang w:val="sq-AL"/>
        </w:rPr>
        <w:t xml:space="preserve">duke përfshirë </w:t>
      </w:r>
      <w:r w:rsidR="000675E9">
        <w:rPr>
          <w:rStyle w:val="rynqvb"/>
          <w:lang w:val="sq-AL"/>
        </w:rPr>
        <w:t>menaxhimin e regjistrit qendror të bazës së të dhënave të pasurive të paluajtshme (Kadastra Fiskale), si dhe udhëheqjen nga pikëpamja metodologjike, në lidhje me administrimin e taksës mbi pasuritë e paluajtshme</w:t>
      </w:r>
      <w:r w:rsidR="003F545C">
        <w:rPr>
          <w:rStyle w:val="rynqvb"/>
          <w:lang w:val="sq-AL"/>
        </w:rPr>
        <w:t>.</w:t>
      </w:r>
      <w:r w:rsidR="003F545C">
        <w:rPr>
          <w:rStyle w:val="hwtze"/>
          <w:lang w:val="sq-AL"/>
        </w:rPr>
        <w:t xml:space="preserve"> </w:t>
      </w:r>
      <w:r w:rsidR="003F545C">
        <w:rPr>
          <w:rStyle w:val="rynqvb"/>
          <w:lang w:val="sq-AL"/>
        </w:rPr>
        <w:t xml:space="preserve">Një program pilot që përfshin nëntë </w:t>
      </w:r>
      <w:r w:rsidR="00594663">
        <w:rPr>
          <w:rStyle w:val="rynqvb"/>
          <w:lang w:val="sq-AL"/>
        </w:rPr>
        <w:t xml:space="preserve">bashki </w:t>
      </w:r>
      <w:r w:rsidR="003F545C">
        <w:rPr>
          <w:rStyle w:val="rynqvb"/>
          <w:lang w:val="sq-AL"/>
        </w:rPr>
        <w:t xml:space="preserve">u lançua për të vlerësuar efikasitetin e </w:t>
      </w:r>
      <w:r w:rsidR="00B916AA">
        <w:rPr>
          <w:rStyle w:val="rynqvb"/>
          <w:lang w:val="sq-AL"/>
        </w:rPr>
        <w:t xml:space="preserve">Sistemit Informativ të Kadastrës Fiskale </w:t>
      </w:r>
      <w:r w:rsidR="00E309E2">
        <w:rPr>
          <w:rStyle w:val="rynqvb"/>
          <w:lang w:val="sq-AL"/>
        </w:rPr>
        <w:t>(</w:t>
      </w:r>
      <w:r w:rsidR="00594663">
        <w:rPr>
          <w:rStyle w:val="rynqvb"/>
          <w:lang w:val="sq-AL"/>
        </w:rPr>
        <w:t>SIKF</w:t>
      </w:r>
      <w:r w:rsidR="00E309E2">
        <w:rPr>
          <w:rStyle w:val="rynqvb"/>
          <w:lang w:val="sq-AL"/>
        </w:rPr>
        <w:t>)</w:t>
      </w:r>
      <w:r w:rsidR="003F545C">
        <w:rPr>
          <w:rStyle w:val="rynqvb"/>
          <w:lang w:val="sq-AL"/>
        </w:rPr>
        <w:t xml:space="preserve">, i shoqëruar nga sesione të gjera trajnimi për anëtarët e stafit </w:t>
      </w:r>
      <w:r w:rsidR="00594663">
        <w:rPr>
          <w:rStyle w:val="rynqvb"/>
          <w:lang w:val="sq-AL"/>
        </w:rPr>
        <w:t>t</w:t>
      </w:r>
      <w:r w:rsidR="00F1459A">
        <w:rPr>
          <w:rStyle w:val="rynqvb"/>
          <w:lang w:val="sq-AL"/>
        </w:rPr>
        <w:t>ë</w:t>
      </w:r>
      <w:r w:rsidR="00594663">
        <w:rPr>
          <w:rStyle w:val="rynqvb"/>
          <w:lang w:val="sq-AL"/>
        </w:rPr>
        <w:t xml:space="preserve"> bashkive</w:t>
      </w:r>
      <w:r w:rsidR="003F545C">
        <w:rPr>
          <w:rStyle w:val="rynqvb"/>
          <w:lang w:val="sq-AL"/>
        </w:rPr>
        <w:t>.</w:t>
      </w:r>
      <w:r w:rsidR="003F545C">
        <w:rPr>
          <w:rStyle w:val="hwtze"/>
          <w:lang w:val="sq-AL"/>
        </w:rPr>
        <w:t xml:space="preserve"> </w:t>
      </w:r>
      <w:r w:rsidR="003F545C">
        <w:rPr>
          <w:rStyle w:val="rynqvb"/>
          <w:lang w:val="sq-AL"/>
        </w:rPr>
        <w:t xml:space="preserve">Për të rritur ndërgjegjësimin e </w:t>
      </w:r>
      <w:r w:rsidR="000675E9">
        <w:rPr>
          <w:rStyle w:val="rynqvb"/>
          <w:lang w:val="sq-AL"/>
        </w:rPr>
        <w:t>taksapaguesve</w:t>
      </w:r>
      <w:r w:rsidR="003F545C">
        <w:rPr>
          <w:rStyle w:val="rynqvb"/>
          <w:lang w:val="sq-AL"/>
        </w:rPr>
        <w:t xml:space="preserve"> për përgjegjësitë e tyre për taksën e p</w:t>
      </w:r>
      <w:r w:rsidR="00594663">
        <w:rPr>
          <w:rStyle w:val="rynqvb"/>
          <w:lang w:val="sq-AL"/>
        </w:rPr>
        <w:t>asuris</w:t>
      </w:r>
      <w:r w:rsidR="00F1459A">
        <w:rPr>
          <w:rStyle w:val="rynqvb"/>
          <w:lang w:val="sq-AL"/>
        </w:rPr>
        <w:t>ë</w:t>
      </w:r>
      <w:r w:rsidR="000675E9">
        <w:rPr>
          <w:rStyle w:val="rynqvb"/>
          <w:lang w:val="sq-AL"/>
        </w:rPr>
        <w:t xml:space="preserve"> së paluajtshme</w:t>
      </w:r>
      <w:r w:rsidR="003F545C">
        <w:rPr>
          <w:rStyle w:val="rynqvb"/>
          <w:lang w:val="sq-AL"/>
        </w:rPr>
        <w:t>, DP</w:t>
      </w:r>
      <w:r w:rsidR="00594663">
        <w:rPr>
          <w:rStyle w:val="rynqvb"/>
          <w:lang w:val="sq-AL"/>
        </w:rPr>
        <w:t>TP</w:t>
      </w:r>
      <w:r w:rsidR="003F545C">
        <w:rPr>
          <w:rStyle w:val="rynqvb"/>
          <w:lang w:val="sq-AL"/>
        </w:rPr>
        <w:t>-ja ka bashkëpunuar me bashkitë, duke ndarë materiale infor</w:t>
      </w:r>
      <w:r w:rsidR="000675E9">
        <w:rPr>
          <w:rStyle w:val="rynqvb"/>
          <w:lang w:val="sq-AL"/>
        </w:rPr>
        <w:t>muese</w:t>
      </w:r>
      <w:r w:rsidR="003F545C">
        <w:rPr>
          <w:rStyle w:val="rynqvb"/>
          <w:lang w:val="sq-AL"/>
        </w:rPr>
        <w:t xml:space="preserve"> për t'u shpërndarë përmes kanaleve të tyre.</w:t>
      </w:r>
      <w:r w:rsidR="003F545C">
        <w:rPr>
          <w:rStyle w:val="hwtze"/>
          <w:lang w:val="sq-AL"/>
        </w:rPr>
        <w:t xml:space="preserve"> </w:t>
      </w:r>
      <w:r w:rsidR="003F545C">
        <w:rPr>
          <w:rStyle w:val="rynqvb"/>
          <w:lang w:val="sq-AL"/>
        </w:rPr>
        <w:t>Në këtë drejtim, D</w:t>
      </w:r>
      <w:r w:rsidR="00594663">
        <w:rPr>
          <w:rStyle w:val="rynqvb"/>
          <w:lang w:val="sq-AL"/>
        </w:rPr>
        <w:t>PTP</w:t>
      </w:r>
      <w:r w:rsidR="003F545C">
        <w:rPr>
          <w:rStyle w:val="rynqvb"/>
          <w:lang w:val="sq-AL"/>
        </w:rPr>
        <w:t>-ja ka</w:t>
      </w:r>
      <w:r w:rsidR="00594663">
        <w:rPr>
          <w:rStyle w:val="rynqvb"/>
          <w:lang w:val="sq-AL"/>
        </w:rPr>
        <w:t xml:space="preserve"> </w:t>
      </w:r>
      <w:r w:rsidR="000675E9">
        <w:rPr>
          <w:rStyle w:val="rynqvb"/>
          <w:lang w:val="sq-AL"/>
        </w:rPr>
        <w:t>hartuar</w:t>
      </w:r>
      <w:r w:rsidR="003F545C">
        <w:rPr>
          <w:rStyle w:val="rynqvb"/>
          <w:lang w:val="sq-AL"/>
        </w:rPr>
        <w:t xml:space="preserve"> fletushka dhe burime të tjera inform</w:t>
      </w:r>
      <w:r w:rsidR="000675E9">
        <w:rPr>
          <w:rStyle w:val="rynqvb"/>
          <w:lang w:val="sq-AL"/>
        </w:rPr>
        <w:t>uese</w:t>
      </w:r>
      <w:r w:rsidR="003F545C">
        <w:rPr>
          <w:rStyle w:val="rynqvb"/>
          <w:lang w:val="sq-AL"/>
        </w:rPr>
        <w:t xml:space="preserve"> të printueshme, të </w:t>
      </w:r>
      <w:r w:rsidR="000675E9">
        <w:rPr>
          <w:rStyle w:val="rynqvb"/>
          <w:lang w:val="sq-AL"/>
        </w:rPr>
        <w:t>hartuara</w:t>
      </w:r>
      <w:r w:rsidR="003F545C">
        <w:rPr>
          <w:rStyle w:val="rynqvb"/>
          <w:lang w:val="sq-AL"/>
        </w:rPr>
        <w:t xml:space="preserve"> për të </w:t>
      </w:r>
      <w:r w:rsidR="00594663">
        <w:rPr>
          <w:rStyle w:val="rynqvb"/>
          <w:lang w:val="sq-AL"/>
        </w:rPr>
        <w:t>sqaruar</w:t>
      </w:r>
      <w:r w:rsidR="003F545C">
        <w:rPr>
          <w:rStyle w:val="rynqvb"/>
          <w:lang w:val="sq-AL"/>
        </w:rPr>
        <w:t xml:space="preserve"> taksapaguesit për detyrimet e tyre.</w:t>
      </w:r>
      <w:r w:rsidR="003F545C" w:rsidRPr="009D660E">
        <w:rPr>
          <w:lang w:val="sq-AL"/>
        </w:rPr>
        <w:t xml:space="preserve"> </w:t>
      </w:r>
    </w:p>
    <w:p w14:paraId="4B567D36" w14:textId="77777777" w:rsidR="008522A0" w:rsidRPr="009D660E" w:rsidRDefault="008522A0" w:rsidP="00EA6F1D">
      <w:pPr>
        <w:spacing w:line="276" w:lineRule="auto"/>
        <w:jc w:val="both"/>
        <w:rPr>
          <w:lang w:val="sq-AL"/>
        </w:rPr>
      </w:pPr>
    </w:p>
    <w:p w14:paraId="209E4EA6" w14:textId="25E915DC" w:rsidR="00594663" w:rsidRPr="009D660E" w:rsidRDefault="00594663" w:rsidP="00EA6F1D">
      <w:pPr>
        <w:spacing w:line="276" w:lineRule="auto"/>
        <w:jc w:val="both"/>
        <w:rPr>
          <w:lang w:val="sq-AL"/>
        </w:rPr>
      </w:pPr>
      <w:r w:rsidRPr="009D660E">
        <w:rPr>
          <w:lang w:val="sq-AL"/>
        </w:rPr>
        <w:t>Gjat</w:t>
      </w:r>
      <w:r w:rsidR="00F1459A" w:rsidRPr="009D660E">
        <w:rPr>
          <w:lang w:val="sq-AL"/>
        </w:rPr>
        <w:t>ë</w:t>
      </w:r>
      <w:r w:rsidRPr="009D660E">
        <w:rPr>
          <w:lang w:val="sq-AL"/>
        </w:rPr>
        <w:t xml:space="preserve"> faz</w:t>
      </w:r>
      <w:r w:rsidR="00F1459A" w:rsidRPr="009D660E">
        <w:rPr>
          <w:lang w:val="sq-AL"/>
        </w:rPr>
        <w:t>ë</w:t>
      </w:r>
      <w:r w:rsidRPr="009D660E">
        <w:rPr>
          <w:lang w:val="sq-AL"/>
        </w:rPr>
        <w:t>s s</w:t>
      </w:r>
      <w:r w:rsidR="00F1459A" w:rsidRPr="009D660E">
        <w:rPr>
          <w:lang w:val="sq-AL"/>
        </w:rPr>
        <w:t>ë</w:t>
      </w:r>
      <w:r w:rsidRPr="009D660E">
        <w:rPr>
          <w:lang w:val="sq-AL"/>
        </w:rPr>
        <w:t xml:space="preserve"> dyt</w:t>
      </w:r>
      <w:r w:rsidR="00F1459A" w:rsidRPr="009D660E">
        <w:rPr>
          <w:lang w:val="sq-AL"/>
        </w:rPr>
        <w:t>ë</w:t>
      </w:r>
      <w:r w:rsidR="000675E9" w:rsidRPr="009D660E">
        <w:rPr>
          <w:lang w:val="sq-AL"/>
        </w:rPr>
        <w:t xml:space="preserve"> n</w:t>
      </w:r>
      <w:r w:rsidR="00F1459A" w:rsidRPr="009D660E">
        <w:rPr>
          <w:lang w:val="sq-AL"/>
        </w:rPr>
        <w:t>ë</w:t>
      </w:r>
      <w:r w:rsidRPr="009D660E">
        <w:rPr>
          <w:lang w:val="sq-AL"/>
        </w:rPr>
        <w:t xml:space="preserve"> va</w:t>
      </w:r>
      <w:r w:rsidR="000675E9" w:rsidRPr="009D660E">
        <w:rPr>
          <w:lang w:val="sq-AL"/>
        </w:rPr>
        <w:t>zhdim</w:t>
      </w:r>
      <w:r w:rsidRPr="009D660E">
        <w:rPr>
          <w:lang w:val="sq-AL"/>
        </w:rPr>
        <w:t xml:space="preserve"> t</w:t>
      </w:r>
      <w:r w:rsidR="00F1459A" w:rsidRPr="009D660E">
        <w:rPr>
          <w:lang w:val="sq-AL"/>
        </w:rPr>
        <w:t>ë</w:t>
      </w:r>
      <w:r w:rsidRPr="009D660E">
        <w:rPr>
          <w:lang w:val="sq-AL"/>
        </w:rPr>
        <w:t xml:space="preserve"> reform</w:t>
      </w:r>
      <w:r w:rsidR="00F1459A" w:rsidRPr="009D660E">
        <w:rPr>
          <w:lang w:val="sq-AL"/>
        </w:rPr>
        <w:t>ë</w:t>
      </w:r>
      <w:r w:rsidRPr="009D660E">
        <w:rPr>
          <w:lang w:val="sq-AL"/>
        </w:rPr>
        <w:t xml:space="preserve">s, </w:t>
      </w:r>
      <w:r>
        <w:rPr>
          <w:rStyle w:val="rynqvb"/>
          <w:lang w:val="sq-AL"/>
        </w:rPr>
        <w:t>është hartuar projektligji “Për taks</w:t>
      </w:r>
      <w:r w:rsidR="00F1459A">
        <w:rPr>
          <w:rStyle w:val="rynqvb"/>
          <w:lang w:val="sq-AL"/>
        </w:rPr>
        <w:t>ë</w:t>
      </w:r>
      <w:r>
        <w:rPr>
          <w:rStyle w:val="rynqvb"/>
          <w:lang w:val="sq-AL"/>
        </w:rPr>
        <w:t>n mbi pasurin</w:t>
      </w:r>
      <w:r w:rsidR="00F1459A">
        <w:rPr>
          <w:rStyle w:val="rynqvb"/>
          <w:lang w:val="sq-AL"/>
        </w:rPr>
        <w:t>ë</w:t>
      </w:r>
      <w:r>
        <w:rPr>
          <w:rStyle w:val="rynqvb"/>
          <w:lang w:val="sq-AL"/>
        </w:rPr>
        <w:t xml:space="preserve"> e paluajtshme”.</w:t>
      </w:r>
      <w:r>
        <w:rPr>
          <w:rStyle w:val="hwtze"/>
          <w:lang w:val="sq-AL"/>
        </w:rPr>
        <w:t xml:space="preserve"> </w:t>
      </w:r>
      <w:r>
        <w:rPr>
          <w:rStyle w:val="rynqvb"/>
          <w:lang w:val="sq-AL"/>
        </w:rPr>
        <w:t xml:space="preserve">Dispozitat e projektligjit të ri </w:t>
      </w:r>
      <w:r w:rsidR="00A70B91">
        <w:rPr>
          <w:rStyle w:val="rynqvb"/>
          <w:lang w:val="sq-AL"/>
        </w:rPr>
        <w:t xml:space="preserve">përfshijnë </w:t>
      </w:r>
      <w:r>
        <w:rPr>
          <w:rStyle w:val="rynqvb"/>
          <w:lang w:val="sq-AL"/>
        </w:rPr>
        <w:t>rregull</w:t>
      </w:r>
      <w:r w:rsidR="00A70B91">
        <w:rPr>
          <w:rStyle w:val="rynqvb"/>
          <w:lang w:val="sq-AL"/>
        </w:rPr>
        <w:t>imin e</w:t>
      </w:r>
      <w:r>
        <w:rPr>
          <w:rStyle w:val="rynqvb"/>
          <w:lang w:val="sq-AL"/>
        </w:rPr>
        <w:t xml:space="preserve"> mandati</w:t>
      </w:r>
      <w:r w:rsidR="00A70B91">
        <w:rPr>
          <w:rStyle w:val="rynqvb"/>
          <w:lang w:val="sq-AL"/>
        </w:rPr>
        <w:t>t</w:t>
      </w:r>
      <w:r>
        <w:rPr>
          <w:rStyle w:val="rynqvb"/>
          <w:lang w:val="sq-AL"/>
        </w:rPr>
        <w:t xml:space="preserve"> </w:t>
      </w:r>
      <w:r w:rsidR="00A70B91">
        <w:rPr>
          <w:rStyle w:val="rynqvb"/>
          <w:lang w:val="sq-AL"/>
        </w:rPr>
        <w:t>të</w:t>
      </w:r>
      <w:r>
        <w:rPr>
          <w:rStyle w:val="rynqvb"/>
          <w:lang w:val="sq-AL"/>
        </w:rPr>
        <w:t xml:space="preserve"> DPTP-së për vlerësimin e ndërtesave dhe Agjencisë Shtetërore të Kadastrës për vlerësimin e </w:t>
      </w:r>
      <w:r w:rsidR="000675E9">
        <w:rPr>
          <w:rStyle w:val="rynqvb"/>
          <w:lang w:val="sq-AL"/>
        </w:rPr>
        <w:t>parcelave</w:t>
      </w:r>
      <w:r>
        <w:rPr>
          <w:rStyle w:val="rynqvb"/>
          <w:lang w:val="sq-AL"/>
        </w:rPr>
        <w:t>.</w:t>
      </w:r>
      <w:r w:rsidR="00B72ECF">
        <w:rPr>
          <w:rStyle w:val="rynqvb"/>
          <w:lang w:val="sq-AL"/>
        </w:rPr>
        <w:t xml:space="preserve"> </w:t>
      </w:r>
      <w:r>
        <w:rPr>
          <w:rStyle w:val="rynqvb"/>
          <w:lang w:val="sq-AL"/>
        </w:rPr>
        <w:t>Gjithashtu rregullon përgjegjësitë e DPTP-së dhe të bashkive.</w:t>
      </w:r>
      <w:r>
        <w:rPr>
          <w:rStyle w:val="hwtze"/>
          <w:lang w:val="sq-AL"/>
        </w:rPr>
        <w:t xml:space="preserve"> </w:t>
      </w:r>
      <w:r>
        <w:rPr>
          <w:rStyle w:val="rynqvb"/>
          <w:lang w:val="sq-AL"/>
        </w:rPr>
        <w:t>Gjithashtu, përcakton mënyrën se si do të jetë bashkëpunimi ndërmjet institucioneve në drejtim të shkëmbimit të informacionit dhe integrimit/ndërlidhjes së sistemeve të informacionit.</w:t>
      </w:r>
      <w:r>
        <w:rPr>
          <w:rStyle w:val="hwtze"/>
          <w:lang w:val="sq-AL"/>
        </w:rPr>
        <w:t xml:space="preserve"> </w:t>
      </w:r>
      <w:r>
        <w:rPr>
          <w:rStyle w:val="rynqvb"/>
          <w:lang w:val="sq-AL"/>
        </w:rPr>
        <w:t>Gjithashtu, projektligji i ri rregullon mënyrat e faturimit dhe mbledhjes së taksave, si dhe mekanizmat e ank</w:t>
      </w:r>
      <w:r w:rsidR="000675E9">
        <w:rPr>
          <w:rStyle w:val="rynqvb"/>
          <w:lang w:val="sq-AL"/>
        </w:rPr>
        <w:t>imimeve</w:t>
      </w:r>
      <w:r>
        <w:rPr>
          <w:rStyle w:val="rynqvb"/>
          <w:lang w:val="sq-AL"/>
        </w:rPr>
        <w:t xml:space="preserve"> dhe a</w:t>
      </w:r>
      <w:r w:rsidR="000675E9">
        <w:rPr>
          <w:rStyle w:val="rynqvb"/>
          <w:lang w:val="sq-AL"/>
        </w:rPr>
        <w:t>pelimeve</w:t>
      </w:r>
      <w:r>
        <w:rPr>
          <w:rStyle w:val="rynqvb"/>
          <w:lang w:val="sq-AL"/>
        </w:rPr>
        <w:t>.</w:t>
      </w:r>
    </w:p>
    <w:p w14:paraId="500E647F" w14:textId="5A2D08CE" w:rsidR="008522A0" w:rsidRPr="009D660E" w:rsidRDefault="008522A0" w:rsidP="00EA6F1D">
      <w:pPr>
        <w:spacing w:line="276" w:lineRule="auto"/>
        <w:jc w:val="both"/>
        <w:rPr>
          <w:lang w:val="sq-AL"/>
        </w:rPr>
      </w:pPr>
    </w:p>
    <w:p w14:paraId="53323AD8" w14:textId="77777777" w:rsidR="008522A0" w:rsidRPr="009D660E" w:rsidRDefault="008522A0" w:rsidP="00EA6F1D">
      <w:pPr>
        <w:spacing w:line="276" w:lineRule="auto"/>
        <w:jc w:val="both"/>
        <w:rPr>
          <w:lang w:val="sq-AL"/>
        </w:rPr>
      </w:pPr>
    </w:p>
    <w:p w14:paraId="49086116" w14:textId="0B1B39AC" w:rsidR="008522A0" w:rsidRPr="009D660E" w:rsidRDefault="00A716B2" w:rsidP="00EA6F1D">
      <w:pPr>
        <w:pStyle w:val="H5"/>
        <w:spacing w:line="276" w:lineRule="auto"/>
        <w:jc w:val="both"/>
        <w:rPr>
          <w:lang w:val="it-IT"/>
        </w:rPr>
      </w:pPr>
      <w:r w:rsidRPr="009D660E">
        <w:rPr>
          <w:lang w:val="it-IT"/>
        </w:rPr>
        <w:t>Prioritetet</w:t>
      </w:r>
    </w:p>
    <w:p w14:paraId="6181630E" w14:textId="11DEC879" w:rsidR="008522A0" w:rsidRPr="009D660E" w:rsidRDefault="00057814" w:rsidP="00EA6F1D">
      <w:pPr>
        <w:spacing w:line="276" w:lineRule="auto"/>
        <w:jc w:val="both"/>
        <w:rPr>
          <w:lang w:val="it-IT"/>
        </w:rPr>
      </w:pPr>
      <w:r w:rsidRPr="009D660E">
        <w:rPr>
          <w:lang w:val="it-IT"/>
        </w:rPr>
        <w:t>Prioriteti kryesor p</w:t>
      </w:r>
      <w:r w:rsidR="00F1459A" w:rsidRPr="009D660E">
        <w:rPr>
          <w:lang w:val="it-IT"/>
        </w:rPr>
        <w:t>ë</w:t>
      </w:r>
      <w:r w:rsidRPr="009D660E">
        <w:rPr>
          <w:lang w:val="it-IT"/>
        </w:rPr>
        <w:t>r periudh</w:t>
      </w:r>
      <w:r w:rsidR="00F1459A" w:rsidRPr="009D660E">
        <w:rPr>
          <w:lang w:val="it-IT"/>
        </w:rPr>
        <w:t>ë</w:t>
      </w:r>
      <w:r w:rsidRPr="009D660E">
        <w:rPr>
          <w:lang w:val="it-IT"/>
        </w:rPr>
        <w:t>n 2023-20</w:t>
      </w:r>
      <w:r w:rsidR="00A70B91" w:rsidRPr="009D660E">
        <w:rPr>
          <w:lang w:val="it-IT"/>
        </w:rPr>
        <w:t>30</w:t>
      </w:r>
      <w:r w:rsidRPr="009D660E">
        <w:rPr>
          <w:lang w:val="it-IT"/>
        </w:rPr>
        <w:t xml:space="preserve"> </w:t>
      </w:r>
      <w:r w:rsidR="00F1459A" w:rsidRPr="009D660E">
        <w:rPr>
          <w:lang w:val="it-IT"/>
        </w:rPr>
        <w:t>ë</w:t>
      </w:r>
      <w:r w:rsidRPr="009D660E">
        <w:rPr>
          <w:lang w:val="it-IT"/>
        </w:rPr>
        <w:t>sht</w:t>
      </w:r>
      <w:r w:rsidR="00F1459A" w:rsidRPr="009D660E">
        <w:rPr>
          <w:lang w:val="it-IT"/>
        </w:rPr>
        <w:t>ë</w:t>
      </w:r>
      <w:r w:rsidRPr="009D660E">
        <w:rPr>
          <w:lang w:val="it-IT"/>
        </w:rPr>
        <w:t>:</w:t>
      </w:r>
    </w:p>
    <w:p w14:paraId="3BC1F6AA" w14:textId="58617D29" w:rsidR="008522A0" w:rsidRPr="009D660E" w:rsidRDefault="00ED3638" w:rsidP="00EA6F1D">
      <w:pPr>
        <w:pStyle w:val="N-Bullet"/>
        <w:spacing w:line="276" w:lineRule="auto"/>
        <w:jc w:val="both"/>
        <w:rPr>
          <w:lang w:val="it-IT"/>
        </w:rPr>
      </w:pPr>
      <w:r w:rsidRPr="009D660E">
        <w:rPr>
          <w:lang w:val="it-IT"/>
        </w:rPr>
        <w:t>P</w:t>
      </w:r>
      <w:r w:rsidR="00F1459A" w:rsidRPr="009D660E">
        <w:rPr>
          <w:lang w:val="it-IT"/>
        </w:rPr>
        <w:t>ë</w:t>
      </w:r>
      <w:r w:rsidRPr="009D660E">
        <w:rPr>
          <w:lang w:val="it-IT"/>
        </w:rPr>
        <w:t>rgatitja e kadastr</w:t>
      </w:r>
      <w:r w:rsidR="00F1459A" w:rsidRPr="009D660E">
        <w:rPr>
          <w:lang w:val="it-IT"/>
        </w:rPr>
        <w:t>ë</w:t>
      </w:r>
      <w:r w:rsidRPr="009D660E">
        <w:rPr>
          <w:lang w:val="it-IT"/>
        </w:rPr>
        <w:t xml:space="preserve">s fiskale dhe </w:t>
      </w:r>
      <w:r w:rsidR="000675E9" w:rsidRPr="009D660E">
        <w:rPr>
          <w:lang w:val="it-IT"/>
        </w:rPr>
        <w:t>zbatimi i taksimit bazuar në vlerën e tregut për ndërtesat duke filluar nga viti 2026</w:t>
      </w:r>
      <w:r w:rsidRPr="009D660E">
        <w:rPr>
          <w:lang w:val="it-IT"/>
        </w:rPr>
        <w:t>,</w:t>
      </w:r>
      <w:r w:rsidR="000675E9" w:rsidRPr="009D660E">
        <w:rPr>
          <w:lang w:val="it-IT"/>
        </w:rPr>
        <w:t xml:space="preserve"> si dhe zbatimi i taksimit bazuar në vlerën e tregut për parcelat duke filluar nga viti 2028,</w:t>
      </w:r>
      <w:r w:rsidRPr="009D660E">
        <w:rPr>
          <w:lang w:val="it-IT"/>
        </w:rPr>
        <w:t xml:space="preserve"> duke p</w:t>
      </w:r>
      <w:r w:rsidR="00F1459A" w:rsidRPr="009D660E">
        <w:rPr>
          <w:lang w:val="it-IT"/>
        </w:rPr>
        <w:t>ë</w:t>
      </w:r>
      <w:r w:rsidRPr="009D660E">
        <w:rPr>
          <w:lang w:val="it-IT"/>
        </w:rPr>
        <w:t>rfshir</w:t>
      </w:r>
      <w:r w:rsidR="00F1459A" w:rsidRPr="009D660E">
        <w:rPr>
          <w:lang w:val="it-IT"/>
        </w:rPr>
        <w:t>ë</w:t>
      </w:r>
      <w:r w:rsidRPr="009D660E">
        <w:rPr>
          <w:lang w:val="it-IT"/>
        </w:rPr>
        <w:t xml:space="preserve"> plot</w:t>
      </w:r>
      <w:r w:rsidR="00F1459A" w:rsidRPr="009D660E">
        <w:rPr>
          <w:lang w:val="it-IT"/>
        </w:rPr>
        <w:t>ë</w:t>
      </w:r>
      <w:r w:rsidRPr="009D660E">
        <w:rPr>
          <w:lang w:val="it-IT"/>
        </w:rPr>
        <w:t>simin e kuadrit ligjor dhe rregullator, finalizimin e Sistemit Informativ t</w:t>
      </w:r>
      <w:r w:rsidR="00F1459A" w:rsidRPr="009D660E">
        <w:rPr>
          <w:lang w:val="it-IT"/>
        </w:rPr>
        <w:t>ë</w:t>
      </w:r>
      <w:r w:rsidRPr="009D660E">
        <w:rPr>
          <w:lang w:val="it-IT"/>
        </w:rPr>
        <w:t xml:space="preserve"> Kadastr</w:t>
      </w:r>
      <w:r w:rsidR="00F1459A" w:rsidRPr="009D660E">
        <w:rPr>
          <w:lang w:val="it-IT"/>
        </w:rPr>
        <w:t>ë</w:t>
      </w:r>
      <w:r w:rsidRPr="009D660E">
        <w:rPr>
          <w:lang w:val="it-IT"/>
        </w:rPr>
        <w:t>s Fiskale me nd</w:t>
      </w:r>
      <w:r w:rsidR="00F1459A" w:rsidRPr="009D660E">
        <w:rPr>
          <w:lang w:val="it-IT"/>
        </w:rPr>
        <w:t>ë</w:t>
      </w:r>
      <w:r w:rsidRPr="009D660E">
        <w:rPr>
          <w:lang w:val="it-IT"/>
        </w:rPr>
        <w:t>rveprueshm</w:t>
      </w:r>
      <w:r w:rsidR="00F1459A" w:rsidRPr="009D660E">
        <w:rPr>
          <w:lang w:val="it-IT"/>
        </w:rPr>
        <w:t>ë</w:t>
      </w:r>
      <w:r w:rsidRPr="009D660E">
        <w:rPr>
          <w:lang w:val="it-IT"/>
        </w:rPr>
        <w:t>rin</w:t>
      </w:r>
      <w:r w:rsidR="00F1459A" w:rsidRPr="009D660E">
        <w:rPr>
          <w:lang w:val="it-IT"/>
        </w:rPr>
        <w:t>ë</w:t>
      </w:r>
      <w:r w:rsidRPr="009D660E">
        <w:rPr>
          <w:lang w:val="it-IT"/>
        </w:rPr>
        <w:t xml:space="preserve"> dhe integrimin me sistemet e tjera, duke adresuar k</w:t>
      </w:r>
      <w:r w:rsidR="00F1459A" w:rsidRPr="009D660E">
        <w:rPr>
          <w:lang w:val="it-IT"/>
        </w:rPr>
        <w:t>ë</w:t>
      </w:r>
      <w:r w:rsidRPr="009D660E">
        <w:rPr>
          <w:lang w:val="it-IT"/>
        </w:rPr>
        <w:t>rkesat e personelit dhe ngritjen e kapaciteteve t</w:t>
      </w:r>
      <w:r w:rsidR="00F1459A" w:rsidRPr="009D660E">
        <w:rPr>
          <w:lang w:val="it-IT"/>
        </w:rPr>
        <w:t>ë</w:t>
      </w:r>
      <w:r w:rsidRPr="009D660E">
        <w:rPr>
          <w:lang w:val="it-IT"/>
        </w:rPr>
        <w:t xml:space="preserve"> burimeve njer</w:t>
      </w:r>
      <w:r w:rsidR="00F1459A" w:rsidRPr="009D660E">
        <w:rPr>
          <w:lang w:val="it-IT"/>
        </w:rPr>
        <w:t>ë</w:t>
      </w:r>
      <w:r w:rsidRPr="009D660E">
        <w:rPr>
          <w:lang w:val="it-IT"/>
        </w:rPr>
        <w:t xml:space="preserve">zore. </w:t>
      </w:r>
    </w:p>
    <w:p w14:paraId="1E2F57E2" w14:textId="77777777" w:rsidR="00EA6F1D" w:rsidRPr="009D660E" w:rsidRDefault="00EA6F1D">
      <w:pPr>
        <w:spacing w:after="160" w:line="259" w:lineRule="auto"/>
        <w:rPr>
          <w:b/>
          <w:bCs/>
          <w:color w:val="0070C0"/>
          <w:lang w:val="it-IT"/>
        </w:rPr>
      </w:pPr>
    </w:p>
    <w:p w14:paraId="4E5E825E" w14:textId="3A579F5D" w:rsidR="008522A0" w:rsidRPr="001F151E" w:rsidRDefault="00A716B2" w:rsidP="008522A0">
      <w:pPr>
        <w:pStyle w:val="H5"/>
        <w:rPr>
          <w:lang w:val="en-GB"/>
        </w:rPr>
      </w:pPr>
      <w:r>
        <w:rPr>
          <w:lang w:val="en-G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05"/>
        <w:gridCol w:w="3625"/>
        <w:gridCol w:w="798"/>
        <w:gridCol w:w="798"/>
        <w:gridCol w:w="1790"/>
      </w:tblGrid>
      <w:tr w:rsidR="008522A0" w:rsidRPr="001F151E" w14:paraId="5474741B" w14:textId="77777777" w:rsidTr="008522A0">
        <w:trPr>
          <w:trHeight w:val="182"/>
          <w:tblHeader/>
        </w:trPr>
        <w:tc>
          <w:tcPr>
            <w:tcW w:w="2005" w:type="dxa"/>
            <w:shd w:val="clear" w:color="auto" w:fill="D9D9D9" w:themeFill="background1" w:themeFillShade="D9"/>
          </w:tcPr>
          <w:p w14:paraId="1ABC37B4" w14:textId="68AD1D78" w:rsidR="008522A0" w:rsidRPr="001F151E" w:rsidRDefault="008522A0" w:rsidP="00A716B2">
            <w:pPr>
              <w:pStyle w:val="T-bold"/>
              <w:spacing w:line="288" w:lineRule="auto"/>
            </w:pPr>
            <w:r w:rsidRPr="001F151E">
              <w:t>M</w:t>
            </w:r>
            <w:r w:rsidR="00A716B2">
              <w:t>asa</w:t>
            </w:r>
          </w:p>
        </w:tc>
        <w:tc>
          <w:tcPr>
            <w:tcW w:w="3625" w:type="dxa"/>
            <w:shd w:val="clear" w:color="auto" w:fill="D9D9D9" w:themeFill="background1" w:themeFillShade="D9"/>
          </w:tcPr>
          <w:p w14:paraId="41B1A8EA" w14:textId="2B1B304C" w:rsidR="008522A0" w:rsidRPr="001F151E" w:rsidRDefault="008522A0" w:rsidP="002B7FF8">
            <w:pPr>
              <w:pStyle w:val="T-bold"/>
              <w:spacing w:line="288" w:lineRule="auto"/>
            </w:pPr>
            <w:r w:rsidRPr="001F151E">
              <w:t>A</w:t>
            </w:r>
            <w:r w:rsidR="00A716B2">
              <w:t>ktiviteti</w:t>
            </w:r>
          </w:p>
        </w:tc>
        <w:tc>
          <w:tcPr>
            <w:tcW w:w="798" w:type="dxa"/>
            <w:shd w:val="clear" w:color="auto" w:fill="D9D9D9" w:themeFill="background1" w:themeFillShade="D9"/>
          </w:tcPr>
          <w:p w14:paraId="57A9FF82" w14:textId="2A6F28FF" w:rsidR="008522A0" w:rsidRPr="001F151E" w:rsidRDefault="00A716B2" w:rsidP="002B7FF8">
            <w:pPr>
              <w:pStyle w:val="T-bold"/>
              <w:spacing w:line="288" w:lineRule="auto"/>
              <w:jc w:val="center"/>
            </w:pPr>
            <w:r>
              <w:t>Fillimi</w:t>
            </w:r>
          </w:p>
        </w:tc>
        <w:tc>
          <w:tcPr>
            <w:tcW w:w="798" w:type="dxa"/>
            <w:shd w:val="clear" w:color="auto" w:fill="D9D9D9" w:themeFill="background1" w:themeFillShade="D9"/>
          </w:tcPr>
          <w:p w14:paraId="2FBC0AA6" w14:textId="0DC3D6BF" w:rsidR="008522A0" w:rsidRPr="001F151E" w:rsidRDefault="00A716B2" w:rsidP="002B7FF8">
            <w:pPr>
              <w:pStyle w:val="T-bold"/>
              <w:spacing w:line="288" w:lineRule="auto"/>
              <w:jc w:val="center"/>
            </w:pPr>
            <w:r>
              <w:t>Mbarimi</w:t>
            </w:r>
          </w:p>
        </w:tc>
        <w:tc>
          <w:tcPr>
            <w:tcW w:w="1790" w:type="dxa"/>
            <w:shd w:val="clear" w:color="auto" w:fill="D9D9D9" w:themeFill="background1" w:themeFillShade="D9"/>
          </w:tcPr>
          <w:p w14:paraId="5BF155C6" w14:textId="27BF5FDF" w:rsidR="008522A0" w:rsidRPr="001F151E" w:rsidRDefault="00A716B2" w:rsidP="002B7FF8">
            <w:pPr>
              <w:pStyle w:val="T-bold"/>
              <w:spacing w:line="288" w:lineRule="auto"/>
            </w:pPr>
            <w:r>
              <w:t>Grupet e interesit</w:t>
            </w:r>
          </w:p>
        </w:tc>
      </w:tr>
      <w:tr w:rsidR="008522A0" w:rsidRPr="001F151E" w14:paraId="1D23A7B5" w14:textId="77777777" w:rsidTr="00827A2C">
        <w:trPr>
          <w:trHeight w:val="335"/>
        </w:trPr>
        <w:tc>
          <w:tcPr>
            <w:tcW w:w="2005" w:type="dxa"/>
            <w:vMerge w:val="restart"/>
            <w:shd w:val="clear" w:color="auto" w:fill="auto"/>
          </w:tcPr>
          <w:p w14:paraId="12970E39" w14:textId="0C23E184" w:rsidR="008522A0" w:rsidRPr="001F151E" w:rsidRDefault="008522A0" w:rsidP="002B7FF8">
            <w:pPr>
              <w:pStyle w:val="EcorysBody"/>
              <w:rPr>
                <w:rFonts w:ascii="Arial" w:hAnsi="Arial" w:cs="Arial"/>
                <w:b/>
                <w:bCs/>
                <w:sz w:val="16"/>
                <w:szCs w:val="16"/>
              </w:rPr>
            </w:pPr>
            <w:r w:rsidRPr="001F151E">
              <w:rPr>
                <w:rFonts w:ascii="Arial" w:hAnsi="Arial" w:cs="Arial"/>
                <w:b/>
                <w:bCs/>
                <w:sz w:val="16"/>
                <w:szCs w:val="16"/>
              </w:rPr>
              <w:t>M</w:t>
            </w:r>
            <w:r w:rsidR="00A716B2">
              <w:rPr>
                <w:rFonts w:ascii="Arial" w:hAnsi="Arial" w:cs="Arial"/>
                <w:b/>
                <w:bCs/>
                <w:sz w:val="16"/>
                <w:szCs w:val="16"/>
              </w:rPr>
              <w:t>asa</w:t>
            </w:r>
            <w:r w:rsidRPr="001F151E">
              <w:rPr>
                <w:rFonts w:ascii="Arial" w:hAnsi="Arial" w:cs="Arial"/>
                <w:b/>
                <w:bCs/>
                <w:sz w:val="16"/>
                <w:szCs w:val="16"/>
              </w:rPr>
              <w:t xml:space="preserve"> 3.</w:t>
            </w:r>
            <w:r w:rsidR="00272B75" w:rsidRPr="001F151E">
              <w:rPr>
                <w:rFonts w:ascii="Arial" w:hAnsi="Arial" w:cs="Arial"/>
                <w:b/>
                <w:bCs/>
                <w:sz w:val="16"/>
                <w:szCs w:val="16"/>
              </w:rPr>
              <w:t>2</w:t>
            </w:r>
            <w:r w:rsidRPr="001F151E">
              <w:rPr>
                <w:rFonts w:ascii="Arial" w:hAnsi="Arial" w:cs="Arial"/>
                <w:b/>
                <w:bCs/>
                <w:sz w:val="16"/>
                <w:szCs w:val="16"/>
              </w:rPr>
              <w:t xml:space="preserve">.1  </w:t>
            </w:r>
            <w:r w:rsidR="00BD6C0A">
              <w:rPr>
                <w:rFonts w:ascii="Arial" w:hAnsi="Arial" w:cs="Arial"/>
                <w:b/>
                <w:bCs/>
                <w:sz w:val="16"/>
                <w:szCs w:val="16"/>
              </w:rPr>
              <w:t>P</w:t>
            </w:r>
            <w:r w:rsidR="00F1459A">
              <w:rPr>
                <w:rFonts w:ascii="Arial" w:hAnsi="Arial" w:cs="Arial"/>
                <w:b/>
                <w:bCs/>
                <w:sz w:val="16"/>
                <w:szCs w:val="16"/>
              </w:rPr>
              <w:t>ë</w:t>
            </w:r>
            <w:r w:rsidR="00BD6C0A">
              <w:rPr>
                <w:rFonts w:ascii="Arial" w:hAnsi="Arial" w:cs="Arial"/>
                <w:b/>
                <w:bCs/>
                <w:sz w:val="16"/>
                <w:szCs w:val="16"/>
              </w:rPr>
              <w:t>rmir</w:t>
            </w:r>
            <w:r w:rsidR="00F1459A">
              <w:rPr>
                <w:rFonts w:ascii="Arial" w:hAnsi="Arial" w:cs="Arial"/>
                <w:b/>
                <w:bCs/>
                <w:sz w:val="16"/>
                <w:szCs w:val="16"/>
              </w:rPr>
              <w:t>ë</w:t>
            </w:r>
            <w:r w:rsidR="00BD6C0A">
              <w:rPr>
                <w:rFonts w:ascii="Arial" w:hAnsi="Arial" w:cs="Arial"/>
                <w:b/>
                <w:bCs/>
                <w:sz w:val="16"/>
                <w:szCs w:val="16"/>
              </w:rPr>
              <w:t>simi i kadastr</w:t>
            </w:r>
            <w:r w:rsidR="00F1459A">
              <w:rPr>
                <w:rFonts w:ascii="Arial" w:hAnsi="Arial" w:cs="Arial"/>
                <w:b/>
                <w:bCs/>
                <w:sz w:val="16"/>
                <w:szCs w:val="16"/>
              </w:rPr>
              <w:t>ë</w:t>
            </w:r>
            <w:r w:rsidR="00BD6C0A">
              <w:rPr>
                <w:rFonts w:ascii="Arial" w:hAnsi="Arial" w:cs="Arial"/>
                <w:b/>
                <w:bCs/>
                <w:sz w:val="16"/>
                <w:szCs w:val="16"/>
              </w:rPr>
              <w:t>s fiskale dhe sistemit t</w:t>
            </w:r>
            <w:r w:rsidR="00F1459A">
              <w:rPr>
                <w:rFonts w:ascii="Arial" w:hAnsi="Arial" w:cs="Arial"/>
                <w:b/>
                <w:bCs/>
                <w:sz w:val="16"/>
                <w:szCs w:val="16"/>
              </w:rPr>
              <w:t>ë</w:t>
            </w:r>
            <w:r w:rsidR="00BD6C0A">
              <w:rPr>
                <w:rFonts w:ascii="Arial" w:hAnsi="Arial" w:cs="Arial"/>
                <w:b/>
                <w:bCs/>
                <w:sz w:val="16"/>
                <w:szCs w:val="16"/>
              </w:rPr>
              <w:t xml:space="preserve"> mbledhjes s</w:t>
            </w:r>
            <w:r w:rsidR="00F1459A">
              <w:rPr>
                <w:rFonts w:ascii="Arial" w:hAnsi="Arial" w:cs="Arial"/>
                <w:b/>
                <w:bCs/>
                <w:sz w:val="16"/>
                <w:szCs w:val="16"/>
              </w:rPr>
              <w:t>ë</w:t>
            </w:r>
            <w:r w:rsidR="00BD6C0A">
              <w:rPr>
                <w:rFonts w:ascii="Arial" w:hAnsi="Arial" w:cs="Arial"/>
                <w:b/>
                <w:bCs/>
                <w:sz w:val="16"/>
                <w:szCs w:val="16"/>
              </w:rPr>
              <w:t xml:space="preserve"> taks</w:t>
            </w:r>
            <w:r w:rsidR="00F1459A">
              <w:rPr>
                <w:rFonts w:ascii="Arial" w:hAnsi="Arial" w:cs="Arial"/>
                <w:b/>
                <w:bCs/>
                <w:sz w:val="16"/>
                <w:szCs w:val="16"/>
              </w:rPr>
              <w:t>ë</w:t>
            </w:r>
            <w:r w:rsidR="00BD6C0A">
              <w:rPr>
                <w:rFonts w:ascii="Arial" w:hAnsi="Arial" w:cs="Arial"/>
                <w:b/>
                <w:bCs/>
                <w:sz w:val="16"/>
                <w:szCs w:val="16"/>
              </w:rPr>
              <w:t>s s</w:t>
            </w:r>
            <w:r w:rsidR="00F1459A">
              <w:rPr>
                <w:rFonts w:ascii="Arial" w:hAnsi="Arial" w:cs="Arial"/>
                <w:b/>
                <w:bCs/>
                <w:sz w:val="16"/>
                <w:szCs w:val="16"/>
              </w:rPr>
              <w:t>ë</w:t>
            </w:r>
            <w:r w:rsidR="00BD6C0A">
              <w:rPr>
                <w:rFonts w:ascii="Arial" w:hAnsi="Arial" w:cs="Arial"/>
                <w:b/>
                <w:bCs/>
                <w:sz w:val="16"/>
                <w:szCs w:val="16"/>
              </w:rPr>
              <w:t xml:space="preserve"> pasuris</w:t>
            </w:r>
            <w:r w:rsidR="00F1459A">
              <w:rPr>
                <w:rFonts w:ascii="Arial" w:hAnsi="Arial" w:cs="Arial"/>
                <w:b/>
                <w:bCs/>
                <w:sz w:val="16"/>
                <w:szCs w:val="16"/>
              </w:rPr>
              <w:t>ë</w:t>
            </w:r>
          </w:p>
          <w:p w14:paraId="48094F16" w14:textId="77777777" w:rsidR="008522A0" w:rsidRPr="001F151E" w:rsidRDefault="008522A0" w:rsidP="002B7FF8">
            <w:pPr>
              <w:pStyle w:val="EcorysBody"/>
              <w:spacing w:line="288" w:lineRule="auto"/>
              <w:rPr>
                <w:rFonts w:ascii="Arial" w:hAnsi="Arial" w:cs="Arial"/>
                <w:b/>
                <w:bCs/>
                <w:sz w:val="16"/>
                <w:szCs w:val="16"/>
              </w:rPr>
            </w:pPr>
          </w:p>
        </w:tc>
        <w:tc>
          <w:tcPr>
            <w:tcW w:w="3625" w:type="dxa"/>
            <w:vAlign w:val="center"/>
          </w:tcPr>
          <w:p w14:paraId="282BE98B" w14:textId="6F3CD8BB" w:rsidR="008522A0" w:rsidRPr="001F151E" w:rsidRDefault="00BD6C0A" w:rsidP="00F70D9A">
            <w:pPr>
              <w:pStyle w:val="EcorysBody"/>
              <w:numPr>
                <w:ilvl w:val="0"/>
                <w:numId w:val="13"/>
              </w:numPr>
              <w:spacing w:line="288" w:lineRule="auto"/>
              <w:rPr>
                <w:rFonts w:ascii="Arial" w:hAnsi="Arial" w:cs="Arial"/>
                <w:sz w:val="16"/>
                <w:szCs w:val="16"/>
              </w:rPr>
            </w:pPr>
            <w:r w:rsidRPr="00644365">
              <w:rPr>
                <w:rFonts w:ascii="Arial" w:hAnsi="Arial" w:cs="Arial"/>
                <w:sz w:val="16"/>
                <w:szCs w:val="16"/>
              </w:rPr>
              <w:t xml:space="preserve">Hartimi dhe miratimi </w:t>
            </w:r>
            <w:r w:rsidR="00F70D9A" w:rsidRPr="00644365">
              <w:rPr>
                <w:rFonts w:ascii="Arial" w:hAnsi="Arial" w:cs="Arial"/>
                <w:sz w:val="16"/>
                <w:szCs w:val="16"/>
              </w:rPr>
              <w:t xml:space="preserve">i </w:t>
            </w:r>
            <w:r w:rsidRPr="00644365">
              <w:rPr>
                <w:rFonts w:ascii="Arial" w:hAnsi="Arial" w:cs="Arial"/>
                <w:sz w:val="16"/>
                <w:szCs w:val="16"/>
              </w:rPr>
              <w:t>kuadrit ligjor (</w:t>
            </w:r>
            <w:r w:rsidR="00FE43E6" w:rsidRPr="00644365">
              <w:rPr>
                <w:rFonts w:ascii="Arial" w:hAnsi="Arial" w:cs="Arial"/>
                <w:sz w:val="16"/>
                <w:szCs w:val="16"/>
              </w:rPr>
              <w:t xml:space="preserve">aktet </w:t>
            </w:r>
            <w:r w:rsidRPr="00644365">
              <w:rPr>
                <w:rFonts w:ascii="Arial" w:hAnsi="Arial" w:cs="Arial"/>
                <w:sz w:val="16"/>
                <w:szCs w:val="16"/>
              </w:rPr>
              <w:t xml:space="preserve">ligjore dhe </w:t>
            </w:r>
            <w:r w:rsidR="00FE43E6" w:rsidRPr="00644365">
              <w:rPr>
                <w:rFonts w:ascii="Arial" w:hAnsi="Arial" w:cs="Arial"/>
                <w:sz w:val="16"/>
                <w:szCs w:val="16"/>
              </w:rPr>
              <w:t xml:space="preserve">aktet </w:t>
            </w:r>
            <w:r w:rsidRPr="00644365">
              <w:rPr>
                <w:rFonts w:ascii="Arial" w:hAnsi="Arial" w:cs="Arial"/>
                <w:sz w:val="16"/>
                <w:szCs w:val="16"/>
              </w:rPr>
              <w:t>n</w:t>
            </w:r>
            <w:r w:rsidR="00F1459A" w:rsidRPr="00644365">
              <w:rPr>
                <w:rFonts w:ascii="Arial" w:hAnsi="Arial" w:cs="Arial"/>
                <w:sz w:val="16"/>
                <w:szCs w:val="16"/>
              </w:rPr>
              <w:t>ë</w:t>
            </w:r>
            <w:r w:rsidRPr="00644365">
              <w:rPr>
                <w:rFonts w:ascii="Arial" w:hAnsi="Arial" w:cs="Arial"/>
                <w:sz w:val="16"/>
                <w:szCs w:val="16"/>
              </w:rPr>
              <w:t>nligjore) p</w:t>
            </w:r>
            <w:r w:rsidR="00F1459A" w:rsidRPr="00644365">
              <w:rPr>
                <w:rFonts w:ascii="Arial" w:hAnsi="Arial" w:cs="Arial"/>
                <w:sz w:val="16"/>
                <w:szCs w:val="16"/>
              </w:rPr>
              <w:t>ë</w:t>
            </w:r>
            <w:r w:rsidRPr="00644365">
              <w:rPr>
                <w:rFonts w:ascii="Arial" w:hAnsi="Arial" w:cs="Arial"/>
                <w:sz w:val="16"/>
                <w:szCs w:val="16"/>
              </w:rPr>
              <w:t>r kadastr</w:t>
            </w:r>
            <w:r w:rsidR="00F1459A" w:rsidRPr="00644365">
              <w:rPr>
                <w:rFonts w:ascii="Arial" w:hAnsi="Arial" w:cs="Arial"/>
                <w:sz w:val="16"/>
                <w:szCs w:val="16"/>
              </w:rPr>
              <w:t>ë</w:t>
            </w:r>
            <w:r w:rsidRPr="00644365">
              <w:rPr>
                <w:rFonts w:ascii="Arial" w:hAnsi="Arial" w:cs="Arial"/>
                <w:sz w:val="16"/>
                <w:szCs w:val="16"/>
              </w:rPr>
              <w:t>n fiskale, taks</w:t>
            </w:r>
            <w:r w:rsidR="00F1459A" w:rsidRPr="00644365">
              <w:rPr>
                <w:rFonts w:ascii="Arial" w:hAnsi="Arial" w:cs="Arial"/>
                <w:sz w:val="16"/>
                <w:szCs w:val="16"/>
              </w:rPr>
              <w:t>ë</w:t>
            </w:r>
            <w:r w:rsidRPr="00644365">
              <w:rPr>
                <w:rFonts w:ascii="Arial" w:hAnsi="Arial" w:cs="Arial"/>
                <w:sz w:val="16"/>
                <w:szCs w:val="16"/>
              </w:rPr>
              <w:t>n mbi tok</w:t>
            </w:r>
            <w:r w:rsidR="00F1459A" w:rsidRPr="00644365">
              <w:rPr>
                <w:rFonts w:ascii="Arial" w:hAnsi="Arial" w:cs="Arial"/>
                <w:sz w:val="16"/>
                <w:szCs w:val="16"/>
              </w:rPr>
              <w:t>ë</w:t>
            </w:r>
            <w:r w:rsidRPr="00644365">
              <w:rPr>
                <w:rFonts w:ascii="Arial" w:hAnsi="Arial" w:cs="Arial"/>
                <w:sz w:val="16"/>
                <w:szCs w:val="16"/>
              </w:rPr>
              <w:t>n dhe pasurin</w:t>
            </w:r>
            <w:r w:rsidR="00F1459A" w:rsidRPr="00644365">
              <w:rPr>
                <w:rFonts w:ascii="Arial" w:hAnsi="Arial" w:cs="Arial"/>
                <w:sz w:val="16"/>
                <w:szCs w:val="16"/>
              </w:rPr>
              <w:t>ë</w:t>
            </w:r>
            <w:r w:rsidR="00FE43E6" w:rsidRPr="00644365">
              <w:rPr>
                <w:rFonts w:ascii="Arial" w:hAnsi="Arial" w:cs="Arial"/>
                <w:sz w:val="16"/>
                <w:szCs w:val="16"/>
              </w:rPr>
              <w:t xml:space="preserve"> e paluajtshme</w:t>
            </w:r>
            <w:r w:rsidR="00F70D9A" w:rsidRPr="00644365">
              <w:rPr>
                <w:rFonts w:ascii="Arial" w:hAnsi="Arial" w:cs="Arial"/>
                <w:sz w:val="16"/>
                <w:szCs w:val="16"/>
              </w:rPr>
              <w:t xml:space="preserve"> dhe aktin n</w:t>
            </w:r>
            <w:r w:rsidR="00F1459A" w:rsidRPr="00644365">
              <w:rPr>
                <w:rFonts w:ascii="Arial" w:hAnsi="Arial" w:cs="Arial"/>
                <w:sz w:val="16"/>
                <w:szCs w:val="16"/>
              </w:rPr>
              <w:t>ë</w:t>
            </w:r>
            <w:r w:rsidR="00F70D9A" w:rsidRPr="00644365">
              <w:rPr>
                <w:rFonts w:ascii="Arial" w:hAnsi="Arial" w:cs="Arial"/>
                <w:sz w:val="16"/>
                <w:szCs w:val="16"/>
              </w:rPr>
              <w:t>nligjor p</w:t>
            </w:r>
            <w:r w:rsidR="00F1459A" w:rsidRPr="00644365">
              <w:rPr>
                <w:rFonts w:ascii="Arial" w:hAnsi="Arial" w:cs="Arial"/>
                <w:sz w:val="16"/>
                <w:szCs w:val="16"/>
              </w:rPr>
              <w:t>ë</w:t>
            </w:r>
            <w:r w:rsidR="00F70D9A" w:rsidRPr="00644365">
              <w:rPr>
                <w:rFonts w:ascii="Arial" w:hAnsi="Arial" w:cs="Arial"/>
                <w:sz w:val="16"/>
                <w:szCs w:val="16"/>
              </w:rPr>
              <w:t>r vler</w:t>
            </w:r>
            <w:r w:rsidR="00F1459A" w:rsidRPr="00644365">
              <w:rPr>
                <w:rFonts w:ascii="Arial" w:hAnsi="Arial" w:cs="Arial"/>
                <w:sz w:val="16"/>
                <w:szCs w:val="16"/>
              </w:rPr>
              <w:t>ë</w:t>
            </w:r>
            <w:r w:rsidR="00F70D9A" w:rsidRPr="00644365">
              <w:rPr>
                <w:rFonts w:ascii="Arial" w:hAnsi="Arial" w:cs="Arial"/>
                <w:sz w:val="16"/>
                <w:szCs w:val="16"/>
              </w:rPr>
              <w:t>simin e tok</w:t>
            </w:r>
            <w:r w:rsidR="00F1459A" w:rsidRPr="00644365">
              <w:rPr>
                <w:rFonts w:ascii="Arial" w:hAnsi="Arial" w:cs="Arial"/>
                <w:sz w:val="16"/>
                <w:szCs w:val="16"/>
              </w:rPr>
              <w:t>ë</w:t>
            </w:r>
            <w:r w:rsidR="00F70D9A" w:rsidRPr="00644365">
              <w:rPr>
                <w:rFonts w:ascii="Arial" w:hAnsi="Arial" w:cs="Arial"/>
                <w:sz w:val="16"/>
                <w:szCs w:val="16"/>
              </w:rPr>
              <w:t>s dhe pasuris</w:t>
            </w:r>
            <w:r w:rsidR="00F1459A" w:rsidRPr="00644365">
              <w:rPr>
                <w:rFonts w:ascii="Arial" w:hAnsi="Arial" w:cs="Arial"/>
                <w:sz w:val="16"/>
                <w:szCs w:val="16"/>
              </w:rPr>
              <w:t>ë</w:t>
            </w:r>
            <w:r w:rsidR="008522A0" w:rsidRPr="00644365">
              <w:rPr>
                <w:rFonts w:ascii="Arial" w:hAnsi="Arial" w:cs="Arial"/>
                <w:sz w:val="16"/>
                <w:szCs w:val="16"/>
              </w:rPr>
              <w:t>.</w:t>
            </w:r>
          </w:p>
        </w:tc>
        <w:tc>
          <w:tcPr>
            <w:tcW w:w="798" w:type="dxa"/>
            <w:shd w:val="clear" w:color="auto" w:fill="auto"/>
            <w:vAlign w:val="center"/>
          </w:tcPr>
          <w:p w14:paraId="37AB3836" w14:textId="532E9811" w:rsidR="008522A0" w:rsidRPr="001F151E" w:rsidRDefault="00A716B2" w:rsidP="00E424A5">
            <w:pPr>
              <w:pStyle w:val="T-normal"/>
            </w:pPr>
            <w:r>
              <w:t>T</w:t>
            </w:r>
            <w:r w:rsidR="008522A0" w:rsidRPr="001F151E">
              <w:t>1 2023</w:t>
            </w:r>
          </w:p>
        </w:tc>
        <w:tc>
          <w:tcPr>
            <w:tcW w:w="798" w:type="dxa"/>
            <w:shd w:val="clear" w:color="auto" w:fill="auto"/>
            <w:vAlign w:val="center"/>
          </w:tcPr>
          <w:p w14:paraId="3E984ABB" w14:textId="59A1CE14" w:rsidR="008522A0" w:rsidRPr="001F151E" w:rsidRDefault="00A716B2" w:rsidP="00E424A5">
            <w:pPr>
              <w:pStyle w:val="T-normal"/>
            </w:pPr>
            <w:r>
              <w:t>T</w:t>
            </w:r>
            <w:r w:rsidR="008522A0" w:rsidRPr="001F151E">
              <w:t>4 202</w:t>
            </w:r>
            <w:r w:rsidR="00D0425D" w:rsidRPr="001F151E">
              <w:t>5</w:t>
            </w:r>
          </w:p>
        </w:tc>
        <w:tc>
          <w:tcPr>
            <w:tcW w:w="1790" w:type="dxa"/>
            <w:vMerge w:val="restart"/>
          </w:tcPr>
          <w:p w14:paraId="7377BCF9" w14:textId="3FF3B29D" w:rsidR="008522A0" w:rsidRPr="001F151E" w:rsidRDefault="00A716B2" w:rsidP="002B7FF8">
            <w:pPr>
              <w:rPr>
                <w:b/>
                <w:bCs/>
                <w:sz w:val="16"/>
                <w:szCs w:val="16"/>
              </w:rPr>
            </w:pPr>
            <w:r>
              <w:rPr>
                <w:b/>
                <w:bCs/>
                <w:sz w:val="16"/>
                <w:szCs w:val="16"/>
              </w:rPr>
              <w:t>Nj</w:t>
            </w:r>
            <w:r w:rsidR="00F1459A">
              <w:rPr>
                <w:b/>
                <w:bCs/>
                <w:sz w:val="16"/>
                <w:szCs w:val="16"/>
              </w:rPr>
              <w:t>ë</w:t>
            </w:r>
            <w:r>
              <w:rPr>
                <w:b/>
                <w:bCs/>
                <w:sz w:val="16"/>
                <w:szCs w:val="16"/>
              </w:rPr>
              <w:t>sit</w:t>
            </w:r>
            <w:r w:rsidR="00F1459A">
              <w:rPr>
                <w:b/>
                <w:bCs/>
                <w:sz w:val="16"/>
                <w:szCs w:val="16"/>
              </w:rPr>
              <w:t>ë</w:t>
            </w:r>
            <w:r>
              <w:rPr>
                <w:b/>
                <w:bCs/>
                <w:sz w:val="16"/>
                <w:szCs w:val="16"/>
              </w:rPr>
              <w:t xml:space="preserve"> p</w:t>
            </w:r>
            <w:r w:rsidR="00F1459A">
              <w:rPr>
                <w:b/>
                <w:bCs/>
                <w:sz w:val="16"/>
                <w:szCs w:val="16"/>
              </w:rPr>
              <w:t>ë</w:t>
            </w:r>
            <w:r>
              <w:rPr>
                <w:b/>
                <w:bCs/>
                <w:sz w:val="16"/>
                <w:szCs w:val="16"/>
              </w:rPr>
              <w:t>rgjegj</w:t>
            </w:r>
            <w:r w:rsidR="00F1459A">
              <w:rPr>
                <w:b/>
                <w:bCs/>
                <w:sz w:val="16"/>
                <w:szCs w:val="16"/>
              </w:rPr>
              <w:t>ë</w:t>
            </w:r>
            <w:r>
              <w:rPr>
                <w:b/>
                <w:bCs/>
                <w:sz w:val="16"/>
                <w:szCs w:val="16"/>
              </w:rPr>
              <w:t>se</w:t>
            </w:r>
          </w:p>
          <w:p w14:paraId="5399A2E1" w14:textId="53FCEC4A" w:rsidR="008522A0" w:rsidRPr="001F151E" w:rsidRDefault="00F324EF" w:rsidP="002B7FF8">
            <w:pPr>
              <w:rPr>
                <w:sz w:val="16"/>
                <w:szCs w:val="16"/>
              </w:rPr>
            </w:pPr>
            <w:r>
              <w:rPr>
                <w:sz w:val="16"/>
                <w:szCs w:val="16"/>
              </w:rPr>
              <w:t xml:space="preserve">MF(lider) </w:t>
            </w:r>
            <w:r w:rsidR="00A716B2">
              <w:rPr>
                <w:sz w:val="16"/>
                <w:szCs w:val="16"/>
              </w:rPr>
              <w:t>DPTP (lider</w:t>
            </w:r>
            <w:r w:rsidR="008522A0" w:rsidRPr="001F151E">
              <w:rPr>
                <w:sz w:val="16"/>
                <w:szCs w:val="16"/>
              </w:rPr>
              <w:t>)</w:t>
            </w:r>
          </w:p>
          <w:p w14:paraId="480A667B" w14:textId="77777777" w:rsidR="008522A0" w:rsidRPr="001F151E" w:rsidRDefault="008522A0" w:rsidP="002B7FF8">
            <w:pPr>
              <w:rPr>
                <w:sz w:val="16"/>
                <w:szCs w:val="16"/>
              </w:rPr>
            </w:pPr>
          </w:p>
          <w:p w14:paraId="520A673B" w14:textId="4E3D6FD6" w:rsidR="008522A0" w:rsidRPr="001F151E" w:rsidRDefault="00A716B2" w:rsidP="002B7FF8">
            <w:pPr>
              <w:rPr>
                <w:b/>
                <w:bCs/>
                <w:sz w:val="16"/>
                <w:szCs w:val="16"/>
              </w:rPr>
            </w:pPr>
            <w:r>
              <w:rPr>
                <w:b/>
                <w:bCs/>
                <w:sz w:val="16"/>
                <w:szCs w:val="16"/>
              </w:rPr>
              <w:t>Partner</w:t>
            </w:r>
            <w:r w:rsidR="00F1459A">
              <w:rPr>
                <w:b/>
                <w:bCs/>
                <w:sz w:val="16"/>
                <w:szCs w:val="16"/>
              </w:rPr>
              <w:t>ë</w:t>
            </w:r>
            <w:r>
              <w:rPr>
                <w:b/>
                <w:bCs/>
                <w:sz w:val="16"/>
                <w:szCs w:val="16"/>
              </w:rPr>
              <w:t>t</w:t>
            </w:r>
          </w:p>
          <w:p w14:paraId="74272782" w14:textId="3401A690" w:rsidR="008522A0" w:rsidRPr="001F151E" w:rsidRDefault="00F324EF" w:rsidP="00F324EF">
            <w:r>
              <w:rPr>
                <w:sz w:val="16"/>
                <w:szCs w:val="16"/>
              </w:rPr>
              <w:t>Agjencia Suedeze për Bashkëpunim dhe Zhvillim Ndërkombëtar (</w:t>
            </w:r>
            <w:r w:rsidR="008522A0" w:rsidRPr="001F151E">
              <w:rPr>
                <w:sz w:val="16"/>
                <w:szCs w:val="16"/>
              </w:rPr>
              <w:t>SIDA</w:t>
            </w:r>
            <w:r>
              <w:rPr>
                <w:sz w:val="16"/>
                <w:szCs w:val="16"/>
              </w:rPr>
              <w:t>)</w:t>
            </w:r>
            <w:r w:rsidR="00896C29" w:rsidRPr="001F151E">
              <w:rPr>
                <w:sz w:val="16"/>
                <w:szCs w:val="16"/>
              </w:rPr>
              <w:t>, ProTax Albania Project</w:t>
            </w:r>
            <w:r w:rsidR="004F1194" w:rsidRPr="001F151E">
              <w:rPr>
                <w:sz w:val="16"/>
                <w:szCs w:val="16"/>
              </w:rPr>
              <w:t>,</w:t>
            </w:r>
            <w:r w:rsidR="00D0425D" w:rsidRPr="001F151E">
              <w:rPr>
                <w:rStyle w:val="FootnoteReference"/>
              </w:rPr>
              <w:footnoteReference w:id="44"/>
            </w:r>
            <w:r w:rsidR="004F1194" w:rsidRPr="001F151E">
              <w:rPr>
                <w:sz w:val="16"/>
                <w:szCs w:val="16"/>
              </w:rPr>
              <w:t xml:space="preserve"> </w:t>
            </w:r>
            <w:r>
              <w:rPr>
                <w:sz w:val="16"/>
                <w:szCs w:val="16"/>
              </w:rPr>
              <w:t>dhe</w:t>
            </w:r>
            <w:r w:rsidR="00896C29">
              <w:rPr>
                <w:sz w:val="16"/>
                <w:szCs w:val="16"/>
              </w:rPr>
              <w:t xml:space="preserve"> </w:t>
            </w:r>
            <w:r>
              <w:rPr>
                <w:sz w:val="16"/>
                <w:szCs w:val="16"/>
              </w:rPr>
              <w:t>Agjencia Suedeze e Taksave</w:t>
            </w:r>
          </w:p>
        </w:tc>
      </w:tr>
      <w:tr w:rsidR="008522A0" w:rsidRPr="001F151E" w14:paraId="4DA70C05" w14:textId="77777777" w:rsidTr="00827A2C">
        <w:trPr>
          <w:trHeight w:val="20"/>
        </w:trPr>
        <w:tc>
          <w:tcPr>
            <w:tcW w:w="2005" w:type="dxa"/>
            <w:vMerge/>
            <w:shd w:val="clear" w:color="auto" w:fill="auto"/>
          </w:tcPr>
          <w:p w14:paraId="7BE5796E" w14:textId="77777777" w:rsidR="008522A0" w:rsidRPr="001F151E" w:rsidRDefault="008522A0" w:rsidP="002B7FF8">
            <w:pPr>
              <w:pStyle w:val="EcorysBody"/>
              <w:rPr>
                <w:rFonts w:ascii="Arial" w:hAnsi="Arial" w:cs="Arial"/>
                <w:b/>
                <w:bCs/>
                <w:sz w:val="16"/>
                <w:szCs w:val="16"/>
              </w:rPr>
            </w:pPr>
          </w:p>
        </w:tc>
        <w:tc>
          <w:tcPr>
            <w:tcW w:w="3625" w:type="dxa"/>
            <w:vAlign w:val="center"/>
          </w:tcPr>
          <w:p w14:paraId="2D707762" w14:textId="572D20C5" w:rsidR="008522A0" w:rsidRPr="001F151E" w:rsidRDefault="00E309E2" w:rsidP="00FE43E6">
            <w:pPr>
              <w:pStyle w:val="EcorysBody"/>
              <w:numPr>
                <w:ilvl w:val="0"/>
                <w:numId w:val="13"/>
              </w:numPr>
              <w:spacing w:line="288" w:lineRule="auto"/>
              <w:rPr>
                <w:rFonts w:ascii="Arial" w:hAnsi="Arial" w:cs="Arial"/>
                <w:sz w:val="16"/>
                <w:szCs w:val="16"/>
              </w:rPr>
            </w:pPr>
            <w:r>
              <w:rPr>
                <w:rFonts w:ascii="Arial" w:hAnsi="Arial" w:cs="Arial"/>
                <w:sz w:val="16"/>
                <w:szCs w:val="16"/>
              </w:rPr>
              <w:t>Hartimi i</w:t>
            </w:r>
            <w:r w:rsidR="00F70D9A">
              <w:rPr>
                <w:rFonts w:ascii="Arial" w:hAnsi="Arial" w:cs="Arial"/>
                <w:sz w:val="16"/>
                <w:szCs w:val="16"/>
              </w:rPr>
              <w:t xml:space="preserve"> kuadrit institucional p</w:t>
            </w:r>
            <w:r w:rsidR="00F1459A">
              <w:rPr>
                <w:rFonts w:ascii="Arial" w:hAnsi="Arial" w:cs="Arial"/>
                <w:sz w:val="16"/>
                <w:szCs w:val="16"/>
              </w:rPr>
              <w:t>ë</w:t>
            </w:r>
            <w:r w:rsidR="00F70D9A">
              <w:rPr>
                <w:rFonts w:ascii="Arial" w:hAnsi="Arial" w:cs="Arial"/>
                <w:sz w:val="16"/>
                <w:szCs w:val="16"/>
              </w:rPr>
              <w:t>r menaxhimin dhe administrimin e taks</w:t>
            </w:r>
            <w:r w:rsidR="00F1459A">
              <w:rPr>
                <w:rFonts w:ascii="Arial" w:hAnsi="Arial" w:cs="Arial"/>
                <w:sz w:val="16"/>
                <w:szCs w:val="16"/>
              </w:rPr>
              <w:t>ë</w:t>
            </w:r>
            <w:r w:rsidR="00F70D9A">
              <w:rPr>
                <w:rFonts w:ascii="Arial" w:hAnsi="Arial" w:cs="Arial"/>
                <w:sz w:val="16"/>
                <w:szCs w:val="16"/>
              </w:rPr>
              <w:t xml:space="preserve">s </w:t>
            </w:r>
            <w:r w:rsidR="00FE43E6">
              <w:rPr>
                <w:rFonts w:ascii="Arial" w:hAnsi="Arial" w:cs="Arial"/>
                <w:sz w:val="16"/>
                <w:szCs w:val="16"/>
              </w:rPr>
              <w:t>mbi</w:t>
            </w:r>
            <w:r w:rsidR="00F70D9A">
              <w:rPr>
                <w:rFonts w:ascii="Arial" w:hAnsi="Arial" w:cs="Arial"/>
                <w:sz w:val="16"/>
                <w:szCs w:val="16"/>
              </w:rPr>
              <w:t xml:space="preserve"> nd</w:t>
            </w:r>
            <w:r w:rsidR="00F1459A">
              <w:rPr>
                <w:rFonts w:ascii="Arial" w:hAnsi="Arial" w:cs="Arial"/>
                <w:sz w:val="16"/>
                <w:szCs w:val="16"/>
              </w:rPr>
              <w:t>ë</w:t>
            </w:r>
            <w:r w:rsidR="00F70D9A">
              <w:rPr>
                <w:rFonts w:ascii="Arial" w:hAnsi="Arial" w:cs="Arial"/>
                <w:sz w:val="16"/>
                <w:szCs w:val="16"/>
              </w:rPr>
              <w:t>rtes</w:t>
            </w:r>
            <w:r w:rsidR="00F1459A">
              <w:rPr>
                <w:rFonts w:ascii="Arial" w:hAnsi="Arial" w:cs="Arial"/>
                <w:sz w:val="16"/>
                <w:szCs w:val="16"/>
              </w:rPr>
              <w:t>ë</w:t>
            </w:r>
            <w:r w:rsidR="00FE43E6">
              <w:rPr>
                <w:rFonts w:ascii="Arial" w:hAnsi="Arial" w:cs="Arial"/>
                <w:sz w:val="16"/>
                <w:szCs w:val="16"/>
              </w:rPr>
              <w:t>n</w:t>
            </w:r>
          </w:p>
        </w:tc>
        <w:tc>
          <w:tcPr>
            <w:tcW w:w="798" w:type="dxa"/>
            <w:shd w:val="clear" w:color="auto" w:fill="auto"/>
            <w:vAlign w:val="center"/>
          </w:tcPr>
          <w:p w14:paraId="4EA0BF58" w14:textId="507458A1" w:rsidR="008522A0" w:rsidRPr="001F151E" w:rsidRDefault="00A716B2" w:rsidP="00E424A5">
            <w:pPr>
              <w:pStyle w:val="T-normal"/>
              <w:jc w:val="center"/>
            </w:pPr>
            <w:r>
              <w:t>T</w:t>
            </w:r>
            <w:r w:rsidR="008522A0" w:rsidRPr="001F151E">
              <w:t>4 2024</w:t>
            </w:r>
          </w:p>
        </w:tc>
        <w:tc>
          <w:tcPr>
            <w:tcW w:w="798" w:type="dxa"/>
            <w:shd w:val="clear" w:color="auto" w:fill="auto"/>
            <w:vAlign w:val="center"/>
          </w:tcPr>
          <w:p w14:paraId="07D97D85" w14:textId="2B8E025B" w:rsidR="008522A0" w:rsidRPr="001F151E" w:rsidRDefault="00A716B2" w:rsidP="00E424A5">
            <w:pPr>
              <w:pStyle w:val="T-normal"/>
              <w:jc w:val="center"/>
            </w:pPr>
            <w:r>
              <w:t>T</w:t>
            </w:r>
            <w:r w:rsidR="008522A0" w:rsidRPr="001F151E">
              <w:t>1 202</w:t>
            </w:r>
            <w:r w:rsidR="00D0425D" w:rsidRPr="001F151E">
              <w:t>6</w:t>
            </w:r>
          </w:p>
        </w:tc>
        <w:tc>
          <w:tcPr>
            <w:tcW w:w="1790" w:type="dxa"/>
            <w:vMerge/>
          </w:tcPr>
          <w:p w14:paraId="3DB11608" w14:textId="77777777" w:rsidR="008522A0" w:rsidRPr="001F151E" w:rsidRDefault="008522A0" w:rsidP="002B7FF8">
            <w:pPr>
              <w:rPr>
                <w:b/>
                <w:bCs/>
                <w:sz w:val="16"/>
                <w:szCs w:val="16"/>
              </w:rPr>
            </w:pPr>
          </w:p>
        </w:tc>
      </w:tr>
      <w:tr w:rsidR="008522A0" w:rsidRPr="001F151E" w14:paraId="3B9FCFB2" w14:textId="77777777" w:rsidTr="00827A2C">
        <w:trPr>
          <w:trHeight w:val="20"/>
        </w:trPr>
        <w:tc>
          <w:tcPr>
            <w:tcW w:w="2005" w:type="dxa"/>
            <w:vMerge/>
            <w:shd w:val="clear" w:color="auto" w:fill="auto"/>
          </w:tcPr>
          <w:p w14:paraId="377F7BC4" w14:textId="77777777" w:rsidR="008522A0" w:rsidRPr="001F151E" w:rsidRDefault="008522A0" w:rsidP="002B7FF8">
            <w:pPr>
              <w:pStyle w:val="EcorysBody"/>
              <w:spacing w:line="288" w:lineRule="auto"/>
              <w:rPr>
                <w:rFonts w:ascii="Arial" w:hAnsi="Arial" w:cs="Arial"/>
                <w:b/>
                <w:bCs/>
                <w:sz w:val="16"/>
                <w:szCs w:val="16"/>
              </w:rPr>
            </w:pPr>
          </w:p>
        </w:tc>
        <w:tc>
          <w:tcPr>
            <w:tcW w:w="3625" w:type="dxa"/>
            <w:vAlign w:val="center"/>
          </w:tcPr>
          <w:p w14:paraId="30BBF12F" w14:textId="0A587BA9" w:rsidR="008522A0" w:rsidRPr="001F151E" w:rsidRDefault="00F70D9A" w:rsidP="00F70D9A">
            <w:pPr>
              <w:pStyle w:val="EcorysBody"/>
              <w:numPr>
                <w:ilvl w:val="0"/>
                <w:numId w:val="13"/>
              </w:numPr>
              <w:spacing w:line="288" w:lineRule="auto"/>
              <w:rPr>
                <w:rFonts w:ascii="Arial" w:hAnsi="Arial" w:cs="Arial"/>
                <w:sz w:val="16"/>
                <w:szCs w:val="16"/>
              </w:rPr>
            </w:pPr>
            <w:r>
              <w:rPr>
                <w:rFonts w:ascii="Arial" w:hAnsi="Arial" w:cs="Arial"/>
                <w:sz w:val="16"/>
                <w:szCs w:val="16"/>
              </w:rPr>
              <w:t>Finalizimi i Sistemit Informativ t</w:t>
            </w:r>
            <w:r w:rsidR="00F1459A">
              <w:rPr>
                <w:rFonts w:ascii="Arial" w:hAnsi="Arial" w:cs="Arial"/>
                <w:sz w:val="16"/>
                <w:szCs w:val="16"/>
              </w:rPr>
              <w:t>ë</w:t>
            </w:r>
            <w:r>
              <w:rPr>
                <w:rFonts w:ascii="Arial" w:hAnsi="Arial" w:cs="Arial"/>
                <w:sz w:val="16"/>
                <w:szCs w:val="16"/>
              </w:rPr>
              <w:t xml:space="preserve"> Kadastr</w:t>
            </w:r>
            <w:r w:rsidR="00F1459A">
              <w:rPr>
                <w:rFonts w:ascii="Arial" w:hAnsi="Arial" w:cs="Arial"/>
                <w:sz w:val="16"/>
                <w:szCs w:val="16"/>
              </w:rPr>
              <w:t>ë</w:t>
            </w:r>
            <w:r>
              <w:rPr>
                <w:rFonts w:ascii="Arial" w:hAnsi="Arial" w:cs="Arial"/>
                <w:sz w:val="16"/>
                <w:szCs w:val="16"/>
              </w:rPr>
              <w:t>s Fiskale (SIKF), nd</w:t>
            </w:r>
            <w:r w:rsidR="00F1459A">
              <w:rPr>
                <w:rFonts w:ascii="Arial" w:hAnsi="Arial" w:cs="Arial"/>
                <w:sz w:val="16"/>
                <w:szCs w:val="16"/>
              </w:rPr>
              <w:t>ë</w:t>
            </w:r>
            <w:r>
              <w:rPr>
                <w:rFonts w:ascii="Arial" w:hAnsi="Arial" w:cs="Arial"/>
                <w:sz w:val="16"/>
                <w:szCs w:val="16"/>
              </w:rPr>
              <w:t>rveprimit t</w:t>
            </w:r>
            <w:r w:rsidR="00F1459A">
              <w:rPr>
                <w:rFonts w:ascii="Arial" w:hAnsi="Arial" w:cs="Arial"/>
                <w:sz w:val="16"/>
                <w:szCs w:val="16"/>
              </w:rPr>
              <w:t>ë</w:t>
            </w:r>
            <w:r>
              <w:rPr>
                <w:rFonts w:ascii="Arial" w:hAnsi="Arial" w:cs="Arial"/>
                <w:sz w:val="16"/>
                <w:szCs w:val="16"/>
              </w:rPr>
              <w:t xml:space="preserve"> tij me sistemet e tjera dhe shtrirja n</w:t>
            </w:r>
            <w:r w:rsidR="00F1459A">
              <w:rPr>
                <w:rFonts w:ascii="Arial" w:hAnsi="Arial" w:cs="Arial"/>
                <w:sz w:val="16"/>
                <w:szCs w:val="16"/>
              </w:rPr>
              <w:t>ë</w:t>
            </w:r>
            <w:r>
              <w:rPr>
                <w:rFonts w:ascii="Arial" w:hAnsi="Arial" w:cs="Arial"/>
                <w:sz w:val="16"/>
                <w:szCs w:val="16"/>
              </w:rPr>
              <w:t xml:space="preserve"> bashki. </w:t>
            </w:r>
          </w:p>
        </w:tc>
        <w:tc>
          <w:tcPr>
            <w:tcW w:w="798" w:type="dxa"/>
            <w:shd w:val="clear" w:color="auto" w:fill="auto"/>
            <w:vAlign w:val="center"/>
          </w:tcPr>
          <w:p w14:paraId="35206FE4" w14:textId="66D46DE5" w:rsidR="008522A0" w:rsidRPr="001F151E" w:rsidRDefault="00A716B2" w:rsidP="00E424A5">
            <w:pPr>
              <w:pStyle w:val="T-normal"/>
              <w:jc w:val="center"/>
            </w:pPr>
            <w:r>
              <w:t>T</w:t>
            </w:r>
            <w:r w:rsidR="008522A0" w:rsidRPr="001F151E">
              <w:t>1 202</w:t>
            </w:r>
            <w:r w:rsidR="00D0425D" w:rsidRPr="001F151E">
              <w:t>5</w:t>
            </w:r>
          </w:p>
        </w:tc>
        <w:tc>
          <w:tcPr>
            <w:tcW w:w="798" w:type="dxa"/>
            <w:shd w:val="clear" w:color="auto" w:fill="auto"/>
            <w:vAlign w:val="center"/>
          </w:tcPr>
          <w:p w14:paraId="3871532C" w14:textId="60736877" w:rsidR="008522A0" w:rsidRPr="001F151E" w:rsidRDefault="00A716B2" w:rsidP="00E424A5">
            <w:pPr>
              <w:pStyle w:val="T-normal"/>
              <w:jc w:val="center"/>
            </w:pPr>
            <w:r>
              <w:t>T</w:t>
            </w:r>
            <w:r w:rsidR="008522A0" w:rsidRPr="001F151E">
              <w:t>4 202</w:t>
            </w:r>
            <w:r w:rsidR="00D0425D" w:rsidRPr="001F151E">
              <w:t>6</w:t>
            </w:r>
          </w:p>
        </w:tc>
        <w:tc>
          <w:tcPr>
            <w:tcW w:w="1790" w:type="dxa"/>
            <w:vMerge/>
          </w:tcPr>
          <w:p w14:paraId="6E90948D" w14:textId="77777777" w:rsidR="008522A0" w:rsidRPr="001F151E" w:rsidRDefault="008522A0" w:rsidP="002B7FF8">
            <w:pPr>
              <w:rPr>
                <w:sz w:val="16"/>
                <w:szCs w:val="16"/>
              </w:rPr>
            </w:pPr>
          </w:p>
        </w:tc>
      </w:tr>
      <w:tr w:rsidR="00D0425D" w:rsidRPr="001F151E" w14:paraId="515E9601" w14:textId="77777777" w:rsidTr="008522A0">
        <w:trPr>
          <w:trHeight w:val="32"/>
        </w:trPr>
        <w:tc>
          <w:tcPr>
            <w:tcW w:w="2005" w:type="dxa"/>
            <w:vMerge/>
          </w:tcPr>
          <w:p w14:paraId="7CEFBDD8" w14:textId="77777777" w:rsidR="00D0425D" w:rsidRPr="001F151E" w:rsidRDefault="00D0425D" w:rsidP="00D0425D">
            <w:pPr>
              <w:pStyle w:val="EcorysBody"/>
              <w:spacing w:line="288" w:lineRule="auto"/>
              <w:rPr>
                <w:rFonts w:ascii="Arial" w:hAnsi="Arial" w:cs="Arial"/>
                <w:b/>
                <w:bCs/>
                <w:sz w:val="16"/>
                <w:szCs w:val="16"/>
              </w:rPr>
            </w:pPr>
          </w:p>
        </w:tc>
        <w:tc>
          <w:tcPr>
            <w:tcW w:w="3625" w:type="dxa"/>
            <w:vAlign w:val="center"/>
          </w:tcPr>
          <w:p w14:paraId="1453140A" w14:textId="0DB5A675" w:rsidR="00D0425D" w:rsidRPr="001F151E" w:rsidRDefault="00F70D9A" w:rsidP="00F70D9A">
            <w:pPr>
              <w:pStyle w:val="EcorysBody"/>
              <w:numPr>
                <w:ilvl w:val="0"/>
                <w:numId w:val="13"/>
              </w:numPr>
              <w:spacing w:line="288" w:lineRule="auto"/>
              <w:rPr>
                <w:rFonts w:ascii="Arial" w:hAnsi="Arial" w:cs="Arial"/>
                <w:sz w:val="16"/>
                <w:szCs w:val="16"/>
              </w:rPr>
            </w:pPr>
            <w:r>
              <w:rPr>
                <w:rFonts w:ascii="Arial" w:hAnsi="Arial" w:cs="Arial"/>
                <w:sz w:val="16"/>
                <w:szCs w:val="16"/>
              </w:rPr>
              <w:t>Pilotimi, nd</w:t>
            </w:r>
            <w:r w:rsidR="00F1459A">
              <w:rPr>
                <w:rFonts w:ascii="Arial" w:hAnsi="Arial" w:cs="Arial"/>
                <w:sz w:val="16"/>
                <w:szCs w:val="16"/>
              </w:rPr>
              <w:t>ë</w:t>
            </w:r>
            <w:r>
              <w:rPr>
                <w:rFonts w:ascii="Arial" w:hAnsi="Arial" w:cs="Arial"/>
                <w:sz w:val="16"/>
                <w:szCs w:val="16"/>
              </w:rPr>
              <w:t>rtimi i kapaciteteve dhe institucionalizimi i procedurave p</w:t>
            </w:r>
            <w:r w:rsidR="00F1459A">
              <w:rPr>
                <w:rFonts w:ascii="Arial" w:hAnsi="Arial" w:cs="Arial"/>
                <w:sz w:val="16"/>
                <w:szCs w:val="16"/>
              </w:rPr>
              <w:t>ë</w:t>
            </w:r>
            <w:r>
              <w:rPr>
                <w:rFonts w:ascii="Arial" w:hAnsi="Arial" w:cs="Arial"/>
                <w:sz w:val="16"/>
                <w:szCs w:val="16"/>
              </w:rPr>
              <w:t>r vler</w:t>
            </w:r>
            <w:r w:rsidR="00F1459A">
              <w:rPr>
                <w:rFonts w:ascii="Arial" w:hAnsi="Arial" w:cs="Arial"/>
                <w:sz w:val="16"/>
                <w:szCs w:val="16"/>
              </w:rPr>
              <w:t>ë</w:t>
            </w:r>
            <w:r>
              <w:rPr>
                <w:rFonts w:ascii="Arial" w:hAnsi="Arial" w:cs="Arial"/>
                <w:sz w:val="16"/>
                <w:szCs w:val="16"/>
              </w:rPr>
              <w:t>simin e pasuris</w:t>
            </w:r>
            <w:r w:rsidR="00F1459A">
              <w:rPr>
                <w:rFonts w:ascii="Arial" w:hAnsi="Arial" w:cs="Arial"/>
                <w:sz w:val="16"/>
                <w:szCs w:val="16"/>
              </w:rPr>
              <w:t>ë</w:t>
            </w:r>
            <w:r w:rsidR="00FE43E6">
              <w:rPr>
                <w:rFonts w:ascii="Arial" w:hAnsi="Arial" w:cs="Arial"/>
                <w:sz w:val="16"/>
                <w:szCs w:val="16"/>
              </w:rPr>
              <w:t xml:space="preserve"> së paluajtshme</w:t>
            </w:r>
            <w:r>
              <w:rPr>
                <w:rFonts w:ascii="Arial" w:hAnsi="Arial" w:cs="Arial"/>
                <w:sz w:val="16"/>
                <w:szCs w:val="16"/>
              </w:rPr>
              <w:t>, popullimin dhe mir</w:t>
            </w:r>
            <w:r w:rsidR="00F1459A">
              <w:rPr>
                <w:rFonts w:ascii="Arial" w:hAnsi="Arial" w:cs="Arial"/>
                <w:sz w:val="16"/>
                <w:szCs w:val="16"/>
              </w:rPr>
              <w:t>ë</w:t>
            </w:r>
            <w:r>
              <w:rPr>
                <w:rFonts w:ascii="Arial" w:hAnsi="Arial" w:cs="Arial"/>
                <w:sz w:val="16"/>
                <w:szCs w:val="16"/>
              </w:rPr>
              <w:t>mbajtjen e t</w:t>
            </w:r>
            <w:r w:rsidR="00F1459A">
              <w:rPr>
                <w:rFonts w:ascii="Arial" w:hAnsi="Arial" w:cs="Arial"/>
                <w:sz w:val="16"/>
                <w:szCs w:val="16"/>
              </w:rPr>
              <w:t>ë</w:t>
            </w:r>
            <w:r>
              <w:rPr>
                <w:rFonts w:ascii="Arial" w:hAnsi="Arial" w:cs="Arial"/>
                <w:sz w:val="16"/>
                <w:szCs w:val="16"/>
              </w:rPr>
              <w:t xml:space="preserve"> dh</w:t>
            </w:r>
            <w:r w:rsidR="00F1459A">
              <w:rPr>
                <w:rFonts w:ascii="Arial" w:hAnsi="Arial" w:cs="Arial"/>
                <w:sz w:val="16"/>
                <w:szCs w:val="16"/>
              </w:rPr>
              <w:t>ë</w:t>
            </w:r>
            <w:r>
              <w:rPr>
                <w:rFonts w:ascii="Arial" w:hAnsi="Arial" w:cs="Arial"/>
                <w:sz w:val="16"/>
                <w:szCs w:val="16"/>
              </w:rPr>
              <w:t>nave t</w:t>
            </w:r>
            <w:r w:rsidR="00F1459A">
              <w:rPr>
                <w:rFonts w:ascii="Arial" w:hAnsi="Arial" w:cs="Arial"/>
                <w:sz w:val="16"/>
                <w:szCs w:val="16"/>
              </w:rPr>
              <w:t>ë</w:t>
            </w:r>
            <w:r>
              <w:rPr>
                <w:rFonts w:ascii="Arial" w:hAnsi="Arial" w:cs="Arial"/>
                <w:sz w:val="16"/>
                <w:szCs w:val="16"/>
              </w:rPr>
              <w:t xml:space="preserve"> pasuris</w:t>
            </w:r>
            <w:r w:rsidR="00F1459A">
              <w:rPr>
                <w:rFonts w:ascii="Arial" w:hAnsi="Arial" w:cs="Arial"/>
                <w:sz w:val="16"/>
                <w:szCs w:val="16"/>
              </w:rPr>
              <w:t>ë</w:t>
            </w:r>
            <w:r>
              <w:rPr>
                <w:rFonts w:ascii="Arial" w:hAnsi="Arial" w:cs="Arial"/>
                <w:sz w:val="16"/>
                <w:szCs w:val="16"/>
              </w:rPr>
              <w:t xml:space="preserve"> </w:t>
            </w:r>
            <w:r w:rsidR="00FE43E6">
              <w:rPr>
                <w:rFonts w:ascii="Arial" w:hAnsi="Arial" w:cs="Arial"/>
                <w:sz w:val="16"/>
                <w:szCs w:val="16"/>
              </w:rPr>
              <w:t xml:space="preserve">së paluajtshme </w:t>
            </w:r>
            <w:r>
              <w:rPr>
                <w:rFonts w:ascii="Arial" w:hAnsi="Arial" w:cs="Arial"/>
                <w:sz w:val="16"/>
                <w:szCs w:val="16"/>
              </w:rPr>
              <w:t>n</w:t>
            </w:r>
            <w:r w:rsidR="00F1459A">
              <w:rPr>
                <w:rFonts w:ascii="Arial" w:hAnsi="Arial" w:cs="Arial"/>
                <w:sz w:val="16"/>
                <w:szCs w:val="16"/>
              </w:rPr>
              <w:t>ë</w:t>
            </w:r>
            <w:r>
              <w:rPr>
                <w:rFonts w:ascii="Arial" w:hAnsi="Arial" w:cs="Arial"/>
                <w:sz w:val="16"/>
                <w:szCs w:val="16"/>
              </w:rPr>
              <w:t xml:space="preserve"> SIKF</w:t>
            </w:r>
          </w:p>
        </w:tc>
        <w:tc>
          <w:tcPr>
            <w:tcW w:w="798" w:type="dxa"/>
            <w:vAlign w:val="center"/>
          </w:tcPr>
          <w:p w14:paraId="52346DD1" w14:textId="0E6D8758" w:rsidR="00D0425D" w:rsidRPr="001F151E" w:rsidRDefault="00A716B2" w:rsidP="00E424A5">
            <w:pPr>
              <w:pStyle w:val="T-normal"/>
              <w:jc w:val="center"/>
              <w:rPr>
                <w:highlight w:val="yellow"/>
              </w:rPr>
            </w:pPr>
            <w:r>
              <w:t>T</w:t>
            </w:r>
            <w:r w:rsidR="00D0425D" w:rsidRPr="001F151E">
              <w:t>1 2025</w:t>
            </w:r>
          </w:p>
        </w:tc>
        <w:tc>
          <w:tcPr>
            <w:tcW w:w="798" w:type="dxa"/>
            <w:vAlign w:val="center"/>
          </w:tcPr>
          <w:p w14:paraId="4065CEE1" w14:textId="7E852748" w:rsidR="00D0425D" w:rsidRPr="001F151E" w:rsidRDefault="00591F5E" w:rsidP="00E424A5">
            <w:pPr>
              <w:pStyle w:val="T-normal"/>
              <w:jc w:val="center"/>
            </w:pPr>
            <w:r w:rsidRPr="001F151E">
              <w:t>&gt; 2026</w:t>
            </w:r>
          </w:p>
        </w:tc>
        <w:tc>
          <w:tcPr>
            <w:tcW w:w="1790" w:type="dxa"/>
            <w:vMerge/>
          </w:tcPr>
          <w:p w14:paraId="1CBE736B" w14:textId="77777777" w:rsidR="00D0425D" w:rsidRPr="001F151E" w:rsidRDefault="00D0425D" w:rsidP="00D0425D">
            <w:pPr>
              <w:rPr>
                <w:sz w:val="16"/>
                <w:szCs w:val="16"/>
              </w:rPr>
            </w:pPr>
          </w:p>
        </w:tc>
      </w:tr>
      <w:tr w:rsidR="00D0425D" w:rsidRPr="001F151E" w14:paraId="37787C4A" w14:textId="77777777" w:rsidTr="008522A0">
        <w:trPr>
          <w:trHeight w:val="20"/>
        </w:trPr>
        <w:tc>
          <w:tcPr>
            <w:tcW w:w="2005" w:type="dxa"/>
            <w:vMerge/>
          </w:tcPr>
          <w:p w14:paraId="34AD7ECE" w14:textId="77777777" w:rsidR="00D0425D" w:rsidRPr="001F151E" w:rsidRDefault="00D0425D" w:rsidP="00897DDC">
            <w:pPr>
              <w:pStyle w:val="EcorysBody"/>
              <w:numPr>
                <w:ilvl w:val="0"/>
                <w:numId w:val="15"/>
              </w:numPr>
              <w:spacing w:line="288" w:lineRule="auto"/>
              <w:rPr>
                <w:rFonts w:ascii="Arial" w:hAnsi="Arial" w:cs="Arial"/>
                <w:sz w:val="16"/>
                <w:szCs w:val="16"/>
              </w:rPr>
            </w:pPr>
          </w:p>
        </w:tc>
        <w:tc>
          <w:tcPr>
            <w:tcW w:w="3625" w:type="dxa"/>
            <w:vAlign w:val="center"/>
          </w:tcPr>
          <w:p w14:paraId="7EE66186" w14:textId="4363ED40" w:rsidR="00D0425D" w:rsidRPr="001F151E" w:rsidRDefault="00F70D9A" w:rsidP="00C76497">
            <w:pPr>
              <w:pStyle w:val="EcorysBody"/>
              <w:numPr>
                <w:ilvl w:val="0"/>
                <w:numId w:val="13"/>
              </w:numPr>
              <w:spacing w:line="288" w:lineRule="auto"/>
              <w:rPr>
                <w:rFonts w:ascii="Arial" w:hAnsi="Arial" w:cs="Arial"/>
                <w:sz w:val="16"/>
                <w:szCs w:val="16"/>
              </w:rPr>
            </w:pPr>
            <w:r>
              <w:rPr>
                <w:rFonts w:ascii="Arial" w:hAnsi="Arial" w:cs="Arial"/>
                <w:sz w:val="16"/>
                <w:szCs w:val="16"/>
              </w:rPr>
              <w:t>P</w:t>
            </w:r>
            <w:r w:rsidR="00F1459A">
              <w:rPr>
                <w:rFonts w:ascii="Arial" w:hAnsi="Arial" w:cs="Arial"/>
                <w:sz w:val="16"/>
                <w:szCs w:val="16"/>
              </w:rPr>
              <w:t>ë</w:t>
            </w:r>
            <w:r>
              <w:rPr>
                <w:rFonts w:ascii="Arial" w:hAnsi="Arial" w:cs="Arial"/>
                <w:sz w:val="16"/>
                <w:szCs w:val="16"/>
              </w:rPr>
              <w:t>rmir</w:t>
            </w:r>
            <w:r w:rsidR="00F1459A">
              <w:rPr>
                <w:rFonts w:ascii="Arial" w:hAnsi="Arial" w:cs="Arial"/>
                <w:sz w:val="16"/>
                <w:szCs w:val="16"/>
              </w:rPr>
              <w:t>ë</w:t>
            </w:r>
            <w:r>
              <w:rPr>
                <w:rFonts w:ascii="Arial" w:hAnsi="Arial" w:cs="Arial"/>
                <w:sz w:val="16"/>
                <w:szCs w:val="16"/>
              </w:rPr>
              <w:t xml:space="preserve">simi </w:t>
            </w:r>
            <w:r w:rsidR="00C76497">
              <w:rPr>
                <w:rFonts w:ascii="Arial" w:hAnsi="Arial" w:cs="Arial"/>
                <w:sz w:val="16"/>
                <w:szCs w:val="16"/>
              </w:rPr>
              <w:t>i</w:t>
            </w:r>
            <w:r>
              <w:rPr>
                <w:rFonts w:ascii="Arial" w:hAnsi="Arial" w:cs="Arial"/>
                <w:sz w:val="16"/>
                <w:szCs w:val="16"/>
              </w:rPr>
              <w:t xml:space="preserve"> proceseve p</w:t>
            </w:r>
            <w:r w:rsidR="00F1459A">
              <w:rPr>
                <w:rFonts w:ascii="Arial" w:hAnsi="Arial" w:cs="Arial"/>
                <w:sz w:val="16"/>
                <w:szCs w:val="16"/>
              </w:rPr>
              <w:t>ë</w:t>
            </w:r>
            <w:r>
              <w:rPr>
                <w:rFonts w:ascii="Arial" w:hAnsi="Arial" w:cs="Arial"/>
                <w:sz w:val="16"/>
                <w:szCs w:val="16"/>
              </w:rPr>
              <w:t xml:space="preserve">r mbledhjen e </w:t>
            </w:r>
            <w:r w:rsidR="00C76497">
              <w:rPr>
                <w:rFonts w:ascii="Arial" w:hAnsi="Arial" w:cs="Arial"/>
                <w:sz w:val="16"/>
                <w:szCs w:val="16"/>
              </w:rPr>
              <w:t>taks</w:t>
            </w:r>
            <w:r w:rsidR="00F1459A">
              <w:rPr>
                <w:rFonts w:ascii="Arial" w:hAnsi="Arial" w:cs="Arial"/>
                <w:sz w:val="16"/>
                <w:szCs w:val="16"/>
              </w:rPr>
              <w:t>ë</w:t>
            </w:r>
            <w:r w:rsidR="00C76497">
              <w:rPr>
                <w:rFonts w:ascii="Arial" w:hAnsi="Arial" w:cs="Arial"/>
                <w:sz w:val="16"/>
                <w:szCs w:val="16"/>
              </w:rPr>
              <w:t>s s</w:t>
            </w:r>
            <w:r w:rsidR="00F1459A">
              <w:rPr>
                <w:rFonts w:ascii="Arial" w:hAnsi="Arial" w:cs="Arial"/>
                <w:sz w:val="16"/>
                <w:szCs w:val="16"/>
              </w:rPr>
              <w:t>ë</w:t>
            </w:r>
            <w:r w:rsidR="00C76497">
              <w:rPr>
                <w:rFonts w:ascii="Arial" w:hAnsi="Arial" w:cs="Arial"/>
                <w:sz w:val="16"/>
                <w:szCs w:val="16"/>
              </w:rPr>
              <w:t xml:space="preserve"> pasuris</w:t>
            </w:r>
            <w:r w:rsidR="00F1459A">
              <w:rPr>
                <w:rFonts w:ascii="Arial" w:hAnsi="Arial" w:cs="Arial"/>
                <w:sz w:val="16"/>
                <w:szCs w:val="16"/>
              </w:rPr>
              <w:t>ë</w:t>
            </w:r>
            <w:r w:rsidR="00C76497">
              <w:rPr>
                <w:rFonts w:ascii="Arial" w:hAnsi="Arial" w:cs="Arial"/>
                <w:sz w:val="16"/>
                <w:szCs w:val="16"/>
              </w:rPr>
              <w:t xml:space="preserve"> </w:t>
            </w:r>
            <w:r w:rsidR="00FE43E6">
              <w:rPr>
                <w:rFonts w:ascii="Arial" w:hAnsi="Arial" w:cs="Arial"/>
                <w:sz w:val="16"/>
                <w:szCs w:val="16"/>
              </w:rPr>
              <w:t xml:space="preserve">së paluajtshme </w:t>
            </w:r>
            <w:r w:rsidR="00C76497">
              <w:rPr>
                <w:rFonts w:ascii="Arial" w:hAnsi="Arial" w:cs="Arial"/>
                <w:sz w:val="16"/>
                <w:szCs w:val="16"/>
              </w:rPr>
              <w:t>dhe rritja e nd</w:t>
            </w:r>
            <w:r w:rsidR="00F1459A">
              <w:rPr>
                <w:rFonts w:ascii="Arial" w:hAnsi="Arial" w:cs="Arial"/>
                <w:sz w:val="16"/>
                <w:szCs w:val="16"/>
              </w:rPr>
              <w:t>ë</w:t>
            </w:r>
            <w:r w:rsidR="00C76497">
              <w:rPr>
                <w:rFonts w:ascii="Arial" w:hAnsi="Arial" w:cs="Arial"/>
                <w:sz w:val="16"/>
                <w:szCs w:val="16"/>
              </w:rPr>
              <w:t>rgjegj</w:t>
            </w:r>
            <w:r w:rsidR="00F1459A">
              <w:rPr>
                <w:rFonts w:ascii="Arial" w:hAnsi="Arial" w:cs="Arial"/>
                <w:sz w:val="16"/>
                <w:szCs w:val="16"/>
              </w:rPr>
              <w:t>ë</w:t>
            </w:r>
            <w:r w:rsidR="00C76497">
              <w:rPr>
                <w:rFonts w:ascii="Arial" w:hAnsi="Arial" w:cs="Arial"/>
                <w:sz w:val="16"/>
                <w:szCs w:val="16"/>
              </w:rPr>
              <w:t>simit t</w:t>
            </w:r>
            <w:r w:rsidR="00F1459A">
              <w:rPr>
                <w:rFonts w:ascii="Arial" w:hAnsi="Arial" w:cs="Arial"/>
                <w:sz w:val="16"/>
                <w:szCs w:val="16"/>
              </w:rPr>
              <w:t>ë</w:t>
            </w:r>
            <w:r w:rsidR="00C76497">
              <w:rPr>
                <w:rFonts w:ascii="Arial" w:hAnsi="Arial" w:cs="Arial"/>
                <w:sz w:val="16"/>
                <w:szCs w:val="16"/>
              </w:rPr>
              <w:t xml:space="preserve"> taksapaguesve</w:t>
            </w:r>
          </w:p>
        </w:tc>
        <w:tc>
          <w:tcPr>
            <w:tcW w:w="798" w:type="dxa"/>
            <w:vAlign w:val="center"/>
          </w:tcPr>
          <w:p w14:paraId="673856D3" w14:textId="3839F68C" w:rsidR="00D0425D" w:rsidRPr="001F151E" w:rsidRDefault="00A716B2" w:rsidP="00E424A5">
            <w:pPr>
              <w:pStyle w:val="T-normal"/>
              <w:jc w:val="center"/>
              <w:rPr>
                <w:highlight w:val="yellow"/>
              </w:rPr>
            </w:pPr>
            <w:r>
              <w:t>T</w:t>
            </w:r>
            <w:r w:rsidR="00D0425D" w:rsidRPr="001F151E">
              <w:t>1 2025</w:t>
            </w:r>
          </w:p>
        </w:tc>
        <w:tc>
          <w:tcPr>
            <w:tcW w:w="798" w:type="dxa"/>
            <w:vAlign w:val="center"/>
          </w:tcPr>
          <w:p w14:paraId="7767D44F" w14:textId="1C45BC24" w:rsidR="00D0425D" w:rsidRPr="001F151E" w:rsidRDefault="00903BCA" w:rsidP="00E424A5">
            <w:pPr>
              <w:pStyle w:val="T-normal"/>
              <w:jc w:val="center"/>
              <w:rPr>
                <w:highlight w:val="yellow"/>
              </w:rPr>
            </w:pPr>
            <w:r w:rsidRPr="001F151E">
              <w:t>&gt; 2026</w:t>
            </w:r>
          </w:p>
        </w:tc>
        <w:tc>
          <w:tcPr>
            <w:tcW w:w="1790" w:type="dxa"/>
            <w:vMerge/>
          </w:tcPr>
          <w:p w14:paraId="6548DDF9" w14:textId="77777777" w:rsidR="00D0425D" w:rsidRPr="001F151E" w:rsidRDefault="00D0425D" w:rsidP="00D0425D">
            <w:pPr>
              <w:rPr>
                <w:sz w:val="16"/>
                <w:szCs w:val="16"/>
              </w:rPr>
            </w:pPr>
          </w:p>
        </w:tc>
      </w:tr>
    </w:tbl>
    <w:p w14:paraId="7076EA4E" w14:textId="77777777" w:rsidR="00AD50A8" w:rsidRPr="001F151E" w:rsidRDefault="00AD50A8" w:rsidP="008522A0">
      <w:pPr>
        <w:pStyle w:val="N-Bullet"/>
        <w:numPr>
          <w:ilvl w:val="0"/>
          <w:numId w:val="0"/>
        </w:numPr>
        <w:rPr>
          <w:lang w:val="en-GB"/>
        </w:rPr>
      </w:pPr>
    </w:p>
    <w:p w14:paraId="4E889C60" w14:textId="76A7B695" w:rsidR="008522A0" w:rsidRPr="009D660E" w:rsidRDefault="004139B2" w:rsidP="008522A0">
      <w:pPr>
        <w:pStyle w:val="H5"/>
        <w:rPr>
          <w:rStyle w:val="IntenseReference"/>
          <w:i w:val="0"/>
          <w:lang w:val="it-IT"/>
        </w:rPr>
      </w:pPr>
      <w:r w:rsidRPr="009D660E">
        <w:rPr>
          <w:lang w:val="it-IT"/>
        </w:rPr>
        <w:t>Treguesit e performances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8522A0" w:rsidRPr="001F151E" w14:paraId="03C509B9" w14:textId="77777777" w:rsidTr="002B7FF8">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E3EC9C" w14:textId="1E307F48" w:rsidR="008522A0" w:rsidRPr="001F151E" w:rsidRDefault="00A716B2" w:rsidP="002B7FF8">
            <w:pPr>
              <w:pStyle w:val="T-bold"/>
            </w:pPr>
            <w:r>
              <w:t xml:space="preserve">Treguesi </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F8FF6D" w14:textId="7EEBE799" w:rsidR="008522A0" w:rsidRPr="001F151E" w:rsidRDefault="00A716B2" w:rsidP="00A716B2">
            <w:pPr>
              <w:pStyle w:val="T-bold"/>
              <w:jc w:val="center"/>
            </w:pPr>
            <w:r>
              <w:t>Vlera baz</w:t>
            </w:r>
            <w:r w:rsidR="00F1459A">
              <w:t>ë</w:t>
            </w:r>
            <w:r>
              <w:t xml:space="preserve"> (viti</w:t>
            </w:r>
            <w:r w:rsidR="008522A0"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BE1DF" w14:textId="0B6B88AB" w:rsidR="008522A0" w:rsidRPr="001F151E" w:rsidRDefault="00A716B2" w:rsidP="002B7FF8">
            <w:pPr>
              <w:pStyle w:val="T-bold"/>
              <w:jc w:val="center"/>
            </w:pPr>
            <w:r>
              <w:t>Vlera e synuar</w:t>
            </w:r>
          </w:p>
        </w:tc>
      </w:tr>
      <w:tr w:rsidR="008522A0" w:rsidRPr="001F151E" w14:paraId="15198738" w14:textId="77777777" w:rsidTr="002B7FF8">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912AC4A" w14:textId="77777777" w:rsidR="008522A0" w:rsidRPr="001F151E" w:rsidRDefault="008522A0" w:rsidP="002B7FF8">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C68618F" w14:textId="77777777" w:rsidR="008522A0" w:rsidRPr="001F151E" w:rsidRDefault="008522A0" w:rsidP="002B7FF8">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37A25" w14:textId="77777777" w:rsidR="008522A0" w:rsidRPr="001F151E" w:rsidRDefault="008522A0" w:rsidP="002B7FF8">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1DD6B" w14:textId="77777777" w:rsidR="008522A0" w:rsidRPr="001F151E" w:rsidRDefault="008522A0" w:rsidP="002B7FF8">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83500" w14:textId="77777777" w:rsidR="008522A0" w:rsidRPr="001F151E" w:rsidRDefault="008522A0" w:rsidP="002B7FF8">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626C1" w14:textId="77777777" w:rsidR="008522A0" w:rsidRPr="001F151E" w:rsidRDefault="008522A0" w:rsidP="002B7FF8">
            <w:pPr>
              <w:pStyle w:val="T-bold"/>
              <w:jc w:val="center"/>
            </w:pPr>
            <w:r w:rsidRPr="001F151E">
              <w:t>2026</w:t>
            </w:r>
          </w:p>
        </w:tc>
      </w:tr>
      <w:tr w:rsidR="008522A0" w:rsidRPr="001F151E" w14:paraId="1D8F3163" w14:textId="77777777" w:rsidTr="002B7FF8">
        <w:tc>
          <w:tcPr>
            <w:tcW w:w="3114" w:type="dxa"/>
            <w:tcBorders>
              <w:top w:val="single" w:sz="4" w:space="0" w:color="auto"/>
              <w:left w:val="single" w:sz="4" w:space="0" w:color="auto"/>
              <w:bottom w:val="single" w:sz="4" w:space="0" w:color="auto"/>
              <w:right w:val="single" w:sz="4" w:space="0" w:color="auto"/>
            </w:tcBorders>
          </w:tcPr>
          <w:p w14:paraId="0F651F4D" w14:textId="412F78B0" w:rsidR="008522A0" w:rsidRPr="001F151E" w:rsidRDefault="00FE43E6" w:rsidP="00CD7428">
            <w:pPr>
              <w:pStyle w:val="ListParagraph"/>
              <w:numPr>
                <w:ilvl w:val="0"/>
                <w:numId w:val="47"/>
              </w:numPr>
              <w:rPr>
                <w:sz w:val="16"/>
                <w:szCs w:val="16"/>
              </w:rPr>
            </w:pPr>
            <w:r>
              <w:rPr>
                <w:sz w:val="16"/>
                <w:szCs w:val="16"/>
              </w:rPr>
              <w:t>Hartimi</w:t>
            </w:r>
            <w:r w:rsidR="00C76497">
              <w:rPr>
                <w:sz w:val="16"/>
                <w:szCs w:val="16"/>
              </w:rPr>
              <w:t xml:space="preserve"> dhe miratimi </w:t>
            </w:r>
            <w:r>
              <w:rPr>
                <w:sz w:val="16"/>
                <w:szCs w:val="16"/>
              </w:rPr>
              <w:t>i</w:t>
            </w:r>
            <w:r w:rsidR="00C76497">
              <w:rPr>
                <w:sz w:val="16"/>
                <w:szCs w:val="16"/>
              </w:rPr>
              <w:t xml:space="preserve"> ligjit p</w:t>
            </w:r>
            <w:r w:rsidR="00F1459A">
              <w:rPr>
                <w:sz w:val="16"/>
                <w:szCs w:val="16"/>
              </w:rPr>
              <w:t>ë</w:t>
            </w:r>
            <w:r w:rsidR="00C76497">
              <w:rPr>
                <w:sz w:val="16"/>
                <w:szCs w:val="16"/>
              </w:rPr>
              <w:t>r taks</w:t>
            </w:r>
            <w:r w:rsidR="00F1459A">
              <w:rPr>
                <w:sz w:val="16"/>
                <w:szCs w:val="16"/>
              </w:rPr>
              <w:t>ë</w:t>
            </w:r>
            <w:r w:rsidR="00C76497">
              <w:rPr>
                <w:sz w:val="16"/>
                <w:szCs w:val="16"/>
              </w:rPr>
              <w:t xml:space="preserve">n </w:t>
            </w:r>
            <w:r>
              <w:rPr>
                <w:sz w:val="16"/>
                <w:szCs w:val="16"/>
              </w:rPr>
              <w:t>mbi</w:t>
            </w:r>
            <w:r w:rsidR="00C76497">
              <w:rPr>
                <w:sz w:val="16"/>
                <w:szCs w:val="16"/>
              </w:rPr>
              <w:t xml:space="preserve"> pasuri</w:t>
            </w:r>
            <w:r>
              <w:rPr>
                <w:sz w:val="16"/>
                <w:szCs w:val="16"/>
              </w:rPr>
              <w:t>n</w:t>
            </w:r>
            <w:r w:rsidR="00F1459A">
              <w:rPr>
                <w:sz w:val="16"/>
                <w:szCs w:val="16"/>
              </w:rPr>
              <w:t>ë</w:t>
            </w:r>
            <w:r>
              <w:rPr>
                <w:sz w:val="16"/>
                <w:szCs w:val="16"/>
              </w:rPr>
              <w:t xml:space="preserve"> e paluajtshme</w:t>
            </w:r>
          </w:p>
        </w:tc>
        <w:tc>
          <w:tcPr>
            <w:tcW w:w="1180" w:type="dxa"/>
            <w:tcBorders>
              <w:top w:val="single" w:sz="4" w:space="0" w:color="auto"/>
              <w:left w:val="single" w:sz="4" w:space="0" w:color="auto"/>
              <w:bottom w:val="single" w:sz="4" w:space="0" w:color="auto"/>
              <w:right w:val="single" w:sz="4" w:space="0" w:color="auto"/>
            </w:tcBorders>
            <w:vAlign w:val="center"/>
          </w:tcPr>
          <w:p w14:paraId="356E8A0A" w14:textId="66E468A7" w:rsidR="008522A0" w:rsidRPr="001F151E" w:rsidRDefault="008522A0" w:rsidP="008522A0">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6CB27CE5" w14:textId="5C9B6F11" w:rsidR="008522A0" w:rsidRPr="001F151E" w:rsidRDefault="00FE43E6" w:rsidP="00FE43E6">
            <w:pPr>
              <w:pStyle w:val="T-normal"/>
              <w:jc w:val="center"/>
            </w:pPr>
            <w:r>
              <w:t>Hartimi i</w:t>
            </w:r>
            <w:r w:rsidR="00C76497">
              <w:t xml:space="preserve"> ligjit p</w:t>
            </w:r>
            <w:r w:rsidR="00F1459A">
              <w:t>ë</w:t>
            </w:r>
            <w:r w:rsidR="00C76497">
              <w:t>r taks</w:t>
            </w:r>
            <w:r w:rsidR="00F1459A">
              <w:t>ë</w:t>
            </w:r>
            <w:r w:rsidR="00C76497">
              <w:t xml:space="preserve">n </w:t>
            </w:r>
            <w:r>
              <w:t>mbi</w:t>
            </w:r>
            <w:r w:rsidR="00C76497">
              <w:t xml:space="preserve"> pasuri</w:t>
            </w:r>
            <w:r>
              <w:t>n</w:t>
            </w:r>
            <w:r w:rsidR="00F1459A">
              <w:t>ë</w:t>
            </w:r>
            <w:r>
              <w:t xml:space="preserve"> e paluajtshme</w:t>
            </w:r>
          </w:p>
        </w:tc>
        <w:tc>
          <w:tcPr>
            <w:tcW w:w="1180" w:type="dxa"/>
            <w:tcBorders>
              <w:top w:val="single" w:sz="4" w:space="0" w:color="auto"/>
              <w:left w:val="single" w:sz="4" w:space="0" w:color="auto"/>
              <w:bottom w:val="single" w:sz="4" w:space="0" w:color="auto"/>
              <w:right w:val="single" w:sz="4" w:space="0" w:color="auto"/>
            </w:tcBorders>
            <w:vAlign w:val="center"/>
          </w:tcPr>
          <w:p w14:paraId="166E402D" w14:textId="058073C7" w:rsidR="008522A0" w:rsidRPr="001F151E" w:rsidRDefault="00903BCA" w:rsidP="008522A0">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1EA0AFE1" w14:textId="22DE4FE3" w:rsidR="008522A0" w:rsidRPr="009D660E" w:rsidRDefault="00C76497" w:rsidP="00FE43E6">
            <w:pPr>
              <w:pStyle w:val="T-normal"/>
              <w:jc w:val="center"/>
              <w:rPr>
                <w:lang w:val="it-IT"/>
              </w:rPr>
            </w:pPr>
            <w:r w:rsidRPr="009D660E">
              <w:rPr>
                <w:lang w:val="it-IT"/>
              </w:rPr>
              <w:t>Miratimi i ligjit p</w:t>
            </w:r>
            <w:r w:rsidR="00F1459A" w:rsidRPr="009D660E">
              <w:rPr>
                <w:lang w:val="it-IT"/>
              </w:rPr>
              <w:t>ë</w:t>
            </w:r>
            <w:r w:rsidRPr="009D660E">
              <w:rPr>
                <w:lang w:val="it-IT"/>
              </w:rPr>
              <w:t>r taks</w:t>
            </w:r>
            <w:r w:rsidR="00F1459A" w:rsidRPr="009D660E">
              <w:rPr>
                <w:lang w:val="it-IT"/>
              </w:rPr>
              <w:t>ë</w:t>
            </w:r>
            <w:r w:rsidRPr="009D660E">
              <w:rPr>
                <w:lang w:val="it-IT"/>
              </w:rPr>
              <w:t xml:space="preserve">n </w:t>
            </w:r>
            <w:r w:rsidR="00FE43E6" w:rsidRPr="009D660E">
              <w:rPr>
                <w:lang w:val="it-IT"/>
              </w:rPr>
              <w:t>mbi</w:t>
            </w:r>
            <w:r w:rsidRPr="009D660E">
              <w:rPr>
                <w:lang w:val="it-IT"/>
              </w:rPr>
              <w:t xml:space="preserve"> pasuri</w:t>
            </w:r>
            <w:r w:rsidR="00FE43E6" w:rsidRPr="009D660E">
              <w:rPr>
                <w:lang w:val="it-IT"/>
              </w:rPr>
              <w:t>n</w:t>
            </w:r>
            <w:r w:rsidR="00F1459A" w:rsidRPr="009D660E">
              <w:rPr>
                <w:lang w:val="it-IT"/>
              </w:rPr>
              <w:t>ë</w:t>
            </w:r>
            <w:r w:rsidR="00FE43E6" w:rsidRPr="009D660E">
              <w:rPr>
                <w:lang w:val="it-IT"/>
              </w:rPr>
              <w:t xml:space="preserve"> e paluajtshme</w:t>
            </w:r>
          </w:p>
        </w:tc>
        <w:tc>
          <w:tcPr>
            <w:tcW w:w="1181" w:type="dxa"/>
            <w:tcBorders>
              <w:top w:val="single" w:sz="4" w:space="0" w:color="auto"/>
              <w:left w:val="single" w:sz="4" w:space="0" w:color="auto"/>
              <w:bottom w:val="single" w:sz="4" w:space="0" w:color="auto"/>
              <w:right w:val="single" w:sz="4" w:space="0" w:color="auto"/>
            </w:tcBorders>
            <w:vAlign w:val="center"/>
          </w:tcPr>
          <w:p w14:paraId="158800B1" w14:textId="62F8EC09" w:rsidR="008522A0" w:rsidRPr="001F151E" w:rsidRDefault="008522A0" w:rsidP="008522A0">
            <w:pPr>
              <w:pStyle w:val="T-normal"/>
              <w:jc w:val="center"/>
            </w:pPr>
            <w:r w:rsidRPr="001F151E">
              <w:t>-</w:t>
            </w:r>
          </w:p>
        </w:tc>
      </w:tr>
      <w:tr w:rsidR="008522A0" w:rsidRPr="001F151E" w14:paraId="64687938" w14:textId="77777777" w:rsidTr="002B7FF8">
        <w:tc>
          <w:tcPr>
            <w:tcW w:w="3114" w:type="dxa"/>
            <w:tcBorders>
              <w:top w:val="single" w:sz="4" w:space="0" w:color="auto"/>
              <w:left w:val="single" w:sz="4" w:space="0" w:color="auto"/>
              <w:bottom w:val="single" w:sz="4" w:space="0" w:color="auto"/>
              <w:right w:val="single" w:sz="4" w:space="0" w:color="auto"/>
            </w:tcBorders>
          </w:tcPr>
          <w:p w14:paraId="19666774" w14:textId="3769487F" w:rsidR="008522A0" w:rsidRPr="001F151E" w:rsidRDefault="00C76497" w:rsidP="00CD7428">
            <w:pPr>
              <w:pStyle w:val="ListParagraph"/>
              <w:numPr>
                <w:ilvl w:val="0"/>
                <w:numId w:val="47"/>
              </w:numPr>
              <w:rPr>
                <w:sz w:val="16"/>
                <w:szCs w:val="16"/>
              </w:rPr>
            </w:pPr>
            <w:r>
              <w:rPr>
                <w:sz w:val="16"/>
                <w:szCs w:val="16"/>
              </w:rPr>
              <w:t>Miratimi i akteve n</w:t>
            </w:r>
            <w:r w:rsidR="00F1459A">
              <w:rPr>
                <w:sz w:val="16"/>
                <w:szCs w:val="16"/>
              </w:rPr>
              <w:t>ë</w:t>
            </w:r>
            <w:r>
              <w:rPr>
                <w:sz w:val="16"/>
                <w:szCs w:val="16"/>
              </w:rPr>
              <w:t>nligjore p</w:t>
            </w:r>
            <w:r w:rsidR="00F1459A">
              <w:rPr>
                <w:sz w:val="16"/>
                <w:szCs w:val="16"/>
              </w:rPr>
              <w:t>ë</w:t>
            </w:r>
            <w:r>
              <w:rPr>
                <w:sz w:val="16"/>
                <w:szCs w:val="16"/>
              </w:rPr>
              <w:t>r zbatimin e ligjit p</w:t>
            </w:r>
            <w:r w:rsidR="00F1459A">
              <w:rPr>
                <w:sz w:val="16"/>
                <w:szCs w:val="16"/>
              </w:rPr>
              <w:t>ë</w:t>
            </w:r>
            <w:r>
              <w:rPr>
                <w:sz w:val="16"/>
                <w:szCs w:val="16"/>
              </w:rPr>
              <w:t>r taks</w:t>
            </w:r>
            <w:r w:rsidR="00F1459A">
              <w:rPr>
                <w:sz w:val="16"/>
                <w:szCs w:val="16"/>
              </w:rPr>
              <w:t>ë</w:t>
            </w:r>
            <w:r>
              <w:rPr>
                <w:sz w:val="16"/>
                <w:szCs w:val="16"/>
              </w:rPr>
              <w:t xml:space="preserve">n </w:t>
            </w:r>
            <w:r w:rsidR="00FE43E6">
              <w:rPr>
                <w:sz w:val="16"/>
                <w:szCs w:val="16"/>
              </w:rPr>
              <w:t>mbi</w:t>
            </w:r>
            <w:r>
              <w:rPr>
                <w:sz w:val="16"/>
                <w:szCs w:val="16"/>
              </w:rPr>
              <w:t xml:space="preserve"> pasuri</w:t>
            </w:r>
            <w:r w:rsidR="00FE43E6">
              <w:rPr>
                <w:sz w:val="16"/>
                <w:szCs w:val="16"/>
              </w:rPr>
              <w:t>n</w:t>
            </w:r>
            <w:r w:rsidR="00F1459A">
              <w:rPr>
                <w:sz w:val="16"/>
                <w:szCs w:val="16"/>
              </w:rPr>
              <w:t>ë</w:t>
            </w:r>
            <w:r w:rsidR="00FE43E6">
              <w:rPr>
                <w:sz w:val="16"/>
                <w:szCs w:val="16"/>
              </w:rPr>
              <w:t xml:space="preserve"> e paluajtshme</w:t>
            </w:r>
          </w:p>
        </w:tc>
        <w:tc>
          <w:tcPr>
            <w:tcW w:w="1180" w:type="dxa"/>
            <w:tcBorders>
              <w:top w:val="single" w:sz="4" w:space="0" w:color="auto"/>
              <w:left w:val="single" w:sz="4" w:space="0" w:color="auto"/>
              <w:bottom w:val="single" w:sz="4" w:space="0" w:color="auto"/>
              <w:right w:val="single" w:sz="4" w:space="0" w:color="auto"/>
            </w:tcBorders>
            <w:vAlign w:val="center"/>
          </w:tcPr>
          <w:p w14:paraId="50BEBDC7" w14:textId="07BA2F17" w:rsidR="008522A0" w:rsidRPr="001F151E" w:rsidRDefault="008522A0" w:rsidP="008522A0">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408351D6" w14:textId="0CAD36BD" w:rsidR="008522A0" w:rsidRPr="001F151E" w:rsidRDefault="008522A0" w:rsidP="008522A0">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08E750B8" w14:textId="2B15FC65" w:rsidR="008522A0" w:rsidRPr="001F151E" w:rsidRDefault="00903BCA" w:rsidP="008522A0">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2D104B62" w14:textId="6884C5A8" w:rsidR="008522A0" w:rsidRPr="009D660E" w:rsidRDefault="00FE43E6" w:rsidP="008522A0">
            <w:pPr>
              <w:pStyle w:val="T-normal"/>
              <w:jc w:val="center"/>
              <w:rPr>
                <w:lang w:val="it-IT"/>
              </w:rPr>
            </w:pPr>
            <w:r w:rsidRPr="009D660E">
              <w:rPr>
                <w:lang w:val="it-IT"/>
              </w:rPr>
              <w:t>Hartimi</w:t>
            </w:r>
            <w:r w:rsidR="00C76497" w:rsidRPr="009D660E">
              <w:rPr>
                <w:lang w:val="it-IT"/>
              </w:rPr>
              <w:t xml:space="preserve"> dhe miratimi i akteve n</w:t>
            </w:r>
            <w:r w:rsidR="00F1459A" w:rsidRPr="009D660E">
              <w:rPr>
                <w:lang w:val="it-IT"/>
              </w:rPr>
              <w:t>ë</w:t>
            </w:r>
            <w:r w:rsidR="00C76497" w:rsidRPr="009D660E">
              <w:rPr>
                <w:lang w:val="it-IT"/>
              </w:rPr>
              <w:t>nligjore</w:t>
            </w:r>
          </w:p>
        </w:tc>
        <w:tc>
          <w:tcPr>
            <w:tcW w:w="1181" w:type="dxa"/>
            <w:tcBorders>
              <w:top w:val="single" w:sz="4" w:space="0" w:color="auto"/>
              <w:left w:val="single" w:sz="4" w:space="0" w:color="auto"/>
              <w:bottom w:val="single" w:sz="4" w:space="0" w:color="auto"/>
              <w:right w:val="single" w:sz="4" w:space="0" w:color="auto"/>
            </w:tcBorders>
            <w:vAlign w:val="center"/>
          </w:tcPr>
          <w:p w14:paraId="6528AC57" w14:textId="32DF5E17" w:rsidR="008522A0" w:rsidRPr="001F151E" w:rsidRDefault="00903BCA" w:rsidP="008522A0">
            <w:pPr>
              <w:pStyle w:val="T-normal"/>
              <w:jc w:val="center"/>
            </w:pPr>
            <w:r w:rsidRPr="001F151E">
              <w:t>-</w:t>
            </w:r>
          </w:p>
        </w:tc>
      </w:tr>
    </w:tbl>
    <w:p w14:paraId="02173709" w14:textId="77777777" w:rsidR="008522A0" w:rsidRPr="001F151E" w:rsidRDefault="008522A0" w:rsidP="008522A0">
      <w:pPr>
        <w:rPr>
          <w:lang w:val="en-GB"/>
        </w:rPr>
      </w:pPr>
    </w:p>
    <w:p w14:paraId="6F42D169" w14:textId="77777777" w:rsidR="008522A0" w:rsidRPr="001F151E" w:rsidRDefault="008522A0" w:rsidP="008522A0">
      <w:pPr>
        <w:rPr>
          <w:lang w:val="en-GB"/>
        </w:rPr>
      </w:pPr>
    </w:p>
    <w:p w14:paraId="5C57F7B1" w14:textId="4622E5FA" w:rsidR="00827A2C" w:rsidRPr="001F151E" w:rsidRDefault="00B45F59" w:rsidP="00827A2C">
      <w:pPr>
        <w:pStyle w:val="Heading2"/>
        <w:rPr>
          <w:lang w:val="en-GB"/>
        </w:rPr>
      </w:pPr>
      <w:bookmarkStart w:id="35" w:name="_Toc151048296"/>
      <w:bookmarkStart w:id="36" w:name="_Toc161748822"/>
      <w:r>
        <w:rPr>
          <w:lang w:val="en-GB"/>
        </w:rPr>
        <w:t>Komponenti</w:t>
      </w:r>
      <w:r w:rsidR="00827A2C" w:rsidRPr="001F151E">
        <w:rPr>
          <w:lang w:val="en-GB"/>
        </w:rPr>
        <w:t xml:space="preserve"> 3.3 </w:t>
      </w:r>
      <w:bookmarkEnd w:id="35"/>
      <w:r>
        <w:rPr>
          <w:lang w:val="en-GB"/>
        </w:rPr>
        <w:t>Menaxhimi Doganor</w:t>
      </w:r>
      <w:bookmarkEnd w:id="36"/>
    </w:p>
    <w:p w14:paraId="35C62209" w14:textId="77777777" w:rsidR="00827A2C" w:rsidRPr="001F151E" w:rsidRDefault="00827A2C" w:rsidP="00827A2C">
      <w:pPr>
        <w:rPr>
          <w:lang w:val="en-GB"/>
        </w:rPr>
      </w:pPr>
    </w:p>
    <w:p w14:paraId="59A2AD5E" w14:textId="77777777" w:rsidR="00B45F59" w:rsidRPr="001F151E" w:rsidRDefault="00B45F59" w:rsidP="00B45F59">
      <w:pPr>
        <w:pStyle w:val="H5"/>
        <w:spacing w:line="276" w:lineRule="auto"/>
        <w:jc w:val="both"/>
        <w:rPr>
          <w:rFonts w:ascii="Calibri" w:hAnsi="Calibri" w:cs="Times New Roman"/>
          <w:sz w:val="21"/>
          <w:szCs w:val="21"/>
          <w:lang w:val="en-GB"/>
        </w:rPr>
      </w:pPr>
      <w:r>
        <w:rPr>
          <w:lang w:val="en-GB"/>
        </w:rPr>
        <w:t>Objektivi</w:t>
      </w:r>
      <w:r w:rsidRPr="001F151E">
        <w:rPr>
          <w:lang w:val="en-GB"/>
        </w:rPr>
        <w:t xml:space="preserve"> </w:t>
      </w:r>
    </w:p>
    <w:p w14:paraId="50E1E5B0" w14:textId="77777777" w:rsidR="00B45F59" w:rsidRDefault="00B45F59" w:rsidP="00B45F59">
      <w:pPr>
        <w:spacing w:line="276" w:lineRule="auto"/>
        <w:jc w:val="both"/>
        <w:rPr>
          <w:lang w:val="en-GB"/>
        </w:rPr>
      </w:pPr>
      <w:r>
        <w:rPr>
          <w:lang w:val="en-GB"/>
        </w:rPr>
        <w:t xml:space="preserve">Synimi për vitin </w:t>
      </w:r>
      <w:r w:rsidRPr="001F151E">
        <w:rPr>
          <w:lang w:val="en-GB"/>
        </w:rPr>
        <w:t xml:space="preserve">2030 </w:t>
      </w:r>
      <w:r>
        <w:rPr>
          <w:lang w:val="en-GB"/>
        </w:rPr>
        <w:t>është të kemi një Administratë Doganore efektive e cila ofron shërbime të përmirësuara për qytetarët dhe bizneset dhe funksionon në përputhje me standardet dhe legjislacionin e BE-së.</w:t>
      </w:r>
    </w:p>
    <w:p w14:paraId="05356071" w14:textId="77777777" w:rsidR="00B45F59" w:rsidRPr="001F151E" w:rsidRDefault="00B45F59" w:rsidP="00B45F59">
      <w:pPr>
        <w:spacing w:line="276" w:lineRule="auto"/>
        <w:jc w:val="both"/>
        <w:rPr>
          <w:sz w:val="20"/>
          <w:szCs w:val="20"/>
          <w:highlight w:val="yellow"/>
          <w:lang w:val="en-GB"/>
        </w:rPr>
      </w:pPr>
    </w:p>
    <w:p w14:paraId="6BC177CF" w14:textId="77777777" w:rsidR="00B45F59" w:rsidRPr="001F151E" w:rsidRDefault="00B45F59" w:rsidP="00B45F59">
      <w:pPr>
        <w:pStyle w:val="H5"/>
        <w:spacing w:line="276" w:lineRule="auto"/>
        <w:jc w:val="both"/>
        <w:rPr>
          <w:sz w:val="21"/>
          <w:szCs w:val="21"/>
          <w:lang w:val="en-GB"/>
        </w:rPr>
      </w:pPr>
      <w:r>
        <w:rPr>
          <w:lang w:val="en-GB"/>
        </w:rPr>
        <w:t>Konteksti</w:t>
      </w:r>
      <w:r w:rsidRPr="001F151E">
        <w:rPr>
          <w:lang w:val="en-GB"/>
        </w:rPr>
        <w:t xml:space="preserve"> </w:t>
      </w:r>
    </w:p>
    <w:p w14:paraId="781E3935" w14:textId="77777777" w:rsidR="00B45F59" w:rsidRPr="001F151E" w:rsidRDefault="00B45F59" w:rsidP="00B45F59">
      <w:pPr>
        <w:spacing w:line="276" w:lineRule="auto"/>
        <w:jc w:val="both"/>
        <w:rPr>
          <w:lang w:val="en-GB"/>
        </w:rPr>
      </w:pPr>
      <w:r>
        <w:rPr>
          <w:lang w:val="en-GB"/>
        </w:rPr>
        <w:t>Deri më sot, raportohen a</w:t>
      </w:r>
      <w:r w:rsidRPr="00DE3C5A">
        <w:rPr>
          <w:lang w:val="en-GB"/>
        </w:rPr>
        <w:t>rritje të rëndësishme në reformat doganore</w:t>
      </w:r>
      <w:r>
        <w:rPr>
          <w:lang w:val="en-GB"/>
        </w:rPr>
        <w:t>, veçanërisht në përafrimin e Kodit Doganor Shqiptar me Kodin D</w:t>
      </w:r>
      <w:r w:rsidRPr="00DE3C5A">
        <w:rPr>
          <w:lang w:val="en-GB"/>
        </w:rPr>
        <w:t>oganor të BE-së</w:t>
      </w:r>
      <w:r>
        <w:rPr>
          <w:lang w:val="en-GB"/>
        </w:rPr>
        <w:t xml:space="preserve">. Automatizimi i Doganave ishte </w:t>
      </w:r>
      <w:r w:rsidRPr="00DE3C5A">
        <w:rPr>
          <w:lang w:val="en-GB"/>
        </w:rPr>
        <w:t>një prioritet gjatë viteve të fundit dhe u bënë përpjekje për të futur dhe përmirësuar sisteme të tilla si Sistemi i Ri i Kompjuterizuar i Transitit (</w:t>
      </w:r>
      <w:r>
        <w:rPr>
          <w:lang w:val="en-GB"/>
        </w:rPr>
        <w:t>SRKT</w:t>
      </w:r>
      <w:r w:rsidRPr="00DE3C5A">
        <w:rPr>
          <w:lang w:val="en-GB"/>
        </w:rPr>
        <w:t>), Sistemi i Integruar i Menaxhimit të Tarifave (</w:t>
      </w:r>
      <w:r>
        <w:rPr>
          <w:lang w:val="en-GB"/>
        </w:rPr>
        <w:t>SIMT)</w:t>
      </w:r>
      <w:r w:rsidRPr="00DE3C5A">
        <w:rPr>
          <w:lang w:val="en-GB"/>
        </w:rPr>
        <w:t xml:space="preserve"> dhe përmirësimi i moduleve ekzistuese në Asycuda (</w:t>
      </w:r>
      <w:r>
        <w:rPr>
          <w:lang w:val="en-GB"/>
        </w:rPr>
        <w:t xml:space="preserve">sistemi kryesor në Administratën </w:t>
      </w:r>
      <w:r w:rsidRPr="00DE3C5A">
        <w:rPr>
          <w:lang w:val="en-GB"/>
        </w:rPr>
        <w:t>Doganore). Gjithashtu, ofrimi i shërbimit ndaj klientit është përmirësuar për shkak të ri-inxhinieri</w:t>
      </w:r>
      <w:r>
        <w:rPr>
          <w:lang w:val="en-GB"/>
        </w:rPr>
        <w:t>mit</w:t>
      </w:r>
      <w:r w:rsidRPr="00DE3C5A">
        <w:rPr>
          <w:lang w:val="en-GB"/>
        </w:rPr>
        <w:t xml:space="preserve"> së shumë proceseve, si: thjeshtësimi i procedurave; dhe futja e menaxhimit doganor pa letra për të thjeshtuar pajtueshmërinë. Këto ndryshime rezultuan në përmirësimin e procedurave doganore online, reduktimin e kohës së përpunimit doganor dhe rritjen e përdorimit të vlerësimit të r</w:t>
      </w:r>
      <w:r>
        <w:rPr>
          <w:lang w:val="en-GB"/>
        </w:rPr>
        <w:t>iskut. MF</w:t>
      </w:r>
      <w:r w:rsidRPr="00DE3C5A">
        <w:rPr>
          <w:lang w:val="en-GB"/>
        </w:rPr>
        <w:t>-ja ka zhvilluar Strategjinë Afatmesme të të Ardhurave 2022-2026 me synimin për të mobilizuar të ardhura shtesë për të krijuar hapësirë fiskale për investime dhe zhvillim të qëndrueshëm.</w:t>
      </w:r>
    </w:p>
    <w:p w14:paraId="3A858D95" w14:textId="77777777" w:rsidR="00B45F59" w:rsidRPr="001F151E" w:rsidRDefault="00B45F59" w:rsidP="00B45F59">
      <w:pPr>
        <w:spacing w:line="276" w:lineRule="auto"/>
        <w:jc w:val="both"/>
        <w:rPr>
          <w:lang w:val="en-GB"/>
        </w:rPr>
      </w:pPr>
    </w:p>
    <w:p w14:paraId="30955330" w14:textId="77777777" w:rsidR="00B45F59" w:rsidRPr="001F151E" w:rsidRDefault="00B45F59" w:rsidP="00B45F59">
      <w:pPr>
        <w:pStyle w:val="H5"/>
        <w:spacing w:line="276" w:lineRule="auto"/>
        <w:jc w:val="both"/>
        <w:rPr>
          <w:lang w:val="en-GB"/>
        </w:rPr>
      </w:pPr>
      <w:r>
        <w:rPr>
          <w:lang w:val="en-GB"/>
        </w:rPr>
        <w:t>Prioritetet</w:t>
      </w:r>
    </w:p>
    <w:p w14:paraId="6BA52BE8" w14:textId="77777777" w:rsidR="00B45F59" w:rsidRPr="001F151E" w:rsidRDefault="00B45F59" w:rsidP="00B45F59">
      <w:pPr>
        <w:spacing w:line="276" w:lineRule="auto"/>
        <w:jc w:val="both"/>
        <w:rPr>
          <w:lang w:val="en-GB"/>
        </w:rPr>
      </w:pPr>
      <w:r w:rsidRPr="00DE3C5A">
        <w:rPr>
          <w:lang w:val="en-GB"/>
        </w:rPr>
        <w:t xml:space="preserve">Prioritetet kryesore për </w:t>
      </w:r>
      <w:r>
        <w:rPr>
          <w:lang w:val="en-GB"/>
        </w:rPr>
        <w:t xml:space="preserve">periudhën </w:t>
      </w:r>
      <w:r w:rsidRPr="00DE3C5A">
        <w:rPr>
          <w:lang w:val="en-GB"/>
        </w:rPr>
        <w:t>2023-2026 janë:</w:t>
      </w:r>
    </w:p>
    <w:p w14:paraId="3A924A75" w14:textId="77777777" w:rsidR="00B45F59" w:rsidRPr="009D660E" w:rsidRDefault="00B45F59" w:rsidP="00B45F59">
      <w:pPr>
        <w:pStyle w:val="N-Bullet"/>
        <w:rPr>
          <w:lang w:val="it-IT"/>
        </w:rPr>
      </w:pPr>
      <w:r w:rsidRPr="009D660E">
        <w:rPr>
          <w:lang w:val="it-IT"/>
        </w:rPr>
        <w:t>Profesionalizimi i menaxhimit të riskut dhe proceseve të biznesit të Administratës Doganore</w:t>
      </w:r>
    </w:p>
    <w:p w14:paraId="193F48FE" w14:textId="77777777" w:rsidR="00B45F59" w:rsidRPr="001F151E" w:rsidRDefault="00B45F59" w:rsidP="00B45F59">
      <w:pPr>
        <w:pStyle w:val="N-Bullet"/>
        <w:rPr>
          <w:lang w:val="en-GB"/>
        </w:rPr>
      </w:pPr>
      <w:r w:rsidRPr="00A34D3D">
        <w:rPr>
          <w:lang w:val="en-GB"/>
        </w:rPr>
        <w:t>Hartimi dhe zbatimi i planeve për të luftuar informalitetin dhe korrupsionin</w:t>
      </w:r>
    </w:p>
    <w:p w14:paraId="2BDFEDA0" w14:textId="77777777" w:rsidR="00B45F59" w:rsidRPr="001F151E" w:rsidRDefault="00B45F59" w:rsidP="00B45F59">
      <w:pPr>
        <w:pStyle w:val="N-Bullet"/>
        <w:rPr>
          <w:lang w:val="en-GB"/>
        </w:rPr>
      </w:pPr>
      <w:r>
        <w:rPr>
          <w:lang w:val="en-GB"/>
        </w:rPr>
        <w:t>Prezantimi i “Dritares së Vetme K</w:t>
      </w:r>
      <w:r w:rsidRPr="00A34D3D">
        <w:rPr>
          <w:lang w:val="en-GB"/>
        </w:rPr>
        <w:t>ombëtare</w:t>
      </w:r>
      <w:r>
        <w:rPr>
          <w:lang w:val="en-GB"/>
        </w:rPr>
        <w:t>”</w:t>
      </w:r>
      <w:r w:rsidRPr="00A34D3D">
        <w:rPr>
          <w:lang w:val="en-GB"/>
        </w:rPr>
        <w:t xml:space="preserve"> dhe rritja e numrit të operatorëve ekonomikë të autorizuar</w:t>
      </w:r>
    </w:p>
    <w:p w14:paraId="48ABD330" w14:textId="77777777" w:rsidR="00B45F59" w:rsidRPr="001F151E" w:rsidRDefault="00B45F59" w:rsidP="00B45F59">
      <w:pPr>
        <w:pStyle w:val="N-Bullet"/>
        <w:rPr>
          <w:lang w:val="en-GB"/>
        </w:rPr>
      </w:pPr>
      <w:r w:rsidRPr="00A34D3D">
        <w:rPr>
          <w:lang w:val="en-GB"/>
        </w:rPr>
        <w:t>Rritja e përdorimit të Sistemit të Kompjuterizuar të Transitit</w:t>
      </w:r>
    </w:p>
    <w:p w14:paraId="02D1BDE5" w14:textId="77777777" w:rsidR="00B45F59" w:rsidRPr="001F151E" w:rsidRDefault="00B45F59" w:rsidP="00B45F59">
      <w:pPr>
        <w:pStyle w:val="H5"/>
        <w:rPr>
          <w:lang w:val="en-GB"/>
        </w:rPr>
      </w:pPr>
    </w:p>
    <w:p w14:paraId="436EAB6B" w14:textId="77777777" w:rsidR="00B45F59" w:rsidRPr="001F151E" w:rsidRDefault="00B45F59" w:rsidP="00B45F59">
      <w:pPr>
        <w:pStyle w:val="H5"/>
        <w:rPr>
          <w:rFonts w:ascii="Calibri" w:hAnsi="Calibri" w:cs="Times New Roman"/>
          <w:sz w:val="21"/>
          <w:szCs w:val="21"/>
          <w:lang w:val="en-GB"/>
        </w:rPr>
      </w:pPr>
      <w:r>
        <w:rPr>
          <w:lang w:val="en-G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75"/>
        <w:gridCol w:w="3624"/>
        <w:gridCol w:w="815"/>
        <w:gridCol w:w="797"/>
        <w:gridCol w:w="1605"/>
      </w:tblGrid>
      <w:tr w:rsidR="00B45F59" w:rsidRPr="001F151E" w14:paraId="214E197C" w14:textId="77777777" w:rsidTr="00B45F59">
        <w:trPr>
          <w:trHeight w:val="182"/>
          <w:tblHeader/>
        </w:trPr>
        <w:tc>
          <w:tcPr>
            <w:tcW w:w="12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B30EAE" w14:textId="77777777" w:rsidR="00B45F59" w:rsidRPr="001F151E" w:rsidRDefault="00B45F59" w:rsidP="00B45F59">
            <w:pPr>
              <w:pStyle w:val="T-bold"/>
              <w:spacing w:line="288" w:lineRule="auto"/>
            </w:pPr>
            <w:r>
              <w:t>Masa</w:t>
            </w:r>
          </w:p>
        </w:tc>
        <w:tc>
          <w:tcPr>
            <w:tcW w:w="2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46D56A" w14:textId="77777777" w:rsidR="00B45F59" w:rsidRPr="001F151E" w:rsidRDefault="00B45F59" w:rsidP="00B45F59">
            <w:pPr>
              <w:pStyle w:val="T-bold"/>
              <w:spacing w:line="288" w:lineRule="auto"/>
            </w:pPr>
            <w:r>
              <w:t>Aktiviteti</w:t>
            </w:r>
          </w:p>
        </w:tc>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764A27" w14:textId="77777777" w:rsidR="00B45F59" w:rsidRPr="001F151E" w:rsidRDefault="00B45F59" w:rsidP="00B45F59">
            <w:pPr>
              <w:pStyle w:val="T-bold"/>
              <w:spacing w:line="288" w:lineRule="auto"/>
              <w:jc w:val="center"/>
            </w:pPr>
            <w:r>
              <w:t>Fillimi</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07A3BE" w14:textId="77777777" w:rsidR="00B45F59" w:rsidRPr="001F151E" w:rsidRDefault="00B45F59" w:rsidP="00B45F59">
            <w:pPr>
              <w:pStyle w:val="T-bold"/>
              <w:spacing w:line="288" w:lineRule="auto"/>
              <w:jc w:val="center"/>
            </w:pPr>
            <w:r>
              <w:t>Mbarimi</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21873F" w14:textId="77777777" w:rsidR="00B45F59" w:rsidRPr="001F151E" w:rsidRDefault="00B45F59" w:rsidP="00B45F59">
            <w:pPr>
              <w:pStyle w:val="T-bold"/>
              <w:spacing w:line="288" w:lineRule="auto"/>
            </w:pPr>
            <w:r>
              <w:t>Grupet e Interesit</w:t>
            </w:r>
          </w:p>
        </w:tc>
      </w:tr>
      <w:tr w:rsidR="00B45F59" w:rsidRPr="0059094E" w14:paraId="65FFB23D" w14:textId="77777777" w:rsidTr="00B45F59">
        <w:trPr>
          <w:trHeight w:val="20"/>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4C347A39" w14:textId="77777777" w:rsidR="00B45F59" w:rsidRPr="009D660E" w:rsidRDefault="00B45F59" w:rsidP="00B45F59">
            <w:pPr>
              <w:pStyle w:val="T-bold"/>
              <w:rPr>
                <w:b w:val="0"/>
                <w:bCs w:val="0"/>
                <w:lang w:val="it-IT"/>
              </w:rPr>
            </w:pPr>
            <w:r w:rsidRPr="009D660E">
              <w:rPr>
                <w:lang w:val="it-IT"/>
              </w:rPr>
              <w:t xml:space="preserve">Masa 3.3.1 </w:t>
            </w:r>
            <w:r w:rsidRPr="009D660E">
              <w:rPr>
                <w:rStyle w:val="IntenseReference"/>
                <w:rFonts w:eastAsiaTheme="majorEastAsia"/>
                <w:i w:val="0"/>
                <w:iCs/>
                <w:color w:val="auto"/>
                <w:sz w:val="16"/>
                <w:szCs w:val="16"/>
                <w:lang w:val="it-IT"/>
              </w:rPr>
              <w:t>Modernizimi i proceseve të biznesit dhe menaxhimit të riskut të Administratës Doganore</w:t>
            </w:r>
          </w:p>
        </w:tc>
        <w:tc>
          <w:tcPr>
            <w:tcW w:w="2010" w:type="pct"/>
            <w:tcBorders>
              <w:top w:val="single" w:sz="4" w:space="0" w:color="auto"/>
              <w:left w:val="single" w:sz="4" w:space="0" w:color="auto"/>
              <w:bottom w:val="single" w:sz="4" w:space="0" w:color="auto"/>
              <w:right w:val="single" w:sz="4" w:space="0" w:color="auto"/>
            </w:tcBorders>
          </w:tcPr>
          <w:p w14:paraId="1441AC35" w14:textId="77777777" w:rsidR="00B45F59" w:rsidRPr="009D660E" w:rsidRDefault="00B45F59" w:rsidP="00B45F59">
            <w:pPr>
              <w:pStyle w:val="T-number"/>
              <w:numPr>
                <w:ilvl w:val="0"/>
                <w:numId w:val="29"/>
              </w:numPr>
              <w:rPr>
                <w:lang w:val="it-IT"/>
              </w:rPr>
            </w:pPr>
            <w:r w:rsidRPr="009D660E">
              <w:rPr>
                <w:lang w:val="it-IT"/>
              </w:rPr>
              <w:t>Vazhdimi i zhvillimit të një fuqie punëtore më profesionale dhe më të shkathët përmes përmirësimit të praktikave të burimeve njerëzore dhe ofrimit të zhvillimit të kapaciteteve.</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36783C61" w14:textId="77777777" w:rsidR="00B45F59" w:rsidRPr="001F151E" w:rsidRDefault="00B45F59" w:rsidP="00B45F59">
            <w:pPr>
              <w:jc w:val="center"/>
              <w:rPr>
                <w:sz w:val="16"/>
                <w:szCs w:val="16"/>
              </w:rPr>
            </w:pPr>
            <w:r>
              <w:rPr>
                <w:sz w:val="16"/>
                <w:szCs w:val="16"/>
              </w:rPr>
              <w:t>T</w:t>
            </w:r>
            <w:r w:rsidRPr="001F151E">
              <w:rPr>
                <w:sz w:val="16"/>
                <w:szCs w:val="16"/>
              </w:rPr>
              <w:t>1 2023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DB127E2"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890" w:type="pct"/>
            <w:vMerge w:val="restart"/>
            <w:tcBorders>
              <w:top w:val="single" w:sz="4" w:space="0" w:color="auto"/>
              <w:left w:val="single" w:sz="4" w:space="0" w:color="auto"/>
              <w:bottom w:val="single" w:sz="4" w:space="0" w:color="auto"/>
              <w:right w:val="single" w:sz="4" w:space="0" w:color="auto"/>
            </w:tcBorders>
            <w:hideMark/>
          </w:tcPr>
          <w:p w14:paraId="5053F05A" w14:textId="77777777" w:rsidR="00B45F59" w:rsidRPr="001F151E" w:rsidRDefault="00B45F59" w:rsidP="00B45F59">
            <w:pPr>
              <w:rPr>
                <w:b/>
                <w:bCs/>
                <w:sz w:val="16"/>
                <w:szCs w:val="16"/>
              </w:rPr>
            </w:pPr>
            <w:r>
              <w:rPr>
                <w:b/>
                <w:bCs/>
                <w:sz w:val="16"/>
                <w:szCs w:val="16"/>
              </w:rPr>
              <w:t>Njësitë Përgjegjëse</w:t>
            </w:r>
          </w:p>
          <w:p w14:paraId="3F389213" w14:textId="77777777" w:rsidR="00B45F59" w:rsidRPr="00551007" w:rsidRDefault="00B45F59" w:rsidP="00B45F59">
            <w:pPr>
              <w:spacing w:line="240" w:lineRule="auto"/>
              <w:rPr>
                <w:sz w:val="16"/>
                <w:szCs w:val="16"/>
              </w:rPr>
            </w:pPr>
            <w:r w:rsidRPr="00551007">
              <w:rPr>
                <w:sz w:val="16"/>
                <w:szCs w:val="16"/>
              </w:rPr>
              <w:t xml:space="preserve">Drejtoria e Burimeve Njerzore </w:t>
            </w:r>
            <w:r>
              <w:rPr>
                <w:sz w:val="16"/>
                <w:szCs w:val="16"/>
              </w:rPr>
              <w:t>në</w:t>
            </w:r>
            <w:r w:rsidRPr="00551007">
              <w:rPr>
                <w:sz w:val="16"/>
                <w:szCs w:val="16"/>
              </w:rPr>
              <w:t xml:space="preserve">  DPD (lider), </w:t>
            </w:r>
            <w:r>
              <w:rPr>
                <w:sz w:val="16"/>
                <w:szCs w:val="16"/>
              </w:rPr>
              <w:t>DPD</w:t>
            </w:r>
            <w:r w:rsidRPr="00551007">
              <w:rPr>
                <w:sz w:val="16"/>
                <w:szCs w:val="16"/>
              </w:rPr>
              <w:t>,  Koordinator DPD</w:t>
            </w:r>
          </w:p>
          <w:p w14:paraId="7848B386" w14:textId="77777777" w:rsidR="00B45F59" w:rsidRPr="006C3B9E" w:rsidRDefault="00B45F59" w:rsidP="00B45F59">
            <w:pPr>
              <w:spacing w:line="240" w:lineRule="auto"/>
              <w:rPr>
                <w:sz w:val="16"/>
                <w:szCs w:val="16"/>
                <w:highlight w:val="yellow"/>
              </w:rPr>
            </w:pPr>
          </w:p>
          <w:p w14:paraId="181C069B" w14:textId="77777777" w:rsidR="00B45F59" w:rsidRPr="009D660E" w:rsidRDefault="00B45F59" w:rsidP="00B45F59">
            <w:pPr>
              <w:rPr>
                <w:b/>
                <w:bCs/>
                <w:sz w:val="16"/>
                <w:szCs w:val="16"/>
                <w:lang w:val="it-IT"/>
              </w:rPr>
            </w:pPr>
            <w:r w:rsidRPr="009D660E">
              <w:rPr>
                <w:b/>
                <w:bCs/>
                <w:sz w:val="16"/>
                <w:szCs w:val="16"/>
                <w:lang w:val="it-IT"/>
              </w:rPr>
              <w:t>Partnerët</w:t>
            </w:r>
          </w:p>
          <w:p w14:paraId="06362395" w14:textId="5AEAEDED" w:rsidR="00B45F59" w:rsidRPr="009D660E" w:rsidRDefault="00EE1879" w:rsidP="00B45F59">
            <w:pPr>
              <w:spacing w:line="240" w:lineRule="auto"/>
              <w:rPr>
                <w:sz w:val="16"/>
                <w:szCs w:val="16"/>
                <w:lang w:val="it-IT"/>
              </w:rPr>
            </w:pPr>
            <w:r w:rsidRPr="009D660E">
              <w:rPr>
                <w:sz w:val="16"/>
                <w:szCs w:val="16"/>
                <w:lang w:val="it-IT"/>
              </w:rPr>
              <w:t>Delegacioni i BE-së</w:t>
            </w:r>
          </w:p>
        </w:tc>
      </w:tr>
      <w:tr w:rsidR="00B45F59" w:rsidRPr="001F151E" w14:paraId="22D1BBE6" w14:textId="77777777" w:rsidTr="00B45F59">
        <w:trPr>
          <w:trHeight w:val="32"/>
        </w:trPr>
        <w:tc>
          <w:tcPr>
            <w:tcW w:w="1206" w:type="pct"/>
            <w:vMerge/>
            <w:tcBorders>
              <w:top w:val="single" w:sz="4" w:space="0" w:color="auto"/>
              <w:left w:val="single" w:sz="4" w:space="0" w:color="auto"/>
              <w:bottom w:val="single" w:sz="4" w:space="0" w:color="auto"/>
              <w:right w:val="single" w:sz="4" w:space="0" w:color="auto"/>
            </w:tcBorders>
            <w:vAlign w:val="center"/>
            <w:hideMark/>
          </w:tcPr>
          <w:p w14:paraId="1D65C752" w14:textId="77777777" w:rsidR="00B45F59" w:rsidRPr="009D660E" w:rsidRDefault="00B45F59" w:rsidP="00B45F59">
            <w:pPr>
              <w:spacing w:line="240" w:lineRule="auto"/>
              <w:rPr>
                <w:b/>
                <w:bCs/>
                <w:sz w:val="16"/>
                <w:szCs w:val="16"/>
                <w:lang w:val="it-IT"/>
              </w:rPr>
            </w:pPr>
          </w:p>
        </w:tc>
        <w:tc>
          <w:tcPr>
            <w:tcW w:w="2010" w:type="pct"/>
            <w:tcBorders>
              <w:top w:val="single" w:sz="4" w:space="0" w:color="auto"/>
              <w:left w:val="single" w:sz="4" w:space="0" w:color="auto"/>
              <w:bottom w:val="single" w:sz="4" w:space="0" w:color="auto"/>
              <w:right w:val="single" w:sz="4" w:space="0" w:color="auto"/>
            </w:tcBorders>
            <w:vAlign w:val="center"/>
            <w:hideMark/>
          </w:tcPr>
          <w:p w14:paraId="649C639D" w14:textId="722FA8D7" w:rsidR="00B45F59" w:rsidRPr="009D660E" w:rsidRDefault="00B45F59" w:rsidP="007D30A7">
            <w:pPr>
              <w:pStyle w:val="T-number"/>
              <w:rPr>
                <w:lang w:val="it-IT"/>
              </w:rPr>
            </w:pPr>
            <w:r w:rsidRPr="009D660E">
              <w:rPr>
                <w:lang w:val="it-IT"/>
              </w:rPr>
              <w:t xml:space="preserve">Vazhdimi i investimit në sistemet e TI </w:t>
            </w:r>
            <w:r w:rsidR="006E34BE" w:rsidRPr="009D660E">
              <w:rPr>
                <w:lang w:val="it-IT"/>
              </w:rPr>
              <w:t xml:space="preserve">për </w:t>
            </w:r>
            <w:r w:rsidRPr="009D660E">
              <w:rPr>
                <w:lang w:val="it-IT"/>
              </w:rPr>
              <w:t>Sistemin e Integruar të Menaxhimit të Tarifave (SIMT).</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65B2B" w14:textId="77777777" w:rsidR="00B45F59" w:rsidRPr="001F151E" w:rsidRDefault="00B45F59" w:rsidP="00B45F59">
            <w:pPr>
              <w:jc w:val="center"/>
              <w:rPr>
                <w:sz w:val="16"/>
                <w:szCs w:val="16"/>
              </w:rPr>
            </w:pPr>
            <w:r>
              <w:rPr>
                <w:sz w:val="16"/>
                <w:szCs w:val="16"/>
              </w:rPr>
              <w:t>T</w:t>
            </w:r>
            <w:r w:rsidRPr="001F151E">
              <w:rPr>
                <w:sz w:val="16"/>
                <w:szCs w:val="16"/>
              </w:rPr>
              <w:t>1 2023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4785C" w14:textId="77777777" w:rsidR="00B45F59" w:rsidRPr="001F151E" w:rsidRDefault="00B45F59" w:rsidP="00B45F59">
            <w:pPr>
              <w:jc w:val="center"/>
              <w:rPr>
                <w:sz w:val="16"/>
                <w:szCs w:val="16"/>
              </w:rPr>
            </w:pPr>
            <w:r>
              <w:rPr>
                <w:sz w:val="16"/>
                <w:szCs w:val="16"/>
              </w:rPr>
              <w:t>T</w:t>
            </w:r>
            <w:r w:rsidRPr="001F151E">
              <w:rPr>
                <w:sz w:val="16"/>
                <w:szCs w:val="16"/>
              </w:rPr>
              <w:t>4 2024</w:t>
            </w:r>
          </w:p>
        </w:tc>
        <w:tc>
          <w:tcPr>
            <w:tcW w:w="890" w:type="pct"/>
            <w:vMerge/>
            <w:tcBorders>
              <w:top w:val="single" w:sz="4" w:space="0" w:color="auto"/>
              <w:left w:val="single" w:sz="4" w:space="0" w:color="auto"/>
              <w:bottom w:val="single" w:sz="4" w:space="0" w:color="auto"/>
              <w:right w:val="single" w:sz="4" w:space="0" w:color="auto"/>
            </w:tcBorders>
            <w:vAlign w:val="center"/>
            <w:hideMark/>
          </w:tcPr>
          <w:p w14:paraId="598A1EF0" w14:textId="77777777" w:rsidR="00B45F59" w:rsidRPr="001F151E" w:rsidRDefault="00B45F59" w:rsidP="00B45F59">
            <w:pPr>
              <w:spacing w:line="240" w:lineRule="auto"/>
              <w:rPr>
                <w:sz w:val="16"/>
                <w:szCs w:val="16"/>
              </w:rPr>
            </w:pPr>
          </w:p>
        </w:tc>
      </w:tr>
      <w:tr w:rsidR="00B45F59" w:rsidRPr="001F151E" w14:paraId="56949B2E" w14:textId="77777777" w:rsidTr="00B45F59">
        <w:trPr>
          <w:trHeight w:val="480"/>
        </w:trPr>
        <w:tc>
          <w:tcPr>
            <w:tcW w:w="1206" w:type="pct"/>
            <w:tcBorders>
              <w:top w:val="single" w:sz="4" w:space="0" w:color="auto"/>
              <w:left w:val="single" w:sz="4" w:space="0" w:color="auto"/>
              <w:bottom w:val="single" w:sz="4" w:space="0" w:color="auto"/>
              <w:right w:val="single" w:sz="4" w:space="0" w:color="auto"/>
            </w:tcBorders>
            <w:vAlign w:val="center"/>
            <w:hideMark/>
          </w:tcPr>
          <w:p w14:paraId="632230CF" w14:textId="77777777" w:rsidR="00B45F59" w:rsidRPr="001F151E" w:rsidRDefault="00B45F59" w:rsidP="00B45F59">
            <w:pPr>
              <w:pStyle w:val="T-bold"/>
            </w:pPr>
            <w:r>
              <w:t xml:space="preserve">Masa 3.3.2 </w:t>
            </w:r>
            <w:r>
              <w:rPr>
                <w:rStyle w:val="IntenseReference"/>
                <w:rFonts w:eastAsiaTheme="majorEastAsia"/>
                <w:i w:val="0"/>
                <w:iCs/>
                <w:color w:val="auto"/>
                <w:sz w:val="16"/>
                <w:szCs w:val="16"/>
              </w:rPr>
              <w:t>Zhvillimi i kuadrit të integritetit dhe luftës</w:t>
            </w:r>
            <w:r w:rsidRPr="00311060">
              <w:rPr>
                <w:rStyle w:val="IntenseReference"/>
                <w:rFonts w:eastAsiaTheme="majorEastAsia"/>
                <w:i w:val="0"/>
                <w:iCs/>
                <w:color w:val="auto"/>
                <w:sz w:val="16"/>
                <w:szCs w:val="16"/>
              </w:rPr>
              <w:t xml:space="preserve"> kundër informalitetit dhe korrupsionit</w:t>
            </w:r>
          </w:p>
        </w:tc>
        <w:tc>
          <w:tcPr>
            <w:tcW w:w="2010" w:type="pct"/>
            <w:tcBorders>
              <w:top w:val="single" w:sz="4" w:space="0" w:color="auto"/>
              <w:left w:val="single" w:sz="4" w:space="0" w:color="auto"/>
              <w:bottom w:val="single" w:sz="4" w:space="0" w:color="auto"/>
              <w:right w:val="single" w:sz="4" w:space="0" w:color="auto"/>
            </w:tcBorders>
            <w:vAlign w:val="center"/>
            <w:hideMark/>
          </w:tcPr>
          <w:p w14:paraId="31B74F44" w14:textId="77777777" w:rsidR="00B45F59" w:rsidRPr="009D660E" w:rsidRDefault="00B45F59" w:rsidP="00CD7428">
            <w:pPr>
              <w:pStyle w:val="T-number"/>
              <w:numPr>
                <w:ilvl w:val="0"/>
                <w:numId w:val="48"/>
              </w:numPr>
              <w:rPr>
                <w:lang w:val="it-IT"/>
              </w:rPr>
            </w:pPr>
            <w:r w:rsidRPr="009D660E">
              <w:rPr>
                <w:lang w:val="it-IT"/>
              </w:rPr>
              <w:t>Zhvillimi dhe zbatimi i një kuadri integriteti.</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8A3EA" w14:textId="77777777" w:rsidR="00B45F59" w:rsidRPr="001F151E" w:rsidRDefault="00B45F59" w:rsidP="00B45F59">
            <w:pPr>
              <w:jc w:val="center"/>
              <w:rPr>
                <w:sz w:val="16"/>
                <w:szCs w:val="16"/>
              </w:rPr>
            </w:pPr>
            <w:r>
              <w:rPr>
                <w:sz w:val="16"/>
                <w:szCs w:val="16"/>
              </w:rPr>
              <w:t>T</w:t>
            </w:r>
            <w:r w:rsidRPr="001F151E">
              <w:rPr>
                <w:sz w:val="16"/>
                <w:szCs w:val="16"/>
              </w:rPr>
              <w:t>4 2023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53B66"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890" w:type="pct"/>
            <w:tcBorders>
              <w:top w:val="single" w:sz="4" w:space="0" w:color="auto"/>
              <w:left w:val="single" w:sz="4" w:space="0" w:color="auto"/>
              <w:bottom w:val="single" w:sz="4" w:space="0" w:color="auto"/>
              <w:right w:val="single" w:sz="4" w:space="0" w:color="auto"/>
            </w:tcBorders>
          </w:tcPr>
          <w:p w14:paraId="2BA48768" w14:textId="77777777" w:rsidR="00B45F59" w:rsidRPr="001F151E" w:rsidRDefault="00B45F59" w:rsidP="00B45F59">
            <w:pPr>
              <w:rPr>
                <w:b/>
                <w:bCs/>
                <w:sz w:val="16"/>
                <w:szCs w:val="16"/>
              </w:rPr>
            </w:pPr>
            <w:r>
              <w:rPr>
                <w:b/>
                <w:bCs/>
                <w:sz w:val="16"/>
                <w:szCs w:val="16"/>
              </w:rPr>
              <w:t>Njësitë përgjegjëse</w:t>
            </w:r>
          </w:p>
          <w:p w14:paraId="61EB61F8" w14:textId="77777777" w:rsidR="00B45F59" w:rsidRPr="001F151E" w:rsidRDefault="00B45F59" w:rsidP="00B45F59">
            <w:pPr>
              <w:pStyle w:val="T-normal"/>
            </w:pPr>
            <w:r>
              <w:t>Drejtoria Antikorrupsion në</w:t>
            </w:r>
            <w:r w:rsidRPr="00013EA0">
              <w:t xml:space="preserve"> DPD </w:t>
            </w:r>
            <w:r>
              <w:t>(lider)</w:t>
            </w:r>
            <w:r w:rsidRPr="001F151E">
              <w:rPr>
                <w:rStyle w:val="FootnoteReference"/>
              </w:rPr>
              <w:footnoteReference w:id="45"/>
            </w:r>
          </w:p>
          <w:p w14:paraId="1E1A41FC" w14:textId="77777777" w:rsidR="00B45F59" w:rsidRPr="001F151E" w:rsidRDefault="00B45F59" w:rsidP="00B45F59">
            <w:pPr>
              <w:rPr>
                <w:b/>
                <w:bCs/>
                <w:sz w:val="16"/>
                <w:szCs w:val="16"/>
              </w:rPr>
            </w:pPr>
          </w:p>
          <w:p w14:paraId="706220AF" w14:textId="77777777" w:rsidR="00B45F59" w:rsidRPr="001F151E" w:rsidRDefault="00B45F59" w:rsidP="00B45F59">
            <w:pPr>
              <w:rPr>
                <w:b/>
                <w:bCs/>
                <w:sz w:val="16"/>
                <w:szCs w:val="16"/>
              </w:rPr>
            </w:pPr>
            <w:r>
              <w:rPr>
                <w:b/>
                <w:bCs/>
                <w:sz w:val="16"/>
                <w:szCs w:val="16"/>
              </w:rPr>
              <w:t>Partnerët</w:t>
            </w:r>
          </w:p>
          <w:p w14:paraId="7F8CC5FE" w14:textId="77777777" w:rsidR="00B45F59" w:rsidRPr="001F151E" w:rsidRDefault="00B45F59" w:rsidP="00B45F59">
            <w:pPr>
              <w:rPr>
                <w:sz w:val="16"/>
                <w:szCs w:val="16"/>
              </w:rPr>
            </w:pPr>
          </w:p>
        </w:tc>
      </w:tr>
      <w:tr w:rsidR="00B45F59" w:rsidRPr="001F151E" w14:paraId="41FA3FEB" w14:textId="77777777" w:rsidTr="00B45F59">
        <w:trPr>
          <w:trHeight w:val="20"/>
        </w:trPr>
        <w:tc>
          <w:tcPr>
            <w:tcW w:w="1206" w:type="pct"/>
            <w:tcBorders>
              <w:top w:val="single" w:sz="4" w:space="0" w:color="auto"/>
              <w:left w:val="single" w:sz="4" w:space="0" w:color="auto"/>
              <w:bottom w:val="single" w:sz="4" w:space="0" w:color="auto"/>
              <w:right w:val="single" w:sz="4" w:space="0" w:color="auto"/>
            </w:tcBorders>
            <w:vAlign w:val="center"/>
            <w:hideMark/>
          </w:tcPr>
          <w:p w14:paraId="1E1221EF" w14:textId="77777777" w:rsidR="00B45F59" w:rsidRPr="009D660E" w:rsidRDefault="00B45F59" w:rsidP="00B45F59">
            <w:pPr>
              <w:pStyle w:val="T-bold"/>
              <w:rPr>
                <w:i/>
                <w:lang w:val="it-IT"/>
              </w:rPr>
            </w:pPr>
            <w:r w:rsidRPr="009D660E">
              <w:rPr>
                <w:lang w:val="it-IT"/>
              </w:rPr>
              <w:t>Masas 3.3.3</w:t>
            </w:r>
            <w:r w:rsidRPr="009D660E">
              <w:rPr>
                <w:i/>
                <w:lang w:val="it-IT"/>
              </w:rPr>
              <w:t xml:space="preserve"> </w:t>
            </w:r>
            <w:r w:rsidRPr="009D660E">
              <w:rPr>
                <w:rStyle w:val="IntenseReference"/>
                <w:rFonts w:eastAsiaTheme="majorEastAsia"/>
                <w:i w:val="0"/>
                <w:iCs/>
                <w:color w:val="auto"/>
                <w:sz w:val="16"/>
                <w:szCs w:val="16"/>
                <w:lang w:val="it-IT"/>
              </w:rPr>
              <w:t>Rritja e numrit të Operatorëve Ekonomikë të Autorizuar</w:t>
            </w:r>
          </w:p>
          <w:p w14:paraId="38AC88B8" w14:textId="77777777" w:rsidR="00B45F59" w:rsidRPr="009D660E" w:rsidRDefault="00B45F59" w:rsidP="00B45F59">
            <w:pPr>
              <w:pStyle w:val="T-bold"/>
              <w:rPr>
                <w:lang w:val="it-IT"/>
              </w:rPr>
            </w:pPr>
          </w:p>
        </w:tc>
        <w:tc>
          <w:tcPr>
            <w:tcW w:w="2010" w:type="pct"/>
            <w:tcBorders>
              <w:top w:val="single" w:sz="4" w:space="0" w:color="auto"/>
              <w:left w:val="single" w:sz="4" w:space="0" w:color="auto"/>
              <w:bottom w:val="single" w:sz="4" w:space="0" w:color="auto"/>
              <w:right w:val="single" w:sz="4" w:space="0" w:color="auto"/>
            </w:tcBorders>
            <w:vAlign w:val="center"/>
            <w:hideMark/>
          </w:tcPr>
          <w:p w14:paraId="4F69DE82" w14:textId="1B6D504A" w:rsidR="00B45F59" w:rsidRPr="009D660E" w:rsidRDefault="00B45F59" w:rsidP="00CD7428">
            <w:pPr>
              <w:pStyle w:val="T-number"/>
              <w:numPr>
                <w:ilvl w:val="0"/>
                <w:numId w:val="104"/>
              </w:numPr>
              <w:rPr>
                <w:lang w:val="it-IT"/>
              </w:rPr>
            </w:pPr>
            <w:r w:rsidRPr="009D660E">
              <w:rPr>
                <w:lang w:val="it-IT"/>
              </w:rPr>
              <w:t>Vazhdimi i fushatave informuese dhe auditimeve të operatorëve të autorizuar ekonomikë potencialë</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9EE2E" w14:textId="77777777" w:rsidR="00B45F59" w:rsidRPr="001F151E" w:rsidRDefault="00B45F59" w:rsidP="00B45F59">
            <w:pPr>
              <w:jc w:val="center"/>
              <w:rPr>
                <w:sz w:val="16"/>
                <w:szCs w:val="16"/>
              </w:rPr>
            </w:pPr>
            <w:r>
              <w:rPr>
                <w:sz w:val="16"/>
                <w:szCs w:val="16"/>
              </w:rPr>
              <w:t>T</w:t>
            </w:r>
            <w:r w:rsidRPr="001F151E">
              <w:rPr>
                <w:sz w:val="16"/>
                <w:szCs w:val="16"/>
              </w:rPr>
              <w:t>1 2023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32317"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890" w:type="pct"/>
            <w:tcBorders>
              <w:top w:val="single" w:sz="4" w:space="0" w:color="auto"/>
              <w:left w:val="single" w:sz="4" w:space="0" w:color="auto"/>
              <w:bottom w:val="single" w:sz="4" w:space="0" w:color="auto"/>
              <w:right w:val="single" w:sz="4" w:space="0" w:color="auto"/>
            </w:tcBorders>
            <w:hideMark/>
          </w:tcPr>
          <w:p w14:paraId="72E61506" w14:textId="77777777" w:rsidR="00B45F59" w:rsidRPr="009D660E" w:rsidRDefault="00B45F59" w:rsidP="00B45F59">
            <w:pPr>
              <w:rPr>
                <w:b/>
                <w:bCs/>
                <w:sz w:val="16"/>
                <w:szCs w:val="16"/>
                <w:lang w:val="it-IT"/>
              </w:rPr>
            </w:pPr>
            <w:r w:rsidRPr="009D660E">
              <w:rPr>
                <w:b/>
                <w:bCs/>
                <w:sz w:val="16"/>
                <w:szCs w:val="16"/>
                <w:lang w:val="it-IT"/>
              </w:rPr>
              <w:t>Njësitë përgjegjëse</w:t>
            </w:r>
          </w:p>
          <w:p w14:paraId="7FC1880E" w14:textId="77777777" w:rsidR="00B45F59" w:rsidRPr="009D660E" w:rsidRDefault="00B45F59" w:rsidP="00B45F59">
            <w:pPr>
              <w:rPr>
                <w:sz w:val="16"/>
                <w:szCs w:val="16"/>
                <w:lang w:val="it-IT"/>
              </w:rPr>
            </w:pPr>
            <w:r w:rsidRPr="009D660E">
              <w:rPr>
                <w:sz w:val="16"/>
                <w:szCs w:val="16"/>
                <w:lang w:val="it-IT"/>
              </w:rPr>
              <w:t>Drejtoria e Procedurave në DPD (lider)</w:t>
            </w:r>
          </w:p>
          <w:p w14:paraId="3E8D6B1C" w14:textId="77777777" w:rsidR="00B45F59" w:rsidRPr="009D660E" w:rsidRDefault="00B45F59" w:rsidP="00B45F59">
            <w:pPr>
              <w:rPr>
                <w:sz w:val="16"/>
                <w:szCs w:val="16"/>
                <w:lang w:val="it-IT"/>
              </w:rPr>
            </w:pPr>
          </w:p>
          <w:p w14:paraId="5252EBE9" w14:textId="77777777" w:rsidR="00B45F59" w:rsidRPr="001F151E" w:rsidRDefault="00B45F59" w:rsidP="00B45F59">
            <w:pPr>
              <w:rPr>
                <w:b/>
                <w:bCs/>
                <w:sz w:val="16"/>
                <w:szCs w:val="16"/>
              </w:rPr>
            </w:pPr>
            <w:r>
              <w:rPr>
                <w:b/>
                <w:bCs/>
                <w:sz w:val="16"/>
                <w:szCs w:val="16"/>
              </w:rPr>
              <w:t>Partnerët</w:t>
            </w:r>
          </w:p>
          <w:p w14:paraId="52312236" w14:textId="7DACE000" w:rsidR="00B45F59" w:rsidRPr="001F151E" w:rsidRDefault="00EE1879" w:rsidP="00B45F59">
            <w:pPr>
              <w:rPr>
                <w:sz w:val="16"/>
                <w:szCs w:val="16"/>
              </w:rPr>
            </w:pPr>
            <w:r>
              <w:rPr>
                <w:sz w:val="16"/>
                <w:szCs w:val="16"/>
              </w:rPr>
              <w:t xml:space="preserve">Doganat në BE / Jo BE </w:t>
            </w:r>
          </w:p>
        </w:tc>
      </w:tr>
      <w:tr w:rsidR="00B45F59" w:rsidRPr="001F151E" w14:paraId="50D372D8" w14:textId="77777777" w:rsidTr="00B45F59">
        <w:trPr>
          <w:trHeight w:val="20"/>
        </w:trPr>
        <w:tc>
          <w:tcPr>
            <w:tcW w:w="1206" w:type="pct"/>
            <w:vMerge w:val="restart"/>
            <w:tcBorders>
              <w:top w:val="single" w:sz="4" w:space="0" w:color="auto"/>
              <w:left w:val="single" w:sz="4" w:space="0" w:color="auto"/>
              <w:bottom w:val="single" w:sz="4" w:space="0" w:color="auto"/>
              <w:right w:val="single" w:sz="4" w:space="0" w:color="auto"/>
            </w:tcBorders>
            <w:hideMark/>
          </w:tcPr>
          <w:p w14:paraId="3872ED18" w14:textId="77777777" w:rsidR="00B45F59" w:rsidRPr="009D660E" w:rsidRDefault="00B45F59" w:rsidP="00B45F59">
            <w:pPr>
              <w:pStyle w:val="T-bold"/>
              <w:rPr>
                <w:b w:val="0"/>
                <w:bCs w:val="0"/>
                <w:lang w:val="it-IT"/>
              </w:rPr>
            </w:pPr>
            <w:r w:rsidRPr="009D660E">
              <w:rPr>
                <w:lang w:val="it-IT"/>
              </w:rPr>
              <w:t>Masa 3.3.4 Zbatimi i Dritares së Vetme Kombëtare</w:t>
            </w:r>
          </w:p>
        </w:tc>
        <w:tc>
          <w:tcPr>
            <w:tcW w:w="20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E7994" w14:textId="77777777" w:rsidR="00B45F59" w:rsidRPr="009D660E" w:rsidRDefault="00B45F59" w:rsidP="00CD7428">
            <w:pPr>
              <w:pStyle w:val="T-number"/>
              <w:numPr>
                <w:ilvl w:val="0"/>
                <w:numId w:val="48"/>
              </w:numPr>
              <w:rPr>
                <w:lang w:val="it-IT"/>
              </w:rPr>
            </w:pPr>
            <w:r w:rsidRPr="009D660E">
              <w:rPr>
                <w:lang w:val="it-IT"/>
              </w:rPr>
              <w:t>Zhvillimi i konceptit dhe strukturës institucionale të Dritares së Vetme Kombëtare</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ADDA8" w14:textId="77777777" w:rsidR="00B45F59" w:rsidRPr="001F151E" w:rsidRDefault="00B45F59" w:rsidP="00B45F59">
            <w:pPr>
              <w:jc w:val="center"/>
              <w:rPr>
                <w:sz w:val="16"/>
                <w:szCs w:val="16"/>
              </w:rPr>
            </w:pPr>
            <w:r>
              <w:rPr>
                <w:sz w:val="16"/>
                <w:szCs w:val="16"/>
              </w:rPr>
              <w:t>T</w:t>
            </w:r>
            <w:r w:rsidRPr="001F151E">
              <w:rPr>
                <w:sz w:val="16"/>
                <w:szCs w:val="16"/>
              </w:rPr>
              <w:t>1 2023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666D64"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890" w:type="pct"/>
            <w:vMerge w:val="restart"/>
            <w:tcBorders>
              <w:top w:val="single" w:sz="4" w:space="0" w:color="auto"/>
              <w:left w:val="single" w:sz="4" w:space="0" w:color="auto"/>
              <w:bottom w:val="single" w:sz="4" w:space="0" w:color="auto"/>
              <w:right w:val="single" w:sz="4" w:space="0" w:color="auto"/>
            </w:tcBorders>
            <w:hideMark/>
          </w:tcPr>
          <w:p w14:paraId="327F7CBB" w14:textId="77777777" w:rsidR="00B45F59" w:rsidRPr="001F151E" w:rsidRDefault="00B45F59" w:rsidP="00B45F59">
            <w:pPr>
              <w:rPr>
                <w:b/>
                <w:bCs/>
                <w:sz w:val="16"/>
                <w:szCs w:val="16"/>
              </w:rPr>
            </w:pPr>
            <w:r>
              <w:rPr>
                <w:b/>
                <w:bCs/>
                <w:sz w:val="16"/>
                <w:szCs w:val="16"/>
              </w:rPr>
              <w:t>Njësitë përgjegjëse</w:t>
            </w:r>
          </w:p>
          <w:p w14:paraId="5FE0DEE2" w14:textId="77777777" w:rsidR="00B45F59" w:rsidRPr="001F151E" w:rsidRDefault="00B45F59" w:rsidP="00B45F59">
            <w:pPr>
              <w:rPr>
                <w:sz w:val="16"/>
                <w:szCs w:val="16"/>
              </w:rPr>
            </w:pPr>
            <w:r>
              <w:rPr>
                <w:sz w:val="16"/>
                <w:szCs w:val="16"/>
              </w:rPr>
              <w:t>DPD,</w:t>
            </w:r>
            <w:r w:rsidRPr="001F151E">
              <w:rPr>
                <w:sz w:val="16"/>
                <w:szCs w:val="16"/>
              </w:rPr>
              <w:t xml:space="preserve"> </w:t>
            </w:r>
            <w:r>
              <w:rPr>
                <w:sz w:val="16"/>
                <w:szCs w:val="16"/>
              </w:rPr>
              <w:t>Koordinator DPD</w:t>
            </w:r>
          </w:p>
        </w:tc>
      </w:tr>
      <w:tr w:rsidR="00B45F59" w:rsidRPr="001F151E" w14:paraId="4A9D6FE0" w14:textId="77777777" w:rsidTr="00B45F59">
        <w:trPr>
          <w:trHeight w:val="20"/>
        </w:trPr>
        <w:tc>
          <w:tcPr>
            <w:tcW w:w="1206" w:type="pct"/>
            <w:vMerge/>
            <w:tcBorders>
              <w:top w:val="single" w:sz="4" w:space="0" w:color="auto"/>
              <w:left w:val="single" w:sz="4" w:space="0" w:color="auto"/>
              <w:bottom w:val="single" w:sz="4" w:space="0" w:color="auto"/>
              <w:right w:val="single" w:sz="4" w:space="0" w:color="auto"/>
            </w:tcBorders>
            <w:vAlign w:val="center"/>
            <w:hideMark/>
          </w:tcPr>
          <w:p w14:paraId="5AE9B424" w14:textId="77777777" w:rsidR="00B45F59" w:rsidRPr="001F151E" w:rsidRDefault="00B45F59" w:rsidP="00B45F59">
            <w:pPr>
              <w:spacing w:line="240" w:lineRule="auto"/>
              <w:rPr>
                <w:b/>
                <w:bCs/>
                <w:sz w:val="16"/>
                <w:szCs w:val="16"/>
              </w:rPr>
            </w:pPr>
          </w:p>
        </w:tc>
        <w:tc>
          <w:tcPr>
            <w:tcW w:w="2010" w:type="pct"/>
            <w:tcBorders>
              <w:top w:val="single" w:sz="4" w:space="0" w:color="auto"/>
              <w:left w:val="single" w:sz="4" w:space="0" w:color="auto"/>
              <w:bottom w:val="single" w:sz="4" w:space="0" w:color="auto"/>
              <w:right w:val="single" w:sz="4" w:space="0" w:color="auto"/>
            </w:tcBorders>
            <w:vAlign w:val="center"/>
            <w:hideMark/>
          </w:tcPr>
          <w:p w14:paraId="52B0A397" w14:textId="77777777" w:rsidR="00B45F59" w:rsidRPr="009D660E" w:rsidRDefault="00B45F59" w:rsidP="00CD7428">
            <w:pPr>
              <w:pStyle w:val="T-number"/>
              <w:numPr>
                <w:ilvl w:val="0"/>
                <w:numId w:val="48"/>
              </w:numPr>
              <w:rPr>
                <w:lang w:val="it-IT"/>
              </w:rPr>
            </w:pPr>
            <w:r w:rsidRPr="009D660E">
              <w:rPr>
                <w:lang w:val="it-IT"/>
              </w:rPr>
              <w:t>Rishikimi dhe ndryshimi i legjislacionit dhe i rregulloreve për Dritaren e Vetme Kombëtare.</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0C1E1" w14:textId="77777777" w:rsidR="00B45F59" w:rsidRPr="001F151E" w:rsidRDefault="00B45F59" w:rsidP="00B45F59">
            <w:pPr>
              <w:jc w:val="center"/>
              <w:rPr>
                <w:sz w:val="16"/>
                <w:szCs w:val="16"/>
              </w:rPr>
            </w:pPr>
            <w:r>
              <w:rPr>
                <w:sz w:val="16"/>
                <w:szCs w:val="16"/>
              </w:rPr>
              <w:t>T</w:t>
            </w:r>
            <w:r w:rsidRPr="001F151E">
              <w:rPr>
                <w:sz w:val="16"/>
                <w:szCs w:val="16"/>
              </w:rPr>
              <w:t>1 2024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F9AAF67"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890" w:type="pct"/>
            <w:vMerge/>
            <w:tcBorders>
              <w:top w:val="single" w:sz="4" w:space="0" w:color="auto"/>
              <w:left w:val="single" w:sz="4" w:space="0" w:color="auto"/>
              <w:bottom w:val="single" w:sz="4" w:space="0" w:color="auto"/>
              <w:right w:val="single" w:sz="4" w:space="0" w:color="auto"/>
            </w:tcBorders>
            <w:vAlign w:val="center"/>
            <w:hideMark/>
          </w:tcPr>
          <w:p w14:paraId="5C47D403" w14:textId="77777777" w:rsidR="00B45F59" w:rsidRPr="001F151E" w:rsidRDefault="00B45F59" w:rsidP="00B45F59">
            <w:pPr>
              <w:spacing w:line="240" w:lineRule="auto"/>
              <w:rPr>
                <w:sz w:val="16"/>
                <w:szCs w:val="16"/>
              </w:rPr>
            </w:pPr>
          </w:p>
        </w:tc>
      </w:tr>
      <w:tr w:rsidR="00B45F59" w:rsidRPr="001F151E" w14:paraId="7957B92B" w14:textId="77777777" w:rsidTr="00B45F59">
        <w:trPr>
          <w:trHeight w:val="20"/>
        </w:trPr>
        <w:tc>
          <w:tcPr>
            <w:tcW w:w="1206" w:type="pct"/>
            <w:vMerge/>
            <w:tcBorders>
              <w:top w:val="single" w:sz="4" w:space="0" w:color="auto"/>
              <w:left w:val="single" w:sz="4" w:space="0" w:color="auto"/>
              <w:bottom w:val="single" w:sz="4" w:space="0" w:color="auto"/>
              <w:right w:val="single" w:sz="4" w:space="0" w:color="auto"/>
            </w:tcBorders>
            <w:vAlign w:val="center"/>
            <w:hideMark/>
          </w:tcPr>
          <w:p w14:paraId="14D9B6B9" w14:textId="77777777" w:rsidR="00B45F59" w:rsidRPr="001F151E" w:rsidRDefault="00B45F59" w:rsidP="00B45F59">
            <w:pPr>
              <w:spacing w:line="240" w:lineRule="auto"/>
              <w:rPr>
                <w:b/>
                <w:bCs/>
                <w:sz w:val="16"/>
                <w:szCs w:val="16"/>
              </w:rPr>
            </w:pPr>
          </w:p>
        </w:tc>
        <w:tc>
          <w:tcPr>
            <w:tcW w:w="2010" w:type="pct"/>
            <w:tcBorders>
              <w:top w:val="single" w:sz="4" w:space="0" w:color="auto"/>
              <w:left w:val="single" w:sz="4" w:space="0" w:color="auto"/>
              <w:bottom w:val="single" w:sz="4" w:space="0" w:color="auto"/>
              <w:right w:val="single" w:sz="4" w:space="0" w:color="auto"/>
            </w:tcBorders>
            <w:vAlign w:val="center"/>
            <w:hideMark/>
          </w:tcPr>
          <w:p w14:paraId="7F43A295" w14:textId="77777777" w:rsidR="00B45F59" w:rsidRPr="001F151E" w:rsidRDefault="00B45F59" w:rsidP="00B45F59">
            <w:pPr>
              <w:pStyle w:val="T-number"/>
            </w:pPr>
            <w:r>
              <w:t xml:space="preserve">Zhvillimi dhe vendosja e zgjidhjes së </w:t>
            </w:r>
            <w:r w:rsidRPr="00F22FF8">
              <w:t xml:space="preserve">TI-së për </w:t>
            </w:r>
            <w:r>
              <w:t>Dritaren e Vetme Kombëtare.</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123FD" w14:textId="77777777" w:rsidR="00B45F59" w:rsidRPr="001F151E" w:rsidRDefault="00B45F59" w:rsidP="00B45F59">
            <w:pPr>
              <w:jc w:val="center"/>
              <w:rPr>
                <w:sz w:val="16"/>
                <w:szCs w:val="16"/>
              </w:rPr>
            </w:pPr>
            <w:r>
              <w:rPr>
                <w:sz w:val="16"/>
                <w:szCs w:val="16"/>
              </w:rPr>
              <w:t>T</w:t>
            </w:r>
            <w:r w:rsidRPr="001F151E">
              <w:rPr>
                <w:sz w:val="16"/>
                <w:szCs w:val="16"/>
              </w:rPr>
              <w:t>1 2024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E9678"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890" w:type="pct"/>
            <w:vMerge/>
            <w:tcBorders>
              <w:top w:val="single" w:sz="4" w:space="0" w:color="auto"/>
              <w:left w:val="single" w:sz="4" w:space="0" w:color="auto"/>
              <w:bottom w:val="single" w:sz="4" w:space="0" w:color="auto"/>
              <w:right w:val="single" w:sz="4" w:space="0" w:color="auto"/>
            </w:tcBorders>
            <w:vAlign w:val="center"/>
            <w:hideMark/>
          </w:tcPr>
          <w:p w14:paraId="352F7992" w14:textId="77777777" w:rsidR="00B45F59" w:rsidRPr="001F151E" w:rsidRDefault="00B45F59" w:rsidP="00B45F59">
            <w:pPr>
              <w:spacing w:line="240" w:lineRule="auto"/>
              <w:rPr>
                <w:sz w:val="16"/>
                <w:szCs w:val="16"/>
              </w:rPr>
            </w:pPr>
          </w:p>
        </w:tc>
      </w:tr>
      <w:tr w:rsidR="00B45F59" w:rsidRPr="001F151E" w14:paraId="434C5224" w14:textId="77777777" w:rsidTr="00B45F59">
        <w:trPr>
          <w:trHeight w:val="20"/>
        </w:trPr>
        <w:tc>
          <w:tcPr>
            <w:tcW w:w="1206" w:type="pct"/>
            <w:vMerge w:val="restart"/>
            <w:tcBorders>
              <w:top w:val="single" w:sz="4" w:space="0" w:color="auto"/>
              <w:left w:val="single" w:sz="4" w:space="0" w:color="auto"/>
              <w:bottom w:val="single" w:sz="4" w:space="0" w:color="auto"/>
              <w:right w:val="single" w:sz="4" w:space="0" w:color="auto"/>
            </w:tcBorders>
            <w:hideMark/>
          </w:tcPr>
          <w:p w14:paraId="35678C60" w14:textId="77777777" w:rsidR="00B45F59" w:rsidRPr="001F151E" w:rsidRDefault="00B45F59" w:rsidP="00B45F59">
            <w:pPr>
              <w:pStyle w:val="EcorysBody"/>
              <w:spacing w:line="288" w:lineRule="auto"/>
              <w:rPr>
                <w:rFonts w:ascii="Arial" w:hAnsi="Arial" w:cs="Arial"/>
                <w:sz w:val="16"/>
                <w:szCs w:val="16"/>
              </w:rPr>
            </w:pPr>
            <w:r>
              <w:rPr>
                <w:rFonts w:ascii="Arial" w:hAnsi="Arial" w:cs="Arial"/>
                <w:b/>
                <w:bCs/>
                <w:sz w:val="16"/>
                <w:szCs w:val="16"/>
              </w:rPr>
              <w:t>Masa</w:t>
            </w:r>
            <w:r w:rsidRPr="001F151E">
              <w:rPr>
                <w:rFonts w:ascii="Arial" w:hAnsi="Arial" w:cs="Arial"/>
                <w:b/>
                <w:bCs/>
                <w:sz w:val="16"/>
                <w:szCs w:val="16"/>
              </w:rPr>
              <w:t xml:space="preserve"> 3.3.5 </w:t>
            </w:r>
            <w:r w:rsidRPr="00273040">
              <w:rPr>
                <w:rFonts w:ascii="Arial" w:hAnsi="Arial" w:cs="Arial"/>
                <w:b/>
                <w:bCs/>
                <w:sz w:val="16"/>
                <w:szCs w:val="16"/>
              </w:rPr>
              <w:t>Përmirësimi i përdorimit të Sistemit të Ri të Kompjuterizuar të Transitit (</w:t>
            </w:r>
            <w:r>
              <w:rPr>
                <w:rFonts w:ascii="Arial" w:hAnsi="Arial" w:cs="Arial"/>
                <w:b/>
                <w:bCs/>
                <w:sz w:val="16"/>
                <w:szCs w:val="16"/>
              </w:rPr>
              <w:t>SRKT</w:t>
            </w:r>
            <w:r w:rsidRPr="00273040">
              <w:rPr>
                <w:rFonts w:ascii="Arial" w:hAnsi="Arial" w:cs="Arial"/>
                <w:b/>
                <w:bCs/>
                <w:sz w:val="16"/>
                <w:szCs w:val="16"/>
              </w:rPr>
              <w:t>)</w:t>
            </w:r>
          </w:p>
        </w:tc>
        <w:tc>
          <w:tcPr>
            <w:tcW w:w="2010" w:type="pct"/>
            <w:tcBorders>
              <w:top w:val="single" w:sz="4" w:space="0" w:color="auto"/>
              <w:left w:val="single" w:sz="4" w:space="0" w:color="auto"/>
              <w:bottom w:val="single" w:sz="4" w:space="0" w:color="auto"/>
              <w:right w:val="single" w:sz="4" w:space="0" w:color="auto"/>
            </w:tcBorders>
            <w:vAlign w:val="center"/>
            <w:hideMark/>
          </w:tcPr>
          <w:p w14:paraId="60810C20" w14:textId="77777777" w:rsidR="00B45F59" w:rsidRPr="009D660E" w:rsidRDefault="00B45F59" w:rsidP="00CD7428">
            <w:pPr>
              <w:pStyle w:val="T-number"/>
              <w:numPr>
                <w:ilvl w:val="0"/>
                <w:numId w:val="48"/>
              </w:numPr>
              <w:rPr>
                <w:lang w:val="it-IT"/>
              </w:rPr>
            </w:pPr>
            <w:r w:rsidRPr="009D660E">
              <w:rPr>
                <w:lang w:val="it-IT"/>
              </w:rPr>
              <w:t>Rishikimi dhe përditësimi i dispozitave ligjore për SRKT-në.</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B0BE1" w14:textId="77777777" w:rsidR="00B45F59" w:rsidRPr="001F151E" w:rsidRDefault="00B45F59" w:rsidP="00B45F59">
            <w:pPr>
              <w:jc w:val="center"/>
              <w:rPr>
                <w:sz w:val="16"/>
                <w:szCs w:val="16"/>
              </w:rPr>
            </w:pPr>
            <w:r>
              <w:rPr>
                <w:sz w:val="16"/>
                <w:szCs w:val="16"/>
              </w:rPr>
              <w:t>T</w:t>
            </w:r>
            <w:r w:rsidRPr="001F151E">
              <w:rPr>
                <w:sz w:val="16"/>
                <w:szCs w:val="16"/>
              </w:rPr>
              <w:t>1 2024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FC391EE"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890" w:type="pct"/>
            <w:vMerge w:val="restart"/>
            <w:tcBorders>
              <w:top w:val="single" w:sz="4" w:space="0" w:color="auto"/>
              <w:left w:val="single" w:sz="4" w:space="0" w:color="auto"/>
              <w:bottom w:val="single" w:sz="4" w:space="0" w:color="auto"/>
              <w:right w:val="single" w:sz="4" w:space="0" w:color="auto"/>
            </w:tcBorders>
            <w:hideMark/>
          </w:tcPr>
          <w:p w14:paraId="5CC20D1C" w14:textId="77777777" w:rsidR="00B45F59" w:rsidRPr="001F151E" w:rsidRDefault="00B45F59" w:rsidP="00B45F59">
            <w:pPr>
              <w:rPr>
                <w:b/>
                <w:bCs/>
                <w:sz w:val="16"/>
                <w:szCs w:val="16"/>
              </w:rPr>
            </w:pPr>
            <w:r>
              <w:rPr>
                <w:b/>
                <w:bCs/>
                <w:sz w:val="16"/>
                <w:szCs w:val="16"/>
              </w:rPr>
              <w:t>Njësitë përgjegjëse</w:t>
            </w:r>
          </w:p>
          <w:p w14:paraId="1B7DC71D" w14:textId="77777777" w:rsidR="00B45F59" w:rsidRPr="001F151E" w:rsidRDefault="00B45F59" w:rsidP="00B45F59">
            <w:pPr>
              <w:rPr>
                <w:sz w:val="16"/>
                <w:szCs w:val="16"/>
              </w:rPr>
            </w:pPr>
            <w:r w:rsidRPr="00551007">
              <w:rPr>
                <w:sz w:val="16"/>
                <w:szCs w:val="16"/>
              </w:rPr>
              <w:t>DPD</w:t>
            </w:r>
            <w:r>
              <w:rPr>
                <w:sz w:val="16"/>
                <w:szCs w:val="16"/>
              </w:rPr>
              <w:t xml:space="preserve">, Koordinator DPD </w:t>
            </w:r>
          </w:p>
        </w:tc>
      </w:tr>
      <w:tr w:rsidR="00B45F59" w:rsidRPr="001F151E" w14:paraId="1D442D80" w14:textId="77777777" w:rsidTr="00B45F59">
        <w:trPr>
          <w:trHeight w:val="20"/>
        </w:trPr>
        <w:tc>
          <w:tcPr>
            <w:tcW w:w="1206" w:type="pct"/>
            <w:vMerge/>
            <w:tcBorders>
              <w:top w:val="single" w:sz="4" w:space="0" w:color="auto"/>
              <w:left w:val="single" w:sz="4" w:space="0" w:color="auto"/>
              <w:bottom w:val="single" w:sz="4" w:space="0" w:color="auto"/>
              <w:right w:val="single" w:sz="4" w:space="0" w:color="auto"/>
            </w:tcBorders>
            <w:vAlign w:val="center"/>
            <w:hideMark/>
          </w:tcPr>
          <w:p w14:paraId="61F8082B" w14:textId="77777777" w:rsidR="00B45F59" w:rsidRPr="001F151E" w:rsidRDefault="00B45F59" w:rsidP="00B45F59">
            <w:pPr>
              <w:spacing w:line="240" w:lineRule="auto"/>
              <w:rPr>
                <w:sz w:val="16"/>
                <w:szCs w:val="16"/>
              </w:rPr>
            </w:pPr>
          </w:p>
        </w:tc>
        <w:tc>
          <w:tcPr>
            <w:tcW w:w="2010" w:type="pct"/>
            <w:tcBorders>
              <w:top w:val="single" w:sz="4" w:space="0" w:color="auto"/>
              <w:left w:val="single" w:sz="4" w:space="0" w:color="auto"/>
              <w:bottom w:val="single" w:sz="4" w:space="0" w:color="auto"/>
              <w:right w:val="single" w:sz="4" w:space="0" w:color="auto"/>
            </w:tcBorders>
            <w:vAlign w:val="center"/>
            <w:hideMark/>
          </w:tcPr>
          <w:p w14:paraId="035E3257" w14:textId="77777777" w:rsidR="00B45F59" w:rsidRPr="001F151E" w:rsidRDefault="00B45F59" w:rsidP="00B45F59">
            <w:pPr>
              <w:pStyle w:val="T-number"/>
            </w:pPr>
            <w:r w:rsidRPr="00273040">
              <w:t>Zhvill</w:t>
            </w:r>
            <w:r>
              <w:t>im i më</w:t>
            </w:r>
            <w:r w:rsidRPr="00273040">
              <w:t>tej</w:t>
            </w:r>
            <w:r>
              <w:t xml:space="preserve">shëm i mjedisit të </w:t>
            </w:r>
            <w:r w:rsidRPr="00273040">
              <w:t>TI</w:t>
            </w:r>
            <w:r>
              <w:t>-së të</w:t>
            </w:r>
            <w:r w:rsidRPr="00273040">
              <w:t xml:space="preserve"> </w:t>
            </w:r>
            <w:r>
              <w:t>SRKT-së</w:t>
            </w:r>
            <w:r w:rsidRPr="00273040">
              <w:t>.</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BDE97A" w14:textId="77777777" w:rsidR="00B45F59" w:rsidRPr="001F151E" w:rsidRDefault="00B45F59" w:rsidP="00B45F59">
            <w:pPr>
              <w:jc w:val="center"/>
              <w:rPr>
                <w:sz w:val="16"/>
                <w:szCs w:val="16"/>
              </w:rPr>
            </w:pPr>
            <w:r>
              <w:rPr>
                <w:sz w:val="16"/>
                <w:szCs w:val="16"/>
              </w:rPr>
              <w:t>T</w:t>
            </w:r>
            <w:r w:rsidRPr="001F151E">
              <w:rPr>
                <w:sz w:val="16"/>
                <w:szCs w:val="16"/>
              </w:rPr>
              <w:t>1 2024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2DE2A" w14:textId="77777777" w:rsidR="00B45F59" w:rsidRPr="001F151E" w:rsidRDefault="00B45F59" w:rsidP="00B45F59">
            <w:pPr>
              <w:jc w:val="center"/>
              <w:rPr>
                <w:sz w:val="16"/>
                <w:szCs w:val="16"/>
              </w:rPr>
            </w:pPr>
            <w:r>
              <w:rPr>
                <w:sz w:val="16"/>
                <w:szCs w:val="16"/>
              </w:rPr>
              <w:t>T</w:t>
            </w:r>
            <w:r w:rsidRPr="001F151E">
              <w:rPr>
                <w:sz w:val="16"/>
                <w:szCs w:val="16"/>
              </w:rPr>
              <w:t>4 2026</w:t>
            </w:r>
          </w:p>
        </w:tc>
        <w:tc>
          <w:tcPr>
            <w:tcW w:w="890" w:type="pct"/>
            <w:vMerge/>
            <w:tcBorders>
              <w:top w:val="single" w:sz="4" w:space="0" w:color="auto"/>
              <w:left w:val="single" w:sz="4" w:space="0" w:color="auto"/>
              <w:bottom w:val="single" w:sz="4" w:space="0" w:color="auto"/>
              <w:right w:val="single" w:sz="4" w:space="0" w:color="auto"/>
            </w:tcBorders>
            <w:vAlign w:val="center"/>
            <w:hideMark/>
          </w:tcPr>
          <w:p w14:paraId="4001B9DD" w14:textId="77777777" w:rsidR="00B45F59" w:rsidRPr="001F151E" w:rsidRDefault="00B45F59" w:rsidP="00B45F59">
            <w:pPr>
              <w:spacing w:line="240" w:lineRule="auto"/>
              <w:rPr>
                <w:sz w:val="16"/>
                <w:szCs w:val="16"/>
              </w:rPr>
            </w:pPr>
          </w:p>
        </w:tc>
      </w:tr>
    </w:tbl>
    <w:p w14:paraId="5B9255A6" w14:textId="77777777" w:rsidR="00B45F59" w:rsidRPr="001F151E" w:rsidRDefault="00B45F59" w:rsidP="00B45F59">
      <w:pPr>
        <w:rPr>
          <w:lang w:val="en-GB"/>
        </w:rPr>
      </w:pPr>
    </w:p>
    <w:p w14:paraId="17ECAC74" w14:textId="77777777" w:rsidR="00B45F59" w:rsidRPr="009D660E" w:rsidRDefault="00B45F59" w:rsidP="00B45F59">
      <w:pPr>
        <w:pStyle w:val="H5"/>
        <w:rPr>
          <w:lang w:val="it-IT"/>
        </w:rPr>
      </w:pPr>
      <w:r w:rsidRPr="009D660E">
        <w:rPr>
          <w:lang w:val="it-IT"/>
        </w:rPr>
        <w:t>Treguesit e performancës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B45F59" w:rsidRPr="001F151E" w14:paraId="452D3125" w14:textId="77777777" w:rsidTr="00B45F59">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A0AE3D" w14:textId="77777777" w:rsidR="00B45F59" w:rsidRPr="001F151E" w:rsidRDefault="00B45F59" w:rsidP="00B45F59">
            <w:pPr>
              <w:pStyle w:val="T-bold"/>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93AAB" w14:textId="77777777" w:rsidR="00B45F59" w:rsidRPr="001F151E" w:rsidRDefault="00B45F59" w:rsidP="00B45F59">
            <w:pPr>
              <w:pStyle w:val="T-bold"/>
              <w:jc w:val="center"/>
            </w:pPr>
            <w:r>
              <w:t>Vlera Bazë (viti</w:t>
            </w:r>
            <w:r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5C8A2A" w14:textId="77777777" w:rsidR="00B45F59" w:rsidRPr="001F151E" w:rsidRDefault="00B45F59" w:rsidP="00B45F59">
            <w:pPr>
              <w:pStyle w:val="T-bold"/>
              <w:jc w:val="center"/>
            </w:pPr>
            <w:r>
              <w:t>Vlera e synuar</w:t>
            </w:r>
          </w:p>
        </w:tc>
      </w:tr>
      <w:tr w:rsidR="00B45F59" w:rsidRPr="001F151E" w14:paraId="2426CEFD" w14:textId="77777777" w:rsidTr="00B45F59">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1C321A5" w14:textId="77777777" w:rsidR="00B45F59" w:rsidRPr="001F151E" w:rsidRDefault="00B45F59" w:rsidP="00B45F59">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5EEA289" w14:textId="77777777" w:rsidR="00B45F59" w:rsidRPr="001F151E" w:rsidRDefault="00B45F59" w:rsidP="00B45F59">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E5BAE" w14:textId="77777777" w:rsidR="00B45F59" w:rsidRPr="001F151E" w:rsidRDefault="00B45F59" w:rsidP="00B45F59">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FE9FF" w14:textId="77777777" w:rsidR="00B45F59" w:rsidRPr="001F151E" w:rsidRDefault="00B45F59" w:rsidP="00B45F59">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708F8F" w14:textId="77777777" w:rsidR="00B45F59" w:rsidRPr="001F151E" w:rsidRDefault="00B45F59" w:rsidP="00B45F59">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05C6F" w14:textId="77777777" w:rsidR="00B45F59" w:rsidRPr="001F151E" w:rsidRDefault="00B45F59" w:rsidP="00B45F59">
            <w:pPr>
              <w:pStyle w:val="T-bold"/>
              <w:jc w:val="center"/>
            </w:pPr>
            <w:r w:rsidRPr="001F151E">
              <w:t>2026</w:t>
            </w:r>
          </w:p>
        </w:tc>
      </w:tr>
      <w:tr w:rsidR="00B45F59" w:rsidRPr="001F151E" w14:paraId="23D4100F" w14:textId="77777777" w:rsidTr="00B45F59">
        <w:tc>
          <w:tcPr>
            <w:tcW w:w="3114" w:type="dxa"/>
            <w:tcBorders>
              <w:top w:val="single" w:sz="4" w:space="0" w:color="auto"/>
              <w:left w:val="single" w:sz="4" w:space="0" w:color="auto"/>
              <w:bottom w:val="single" w:sz="4" w:space="0" w:color="auto"/>
              <w:right w:val="single" w:sz="4" w:space="0" w:color="auto"/>
            </w:tcBorders>
          </w:tcPr>
          <w:p w14:paraId="7FDF9061" w14:textId="77777777" w:rsidR="00B45F59" w:rsidRPr="001F151E" w:rsidRDefault="00B45F59" w:rsidP="00CD7428">
            <w:pPr>
              <w:pStyle w:val="ListParagraph"/>
              <w:numPr>
                <w:ilvl w:val="0"/>
                <w:numId w:val="49"/>
              </w:numPr>
              <w:rPr>
                <w:sz w:val="16"/>
                <w:szCs w:val="16"/>
              </w:rPr>
            </w:pPr>
            <w:r w:rsidRPr="00CE4364">
              <w:rPr>
                <w:sz w:val="16"/>
                <w:szCs w:val="16"/>
              </w:rPr>
              <w:t>Përqindja e shfrytëzimit të Kanalit të Gjelbër</w:t>
            </w:r>
          </w:p>
        </w:tc>
        <w:tc>
          <w:tcPr>
            <w:tcW w:w="1180" w:type="dxa"/>
            <w:tcBorders>
              <w:top w:val="single" w:sz="4" w:space="0" w:color="auto"/>
              <w:left w:val="single" w:sz="4" w:space="0" w:color="auto"/>
              <w:bottom w:val="single" w:sz="4" w:space="0" w:color="auto"/>
              <w:right w:val="single" w:sz="4" w:space="0" w:color="auto"/>
            </w:tcBorders>
            <w:vAlign w:val="center"/>
          </w:tcPr>
          <w:p w14:paraId="3EB2DC97" w14:textId="77777777" w:rsidR="00B45F59" w:rsidRPr="001F151E" w:rsidRDefault="00B45F59" w:rsidP="00B45F59">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6EC5505D" w14:textId="77777777" w:rsidR="00B45F59" w:rsidRPr="001F151E" w:rsidRDefault="00B45F59" w:rsidP="00B45F59">
            <w:pPr>
              <w:pStyle w:val="T-normal"/>
              <w:jc w:val="center"/>
            </w:pPr>
            <w:r w:rsidRPr="001F151E">
              <w:t>28%</w:t>
            </w:r>
          </w:p>
        </w:tc>
        <w:tc>
          <w:tcPr>
            <w:tcW w:w="1180" w:type="dxa"/>
            <w:tcBorders>
              <w:top w:val="single" w:sz="4" w:space="0" w:color="auto"/>
              <w:left w:val="single" w:sz="4" w:space="0" w:color="auto"/>
              <w:bottom w:val="single" w:sz="4" w:space="0" w:color="auto"/>
              <w:right w:val="single" w:sz="4" w:space="0" w:color="auto"/>
            </w:tcBorders>
            <w:vAlign w:val="center"/>
          </w:tcPr>
          <w:p w14:paraId="22A8F2E1" w14:textId="77777777" w:rsidR="00B45F59" w:rsidRPr="001F151E" w:rsidRDefault="00B45F59" w:rsidP="00B45F59">
            <w:pPr>
              <w:pStyle w:val="T-normal"/>
              <w:jc w:val="center"/>
            </w:pPr>
            <w:r w:rsidRPr="001F151E">
              <w:t>30%</w:t>
            </w:r>
          </w:p>
        </w:tc>
        <w:tc>
          <w:tcPr>
            <w:tcW w:w="1181" w:type="dxa"/>
            <w:tcBorders>
              <w:top w:val="single" w:sz="4" w:space="0" w:color="auto"/>
              <w:left w:val="single" w:sz="4" w:space="0" w:color="auto"/>
              <w:bottom w:val="single" w:sz="4" w:space="0" w:color="auto"/>
              <w:right w:val="single" w:sz="4" w:space="0" w:color="auto"/>
            </w:tcBorders>
            <w:vAlign w:val="center"/>
          </w:tcPr>
          <w:p w14:paraId="467A5537" w14:textId="77777777" w:rsidR="00B45F59" w:rsidRPr="001F151E" w:rsidRDefault="00B45F59" w:rsidP="00B45F59">
            <w:pPr>
              <w:pStyle w:val="T-normal"/>
              <w:jc w:val="center"/>
            </w:pPr>
            <w:r w:rsidRPr="001F151E">
              <w:t>33%</w:t>
            </w:r>
          </w:p>
        </w:tc>
        <w:tc>
          <w:tcPr>
            <w:tcW w:w="1181" w:type="dxa"/>
            <w:tcBorders>
              <w:top w:val="single" w:sz="4" w:space="0" w:color="auto"/>
              <w:left w:val="single" w:sz="4" w:space="0" w:color="auto"/>
              <w:bottom w:val="single" w:sz="4" w:space="0" w:color="auto"/>
              <w:right w:val="single" w:sz="4" w:space="0" w:color="auto"/>
            </w:tcBorders>
            <w:vAlign w:val="center"/>
          </w:tcPr>
          <w:p w14:paraId="5E23F0A7" w14:textId="77777777" w:rsidR="00B45F59" w:rsidRPr="001F151E" w:rsidRDefault="00B45F59" w:rsidP="00B45F59">
            <w:pPr>
              <w:pStyle w:val="T-normal"/>
              <w:jc w:val="center"/>
            </w:pPr>
            <w:r w:rsidRPr="001F151E">
              <w:t>&gt; 33%</w:t>
            </w:r>
          </w:p>
        </w:tc>
      </w:tr>
      <w:tr w:rsidR="00B45F59" w:rsidRPr="001F151E" w14:paraId="0C0F9889" w14:textId="77777777" w:rsidTr="00B45F59">
        <w:tc>
          <w:tcPr>
            <w:tcW w:w="3114" w:type="dxa"/>
            <w:tcBorders>
              <w:top w:val="single" w:sz="4" w:space="0" w:color="auto"/>
              <w:left w:val="single" w:sz="4" w:space="0" w:color="auto"/>
              <w:bottom w:val="single" w:sz="4" w:space="0" w:color="auto"/>
              <w:right w:val="single" w:sz="4" w:space="0" w:color="auto"/>
            </w:tcBorders>
          </w:tcPr>
          <w:p w14:paraId="1978DDAD" w14:textId="77777777" w:rsidR="00B45F59" w:rsidRPr="009D660E" w:rsidRDefault="00B45F59" w:rsidP="00CD7428">
            <w:pPr>
              <w:pStyle w:val="ListParagraph"/>
              <w:numPr>
                <w:ilvl w:val="0"/>
                <w:numId w:val="49"/>
              </w:numPr>
              <w:rPr>
                <w:sz w:val="16"/>
                <w:szCs w:val="16"/>
                <w:lang w:val="it-IT"/>
              </w:rPr>
            </w:pPr>
            <w:r w:rsidRPr="009D660E">
              <w:rPr>
                <w:sz w:val="16"/>
                <w:szCs w:val="16"/>
                <w:lang w:val="it-IT"/>
              </w:rPr>
              <w:t>Koha e përpunimit të deklaratës doganore</w:t>
            </w:r>
          </w:p>
        </w:tc>
        <w:tc>
          <w:tcPr>
            <w:tcW w:w="1180" w:type="dxa"/>
            <w:tcBorders>
              <w:top w:val="single" w:sz="4" w:space="0" w:color="auto"/>
              <w:left w:val="single" w:sz="4" w:space="0" w:color="auto"/>
              <w:bottom w:val="single" w:sz="4" w:space="0" w:color="auto"/>
              <w:right w:val="single" w:sz="4" w:space="0" w:color="auto"/>
            </w:tcBorders>
            <w:vAlign w:val="center"/>
          </w:tcPr>
          <w:p w14:paraId="4CDD019A" w14:textId="77777777" w:rsidR="00B45F59" w:rsidRPr="009D660E" w:rsidRDefault="00B45F59" w:rsidP="00B45F59">
            <w:pPr>
              <w:pStyle w:val="T-normal"/>
              <w:jc w:val="center"/>
              <w:rPr>
                <w:lang w:val="it-IT"/>
              </w:rPr>
            </w:pPr>
          </w:p>
        </w:tc>
        <w:tc>
          <w:tcPr>
            <w:tcW w:w="1181" w:type="dxa"/>
            <w:tcBorders>
              <w:top w:val="single" w:sz="4" w:space="0" w:color="auto"/>
              <w:left w:val="single" w:sz="4" w:space="0" w:color="auto"/>
              <w:bottom w:val="single" w:sz="4" w:space="0" w:color="auto"/>
              <w:right w:val="single" w:sz="4" w:space="0" w:color="auto"/>
            </w:tcBorders>
            <w:vAlign w:val="center"/>
          </w:tcPr>
          <w:p w14:paraId="55933CEC" w14:textId="77777777" w:rsidR="00B45F59" w:rsidRPr="001F151E" w:rsidRDefault="00B45F59" w:rsidP="00B45F59">
            <w:pPr>
              <w:pStyle w:val="T-normal"/>
              <w:jc w:val="center"/>
            </w:pPr>
            <w:r w:rsidRPr="001F151E">
              <w:t xml:space="preserve">99.1 </w:t>
            </w:r>
            <w:r>
              <w:t>minuta</w:t>
            </w:r>
          </w:p>
        </w:tc>
        <w:tc>
          <w:tcPr>
            <w:tcW w:w="1180" w:type="dxa"/>
            <w:tcBorders>
              <w:top w:val="single" w:sz="4" w:space="0" w:color="auto"/>
              <w:left w:val="single" w:sz="4" w:space="0" w:color="auto"/>
              <w:bottom w:val="single" w:sz="4" w:space="0" w:color="auto"/>
              <w:right w:val="single" w:sz="4" w:space="0" w:color="auto"/>
            </w:tcBorders>
            <w:vAlign w:val="center"/>
          </w:tcPr>
          <w:p w14:paraId="0C950A9F" w14:textId="77777777" w:rsidR="00B45F59" w:rsidRPr="001F151E" w:rsidRDefault="00B45F59" w:rsidP="00B45F59">
            <w:pPr>
              <w:pStyle w:val="T-normal"/>
              <w:jc w:val="center"/>
            </w:pPr>
            <w:r>
              <w:t>Trend rënës</w:t>
            </w:r>
          </w:p>
        </w:tc>
        <w:tc>
          <w:tcPr>
            <w:tcW w:w="1181" w:type="dxa"/>
            <w:tcBorders>
              <w:top w:val="single" w:sz="4" w:space="0" w:color="auto"/>
              <w:left w:val="single" w:sz="4" w:space="0" w:color="auto"/>
              <w:bottom w:val="single" w:sz="4" w:space="0" w:color="auto"/>
              <w:right w:val="single" w:sz="4" w:space="0" w:color="auto"/>
            </w:tcBorders>
            <w:vAlign w:val="center"/>
          </w:tcPr>
          <w:p w14:paraId="4CC523EB" w14:textId="77777777" w:rsidR="00B45F59" w:rsidRPr="001F151E" w:rsidRDefault="00B45F59" w:rsidP="00B45F59">
            <w:pPr>
              <w:pStyle w:val="T-normal"/>
              <w:jc w:val="center"/>
            </w:pPr>
            <w:r>
              <w:t>Trend rënës</w:t>
            </w:r>
          </w:p>
        </w:tc>
        <w:tc>
          <w:tcPr>
            <w:tcW w:w="1181" w:type="dxa"/>
            <w:tcBorders>
              <w:top w:val="single" w:sz="4" w:space="0" w:color="auto"/>
              <w:left w:val="single" w:sz="4" w:space="0" w:color="auto"/>
              <w:bottom w:val="single" w:sz="4" w:space="0" w:color="auto"/>
              <w:right w:val="single" w:sz="4" w:space="0" w:color="auto"/>
            </w:tcBorders>
            <w:vAlign w:val="center"/>
          </w:tcPr>
          <w:p w14:paraId="41FFC404" w14:textId="77777777" w:rsidR="00B45F59" w:rsidRPr="001F151E" w:rsidRDefault="00B45F59" w:rsidP="00B45F59">
            <w:pPr>
              <w:pStyle w:val="T-normal"/>
              <w:jc w:val="center"/>
            </w:pPr>
            <w:r>
              <w:t>Trend rënës</w:t>
            </w:r>
            <w:r w:rsidRPr="001F151E">
              <w:t xml:space="preserve"> </w:t>
            </w:r>
          </w:p>
        </w:tc>
      </w:tr>
      <w:tr w:rsidR="00B45F59" w:rsidRPr="001F151E" w14:paraId="1148F9B6" w14:textId="77777777" w:rsidTr="00B45F59">
        <w:tc>
          <w:tcPr>
            <w:tcW w:w="3114" w:type="dxa"/>
            <w:tcBorders>
              <w:top w:val="single" w:sz="4" w:space="0" w:color="auto"/>
              <w:left w:val="single" w:sz="4" w:space="0" w:color="auto"/>
              <w:bottom w:val="single" w:sz="4" w:space="0" w:color="auto"/>
              <w:right w:val="single" w:sz="4" w:space="0" w:color="auto"/>
            </w:tcBorders>
          </w:tcPr>
          <w:p w14:paraId="4D5B7365" w14:textId="77777777" w:rsidR="00B45F59" w:rsidRPr="009D660E" w:rsidRDefault="00B45F59" w:rsidP="00CD7428">
            <w:pPr>
              <w:pStyle w:val="ListParagraph"/>
              <w:numPr>
                <w:ilvl w:val="0"/>
                <w:numId w:val="49"/>
              </w:numPr>
              <w:rPr>
                <w:sz w:val="16"/>
                <w:szCs w:val="16"/>
                <w:lang w:val="it-IT"/>
              </w:rPr>
            </w:pPr>
            <w:r w:rsidRPr="009D660E">
              <w:rPr>
                <w:sz w:val="16"/>
                <w:szCs w:val="16"/>
                <w:lang w:val="it-IT"/>
              </w:rPr>
              <w:t>Numri i operatorëve ekonomikë të autorizuar</w:t>
            </w:r>
          </w:p>
        </w:tc>
        <w:tc>
          <w:tcPr>
            <w:tcW w:w="1180" w:type="dxa"/>
            <w:tcBorders>
              <w:top w:val="single" w:sz="4" w:space="0" w:color="auto"/>
              <w:left w:val="single" w:sz="4" w:space="0" w:color="auto"/>
              <w:bottom w:val="single" w:sz="4" w:space="0" w:color="auto"/>
              <w:right w:val="single" w:sz="4" w:space="0" w:color="auto"/>
            </w:tcBorders>
            <w:vAlign w:val="center"/>
          </w:tcPr>
          <w:p w14:paraId="4866C94D" w14:textId="77777777" w:rsidR="00B45F59" w:rsidRPr="009D660E" w:rsidRDefault="00B45F59" w:rsidP="00B45F59">
            <w:pPr>
              <w:pStyle w:val="T-normal"/>
              <w:jc w:val="center"/>
              <w:rPr>
                <w:lang w:val="it-IT"/>
              </w:rPr>
            </w:pPr>
          </w:p>
        </w:tc>
        <w:tc>
          <w:tcPr>
            <w:tcW w:w="1181" w:type="dxa"/>
            <w:tcBorders>
              <w:top w:val="single" w:sz="4" w:space="0" w:color="auto"/>
              <w:left w:val="single" w:sz="4" w:space="0" w:color="auto"/>
              <w:bottom w:val="single" w:sz="4" w:space="0" w:color="auto"/>
              <w:right w:val="single" w:sz="4" w:space="0" w:color="auto"/>
            </w:tcBorders>
            <w:vAlign w:val="center"/>
          </w:tcPr>
          <w:p w14:paraId="2A45601F" w14:textId="77777777" w:rsidR="00B45F59" w:rsidRPr="001F151E" w:rsidRDefault="00B45F59" w:rsidP="00B45F59">
            <w:pPr>
              <w:pStyle w:val="T-normal"/>
              <w:jc w:val="center"/>
            </w:pPr>
            <w:r w:rsidRPr="001F151E">
              <w:t>13</w:t>
            </w:r>
          </w:p>
        </w:tc>
        <w:tc>
          <w:tcPr>
            <w:tcW w:w="1180" w:type="dxa"/>
            <w:tcBorders>
              <w:top w:val="single" w:sz="4" w:space="0" w:color="auto"/>
              <w:left w:val="single" w:sz="4" w:space="0" w:color="auto"/>
              <w:bottom w:val="single" w:sz="4" w:space="0" w:color="auto"/>
              <w:right w:val="single" w:sz="4" w:space="0" w:color="auto"/>
            </w:tcBorders>
            <w:vAlign w:val="center"/>
          </w:tcPr>
          <w:p w14:paraId="4285543C" w14:textId="77777777" w:rsidR="00B45F59" w:rsidRPr="001F151E" w:rsidRDefault="00B45F59" w:rsidP="00B45F59">
            <w:pPr>
              <w:pStyle w:val="T-normal"/>
              <w:jc w:val="center"/>
            </w:pPr>
            <w:r>
              <w:t>Trend rritës</w:t>
            </w:r>
          </w:p>
        </w:tc>
        <w:tc>
          <w:tcPr>
            <w:tcW w:w="1181" w:type="dxa"/>
            <w:tcBorders>
              <w:top w:val="single" w:sz="4" w:space="0" w:color="auto"/>
              <w:left w:val="single" w:sz="4" w:space="0" w:color="auto"/>
              <w:bottom w:val="single" w:sz="4" w:space="0" w:color="auto"/>
              <w:right w:val="single" w:sz="4" w:space="0" w:color="auto"/>
            </w:tcBorders>
            <w:vAlign w:val="center"/>
          </w:tcPr>
          <w:p w14:paraId="0FFD6CDF" w14:textId="77777777" w:rsidR="00B45F59" w:rsidRPr="001F151E" w:rsidRDefault="00B45F59" w:rsidP="00B45F59">
            <w:pPr>
              <w:pStyle w:val="T-normal"/>
              <w:jc w:val="center"/>
            </w:pPr>
            <w:r>
              <w:t>Trend rritës</w:t>
            </w:r>
          </w:p>
        </w:tc>
        <w:tc>
          <w:tcPr>
            <w:tcW w:w="1181" w:type="dxa"/>
            <w:tcBorders>
              <w:top w:val="single" w:sz="4" w:space="0" w:color="auto"/>
              <w:left w:val="single" w:sz="4" w:space="0" w:color="auto"/>
              <w:bottom w:val="single" w:sz="4" w:space="0" w:color="auto"/>
              <w:right w:val="single" w:sz="4" w:space="0" w:color="auto"/>
            </w:tcBorders>
            <w:vAlign w:val="center"/>
          </w:tcPr>
          <w:p w14:paraId="08467025" w14:textId="77777777" w:rsidR="00B45F59" w:rsidRPr="001F151E" w:rsidRDefault="00B45F59" w:rsidP="00B45F59">
            <w:pPr>
              <w:pStyle w:val="T-normal"/>
              <w:jc w:val="center"/>
              <w:rPr>
                <w:sz w:val="14"/>
                <w:szCs w:val="14"/>
              </w:rPr>
            </w:pPr>
            <w:r>
              <w:t>Trend rritës</w:t>
            </w:r>
          </w:p>
        </w:tc>
      </w:tr>
      <w:tr w:rsidR="00B45F59" w:rsidRPr="001F151E" w14:paraId="063DFA81" w14:textId="77777777" w:rsidTr="00B45F59">
        <w:tc>
          <w:tcPr>
            <w:tcW w:w="3114" w:type="dxa"/>
            <w:tcBorders>
              <w:top w:val="single" w:sz="4" w:space="0" w:color="auto"/>
              <w:left w:val="single" w:sz="4" w:space="0" w:color="auto"/>
              <w:bottom w:val="single" w:sz="4" w:space="0" w:color="auto"/>
              <w:right w:val="single" w:sz="4" w:space="0" w:color="auto"/>
            </w:tcBorders>
          </w:tcPr>
          <w:p w14:paraId="37A06C6C" w14:textId="77777777" w:rsidR="00B45F59" w:rsidRPr="001F151E" w:rsidRDefault="00B45F59" w:rsidP="00CD7428">
            <w:pPr>
              <w:pStyle w:val="ListParagraph"/>
              <w:numPr>
                <w:ilvl w:val="0"/>
                <w:numId w:val="49"/>
              </w:numPr>
              <w:rPr>
                <w:sz w:val="16"/>
                <w:szCs w:val="16"/>
              </w:rPr>
            </w:pPr>
            <w:r>
              <w:rPr>
                <w:bCs/>
                <w:sz w:val="16"/>
                <w:szCs w:val="16"/>
              </w:rPr>
              <w:t>Dritarja e Vetme Kombëtare</w:t>
            </w:r>
          </w:p>
        </w:tc>
        <w:tc>
          <w:tcPr>
            <w:tcW w:w="1180" w:type="dxa"/>
            <w:tcBorders>
              <w:top w:val="single" w:sz="4" w:space="0" w:color="auto"/>
              <w:left w:val="single" w:sz="4" w:space="0" w:color="auto"/>
              <w:bottom w:val="single" w:sz="4" w:space="0" w:color="auto"/>
              <w:right w:val="single" w:sz="4" w:space="0" w:color="auto"/>
            </w:tcBorders>
            <w:vAlign w:val="center"/>
          </w:tcPr>
          <w:p w14:paraId="206C32A5" w14:textId="77777777" w:rsidR="00B45F59" w:rsidRPr="001F151E" w:rsidRDefault="00B45F59" w:rsidP="00B45F59">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71DF9B63" w14:textId="77777777" w:rsidR="00B45F59" w:rsidRPr="001F151E" w:rsidRDefault="00B45F59" w:rsidP="00B45F59">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2A590EB1" w14:textId="77777777" w:rsidR="00B45F59" w:rsidRPr="001F151E" w:rsidRDefault="00B45F59" w:rsidP="00B45F59">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35955B2B" w14:textId="77777777" w:rsidR="00B45F59" w:rsidRPr="001F151E" w:rsidRDefault="00B45F59" w:rsidP="00B45F59">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3DD7434F" w14:textId="77777777" w:rsidR="00B45F59" w:rsidRPr="001F151E" w:rsidRDefault="00B45F59" w:rsidP="00B45F59">
            <w:pPr>
              <w:pStyle w:val="T-normal"/>
              <w:jc w:val="center"/>
            </w:pPr>
            <w:r w:rsidRPr="001F151E">
              <w:t>2026</w:t>
            </w:r>
          </w:p>
        </w:tc>
      </w:tr>
      <w:tr w:rsidR="00B45F59" w:rsidRPr="001F151E" w14:paraId="5BB2D91B" w14:textId="77777777" w:rsidTr="00B45F59">
        <w:tc>
          <w:tcPr>
            <w:tcW w:w="3114" w:type="dxa"/>
            <w:tcBorders>
              <w:top w:val="single" w:sz="4" w:space="0" w:color="auto"/>
              <w:left w:val="single" w:sz="4" w:space="0" w:color="auto"/>
              <w:bottom w:val="single" w:sz="4" w:space="0" w:color="auto"/>
              <w:right w:val="single" w:sz="4" w:space="0" w:color="auto"/>
            </w:tcBorders>
          </w:tcPr>
          <w:p w14:paraId="12BFE14F" w14:textId="77777777" w:rsidR="00B45F59" w:rsidRPr="009D660E" w:rsidRDefault="00B45F59" w:rsidP="00CD7428">
            <w:pPr>
              <w:pStyle w:val="ListParagraph"/>
              <w:numPr>
                <w:ilvl w:val="0"/>
                <w:numId w:val="49"/>
              </w:numPr>
              <w:rPr>
                <w:bCs/>
                <w:sz w:val="16"/>
                <w:szCs w:val="16"/>
                <w:lang w:val="it-IT"/>
              </w:rPr>
            </w:pPr>
            <w:r w:rsidRPr="009D660E">
              <w:rPr>
                <w:bCs/>
                <w:sz w:val="16"/>
                <w:szCs w:val="16"/>
                <w:lang w:val="it-IT"/>
              </w:rPr>
              <w:t>Sistemi i Ri i Kompjuterizuar i Transitit (SRKT)</w:t>
            </w:r>
          </w:p>
        </w:tc>
        <w:tc>
          <w:tcPr>
            <w:tcW w:w="1180" w:type="dxa"/>
            <w:tcBorders>
              <w:top w:val="single" w:sz="4" w:space="0" w:color="auto"/>
              <w:left w:val="single" w:sz="4" w:space="0" w:color="auto"/>
              <w:bottom w:val="single" w:sz="4" w:space="0" w:color="auto"/>
              <w:right w:val="single" w:sz="4" w:space="0" w:color="auto"/>
            </w:tcBorders>
            <w:vAlign w:val="center"/>
          </w:tcPr>
          <w:p w14:paraId="6633613F" w14:textId="77777777" w:rsidR="00B45F59" w:rsidRPr="001F151E" w:rsidRDefault="00B45F59" w:rsidP="00B45F59">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5C26AE03" w14:textId="77777777" w:rsidR="00B45F59" w:rsidRPr="001F151E" w:rsidRDefault="00B45F59" w:rsidP="00B45F59">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52EE9A28" w14:textId="77777777" w:rsidR="00B45F59" w:rsidRPr="001F151E" w:rsidRDefault="00B45F59" w:rsidP="00B45F59">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269CCE0B" w14:textId="77777777" w:rsidR="00B45F59" w:rsidRPr="001F151E" w:rsidRDefault="00B45F59" w:rsidP="00B45F59">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689949D8" w14:textId="77777777" w:rsidR="00B45F59" w:rsidRPr="001F151E" w:rsidRDefault="00B45F59" w:rsidP="00B45F59">
            <w:pPr>
              <w:pStyle w:val="T-normal"/>
              <w:jc w:val="center"/>
            </w:pPr>
            <w:r>
              <w:t>2026</w:t>
            </w:r>
          </w:p>
        </w:tc>
      </w:tr>
    </w:tbl>
    <w:p w14:paraId="5BBD5247" w14:textId="77777777" w:rsidR="00F75A43" w:rsidRPr="001F151E" w:rsidRDefault="00F75A43" w:rsidP="00A70F71">
      <w:pPr>
        <w:rPr>
          <w:lang w:val="en-GB"/>
        </w:rPr>
      </w:pPr>
    </w:p>
    <w:p w14:paraId="77BED98E" w14:textId="77777777" w:rsidR="002A75EC" w:rsidRDefault="002A75EC">
      <w:pPr>
        <w:spacing w:after="160" w:line="259" w:lineRule="auto"/>
        <w:rPr>
          <w:rFonts w:eastAsiaTheme="majorEastAsia" w:cstheme="majorBidi"/>
          <w:b/>
          <w:bCs/>
          <w:iCs/>
          <w:color w:val="0070C0"/>
          <w:sz w:val="26"/>
          <w:szCs w:val="26"/>
          <w:lang w:val="en-GB"/>
        </w:rPr>
      </w:pPr>
      <w:r>
        <w:rPr>
          <w:lang w:val="en-GB"/>
        </w:rPr>
        <w:br w:type="page"/>
      </w:r>
    </w:p>
    <w:p w14:paraId="339BCDA5" w14:textId="78C393AE" w:rsidR="002C447B" w:rsidRPr="009D660E" w:rsidRDefault="00B45F59" w:rsidP="002C447B">
      <w:pPr>
        <w:pStyle w:val="Heading1"/>
        <w:rPr>
          <w:lang w:val="it-IT"/>
        </w:rPr>
      </w:pPr>
      <w:bookmarkStart w:id="37" w:name="_Toc161748823"/>
      <w:r w:rsidRPr="009D660E">
        <w:rPr>
          <w:lang w:val="it-IT"/>
        </w:rPr>
        <w:t>Shtylla</w:t>
      </w:r>
      <w:r w:rsidR="002C447B" w:rsidRPr="009D660E">
        <w:rPr>
          <w:lang w:val="it-IT"/>
        </w:rPr>
        <w:t xml:space="preserve"> 4 </w:t>
      </w:r>
      <w:r w:rsidRPr="009D660E">
        <w:rPr>
          <w:lang w:val="it-IT"/>
        </w:rPr>
        <w:t>Kontabiliteti dhe Menaxhimi i Zbatimit të Buxhetit</w:t>
      </w:r>
      <w:bookmarkEnd w:id="37"/>
      <w:r w:rsidR="00BA761C" w:rsidRPr="009D660E">
        <w:rPr>
          <w:lang w:val="it-IT"/>
        </w:rPr>
        <w:t xml:space="preserve"> </w:t>
      </w:r>
    </w:p>
    <w:p w14:paraId="30E94C34" w14:textId="77777777" w:rsidR="005322F1" w:rsidRPr="009D660E" w:rsidRDefault="005322F1" w:rsidP="002C447B">
      <w:pPr>
        <w:rPr>
          <w:lang w:val="it-IT"/>
        </w:rPr>
      </w:pPr>
    </w:p>
    <w:p w14:paraId="5618E7D8" w14:textId="03D89F06" w:rsidR="005322F1" w:rsidRPr="001F151E" w:rsidRDefault="00B45F59" w:rsidP="00C96708">
      <w:pPr>
        <w:pStyle w:val="Heading2"/>
        <w:rPr>
          <w:lang w:val="en-GB"/>
        </w:rPr>
      </w:pPr>
      <w:bookmarkStart w:id="38" w:name="_Toc161748824"/>
      <w:r>
        <w:rPr>
          <w:lang w:val="en-GB"/>
        </w:rPr>
        <w:t>Hyrje</w:t>
      </w:r>
      <w:bookmarkEnd w:id="38"/>
    </w:p>
    <w:p w14:paraId="3174FEA4" w14:textId="77777777" w:rsidR="005322F1" w:rsidRPr="001F151E" w:rsidRDefault="005322F1" w:rsidP="00F75A43">
      <w:pPr>
        <w:rPr>
          <w:lang w:val="en-GB"/>
        </w:rPr>
      </w:pPr>
    </w:p>
    <w:p w14:paraId="0C4EA534" w14:textId="163D9DB2" w:rsidR="00B45F59" w:rsidRPr="001F151E" w:rsidRDefault="00B45F59" w:rsidP="00B45F59">
      <w:pPr>
        <w:spacing w:line="276" w:lineRule="auto"/>
        <w:jc w:val="both"/>
        <w:rPr>
          <w:lang w:val="en-GB"/>
        </w:rPr>
      </w:pPr>
      <w:r>
        <w:rPr>
          <w:lang w:val="en-GB"/>
        </w:rPr>
        <w:t>Objektivi Specifik</w:t>
      </w:r>
      <w:r w:rsidRPr="001F151E">
        <w:rPr>
          <w:lang w:val="en-GB"/>
        </w:rPr>
        <w:t xml:space="preserve"> 4 </w:t>
      </w:r>
      <w:r>
        <w:rPr>
          <w:lang w:val="en-GB"/>
        </w:rPr>
        <w:t>“Menaxhimi i Zbatimit</w:t>
      </w:r>
      <w:r w:rsidRPr="00715D6C">
        <w:rPr>
          <w:lang w:val="en-GB"/>
        </w:rPr>
        <w:t xml:space="preserve"> të Buxhetit dhe Praktikat e Kontabilitetit të përmirësuara dhe të përafruara me Standardet Ndërkombëtare dhe kërkesat e BE-së” mbulon Llogaritë Kombëtare </w:t>
      </w:r>
      <w:r>
        <w:rPr>
          <w:lang w:val="en-GB"/>
        </w:rPr>
        <w:t xml:space="preserve">të </w:t>
      </w:r>
      <w:r w:rsidRPr="00715D6C">
        <w:rPr>
          <w:lang w:val="en-GB"/>
        </w:rPr>
        <w:t>Qeverisë</w:t>
      </w:r>
      <w:r>
        <w:rPr>
          <w:lang w:val="en-GB"/>
        </w:rPr>
        <w:t>, Kontabilitetin,</w:t>
      </w:r>
      <w:r w:rsidRPr="00715D6C">
        <w:rPr>
          <w:lang w:val="en-GB"/>
        </w:rPr>
        <w:t xml:space="preserve"> Prokurimin Publik, </w:t>
      </w:r>
      <w:r>
        <w:rPr>
          <w:lang w:val="en-GB"/>
        </w:rPr>
        <w:t xml:space="preserve">Menaxhimin e Borxhit, </w:t>
      </w:r>
      <w:r w:rsidRPr="00715D6C">
        <w:rPr>
          <w:lang w:val="en-GB"/>
        </w:rPr>
        <w:t xml:space="preserve">Menaxhimin e </w:t>
      </w:r>
      <w:r>
        <w:rPr>
          <w:lang w:val="en-GB"/>
        </w:rPr>
        <w:t xml:space="preserve">Likuiditetit, </w:t>
      </w:r>
      <w:r w:rsidRPr="00715D6C">
        <w:rPr>
          <w:lang w:val="en-GB"/>
        </w:rPr>
        <w:t>dhe Menaxhimin e Aseteve.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9026"/>
      </w:tblGrid>
      <w:tr w:rsidR="00F75A43" w:rsidRPr="0059094E" w14:paraId="1B05D67E" w14:textId="77777777" w:rsidTr="00CE4B54">
        <w:trPr>
          <w:trHeight w:val="8681"/>
        </w:trPr>
        <w:tc>
          <w:tcPr>
            <w:tcW w:w="9026" w:type="dxa"/>
            <w:shd w:val="clear" w:color="auto" w:fill="F2F2F2" w:themeFill="background1" w:themeFillShade="F2"/>
          </w:tcPr>
          <w:p w14:paraId="73B4E1C4" w14:textId="77777777" w:rsidR="00CE4B54" w:rsidRPr="00CE4B54" w:rsidRDefault="00CE4B54" w:rsidP="00CE4B54">
            <w:pPr>
              <w:pStyle w:val="T-normal"/>
              <w:spacing w:after="60" w:line="220" w:lineRule="exact"/>
              <w:rPr>
                <w:b/>
                <w:bCs/>
              </w:rPr>
            </w:pPr>
            <w:r w:rsidRPr="00CE4B54">
              <w:rPr>
                <w:b/>
                <w:bCs/>
              </w:rPr>
              <w:t>Komponent 4.1 Llogaritë Kombëtare të Qeverisë</w:t>
            </w:r>
          </w:p>
          <w:p w14:paraId="7D460C5E" w14:textId="77777777" w:rsidR="00CE4B54" w:rsidRPr="00CE4B54" w:rsidRDefault="00CE4B54" w:rsidP="00CE4B54">
            <w:pPr>
              <w:pStyle w:val="T-normal"/>
              <w:spacing w:after="60" w:line="220" w:lineRule="exact"/>
            </w:pPr>
            <w:r w:rsidRPr="00CE4B54">
              <w:t xml:space="preserve">Synimi 2030: </w:t>
            </w:r>
            <w:r w:rsidRPr="00CE4B54">
              <w:rPr>
                <w:rStyle w:val="rynqvb"/>
              </w:rPr>
              <w:t>Statistikat fiskale janë në përputhje me standardet e BE-së</w:t>
            </w:r>
            <w:r w:rsidRPr="00CE4B54">
              <w:t xml:space="preserve">. </w:t>
            </w:r>
          </w:p>
          <w:p w14:paraId="03556F35" w14:textId="77777777" w:rsidR="00CE4B54" w:rsidRPr="00CE4B54" w:rsidRDefault="00CE4B54" w:rsidP="00CE4B54">
            <w:pPr>
              <w:pStyle w:val="T-normal"/>
              <w:spacing w:line="220" w:lineRule="exact"/>
            </w:pPr>
            <w:r w:rsidRPr="00CE4B54">
              <w:t>Masa për vitet 2023-2026:</w:t>
            </w:r>
          </w:p>
          <w:p w14:paraId="79914F1A" w14:textId="09A36163" w:rsidR="00297283" w:rsidRPr="009D660E" w:rsidRDefault="00CE4B54" w:rsidP="00CE4B54">
            <w:pPr>
              <w:pStyle w:val="T-bullet0"/>
              <w:spacing w:line="220" w:lineRule="exact"/>
              <w:rPr>
                <w:lang w:val="it-IT"/>
              </w:rPr>
            </w:pPr>
            <w:r w:rsidRPr="009D660E">
              <w:rPr>
                <w:lang w:val="it-IT"/>
              </w:rPr>
              <w:t>Masa 4.1.1 Përmirësimi i mëtejshëm i statistikave SFQ dhe PDT me standardet e BE-së (SELL 2010).</w:t>
            </w:r>
          </w:p>
          <w:p w14:paraId="64A42EC6" w14:textId="77777777" w:rsidR="00CE4B54" w:rsidRPr="009D660E" w:rsidRDefault="00CE4B54" w:rsidP="00B45F59">
            <w:pPr>
              <w:pStyle w:val="T-bold"/>
              <w:spacing w:after="60" w:line="220" w:lineRule="exact"/>
              <w:rPr>
                <w:lang w:val="it-IT"/>
              </w:rPr>
            </w:pPr>
          </w:p>
          <w:p w14:paraId="7958BFF6" w14:textId="224FA61B" w:rsidR="00B45F59" w:rsidRPr="009D660E" w:rsidRDefault="00B45F59" w:rsidP="00B45F59">
            <w:pPr>
              <w:pStyle w:val="T-bold"/>
              <w:spacing w:after="60" w:line="220" w:lineRule="exact"/>
              <w:rPr>
                <w:lang w:val="it-IT"/>
              </w:rPr>
            </w:pPr>
            <w:r w:rsidRPr="009D660E">
              <w:rPr>
                <w:lang w:val="it-IT"/>
              </w:rPr>
              <w:t>Komponenti 4.2 Kontabiliteti</w:t>
            </w:r>
          </w:p>
          <w:p w14:paraId="315160AE" w14:textId="3C3D9A27" w:rsidR="00B45F59" w:rsidRPr="009D660E" w:rsidRDefault="00B45F59" w:rsidP="00CE4B54">
            <w:pPr>
              <w:spacing w:line="276" w:lineRule="auto"/>
              <w:jc w:val="both"/>
              <w:rPr>
                <w:lang w:val="it-IT"/>
              </w:rPr>
            </w:pPr>
            <w:r w:rsidRPr="009D660E">
              <w:rPr>
                <w:lang w:val="it-IT"/>
              </w:rPr>
              <w:t>Synimi 2030: përgatitja dhe publikimi i pasqyrave financiare (të konsoliduara) në përputhje me SNKSP, pas shtrirjes së SNKSP në të gjitha institucionet e qeverisë qendrore.</w:t>
            </w:r>
          </w:p>
          <w:p w14:paraId="19F6D213" w14:textId="77777777" w:rsidR="00B45F59" w:rsidRPr="00A53B0A" w:rsidRDefault="00B45F59" w:rsidP="00B45F59">
            <w:pPr>
              <w:spacing w:line="220" w:lineRule="exact"/>
              <w:rPr>
                <w:sz w:val="16"/>
                <w:szCs w:val="16"/>
              </w:rPr>
            </w:pPr>
            <w:r w:rsidRPr="00A53B0A">
              <w:rPr>
                <w:sz w:val="16"/>
                <w:szCs w:val="16"/>
              </w:rPr>
              <w:t>Masat 2023-2026:</w:t>
            </w:r>
          </w:p>
          <w:p w14:paraId="2CE5D4BB" w14:textId="77777777" w:rsidR="00B45F59" w:rsidRPr="00A53B0A" w:rsidRDefault="00B45F59" w:rsidP="00B45F59">
            <w:pPr>
              <w:pStyle w:val="T-Bullet"/>
            </w:pPr>
            <w:r w:rsidRPr="00A53B0A">
              <w:t>Masa 4.2.1 Rritja e aksesit dhe përdorimit të SIFQ;</w:t>
            </w:r>
          </w:p>
          <w:p w14:paraId="22E16271" w14:textId="33E11051" w:rsidR="00B45F59" w:rsidRPr="00A53B0A" w:rsidRDefault="00B9728A" w:rsidP="00B45F59">
            <w:pPr>
              <w:pStyle w:val="T-Bullet"/>
            </w:pPr>
            <w:r>
              <w:t>Masa 4.2.2</w:t>
            </w:r>
            <w:r w:rsidR="00B45F59" w:rsidRPr="00A53B0A">
              <w:t xml:space="preserve"> Zhvillimi i kuadrit ligjor dhe rregullator për reformat e kontabilitetit;</w:t>
            </w:r>
          </w:p>
          <w:p w14:paraId="3B8A4F09" w14:textId="7E696DEC" w:rsidR="00B45F59" w:rsidRPr="009D660E" w:rsidRDefault="00B9728A" w:rsidP="00B45F59">
            <w:pPr>
              <w:pStyle w:val="T-Bullet"/>
              <w:rPr>
                <w:lang w:val="it-IT"/>
              </w:rPr>
            </w:pPr>
            <w:r w:rsidRPr="009D660E">
              <w:rPr>
                <w:lang w:val="it-IT"/>
              </w:rPr>
              <w:t>Masa 4.2.3</w:t>
            </w:r>
            <w:r w:rsidR="00B45F59" w:rsidRPr="009D660E">
              <w:rPr>
                <w:lang w:val="it-IT"/>
              </w:rPr>
              <w:t xml:space="preserve"> Përmirësimi i funksionaliteteve të SIFQ për të absorbuar reformat e kontabilitetit;</w:t>
            </w:r>
          </w:p>
          <w:p w14:paraId="4406D8C5" w14:textId="11C1F318" w:rsidR="00B45F59" w:rsidRPr="009D660E" w:rsidRDefault="00B45F59" w:rsidP="00B45F59">
            <w:pPr>
              <w:pStyle w:val="T-Bullet"/>
              <w:rPr>
                <w:lang w:val="it-IT"/>
              </w:rPr>
            </w:pPr>
            <w:r w:rsidRPr="009D660E">
              <w:rPr>
                <w:lang w:val="it-IT"/>
              </w:rPr>
              <w:t>Masa 4.2</w:t>
            </w:r>
            <w:r w:rsidR="00B9728A" w:rsidRPr="009D660E">
              <w:rPr>
                <w:lang w:val="it-IT"/>
              </w:rPr>
              <w:t>.4</w:t>
            </w:r>
            <w:r w:rsidRPr="009D660E">
              <w:rPr>
                <w:lang w:val="it-IT"/>
              </w:rPr>
              <w:t xml:space="preserve"> Përgatitja, ofrimi dhe institucionalizimi i zhvillimit të kapaciteteve të kontabilistëve për të absorbuar reformat e kontabilitetit.</w:t>
            </w:r>
          </w:p>
          <w:p w14:paraId="55B6E8DD" w14:textId="77777777" w:rsidR="00B45F59" w:rsidRPr="009D660E" w:rsidRDefault="00B45F59" w:rsidP="00B45F59">
            <w:pPr>
              <w:spacing w:line="220" w:lineRule="exact"/>
              <w:rPr>
                <w:sz w:val="16"/>
                <w:szCs w:val="16"/>
                <w:lang w:val="it-IT"/>
              </w:rPr>
            </w:pPr>
          </w:p>
          <w:p w14:paraId="65104451" w14:textId="77777777" w:rsidR="00B45F59" w:rsidRPr="009D660E" w:rsidRDefault="00B45F59" w:rsidP="00B45F59">
            <w:pPr>
              <w:pStyle w:val="T-bold"/>
              <w:spacing w:after="60" w:line="220" w:lineRule="exact"/>
              <w:rPr>
                <w:lang w:val="it-IT"/>
              </w:rPr>
            </w:pPr>
            <w:r w:rsidRPr="009D660E">
              <w:rPr>
                <w:lang w:val="it-IT"/>
              </w:rPr>
              <w:t>Komponenti 4.3 Prokurimi Publik</w:t>
            </w:r>
          </w:p>
          <w:p w14:paraId="3C19D60E" w14:textId="7771E9A2" w:rsidR="00B45F59" w:rsidRPr="009D660E" w:rsidRDefault="00B45F59" w:rsidP="00B45F59">
            <w:pPr>
              <w:pStyle w:val="T-normal"/>
              <w:spacing w:after="60" w:line="220" w:lineRule="exact"/>
              <w:rPr>
                <w:lang w:val="it-IT"/>
              </w:rPr>
            </w:pPr>
            <w:r w:rsidRPr="009D660E">
              <w:rPr>
                <w:lang w:val="it-IT"/>
              </w:rPr>
              <w:t xml:space="preserve">Synimi 2030: </w:t>
            </w:r>
            <w:r w:rsidR="00E35493" w:rsidRPr="009D660E">
              <w:rPr>
                <w:iCs/>
                <w:lang w:val="it-IT"/>
              </w:rPr>
              <w:t xml:space="preserve">garantimi i një sistemi </w:t>
            </w:r>
            <w:r w:rsidR="00E35493" w:rsidRPr="009D660E">
              <w:rPr>
                <w:lang w:val="it-IT"/>
              </w:rPr>
              <w:t xml:space="preserve">eficient dhe të qëndrueshëm duke promovuar përmirësimin e tij drejt një qasjeje moderne dhe eficiente të bazuar në praktikat më të mira ndërkombëtare, në përputhje me parimet e transparencës, konkurrencës së lirë dhe të ndershme, mosdiskriminimit </w:t>
            </w:r>
            <w:r w:rsidR="00E35493" w:rsidRPr="009D660E">
              <w:rPr>
                <w:iCs/>
                <w:lang w:val="it-IT"/>
              </w:rPr>
              <w:t xml:space="preserve">dhe trajtimit të barabartë, </w:t>
            </w:r>
            <w:r w:rsidR="00E35493" w:rsidRPr="009D660E">
              <w:rPr>
                <w:lang w:val="it-IT"/>
              </w:rPr>
              <w:t>duke promovuar dhe nxitur një sistem të qëndrueshëm që garanton vlerën për para</w:t>
            </w:r>
            <w:r w:rsidRPr="009D660E">
              <w:rPr>
                <w:lang w:val="it-IT"/>
              </w:rPr>
              <w:t>.</w:t>
            </w:r>
          </w:p>
          <w:p w14:paraId="4635AFE0" w14:textId="77777777" w:rsidR="00B45F59" w:rsidRPr="001F151E" w:rsidRDefault="00B45F59" w:rsidP="00B45F59">
            <w:pPr>
              <w:pStyle w:val="T-Bullet"/>
              <w:numPr>
                <w:ilvl w:val="0"/>
                <w:numId w:val="0"/>
              </w:numPr>
              <w:spacing w:line="220" w:lineRule="exact"/>
              <w:ind w:left="360" w:hanging="360"/>
            </w:pPr>
            <w:r w:rsidRPr="001F151E">
              <w:t>M</w:t>
            </w:r>
            <w:r>
              <w:t>asat</w:t>
            </w:r>
            <w:r w:rsidRPr="001F151E">
              <w:t xml:space="preserve"> 2023-2026:</w:t>
            </w:r>
          </w:p>
          <w:p w14:paraId="14A90795" w14:textId="56014189" w:rsidR="00B45F59" w:rsidRPr="009D660E" w:rsidRDefault="00B45F59" w:rsidP="00B45F59">
            <w:pPr>
              <w:pStyle w:val="T-Bullet"/>
              <w:rPr>
                <w:lang w:val="it-IT"/>
              </w:rPr>
            </w:pPr>
            <w:r w:rsidRPr="009D660E">
              <w:rPr>
                <w:lang w:val="it-IT"/>
              </w:rPr>
              <w:t xml:space="preserve">Masa 4.3.1 </w:t>
            </w:r>
            <w:r w:rsidR="00E35493" w:rsidRPr="009D660E">
              <w:rPr>
                <w:iCs/>
                <w:lang w:val="it-IT"/>
              </w:rPr>
              <w:t>Përmirësimi i cilësisë dhe eficencës në procedurat e prokurimit;</w:t>
            </w:r>
          </w:p>
          <w:p w14:paraId="3394A57D" w14:textId="77777777" w:rsidR="00B45F59" w:rsidRPr="001F151E" w:rsidRDefault="00B45F59" w:rsidP="00B45F59">
            <w:pPr>
              <w:pStyle w:val="T-Bullet"/>
            </w:pPr>
            <w:r>
              <w:t xml:space="preserve">Masa </w:t>
            </w:r>
            <w:r w:rsidRPr="001F151E">
              <w:t>4.</w:t>
            </w:r>
            <w:r>
              <w:t>3</w:t>
            </w:r>
            <w:r w:rsidRPr="001F151E">
              <w:t>.2</w:t>
            </w:r>
            <w:r>
              <w:t xml:space="preserve"> Hartimi</w:t>
            </w:r>
            <w:r w:rsidRPr="0055763F">
              <w:t xml:space="preserve"> dhe zbatimi i prokurimit publik të gjelbër;</w:t>
            </w:r>
          </w:p>
          <w:p w14:paraId="689D7563" w14:textId="77777777" w:rsidR="00B45F59" w:rsidRPr="001F151E" w:rsidRDefault="00B45F59" w:rsidP="00B45F59">
            <w:pPr>
              <w:pStyle w:val="T-Bullet"/>
            </w:pPr>
            <w:r>
              <w:t xml:space="preserve">Masa </w:t>
            </w:r>
            <w:r w:rsidRPr="001F151E">
              <w:t>4.</w:t>
            </w:r>
            <w:r>
              <w:t>3</w:t>
            </w:r>
            <w:r w:rsidRPr="001F151E">
              <w:t xml:space="preserve">.3 </w:t>
            </w:r>
            <w:r>
              <w:t>Rritja e efiçencës</w:t>
            </w:r>
            <w:r w:rsidRPr="0055763F">
              <w:t xml:space="preserve"> të sistemit të shqyrtimit të ankesave duke rritur shpejtësinë e vendimmarrjes;</w:t>
            </w:r>
          </w:p>
          <w:p w14:paraId="7BAD5404" w14:textId="77777777" w:rsidR="00B45F59" w:rsidRPr="001F151E" w:rsidRDefault="00B45F59" w:rsidP="00B45F59">
            <w:pPr>
              <w:pStyle w:val="T-Bullet"/>
            </w:pPr>
            <w:r>
              <w:t xml:space="preserve">Masa </w:t>
            </w:r>
            <w:r w:rsidRPr="001F151E">
              <w:t>4.</w:t>
            </w:r>
            <w:r>
              <w:t>3</w:t>
            </w:r>
            <w:r w:rsidRPr="001F151E">
              <w:t xml:space="preserve">.4 </w:t>
            </w:r>
            <w:r w:rsidRPr="0055763F">
              <w:t>Përmirësimi i kuadrit ligjor dhe institucional për koncesionet dhe partneritetin publik-privat.</w:t>
            </w:r>
          </w:p>
          <w:p w14:paraId="437D23BA" w14:textId="77777777" w:rsidR="00B45F59" w:rsidRPr="001F151E" w:rsidRDefault="00B45F59" w:rsidP="00B45F59">
            <w:pPr>
              <w:spacing w:line="220" w:lineRule="exact"/>
              <w:rPr>
                <w:sz w:val="16"/>
                <w:szCs w:val="16"/>
              </w:rPr>
            </w:pPr>
          </w:p>
          <w:p w14:paraId="32D05D3B" w14:textId="77777777" w:rsidR="00B45F59" w:rsidRPr="001F151E" w:rsidRDefault="00B45F59" w:rsidP="00B45F59">
            <w:pPr>
              <w:pStyle w:val="T-bold"/>
              <w:spacing w:after="60" w:line="220" w:lineRule="exact"/>
            </w:pPr>
            <w:r>
              <w:t>Komponenti</w:t>
            </w:r>
            <w:r w:rsidRPr="001F151E">
              <w:t xml:space="preserve"> 4.</w:t>
            </w:r>
            <w:r>
              <w:t>4</w:t>
            </w:r>
            <w:r w:rsidRPr="001F151E">
              <w:t xml:space="preserve"> </w:t>
            </w:r>
            <w:r>
              <w:t>Menaxhimi i Borxhit</w:t>
            </w:r>
          </w:p>
          <w:p w14:paraId="7E955EEC" w14:textId="77777777" w:rsidR="00B45F59" w:rsidRPr="001F151E" w:rsidRDefault="00B45F59" w:rsidP="00B45F59">
            <w:pPr>
              <w:pStyle w:val="T-normal"/>
              <w:spacing w:after="60" w:line="220" w:lineRule="exact"/>
            </w:pPr>
            <w:r>
              <w:t>Synimi</w:t>
            </w:r>
            <w:r w:rsidRPr="0055763F">
              <w:t xml:space="preserve"> 2030: </w:t>
            </w:r>
            <w:r>
              <w:t>të funksionojë</w:t>
            </w:r>
            <w:r w:rsidRPr="0055763F">
              <w:t xml:space="preserve"> një Sistem gjithëpërfshirës i Menaxhimit të Borxhit që siguron që nevojat e qeverisë për financim dhe detyrimet e saj për pagesën e borxhit të përmbushen me koston më të ulët të mundshme në periudhën afatmesme dhe afatgjatë në përputhje me një </w:t>
            </w:r>
            <w:r>
              <w:t>shkallë të kujdesshme risku</w:t>
            </w:r>
            <w:r w:rsidRPr="0055763F">
              <w:t>.</w:t>
            </w:r>
          </w:p>
          <w:p w14:paraId="4367704E" w14:textId="77777777" w:rsidR="00B45F59" w:rsidRPr="001F151E" w:rsidRDefault="00B45F59" w:rsidP="00B45F59">
            <w:pPr>
              <w:pStyle w:val="T-Bullet"/>
              <w:numPr>
                <w:ilvl w:val="0"/>
                <w:numId w:val="0"/>
              </w:numPr>
              <w:spacing w:line="220" w:lineRule="exact"/>
              <w:ind w:left="360" w:hanging="360"/>
            </w:pPr>
            <w:r>
              <w:t>Masat</w:t>
            </w:r>
            <w:r w:rsidRPr="001F151E">
              <w:t xml:space="preserve"> 2023-2026:</w:t>
            </w:r>
          </w:p>
          <w:p w14:paraId="724C41D1" w14:textId="11239550" w:rsidR="00B45F59" w:rsidRPr="009D660E" w:rsidRDefault="00B45F59" w:rsidP="00B45F59">
            <w:pPr>
              <w:pStyle w:val="T-bullet0"/>
              <w:rPr>
                <w:lang w:val="it-IT"/>
              </w:rPr>
            </w:pPr>
            <w:r w:rsidRPr="009D660E">
              <w:rPr>
                <w:lang w:val="it-IT"/>
              </w:rPr>
              <w:t xml:space="preserve">Masa 4.4.1 Forcimi i raportimit </w:t>
            </w:r>
            <w:r w:rsidR="00EB3607" w:rsidRPr="009D660E">
              <w:rPr>
                <w:lang w:val="it-IT"/>
              </w:rPr>
              <w:t>mbi</w:t>
            </w:r>
            <w:r w:rsidRPr="009D660E">
              <w:rPr>
                <w:lang w:val="it-IT"/>
              </w:rPr>
              <w:t xml:space="preserve"> menaxhi</w:t>
            </w:r>
            <w:r w:rsidR="00EB3607" w:rsidRPr="009D660E">
              <w:rPr>
                <w:lang w:val="it-IT"/>
              </w:rPr>
              <w:t>min</w:t>
            </w:r>
            <w:r w:rsidRPr="009D660E">
              <w:rPr>
                <w:lang w:val="it-IT"/>
              </w:rPr>
              <w:t xml:space="preserve"> </w:t>
            </w:r>
            <w:r w:rsidR="00EB3607" w:rsidRPr="009D660E">
              <w:rPr>
                <w:lang w:val="it-IT"/>
              </w:rPr>
              <w:t>e</w:t>
            </w:r>
            <w:r w:rsidRPr="009D660E">
              <w:rPr>
                <w:lang w:val="it-IT"/>
              </w:rPr>
              <w:t xml:space="preserve"> borxhit dhe </w:t>
            </w:r>
            <w:r w:rsidR="00EB3607" w:rsidRPr="009D660E">
              <w:rPr>
                <w:lang w:val="it-IT"/>
              </w:rPr>
              <w:t>m</w:t>
            </w:r>
            <w:r w:rsidRPr="009D660E">
              <w:rPr>
                <w:lang w:val="it-IT"/>
              </w:rPr>
              <w:t>arrëdhënieve</w:t>
            </w:r>
            <w:r w:rsidR="00EB3607" w:rsidRPr="009D660E">
              <w:rPr>
                <w:lang w:val="it-IT"/>
              </w:rPr>
              <w:t xml:space="preserve"> me i</w:t>
            </w:r>
            <w:r w:rsidRPr="009D660E">
              <w:rPr>
                <w:lang w:val="it-IT"/>
              </w:rPr>
              <w:t xml:space="preserve">nvestitorët; </w:t>
            </w:r>
          </w:p>
          <w:p w14:paraId="7285D4D3" w14:textId="1541CCB1" w:rsidR="00B45F59" w:rsidRPr="009D660E" w:rsidRDefault="00B45F59" w:rsidP="00B45F59">
            <w:pPr>
              <w:pStyle w:val="T-bullet0"/>
              <w:rPr>
                <w:lang w:val="it-IT"/>
              </w:rPr>
            </w:pPr>
            <w:r w:rsidRPr="009D660E">
              <w:rPr>
                <w:lang w:val="it-IT"/>
              </w:rPr>
              <w:t xml:space="preserve">Masa 4.4.2 Zhvillimi i një kuadri gjithëpërfshirës për sigurimin e garancive dhe </w:t>
            </w:r>
            <w:r w:rsidR="00EB3607" w:rsidRPr="009D660E">
              <w:rPr>
                <w:lang w:val="it-IT"/>
              </w:rPr>
              <w:t>nën-</w:t>
            </w:r>
            <w:r w:rsidRPr="009D660E">
              <w:rPr>
                <w:lang w:val="it-IT"/>
              </w:rPr>
              <w:t>huadhënies;</w:t>
            </w:r>
          </w:p>
          <w:p w14:paraId="1342A40E" w14:textId="3F4905B8" w:rsidR="00B45F59" w:rsidRPr="009D660E" w:rsidRDefault="00B45F59" w:rsidP="00B45F59">
            <w:pPr>
              <w:pStyle w:val="T-bullet0"/>
              <w:rPr>
                <w:lang w:val="it-IT"/>
              </w:rPr>
            </w:pPr>
            <w:r w:rsidRPr="009D660E">
              <w:rPr>
                <w:lang w:val="it-IT"/>
              </w:rPr>
              <w:t>Masa 4.4.3 Fillimi i zhvillimit gradual</w:t>
            </w:r>
            <w:r w:rsidR="00EB3607" w:rsidRPr="009D660E">
              <w:rPr>
                <w:lang w:val="it-IT"/>
              </w:rPr>
              <w:t>isht</w:t>
            </w:r>
            <w:r w:rsidRPr="009D660E">
              <w:rPr>
                <w:lang w:val="it-IT"/>
              </w:rPr>
              <w:t xml:space="preserve"> </w:t>
            </w:r>
            <w:r w:rsidR="00EB3607" w:rsidRPr="009D660E">
              <w:rPr>
                <w:lang w:val="it-IT"/>
              </w:rPr>
              <w:t>të</w:t>
            </w:r>
            <w:r w:rsidRPr="009D660E">
              <w:rPr>
                <w:lang w:val="it-IT"/>
              </w:rPr>
              <w:t xml:space="preserve"> vlerësimit të nevojshëm për instrumente të r</w:t>
            </w:r>
            <w:r w:rsidR="00EB3607" w:rsidRPr="009D660E">
              <w:rPr>
                <w:lang w:val="it-IT"/>
              </w:rPr>
              <w:t>eja alternative të financimit (t</w:t>
            </w:r>
            <w:r w:rsidRPr="009D660E">
              <w:rPr>
                <w:lang w:val="it-IT"/>
              </w:rPr>
              <w:t xml:space="preserve">ë </w:t>
            </w:r>
            <w:r w:rsidR="00EB3607" w:rsidRPr="009D660E">
              <w:rPr>
                <w:lang w:val="it-IT"/>
              </w:rPr>
              <w:t>G</w:t>
            </w:r>
            <w:r w:rsidRPr="009D660E">
              <w:rPr>
                <w:lang w:val="it-IT"/>
              </w:rPr>
              <w:t>jelbër, Social</w:t>
            </w:r>
            <w:r w:rsidR="00EB3607" w:rsidRPr="009D660E">
              <w:rPr>
                <w:lang w:val="it-IT"/>
              </w:rPr>
              <w:t>ë,</w:t>
            </w:r>
            <w:r w:rsidRPr="009D660E">
              <w:rPr>
                <w:lang w:val="it-IT"/>
              </w:rPr>
              <w:t xml:space="preserve"> </w:t>
            </w:r>
            <w:r w:rsidR="00EB3607" w:rsidRPr="009D660E">
              <w:rPr>
                <w:lang w:val="it-IT"/>
              </w:rPr>
              <w:t xml:space="preserve">të </w:t>
            </w:r>
            <w:r w:rsidRPr="009D660E">
              <w:rPr>
                <w:lang w:val="it-IT"/>
              </w:rPr>
              <w:t>Qëndrueshmëri</w:t>
            </w:r>
            <w:r w:rsidR="00EB3607" w:rsidRPr="009D660E">
              <w:rPr>
                <w:lang w:val="it-IT"/>
              </w:rPr>
              <w:t>së ose i</w:t>
            </w:r>
            <w:r w:rsidRPr="009D660E">
              <w:rPr>
                <w:lang w:val="it-IT"/>
              </w:rPr>
              <w:t>nstrumente të tjera).</w:t>
            </w:r>
          </w:p>
          <w:p w14:paraId="7E9C7B3C" w14:textId="77777777" w:rsidR="00B45F59" w:rsidRPr="009D660E" w:rsidRDefault="00B45F59" w:rsidP="00B45F59">
            <w:pPr>
              <w:pStyle w:val="T-bullet0"/>
              <w:numPr>
                <w:ilvl w:val="0"/>
                <w:numId w:val="0"/>
              </w:numPr>
              <w:rPr>
                <w:lang w:val="it-IT"/>
              </w:rPr>
            </w:pPr>
          </w:p>
          <w:p w14:paraId="543097F2" w14:textId="77777777" w:rsidR="00B45F59" w:rsidRPr="009D660E" w:rsidRDefault="00B45F59" w:rsidP="00B45F59">
            <w:pPr>
              <w:pStyle w:val="T-bold"/>
              <w:spacing w:after="60" w:line="220" w:lineRule="exact"/>
              <w:rPr>
                <w:lang w:val="it-IT"/>
              </w:rPr>
            </w:pPr>
            <w:r w:rsidRPr="009D660E">
              <w:rPr>
                <w:lang w:val="it-IT"/>
              </w:rPr>
              <w:t>Komponenti 4.5 Menaxhimi i Likuiditetit</w:t>
            </w:r>
          </w:p>
          <w:p w14:paraId="6741EF29" w14:textId="77777777" w:rsidR="00B45F59" w:rsidRPr="009D660E" w:rsidRDefault="00B45F59" w:rsidP="00B45F59">
            <w:pPr>
              <w:pStyle w:val="T-normal"/>
              <w:spacing w:after="60" w:line="220" w:lineRule="exact"/>
              <w:rPr>
                <w:lang w:val="it-IT"/>
              </w:rPr>
            </w:pPr>
            <w:r w:rsidRPr="009D660E">
              <w:rPr>
                <w:lang w:val="it-IT"/>
              </w:rPr>
              <w:t>Synimi 2030: Synimi për vitin 2030 është që të ketë sisteme të avancuara të planifikimit dhe menaxhimit të likuiditetit për të siguruar operacione efikase dhe efektive të thesarit.</w:t>
            </w:r>
          </w:p>
          <w:p w14:paraId="6780E656" w14:textId="77777777" w:rsidR="00B45F59" w:rsidRPr="001F151E" w:rsidRDefault="00B45F59" w:rsidP="00B45F59">
            <w:pPr>
              <w:pStyle w:val="T-Bullet"/>
              <w:numPr>
                <w:ilvl w:val="0"/>
                <w:numId w:val="0"/>
              </w:numPr>
              <w:spacing w:line="220" w:lineRule="exact"/>
              <w:ind w:left="360" w:hanging="360"/>
            </w:pPr>
            <w:r>
              <w:t>Masat</w:t>
            </w:r>
            <w:r w:rsidRPr="001F151E">
              <w:t xml:space="preserve"> 2023-2026:</w:t>
            </w:r>
          </w:p>
          <w:p w14:paraId="57116767" w14:textId="77777777" w:rsidR="00B45F59" w:rsidRPr="009D660E" w:rsidRDefault="00B45F59" w:rsidP="00B45F59">
            <w:pPr>
              <w:pStyle w:val="T-Bullet"/>
              <w:rPr>
                <w:lang w:val="it-IT"/>
              </w:rPr>
            </w:pPr>
            <w:r w:rsidRPr="009D660E">
              <w:rPr>
                <w:lang w:val="it-IT"/>
              </w:rPr>
              <w:t>Masa 4.5.1 Përmirësimi i procesit të parashikimit të likuiditetit;</w:t>
            </w:r>
          </w:p>
          <w:p w14:paraId="51B8C56A" w14:textId="77777777" w:rsidR="00B45F59" w:rsidRPr="009D660E" w:rsidRDefault="00B45F59" w:rsidP="00B45F59">
            <w:pPr>
              <w:pStyle w:val="T-Bullet"/>
              <w:rPr>
                <w:lang w:val="it-IT"/>
              </w:rPr>
            </w:pPr>
            <w:r w:rsidRPr="009D660E">
              <w:rPr>
                <w:lang w:val="it-IT"/>
              </w:rPr>
              <w:t>Masa 4.5.2 Prezantimi i një sistemi gjithëpërfshirës të monitorimit të performancës për parashikimin e likuiditetit;</w:t>
            </w:r>
          </w:p>
          <w:p w14:paraId="387A5C09" w14:textId="77777777" w:rsidR="00B45F59" w:rsidRPr="001F151E" w:rsidRDefault="00B45F59" w:rsidP="00B45F59">
            <w:pPr>
              <w:pStyle w:val="T-Bullet"/>
            </w:pPr>
            <w:r>
              <w:t>Masa</w:t>
            </w:r>
            <w:r w:rsidRPr="001F151E">
              <w:t xml:space="preserve"> 4.</w:t>
            </w:r>
            <w:r>
              <w:t>5</w:t>
            </w:r>
            <w:r w:rsidRPr="001F151E">
              <w:t>.3 Enhance cash management instruments.</w:t>
            </w:r>
            <w:r>
              <w:t xml:space="preserve"> Përmirësimi i instrumenteve të</w:t>
            </w:r>
            <w:r w:rsidRPr="00F322AC">
              <w:t xml:space="preserve"> menaxhimit të </w:t>
            </w:r>
            <w:r>
              <w:t>likuiditetit</w:t>
            </w:r>
            <w:r w:rsidRPr="00F322AC">
              <w:t>.</w:t>
            </w:r>
          </w:p>
          <w:p w14:paraId="42B48CD6" w14:textId="77777777" w:rsidR="00F75A43" w:rsidRPr="001F151E" w:rsidRDefault="00F75A43" w:rsidP="008D573A">
            <w:pPr>
              <w:spacing w:line="220" w:lineRule="exact"/>
              <w:rPr>
                <w:sz w:val="16"/>
                <w:szCs w:val="16"/>
              </w:rPr>
            </w:pPr>
          </w:p>
          <w:p w14:paraId="417DD0B7" w14:textId="6A173C0A" w:rsidR="00CE4B54" w:rsidRPr="00CE4B54" w:rsidRDefault="00CE4B54" w:rsidP="00CE4B54">
            <w:pPr>
              <w:pStyle w:val="T-bold"/>
              <w:spacing w:after="60" w:line="220" w:lineRule="exact"/>
            </w:pPr>
            <w:r w:rsidRPr="00CE4B54">
              <w:t>Komponenti 4.6 Menaxhimi i Aseteve</w:t>
            </w:r>
          </w:p>
          <w:p w14:paraId="12BCCB02" w14:textId="77777777" w:rsidR="00CE4B54" w:rsidRPr="00CE4B54" w:rsidRDefault="00CE4B54" w:rsidP="00CE4B54">
            <w:pPr>
              <w:pStyle w:val="T-normal"/>
              <w:spacing w:after="60" w:line="220" w:lineRule="exact"/>
            </w:pPr>
            <w:r w:rsidRPr="00CE4B54">
              <w:t xml:space="preserve">Synimi 2030: procedurat dhe sistemet për regjistrimin dhe vlerësimin e të gjitha </w:t>
            </w:r>
            <w:r w:rsidRPr="00CE4B54">
              <w:rPr>
                <w:b/>
                <w:bCs/>
              </w:rPr>
              <w:t>aseteve</w:t>
            </w:r>
            <w:r w:rsidRPr="00CE4B54">
              <w:t xml:space="preserve"> publike në përputhje me standardet e</w:t>
            </w:r>
            <w:r w:rsidRPr="00CE4B54">
              <w:rPr>
                <w:b/>
                <w:bCs/>
              </w:rPr>
              <w:t xml:space="preserve"> miratuara të</w:t>
            </w:r>
            <w:r w:rsidRPr="00CE4B54">
              <w:t xml:space="preserve"> kontabilitetit janë përfunduar.</w:t>
            </w:r>
          </w:p>
          <w:p w14:paraId="6FC4CCFD" w14:textId="77777777" w:rsidR="00CE4B54" w:rsidRPr="00CE4B54" w:rsidRDefault="00CE4B54" w:rsidP="00CE4B54">
            <w:pPr>
              <w:pStyle w:val="T-Bullet"/>
              <w:numPr>
                <w:ilvl w:val="0"/>
                <w:numId w:val="0"/>
              </w:numPr>
              <w:spacing w:line="220" w:lineRule="exact"/>
              <w:ind w:left="360" w:hanging="360"/>
            </w:pPr>
            <w:r w:rsidRPr="00CE4B54">
              <w:t>Masa për vitet 2023-2026:</w:t>
            </w:r>
          </w:p>
          <w:p w14:paraId="73F86349" w14:textId="4FA3E8B8" w:rsidR="00F75A43" w:rsidRPr="009D660E" w:rsidRDefault="00CE4B54" w:rsidP="00CE4B54">
            <w:pPr>
              <w:pStyle w:val="T-Bullet"/>
              <w:spacing w:line="220" w:lineRule="exact"/>
              <w:rPr>
                <w:lang w:val="it-IT"/>
              </w:rPr>
            </w:pPr>
            <w:r w:rsidRPr="009D660E">
              <w:rPr>
                <w:lang w:val="it-IT"/>
              </w:rPr>
              <w:t>Masa 4.6.1 Finalizimi i reformës për regjistrimin e aseteve për qëllime kontabiliteti</w:t>
            </w:r>
            <w:r w:rsidR="007D1940" w:rsidRPr="009D660E">
              <w:rPr>
                <w:lang w:val="it-IT"/>
              </w:rPr>
              <w:t>.</w:t>
            </w:r>
          </w:p>
        </w:tc>
      </w:tr>
    </w:tbl>
    <w:p w14:paraId="6772124C" w14:textId="77777777" w:rsidR="00A97DF3" w:rsidRPr="009D660E" w:rsidRDefault="00A97DF3" w:rsidP="00CA65A6">
      <w:pPr>
        <w:rPr>
          <w:lang w:val="it-IT"/>
        </w:rPr>
      </w:pPr>
    </w:p>
    <w:p w14:paraId="1666B19C" w14:textId="77777777" w:rsidR="00CE4B54" w:rsidRPr="001F151E" w:rsidRDefault="00CE4B54" w:rsidP="00CE4B54">
      <w:pPr>
        <w:pStyle w:val="Heading2"/>
        <w:rPr>
          <w:lang w:val="en-GB"/>
        </w:rPr>
      </w:pPr>
      <w:bookmarkStart w:id="39" w:name="_Toc161748825"/>
      <w:bookmarkStart w:id="40" w:name="_Toc152719053"/>
      <w:r w:rsidRPr="00CC627F">
        <w:rPr>
          <w:lang w:val="en-GB"/>
        </w:rPr>
        <w:t>Komponenti 4.1 Llogaritë Kombëtare</w:t>
      </w:r>
      <w:r>
        <w:rPr>
          <w:lang w:val="en-GB"/>
        </w:rPr>
        <w:t xml:space="preserve"> të </w:t>
      </w:r>
      <w:r w:rsidRPr="00CC627F">
        <w:rPr>
          <w:lang w:val="en-GB"/>
        </w:rPr>
        <w:t>Qeverisë</w:t>
      </w:r>
      <w:bookmarkEnd w:id="39"/>
      <w:r w:rsidRPr="00CC627F">
        <w:rPr>
          <w:lang w:val="en-GB"/>
        </w:rPr>
        <w:t xml:space="preserve"> </w:t>
      </w:r>
    </w:p>
    <w:p w14:paraId="7CB8736D" w14:textId="77777777" w:rsidR="00CE4B54" w:rsidRPr="001F151E" w:rsidRDefault="00CE4B54" w:rsidP="00CE4B54">
      <w:pPr>
        <w:rPr>
          <w:lang w:val="en-GB"/>
        </w:rPr>
      </w:pPr>
    </w:p>
    <w:p w14:paraId="4B3120EC" w14:textId="77777777" w:rsidR="00CE4B54" w:rsidRPr="001F151E" w:rsidRDefault="00CE4B54" w:rsidP="00CE4B54">
      <w:pPr>
        <w:pStyle w:val="H5"/>
        <w:rPr>
          <w:lang w:val="en-GB"/>
        </w:rPr>
      </w:pPr>
      <w:r>
        <w:rPr>
          <w:lang w:val="en-GB"/>
        </w:rPr>
        <w:t>Objektivi</w:t>
      </w:r>
    </w:p>
    <w:p w14:paraId="36C8CF2F" w14:textId="0BD2C139" w:rsidR="00CE4B54" w:rsidRPr="001F151E" w:rsidRDefault="00CE4B54" w:rsidP="00CE4B54">
      <w:pPr>
        <w:spacing w:line="276" w:lineRule="auto"/>
        <w:jc w:val="both"/>
        <w:rPr>
          <w:lang w:val="en-GB"/>
        </w:rPr>
      </w:pPr>
      <w:r w:rsidRPr="00CC627F">
        <w:rPr>
          <w:lang w:val="en-GB"/>
        </w:rPr>
        <w:t xml:space="preserve">Synimi për vitin 2030 është </w:t>
      </w:r>
      <w:r w:rsidR="00D8261E">
        <w:rPr>
          <w:lang w:val="en-GB"/>
        </w:rPr>
        <w:t>prodhimi i Statistikave</w:t>
      </w:r>
      <w:r w:rsidRPr="00CC627F">
        <w:rPr>
          <w:lang w:val="en-GB"/>
        </w:rPr>
        <w:t xml:space="preserve"> Financ</w:t>
      </w:r>
      <w:r>
        <w:rPr>
          <w:lang w:val="en-GB"/>
        </w:rPr>
        <w:t>iare</w:t>
      </w:r>
      <w:r w:rsidRPr="00CC627F">
        <w:rPr>
          <w:lang w:val="en-GB"/>
        </w:rPr>
        <w:t xml:space="preserve"> të Qeverisë (</w:t>
      </w:r>
      <w:r>
        <w:rPr>
          <w:lang w:val="en-GB"/>
        </w:rPr>
        <w:t>SFQ</w:t>
      </w:r>
      <w:r w:rsidRPr="00CC627F">
        <w:rPr>
          <w:lang w:val="en-GB"/>
        </w:rPr>
        <w:t xml:space="preserve">) dhe </w:t>
      </w:r>
      <w:r w:rsidR="00D8261E">
        <w:rPr>
          <w:lang w:val="en-GB"/>
        </w:rPr>
        <w:t>Tabeave të</w:t>
      </w:r>
      <w:r w:rsidRPr="00CC627F">
        <w:rPr>
          <w:lang w:val="en-GB"/>
        </w:rPr>
        <w:t xml:space="preserve"> Procedurës së Deficitit të Te</w:t>
      </w:r>
      <w:r w:rsidR="00D8261E">
        <w:rPr>
          <w:lang w:val="en-GB"/>
        </w:rPr>
        <w:t>jkaluar</w:t>
      </w:r>
      <w:r w:rsidRPr="00CC627F">
        <w:rPr>
          <w:lang w:val="en-GB"/>
        </w:rPr>
        <w:t xml:space="preserve"> (</w:t>
      </w:r>
      <w:r>
        <w:rPr>
          <w:lang w:val="en-GB"/>
        </w:rPr>
        <w:t>PDT</w:t>
      </w:r>
      <w:r w:rsidR="00D8261E">
        <w:rPr>
          <w:lang w:val="en-GB"/>
        </w:rPr>
        <w:t>)</w:t>
      </w:r>
      <w:r w:rsidRPr="00CC627F">
        <w:rPr>
          <w:lang w:val="en-GB"/>
        </w:rPr>
        <w:t xml:space="preserve"> në përputhje me </w:t>
      </w:r>
      <w:r w:rsidR="00D8261E">
        <w:rPr>
          <w:lang w:val="en-GB"/>
        </w:rPr>
        <w:t>kërkesat e Sistemit Evropian të Llogarive</w:t>
      </w:r>
      <w:r w:rsidRPr="00CC627F">
        <w:rPr>
          <w:lang w:val="en-GB"/>
        </w:rPr>
        <w:t xml:space="preserve"> (</w:t>
      </w:r>
      <w:r>
        <w:rPr>
          <w:lang w:val="en-GB"/>
        </w:rPr>
        <w:t>SELL</w:t>
      </w:r>
      <w:r w:rsidRPr="00CC627F">
        <w:rPr>
          <w:lang w:val="en-GB"/>
        </w:rPr>
        <w:t xml:space="preserve"> 2010).</w:t>
      </w:r>
    </w:p>
    <w:p w14:paraId="50C1028F" w14:textId="77777777" w:rsidR="00CE4B54" w:rsidRPr="001F151E" w:rsidRDefault="00CE4B54" w:rsidP="00CE4B54">
      <w:pPr>
        <w:spacing w:line="276" w:lineRule="auto"/>
        <w:jc w:val="both"/>
        <w:rPr>
          <w:lang w:val="en-GB"/>
        </w:rPr>
      </w:pPr>
    </w:p>
    <w:p w14:paraId="178C028A" w14:textId="77777777" w:rsidR="00CE4B54" w:rsidRPr="001F151E" w:rsidRDefault="00CE4B54" w:rsidP="00CE4B54">
      <w:pPr>
        <w:pStyle w:val="H5"/>
        <w:spacing w:line="276" w:lineRule="auto"/>
        <w:jc w:val="both"/>
        <w:rPr>
          <w:lang w:val="en-GB"/>
        </w:rPr>
      </w:pPr>
      <w:r>
        <w:rPr>
          <w:lang w:val="en-GB"/>
        </w:rPr>
        <w:t>Konteksti</w:t>
      </w:r>
      <w:r w:rsidRPr="001F151E">
        <w:rPr>
          <w:lang w:val="en-GB"/>
        </w:rPr>
        <w:t xml:space="preserve"> </w:t>
      </w:r>
    </w:p>
    <w:p w14:paraId="714A32C2" w14:textId="7A6CA8CD" w:rsidR="00CE4B54" w:rsidRDefault="00CE4B54" w:rsidP="00CE4B54">
      <w:pPr>
        <w:spacing w:line="276" w:lineRule="auto"/>
        <w:jc w:val="both"/>
        <w:rPr>
          <w:lang w:val="en-GB"/>
        </w:rPr>
      </w:pPr>
      <w:r w:rsidRPr="00CC627F">
        <w:rPr>
          <w:lang w:val="en-GB"/>
        </w:rPr>
        <w:t>Burimi kryesor i të dhënave të përdorura për përpilimin e Statistikave Financ</w:t>
      </w:r>
      <w:r>
        <w:rPr>
          <w:lang w:val="en-GB"/>
        </w:rPr>
        <w:t xml:space="preserve">iare </w:t>
      </w:r>
      <w:r w:rsidRPr="00CC627F">
        <w:rPr>
          <w:lang w:val="en-GB"/>
        </w:rPr>
        <w:t>të Qeverisë janë: (i) Sistemi i Informacionit Financiar të Qeverisë së Shqipërisë (SIF</w:t>
      </w:r>
      <w:r>
        <w:rPr>
          <w:lang w:val="en-GB"/>
        </w:rPr>
        <w:t>QSh</w:t>
      </w:r>
      <w:r w:rsidRPr="00CC627F">
        <w:rPr>
          <w:lang w:val="en-GB"/>
        </w:rPr>
        <w:t>) për të dhënat që lidhen me njësitë buxhetore dhe në një farë mase njësitë e tjera ku qeveria është përfshirë</w:t>
      </w:r>
      <w:r w:rsidRPr="001F151E">
        <w:rPr>
          <w:rStyle w:val="FootnoteReference"/>
          <w:lang w:val="en-GB"/>
        </w:rPr>
        <w:footnoteReference w:id="46"/>
      </w:r>
      <w:r w:rsidRPr="00CC627F">
        <w:rPr>
          <w:lang w:val="en-GB"/>
        </w:rPr>
        <w:t xml:space="preserve"> dhe (ii) pasqyrat financiare dhe </w:t>
      </w:r>
      <w:r>
        <w:rPr>
          <w:lang w:val="en-GB"/>
        </w:rPr>
        <w:t xml:space="preserve">burime të tjera të </w:t>
      </w:r>
      <w:r w:rsidRPr="00CC627F">
        <w:rPr>
          <w:lang w:val="en-GB"/>
        </w:rPr>
        <w:t>dhëna</w:t>
      </w:r>
      <w:r>
        <w:rPr>
          <w:lang w:val="en-GB"/>
        </w:rPr>
        <w:t>sh p</w:t>
      </w:r>
      <w:r w:rsidRPr="00CC627F">
        <w:rPr>
          <w:lang w:val="en-GB"/>
        </w:rPr>
        <w:t xml:space="preserve">ër njësitë </w:t>
      </w:r>
      <w:r w:rsidR="00D8261E">
        <w:rPr>
          <w:lang w:val="en-GB"/>
        </w:rPr>
        <w:t>ekstra-</w:t>
      </w:r>
      <w:r w:rsidRPr="00CC627F">
        <w:rPr>
          <w:lang w:val="en-GB"/>
        </w:rPr>
        <w:t xml:space="preserve">buxhetore. INSTAT mbështetet nga Eurostat për përafrimin e Statistikave </w:t>
      </w:r>
      <w:r>
        <w:rPr>
          <w:lang w:val="en-GB"/>
        </w:rPr>
        <w:t>Financiare</w:t>
      </w:r>
      <w:r w:rsidRPr="00CC627F">
        <w:rPr>
          <w:lang w:val="en-GB"/>
        </w:rPr>
        <w:t xml:space="preserve"> të Qeverisë me kërkesat e BE-së dhe transmeton rregullisht tabelat</w:t>
      </w:r>
      <w:r w:rsidRPr="001F151E">
        <w:rPr>
          <w:rStyle w:val="FootnoteReference"/>
          <w:lang w:val="en-GB"/>
        </w:rPr>
        <w:footnoteReference w:id="47"/>
      </w:r>
      <w:r w:rsidRPr="00CC627F">
        <w:rPr>
          <w:lang w:val="en-GB"/>
        </w:rPr>
        <w:t xml:space="preserve"> e </w:t>
      </w:r>
      <w:r>
        <w:rPr>
          <w:lang w:val="en-GB"/>
        </w:rPr>
        <w:t>SFQ</w:t>
      </w:r>
      <w:r w:rsidRPr="00CC627F">
        <w:rPr>
          <w:lang w:val="en-GB"/>
        </w:rPr>
        <w:t xml:space="preserve"> dhe </w:t>
      </w:r>
      <w:r w:rsidR="00FE7ED3">
        <w:rPr>
          <w:lang w:val="en-GB"/>
        </w:rPr>
        <w:t xml:space="preserve">Tabelat e </w:t>
      </w:r>
      <w:r w:rsidRPr="00CC627F">
        <w:rPr>
          <w:lang w:val="en-GB"/>
        </w:rPr>
        <w:t>Procedur</w:t>
      </w:r>
      <w:r>
        <w:rPr>
          <w:lang w:val="en-GB"/>
        </w:rPr>
        <w:t>ë</w:t>
      </w:r>
      <w:r w:rsidR="00FE7ED3">
        <w:rPr>
          <w:lang w:val="en-GB"/>
        </w:rPr>
        <w:t>s</w:t>
      </w:r>
      <w:r w:rsidRPr="00CC627F">
        <w:rPr>
          <w:lang w:val="en-GB"/>
        </w:rPr>
        <w:t xml:space="preserve"> </w:t>
      </w:r>
      <w:r w:rsidR="00FE7ED3">
        <w:rPr>
          <w:lang w:val="en-GB"/>
        </w:rPr>
        <w:t>së</w:t>
      </w:r>
      <w:r w:rsidRPr="00CC627F">
        <w:rPr>
          <w:lang w:val="en-GB"/>
        </w:rPr>
        <w:t xml:space="preserve"> Deficitit të Te</w:t>
      </w:r>
      <w:r w:rsidR="00FE7ED3">
        <w:rPr>
          <w:lang w:val="en-GB"/>
        </w:rPr>
        <w:t>jkaluar në Eurostat</w:t>
      </w:r>
      <w:r w:rsidRPr="00CC627F">
        <w:rPr>
          <w:lang w:val="en-GB"/>
        </w:rPr>
        <w:t xml:space="preserve"> me statusin “jo për </w:t>
      </w:r>
      <w:r w:rsidR="00FE7ED3">
        <w:rPr>
          <w:lang w:val="en-GB"/>
        </w:rPr>
        <w:t>publikim</w:t>
      </w:r>
      <w:r w:rsidRPr="00CC627F">
        <w:rPr>
          <w:lang w:val="en-GB"/>
        </w:rPr>
        <w:t xml:space="preserve">”. Aktualisht, ekziston nevoja për të përmirësuar më tej statistikat </w:t>
      </w:r>
      <w:r>
        <w:rPr>
          <w:lang w:val="en-GB"/>
        </w:rPr>
        <w:t>SFQ</w:t>
      </w:r>
      <w:r w:rsidRPr="00CC627F">
        <w:rPr>
          <w:lang w:val="en-GB"/>
        </w:rPr>
        <w:t xml:space="preserve"> dhe </w:t>
      </w:r>
      <w:r>
        <w:rPr>
          <w:lang w:val="en-GB"/>
        </w:rPr>
        <w:t>PDT</w:t>
      </w:r>
      <w:r w:rsidRPr="00CC627F">
        <w:rPr>
          <w:lang w:val="en-GB"/>
        </w:rPr>
        <w:t xml:space="preserve"> për të qenë në përputhje me standardet ndërkombëtare dhe metodologjinë </w:t>
      </w:r>
      <w:r>
        <w:rPr>
          <w:lang w:val="en-GB"/>
        </w:rPr>
        <w:t>SELL</w:t>
      </w:r>
      <w:r w:rsidRPr="00CC627F">
        <w:rPr>
          <w:lang w:val="en-GB"/>
        </w:rPr>
        <w:t xml:space="preserve"> 2010. Programi </w:t>
      </w:r>
      <w:r w:rsidR="00FE7ED3">
        <w:rPr>
          <w:lang w:val="en-GB"/>
        </w:rPr>
        <w:t xml:space="preserve">Pesëvjeçar i Statistikave Zyrtare </w:t>
      </w:r>
      <w:r w:rsidRPr="00CC627F">
        <w:rPr>
          <w:lang w:val="en-GB"/>
        </w:rPr>
        <w:t xml:space="preserve">i miratuar </w:t>
      </w:r>
      <w:r w:rsidR="00FE7ED3">
        <w:rPr>
          <w:lang w:val="en-GB"/>
        </w:rPr>
        <w:t>nga Kuvendi i Republikës së Shqipërisë</w:t>
      </w:r>
      <w:r w:rsidRPr="00CC627F">
        <w:rPr>
          <w:lang w:val="en-GB"/>
        </w:rPr>
        <w:t xml:space="preserve"> (</w:t>
      </w:r>
      <w:r>
        <w:rPr>
          <w:lang w:val="en-GB"/>
        </w:rPr>
        <w:t>PSZ</w:t>
      </w:r>
      <w:r w:rsidRPr="00CC627F">
        <w:rPr>
          <w:lang w:val="en-GB"/>
        </w:rPr>
        <w:t>) 2022–2026</w:t>
      </w:r>
      <w:r w:rsidRPr="001F151E">
        <w:rPr>
          <w:rStyle w:val="FootnoteReference"/>
          <w:lang w:val="en-GB"/>
        </w:rPr>
        <w:footnoteReference w:id="48"/>
      </w:r>
      <w:r w:rsidRPr="00CC627F">
        <w:rPr>
          <w:lang w:val="en-GB"/>
        </w:rPr>
        <w:t xml:space="preserve"> paraqet strategjinë për zhvillimin e statistikave zyrtare dhe të sistemit kombëtar statistikor, duke përfshirë përmirësimin e </w:t>
      </w:r>
      <w:r>
        <w:rPr>
          <w:lang w:val="en-GB"/>
        </w:rPr>
        <w:t>SFQ</w:t>
      </w:r>
      <w:r w:rsidRPr="00CC627F">
        <w:rPr>
          <w:lang w:val="en-GB"/>
        </w:rPr>
        <w:t xml:space="preserve">. </w:t>
      </w:r>
      <w:r w:rsidR="00FE7ED3">
        <w:rPr>
          <w:lang w:val="en-GB"/>
        </w:rPr>
        <w:t>Memorandumi i Bashk</w:t>
      </w:r>
      <w:r w:rsidR="003E247B">
        <w:rPr>
          <w:lang w:val="en-GB"/>
        </w:rPr>
        <w:t>ë</w:t>
      </w:r>
      <w:r w:rsidR="00FE7ED3">
        <w:rPr>
          <w:lang w:val="en-GB"/>
        </w:rPr>
        <w:t>punimit nd</w:t>
      </w:r>
      <w:r w:rsidR="003E247B">
        <w:rPr>
          <w:lang w:val="en-GB"/>
        </w:rPr>
        <w:t>ë</w:t>
      </w:r>
      <w:r w:rsidR="00FE7ED3">
        <w:rPr>
          <w:lang w:val="en-GB"/>
        </w:rPr>
        <w:t>rmjet INSTAT, MF-s</w:t>
      </w:r>
      <w:r w:rsidR="003E247B">
        <w:rPr>
          <w:lang w:val="en-GB"/>
        </w:rPr>
        <w:t>ë</w:t>
      </w:r>
      <w:r w:rsidR="00FE7ED3">
        <w:rPr>
          <w:lang w:val="en-GB"/>
        </w:rPr>
        <w:t xml:space="preserve"> dhe Bank</w:t>
      </w:r>
      <w:r w:rsidR="003E247B">
        <w:rPr>
          <w:lang w:val="en-GB"/>
        </w:rPr>
        <w:t>ë</w:t>
      </w:r>
      <w:r w:rsidR="00FE7ED3">
        <w:rPr>
          <w:lang w:val="en-GB"/>
        </w:rPr>
        <w:t>s s</w:t>
      </w:r>
      <w:r w:rsidR="003E247B">
        <w:rPr>
          <w:lang w:val="en-GB"/>
        </w:rPr>
        <w:t>ë</w:t>
      </w:r>
      <w:r w:rsidR="00FE7ED3">
        <w:rPr>
          <w:lang w:val="en-GB"/>
        </w:rPr>
        <w:t xml:space="preserve"> Shqip</w:t>
      </w:r>
      <w:r w:rsidR="003E247B">
        <w:rPr>
          <w:lang w:val="en-GB"/>
        </w:rPr>
        <w:t>ë</w:t>
      </w:r>
      <w:r w:rsidR="00FE7ED3">
        <w:rPr>
          <w:lang w:val="en-GB"/>
        </w:rPr>
        <w:t>ris</w:t>
      </w:r>
      <w:r w:rsidR="003E247B">
        <w:rPr>
          <w:lang w:val="en-GB"/>
        </w:rPr>
        <w:t>ë</w:t>
      </w:r>
      <w:r w:rsidR="00FE7ED3">
        <w:rPr>
          <w:lang w:val="en-GB"/>
        </w:rPr>
        <w:t xml:space="preserve"> p</w:t>
      </w:r>
      <w:r w:rsidR="003E247B">
        <w:rPr>
          <w:lang w:val="en-GB"/>
        </w:rPr>
        <w:t>ë</w:t>
      </w:r>
      <w:r w:rsidR="00FE7ED3">
        <w:rPr>
          <w:lang w:val="en-GB"/>
        </w:rPr>
        <w:t>r Statistikat Financiare t</w:t>
      </w:r>
      <w:r w:rsidR="003E247B">
        <w:rPr>
          <w:lang w:val="en-GB"/>
        </w:rPr>
        <w:t>ë</w:t>
      </w:r>
      <w:r w:rsidR="00FE7ED3">
        <w:rPr>
          <w:lang w:val="en-GB"/>
        </w:rPr>
        <w:t xml:space="preserve"> Qeveris</w:t>
      </w:r>
      <w:r w:rsidR="003E247B">
        <w:rPr>
          <w:lang w:val="en-GB"/>
        </w:rPr>
        <w:t>ë</w:t>
      </w:r>
      <w:r w:rsidR="00FE7ED3">
        <w:rPr>
          <w:lang w:val="en-GB"/>
        </w:rPr>
        <w:t xml:space="preserve"> dhe Tabelave t</w:t>
      </w:r>
      <w:r w:rsidR="003E247B">
        <w:rPr>
          <w:lang w:val="en-GB"/>
        </w:rPr>
        <w:t>ë</w:t>
      </w:r>
      <w:r w:rsidR="00FE7ED3">
        <w:rPr>
          <w:lang w:val="en-GB"/>
        </w:rPr>
        <w:t xml:space="preserve"> Procedur</w:t>
      </w:r>
      <w:r w:rsidR="003E247B">
        <w:rPr>
          <w:lang w:val="en-GB"/>
        </w:rPr>
        <w:t>ë</w:t>
      </w:r>
      <w:r w:rsidR="00FE7ED3">
        <w:rPr>
          <w:lang w:val="en-GB"/>
        </w:rPr>
        <w:t>s s</w:t>
      </w:r>
      <w:r w:rsidR="003E247B">
        <w:rPr>
          <w:lang w:val="en-GB"/>
        </w:rPr>
        <w:t>ë</w:t>
      </w:r>
      <w:r w:rsidR="00FE7ED3">
        <w:rPr>
          <w:lang w:val="en-GB"/>
        </w:rPr>
        <w:t xml:space="preserve"> Deficitit t</w:t>
      </w:r>
      <w:r w:rsidR="003E247B">
        <w:rPr>
          <w:lang w:val="en-GB"/>
        </w:rPr>
        <w:t>ë</w:t>
      </w:r>
      <w:r w:rsidR="00FE7ED3">
        <w:rPr>
          <w:lang w:val="en-GB"/>
        </w:rPr>
        <w:t xml:space="preserve"> Tejkaluar p</w:t>
      </w:r>
      <w:r w:rsidR="003E247B">
        <w:rPr>
          <w:lang w:val="en-GB"/>
        </w:rPr>
        <w:t>ë</w:t>
      </w:r>
      <w:r w:rsidR="00FE7ED3">
        <w:rPr>
          <w:lang w:val="en-GB"/>
        </w:rPr>
        <w:t>rfshin detyrimet dhe p</w:t>
      </w:r>
      <w:r w:rsidR="003E247B">
        <w:rPr>
          <w:lang w:val="en-GB"/>
        </w:rPr>
        <w:t>ë</w:t>
      </w:r>
      <w:r w:rsidR="00FE7ED3">
        <w:rPr>
          <w:lang w:val="en-GB"/>
        </w:rPr>
        <w:t>rgjegj</w:t>
      </w:r>
      <w:r w:rsidR="003E247B">
        <w:rPr>
          <w:lang w:val="en-GB"/>
        </w:rPr>
        <w:t>ë</w:t>
      </w:r>
      <w:r w:rsidR="00FE7ED3">
        <w:rPr>
          <w:lang w:val="en-GB"/>
        </w:rPr>
        <w:t>sit</w:t>
      </w:r>
      <w:r w:rsidR="003E247B">
        <w:rPr>
          <w:lang w:val="en-GB"/>
        </w:rPr>
        <w:t>ë</w:t>
      </w:r>
      <w:r w:rsidR="00FE7ED3">
        <w:rPr>
          <w:lang w:val="en-GB"/>
        </w:rPr>
        <w:t xml:space="preserve"> e secilit institucion t</w:t>
      </w:r>
      <w:r w:rsidR="003E247B">
        <w:rPr>
          <w:lang w:val="en-GB"/>
        </w:rPr>
        <w:t>ë</w:t>
      </w:r>
      <w:r w:rsidR="00FE7ED3">
        <w:rPr>
          <w:lang w:val="en-GB"/>
        </w:rPr>
        <w:t xml:space="preserve"> cilat rregullohen me akte ligjore t</w:t>
      </w:r>
      <w:r w:rsidR="003E247B">
        <w:rPr>
          <w:lang w:val="en-GB"/>
        </w:rPr>
        <w:t>ë</w:t>
      </w:r>
      <w:r w:rsidR="00FE7ED3">
        <w:rPr>
          <w:lang w:val="en-GB"/>
        </w:rPr>
        <w:t xml:space="preserve"> Bashkimit Evropian n</w:t>
      </w:r>
      <w:r w:rsidR="003E247B">
        <w:rPr>
          <w:lang w:val="en-GB"/>
        </w:rPr>
        <w:t>ë</w:t>
      </w:r>
      <w:r w:rsidR="00FE7ED3">
        <w:rPr>
          <w:lang w:val="en-GB"/>
        </w:rPr>
        <w:t xml:space="preserve"> fush</w:t>
      </w:r>
      <w:r w:rsidR="003E247B">
        <w:rPr>
          <w:lang w:val="en-GB"/>
        </w:rPr>
        <w:t>ë</w:t>
      </w:r>
      <w:r w:rsidR="00FE7ED3">
        <w:rPr>
          <w:lang w:val="en-GB"/>
        </w:rPr>
        <w:t>n e prodhimit t</w:t>
      </w:r>
      <w:r w:rsidR="003E247B">
        <w:rPr>
          <w:lang w:val="en-GB"/>
        </w:rPr>
        <w:t>ë</w:t>
      </w:r>
      <w:r w:rsidR="00FE7ED3">
        <w:rPr>
          <w:lang w:val="en-GB"/>
        </w:rPr>
        <w:t xml:space="preserve"> Statistikave Financiare t</w:t>
      </w:r>
      <w:r w:rsidR="003E247B">
        <w:rPr>
          <w:lang w:val="en-GB"/>
        </w:rPr>
        <w:t>ë</w:t>
      </w:r>
      <w:r w:rsidR="00FE7ED3">
        <w:rPr>
          <w:lang w:val="en-GB"/>
        </w:rPr>
        <w:t xml:space="preserve"> Qeveris</w:t>
      </w:r>
      <w:r w:rsidR="003E247B">
        <w:rPr>
          <w:lang w:val="en-GB"/>
        </w:rPr>
        <w:t>ë</w:t>
      </w:r>
      <w:r w:rsidR="00FE7ED3">
        <w:rPr>
          <w:lang w:val="en-GB"/>
        </w:rPr>
        <w:t xml:space="preserve"> dhe raportimit </w:t>
      </w:r>
      <w:r w:rsidR="009418BE">
        <w:rPr>
          <w:lang w:val="en-GB"/>
        </w:rPr>
        <w:t>t</w:t>
      </w:r>
      <w:r w:rsidR="003E247B">
        <w:rPr>
          <w:lang w:val="en-GB"/>
        </w:rPr>
        <w:t>ë</w:t>
      </w:r>
      <w:r w:rsidR="009418BE">
        <w:rPr>
          <w:lang w:val="en-GB"/>
        </w:rPr>
        <w:t xml:space="preserve"> Procedur</w:t>
      </w:r>
      <w:r w:rsidR="003E247B">
        <w:rPr>
          <w:lang w:val="en-GB"/>
        </w:rPr>
        <w:t>ë</w:t>
      </w:r>
      <w:r w:rsidR="009418BE">
        <w:rPr>
          <w:lang w:val="en-GB"/>
        </w:rPr>
        <w:t>s s</w:t>
      </w:r>
      <w:r w:rsidR="003E247B">
        <w:rPr>
          <w:lang w:val="en-GB"/>
        </w:rPr>
        <w:t>ë</w:t>
      </w:r>
      <w:r w:rsidR="009418BE">
        <w:rPr>
          <w:lang w:val="en-GB"/>
        </w:rPr>
        <w:t xml:space="preserve"> Deficitit t</w:t>
      </w:r>
      <w:r w:rsidR="003E247B">
        <w:rPr>
          <w:lang w:val="en-GB"/>
        </w:rPr>
        <w:t>ë</w:t>
      </w:r>
      <w:r w:rsidR="009418BE">
        <w:rPr>
          <w:lang w:val="en-GB"/>
        </w:rPr>
        <w:t xml:space="preserve"> Tejkaluar.</w:t>
      </w:r>
    </w:p>
    <w:p w14:paraId="468A3962" w14:textId="77777777" w:rsidR="00CE4B54" w:rsidRPr="001F151E" w:rsidRDefault="00CE4B54" w:rsidP="00CE4B54">
      <w:pPr>
        <w:spacing w:line="276" w:lineRule="auto"/>
        <w:jc w:val="both"/>
        <w:rPr>
          <w:lang w:val="en-GB"/>
        </w:rPr>
      </w:pPr>
    </w:p>
    <w:p w14:paraId="3FC836A6" w14:textId="77777777" w:rsidR="00CE4B54" w:rsidRPr="001F151E" w:rsidRDefault="00CE4B54" w:rsidP="00CE4B54">
      <w:pPr>
        <w:pStyle w:val="H5"/>
        <w:spacing w:line="276" w:lineRule="auto"/>
        <w:jc w:val="both"/>
        <w:rPr>
          <w:lang w:val="en-GB"/>
        </w:rPr>
      </w:pPr>
      <w:r w:rsidRPr="001F151E">
        <w:rPr>
          <w:lang w:val="en-GB"/>
        </w:rPr>
        <w:t>Priori</w:t>
      </w:r>
      <w:r>
        <w:rPr>
          <w:lang w:val="en-GB"/>
        </w:rPr>
        <w:t>tetet</w:t>
      </w:r>
    </w:p>
    <w:p w14:paraId="7EE5542B" w14:textId="77777777" w:rsidR="00CE4B54" w:rsidRPr="00C41F81" w:rsidRDefault="00CE4B54" w:rsidP="00CE4B54">
      <w:pPr>
        <w:pStyle w:val="N-Bullet"/>
        <w:numPr>
          <w:ilvl w:val="0"/>
          <w:numId w:val="0"/>
        </w:numPr>
        <w:ind w:left="360" w:hanging="360"/>
        <w:rPr>
          <w:lang w:val="en-GB"/>
        </w:rPr>
      </w:pPr>
      <w:r w:rsidRPr="00C41F81">
        <w:rPr>
          <w:lang w:val="en-GB"/>
        </w:rPr>
        <w:t>Prioritetet për periudhën 2023-2026 janë:</w:t>
      </w:r>
    </w:p>
    <w:p w14:paraId="3EDAFBF8" w14:textId="77777777" w:rsidR="00CE4B54" w:rsidRPr="00C41F81" w:rsidRDefault="00CE4B54" w:rsidP="00CE4B54">
      <w:pPr>
        <w:pStyle w:val="N-Bullet"/>
        <w:rPr>
          <w:lang w:val="en-GB"/>
        </w:rPr>
      </w:pPr>
      <w:r w:rsidRPr="00C41F81">
        <w:rPr>
          <w:lang w:val="en-GB"/>
        </w:rPr>
        <w:t xml:space="preserve">Rritja e nivelit të përafrimit të Statistikave </w:t>
      </w:r>
      <w:r>
        <w:rPr>
          <w:lang w:val="en-GB"/>
        </w:rPr>
        <w:t>SFQ</w:t>
      </w:r>
      <w:r w:rsidRPr="00C41F81">
        <w:rPr>
          <w:lang w:val="en-GB"/>
        </w:rPr>
        <w:t xml:space="preserve"> dhe </w:t>
      </w:r>
      <w:r>
        <w:rPr>
          <w:lang w:val="en-GB"/>
        </w:rPr>
        <w:t>PDT</w:t>
      </w:r>
      <w:r w:rsidRPr="00C41F81">
        <w:rPr>
          <w:lang w:val="en-GB"/>
        </w:rPr>
        <w:t xml:space="preserve"> sipas metodologjisë </w:t>
      </w:r>
      <w:r>
        <w:rPr>
          <w:lang w:val="en-GB"/>
        </w:rPr>
        <w:t>SELL</w:t>
      </w:r>
      <w:r w:rsidRPr="00C41F81">
        <w:rPr>
          <w:lang w:val="en-GB"/>
        </w:rPr>
        <w:t xml:space="preserve"> 2010;</w:t>
      </w:r>
    </w:p>
    <w:p w14:paraId="720126CB" w14:textId="77777777" w:rsidR="00CE4B54" w:rsidRPr="001F151E" w:rsidRDefault="00CE4B54" w:rsidP="00CE4B54">
      <w:pPr>
        <w:pStyle w:val="N-Bullet"/>
        <w:rPr>
          <w:b/>
          <w:bCs/>
          <w:color w:val="0070C0"/>
          <w:lang w:val="en-GB"/>
        </w:rPr>
      </w:pPr>
      <w:r w:rsidRPr="00C41F81">
        <w:rPr>
          <w:lang w:val="en-GB"/>
        </w:rPr>
        <w:t xml:space="preserve">Të transmetojë tabelat </w:t>
      </w:r>
      <w:r>
        <w:rPr>
          <w:lang w:val="en-GB"/>
        </w:rPr>
        <w:t>SFQ</w:t>
      </w:r>
      <w:r w:rsidRPr="00C41F81">
        <w:rPr>
          <w:lang w:val="en-GB"/>
        </w:rPr>
        <w:t xml:space="preserve"> dhe </w:t>
      </w:r>
      <w:r>
        <w:rPr>
          <w:lang w:val="en-GB"/>
        </w:rPr>
        <w:t>PDT</w:t>
      </w:r>
      <w:r w:rsidRPr="00C41F81">
        <w:rPr>
          <w:lang w:val="en-GB"/>
        </w:rPr>
        <w:t xml:space="preserve"> në Eurostat </w:t>
      </w:r>
      <w:r>
        <w:rPr>
          <w:lang w:val="en-GB"/>
        </w:rPr>
        <w:t>sipas</w:t>
      </w:r>
      <w:r w:rsidRPr="00C41F81">
        <w:rPr>
          <w:lang w:val="en-GB"/>
        </w:rPr>
        <w:t xml:space="preserve"> Programit të Trans</w:t>
      </w:r>
      <w:r>
        <w:rPr>
          <w:lang w:val="en-GB"/>
        </w:rPr>
        <w:t>metimit</w:t>
      </w:r>
      <w:r w:rsidRPr="00C41F81">
        <w:rPr>
          <w:lang w:val="en-GB"/>
        </w:rPr>
        <w:t xml:space="preserve"> </w:t>
      </w:r>
      <w:r>
        <w:rPr>
          <w:lang w:val="en-GB"/>
        </w:rPr>
        <w:t>SELL</w:t>
      </w:r>
      <w:r w:rsidRPr="00C41F81">
        <w:rPr>
          <w:lang w:val="en-GB"/>
        </w:rPr>
        <w:t xml:space="preserve"> 2010.</w:t>
      </w:r>
    </w:p>
    <w:p w14:paraId="313A2173" w14:textId="77777777" w:rsidR="00CE4B54" w:rsidRPr="001F151E" w:rsidRDefault="00CE4B54" w:rsidP="00CE4B54">
      <w:pPr>
        <w:pStyle w:val="H5"/>
        <w:rPr>
          <w:lang w:val="en-GB"/>
        </w:rPr>
      </w:pPr>
    </w:p>
    <w:p w14:paraId="1E21FB3E" w14:textId="77777777" w:rsidR="00CE4B54" w:rsidRPr="001F151E" w:rsidRDefault="00CE4B54" w:rsidP="00CE4B54">
      <w:pPr>
        <w:pStyle w:val="H5"/>
        <w:rPr>
          <w:lang w:val="en-GB"/>
        </w:rPr>
      </w:pPr>
      <w:r>
        <w:rPr>
          <w:lang w:val="en-G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18"/>
        <w:gridCol w:w="3637"/>
        <w:gridCol w:w="794"/>
        <w:gridCol w:w="794"/>
        <w:gridCol w:w="1773"/>
      </w:tblGrid>
      <w:tr w:rsidR="00CE4B54" w:rsidRPr="001F151E" w14:paraId="5F13097C" w14:textId="77777777" w:rsidTr="000C70FA">
        <w:trPr>
          <w:trHeight w:val="182"/>
          <w:tblHeader/>
        </w:trPr>
        <w:tc>
          <w:tcPr>
            <w:tcW w:w="2018" w:type="dxa"/>
            <w:shd w:val="clear" w:color="auto" w:fill="D9D9D9" w:themeFill="background1" w:themeFillShade="D9"/>
          </w:tcPr>
          <w:p w14:paraId="18B0316C" w14:textId="77777777" w:rsidR="00CE4B54" w:rsidRPr="00CE4B54" w:rsidRDefault="00CE4B54" w:rsidP="000C70FA">
            <w:pPr>
              <w:pStyle w:val="T-bold"/>
              <w:spacing w:line="288" w:lineRule="auto"/>
            </w:pPr>
            <w:r w:rsidRPr="00CE4B54">
              <w:t>Masa</w:t>
            </w:r>
          </w:p>
        </w:tc>
        <w:tc>
          <w:tcPr>
            <w:tcW w:w="3637" w:type="dxa"/>
            <w:shd w:val="clear" w:color="auto" w:fill="D9D9D9" w:themeFill="background1" w:themeFillShade="D9"/>
          </w:tcPr>
          <w:p w14:paraId="3A64C30B" w14:textId="77777777" w:rsidR="00CE4B54" w:rsidRPr="00CE4B54" w:rsidRDefault="00CE4B54" w:rsidP="000C70FA">
            <w:pPr>
              <w:pStyle w:val="T-bold"/>
              <w:spacing w:line="288" w:lineRule="auto"/>
            </w:pPr>
            <w:r w:rsidRPr="00CE4B54">
              <w:t>Aktiviteti</w:t>
            </w:r>
          </w:p>
        </w:tc>
        <w:tc>
          <w:tcPr>
            <w:tcW w:w="794" w:type="dxa"/>
            <w:shd w:val="clear" w:color="auto" w:fill="D9D9D9" w:themeFill="background1" w:themeFillShade="D9"/>
          </w:tcPr>
          <w:p w14:paraId="469B496C" w14:textId="77777777" w:rsidR="00CE4B54" w:rsidRPr="00CE4B54" w:rsidRDefault="00CE4B54" w:rsidP="000C70FA">
            <w:pPr>
              <w:pStyle w:val="T-bold"/>
              <w:spacing w:line="288" w:lineRule="auto"/>
              <w:jc w:val="center"/>
            </w:pPr>
            <w:r w:rsidRPr="00CE4B54">
              <w:t>Fillimi</w:t>
            </w:r>
          </w:p>
        </w:tc>
        <w:tc>
          <w:tcPr>
            <w:tcW w:w="794" w:type="dxa"/>
            <w:shd w:val="clear" w:color="auto" w:fill="D9D9D9" w:themeFill="background1" w:themeFillShade="D9"/>
          </w:tcPr>
          <w:p w14:paraId="4E5C9890" w14:textId="77777777" w:rsidR="00CE4B54" w:rsidRPr="00CE4B54" w:rsidRDefault="00CE4B54" w:rsidP="000C70FA">
            <w:pPr>
              <w:pStyle w:val="T-bold"/>
              <w:spacing w:line="288" w:lineRule="auto"/>
              <w:jc w:val="center"/>
            </w:pPr>
            <w:r w:rsidRPr="00CE4B54">
              <w:t>Mbarimi</w:t>
            </w:r>
          </w:p>
        </w:tc>
        <w:tc>
          <w:tcPr>
            <w:tcW w:w="1773" w:type="dxa"/>
            <w:shd w:val="clear" w:color="auto" w:fill="D9D9D9" w:themeFill="background1" w:themeFillShade="D9"/>
          </w:tcPr>
          <w:p w14:paraId="5155AE78" w14:textId="77777777" w:rsidR="00CE4B54" w:rsidRPr="00CE4B54" w:rsidRDefault="00CE4B54" w:rsidP="000C70FA">
            <w:pPr>
              <w:pStyle w:val="T-bold"/>
              <w:spacing w:line="288" w:lineRule="auto"/>
            </w:pPr>
            <w:r w:rsidRPr="00CE4B54">
              <w:rPr>
                <w:rStyle w:val="rynqvb"/>
              </w:rPr>
              <w:t>Grupet e interesit</w:t>
            </w:r>
          </w:p>
        </w:tc>
      </w:tr>
      <w:tr w:rsidR="00CE4B54" w:rsidRPr="001F151E" w14:paraId="6213BADE" w14:textId="77777777" w:rsidTr="000C70FA">
        <w:trPr>
          <w:trHeight w:val="662"/>
        </w:trPr>
        <w:tc>
          <w:tcPr>
            <w:tcW w:w="2018" w:type="dxa"/>
            <w:vMerge w:val="restart"/>
            <w:shd w:val="clear" w:color="auto" w:fill="auto"/>
          </w:tcPr>
          <w:p w14:paraId="785FB65B" w14:textId="77777777" w:rsidR="00CE4B54" w:rsidRPr="009D660E" w:rsidRDefault="00CE4B54" w:rsidP="000C70FA">
            <w:pPr>
              <w:pStyle w:val="EcorysBody"/>
              <w:rPr>
                <w:rFonts w:ascii="Arial" w:eastAsia="Times New Roman" w:hAnsi="Arial" w:cs="Arial"/>
                <w:b/>
                <w:bCs/>
                <w:sz w:val="16"/>
                <w:szCs w:val="16"/>
                <w:lang w:val="it-IT"/>
              </w:rPr>
            </w:pPr>
            <w:r w:rsidRPr="009D660E">
              <w:rPr>
                <w:rFonts w:ascii="Arial" w:hAnsi="Arial" w:cs="Arial"/>
                <w:b/>
                <w:bCs/>
                <w:sz w:val="16"/>
                <w:szCs w:val="16"/>
                <w:lang w:val="it-IT"/>
              </w:rPr>
              <w:t xml:space="preserve">Masa 4.1.1 </w:t>
            </w:r>
            <w:r w:rsidRPr="009D660E">
              <w:rPr>
                <w:rFonts w:ascii="Arial" w:eastAsia="Times New Roman" w:hAnsi="Arial" w:cs="Arial"/>
                <w:b/>
                <w:bCs/>
                <w:sz w:val="16"/>
                <w:szCs w:val="16"/>
                <w:lang w:val="it-IT"/>
              </w:rPr>
              <w:t>Përmirësimi i mëtejshëm i statistikave SFQ dhe PDT me standardet e BE-së (SELL 2010)</w:t>
            </w:r>
          </w:p>
        </w:tc>
        <w:tc>
          <w:tcPr>
            <w:tcW w:w="3637" w:type="dxa"/>
            <w:vAlign w:val="center"/>
          </w:tcPr>
          <w:p w14:paraId="0AE3B8DF" w14:textId="0F7DA10E" w:rsidR="00CE4B54" w:rsidRPr="009D660E" w:rsidRDefault="00CE4B54" w:rsidP="003E247B">
            <w:pPr>
              <w:pStyle w:val="ListParagraph"/>
              <w:numPr>
                <w:ilvl w:val="0"/>
                <w:numId w:val="17"/>
              </w:numPr>
              <w:autoSpaceDE w:val="0"/>
              <w:autoSpaceDN w:val="0"/>
              <w:adjustRightInd w:val="0"/>
              <w:rPr>
                <w:rFonts w:eastAsia="Times New Roman"/>
                <w:bCs/>
                <w:sz w:val="16"/>
                <w:szCs w:val="16"/>
                <w:lang w:val="it-IT"/>
              </w:rPr>
            </w:pPr>
            <w:r w:rsidRPr="009D660E">
              <w:rPr>
                <w:rFonts w:eastAsia="Times New Roman"/>
                <w:bCs/>
                <w:sz w:val="16"/>
                <w:szCs w:val="16"/>
                <w:lang w:val="it-IT"/>
              </w:rPr>
              <w:t xml:space="preserve">Investimi në </w:t>
            </w:r>
            <w:r w:rsidR="003E247B" w:rsidRPr="009D660E">
              <w:rPr>
                <w:rFonts w:eastAsia="Times New Roman"/>
                <w:bCs/>
                <w:sz w:val="16"/>
                <w:szCs w:val="16"/>
                <w:lang w:val="it-IT"/>
              </w:rPr>
              <w:t>ndërtimin e sistemit të shkëmbimit të informacionit</w:t>
            </w:r>
            <w:r w:rsidRPr="009D660E">
              <w:rPr>
                <w:rFonts w:eastAsia="Times New Roman"/>
                <w:bCs/>
                <w:sz w:val="16"/>
                <w:szCs w:val="16"/>
                <w:lang w:val="it-IT"/>
              </w:rPr>
              <w:t xml:space="preserve"> </w:t>
            </w:r>
            <w:r w:rsidR="003E247B" w:rsidRPr="009D660E">
              <w:rPr>
                <w:rFonts w:eastAsia="Times New Roman"/>
                <w:bCs/>
                <w:sz w:val="16"/>
                <w:szCs w:val="16"/>
                <w:lang w:val="it-IT"/>
              </w:rPr>
              <w:t>(</w:t>
            </w:r>
            <w:r w:rsidR="00202C72" w:rsidRPr="009D660E">
              <w:rPr>
                <w:rFonts w:eastAsia="Times New Roman"/>
                <w:bCs/>
                <w:sz w:val="16"/>
                <w:szCs w:val="16"/>
                <w:lang w:val="it-IT"/>
              </w:rPr>
              <w:t>W</w:t>
            </w:r>
            <w:r w:rsidRPr="009D660E">
              <w:rPr>
                <w:rFonts w:eastAsia="Times New Roman"/>
                <w:bCs/>
                <w:sz w:val="16"/>
                <w:szCs w:val="16"/>
                <w:lang w:val="it-IT"/>
              </w:rPr>
              <w:t xml:space="preserve">eb </w:t>
            </w:r>
            <w:r w:rsidR="003E247B" w:rsidRPr="009D660E">
              <w:rPr>
                <w:rFonts w:eastAsia="Times New Roman"/>
                <w:bCs/>
                <w:sz w:val="16"/>
                <w:szCs w:val="16"/>
                <w:lang w:val="it-IT"/>
              </w:rPr>
              <w:t xml:space="preserve">service) </w:t>
            </w:r>
            <w:r w:rsidRPr="009D660E">
              <w:rPr>
                <w:rFonts w:eastAsia="Times New Roman"/>
                <w:bCs/>
                <w:sz w:val="16"/>
                <w:szCs w:val="16"/>
                <w:lang w:val="it-IT"/>
              </w:rPr>
              <w:t>i cili do të lehtësojë shkëmbimin e të dhënave ndërmjet MF-së, INSTAT dhe Bankës së Shqipërisë.</w:t>
            </w:r>
          </w:p>
        </w:tc>
        <w:tc>
          <w:tcPr>
            <w:tcW w:w="794" w:type="dxa"/>
            <w:shd w:val="clear" w:color="auto" w:fill="auto"/>
            <w:vAlign w:val="center"/>
          </w:tcPr>
          <w:p w14:paraId="5D380792" w14:textId="3387B80B" w:rsidR="00CE4B54" w:rsidRPr="00CE4B54" w:rsidRDefault="00CE4B54" w:rsidP="00DC1491">
            <w:pPr>
              <w:jc w:val="center"/>
              <w:rPr>
                <w:sz w:val="16"/>
                <w:szCs w:val="16"/>
              </w:rPr>
            </w:pPr>
            <w:r w:rsidRPr="00CE4B54">
              <w:rPr>
                <w:sz w:val="16"/>
                <w:szCs w:val="16"/>
              </w:rPr>
              <w:t>T1 202</w:t>
            </w:r>
            <w:r w:rsidR="00DC1491">
              <w:rPr>
                <w:sz w:val="16"/>
                <w:szCs w:val="16"/>
              </w:rPr>
              <w:t>5</w:t>
            </w:r>
          </w:p>
        </w:tc>
        <w:tc>
          <w:tcPr>
            <w:tcW w:w="794" w:type="dxa"/>
            <w:vAlign w:val="center"/>
          </w:tcPr>
          <w:p w14:paraId="49874D98" w14:textId="05A44A93" w:rsidR="00CE4B54" w:rsidRPr="00CE4B54" w:rsidRDefault="00CE4B54" w:rsidP="00DC1491">
            <w:pPr>
              <w:jc w:val="center"/>
              <w:rPr>
                <w:sz w:val="16"/>
                <w:szCs w:val="16"/>
              </w:rPr>
            </w:pPr>
            <w:r w:rsidRPr="00CE4B54">
              <w:rPr>
                <w:sz w:val="16"/>
                <w:szCs w:val="16"/>
              </w:rPr>
              <w:t>T4 202</w:t>
            </w:r>
            <w:r w:rsidR="00DC1491">
              <w:rPr>
                <w:sz w:val="16"/>
                <w:szCs w:val="16"/>
              </w:rPr>
              <w:t>6</w:t>
            </w:r>
          </w:p>
        </w:tc>
        <w:tc>
          <w:tcPr>
            <w:tcW w:w="1773" w:type="dxa"/>
            <w:vMerge w:val="restart"/>
          </w:tcPr>
          <w:p w14:paraId="66B8AD16" w14:textId="54612BD9" w:rsidR="00CE4B54" w:rsidRPr="00CE4B54" w:rsidRDefault="00CE4B54" w:rsidP="000C70FA">
            <w:pPr>
              <w:rPr>
                <w:b/>
                <w:bCs/>
                <w:sz w:val="16"/>
                <w:szCs w:val="16"/>
              </w:rPr>
            </w:pPr>
            <w:r w:rsidRPr="00CE4B54">
              <w:rPr>
                <w:b/>
                <w:bCs/>
                <w:sz w:val="16"/>
                <w:szCs w:val="16"/>
              </w:rPr>
              <w:t>Njësitë përgjegjëse:</w:t>
            </w:r>
          </w:p>
          <w:p w14:paraId="55D52245" w14:textId="77777777" w:rsidR="00CE4B54" w:rsidRPr="00CE4B54" w:rsidRDefault="00CE4B54" w:rsidP="000C70FA">
            <w:pPr>
              <w:rPr>
                <w:sz w:val="16"/>
                <w:szCs w:val="16"/>
              </w:rPr>
            </w:pPr>
            <w:r w:rsidRPr="00CE4B54">
              <w:rPr>
                <w:sz w:val="16"/>
                <w:szCs w:val="16"/>
              </w:rPr>
              <w:t>INSTAT (lider), MF-DPPM</w:t>
            </w:r>
          </w:p>
          <w:p w14:paraId="6C90A5E1" w14:textId="77777777" w:rsidR="00CE4B54" w:rsidRPr="00CE4B54" w:rsidRDefault="00CE4B54" w:rsidP="000C70FA">
            <w:pPr>
              <w:rPr>
                <w:sz w:val="16"/>
                <w:szCs w:val="16"/>
              </w:rPr>
            </w:pPr>
          </w:p>
          <w:p w14:paraId="04388966" w14:textId="4AFE05DE" w:rsidR="00CE4B54" w:rsidRPr="00CE4B54" w:rsidRDefault="00CE4B54" w:rsidP="000C70FA">
            <w:pPr>
              <w:rPr>
                <w:b/>
                <w:bCs/>
                <w:sz w:val="16"/>
                <w:szCs w:val="16"/>
              </w:rPr>
            </w:pPr>
            <w:r w:rsidRPr="00CE4B54">
              <w:rPr>
                <w:b/>
                <w:bCs/>
                <w:sz w:val="16"/>
                <w:szCs w:val="16"/>
              </w:rPr>
              <w:t>Partnerët:</w:t>
            </w:r>
          </w:p>
          <w:p w14:paraId="07FBCDD3" w14:textId="77777777" w:rsidR="00CE4B54" w:rsidRPr="00CE4B54" w:rsidRDefault="00CE4B54" w:rsidP="000C70FA">
            <w:pPr>
              <w:rPr>
                <w:sz w:val="16"/>
                <w:szCs w:val="16"/>
              </w:rPr>
            </w:pPr>
            <w:r w:rsidRPr="00CE4B54">
              <w:rPr>
                <w:sz w:val="16"/>
                <w:szCs w:val="16"/>
              </w:rPr>
              <w:t>Eurostat</w:t>
            </w:r>
          </w:p>
        </w:tc>
      </w:tr>
      <w:tr w:rsidR="00CE4B54" w:rsidRPr="001F151E" w14:paraId="545ACCF3" w14:textId="77777777" w:rsidTr="000C70FA">
        <w:trPr>
          <w:trHeight w:val="20"/>
        </w:trPr>
        <w:tc>
          <w:tcPr>
            <w:tcW w:w="2018" w:type="dxa"/>
            <w:vMerge/>
            <w:shd w:val="clear" w:color="auto" w:fill="auto"/>
          </w:tcPr>
          <w:p w14:paraId="29F4BEBA" w14:textId="77777777" w:rsidR="00CE4B54" w:rsidRPr="001F151E" w:rsidRDefault="00CE4B54" w:rsidP="000C70FA">
            <w:pPr>
              <w:pStyle w:val="EcorysBody"/>
              <w:rPr>
                <w:rFonts w:ascii="Arial" w:hAnsi="Arial" w:cs="Arial"/>
                <w:b/>
                <w:bCs/>
                <w:sz w:val="16"/>
                <w:szCs w:val="16"/>
              </w:rPr>
            </w:pPr>
          </w:p>
        </w:tc>
        <w:tc>
          <w:tcPr>
            <w:tcW w:w="3637" w:type="dxa"/>
            <w:vAlign w:val="center"/>
          </w:tcPr>
          <w:p w14:paraId="2D45A483" w14:textId="31BC6B13" w:rsidR="00CE4B54" w:rsidRPr="00CE4B54" w:rsidRDefault="00CE4B54" w:rsidP="000C70FA">
            <w:pPr>
              <w:pStyle w:val="ListParagraph"/>
              <w:numPr>
                <w:ilvl w:val="0"/>
                <w:numId w:val="17"/>
              </w:numPr>
              <w:autoSpaceDE w:val="0"/>
              <w:autoSpaceDN w:val="0"/>
              <w:adjustRightInd w:val="0"/>
              <w:rPr>
                <w:rFonts w:eastAsia="Times New Roman"/>
                <w:bCs/>
                <w:sz w:val="16"/>
                <w:szCs w:val="16"/>
              </w:rPr>
            </w:pPr>
            <w:r w:rsidRPr="00CE4B54">
              <w:rPr>
                <w:rStyle w:val="rynqvb"/>
                <w:sz w:val="16"/>
                <w:szCs w:val="16"/>
              </w:rPr>
              <w:t>Raportimi i të dhënave mbi bazën e të drejtave dhe detyrimeve të konstatuara dhe parave të gatshme nga MF-ja në përputhje me Standardet Ndërkombëtare të Kontabilitetit për Sektorin Publik (SNKSP).</w:t>
            </w:r>
          </w:p>
        </w:tc>
        <w:tc>
          <w:tcPr>
            <w:tcW w:w="794" w:type="dxa"/>
            <w:shd w:val="clear" w:color="auto" w:fill="auto"/>
            <w:vAlign w:val="center"/>
          </w:tcPr>
          <w:p w14:paraId="63C4FF3E" w14:textId="77777777" w:rsidR="00CE4B54" w:rsidRPr="00CE4B54" w:rsidRDefault="00CE4B54" w:rsidP="000C70FA">
            <w:pPr>
              <w:jc w:val="center"/>
              <w:rPr>
                <w:sz w:val="16"/>
                <w:szCs w:val="16"/>
              </w:rPr>
            </w:pPr>
            <w:r w:rsidRPr="00CE4B54">
              <w:rPr>
                <w:sz w:val="16"/>
                <w:szCs w:val="16"/>
              </w:rPr>
              <w:t>T1 2025</w:t>
            </w:r>
          </w:p>
        </w:tc>
        <w:tc>
          <w:tcPr>
            <w:tcW w:w="794" w:type="dxa"/>
            <w:vAlign w:val="center"/>
          </w:tcPr>
          <w:p w14:paraId="1780DC92" w14:textId="77777777" w:rsidR="00CE4B54" w:rsidRPr="00CE4B54" w:rsidRDefault="00CE4B54" w:rsidP="000C70FA">
            <w:pPr>
              <w:jc w:val="center"/>
              <w:rPr>
                <w:sz w:val="16"/>
                <w:szCs w:val="16"/>
              </w:rPr>
            </w:pPr>
            <w:r w:rsidRPr="00CE4B54">
              <w:rPr>
                <w:sz w:val="16"/>
                <w:szCs w:val="16"/>
              </w:rPr>
              <w:t>&gt; 2026</w:t>
            </w:r>
          </w:p>
        </w:tc>
        <w:tc>
          <w:tcPr>
            <w:tcW w:w="1773" w:type="dxa"/>
            <w:vMerge/>
          </w:tcPr>
          <w:p w14:paraId="459A87DC" w14:textId="77777777" w:rsidR="00CE4B54" w:rsidRPr="001F151E" w:rsidRDefault="00CE4B54" w:rsidP="000C70FA">
            <w:pPr>
              <w:rPr>
                <w:b/>
                <w:bCs/>
                <w:sz w:val="16"/>
                <w:szCs w:val="16"/>
              </w:rPr>
            </w:pPr>
          </w:p>
        </w:tc>
      </w:tr>
      <w:tr w:rsidR="00CE4B54" w:rsidRPr="001F151E" w14:paraId="5F45A6B2" w14:textId="77777777" w:rsidTr="000C70FA">
        <w:trPr>
          <w:trHeight w:val="662"/>
        </w:trPr>
        <w:tc>
          <w:tcPr>
            <w:tcW w:w="2018" w:type="dxa"/>
            <w:vMerge/>
            <w:shd w:val="clear" w:color="auto" w:fill="auto"/>
          </w:tcPr>
          <w:p w14:paraId="3A7571CD" w14:textId="77777777" w:rsidR="00CE4B54" w:rsidRPr="001F151E" w:rsidRDefault="00CE4B54" w:rsidP="000C70FA">
            <w:pPr>
              <w:pStyle w:val="EcorysBody"/>
              <w:rPr>
                <w:rFonts w:ascii="Arial" w:hAnsi="Arial" w:cs="Arial"/>
                <w:b/>
                <w:bCs/>
                <w:sz w:val="16"/>
                <w:szCs w:val="16"/>
              </w:rPr>
            </w:pPr>
          </w:p>
        </w:tc>
        <w:tc>
          <w:tcPr>
            <w:tcW w:w="3637" w:type="dxa"/>
            <w:vAlign w:val="center"/>
          </w:tcPr>
          <w:p w14:paraId="469B920D" w14:textId="77777777" w:rsidR="00CE4B54" w:rsidRPr="00CE4B54" w:rsidRDefault="00CE4B54" w:rsidP="000C70FA">
            <w:pPr>
              <w:pStyle w:val="ListParagraph"/>
              <w:numPr>
                <w:ilvl w:val="0"/>
                <w:numId w:val="17"/>
              </w:numPr>
              <w:autoSpaceDE w:val="0"/>
              <w:autoSpaceDN w:val="0"/>
              <w:adjustRightInd w:val="0"/>
              <w:rPr>
                <w:rFonts w:eastAsia="Times New Roman"/>
                <w:bCs/>
                <w:sz w:val="16"/>
                <w:szCs w:val="16"/>
              </w:rPr>
            </w:pPr>
            <w:r w:rsidRPr="00CE4B54">
              <w:rPr>
                <w:rFonts w:eastAsia="Times New Roman"/>
                <w:bCs/>
                <w:sz w:val="16"/>
                <w:szCs w:val="16"/>
              </w:rPr>
              <w:t>Mbledhja dhe përfshirja e informacionit për PPP-të dhe kontratat e koncesionit në statistikat SFQ dhe PDT.</w:t>
            </w:r>
          </w:p>
        </w:tc>
        <w:tc>
          <w:tcPr>
            <w:tcW w:w="794" w:type="dxa"/>
            <w:shd w:val="clear" w:color="auto" w:fill="auto"/>
            <w:vAlign w:val="center"/>
          </w:tcPr>
          <w:p w14:paraId="593EC8A0" w14:textId="77777777" w:rsidR="00CE4B54" w:rsidRPr="00CE4B54" w:rsidRDefault="00CE4B54" w:rsidP="000C70FA">
            <w:pPr>
              <w:jc w:val="center"/>
              <w:rPr>
                <w:sz w:val="16"/>
                <w:szCs w:val="16"/>
              </w:rPr>
            </w:pPr>
            <w:r w:rsidRPr="00CE4B54">
              <w:rPr>
                <w:sz w:val="16"/>
                <w:szCs w:val="16"/>
              </w:rPr>
              <w:t>T1 2024</w:t>
            </w:r>
          </w:p>
        </w:tc>
        <w:tc>
          <w:tcPr>
            <w:tcW w:w="794" w:type="dxa"/>
            <w:vAlign w:val="center"/>
          </w:tcPr>
          <w:p w14:paraId="58A37C0A" w14:textId="77777777" w:rsidR="00CE4B54" w:rsidRPr="00CE4B54" w:rsidRDefault="00CE4B54" w:rsidP="000C70FA">
            <w:pPr>
              <w:jc w:val="center"/>
              <w:rPr>
                <w:sz w:val="16"/>
                <w:szCs w:val="16"/>
              </w:rPr>
            </w:pPr>
            <w:r w:rsidRPr="00CE4B54">
              <w:rPr>
                <w:sz w:val="16"/>
                <w:szCs w:val="16"/>
              </w:rPr>
              <w:t>T4 2024</w:t>
            </w:r>
          </w:p>
        </w:tc>
        <w:tc>
          <w:tcPr>
            <w:tcW w:w="1773" w:type="dxa"/>
            <w:vMerge/>
          </w:tcPr>
          <w:p w14:paraId="12DA6447" w14:textId="77777777" w:rsidR="00CE4B54" w:rsidRPr="001F151E" w:rsidRDefault="00CE4B54" w:rsidP="000C70FA">
            <w:pPr>
              <w:rPr>
                <w:b/>
                <w:bCs/>
                <w:sz w:val="16"/>
                <w:szCs w:val="16"/>
              </w:rPr>
            </w:pPr>
          </w:p>
        </w:tc>
      </w:tr>
    </w:tbl>
    <w:p w14:paraId="0E18EFA1" w14:textId="77777777" w:rsidR="00CE4B54" w:rsidRPr="001F151E" w:rsidRDefault="00CE4B54" w:rsidP="00CE4B54">
      <w:pPr>
        <w:rPr>
          <w:lang w:val="en-GB"/>
        </w:rPr>
      </w:pPr>
    </w:p>
    <w:p w14:paraId="6DADBBB7" w14:textId="77777777" w:rsidR="00CE4B54" w:rsidRPr="009D660E" w:rsidRDefault="00CE4B54" w:rsidP="00CE4B54">
      <w:pPr>
        <w:pStyle w:val="H5"/>
        <w:rPr>
          <w:lang w:val="it-IT"/>
        </w:rPr>
      </w:pPr>
      <w:r w:rsidRPr="009D660E">
        <w:rPr>
          <w:lang w:val="it-IT"/>
        </w:rPr>
        <w:t>Treguesit e performancës dhe vlerat e synuara</w:t>
      </w:r>
    </w:p>
    <w:tbl>
      <w:tblPr>
        <w:tblStyle w:val="TableGrid"/>
        <w:tblW w:w="9151"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315"/>
      </w:tblGrid>
      <w:tr w:rsidR="00CE4B54" w:rsidRPr="001F151E" w14:paraId="25F67274" w14:textId="77777777" w:rsidTr="00825E72">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75F94" w14:textId="77777777" w:rsidR="00CE4B54" w:rsidRPr="001F151E" w:rsidRDefault="00CE4B54" w:rsidP="000C70FA">
            <w:pPr>
              <w:pStyle w:val="T-bold"/>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A9398" w14:textId="3CF688B6" w:rsidR="00CE4B54" w:rsidRPr="001F151E" w:rsidRDefault="00CE4B54" w:rsidP="000C70FA">
            <w:pPr>
              <w:pStyle w:val="T-bold"/>
              <w:jc w:val="center"/>
            </w:pPr>
            <w:r>
              <w:t>Vlera bazë</w:t>
            </w:r>
            <w:r w:rsidRPr="001F151E">
              <w:t xml:space="preserve"> (</w:t>
            </w:r>
            <w:r>
              <w:t>viti</w:t>
            </w:r>
            <w:r w:rsidRPr="001F151E">
              <w:t>)</w:t>
            </w:r>
          </w:p>
        </w:tc>
        <w:tc>
          <w:tcPr>
            <w:tcW w:w="48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2D1E76" w14:textId="77777777" w:rsidR="00CE4B54" w:rsidRPr="001F151E" w:rsidRDefault="00CE4B54" w:rsidP="000C70FA">
            <w:pPr>
              <w:pStyle w:val="T-bold"/>
              <w:jc w:val="center"/>
            </w:pPr>
            <w:r>
              <w:t>Vlera e synuar</w:t>
            </w:r>
          </w:p>
        </w:tc>
      </w:tr>
      <w:tr w:rsidR="00CE4B54" w:rsidRPr="001F151E" w14:paraId="670E8E8F" w14:textId="77777777" w:rsidTr="00825E72">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A91A0F5" w14:textId="77777777" w:rsidR="00CE4B54" w:rsidRPr="001F151E" w:rsidRDefault="00CE4B54" w:rsidP="000C70FA">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FD8C885" w14:textId="77777777" w:rsidR="00CE4B54" w:rsidRPr="001F151E" w:rsidRDefault="00CE4B54" w:rsidP="000C70FA">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917758" w14:textId="77777777" w:rsidR="00CE4B54" w:rsidRPr="001F151E" w:rsidRDefault="00CE4B54" w:rsidP="000C70FA">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C73CA" w14:textId="77777777" w:rsidR="00CE4B54" w:rsidRPr="001F151E" w:rsidRDefault="00CE4B54" w:rsidP="000C70FA">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2D9EF" w14:textId="77777777" w:rsidR="00CE4B54" w:rsidRPr="001F151E" w:rsidRDefault="00CE4B54" w:rsidP="000C70FA">
            <w:pPr>
              <w:pStyle w:val="T-bold"/>
              <w:jc w:val="center"/>
            </w:pPr>
            <w:r w:rsidRPr="001F151E">
              <w:t>2025</w:t>
            </w:r>
          </w:p>
        </w:tc>
        <w:tc>
          <w:tcPr>
            <w:tcW w:w="1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F7F96" w14:textId="77777777" w:rsidR="00CE4B54" w:rsidRPr="001F151E" w:rsidRDefault="00CE4B54" w:rsidP="000C70FA">
            <w:pPr>
              <w:pStyle w:val="T-bold"/>
              <w:jc w:val="center"/>
            </w:pPr>
            <w:r w:rsidRPr="001F151E">
              <w:t>2026</w:t>
            </w:r>
          </w:p>
        </w:tc>
      </w:tr>
      <w:tr w:rsidR="00CE4B54" w:rsidRPr="001F151E" w14:paraId="5FB5026E" w14:textId="77777777" w:rsidTr="00825E72">
        <w:tc>
          <w:tcPr>
            <w:tcW w:w="3114" w:type="dxa"/>
            <w:tcBorders>
              <w:top w:val="single" w:sz="4" w:space="0" w:color="auto"/>
              <w:left w:val="single" w:sz="4" w:space="0" w:color="auto"/>
              <w:bottom w:val="single" w:sz="4" w:space="0" w:color="auto"/>
              <w:right w:val="single" w:sz="4" w:space="0" w:color="auto"/>
            </w:tcBorders>
            <w:shd w:val="clear" w:color="auto" w:fill="auto"/>
          </w:tcPr>
          <w:p w14:paraId="347FE176" w14:textId="403B9DE3" w:rsidR="00CE4B54" w:rsidRPr="001F151E" w:rsidRDefault="003E247B" w:rsidP="00CD7428">
            <w:pPr>
              <w:pStyle w:val="ListParagraph"/>
              <w:numPr>
                <w:ilvl w:val="0"/>
                <w:numId w:val="44"/>
              </w:numPr>
              <w:rPr>
                <w:sz w:val="16"/>
                <w:szCs w:val="16"/>
              </w:rPr>
            </w:pPr>
            <w:r>
              <w:rPr>
                <w:sz w:val="16"/>
                <w:szCs w:val="16"/>
              </w:rPr>
              <w:t>Sistemi i shkëmbimit të informacionit</w:t>
            </w:r>
            <w:r w:rsidR="00CE4B54" w:rsidRPr="007168AA">
              <w:rPr>
                <w:sz w:val="16"/>
                <w:szCs w:val="16"/>
              </w:rPr>
              <w:t xml:space="preserve"> </w:t>
            </w:r>
            <w:r>
              <w:rPr>
                <w:sz w:val="16"/>
                <w:szCs w:val="16"/>
              </w:rPr>
              <w:t>(</w:t>
            </w:r>
            <w:r w:rsidR="00A95398">
              <w:rPr>
                <w:sz w:val="16"/>
                <w:szCs w:val="16"/>
              </w:rPr>
              <w:t>W</w:t>
            </w:r>
            <w:r w:rsidR="00CE4B54">
              <w:rPr>
                <w:sz w:val="16"/>
                <w:szCs w:val="16"/>
              </w:rPr>
              <w:t>eb</w:t>
            </w:r>
            <w:r>
              <w:rPr>
                <w:sz w:val="16"/>
                <w:szCs w:val="16"/>
              </w:rPr>
              <w:t xml:space="preserve"> service) i krijuar</w:t>
            </w:r>
            <w:r w:rsidR="00CE4B54">
              <w:rPr>
                <w:sz w:val="16"/>
                <w:szCs w:val="16"/>
              </w:rPr>
              <w:t xml:space="preserve"> </w:t>
            </w:r>
            <w:r>
              <w:rPr>
                <w:sz w:val="16"/>
                <w:szCs w:val="16"/>
              </w:rPr>
              <w:t>për të</w:t>
            </w:r>
            <w:r w:rsidR="00CE4B54" w:rsidRPr="007168AA">
              <w:rPr>
                <w:sz w:val="16"/>
                <w:szCs w:val="16"/>
              </w:rPr>
              <w:t xml:space="preserve"> lehtës</w:t>
            </w:r>
            <w:r>
              <w:rPr>
                <w:sz w:val="16"/>
                <w:szCs w:val="16"/>
              </w:rPr>
              <w:t>uar</w:t>
            </w:r>
            <w:r w:rsidR="00CE4B54" w:rsidRPr="007168AA">
              <w:rPr>
                <w:sz w:val="16"/>
                <w:szCs w:val="16"/>
              </w:rPr>
              <w:t xml:space="preserve"> shkëmbimin e të dhënave ndërmjet MF, INSTAT dhe BSH</w:t>
            </w:r>
            <w:r w:rsidR="00CE4B54" w:rsidRPr="001F151E">
              <w:rPr>
                <w:sz w:val="16"/>
                <w:szCs w:val="16"/>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28F939B8" w14:textId="77777777" w:rsidR="00CE4B54" w:rsidRPr="001F151E" w:rsidRDefault="00CE4B54" w:rsidP="000C70F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7C28171D" w14:textId="77777777" w:rsidR="00CE4B54" w:rsidRPr="001F151E" w:rsidRDefault="00CE4B54" w:rsidP="000C70FA">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290BBA7C" w14:textId="06BBB6A3" w:rsidR="00CE4B54" w:rsidRPr="001F151E" w:rsidRDefault="003E247B" w:rsidP="000C70FA">
            <w:pPr>
              <w:pStyle w:val="T-normal"/>
              <w:jc w:val="center"/>
            </w:pPr>
            <w:r>
              <w:t>-</w:t>
            </w:r>
          </w:p>
        </w:tc>
        <w:tc>
          <w:tcPr>
            <w:tcW w:w="1181" w:type="dxa"/>
            <w:tcBorders>
              <w:top w:val="single" w:sz="4" w:space="0" w:color="auto"/>
              <w:left w:val="single" w:sz="4" w:space="0" w:color="auto"/>
              <w:bottom w:val="single" w:sz="4" w:space="0" w:color="auto"/>
              <w:right w:val="single" w:sz="4" w:space="0" w:color="auto"/>
            </w:tcBorders>
            <w:vAlign w:val="center"/>
          </w:tcPr>
          <w:p w14:paraId="41FDDFC5" w14:textId="49577EE5" w:rsidR="00CE4B54" w:rsidRPr="001F151E" w:rsidRDefault="003E247B" w:rsidP="000C70FA">
            <w:pPr>
              <w:pStyle w:val="T-normal"/>
              <w:jc w:val="center"/>
            </w:pPr>
            <w:r>
              <w:rPr>
                <w:rStyle w:val="rynqvb"/>
              </w:rPr>
              <w:t>Zhvillimi i Sistemit të Shkëmbimit të Informacionit (web service)</w:t>
            </w:r>
          </w:p>
        </w:tc>
        <w:tc>
          <w:tcPr>
            <w:tcW w:w="1315" w:type="dxa"/>
            <w:tcBorders>
              <w:top w:val="single" w:sz="4" w:space="0" w:color="auto"/>
              <w:left w:val="single" w:sz="4" w:space="0" w:color="auto"/>
              <w:bottom w:val="single" w:sz="4" w:space="0" w:color="auto"/>
              <w:right w:val="single" w:sz="4" w:space="0" w:color="auto"/>
            </w:tcBorders>
            <w:vAlign w:val="center"/>
          </w:tcPr>
          <w:p w14:paraId="437E4F4D" w14:textId="607A515B" w:rsidR="00CE4B54" w:rsidRPr="001F151E" w:rsidRDefault="003E247B" w:rsidP="000C70FA">
            <w:pPr>
              <w:pStyle w:val="T-normal"/>
              <w:jc w:val="center"/>
            </w:pPr>
            <w:r>
              <w:rPr>
                <w:rStyle w:val="rynqvb"/>
              </w:rPr>
              <w:t xml:space="preserve">Sistemi i shkëmbimit </w:t>
            </w:r>
            <w:r w:rsidR="00825E72">
              <w:rPr>
                <w:rStyle w:val="rynqvb"/>
              </w:rPr>
              <w:t>të informacionit (web service) i</w:t>
            </w:r>
            <w:r>
              <w:rPr>
                <w:rStyle w:val="rynqvb"/>
              </w:rPr>
              <w:t xml:space="preserve"> zhvilluar</w:t>
            </w:r>
          </w:p>
        </w:tc>
      </w:tr>
      <w:tr w:rsidR="00CE4B54" w:rsidRPr="001F151E" w14:paraId="0D2D8163" w14:textId="77777777" w:rsidTr="00825E72">
        <w:tc>
          <w:tcPr>
            <w:tcW w:w="3114" w:type="dxa"/>
            <w:tcBorders>
              <w:top w:val="single" w:sz="4" w:space="0" w:color="auto"/>
              <w:left w:val="single" w:sz="4" w:space="0" w:color="auto"/>
              <w:bottom w:val="single" w:sz="4" w:space="0" w:color="auto"/>
              <w:right w:val="single" w:sz="4" w:space="0" w:color="auto"/>
            </w:tcBorders>
            <w:shd w:val="clear" w:color="auto" w:fill="auto"/>
          </w:tcPr>
          <w:p w14:paraId="3E2B1E69" w14:textId="77777777" w:rsidR="00CE4B54" w:rsidRPr="001F151E" w:rsidRDefault="00CE4B54" w:rsidP="00CD7428">
            <w:pPr>
              <w:pStyle w:val="ListParagraph"/>
              <w:numPr>
                <w:ilvl w:val="0"/>
                <w:numId w:val="44"/>
              </w:numPr>
              <w:rPr>
                <w:sz w:val="16"/>
                <w:szCs w:val="16"/>
              </w:rPr>
            </w:pPr>
            <w:r w:rsidRPr="007168AA">
              <w:rPr>
                <w:sz w:val="16"/>
                <w:szCs w:val="16"/>
              </w:rPr>
              <w:t>Të dhëna për PPP-të dhe kontratat koncesionare përfshi</w:t>
            </w:r>
            <w:r>
              <w:rPr>
                <w:sz w:val="16"/>
                <w:szCs w:val="16"/>
              </w:rPr>
              <w:t>hen</w:t>
            </w:r>
            <w:r w:rsidRPr="007168AA">
              <w:rPr>
                <w:sz w:val="16"/>
                <w:szCs w:val="16"/>
              </w:rPr>
              <w:t xml:space="preserve"> në </w:t>
            </w:r>
            <w:r>
              <w:rPr>
                <w:sz w:val="16"/>
                <w:szCs w:val="16"/>
              </w:rPr>
              <w:t>SFQ</w:t>
            </w:r>
            <w:r w:rsidRPr="001F151E">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173A83EE" w14:textId="77777777" w:rsidR="00CE4B54" w:rsidRPr="001F151E" w:rsidRDefault="00CE4B54" w:rsidP="000C70F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3AE3F683" w14:textId="77777777" w:rsidR="00CE4B54" w:rsidRPr="001F151E" w:rsidRDefault="00CE4B54" w:rsidP="000C70FA">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5674CA24" w14:textId="77777777" w:rsidR="00CE4B54" w:rsidRPr="001F151E" w:rsidRDefault="00CE4B54" w:rsidP="000C70F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597BBD04" w14:textId="227ABF15" w:rsidR="00CE4B54" w:rsidRPr="001F151E" w:rsidRDefault="00CE4B54" w:rsidP="000C70FA">
            <w:pPr>
              <w:pStyle w:val="T-normal"/>
              <w:jc w:val="center"/>
            </w:pPr>
            <w:r w:rsidRPr="001F151E">
              <w:t>PPP</w:t>
            </w:r>
            <w:r>
              <w:t>-të dhe kontratat e konçesioneve janë përfshirë në SFQ</w:t>
            </w:r>
          </w:p>
        </w:tc>
        <w:tc>
          <w:tcPr>
            <w:tcW w:w="1315" w:type="dxa"/>
            <w:tcBorders>
              <w:top w:val="single" w:sz="4" w:space="0" w:color="auto"/>
              <w:left w:val="single" w:sz="4" w:space="0" w:color="auto"/>
              <w:bottom w:val="single" w:sz="4" w:space="0" w:color="auto"/>
              <w:right w:val="single" w:sz="4" w:space="0" w:color="auto"/>
            </w:tcBorders>
            <w:vAlign w:val="center"/>
          </w:tcPr>
          <w:p w14:paraId="7B0F188B" w14:textId="79F8B9E8" w:rsidR="00CE4B54" w:rsidRPr="001F151E" w:rsidRDefault="00CE4B54" w:rsidP="000C70FA">
            <w:pPr>
              <w:pStyle w:val="T-normal"/>
              <w:jc w:val="center"/>
            </w:pPr>
            <w:r w:rsidRPr="001F151E">
              <w:t>PPP</w:t>
            </w:r>
            <w:r>
              <w:t>-të dhe kontratat e konçesioneve janë përfshirë në SFQ</w:t>
            </w:r>
          </w:p>
        </w:tc>
      </w:tr>
    </w:tbl>
    <w:p w14:paraId="1B89853A" w14:textId="5CB69318" w:rsidR="00D56114" w:rsidRPr="001F151E" w:rsidRDefault="00D56114">
      <w:pPr>
        <w:spacing w:after="160" w:line="259" w:lineRule="auto"/>
        <w:rPr>
          <w:rFonts w:eastAsiaTheme="majorEastAsia" w:cstheme="majorBidi"/>
          <w:iCs/>
          <w:color w:val="0070C0"/>
          <w:sz w:val="22"/>
          <w:szCs w:val="22"/>
          <w:lang w:val="en-GB"/>
        </w:rPr>
      </w:pPr>
    </w:p>
    <w:p w14:paraId="79A5DF8E" w14:textId="013F55B0" w:rsidR="003E6F0E" w:rsidRPr="001F151E" w:rsidRDefault="00B45F59" w:rsidP="003E6F0E">
      <w:pPr>
        <w:pStyle w:val="Heading2"/>
        <w:rPr>
          <w:lang w:val="en-GB"/>
        </w:rPr>
      </w:pPr>
      <w:bookmarkStart w:id="41" w:name="_Toc161748826"/>
      <w:r>
        <w:rPr>
          <w:lang w:val="en-GB"/>
        </w:rPr>
        <w:t>K</w:t>
      </w:r>
      <w:r w:rsidR="003E6F0E" w:rsidRPr="001F151E">
        <w:rPr>
          <w:lang w:val="en-GB"/>
        </w:rPr>
        <w:t>omponent</w:t>
      </w:r>
      <w:r>
        <w:rPr>
          <w:lang w:val="en-GB"/>
        </w:rPr>
        <w:t>i</w:t>
      </w:r>
      <w:r w:rsidR="003E6F0E" w:rsidRPr="001F151E">
        <w:rPr>
          <w:lang w:val="en-GB"/>
        </w:rPr>
        <w:t xml:space="preserve"> 4.</w:t>
      </w:r>
      <w:r w:rsidR="00297283">
        <w:rPr>
          <w:lang w:val="en-GB"/>
        </w:rPr>
        <w:t>2</w:t>
      </w:r>
      <w:r w:rsidR="003E6F0E" w:rsidRPr="001F151E">
        <w:rPr>
          <w:lang w:val="en-GB"/>
        </w:rPr>
        <w:t xml:space="preserve"> </w:t>
      </w:r>
      <w:bookmarkEnd w:id="40"/>
      <w:r>
        <w:rPr>
          <w:lang w:val="en-GB"/>
        </w:rPr>
        <w:t>Kontabiliteti</w:t>
      </w:r>
      <w:bookmarkEnd w:id="41"/>
    </w:p>
    <w:p w14:paraId="6B7E4098" w14:textId="77777777" w:rsidR="003E6F0E" w:rsidRPr="001F151E" w:rsidRDefault="003E6F0E" w:rsidP="00EA6F1D">
      <w:pPr>
        <w:spacing w:line="276" w:lineRule="auto"/>
        <w:jc w:val="both"/>
        <w:rPr>
          <w:lang w:val="en-GB"/>
        </w:rPr>
      </w:pPr>
    </w:p>
    <w:p w14:paraId="65810AB7" w14:textId="07439C73" w:rsidR="003E6F0E" w:rsidRPr="001F151E" w:rsidRDefault="003E6F0E" w:rsidP="00EA6F1D">
      <w:pPr>
        <w:pStyle w:val="H5"/>
        <w:spacing w:line="276" w:lineRule="auto"/>
        <w:jc w:val="both"/>
        <w:rPr>
          <w:lang w:val="en-GB"/>
        </w:rPr>
      </w:pPr>
      <w:r w:rsidRPr="001F151E">
        <w:rPr>
          <w:lang w:val="en-GB"/>
        </w:rPr>
        <w:t>Obje</w:t>
      </w:r>
      <w:r w:rsidR="00B45F59">
        <w:rPr>
          <w:lang w:val="en-GB"/>
        </w:rPr>
        <w:t>ktivi</w:t>
      </w:r>
    </w:p>
    <w:p w14:paraId="644F2FBB" w14:textId="68A37EEE" w:rsidR="003E6F0E" w:rsidRPr="001F151E" w:rsidRDefault="00B45F59" w:rsidP="00EA6F1D">
      <w:pPr>
        <w:spacing w:line="276" w:lineRule="auto"/>
        <w:jc w:val="both"/>
        <w:rPr>
          <w:lang w:val="en-GB"/>
        </w:rPr>
      </w:pPr>
      <w:r w:rsidRPr="00FB2232">
        <w:rPr>
          <w:lang w:val="en-GB"/>
        </w:rPr>
        <w:t>Synimi për vitin 2030 është përgatitja dhe publikimi i pasqyrave financiare (të konsoliduara) në përputhje me SNKSP, pas shtrirjes së SNKSP në të gjitha institucionet e qeverisë qendrore</w:t>
      </w:r>
    </w:p>
    <w:p w14:paraId="63495E74" w14:textId="77777777" w:rsidR="00B45F59" w:rsidRDefault="00B45F59" w:rsidP="00EA6F1D">
      <w:pPr>
        <w:pStyle w:val="H5"/>
        <w:spacing w:line="276" w:lineRule="auto"/>
        <w:jc w:val="both"/>
        <w:rPr>
          <w:lang w:val="en-GB"/>
        </w:rPr>
      </w:pPr>
    </w:p>
    <w:p w14:paraId="03F0052D" w14:textId="77777777" w:rsidR="00B45F59" w:rsidRPr="009D660E" w:rsidRDefault="00B45F59" w:rsidP="00B45F59">
      <w:pPr>
        <w:spacing w:after="60" w:line="276" w:lineRule="auto"/>
        <w:jc w:val="both"/>
        <w:rPr>
          <w:b/>
          <w:bCs/>
          <w:color w:val="0070C0"/>
          <w:lang w:val="it-IT"/>
        </w:rPr>
      </w:pPr>
      <w:r w:rsidRPr="009D660E">
        <w:rPr>
          <w:b/>
          <w:bCs/>
          <w:color w:val="0070C0"/>
          <w:lang w:val="it-IT"/>
        </w:rPr>
        <w:t>Konteksti</w:t>
      </w:r>
    </w:p>
    <w:p w14:paraId="2A0337BC" w14:textId="77777777" w:rsidR="00B45F59" w:rsidRPr="009D660E" w:rsidRDefault="00B45F59" w:rsidP="00B45F59">
      <w:pPr>
        <w:spacing w:line="276" w:lineRule="auto"/>
        <w:jc w:val="both"/>
        <w:rPr>
          <w:lang w:val="it-IT"/>
        </w:rPr>
      </w:pPr>
      <w:r w:rsidRPr="009D660E">
        <w:rPr>
          <w:lang w:val="it-IT"/>
        </w:rPr>
        <w:t>SIFQ është sistemi i informacionit që përdoret për kontabilitetin dhe operacionet e thesarit. Sistemi është zhvilluar me kalimin e kohës, duke përfshirë integrimin e plotë me Sistemin e Informativ të Menaxhimit të Burimeve Njerëzore (SIMBNJ) për listën e pagave në vitin 2022 dhe sistemin e Automatizuar të Prokurimit Publik për prokurimet në vitin 2020. 20 institucionet më të mëdha buxhetore (nga gjithsej afërsisht 1020 Institucione Buxhetore) janë të lidhura drejtpërdrejt me SIFQ. Të gjitha këto janë ministri, tre bashki të mëdha dhe disa institucione të tjera të mëdha publike. Institucionet e tjera buxhetore - kryesisht më të vogla - nuk kanë akses të drejtpërdrejtë në SIFQ, por i dorëzojnë dokumentet e tyre kontabël në format elektronike përmes modulit të SIFQ 'arkiva elektronike' tek  zyrat e Degëve të Thesarit për përpunim të mëtejshëm.</w:t>
      </w:r>
    </w:p>
    <w:p w14:paraId="587DFD77" w14:textId="77777777" w:rsidR="00B45F59" w:rsidRPr="009D660E" w:rsidRDefault="00B45F59" w:rsidP="00B45F59">
      <w:pPr>
        <w:spacing w:line="276" w:lineRule="auto"/>
        <w:jc w:val="both"/>
        <w:rPr>
          <w:lang w:val="it-IT"/>
        </w:rPr>
      </w:pPr>
      <w:r w:rsidRPr="009D660E">
        <w:rPr>
          <w:lang w:val="it-IT"/>
        </w:rPr>
        <w:t>Përafërsisht 300 institucione buxhetore janë të lidhura me sistemin e arkivës elektronike deri në fund të vitit 2022. Është planifikuar që numri i institucioneve buxhetore që kanë akses të arrijë gjithsej në 642 në vitin 2023 dhe 728  në vitin 2024. Përafërsisht 250 institucione buxhetore kryesisht më të vogla nuk do të lidhen me SIFQ përmes modulit të 'arkivës elektronike' në SIFQ pasi këto institucione nuk përmbushin kërkesat ligjore për të siguruar tre nënshkrime në urdhërpagesat. Mund të kërkohet një përqendrim i numrit të njësive të vogla shpenzuese për qëllim të menaxhimit dhe kontrollit financiar të shëndoshë. Sistemi SIFQ menaxhohet nga MF dhe mirëmbahet nga AKSHI.</w:t>
      </w:r>
    </w:p>
    <w:p w14:paraId="747193B9" w14:textId="77777777" w:rsidR="00B45F59" w:rsidRPr="009D660E" w:rsidRDefault="00B45F59" w:rsidP="00B45F59">
      <w:pPr>
        <w:spacing w:line="276" w:lineRule="auto"/>
        <w:jc w:val="both"/>
        <w:rPr>
          <w:lang w:val="it-IT"/>
        </w:rPr>
      </w:pPr>
    </w:p>
    <w:p w14:paraId="443D03B6" w14:textId="77777777" w:rsidR="00B45F59" w:rsidRPr="009D660E" w:rsidRDefault="00B45F59" w:rsidP="00B45F59">
      <w:pPr>
        <w:spacing w:line="276" w:lineRule="auto"/>
        <w:jc w:val="both"/>
        <w:rPr>
          <w:lang w:val="it-IT"/>
        </w:rPr>
      </w:pPr>
      <w:r w:rsidRPr="009D660E">
        <w:rPr>
          <w:lang w:val="it-IT"/>
        </w:rPr>
        <w:t>Menaxhimi adekuat i detyrimeve të prapambetura në sistemin e kontabilitetit ka qenë një prioritet i lartë në vitet e kaluara. Janë krijuar procedura për të siguruar që transaksionet financiare (p.sh. kontratat e prokurimit, urdhrat ekzekutivë që rrjedhin nga çështjet gjyqësore, etj.) të regjistrohen në sistem në kohë. Nën-raportimi i detyrimeve të prapambetura ende nuk është eliminuar plotësisht. Në vitin 2018, MF-ja filloi përgatitjet për reformën e kontabilitetit me synimin për të qenë plotësisht në përputhje me SNKSP deri në vitin 2030. Një njësi e veçantë për reformën e kontabilitetit u krijua brenda DHMFKK për të mbështetur procesin e kalimit në kontabilitetin në bazë të drejtash dhe detyrimesh të konstatuara përmes miratimit të një kuadri rregullator që është bazuar në SNKSP. Si hap i parë, u përgatit Plani i Veprimit Strategjik i Vendit për Reformën e Kontabilitetit 2019-2027</w:t>
      </w:r>
      <w:r w:rsidRPr="00B45F59">
        <w:rPr>
          <w:szCs w:val="14"/>
          <w:vertAlign w:val="superscript"/>
          <w:lang w:val="en-GB"/>
        </w:rPr>
        <w:footnoteReference w:id="49"/>
      </w:r>
      <w:r w:rsidRPr="009D660E">
        <w:rPr>
          <w:lang w:val="it-IT"/>
        </w:rPr>
        <w:t>. Pas miratimit të planit të veprimit, u ndërmorën hapa për zhvillimin e kuadrit ligjor dhe rregullator. Deri më tani, SNKSP janë përkthyer në gjuhën shqipe, janë hartuar 10 udhëzime (akte nënligjore) të cilat janë objekt miratimi nga Ministri i Financave në fazat e mëvonshme të shoqëruara me manuale specifike që lidhen me këto udhëzime dhe që do të miratohen gjithashtu. Gjithashtu, janë ndërmarrë hapat e parë për hartimin e një ligji të ri të kontabilitetit, dhe është siguruar nga konsulenti struktura që duhet të ketë ligji. Aktivitetet e ngritjes së kapaciteteve kanë filluar dhe 25 individë (stafi i MF-së, kontabilistë të sektorit publik, universitetet, Organizatat Profesionale të Kontabilitetit)</w:t>
      </w:r>
      <w:r w:rsidRPr="009D660E">
        <w:rPr>
          <w:rFonts w:ascii="Calibri" w:hAnsi="Calibri" w:cs="Times New Roman"/>
          <w:sz w:val="16"/>
          <w:szCs w:val="16"/>
          <w:lang w:val="it-IT"/>
        </w:rPr>
        <w:t xml:space="preserve"> </w:t>
      </w:r>
      <w:r w:rsidRPr="009D660E">
        <w:rPr>
          <w:lang w:val="it-IT"/>
        </w:rPr>
        <w:t>anë trajnuar përmes një programi të gjerë trajnimi në SNKSP (siguruar nga Instituti i Financave Publike dhe Kontabilitetit. Më pas, për 500 (nga rreth 1,100 gjithsej) kontabilistë të qeverisë u zhvillua një trajnim më i shkurtër mbi SNKSP. U krye një rishikim i funksionalitetit të SIFQ krahasuar me kërkesat e SNKSP në kuadër të projektit të BB-së “Zhvillimi i kontabilitetit të sektorit publik në Shqipëri (SNKSP)” i cili dha rekomandime për shtimin e moduleve dhe llogarive në SIFQ. Për më tepër, ai identifikoi zgjidhje alternative për plotësimin e boshllëqeve të të dhënave përmes mjeteve ose tabelave që mund të përdoren për gjurmimin e informacionit, përpunimin e tij dhe përcaktimin e hyrjeve që do të regjistrohen në sistemin SIFQ në baza periodike. Gjithashtu, është bërë një analizë e përgjegjësive institucionale brenda MF-së dhe funksionit më të gjerë të kontabilitetit të qeverisë qendrore duke ofruar rekomandime specifike që do të merren parasysh për riorganizimin e mëtejshëm të funksionit brenda Ministrisë.</w:t>
      </w:r>
    </w:p>
    <w:p w14:paraId="73C43F58" w14:textId="77777777" w:rsidR="00B45F59" w:rsidRPr="009D660E" w:rsidRDefault="00B45F59" w:rsidP="00B45F59">
      <w:pPr>
        <w:spacing w:line="276" w:lineRule="auto"/>
        <w:jc w:val="both"/>
        <w:rPr>
          <w:lang w:val="it-IT"/>
        </w:rPr>
      </w:pPr>
      <w:r w:rsidRPr="009D660E">
        <w:rPr>
          <w:lang w:val="it-IT"/>
        </w:rPr>
        <w:t xml:space="preserve">  </w:t>
      </w:r>
    </w:p>
    <w:p w14:paraId="4ABF1831" w14:textId="77777777" w:rsidR="00B45F59" w:rsidRPr="00B45F59" w:rsidRDefault="00B45F59" w:rsidP="00B45F59">
      <w:pPr>
        <w:spacing w:after="60" w:line="276" w:lineRule="auto"/>
        <w:jc w:val="both"/>
        <w:rPr>
          <w:b/>
          <w:bCs/>
          <w:color w:val="0070C0"/>
          <w:lang w:val="en-GB"/>
        </w:rPr>
      </w:pPr>
      <w:r w:rsidRPr="00B45F59">
        <w:rPr>
          <w:b/>
          <w:bCs/>
          <w:color w:val="0070C0"/>
          <w:lang w:val="en-GB"/>
        </w:rPr>
        <w:t>Prioritetet</w:t>
      </w:r>
    </w:p>
    <w:p w14:paraId="200FE825" w14:textId="77777777" w:rsidR="00B45F59" w:rsidRPr="00B45F59" w:rsidRDefault="00B45F59" w:rsidP="00B45F59">
      <w:pPr>
        <w:spacing w:line="276" w:lineRule="auto"/>
        <w:jc w:val="both"/>
        <w:rPr>
          <w:szCs w:val="20"/>
          <w:lang w:val="en-GB"/>
        </w:rPr>
      </w:pPr>
      <w:r w:rsidRPr="00B45F59">
        <w:rPr>
          <w:szCs w:val="20"/>
          <w:lang w:val="en-GB"/>
        </w:rPr>
        <w:t>Për periudhën 2023 – 2026 prioritetet kryesore janë:</w:t>
      </w:r>
    </w:p>
    <w:p w14:paraId="1D498CD7" w14:textId="77777777" w:rsidR="00B45F59" w:rsidRPr="00203791" w:rsidRDefault="00B45F59" w:rsidP="00B45F59">
      <w:pPr>
        <w:numPr>
          <w:ilvl w:val="0"/>
          <w:numId w:val="19"/>
        </w:numPr>
        <w:spacing w:line="276" w:lineRule="auto"/>
        <w:contextualSpacing/>
        <w:jc w:val="both"/>
        <w:rPr>
          <w:lang w:val="en-GB"/>
        </w:rPr>
      </w:pPr>
      <w:r w:rsidRPr="00B45F59">
        <w:rPr>
          <w:lang w:val="en-GB"/>
        </w:rPr>
        <w:t xml:space="preserve">Rritja e aksesit të të gjitha institucioneve buxhetore në Arkivën </w:t>
      </w:r>
      <w:r w:rsidRPr="00203791">
        <w:rPr>
          <w:lang w:val="en-GB"/>
        </w:rPr>
        <w:t>Elektronike përmes Web Portalit.</w:t>
      </w:r>
    </w:p>
    <w:p w14:paraId="29ACCCD4" w14:textId="77777777" w:rsidR="00B45F59" w:rsidRPr="00203791" w:rsidRDefault="00B45F59" w:rsidP="00B45F59">
      <w:pPr>
        <w:numPr>
          <w:ilvl w:val="0"/>
          <w:numId w:val="19"/>
        </w:numPr>
        <w:spacing w:line="276" w:lineRule="auto"/>
        <w:contextualSpacing/>
        <w:jc w:val="both"/>
        <w:rPr>
          <w:lang w:val="en-GB"/>
        </w:rPr>
      </w:pPr>
      <w:r w:rsidRPr="00203791">
        <w:rPr>
          <w:lang w:val="en-GB"/>
        </w:rPr>
        <w:t>Përmirësimi i funksionaliteteve të SIFQ për ta bërë sistemin më efikas (paraangazhime të automatizuara për të gjitha institucionet buxhetore qe kanë ose jo akses në SIFQ, lidhja e SIFQ me sistemin e fiskalizimit dhe Përmirësimi i hardware-it dhe software-it të SIFQ)</w:t>
      </w:r>
    </w:p>
    <w:p w14:paraId="653AA7BF" w14:textId="77777777" w:rsidR="00B45F59" w:rsidRPr="00203791" w:rsidRDefault="00B45F59" w:rsidP="00B45F59">
      <w:pPr>
        <w:numPr>
          <w:ilvl w:val="0"/>
          <w:numId w:val="19"/>
        </w:numPr>
        <w:spacing w:line="276" w:lineRule="auto"/>
        <w:contextualSpacing/>
        <w:jc w:val="both"/>
        <w:rPr>
          <w:lang w:val="en-GB"/>
        </w:rPr>
      </w:pPr>
      <w:r w:rsidRPr="00203791">
        <w:rPr>
          <w:lang w:val="en-GB"/>
        </w:rPr>
        <w:t>Zhvillimi i kuadrit ligjor dhe rregullator, funksionaliteteve të SIFQ dhe institucionalizimi i ngritjes së kapaciteteve për kontabilistët në kuadër të reformave të kontabilitetit (SNKSP).</w:t>
      </w:r>
    </w:p>
    <w:p w14:paraId="16423636" w14:textId="77777777" w:rsidR="00B45F59" w:rsidRPr="00B45F59" w:rsidRDefault="00B45F59" w:rsidP="00B45F59">
      <w:pPr>
        <w:spacing w:line="264" w:lineRule="auto"/>
        <w:rPr>
          <w:b/>
          <w:bCs/>
          <w:sz w:val="16"/>
          <w:szCs w:val="16"/>
          <w:lang w:val="en-GB"/>
        </w:rPr>
      </w:pPr>
    </w:p>
    <w:p w14:paraId="052677B5" w14:textId="77777777" w:rsidR="00B45F59" w:rsidRPr="00B45F59" w:rsidRDefault="00B45F59" w:rsidP="00B45F59">
      <w:pPr>
        <w:spacing w:line="264" w:lineRule="auto"/>
        <w:rPr>
          <w:b/>
          <w:bCs/>
          <w:sz w:val="16"/>
          <w:szCs w:val="16"/>
          <w:lang w:val="en-GB"/>
        </w:rPr>
      </w:pPr>
    </w:p>
    <w:p w14:paraId="2FCB162C" w14:textId="77777777" w:rsidR="00B45F59" w:rsidRPr="00B45F59" w:rsidRDefault="00B45F59" w:rsidP="00B45F59">
      <w:pPr>
        <w:spacing w:after="60"/>
        <w:rPr>
          <w:b/>
          <w:bCs/>
          <w:color w:val="0070C0"/>
          <w:lang w:val="en-GB"/>
        </w:rPr>
      </w:pPr>
      <w:r w:rsidRPr="00B45F59">
        <w:rPr>
          <w:b/>
          <w:bCs/>
          <w:color w:val="0070C0"/>
          <w:lang w:val="en-GB"/>
        </w:rPr>
        <w:t>Masat dhe aktivitetet</w:t>
      </w:r>
    </w:p>
    <w:tbl>
      <w:tblPr>
        <w:tblStyle w:val="TableGridIDEA1"/>
        <w:tblW w:w="5000" w:type="pct"/>
        <w:tblCellMar>
          <w:top w:w="57" w:type="dxa"/>
          <w:left w:w="57" w:type="dxa"/>
          <w:bottom w:w="57" w:type="dxa"/>
          <w:right w:w="57" w:type="dxa"/>
        </w:tblCellMar>
        <w:tblLook w:val="04A0" w:firstRow="1" w:lastRow="0" w:firstColumn="1" w:lastColumn="0" w:noHBand="0" w:noVBand="1"/>
      </w:tblPr>
      <w:tblGrid>
        <w:gridCol w:w="2335"/>
        <w:gridCol w:w="3855"/>
        <w:gridCol w:w="735"/>
        <w:gridCol w:w="746"/>
        <w:gridCol w:w="1345"/>
      </w:tblGrid>
      <w:tr w:rsidR="00B45F59" w:rsidRPr="00B45F59" w14:paraId="3175EC62" w14:textId="77777777" w:rsidTr="00B9728A">
        <w:trPr>
          <w:trHeight w:val="182"/>
          <w:tblHeader/>
        </w:trPr>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1E7166" w14:textId="77777777" w:rsidR="00B45F59" w:rsidRPr="00B45F59" w:rsidRDefault="00B45F59" w:rsidP="00B45F59">
            <w:pPr>
              <w:spacing w:line="264" w:lineRule="auto"/>
              <w:rPr>
                <w:b/>
                <w:bCs/>
                <w:sz w:val="16"/>
                <w:szCs w:val="16"/>
              </w:rPr>
            </w:pPr>
            <w:r w:rsidRPr="00B45F59">
              <w:rPr>
                <w:b/>
                <w:bCs/>
                <w:sz w:val="16"/>
                <w:szCs w:val="16"/>
              </w:rPr>
              <w:t>Masa</w:t>
            </w:r>
          </w:p>
        </w:tc>
        <w:tc>
          <w:tcPr>
            <w:tcW w:w="3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F1209C" w14:textId="77777777" w:rsidR="00B45F59" w:rsidRPr="00B45F59" w:rsidRDefault="00B45F59" w:rsidP="00B45F59">
            <w:pPr>
              <w:spacing w:line="264" w:lineRule="auto"/>
              <w:rPr>
                <w:b/>
                <w:bCs/>
                <w:sz w:val="16"/>
                <w:szCs w:val="16"/>
              </w:rPr>
            </w:pPr>
            <w:r w:rsidRPr="00B45F59">
              <w:rPr>
                <w:b/>
                <w:bCs/>
                <w:sz w:val="16"/>
                <w:szCs w:val="16"/>
              </w:rPr>
              <w:t>Aktiviteti</w:t>
            </w:r>
          </w:p>
        </w:tc>
        <w:tc>
          <w:tcPr>
            <w:tcW w:w="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7CD03F" w14:textId="77777777" w:rsidR="00B45F59" w:rsidRPr="00B45F59" w:rsidRDefault="00B45F59" w:rsidP="00B45F59">
            <w:pPr>
              <w:spacing w:line="264" w:lineRule="auto"/>
              <w:jc w:val="center"/>
              <w:rPr>
                <w:b/>
                <w:bCs/>
                <w:sz w:val="16"/>
                <w:szCs w:val="16"/>
              </w:rPr>
            </w:pPr>
            <w:r w:rsidRPr="00B45F59">
              <w:rPr>
                <w:b/>
                <w:bCs/>
                <w:sz w:val="16"/>
                <w:szCs w:val="16"/>
              </w:rPr>
              <w:t>Fillimi</w:t>
            </w:r>
          </w:p>
        </w:tc>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4DD6FC" w14:textId="77777777" w:rsidR="00B45F59" w:rsidRPr="00B45F59" w:rsidRDefault="00B45F59" w:rsidP="00B45F59">
            <w:pPr>
              <w:spacing w:line="264" w:lineRule="auto"/>
              <w:jc w:val="center"/>
              <w:rPr>
                <w:b/>
                <w:bCs/>
                <w:sz w:val="16"/>
                <w:szCs w:val="16"/>
              </w:rPr>
            </w:pPr>
            <w:r w:rsidRPr="00B45F59">
              <w:rPr>
                <w:b/>
                <w:bCs/>
                <w:sz w:val="16"/>
                <w:szCs w:val="16"/>
              </w:rPr>
              <w:t>Mbarimi</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3D29B5" w14:textId="77777777" w:rsidR="00B45F59" w:rsidRPr="00B45F59" w:rsidRDefault="00B45F59" w:rsidP="00B45F59">
            <w:pPr>
              <w:spacing w:line="264" w:lineRule="auto"/>
              <w:rPr>
                <w:b/>
                <w:bCs/>
                <w:sz w:val="16"/>
                <w:szCs w:val="16"/>
              </w:rPr>
            </w:pPr>
            <w:r w:rsidRPr="00B45F59">
              <w:rPr>
                <w:b/>
                <w:bCs/>
                <w:sz w:val="16"/>
                <w:szCs w:val="16"/>
              </w:rPr>
              <w:t>Grupet e Interesit</w:t>
            </w:r>
          </w:p>
        </w:tc>
      </w:tr>
      <w:tr w:rsidR="00B9728A" w:rsidRPr="00B45F59" w14:paraId="2AB1127C" w14:textId="77777777" w:rsidTr="00B9728A">
        <w:trPr>
          <w:trHeight w:val="20"/>
        </w:trPr>
        <w:tc>
          <w:tcPr>
            <w:tcW w:w="2335" w:type="dxa"/>
            <w:vMerge w:val="restart"/>
            <w:tcBorders>
              <w:top w:val="single" w:sz="4" w:space="0" w:color="auto"/>
              <w:left w:val="single" w:sz="4" w:space="0" w:color="auto"/>
              <w:right w:val="single" w:sz="4" w:space="0" w:color="auto"/>
            </w:tcBorders>
            <w:vAlign w:val="center"/>
            <w:hideMark/>
          </w:tcPr>
          <w:p w14:paraId="6B698147" w14:textId="77777777" w:rsidR="00B9728A" w:rsidRDefault="00B9728A" w:rsidP="00B45F59">
            <w:pPr>
              <w:rPr>
                <w:b/>
                <w:bCs/>
                <w:sz w:val="16"/>
                <w:szCs w:val="16"/>
              </w:rPr>
            </w:pPr>
            <w:r w:rsidRPr="00B45F59">
              <w:rPr>
                <w:b/>
                <w:bCs/>
                <w:sz w:val="16"/>
                <w:szCs w:val="16"/>
              </w:rPr>
              <w:t>Masa 4.2.1 Rritja e aksesit dhe përdorimit të SIFQ</w:t>
            </w:r>
          </w:p>
          <w:p w14:paraId="38866600" w14:textId="77777777" w:rsidR="00B9728A" w:rsidRPr="00B45F59" w:rsidRDefault="00B9728A" w:rsidP="00B9728A">
            <w:pPr>
              <w:rPr>
                <w:b/>
                <w:bCs/>
                <w:sz w:val="16"/>
                <w:szCs w:val="16"/>
              </w:rPr>
            </w:pPr>
          </w:p>
        </w:tc>
        <w:tc>
          <w:tcPr>
            <w:tcW w:w="3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3EDFC" w14:textId="77777777" w:rsidR="00B9728A" w:rsidRPr="00B45F59" w:rsidRDefault="00B9728A" w:rsidP="00CD7428">
            <w:pPr>
              <w:numPr>
                <w:ilvl w:val="0"/>
                <w:numId w:val="50"/>
              </w:numPr>
              <w:spacing w:line="264" w:lineRule="auto"/>
              <w:rPr>
                <w:sz w:val="16"/>
                <w:szCs w:val="16"/>
              </w:rPr>
            </w:pPr>
            <w:r w:rsidRPr="00B45F59">
              <w:rPr>
                <w:sz w:val="16"/>
                <w:szCs w:val="16"/>
              </w:rPr>
              <w:t>Rritja e aksesit të institucioneve buxhetore në modulin e arkivit elektronik të SIFQ.</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DAA2D" w14:textId="77777777" w:rsidR="00B9728A" w:rsidRPr="00B45F59" w:rsidRDefault="00B9728A" w:rsidP="00B45F59">
            <w:pPr>
              <w:jc w:val="center"/>
              <w:rPr>
                <w:sz w:val="16"/>
                <w:szCs w:val="16"/>
              </w:rPr>
            </w:pPr>
            <w:r w:rsidRPr="00B45F59">
              <w:rPr>
                <w:sz w:val="16"/>
                <w:szCs w:val="16"/>
              </w:rPr>
              <w:t>T1 2023</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63AB7" w14:textId="77777777" w:rsidR="00B9728A" w:rsidRPr="00B45F59" w:rsidRDefault="00B9728A" w:rsidP="00B45F59">
            <w:pPr>
              <w:jc w:val="center"/>
              <w:rPr>
                <w:sz w:val="16"/>
                <w:szCs w:val="16"/>
              </w:rPr>
            </w:pPr>
            <w:r w:rsidRPr="00B45F59">
              <w:rPr>
                <w:sz w:val="16"/>
                <w:szCs w:val="16"/>
              </w:rPr>
              <w:t>T4 2024</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CD9763D" w14:textId="77777777" w:rsidR="00B9728A" w:rsidRPr="00B45F59" w:rsidRDefault="00B9728A" w:rsidP="00B9728A">
            <w:pPr>
              <w:rPr>
                <w:b/>
                <w:bCs/>
                <w:sz w:val="16"/>
                <w:szCs w:val="16"/>
              </w:rPr>
            </w:pPr>
            <w:r w:rsidRPr="00B45F59">
              <w:rPr>
                <w:b/>
                <w:bCs/>
                <w:sz w:val="16"/>
                <w:szCs w:val="16"/>
              </w:rPr>
              <w:t>Njësitë përgjegjëse:</w:t>
            </w:r>
          </w:p>
          <w:p w14:paraId="4D99E165" w14:textId="5812F01E" w:rsidR="00B9728A" w:rsidRPr="00B45F59" w:rsidRDefault="00B9728A" w:rsidP="00B9728A">
            <w:pPr>
              <w:rPr>
                <w:sz w:val="16"/>
                <w:szCs w:val="16"/>
              </w:rPr>
            </w:pPr>
            <w:r w:rsidRPr="00B45F59">
              <w:rPr>
                <w:sz w:val="16"/>
                <w:szCs w:val="16"/>
              </w:rPr>
              <w:t>DPTH (llider)</w:t>
            </w:r>
            <w:r>
              <w:rPr>
                <w:sz w:val="16"/>
                <w:szCs w:val="16"/>
              </w:rPr>
              <w:t>, AKSHI</w:t>
            </w:r>
          </w:p>
          <w:p w14:paraId="2368B45D" w14:textId="77777777" w:rsidR="00B9728A" w:rsidRPr="00B45F59" w:rsidRDefault="00B9728A" w:rsidP="00B9728A">
            <w:pPr>
              <w:rPr>
                <w:sz w:val="16"/>
                <w:szCs w:val="16"/>
              </w:rPr>
            </w:pPr>
          </w:p>
          <w:p w14:paraId="0F076B6E" w14:textId="35A5CB8F" w:rsidR="00B9728A" w:rsidRPr="00B9728A" w:rsidRDefault="00B9728A" w:rsidP="00B9728A">
            <w:pPr>
              <w:rPr>
                <w:b/>
                <w:bCs/>
                <w:sz w:val="16"/>
                <w:szCs w:val="16"/>
              </w:rPr>
            </w:pPr>
            <w:r w:rsidRPr="00B45F59">
              <w:rPr>
                <w:b/>
                <w:bCs/>
                <w:sz w:val="16"/>
                <w:szCs w:val="16"/>
              </w:rPr>
              <w:t>Partnerët:</w:t>
            </w:r>
          </w:p>
        </w:tc>
      </w:tr>
      <w:tr w:rsidR="00B9728A" w:rsidRPr="00B45F59" w14:paraId="62078BD2" w14:textId="77777777" w:rsidTr="00B9728A">
        <w:trPr>
          <w:trHeight w:val="32"/>
        </w:trPr>
        <w:tc>
          <w:tcPr>
            <w:tcW w:w="2335" w:type="dxa"/>
            <w:vMerge/>
            <w:tcBorders>
              <w:left w:val="single" w:sz="4" w:space="0" w:color="auto"/>
              <w:right w:val="single" w:sz="4" w:space="0" w:color="auto"/>
            </w:tcBorders>
            <w:hideMark/>
          </w:tcPr>
          <w:p w14:paraId="4AEBE8E8" w14:textId="77777777" w:rsidR="00B9728A" w:rsidRPr="00B45F59" w:rsidRDefault="00B9728A" w:rsidP="00B45F59">
            <w:pPr>
              <w:rPr>
                <w:b/>
                <w:bCs/>
                <w:sz w:val="16"/>
                <w:szCs w:val="16"/>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5752EEBC" w14:textId="1E9907E9" w:rsidR="00B9728A" w:rsidRPr="00B9728A" w:rsidRDefault="00B9728A" w:rsidP="00CD7428">
            <w:pPr>
              <w:pStyle w:val="ListParagraph"/>
              <w:numPr>
                <w:ilvl w:val="0"/>
                <w:numId w:val="50"/>
              </w:numPr>
              <w:rPr>
                <w:sz w:val="16"/>
                <w:szCs w:val="16"/>
              </w:rPr>
            </w:pPr>
            <w:r w:rsidRPr="00B9728A">
              <w:rPr>
                <w:sz w:val="16"/>
                <w:szCs w:val="16"/>
              </w:rPr>
              <w:t xml:space="preserve">Automatizimi i procesit të kontrollit para angazhimit të </w:t>
            </w:r>
            <w:r w:rsidRPr="00203791">
              <w:rPr>
                <w:sz w:val="16"/>
                <w:szCs w:val="16"/>
              </w:rPr>
              <w:t>shpenzimeve për institucionet buxhetore që nuk kanë akses në hardware-in e SIFQ dhe me përmirësimin e software-it të SIFQ.</w:t>
            </w:r>
          </w:p>
        </w:tc>
        <w:tc>
          <w:tcPr>
            <w:tcW w:w="735" w:type="dxa"/>
            <w:tcBorders>
              <w:top w:val="single" w:sz="4" w:space="0" w:color="auto"/>
              <w:left w:val="single" w:sz="4" w:space="0" w:color="auto"/>
              <w:bottom w:val="single" w:sz="4" w:space="0" w:color="auto"/>
              <w:right w:val="single" w:sz="4" w:space="0" w:color="auto"/>
            </w:tcBorders>
            <w:vAlign w:val="center"/>
            <w:hideMark/>
          </w:tcPr>
          <w:p w14:paraId="239D9610" w14:textId="77777777" w:rsidR="00B9728A" w:rsidRPr="00B45F59" w:rsidRDefault="00B9728A" w:rsidP="00B45F59">
            <w:pPr>
              <w:jc w:val="center"/>
              <w:rPr>
                <w:sz w:val="16"/>
                <w:szCs w:val="16"/>
              </w:rPr>
            </w:pPr>
            <w:r w:rsidRPr="00B45F59">
              <w:rPr>
                <w:sz w:val="16"/>
                <w:szCs w:val="16"/>
              </w:rPr>
              <w:t>T3 2024</w:t>
            </w:r>
          </w:p>
        </w:tc>
        <w:tc>
          <w:tcPr>
            <w:tcW w:w="746" w:type="dxa"/>
            <w:tcBorders>
              <w:top w:val="single" w:sz="4" w:space="0" w:color="auto"/>
              <w:left w:val="single" w:sz="4" w:space="0" w:color="auto"/>
              <w:bottom w:val="single" w:sz="4" w:space="0" w:color="auto"/>
              <w:right w:val="single" w:sz="4" w:space="0" w:color="auto"/>
            </w:tcBorders>
            <w:vAlign w:val="center"/>
          </w:tcPr>
          <w:p w14:paraId="6F92AFA3" w14:textId="77777777" w:rsidR="00B9728A" w:rsidRPr="00B45F59" w:rsidRDefault="00B9728A" w:rsidP="00B45F59">
            <w:pPr>
              <w:jc w:val="center"/>
              <w:rPr>
                <w:sz w:val="16"/>
                <w:szCs w:val="16"/>
              </w:rPr>
            </w:pPr>
            <w:r w:rsidRPr="00B45F59">
              <w:rPr>
                <w:sz w:val="16"/>
                <w:szCs w:val="16"/>
              </w:rPr>
              <w:t>T4 2026</w:t>
            </w:r>
          </w:p>
        </w:tc>
        <w:tc>
          <w:tcPr>
            <w:tcW w:w="1345" w:type="dxa"/>
            <w:vMerge w:val="restart"/>
            <w:tcBorders>
              <w:top w:val="single" w:sz="4" w:space="0" w:color="auto"/>
              <w:left w:val="single" w:sz="4" w:space="0" w:color="auto"/>
              <w:bottom w:val="single" w:sz="4" w:space="0" w:color="auto"/>
              <w:right w:val="single" w:sz="4" w:space="0" w:color="auto"/>
            </w:tcBorders>
          </w:tcPr>
          <w:p w14:paraId="57D56020" w14:textId="30231495" w:rsidR="00B9728A" w:rsidRDefault="00B9728A" w:rsidP="00B9728A">
            <w:pPr>
              <w:rPr>
                <w:b/>
                <w:bCs/>
                <w:sz w:val="16"/>
                <w:szCs w:val="16"/>
              </w:rPr>
            </w:pPr>
          </w:p>
          <w:p w14:paraId="6968F986" w14:textId="77777777" w:rsidR="00B9728A" w:rsidRPr="00B45F59" w:rsidRDefault="00B9728A" w:rsidP="00B45F59">
            <w:pPr>
              <w:rPr>
                <w:b/>
                <w:bCs/>
                <w:sz w:val="16"/>
                <w:szCs w:val="16"/>
              </w:rPr>
            </w:pPr>
            <w:r w:rsidRPr="00B45F59">
              <w:rPr>
                <w:b/>
                <w:bCs/>
                <w:sz w:val="16"/>
                <w:szCs w:val="16"/>
              </w:rPr>
              <w:t>Njësitë përgjegjëse:</w:t>
            </w:r>
          </w:p>
          <w:p w14:paraId="7B396683" w14:textId="77777777" w:rsidR="00B9728A" w:rsidRPr="00B45F59" w:rsidRDefault="00B9728A" w:rsidP="00B45F59">
            <w:pPr>
              <w:rPr>
                <w:sz w:val="16"/>
                <w:szCs w:val="16"/>
              </w:rPr>
            </w:pPr>
            <w:r w:rsidRPr="00B45F59">
              <w:rPr>
                <w:sz w:val="16"/>
                <w:szCs w:val="16"/>
              </w:rPr>
              <w:t>DPTH (lider), DHMFKK</w:t>
            </w:r>
          </w:p>
          <w:p w14:paraId="641EB1D0" w14:textId="77777777" w:rsidR="00B9728A" w:rsidRPr="00B45F59" w:rsidRDefault="00B9728A" w:rsidP="00B45F59">
            <w:pPr>
              <w:rPr>
                <w:sz w:val="16"/>
                <w:szCs w:val="16"/>
              </w:rPr>
            </w:pPr>
          </w:p>
          <w:p w14:paraId="08986D14" w14:textId="77777777" w:rsidR="00B9728A" w:rsidRPr="00B45F59" w:rsidRDefault="00B9728A" w:rsidP="00B45F59">
            <w:pPr>
              <w:rPr>
                <w:b/>
                <w:bCs/>
                <w:sz w:val="16"/>
                <w:szCs w:val="16"/>
              </w:rPr>
            </w:pPr>
            <w:r w:rsidRPr="00B45F59">
              <w:rPr>
                <w:b/>
                <w:bCs/>
                <w:sz w:val="16"/>
                <w:szCs w:val="16"/>
              </w:rPr>
              <w:t>Partnerët:</w:t>
            </w:r>
          </w:p>
          <w:p w14:paraId="5A9D5D0C" w14:textId="347EED9D" w:rsidR="00B9728A" w:rsidRPr="00B45F59" w:rsidRDefault="00B9728A" w:rsidP="00B45F59">
            <w:pPr>
              <w:rPr>
                <w:sz w:val="16"/>
                <w:szCs w:val="16"/>
              </w:rPr>
            </w:pPr>
          </w:p>
        </w:tc>
      </w:tr>
      <w:tr w:rsidR="00B9728A" w:rsidRPr="00B45F59" w14:paraId="5B5C0F3A" w14:textId="77777777" w:rsidTr="00B9728A">
        <w:trPr>
          <w:trHeight w:val="20"/>
        </w:trPr>
        <w:tc>
          <w:tcPr>
            <w:tcW w:w="2335" w:type="dxa"/>
            <w:vMerge/>
            <w:tcBorders>
              <w:left w:val="single" w:sz="4" w:space="0" w:color="auto"/>
              <w:bottom w:val="single" w:sz="4" w:space="0" w:color="auto"/>
              <w:right w:val="single" w:sz="4" w:space="0" w:color="auto"/>
            </w:tcBorders>
            <w:vAlign w:val="center"/>
            <w:hideMark/>
          </w:tcPr>
          <w:p w14:paraId="568BD7CC" w14:textId="77777777" w:rsidR="00B9728A" w:rsidRPr="00B45F59" w:rsidRDefault="00B9728A" w:rsidP="00B45F59">
            <w:pPr>
              <w:spacing w:line="240" w:lineRule="auto"/>
              <w:rPr>
                <w:b/>
                <w:bCs/>
                <w:sz w:val="16"/>
                <w:szCs w:val="16"/>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4DE28526" w14:textId="77777777" w:rsidR="00B9728A" w:rsidRPr="009D660E" w:rsidRDefault="00B9728A" w:rsidP="00CD7428">
            <w:pPr>
              <w:numPr>
                <w:ilvl w:val="0"/>
                <w:numId w:val="50"/>
              </w:numPr>
              <w:contextualSpacing/>
              <w:rPr>
                <w:sz w:val="16"/>
                <w:szCs w:val="16"/>
                <w:lang w:val="it-IT"/>
              </w:rPr>
            </w:pPr>
            <w:r w:rsidRPr="009D660E">
              <w:rPr>
                <w:sz w:val="16"/>
                <w:szCs w:val="16"/>
                <w:lang w:val="it-IT"/>
              </w:rPr>
              <w:t>Sigurimi i ndërveprimit me sistemin e fiskalizimit për të përmirësuar kontrollet e brendshme për të parandaluar detyrimet e prapambetura.</w:t>
            </w:r>
          </w:p>
        </w:tc>
        <w:tc>
          <w:tcPr>
            <w:tcW w:w="735" w:type="dxa"/>
            <w:tcBorders>
              <w:top w:val="single" w:sz="4" w:space="0" w:color="auto"/>
              <w:left w:val="single" w:sz="4" w:space="0" w:color="auto"/>
              <w:bottom w:val="single" w:sz="4" w:space="0" w:color="auto"/>
              <w:right w:val="single" w:sz="4" w:space="0" w:color="auto"/>
            </w:tcBorders>
            <w:vAlign w:val="center"/>
            <w:hideMark/>
          </w:tcPr>
          <w:p w14:paraId="061AED0F" w14:textId="77777777" w:rsidR="00B9728A" w:rsidRPr="00B45F59" w:rsidRDefault="00B9728A" w:rsidP="00B45F59">
            <w:pPr>
              <w:jc w:val="center"/>
              <w:rPr>
                <w:sz w:val="16"/>
                <w:szCs w:val="16"/>
              </w:rPr>
            </w:pPr>
            <w:r w:rsidRPr="00B45F59">
              <w:rPr>
                <w:sz w:val="16"/>
                <w:szCs w:val="16"/>
              </w:rPr>
              <w:t>T3 2024</w:t>
            </w:r>
          </w:p>
        </w:tc>
        <w:tc>
          <w:tcPr>
            <w:tcW w:w="746" w:type="dxa"/>
            <w:tcBorders>
              <w:top w:val="single" w:sz="4" w:space="0" w:color="auto"/>
              <w:left w:val="single" w:sz="4" w:space="0" w:color="auto"/>
              <w:bottom w:val="single" w:sz="4" w:space="0" w:color="auto"/>
              <w:right w:val="single" w:sz="4" w:space="0" w:color="auto"/>
            </w:tcBorders>
            <w:vAlign w:val="center"/>
          </w:tcPr>
          <w:p w14:paraId="5204FB4A" w14:textId="77777777" w:rsidR="00B9728A" w:rsidRPr="00B45F59" w:rsidRDefault="00B9728A" w:rsidP="00B45F59">
            <w:pPr>
              <w:jc w:val="center"/>
              <w:rPr>
                <w:sz w:val="16"/>
                <w:szCs w:val="16"/>
              </w:rPr>
            </w:pPr>
            <w:r w:rsidRPr="00B45F59">
              <w:rPr>
                <w:sz w:val="16"/>
                <w:szCs w:val="16"/>
              </w:rPr>
              <w:t>T4 2026</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2429317B" w14:textId="77777777" w:rsidR="00B9728A" w:rsidRPr="00B45F59" w:rsidRDefault="00B9728A" w:rsidP="00B45F59">
            <w:pPr>
              <w:spacing w:line="240" w:lineRule="auto"/>
              <w:rPr>
                <w:sz w:val="16"/>
                <w:szCs w:val="16"/>
              </w:rPr>
            </w:pPr>
          </w:p>
        </w:tc>
      </w:tr>
      <w:tr w:rsidR="00B45F59" w:rsidRPr="00B45F59" w14:paraId="33EFF707" w14:textId="77777777" w:rsidTr="00B9728A">
        <w:trPr>
          <w:trHeight w:val="32"/>
        </w:trPr>
        <w:tc>
          <w:tcPr>
            <w:tcW w:w="2335" w:type="dxa"/>
            <w:vMerge w:val="restart"/>
            <w:tcBorders>
              <w:top w:val="single" w:sz="4" w:space="0" w:color="auto"/>
              <w:left w:val="single" w:sz="4" w:space="0" w:color="auto"/>
              <w:right w:val="single" w:sz="4" w:space="0" w:color="auto"/>
            </w:tcBorders>
          </w:tcPr>
          <w:p w14:paraId="75C11236" w14:textId="765F00A2" w:rsidR="00B45F59" w:rsidRPr="00B45F59" w:rsidRDefault="00B9728A" w:rsidP="00B45F59">
            <w:pPr>
              <w:rPr>
                <w:b/>
                <w:bCs/>
                <w:sz w:val="16"/>
                <w:szCs w:val="16"/>
              </w:rPr>
            </w:pPr>
            <w:r>
              <w:rPr>
                <w:b/>
                <w:bCs/>
                <w:sz w:val="16"/>
                <w:szCs w:val="16"/>
              </w:rPr>
              <w:t>Masa 4.2.2</w:t>
            </w:r>
            <w:r w:rsidR="00B45F59" w:rsidRPr="00B45F59">
              <w:rPr>
                <w:b/>
                <w:bCs/>
                <w:sz w:val="16"/>
                <w:szCs w:val="16"/>
              </w:rPr>
              <w:t xml:space="preserve"> Zhvillimi i kuadrit ligjor dhe rregullator për reformat e kontabilitetit</w:t>
            </w:r>
          </w:p>
          <w:p w14:paraId="0AE4A246" w14:textId="77777777" w:rsidR="00B45F59" w:rsidRPr="00B45F59" w:rsidRDefault="00B45F59" w:rsidP="00B45F59">
            <w:pPr>
              <w:rPr>
                <w:b/>
                <w:bCs/>
                <w:sz w:val="16"/>
                <w:szCs w:val="16"/>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00320644" w14:textId="77777777" w:rsidR="00B45F59" w:rsidRPr="009D660E" w:rsidRDefault="00B45F59" w:rsidP="00CD7428">
            <w:pPr>
              <w:numPr>
                <w:ilvl w:val="0"/>
                <w:numId w:val="51"/>
              </w:numPr>
              <w:spacing w:line="264" w:lineRule="auto"/>
              <w:rPr>
                <w:sz w:val="16"/>
                <w:szCs w:val="16"/>
                <w:lang w:val="it-IT"/>
              </w:rPr>
            </w:pPr>
            <w:r w:rsidRPr="009D660E">
              <w:rPr>
                <w:sz w:val="16"/>
                <w:szCs w:val="16"/>
                <w:lang w:val="it-IT"/>
              </w:rPr>
              <w:t>Hartimi dhe miratimi i një ligji të ri të kontabilitetit publik që prezanton reformat e kontabilitetit.</w:t>
            </w:r>
          </w:p>
        </w:tc>
        <w:tc>
          <w:tcPr>
            <w:tcW w:w="735" w:type="dxa"/>
            <w:tcBorders>
              <w:top w:val="single" w:sz="4" w:space="0" w:color="auto"/>
              <w:left w:val="single" w:sz="4" w:space="0" w:color="auto"/>
              <w:bottom w:val="single" w:sz="4" w:space="0" w:color="auto"/>
              <w:right w:val="single" w:sz="4" w:space="0" w:color="auto"/>
            </w:tcBorders>
            <w:vAlign w:val="center"/>
            <w:hideMark/>
          </w:tcPr>
          <w:p w14:paraId="1A26FFF9" w14:textId="77777777" w:rsidR="00B45F59" w:rsidRPr="00B45F59" w:rsidRDefault="00B45F59" w:rsidP="00B45F59">
            <w:pPr>
              <w:jc w:val="center"/>
              <w:rPr>
                <w:sz w:val="16"/>
                <w:szCs w:val="16"/>
              </w:rPr>
            </w:pPr>
            <w:r w:rsidRPr="00B45F59">
              <w:rPr>
                <w:sz w:val="16"/>
                <w:szCs w:val="16"/>
              </w:rPr>
              <w:t>T1 2024</w:t>
            </w:r>
          </w:p>
        </w:tc>
        <w:tc>
          <w:tcPr>
            <w:tcW w:w="746" w:type="dxa"/>
            <w:tcBorders>
              <w:top w:val="single" w:sz="4" w:space="0" w:color="auto"/>
              <w:left w:val="single" w:sz="4" w:space="0" w:color="auto"/>
              <w:bottom w:val="single" w:sz="4" w:space="0" w:color="auto"/>
              <w:right w:val="single" w:sz="4" w:space="0" w:color="auto"/>
            </w:tcBorders>
            <w:vAlign w:val="center"/>
            <w:hideMark/>
          </w:tcPr>
          <w:p w14:paraId="6536BFCF" w14:textId="77777777" w:rsidR="00B45F59" w:rsidRPr="00B45F59" w:rsidRDefault="00B45F59" w:rsidP="00B45F59">
            <w:pPr>
              <w:jc w:val="center"/>
              <w:rPr>
                <w:sz w:val="16"/>
                <w:szCs w:val="16"/>
              </w:rPr>
            </w:pPr>
            <w:r w:rsidRPr="00B45F59">
              <w:rPr>
                <w:sz w:val="16"/>
                <w:szCs w:val="16"/>
              </w:rPr>
              <w:t>T4 2026</w:t>
            </w:r>
          </w:p>
        </w:tc>
        <w:tc>
          <w:tcPr>
            <w:tcW w:w="1345" w:type="dxa"/>
            <w:vMerge w:val="restart"/>
            <w:tcBorders>
              <w:top w:val="single" w:sz="4" w:space="0" w:color="auto"/>
              <w:left w:val="single" w:sz="4" w:space="0" w:color="auto"/>
              <w:right w:val="single" w:sz="4" w:space="0" w:color="auto"/>
            </w:tcBorders>
          </w:tcPr>
          <w:p w14:paraId="006953EE" w14:textId="77777777" w:rsidR="00B45F59" w:rsidRPr="00B45F59" w:rsidRDefault="00B45F59" w:rsidP="00B45F59">
            <w:pPr>
              <w:rPr>
                <w:b/>
                <w:bCs/>
                <w:sz w:val="16"/>
                <w:szCs w:val="16"/>
              </w:rPr>
            </w:pPr>
            <w:r w:rsidRPr="00B45F59">
              <w:rPr>
                <w:b/>
                <w:bCs/>
                <w:sz w:val="16"/>
                <w:szCs w:val="16"/>
              </w:rPr>
              <w:t>Njësitë përgjegjëse:</w:t>
            </w:r>
          </w:p>
          <w:p w14:paraId="63C59472" w14:textId="77777777" w:rsidR="00B45F59" w:rsidRPr="00B45F59" w:rsidRDefault="00B45F59" w:rsidP="00B45F59">
            <w:pPr>
              <w:rPr>
                <w:sz w:val="16"/>
                <w:szCs w:val="16"/>
              </w:rPr>
            </w:pPr>
            <w:r w:rsidRPr="00B45F59">
              <w:rPr>
                <w:sz w:val="16"/>
                <w:szCs w:val="16"/>
              </w:rPr>
              <w:t>DHMFKK (lider), DPTH</w:t>
            </w:r>
          </w:p>
          <w:p w14:paraId="2DDCC217" w14:textId="77777777" w:rsidR="00B45F59" w:rsidRPr="00B45F59" w:rsidRDefault="00B45F59" w:rsidP="00B45F59">
            <w:pPr>
              <w:rPr>
                <w:sz w:val="16"/>
                <w:szCs w:val="16"/>
              </w:rPr>
            </w:pPr>
          </w:p>
          <w:p w14:paraId="090ECB12" w14:textId="77777777" w:rsidR="00B45F59" w:rsidRPr="00B45F59" w:rsidRDefault="00B45F59" w:rsidP="00B45F59">
            <w:pPr>
              <w:rPr>
                <w:b/>
                <w:bCs/>
                <w:sz w:val="16"/>
                <w:szCs w:val="16"/>
              </w:rPr>
            </w:pPr>
            <w:r w:rsidRPr="00B45F59">
              <w:rPr>
                <w:b/>
                <w:bCs/>
                <w:sz w:val="16"/>
                <w:szCs w:val="16"/>
              </w:rPr>
              <w:t>Partnerët:</w:t>
            </w:r>
          </w:p>
          <w:p w14:paraId="1791156F" w14:textId="77777777" w:rsidR="00B45F59" w:rsidRPr="00B45F59" w:rsidRDefault="00B45F59" w:rsidP="00B45F59">
            <w:pPr>
              <w:rPr>
                <w:sz w:val="16"/>
                <w:szCs w:val="16"/>
              </w:rPr>
            </w:pPr>
            <w:r w:rsidRPr="00B45F59">
              <w:rPr>
                <w:sz w:val="16"/>
                <w:szCs w:val="16"/>
              </w:rPr>
              <w:t>Banka Botërore, SECO</w:t>
            </w:r>
          </w:p>
        </w:tc>
      </w:tr>
      <w:tr w:rsidR="00B45F59" w:rsidRPr="00B45F59" w14:paraId="3C87F2BB" w14:textId="77777777" w:rsidTr="00B9728A">
        <w:trPr>
          <w:trHeight w:val="607"/>
        </w:trPr>
        <w:tc>
          <w:tcPr>
            <w:tcW w:w="2335" w:type="dxa"/>
            <w:vMerge/>
            <w:tcBorders>
              <w:left w:val="single" w:sz="4" w:space="0" w:color="auto"/>
              <w:right w:val="single" w:sz="4" w:space="0" w:color="auto"/>
            </w:tcBorders>
            <w:vAlign w:val="center"/>
            <w:hideMark/>
          </w:tcPr>
          <w:p w14:paraId="17E487C2" w14:textId="77777777" w:rsidR="00B45F59" w:rsidRPr="00B45F59" w:rsidRDefault="00B45F59" w:rsidP="00B45F59">
            <w:pPr>
              <w:spacing w:line="240" w:lineRule="auto"/>
              <w:rPr>
                <w:b/>
                <w:bCs/>
                <w:sz w:val="16"/>
                <w:szCs w:val="16"/>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3538EA81" w14:textId="77777777" w:rsidR="00B45F59" w:rsidRPr="00B45F59" w:rsidRDefault="00B45F59" w:rsidP="00CD7428">
            <w:pPr>
              <w:numPr>
                <w:ilvl w:val="0"/>
                <w:numId w:val="51"/>
              </w:numPr>
              <w:contextualSpacing/>
              <w:rPr>
                <w:sz w:val="16"/>
                <w:szCs w:val="16"/>
              </w:rPr>
            </w:pPr>
            <w:r w:rsidRPr="00B45F59">
              <w:rPr>
                <w:sz w:val="16"/>
                <w:szCs w:val="16"/>
              </w:rPr>
              <w:t>Hartimi i udhëzimeve/akteve nënligjore që mbulojnë të gjitha SNKSP e miratuara dhe hartimi i manualeve për çdo akt nënligjor.</w:t>
            </w:r>
          </w:p>
        </w:tc>
        <w:tc>
          <w:tcPr>
            <w:tcW w:w="735" w:type="dxa"/>
            <w:tcBorders>
              <w:top w:val="single" w:sz="4" w:space="0" w:color="auto"/>
              <w:left w:val="single" w:sz="4" w:space="0" w:color="auto"/>
              <w:bottom w:val="single" w:sz="4" w:space="0" w:color="auto"/>
              <w:right w:val="single" w:sz="4" w:space="0" w:color="auto"/>
            </w:tcBorders>
            <w:vAlign w:val="center"/>
            <w:hideMark/>
          </w:tcPr>
          <w:p w14:paraId="63892636" w14:textId="77777777" w:rsidR="00B45F59" w:rsidRPr="00B45F59" w:rsidRDefault="00B45F59" w:rsidP="00B45F59">
            <w:pPr>
              <w:jc w:val="center"/>
              <w:rPr>
                <w:sz w:val="16"/>
                <w:szCs w:val="16"/>
              </w:rPr>
            </w:pPr>
            <w:r w:rsidRPr="00B45F59">
              <w:rPr>
                <w:sz w:val="16"/>
                <w:szCs w:val="16"/>
              </w:rPr>
              <w:t>T1 2024</w:t>
            </w:r>
          </w:p>
        </w:tc>
        <w:tc>
          <w:tcPr>
            <w:tcW w:w="746" w:type="dxa"/>
            <w:tcBorders>
              <w:top w:val="single" w:sz="4" w:space="0" w:color="auto"/>
              <w:left w:val="single" w:sz="4" w:space="0" w:color="auto"/>
              <w:bottom w:val="single" w:sz="4" w:space="0" w:color="auto"/>
              <w:right w:val="single" w:sz="4" w:space="0" w:color="auto"/>
            </w:tcBorders>
            <w:vAlign w:val="center"/>
            <w:hideMark/>
          </w:tcPr>
          <w:p w14:paraId="1F8BCD2C" w14:textId="77777777" w:rsidR="00B45F59" w:rsidRPr="00B45F59" w:rsidRDefault="00B45F59" w:rsidP="00B45F59">
            <w:pPr>
              <w:jc w:val="center"/>
              <w:rPr>
                <w:sz w:val="16"/>
                <w:szCs w:val="16"/>
              </w:rPr>
            </w:pPr>
            <w:r w:rsidRPr="00B45F59">
              <w:rPr>
                <w:sz w:val="16"/>
                <w:szCs w:val="16"/>
              </w:rPr>
              <w:t>T4 2026</w:t>
            </w:r>
          </w:p>
        </w:tc>
        <w:tc>
          <w:tcPr>
            <w:tcW w:w="1345" w:type="dxa"/>
            <w:vMerge/>
            <w:tcBorders>
              <w:left w:val="single" w:sz="4" w:space="0" w:color="auto"/>
              <w:right w:val="single" w:sz="4" w:space="0" w:color="auto"/>
            </w:tcBorders>
            <w:vAlign w:val="center"/>
            <w:hideMark/>
          </w:tcPr>
          <w:p w14:paraId="514AC582" w14:textId="77777777" w:rsidR="00B45F59" w:rsidRPr="00B45F59" w:rsidRDefault="00B45F59" w:rsidP="00B45F59">
            <w:pPr>
              <w:spacing w:line="240" w:lineRule="auto"/>
              <w:rPr>
                <w:sz w:val="16"/>
                <w:szCs w:val="16"/>
              </w:rPr>
            </w:pPr>
          </w:p>
        </w:tc>
      </w:tr>
      <w:tr w:rsidR="00B45F59" w:rsidRPr="00B45F59" w14:paraId="41D493E6" w14:textId="77777777" w:rsidTr="00B9728A">
        <w:trPr>
          <w:trHeight w:val="607"/>
        </w:trPr>
        <w:tc>
          <w:tcPr>
            <w:tcW w:w="2335" w:type="dxa"/>
            <w:vMerge/>
            <w:tcBorders>
              <w:left w:val="single" w:sz="4" w:space="0" w:color="auto"/>
              <w:bottom w:val="single" w:sz="4" w:space="0" w:color="auto"/>
              <w:right w:val="single" w:sz="4" w:space="0" w:color="auto"/>
            </w:tcBorders>
            <w:vAlign w:val="center"/>
          </w:tcPr>
          <w:p w14:paraId="4677B5FE" w14:textId="77777777" w:rsidR="00B45F59" w:rsidRPr="00B45F59" w:rsidRDefault="00B45F59" w:rsidP="00B45F59">
            <w:pPr>
              <w:spacing w:line="240" w:lineRule="auto"/>
              <w:rPr>
                <w:b/>
                <w:bCs/>
                <w:sz w:val="16"/>
                <w:szCs w:val="16"/>
              </w:rPr>
            </w:pPr>
          </w:p>
        </w:tc>
        <w:tc>
          <w:tcPr>
            <w:tcW w:w="3855" w:type="dxa"/>
            <w:tcBorders>
              <w:top w:val="single" w:sz="4" w:space="0" w:color="auto"/>
              <w:left w:val="single" w:sz="4" w:space="0" w:color="auto"/>
              <w:bottom w:val="single" w:sz="4" w:space="0" w:color="auto"/>
              <w:right w:val="single" w:sz="4" w:space="0" w:color="auto"/>
            </w:tcBorders>
            <w:vAlign w:val="center"/>
          </w:tcPr>
          <w:p w14:paraId="798DA4BE" w14:textId="77777777" w:rsidR="00B45F59" w:rsidRPr="00B45F59" w:rsidRDefault="00B45F59" w:rsidP="00CD7428">
            <w:pPr>
              <w:numPr>
                <w:ilvl w:val="0"/>
                <w:numId w:val="51"/>
              </w:numPr>
              <w:contextualSpacing/>
              <w:rPr>
                <w:sz w:val="16"/>
                <w:szCs w:val="16"/>
              </w:rPr>
            </w:pPr>
            <w:r w:rsidRPr="00B45F59">
              <w:rPr>
                <w:sz w:val="16"/>
                <w:szCs w:val="16"/>
              </w:rPr>
              <w:t>Të ndihmohen institucionet buxhetore në hartimin e bilanceve të hapjes dhe zbatimin e kuadrit të ri të kontabilitetit</w:t>
            </w:r>
            <w:r w:rsidRPr="00B45F59">
              <w:rPr>
                <w:szCs w:val="14"/>
                <w:vertAlign w:val="superscript"/>
              </w:rPr>
              <w:t xml:space="preserve"> </w:t>
            </w:r>
            <w:r w:rsidRPr="00B45F59">
              <w:rPr>
                <w:szCs w:val="14"/>
                <w:vertAlign w:val="superscript"/>
              </w:rPr>
              <w:footnoteReference w:id="50"/>
            </w:r>
            <w:r w:rsidRPr="00B45F59">
              <w:rPr>
                <w:sz w:val="16"/>
                <w:szCs w:val="16"/>
              </w:rPr>
              <w:t>.</w:t>
            </w:r>
          </w:p>
        </w:tc>
        <w:tc>
          <w:tcPr>
            <w:tcW w:w="735" w:type="dxa"/>
            <w:tcBorders>
              <w:top w:val="single" w:sz="4" w:space="0" w:color="auto"/>
              <w:left w:val="single" w:sz="4" w:space="0" w:color="auto"/>
              <w:bottom w:val="single" w:sz="4" w:space="0" w:color="auto"/>
              <w:right w:val="single" w:sz="4" w:space="0" w:color="auto"/>
            </w:tcBorders>
            <w:vAlign w:val="center"/>
          </w:tcPr>
          <w:p w14:paraId="49F5F433" w14:textId="77777777" w:rsidR="00B45F59" w:rsidRPr="00B45F59" w:rsidRDefault="00B45F59" w:rsidP="00B45F59">
            <w:pPr>
              <w:jc w:val="center"/>
              <w:rPr>
                <w:sz w:val="16"/>
                <w:szCs w:val="16"/>
              </w:rPr>
            </w:pPr>
            <w:r w:rsidRPr="00B45F59">
              <w:rPr>
                <w:sz w:val="16"/>
                <w:szCs w:val="16"/>
              </w:rPr>
              <w:t>T1 2025</w:t>
            </w:r>
          </w:p>
        </w:tc>
        <w:tc>
          <w:tcPr>
            <w:tcW w:w="746" w:type="dxa"/>
            <w:tcBorders>
              <w:top w:val="single" w:sz="4" w:space="0" w:color="auto"/>
              <w:left w:val="single" w:sz="4" w:space="0" w:color="auto"/>
              <w:bottom w:val="single" w:sz="4" w:space="0" w:color="auto"/>
              <w:right w:val="single" w:sz="4" w:space="0" w:color="auto"/>
            </w:tcBorders>
            <w:vAlign w:val="center"/>
          </w:tcPr>
          <w:p w14:paraId="7BA62702" w14:textId="77777777" w:rsidR="00B45F59" w:rsidRPr="00B45F59" w:rsidRDefault="00B45F59" w:rsidP="00B45F59">
            <w:pPr>
              <w:jc w:val="center"/>
              <w:rPr>
                <w:sz w:val="16"/>
                <w:szCs w:val="16"/>
              </w:rPr>
            </w:pPr>
            <w:r w:rsidRPr="00B45F59">
              <w:rPr>
                <w:sz w:val="16"/>
                <w:szCs w:val="16"/>
              </w:rPr>
              <w:t>T4 2026</w:t>
            </w:r>
          </w:p>
        </w:tc>
        <w:tc>
          <w:tcPr>
            <w:tcW w:w="1345" w:type="dxa"/>
            <w:vMerge/>
            <w:tcBorders>
              <w:left w:val="single" w:sz="4" w:space="0" w:color="auto"/>
              <w:bottom w:val="single" w:sz="4" w:space="0" w:color="auto"/>
              <w:right w:val="single" w:sz="4" w:space="0" w:color="auto"/>
            </w:tcBorders>
            <w:vAlign w:val="center"/>
          </w:tcPr>
          <w:p w14:paraId="303379CE" w14:textId="77777777" w:rsidR="00B45F59" w:rsidRPr="00B45F59" w:rsidRDefault="00B45F59" w:rsidP="00B45F59">
            <w:pPr>
              <w:spacing w:line="240" w:lineRule="auto"/>
              <w:rPr>
                <w:sz w:val="16"/>
                <w:szCs w:val="16"/>
              </w:rPr>
            </w:pPr>
          </w:p>
        </w:tc>
      </w:tr>
      <w:tr w:rsidR="00B45F59" w:rsidRPr="00B45F59" w14:paraId="5A7223AE" w14:textId="77777777" w:rsidTr="00B9728A">
        <w:trPr>
          <w:trHeight w:val="180"/>
        </w:trPr>
        <w:tc>
          <w:tcPr>
            <w:tcW w:w="2335" w:type="dxa"/>
            <w:vMerge w:val="restart"/>
            <w:tcBorders>
              <w:top w:val="single" w:sz="4" w:space="0" w:color="auto"/>
              <w:left w:val="single" w:sz="4" w:space="0" w:color="auto"/>
              <w:bottom w:val="single" w:sz="4" w:space="0" w:color="auto"/>
              <w:right w:val="single" w:sz="4" w:space="0" w:color="auto"/>
            </w:tcBorders>
          </w:tcPr>
          <w:p w14:paraId="133AC403" w14:textId="1108D4E0" w:rsidR="00B45F59" w:rsidRPr="009D660E" w:rsidRDefault="00B9728A" w:rsidP="00B45F59">
            <w:pPr>
              <w:spacing w:line="264" w:lineRule="auto"/>
              <w:rPr>
                <w:b/>
                <w:bCs/>
                <w:sz w:val="16"/>
                <w:szCs w:val="16"/>
                <w:lang w:val="it-IT"/>
              </w:rPr>
            </w:pPr>
            <w:r w:rsidRPr="009D660E">
              <w:rPr>
                <w:b/>
                <w:bCs/>
                <w:sz w:val="16"/>
                <w:szCs w:val="16"/>
                <w:lang w:val="it-IT"/>
              </w:rPr>
              <w:t>Masa 4.2.3</w:t>
            </w:r>
            <w:r w:rsidR="00B45F59" w:rsidRPr="009D660E">
              <w:rPr>
                <w:b/>
                <w:bCs/>
                <w:sz w:val="16"/>
                <w:szCs w:val="16"/>
                <w:lang w:val="it-IT"/>
              </w:rPr>
              <w:t xml:space="preserve"> Përmirësimi i funksionaliteteve të SIFQ për të absorbuar reformat e kontabilitetit</w:t>
            </w:r>
          </w:p>
        </w:tc>
        <w:tc>
          <w:tcPr>
            <w:tcW w:w="3855" w:type="dxa"/>
            <w:tcBorders>
              <w:top w:val="single" w:sz="4" w:space="0" w:color="auto"/>
              <w:left w:val="single" w:sz="4" w:space="0" w:color="auto"/>
              <w:bottom w:val="single" w:sz="4" w:space="0" w:color="auto"/>
              <w:right w:val="single" w:sz="4" w:space="0" w:color="auto"/>
            </w:tcBorders>
            <w:hideMark/>
          </w:tcPr>
          <w:p w14:paraId="507E5851" w14:textId="77777777" w:rsidR="00B45F59" w:rsidRPr="009D660E" w:rsidRDefault="00B45F59" w:rsidP="00CD7428">
            <w:pPr>
              <w:numPr>
                <w:ilvl w:val="0"/>
                <w:numId w:val="52"/>
              </w:numPr>
              <w:contextualSpacing/>
              <w:rPr>
                <w:sz w:val="16"/>
                <w:szCs w:val="16"/>
                <w:lang w:val="it-IT"/>
              </w:rPr>
            </w:pPr>
            <w:r w:rsidRPr="009D660E">
              <w:rPr>
                <w:sz w:val="16"/>
                <w:szCs w:val="16"/>
                <w:lang w:val="it-IT"/>
              </w:rPr>
              <w:t>Përgatitja e dokumentit të kërkesave funksionale dhe planit të përmirësimit të SIFQ për të absorbuar reformat e planifikuara të kontabilitetit.</w:t>
            </w:r>
          </w:p>
        </w:tc>
        <w:tc>
          <w:tcPr>
            <w:tcW w:w="735" w:type="dxa"/>
            <w:tcBorders>
              <w:top w:val="single" w:sz="4" w:space="0" w:color="auto"/>
              <w:left w:val="single" w:sz="4" w:space="0" w:color="auto"/>
              <w:bottom w:val="single" w:sz="4" w:space="0" w:color="auto"/>
              <w:right w:val="single" w:sz="4" w:space="0" w:color="auto"/>
            </w:tcBorders>
            <w:vAlign w:val="center"/>
            <w:hideMark/>
          </w:tcPr>
          <w:p w14:paraId="1A0F023B" w14:textId="77777777" w:rsidR="00B45F59" w:rsidRPr="00B45F59" w:rsidRDefault="00B45F59" w:rsidP="00B45F59">
            <w:pPr>
              <w:jc w:val="center"/>
              <w:rPr>
                <w:sz w:val="16"/>
                <w:szCs w:val="16"/>
              </w:rPr>
            </w:pPr>
            <w:r w:rsidRPr="00B45F59">
              <w:rPr>
                <w:sz w:val="16"/>
                <w:szCs w:val="16"/>
              </w:rPr>
              <w:t>T3 2024</w:t>
            </w:r>
          </w:p>
        </w:tc>
        <w:tc>
          <w:tcPr>
            <w:tcW w:w="746" w:type="dxa"/>
            <w:tcBorders>
              <w:top w:val="single" w:sz="4" w:space="0" w:color="auto"/>
              <w:left w:val="single" w:sz="4" w:space="0" w:color="auto"/>
              <w:bottom w:val="single" w:sz="4" w:space="0" w:color="auto"/>
              <w:right w:val="single" w:sz="4" w:space="0" w:color="auto"/>
            </w:tcBorders>
            <w:vAlign w:val="center"/>
            <w:hideMark/>
          </w:tcPr>
          <w:p w14:paraId="4CD54D00" w14:textId="77777777" w:rsidR="00B45F59" w:rsidRPr="00B45F59" w:rsidRDefault="00B45F59" w:rsidP="00B45F59">
            <w:pPr>
              <w:jc w:val="center"/>
              <w:rPr>
                <w:sz w:val="16"/>
                <w:szCs w:val="16"/>
              </w:rPr>
            </w:pPr>
            <w:r w:rsidRPr="00B45F59">
              <w:rPr>
                <w:sz w:val="16"/>
                <w:szCs w:val="16"/>
              </w:rPr>
              <w:t>T4 2026</w:t>
            </w:r>
          </w:p>
        </w:tc>
        <w:tc>
          <w:tcPr>
            <w:tcW w:w="1345" w:type="dxa"/>
            <w:vMerge w:val="restart"/>
            <w:tcBorders>
              <w:top w:val="single" w:sz="4" w:space="0" w:color="auto"/>
              <w:left w:val="single" w:sz="4" w:space="0" w:color="auto"/>
              <w:bottom w:val="single" w:sz="4" w:space="0" w:color="auto"/>
              <w:right w:val="single" w:sz="4" w:space="0" w:color="auto"/>
            </w:tcBorders>
          </w:tcPr>
          <w:p w14:paraId="2DF7E25A" w14:textId="77777777" w:rsidR="00B45F59" w:rsidRPr="00B45F59" w:rsidRDefault="00B45F59" w:rsidP="00B45F59">
            <w:pPr>
              <w:rPr>
                <w:b/>
                <w:bCs/>
                <w:sz w:val="16"/>
                <w:szCs w:val="16"/>
              </w:rPr>
            </w:pPr>
            <w:r w:rsidRPr="00B45F59">
              <w:rPr>
                <w:b/>
                <w:bCs/>
                <w:sz w:val="16"/>
                <w:szCs w:val="16"/>
              </w:rPr>
              <w:t>Njësitë përgjegjëse:</w:t>
            </w:r>
          </w:p>
          <w:p w14:paraId="19B35902" w14:textId="77777777" w:rsidR="00B45F59" w:rsidRPr="00B45F59" w:rsidRDefault="00B45F59" w:rsidP="00B45F59">
            <w:pPr>
              <w:rPr>
                <w:sz w:val="16"/>
                <w:szCs w:val="16"/>
              </w:rPr>
            </w:pPr>
            <w:r w:rsidRPr="00B45F59">
              <w:rPr>
                <w:sz w:val="16"/>
                <w:szCs w:val="16"/>
              </w:rPr>
              <w:t>DPTH (lider), DHMFKK</w:t>
            </w:r>
          </w:p>
          <w:p w14:paraId="106A720E" w14:textId="77777777" w:rsidR="00B45F59" w:rsidRPr="00B45F59" w:rsidRDefault="00B45F59" w:rsidP="00B45F59">
            <w:pPr>
              <w:rPr>
                <w:sz w:val="16"/>
                <w:szCs w:val="16"/>
              </w:rPr>
            </w:pPr>
          </w:p>
          <w:p w14:paraId="5EA62BC5" w14:textId="77777777" w:rsidR="00B45F59" w:rsidRPr="00B45F59" w:rsidRDefault="00B45F59" w:rsidP="00B45F59">
            <w:pPr>
              <w:rPr>
                <w:b/>
                <w:bCs/>
                <w:sz w:val="16"/>
                <w:szCs w:val="16"/>
              </w:rPr>
            </w:pPr>
            <w:r w:rsidRPr="00B45F59">
              <w:rPr>
                <w:b/>
                <w:bCs/>
                <w:sz w:val="16"/>
                <w:szCs w:val="16"/>
              </w:rPr>
              <w:t>Partnerët:</w:t>
            </w:r>
          </w:p>
          <w:p w14:paraId="27EA169C" w14:textId="77777777" w:rsidR="00B45F59" w:rsidRPr="00B45F59" w:rsidRDefault="00B45F59" w:rsidP="00B45F59">
            <w:pPr>
              <w:rPr>
                <w:sz w:val="16"/>
                <w:szCs w:val="16"/>
              </w:rPr>
            </w:pPr>
            <w:r w:rsidRPr="00B45F59">
              <w:rPr>
                <w:sz w:val="16"/>
                <w:szCs w:val="16"/>
              </w:rPr>
              <w:t>Banka Botërore, SECO</w:t>
            </w:r>
          </w:p>
        </w:tc>
      </w:tr>
      <w:tr w:rsidR="00B45F59" w:rsidRPr="00B45F59" w14:paraId="666E31F8" w14:textId="77777777" w:rsidTr="00B9728A">
        <w:trPr>
          <w:trHeight w:val="215"/>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67CFAF36" w14:textId="77777777" w:rsidR="00B45F59" w:rsidRPr="00B45F59" w:rsidRDefault="00B45F59" w:rsidP="00B45F59">
            <w:pPr>
              <w:spacing w:line="240" w:lineRule="auto"/>
              <w:rPr>
                <w:b/>
                <w:bCs/>
                <w:sz w:val="16"/>
                <w:szCs w:val="16"/>
              </w:rPr>
            </w:pPr>
          </w:p>
        </w:tc>
        <w:tc>
          <w:tcPr>
            <w:tcW w:w="3855" w:type="dxa"/>
            <w:tcBorders>
              <w:top w:val="single" w:sz="4" w:space="0" w:color="auto"/>
              <w:left w:val="single" w:sz="4" w:space="0" w:color="auto"/>
              <w:bottom w:val="single" w:sz="4" w:space="0" w:color="auto"/>
              <w:right w:val="single" w:sz="4" w:space="0" w:color="auto"/>
            </w:tcBorders>
            <w:hideMark/>
          </w:tcPr>
          <w:p w14:paraId="2581A520" w14:textId="77777777" w:rsidR="00B45F59" w:rsidRPr="00B45F59" w:rsidRDefault="00B45F59" w:rsidP="00CD7428">
            <w:pPr>
              <w:numPr>
                <w:ilvl w:val="0"/>
                <w:numId w:val="52"/>
              </w:numPr>
              <w:spacing w:line="264" w:lineRule="auto"/>
              <w:rPr>
                <w:sz w:val="16"/>
                <w:szCs w:val="16"/>
              </w:rPr>
            </w:pPr>
            <w:r w:rsidRPr="00B45F59">
              <w:rPr>
                <w:sz w:val="16"/>
                <w:szCs w:val="16"/>
              </w:rPr>
              <w:t>Zhvillimi i testit dhe vendosja e përmirësuar / funksionalitete shtesë të nevojshme për të siguruar përputhjen me legjislacionin e ri.</w:t>
            </w:r>
          </w:p>
        </w:tc>
        <w:tc>
          <w:tcPr>
            <w:tcW w:w="735" w:type="dxa"/>
            <w:tcBorders>
              <w:top w:val="single" w:sz="4" w:space="0" w:color="auto"/>
              <w:left w:val="single" w:sz="4" w:space="0" w:color="auto"/>
              <w:bottom w:val="single" w:sz="4" w:space="0" w:color="auto"/>
              <w:right w:val="single" w:sz="4" w:space="0" w:color="auto"/>
            </w:tcBorders>
            <w:vAlign w:val="center"/>
            <w:hideMark/>
          </w:tcPr>
          <w:p w14:paraId="79A895C9" w14:textId="77777777" w:rsidR="00B45F59" w:rsidRPr="00B45F59" w:rsidRDefault="00B45F59" w:rsidP="00B45F59">
            <w:pPr>
              <w:jc w:val="center"/>
              <w:rPr>
                <w:sz w:val="16"/>
                <w:szCs w:val="16"/>
              </w:rPr>
            </w:pPr>
            <w:r w:rsidRPr="00B45F59">
              <w:rPr>
                <w:sz w:val="16"/>
                <w:szCs w:val="16"/>
              </w:rPr>
              <w:t>T1 2024</w:t>
            </w:r>
          </w:p>
        </w:tc>
        <w:tc>
          <w:tcPr>
            <w:tcW w:w="746" w:type="dxa"/>
            <w:tcBorders>
              <w:top w:val="single" w:sz="4" w:space="0" w:color="auto"/>
              <w:left w:val="single" w:sz="4" w:space="0" w:color="auto"/>
              <w:bottom w:val="single" w:sz="4" w:space="0" w:color="auto"/>
              <w:right w:val="single" w:sz="4" w:space="0" w:color="auto"/>
            </w:tcBorders>
            <w:vAlign w:val="center"/>
            <w:hideMark/>
          </w:tcPr>
          <w:p w14:paraId="53874611" w14:textId="77777777" w:rsidR="00B45F59" w:rsidRPr="00B45F59" w:rsidRDefault="00B45F59" w:rsidP="00B45F59">
            <w:pPr>
              <w:jc w:val="center"/>
              <w:rPr>
                <w:sz w:val="16"/>
                <w:szCs w:val="16"/>
              </w:rPr>
            </w:pPr>
            <w:r w:rsidRPr="00B45F59">
              <w:rPr>
                <w:sz w:val="16"/>
                <w:szCs w:val="16"/>
              </w:rPr>
              <w:t>T4 2026</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0797D25F" w14:textId="77777777" w:rsidR="00B45F59" w:rsidRPr="00B45F59" w:rsidRDefault="00B45F59" w:rsidP="00B45F59">
            <w:pPr>
              <w:spacing w:line="240" w:lineRule="auto"/>
              <w:rPr>
                <w:sz w:val="16"/>
                <w:szCs w:val="16"/>
              </w:rPr>
            </w:pPr>
          </w:p>
        </w:tc>
      </w:tr>
      <w:tr w:rsidR="00B45F59" w:rsidRPr="00B45F59" w14:paraId="67684EEA" w14:textId="77777777" w:rsidTr="00B9728A">
        <w:trPr>
          <w:trHeight w:val="607"/>
        </w:trPr>
        <w:tc>
          <w:tcPr>
            <w:tcW w:w="2335" w:type="dxa"/>
            <w:vMerge w:val="restart"/>
            <w:tcBorders>
              <w:top w:val="single" w:sz="4" w:space="0" w:color="auto"/>
              <w:left w:val="single" w:sz="4" w:space="0" w:color="auto"/>
              <w:right w:val="single" w:sz="4" w:space="0" w:color="auto"/>
            </w:tcBorders>
          </w:tcPr>
          <w:p w14:paraId="2C7FDE6C" w14:textId="693EC819" w:rsidR="00B45F59" w:rsidRPr="00B45F59" w:rsidRDefault="00B9728A" w:rsidP="00B45F59">
            <w:pPr>
              <w:spacing w:line="264" w:lineRule="auto"/>
              <w:rPr>
                <w:b/>
                <w:bCs/>
                <w:sz w:val="16"/>
                <w:szCs w:val="16"/>
              </w:rPr>
            </w:pPr>
            <w:r>
              <w:rPr>
                <w:b/>
                <w:bCs/>
                <w:sz w:val="16"/>
                <w:szCs w:val="16"/>
              </w:rPr>
              <w:t>Masa 4.2.4</w:t>
            </w:r>
            <w:r w:rsidR="00B45F59" w:rsidRPr="00B45F59">
              <w:rPr>
                <w:b/>
                <w:bCs/>
                <w:sz w:val="16"/>
                <w:szCs w:val="16"/>
              </w:rPr>
              <w:t xml:space="preserve"> Përgatitja, ofrimi dhe institucionalizimi i zhvillimit të kapaciteteve të kontabilistëve për të absorbuar reformat e kontabilitetit.</w:t>
            </w:r>
          </w:p>
          <w:p w14:paraId="40849B38" w14:textId="77777777" w:rsidR="00B45F59" w:rsidRPr="00B45F59" w:rsidRDefault="00B45F59" w:rsidP="00B45F59">
            <w:pPr>
              <w:spacing w:line="264" w:lineRule="auto"/>
              <w:rPr>
                <w:b/>
                <w:bCs/>
                <w:sz w:val="16"/>
                <w:szCs w:val="16"/>
              </w:rPr>
            </w:pPr>
          </w:p>
        </w:tc>
        <w:tc>
          <w:tcPr>
            <w:tcW w:w="3855" w:type="dxa"/>
            <w:tcBorders>
              <w:top w:val="single" w:sz="4" w:space="0" w:color="auto"/>
              <w:left w:val="single" w:sz="4" w:space="0" w:color="auto"/>
              <w:bottom w:val="single" w:sz="4" w:space="0" w:color="auto"/>
              <w:right w:val="single" w:sz="4" w:space="0" w:color="auto"/>
            </w:tcBorders>
            <w:hideMark/>
          </w:tcPr>
          <w:p w14:paraId="3A437FD9" w14:textId="77777777" w:rsidR="00B45F59" w:rsidRPr="00B45F59" w:rsidRDefault="00B45F59" w:rsidP="00CD7428">
            <w:pPr>
              <w:numPr>
                <w:ilvl w:val="0"/>
                <w:numId w:val="53"/>
              </w:numPr>
              <w:spacing w:line="264" w:lineRule="auto"/>
              <w:rPr>
                <w:sz w:val="16"/>
                <w:szCs w:val="16"/>
              </w:rPr>
            </w:pPr>
            <w:r w:rsidRPr="00B45F59">
              <w:rPr>
                <w:sz w:val="16"/>
                <w:szCs w:val="16"/>
              </w:rPr>
              <w:t>Zhvillimi i një plani gjithëpërfshirës të zhvillimit të kapaciteteve, duke përfshirë mekanizmat për ZHPV dhe certifikimin e kontabilistëve të sektorit publik</w:t>
            </w:r>
          </w:p>
        </w:tc>
        <w:tc>
          <w:tcPr>
            <w:tcW w:w="735" w:type="dxa"/>
            <w:tcBorders>
              <w:top w:val="single" w:sz="4" w:space="0" w:color="auto"/>
              <w:left w:val="single" w:sz="4" w:space="0" w:color="auto"/>
              <w:bottom w:val="single" w:sz="4" w:space="0" w:color="auto"/>
              <w:right w:val="single" w:sz="4" w:space="0" w:color="auto"/>
            </w:tcBorders>
            <w:vAlign w:val="center"/>
            <w:hideMark/>
          </w:tcPr>
          <w:p w14:paraId="4A8C6CC4" w14:textId="77777777" w:rsidR="00B45F59" w:rsidRPr="00B45F59" w:rsidRDefault="00B45F59" w:rsidP="00B45F59">
            <w:pPr>
              <w:jc w:val="center"/>
              <w:rPr>
                <w:sz w:val="16"/>
                <w:szCs w:val="16"/>
              </w:rPr>
            </w:pPr>
            <w:r w:rsidRPr="00B45F59">
              <w:rPr>
                <w:sz w:val="16"/>
                <w:szCs w:val="16"/>
              </w:rPr>
              <w:t>T1 2024</w:t>
            </w:r>
          </w:p>
        </w:tc>
        <w:tc>
          <w:tcPr>
            <w:tcW w:w="746" w:type="dxa"/>
            <w:tcBorders>
              <w:top w:val="single" w:sz="4" w:space="0" w:color="auto"/>
              <w:left w:val="single" w:sz="4" w:space="0" w:color="auto"/>
              <w:bottom w:val="single" w:sz="4" w:space="0" w:color="auto"/>
              <w:right w:val="single" w:sz="4" w:space="0" w:color="auto"/>
            </w:tcBorders>
            <w:vAlign w:val="center"/>
            <w:hideMark/>
          </w:tcPr>
          <w:p w14:paraId="0835793E" w14:textId="77777777" w:rsidR="00B45F59" w:rsidRPr="00B45F59" w:rsidRDefault="00B45F59" w:rsidP="00B45F59">
            <w:pPr>
              <w:jc w:val="center"/>
              <w:rPr>
                <w:sz w:val="16"/>
                <w:szCs w:val="16"/>
              </w:rPr>
            </w:pPr>
            <w:r w:rsidRPr="00B45F59">
              <w:rPr>
                <w:sz w:val="16"/>
                <w:szCs w:val="16"/>
              </w:rPr>
              <w:t>T4 2026</w:t>
            </w:r>
          </w:p>
        </w:tc>
        <w:tc>
          <w:tcPr>
            <w:tcW w:w="1345" w:type="dxa"/>
            <w:vMerge w:val="restart"/>
            <w:tcBorders>
              <w:top w:val="single" w:sz="4" w:space="0" w:color="auto"/>
              <w:left w:val="single" w:sz="4" w:space="0" w:color="auto"/>
              <w:right w:val="single" w:sz="4" w:space="0" w:color="auto"/>
            </w:tcBorders>
          </w:tcPr>
          <w:p w14:paraId="0678F16E" w14:textId="77777777" w:rsidR="00B45F59" w:rsidRPr="00B45F59" w:rsidRDefault="00B45F59" w:rsidP="00B45F59">
            <w:pPr>
              <w:rPr>
                <w:b/>
                <w:bCs/>
                <w:sz w:val="16"/>
                <w:szCs w:val="16"/>
              </w:rPr>
            </w:pPr>
            <w:r w:rsidRPr="00B45F59">
              <w:rPr>
                <w:b/>
                <w:bCs/>
                <w:sz w:val="16"/>
                <w:szCs w:val="16"/>
              </w:rPr>
              <w:t>Njësitë përgjegjëse:</w:t>
            </w:r>
          </w:p>
          <w:p w14:paraId="68D2BB63" w14:textId="77777777" w:rsidR="00B45F59" w:rsidRPr="00B45F59" w:rsidRDefault="00B45F59" w:rsidP="00B45F59">
            <w:pPr>
              <w:rPr>
                <w:sz w:val="16"/>
                <w:szCs w:val="16"/>
              </w:rPr>
            </w:pPr>
            <w:r w:rsidRPr="00B45F59">
              <w:rPr>
                <w:sz w:val="16"/>
                <w:szCs w:val="16"/>
              </w:rPr>
              <w:t>DHMFKK (lider), DPTH</w:t>
            </w:r>
          </w:p>
          <w:p w14:paraId="776BA82B" w14:textId="77777777" w:rsidR="00B45F59" w:rsidRPr="00B45F59" w:rsidRDefault="00B45F59" w:rsidP="00B45F59">
            <w:pPr>
              <w:rPr>
                <w:sz w:val="16"/>
                <w:szCs w:val="16"/>
              </w:rPr>
            </w:pPr>
          </w:p>
          <w:p w14:paraId="781F6657" w14:textId="77777777" w:rsidR="00B45F59" w:rsidRPr="00B45F59" w:rsidRDefault="00B45F59" w:rsidP="00B45F59">
            <w:pPr>
              <w:rPr>
                <w:b/>
                <w:bCs/>
                <w:sz w:val="16"/>
                <w:szCs w:val="16"/>
              </w:rPr>
            </w:pPr>
            <w:r w:rsidRPr="00B45F59">
              <w:rPr>
                <w:b/>
                <w:bCs/>
                <w:sz w:val="16"/>
                <w:szCs w:val="16"/>
              </w:rPr>
              <w:t>Partnerët:</w:t>
            </w:r>
          </w:p>
          <w:p w14:paraId="67A60706" w14:textId="77777777" w:rsidR="00B45F59" w:rsidRPr="00B45F59" w:rsidRDefault="00B45F59" w:rsidP="00B45F59">
            <w:pPr>
              <w:rPr>
                <w:sz w:val="16"/>
                <w:szCs w:val="16"/>
              </w:rPr>
            </w:pPr>
            <w:r w:rsidRPr="00B45F59">
              <w:rPr>
                <w:sz w:val="16"/>
                <w:szCs w:val="16"/>
              </w:rPr>
              <w:t>Banka Botërore, SECO</w:t>
            </w:r>
          </w:p>
        </w:tc>
      </w:tr>
      <w:tr w:rsidR="00B45F59" w:rsidRPr="00B45F59" w14:paraId="77C673C3" w14:textId="77777777" w:rsidTr="00B9728A">
        <w:trPr>
          <w:trHeight w:val="20"/>
        </w:trPr>
        <w:tc>
          <w:tcPr>
            <w:tcW w:w="2335" w:type="dxa"/>
            <w:vMerge/>
            <w:tcBorders>
              <w:left w:val="single" w:sz="4" w:space="0" w:color="auto"/>
              <w:right w:val="single" w:sz="4" w:space="0" w:color="auto"/>
            </w:tcBorders>
            <w:vAlign w:val="center"/>
            <w:hideMark/>
          </w:tcPr>
          <w:p w14:paraId="27A849C4" w14:textId="77777777" w:rsidR="00B45F59" w:rsidRPr="00B45F59" w:rsidRDefault="00B45F59" w:rsidP="00B45F59">
            <w:pPr>
              <w:spacing w:line="240" w:lineRule="auto"/>
              <w:rPr>
                <w:b/>
                <w:bCs/>
                <w:sz w:val="16"/>
                <w:szCs w:val="16"/>
              </w:rPr>
            </w:pPr>
          </w:p>
        </w:tc>
        <w:tc>
          <w:tcPr>
            <w:tcW w:w="3855" w:type="dxa"/>
            <w:tcBorders>
              <w:top w:val="single" w:sz="4" w:space="0" w:color="auto"/>
              <w:left w:val="single" w:sz="4" w:space="0" w:color="auto"/>
              <w:bottom w:val="single" w:sz="4" w:space="0" w:color="auto"/>
              <w:right w:val="single" w:sz="4" w:space="0" w:color="auto"/>
            </w:tcBorders>
            <w:hideMark/>
          </w:tcPr>
          <w:p w14:paraId="7E22A71C" w14:textId="77777777" w:rsidR="00B45F59" w:rsidRPr="00B45F59" w:rsidRDefault="00B45F59" w:rsidP="00CD7428">
            <w:pPr>
              <w:numPr>
                <w:ilvl w:val="0"/>
                <w:numId w:val="53"/>
              </w:numPr>
              <w:spacing w:line="264" w:lineRule="auto"/>
              <w:rPr>
                <w:sz w:val="16"/>
                <w:szCs w:val="16"/>
              </w:rPr>
            </w:pPr>
            <w:r w:rsidRPr="00B45F59">
              <w:rPr>
                <w:sz w:val="16"/>
                <w:szCs w:val="16"/>
              </w:rPr>
              <w:t>Përgatitja dhe ofrimi i trajnimeve dhe mbështetjes në punë për të gjithë kontabilistët e sektorit publik sipas planit.</w:t>
            </w:r>
          </w:p>
        </w:tc>
        <w:tc>
          <w:tcPr>
            <w:tcW w:w="735" w:type="dxa"/>
            <w:tcBorders>
              <w:top w:val="single" w:sz="4" w:space="0" w:color="auto"/>
              <w:left w:val="single" w:sz="4" w:space="0" w:color="auto"/>
              <w:bottom w:val="single" w:sz="4" w:space="0" w:color="auto"/>
              <w:right w:val="single" w:sz="4" w:space="0" w:color="auto"/>
            </w:tcBorders>
            <w:vAlign w:val="center"/>
            <w:hideMark/>
          </w:tcPr>
          <w:p w14:paraId="1271E53F" w14:textId="77777777" w:rsidR="00B45F59" w:rsidRPr="00B45F59" w:rsidRDefault="00B45F59" w:rsidP="00B45F59">
            <w:pPr>
              <w:jc w:val="center"/>
              <w:rPr>
                <w:sz w:val="16"/>
                <w:szCs w:val="16"/>
              </w:rPr>
            </w:pPr>
            <w:r w:rsidRPr="00B45F59">
              <w:rPr>
                <w:sz w:val="16"/>
                <w:szCs w:val="16"/>
              </w:rPr>
              <w:t>T1 2024</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744FF8" w14:textId="77777777" w:rsidR="00B45F59" w:rsidRPr="00B45F59" w:rsidRDefault="00B45F59" w:rsidP="00B45F59">
            <w:pPr>
              <w:jc w:val="center"/>
              <w:rPr>
                <w:sz w:val="16"/>
                <w:szCs w:val="16"/>
              </w:rPr>
            </w:pPr>
            <w:r w:rsidRPr="00B45F59">
              <w:rPr>
                <w:sz w:val="16"/>
                <w:szCs w:val="16"/>
              </w:rPr>
              <w:t>T4 2026</w:t>
            </w:r>
          </w:p>
        </w:tc>
        <w:tc>
          <w:tcPr>
            <w:tcW w:w="1345" w:type="dxa"/>
            <w:vMerge/>
            <w:tcBorders>
              <w:left w:val="single" w:sz="4" w:space="0" w:color="auto"/>
              <w:right w:val="single" w:sz="4" w:space="0" w:color="auto"/>
            </w:tcBorders>
            <w:vAlign w:val="center"/>
            <w:hideMark/>
          </w:tcPr>
          <w:p w14:paraId="272CABC5" w14:textId="77777777" w:rsidR="00B45F59" w:rsidRPr="00B45F59" w:rsidRDefault="00B45F59" w:rsidP="00B45F59">
            <w:pPr>
              <w:spacing w:line="240" w:lineRule="auto"/>
              <w:rPr>
                <w:sz w:val="16"/>
                <w:szCs w:val="16"/>
              </w:rPr>
            </w:pPr>
          </w:p>
        </w:tc>
      </w:tr>
      <w:tr w:rsidR="00B45F59" w:rsidRPr="00B45F59" w14:paraId="6B722A56" w14:textId="77777777" w:rsidTr="00B9728A">
        <w:trPr>
          <w:trHeight w:val="20"/>
        </w:trPr>
        <w:tc>
          <w:tcPr>
            <w:tcW w:w="2335" w:type="dxa"/>
            <w:vMerge/>
            <w:tcBorders>
              <w:left w:val="single" w:sz="4" w:space="0" w:color="auto"/>
              <w:bottom w:val="single" w:sz="4" w:space="0" w:color="auto"/>
              <w:right w:val="single" w:sz="4" w:space="0" w:color="auto"/>
            </w:tcBorders>
            <w:vAlign w:val="center"/>
          </w:tcPr>
          <w:p w14:paraId="1353FFD2" w14:textId="77777777" w:rsidR="00B45F59" w:rsidRPr="00B45F59" w:rsidRDefault="00B45F59" w:rsidP="00B45F59">
            <w:pPr>
              <w:spacing w:line="240" w:lineRule="auto"/>
              <w:rPr>
                <w:b/>
                <w:bCs/>
                <w:sz w:val="16"/>
                <w:szCs w:val="16"/>
              </w:rPr>
            </w:pPr>
          </w:p>
        </w:tc>
        <w:tc>
          <w:tcPr>
            <w:tcW w:w="3855" w:type="dxa"/>
            <w:tcBorders>
              <w:top w:val="single" w:sz="4" w:space="0" w:color="auto"/>
              <w:left w:val="single" w:sz="4" w:space="0" w:color="auto"/>
              <w:bottom w:val="single" w:sz="4" w:space="0" w:color="auto"/>
              <w:right w:val="single" w:sz="4" w:space="0" w:color="auto"/>
            </w:tcBorders>
          </w:tcPr>
          <w:p w14:paraId="1889D80F" w14:textId="77777777" w:rsidR="00B45F59" w:rsidRPr="00B45F59" w:rsidRDefault="00B45F59" w:rsidP="00CD7428">
            <w:pPr>
              <w:numPr>
                <w:ilvl w:val="0"/>
                <w:numId w:val="53"/>
              </w:numPr>
              <w:spacing w:line="264" w:lineRule="auto"/>
              <w:rPr>
                <w:sz w:val="16"/>
                <w:szCs w:val="16"/>
              </w:rPr>
            </w:pPr>
            <w:r w:rsidRPr="00B45F59">
              <w:rPr>
                <w:sz w:val="16"/>
                <w:szCs w:val="16"/>
              </w:rPr>
              <w:t>Riorganizimi i degëve të thesarit si dhe i strukturës përgjegjëse për metodologjinë e kontabilitetit të sektorit publik, bazuar në praktikat më të mira ndërkombëtare dhe duke mbështetur zbatimin e kontabilitetit në bazë të drejtash dhe detyrimesh të konstatuara</w:t>
            </w:r>
          </w:p>
        </w:tc>
        <w:tc>
          <w:tcPr>
            <w:tcW w:w="735" w:type="dxa"/>
            <w:tcBorders>
              <w:top w:val="single" w:sz="4" w:space="0" w:color="auto"/>
              <w:left w:val="single" w:sz="4" w:space="0" w:color="auto"/>
              <w:bottom w:val="single" w:sz="4" w:space="0" w:color="auto"/>
              <w:right w:val="single" w:sz="4" w:space="0" w:color="auto"/>
            </w:tcBorders>
            <w:vAlign w:val="center"/>
          </w:tcPr>
          <w:p w14:paraId="7B3276D6" w14:textId="77777777" w:rsidR="00B45F59" w:rsidRPr="00B45F59" w:rsidRDefault="00B45F59" w:rsidP="00B45F59">
            <w:pPr>
              <w:jc w:val="center"/>
              <w:rPr>
                <w:sz w:val="16"/>
                <w:szCs w:val="16"/>
              </w:rPr>
            </w:pPr>
            <w:r w:rsidRPr="00B45F59">
              <w:rPr>
                <w:sz w:val="16"/>
                <w:szCs w:val="16"/>
              </w:rPr>
              <w:t>T3 2024</w:t>
            </w:r>
          </w:p>
        </w:tc>
        <w:tc>
          <w:tcPr>
            <w:tcW w:w="746" w:type="dxa"/>
            <w:tcBorders>
              <w:top w:val="single" w:sz="4" w:space="0" w:color="auto"/>
              <w:left w:val="single" w:sz="4" w:space="0" w:color="auto"/>
              <w:bottom w:val="single" w:sz="4" w:space="0" w:color="auto"/>
              <w:right w:val="single" w:sz="4" w:space="0" w:color="auto"/>
            </w:tcBorders>
            <w:vAlign w:val="center"/>
          </w:tcPr>
          <w:p w14:paraId="5A05E335" w14:textId="77777777" w:rsidR="00B45F59" w:rsidRPr="00B45F59" w:rsidRDefault="00B45F59" w:rsidP="00B45F59">
            <w:pPr>
              <w:jc w:val="center"/>
              <w:rPr>
                <w:sz w:val="16"/>
                <w:szCs w:val="16"/>
              </w:rPr>
            </w:pPr>
            <w:r w:rsidRPr="00B45F59">
              <w:rPr>
                <w:sz w:val="16"/>
                <w:szCs w:val="16"/>
              </w:rPr>
              <w:t>T4 2026</w:t>
            </w:r>
          </w:p>
        </w:tc>
        <w:tc>
          <w:tcPr>
            <w:tcW w:w="1345" w:type="dxa"/>
            <w:vMerge/>
            <w:tcBorders>
              <w:left w:val="single" w:sz="4" w:space="0" w:color="auto"/>
              <w:bottom w:val="single" w:sz="4" w:space="0" w:color="auto"/>
              <w:right w:val="single" w:sz="4" w:space="0" w:color="auto"/>
            </w:tcBorders>
            <w:vAlign w:val="center"/>
          </w:tcPr>
          <w:p w14:paraId="2EEA3EA6" w14:textId="77777777" w:rsidR="00B45F59" w:rsidRPr="00B45F59" w:rsidRDefault="00B45F59" w:rsidP="00B45F59">
            <w:pPr>
              <w:spacing w:line="240" w:lineRule="auto"/>
              <w:rPr>
                <w:sz w:val="16"/>
                <w:szCs w:val="16"/>
              </w:rPr>
            </w:pPr>
          </w:p>
        </w:tc>
      </w:tr>
    </w:tbl>
    <w:p w14:paraId="15CF22C0" w14:textId="77777777" w:rsidR="00B45F59" w:rsidRPr="00B45F59" w:rsidRDefault="00B45F59" w:rsidP="00B45F59">
      <w:pPr>
        <w:spacing w:line="264" w:lineRule="auto"/>
        <w:rPr>
          <w:szCs w:val="20"/>
          <w:lang w:val="en-GB"/>
        </w:rPr>
      </w:pPr>
    </w:p>
    <w:p w14:paraId="4674DCD1" w14:textId="77777777" w:rsidR="00B45F59" w:rsidRPr="009D660E" w:rsidRDefault="00B45F59" w:rsidP="00B45F59">
      <w:pPr>
        <w:spacing w:after="60"/>
        <w:rPr>
          <w:b/>
          <w:bCs/>
          <w:color w:val="0070C0"/>
          <w:lang w:val="it-IT"/>
        </w:rPr>
      </w:pPr>
      <w:r w:rsidRPr="009D660E">
        <w:rPr>
          <w:b/>
          <w:bCs/>
          <w:color w:val="0070C0"/>
          <w:lang w:val="it-IT"/>
        </w:rPr>
        <w:t>Treguesit e performancës dhe vlerat e synuara</w:t>
      </w:r>
    </w:p>
    <w:tbl>
      <w:tblPr>
        <w:tblStyle w:val="TableGridIDEA1"/>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B45F59" w:rsidRPr="00B45F59" w14:paraId="6B5CC647" w14:textId="77777777" w:rsidTr="00B45F59">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81931" w14:textId="77777777" w:rsidR="00B45F59" w:rsidRPr="00B45F59" w:rsidRDefault="00B45F59" w:rsidP="00B45F59">
            <w:pPr>
              <w:spacing w:line="264" w:lineRule="auto"/>
              <w:rPr>
                <w:b/>
                <w:bCs/>
                <w:sz w:val="16"/>
                <w:szCs w:val="16"/>
              </w:rPr>
            </w:pPr>
            <w:r w:rsidRPr="00B45F59">
              <w:rPr>
                <w:b/>
                <w:bCs/>
                <w:sz w:val="16"/>
                <w:szCs w:val="16"/>
              </w:rP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FB296B" w14:textId="77777777" w:rsidR="00B45F59" w:rsidRPr="00B45F59" w:rsidRDefault="00B45F59" w:rsidP="00B45F59">
            <w:pPr>
              <w:spacing w:line="264" w:lineRule="auto"/>
              <w:jc w:val="center"/>
              <w:rPr>
                <w:b/>
                <w:bCs/>
                <w:sz w:val="16"/>
                <w:szCs w:val="16"/>
              </w:rPr>
            </w:pPr>
            <w:r w:rsidRPr="00B45F59">
              <w:rPr>
                <w:b/>
                <w:bCs/>
                <w:sz w:val="16"/>
                <w:szCs w:val="16"/>
              </w:rPr>
              <w:t>Vlera Bazë (viti)</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0C5AF" w14:textId="77777777" w:rsidR="00B45F59" w:rsidRPr="00B45F59" w:rsidRDefault="00B45F59" w:rsidP="00B45F59">
            <w:pPr>
              <w:spacing w:line="264" w:lineRule="auto"/>
              <w:jc w:val="center"/>
              <w:rPr>
                <w:b/>
                <w:bCs/>
                <w:sz w:val="16"/>
                <w:szCs w:val="16"/>
              </w:rPr>
            </w:pPr>
            <w:r w:rsidRPr="00B45F59">
              <w:rPr>
                <w:b/>
                <w:bCs/>
                <w:sz w:val="16"/>
                <w:szCs w:val="16"/>
              </w:rPr>
              <w:t>Vlera e Synuar</w:t>
            </w:r>
          </w:p>
        </w:tc>
      </w:tr>
      <w:tr w:rsidR="00B45F59" w:rsidRPr="00B45F59" w14:paraId="400754D0" w14:textId="77777777" w:rsidTr="00B45F59">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612F8DCC" w14:textId="77777777" w:rsidR="00B45F59" w:rsidRPr="00B45F59" w:rsidRDefault="00B45F59" w:rsidP="00B45F59">
            <w:pPr>
              <w:spacing w:line="264" w:lineRule="auto"/>
              <w:rPr>
                <w:b/>
                <w:bCs/>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85FBC9F" w14:textId="77777777" w:rsidR="00B45F59" w:rsidRPr="00B45F59" w:rsidRDefault="00B45F59" w:rsidP="00B45F59">
            <w:pPr>
              <w:spacing w:line="264" w:lineRule="auto"/>
              <w:jc w:val="center"/>
              <w:rPr>
                <w:b/>
                <w:bCs/>
                <w:sz w:val="16"/>
                <w:szCs w:val="16"/>
              </w:rP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42716" w14:textId="77777777" w:rsidR="00B45F59" w:rsidRPr="00B45F59" w:rsidRDefault="00B45F59" w:rsidP="00B45F59">
            <w:pPr>
              <w:spacing w:line="264" w:lineRule="auto"/>
              <w:jc w:val="center"/>
              <w:rPr>
                <w:b/>
                <w:bCs/>
                <w:sz w:val="16"/>
                <w:szCs w:val="16"/>
              </w:rPr>
            </w:pPr>
            <w:r w:rsidRPr="00B45F59">
              <w:rPr>
                <w:b/>
                <w:bCs/>
                <w:sz w:val="16"/>
                <w:szCs w:val="16"/>
              </w:rPr>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EC2C44" w14:textId="77777777" w:rsidR="00B45F59" w:rsidRPr="00B45F59" w:rsidRDefault="00B45F59" w:rsidP="00B45F59">
            <w:pPr>
              <w:spacing w:line="264" w:lineRule="auto"/>
              <w:jc w:val="center"/>
              <w:rPr>
                <w:b/>
                <w:bCs/>
                <w:sz w:val="16"/>
                <w:szCs w:val="16"/>
              </w:rPr>
            </w:pPr>
            <w:r w:rsidRPr="00B45F59">
              <w:rPr>
                <w:b/>
                <w:bCs/>
                <w:sz w:val="16"/>
                <w:szCs w:val="16"/>
              </w:rPr>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6B0C29" w14:textId="77777777" w:rsidR="00B45F59" w:rsidRPr="00B45F59" w:rsidRDefault="00B45F59" w:rsidP="00B45F59">
            <w:pPr>
              <w:spacing w:line="264" w:lineRule="auto"/>
              <w:jc w:val="center"/>
              <w:rPr>
                <w:b/>
                <w:bCs/>
                <w:sz w:val="16"/>
                <w:szCs w:val="16"/>
              </w:rPr>
            </w:pPr>
            <w:r w:rsidRPr="00B45F59">
              <w:rPr>
                <w:b/>
                <w:bCs/>
                <w:sz w:val="16"/>
                <w:szCs w:val="16"/>
              </w:rPr>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BE6A78" w14:textId="77777777" w:rsidR="00B45F59" w:rsidRPr="00B45F59" w:rsidRDefault="00B45F59" w:rsidP="00B45F59">
            <w:pPr>
              <w:spacing w:line="264" w:lineRule="auto"/>
              <w:jc w:val="center"/>
              <w:rPr>
                <w:b/>
                <w:bCs/>
                <w:sz w:val="16"/>
                <w:szCs w:val="16"/>
              </w:rPr>
            </w:pPr>
            <w:r w:rsidRPr="00B45F59">
              <w:rPr>
                <w:b/>
                <w:bCs/>
                <w:sz w:val="16"/>
                <w:szCs w:val="16"/>
              </w:rPr>
              <w:t>2026</w:t>
            </w:r>
          </w:p>
        </w:tc>
      </w:tr>
      <w:tr w:rsidR="00B45F59" w:rsidRPr="00B45F59" w14:paraId="6564EE03" w14:textId="77777777" w:rsidTr="00B45F59">
        <w:tc>
          <w:tcPr>
            <w:tcW w:w="3114" w:type="dxa"/>
            <w:tcBorders>
              <w:top w:val="single" w:sz="4" w:space="0" w:color="auto"/>
              <w:left w:val="single" w:sz="4" w:space="0" w:color="auto"/>
              <w:bottom w:val="single" w:sz="4" w:space="0" w:color="auto"/>
              <w:right w:val="single" w:sz="4" w:space="0" w:color="auto"/>
            </w:tcBorders>
          </w:tcPr>
          <w:p w14:paraId="744D7385" w14:textId="77777777" w:rsidR="00B45F59" w:rsidRPr="00B45F59" w:rsidRDefault="00B45F59" w:rsidP="00CD7428">
            <w:pPr>
              <w:numPr>
                <w:ilvl w:val="0"/>
                <w:numId w:val="54"/>
              </w:numPr>
              <w:contextualSpacing/>
              <w:rPr>
                <w:sz w:val="16"/>
                <w:szCs w:val="16"/>
              </w:rPr>
            </w:pPr>
            <w:r w:rsidRPr="00B45F59">
              <w:rPr>
                <w:sz w:val="16"/>
                <w:szCs w:val="16"/>
              </w:rPr>
              <w:t>Numri shtesë i Institucioneve Buxhetore që kanë akses në SIFQ dhe arkivën elektronike (AE).</w:t>
            </w:r>
          </w:p>
        </w:tc>
        <w:tc>
          <w:tcPr>
            <w:tcW w:w="1180" w:type="dxa"/>
            <w:tcBorders>
              <w:top w:val="single" w:sz="4" w:space="0" w:color="auto"/>
              <w:left w:val="single" w:sz="4" w:space="0" w:color="auto"/>
              <w:bottom w:val="single" w:sz="4" w:space="0" w:color="auto"/>
              <w:right w:val="single" w:sz="4" w:space="0" w:color="auto"/>
            </w:tcBorders>
            <w:vAlign w:val="center"/>
          </w:tcPr>
          <w:p w14:paraId="5A55ABDA"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23AEB1D3" w14:textId="77777777" w:rsidR="00B45F59" w:rsidRPr="00B45F59" w:rsidRDefault="00B45F59" w:rsidP="00B45F59">
            <w:pPr>
              <w:jc w:val="center"/>
              <w:rPr>
                <w:sz w:val="16"/>
                <w:szCs w:val="16"/>
              </w:rPr>
            </w:pPr>
            <w:r w:rsidRPr="00B45F59">
              <w:rPr>
                <w:sz w:val="16"/>
                <w:szCs w:val="16"/>
              </w:rPr>
              <w:t xml:space="preserve">5 në SIFQ,  </w:t>
            </w:r>
          </w:p>
          <w:p w14:paraId="7FE8A724" w14:textId="77777777" w:rsidR="00B45F59" w:rsidRPr="00B45F59" w:rsidRDefault="00B45F59" w:rsidP="00B45F59">
            <w:pPr>
              <w:jc w:val="center"/>
              <w:rPr>
                <w:sz w:val="16"/>
                <w:szCs w:val="16"/>
              </w:rPr>
            </w:pPr>
            <w:r w:rsidRPr="00B45F59">
              <w:rPr>
                <w:sz w:val="16"/>
                <w:szCs w:val="16"/>
              </w:rPr>
              <w:t>300 në AE</w:t>
            </w:r>
          </w:p>
        </w:tc>
        <w:tc>
          <w:tcPr>
            <w:tcW w:w="1180" w:type="dxa"/>
            <w:tcBorders>
              <w:top w:val="single" w:sz="4" w:space="0" w:color="auto"/>
              <w:left w:val="single" w:sz="4" w:space="0" w:color="auto"/>
              <w:bottom w:val="single" w:sz="4" w:space="0" w:color="auto"/>
              <w:right w:val="single" w:sz="4" w:space="0" w:color="auto"/>
            </w:tcBorders>
            <w:vAlign w:val="center"/>
          </w:tcPr>
          <w:p w14:paraId="1B6118D3" w14:textId="77777777" w:rsidR="00B45F59" w:rsidRPr="00B45F59" w:rsidRDefault="00B45F59" w:rsidP="00B45F59">
            <w:pPr>
              <w:jc w:val="center"/>
              <w:rPr>
                <w:sz w:val="16"/>
                <w:szCs w:val="16"/>
              </w:rPr>
            </w:pPr>
            <w:r w:rsidRPr="00B45F59">
              <w:rPr>
                <w:sz w:val="16"/>
                <w:szCs w:val="16"/>
              </w:rPr>
              <w:t>86 në AE</w:t>
            </w:r>
          </w:p>
        </w:tc>
        <w:tc>
          <w:tcPr>
            <w:tcW w:w="1181" w:type="dxa"/>
            <w:tcBorders>
              <w:top w:val="single" w:sz="4" w:space="0" w:color="auto"/>
              <w:left w:val="single" w:sz="4" w:space="0" w:color="auto"/>
              <w:bottom w:val="single" w:sz="4" w:space="0" w:color="auto"/>
              <w:right w:val="single" w:sz="4" w:space="0" w:color="auto"/>
            </w:tcBorders>
            <w:vAlign w:val="center"/>
          </w:tcPr>
          <w:p w14:paraId="77021D28"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272584D0" w14:textId="77777777" w:rsidR="00B45F59" w:rsidRPr="00B45F59" w:rsidRDefault="00B45F59" w:rsidP="00B45F59">
            <w:pPr>
              <w:jc w:val="center"/>
              <w:rPr>
                <w:sz w:val="16"/>
                <w:szCs w:val="16"/>
              </w:rPr>
            </w:pPr>
            <w:r w:rsidRPr="00B45F59">
              <w:rPr>
                <w:sz w:val="16"/>
                <w:szCs w:val="16"/>
              </w:rPr>
              <w:t>-</w:t>
            </w:r>
          </w:p>
        </w:tc>
      </w:tr>
      <w:tr w:rsidR="00B45F59" w:rsidRPr="00B45F59" w14:paraId="7C01970F" w14:textId="77777777" w:rsidTr="00B45F59">
        <w:tc>
          <w:tcPr>
            <w:tcW w:w="3114" w:type="dxa"/>
            <w:tcBorders>
              <w:top w:val="single" w:sz="4" w:space="0" w:color="auto"/>
              <w:left w:val="single" w:sz="4" w:space="0" w:color="auto"/>
              <w:bottom w:val="single" w:sz="4" w:space="0" w:color="auto"/>
              <w:right w:val="single" w:sz="4" w:space="0" w:color="auto"/>
            </w:tcBorders>
          </w:tcPr>
          <w:p w14:paraId="6C0BC9BF" w14:textId="77777777" w:rsidR="00B45F59" w:rsidRPr="00B45F59" w:rsidRDefault="00B45F59" w:rsidP="00CD7428">
            <w:pPr>
              <w:numPr>
                <w:ilvl w:val="0"/>
                <w:numId w:val="54"/>
              </w:numPr>
              <w:contextualSpacing/>
              <w:rPr>
                <w:sz w:val="16"/>
                <w:szCs w:val="16"/>
              </w:rPr>
            </w:pPr>
            <w:r w:rsidRPr="00B45F59">
              <w:rPr>
                <w:sz w:val="16"/>
                <w:szCs w:val="16"/>
              </w:rPr>
              <w:t>Prodhimi i kuadrit rregullator ligjor dhe nënligjor bazuar në SNKSP sipas planit.</w:t>
            </w:r>
          </w:p>
        </w:tc>
        <w:tc>
          <w:tcPr>
            <w:tcW w:w="1180" w:type="dxa"/>
            <w:tcBorders>
              <w:top w:val="single" w:sz="4" w:space="0" w:color="auto"/>
              <w:left w:val="single" w:sz="4" w:space="0" w:color="auto"/>
              <w:bottom w:val="single" w:sz="4" w:space="0" w:color="auto"/>
              <w:right w:val="single" w:sz="4" w:space="0" w:color="auto"/>
            </w:tcBorders>
            <w:vAlign w:val="center"/>
          </w:tcPr>
          <w:p w14:paraId="1B478A5E"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2293F3DE" w14:textId="77777777" w:rsidR="00B45F59" w:rsidRPr="00B45F59" w:rsidRDefault="00B45F59" w:rsidP="00B45F59">
            <w:pPr>
              <w:jc w:val="center"/>
              <w:rPr>
                <w:sz w:val="16"/>
                <w:szCs w:val="16"/>
              </w:rPr>
            </w:pPr>
            <w:r w:rsidRPr="00B45F59">
              <w:rPr>
                <w:sz w:val="16"/>
                <w:szCs w:val="16"/>
              </w:rPr>
              <w:t>Përgatitja e Dokumentit Konceptual</w:t>
            </w:r>
          </w:p>
        </w:tc>
        <w:tc>
          <w:tcPr>
            <w:tcW w:w="1180" w:type="dxa"/>
            <w:tcBorders>
              <w:top w:val="single" w:sz="4" w:space="0" w:color="auto"/>
              <w:left w:val="single" w:sz="4" w:space="0" w:color="auto"/>
              <w:bottom w:val="single" w:sz="4" w:space="0" w:color="auto"/>
              <w:right w:val="single" w:sz="4" w:space="0" w:color="auto"/>
            </w:tcBorders>
            <w:vAlign w:val="center"/>
          </w:tcPr>
          <w:p w14:paraId="20FF5C93"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7F8F2D78" w14:textId="77777777" w:rsidR="00B45F59" w:rsidRPr="00B45F59" w:rsidRDefault="00B45F59" w:rsidP="00B45F59">
            <w:pPr>
              <w:jc w:val="center"/>
              <w:rPr>
                <w:sz w:val="16"/>
                <w:szCs w:val="16"/>
              </w:rPr>
            </w:pPr>
            <w:r w:rsidRPr="00B45F59">
              <w:rPr>
                <w:sz w:val="16"/>
                <w:szCs w:val="16"/>
              </w:rPr>
              <w:t>Kuadri ligjor i hartuar</w:t>
            </w:r>
          </w:p>
        </w:tc>
        <w:tc>
          <w:tcPr>
            <w:tcW w:w="1181" w:type="dxa"/>
            <w:tcBorders>
              <w:top w:val="single" w:sz="4" w:space="0" w:color="auto"/>
              <w:left w:val="single" w:sz="4" w:space="0" w:color="auto"/>
              <w:bottom w:val="single" w:sz="4" w:space="0" w:color="auto"/>
              <w:right w:val="single" w:sz="4" w:space="0" w:color="auto"/>
            </w:tcBorders>
            <w:vAlign w:val="center"/>
          </w:tcPr>
          <w:p w14:paraId="32D04C08" w14:textId="77777777" w:rsidR="00B45F59" w:rsidRPr="00B45F59" w:rsidRDefault="00B45F59" w:rsidP="00B45F59">
            <w:pPr>
              <w:jc w:val="center"/>
              <w:rPr>
                <w:sz w:val="16"/>
                <w:szCs w:val="16"/>
              </w:rPr>
            </w:pPr>
            <w:r w:rsidRPr="00B45F59">
              <w:rPr>
                <w:sz w:val="16"/>
                <w:szCs w:val="16"/>
              </w:rPr>
              <w:t>Kuadri ligjor i miratuar</w:t>
            </w:r>
          </w:p>
        </w:tc>
      </w:tr>
      <w:tr w:rsidR="00B45F59" w:rsidRPr="00B45F59" w14:paraId="5DFF1208" w14:textId="77777777" w:rsidTr="00B45F59">
        <w:tc>
          <w:tcPr>
            <w:tcW w:w="3114" w:type="dxa"/>
            <w:tcBorders>
              <w:top w:val="single" w:sz="4" w:space="0" w:color="auto"/>
              <w:left w:val="single" w:sz="4" w:space="0" w:color="auto"/>
              <w:bottom w:val="single" w:sz="4" w:space="0" w:color="auto"/>
              <w:right w:val="single" w:sz="4" w:space="0" w:color="auto"/>
            </w:tcBorders>
          </w:tcPr>
          <w:p w14:paraId="640D1794" w14:textId="77777777" w:rsidR="00B45F59" w:rsidRPr="00B45F59" w:rsidDel="00CF2208" w:rsidRDefault="00B45F59" w:rsidP="00CD7428">
            <w:pPr>
              <w:numPr>
                <w:ilvl w:val="0"/>
                <w:numId w:val="54"/>
              </w:numPr>
              <w:contextualSpacing/>
              <w:rPr>
                <w:sz w:val="16"/>
                <w:szCs w:val="16"/>
              </w:rPr>
            </w:pPr>
            <w:r w:rsidRPr="00B45F59">
              <w:rPr>
                <w:sz w:val="16"/>
                <w:szCs w:val="16"/>
              </w:rPr>
              <w:t>Përgatitja e bilanceve të hapjes dhe zbatimi i kuadrit të ri kontabël</w:t>
            </w:r>
          </w:p>
        </w:tc>
        <w:tc>
          <w:tcPr>
            <w:tcW w:w="1180" w:type="dxa"/>
            <w:tcBorders>
              <w:top w:val="single" w:sz="4" w:space="0" w:color="auto"/>
              <w:left w:val="single" w:sz="4" w:space="0" w:color="auto"/>
              <w:bottom w:val="single" w:sz="4" w:space="0" w:color="auto"/>
              <w:right w:val="single" w:sz="4" w:space="0" w:color="auto"/>
            </w:tcBorders>
            <w:vAlign w:val="center"/>
          </w:tcPr>
          <w:p w14:paraId="654E6FCA" w14:textId="77777777" w:rsidR="00B45F59" w:rsidRPr="00B45F59" w:rsidDel="00CF2208"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0D238F39" w14:textId="77777777" w:rsidR="00B45F59" w:rsidRPr="00B45F59" w:rsidDel="00CF2208" w:rsidRDefault="00B45F59" w:rsidP="00B45F59">
            <w:pPr>
              <w:jc w:val="center"/>
              <w:rPr>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tcPr>
          <w:p w14:paraId="283A3455" w14:textId="77777777" w:rsidR="00B45F59" w:rsidRPr="00B45F59" w:rsidDel="00CF2208" w:rsidRDefault="00B45F59" w:rsidP="00B45F59">
            <w:pPr>
              <w:jc w:val="center"/>
              <w:rPr>
                <w:sz w:val="16"/>
                <w:szCs w:val="16"/>
              </w:rPr>
            </w:pPr>
          </w:p>
        </w:tc>
        <w:tc>
          <w:tcPr>
            <w:tcW w:w="1181" w:type="dxa"/>
            <w:tcBorders>
              <w:top w:val="single" w:sz="4" w:space="0" w:color="auto"/>
              <w:left w:val="single" w:sz="4" w:space="0" w:color="auto"/>
              <w:bottom w:val="single" w:sz="4" w:space="0" w:color="auto"/>
              <w:right w:val="single" w:sz="4" w:space="0" w:color="auto"/>
            </w:tcBorders>
            <w:vAlign w:val="center"/>
          </w:tcPr>
          <w:p w14:paraId="5BF66450" w14:textId="77777777" w:rsidR="00B45F59" w:rsidRPr="00B45F59" w:rsidDel="00CF2208" w:rsidRDefault="00B45F59" w:rsidP="00B45F59">
            <w:pPr>
              <w:jc w:val="center"/>
              <w:rPr>
                <w:sz w:val="16"/>
                <w:szCs w:val="16"/>
              </w:rPr>
            </w:pPr>
          </w:p>
        </w:tc>
        <w:tc>
          <w:tcPr>
            <w:tcW w:w="1181" w:type="dxa"/>
            <w:tcBorders>
              <w:top w:val="single" w:sz="4" w:space="0" w:color="auto"/>
              <w:left w:val="single" w:sz="4" w:space="0" w:color="auto"/>
              <w:bottom w:val="single" w:sz="4" w:space="0" w:color="auto"/>
              <w:right w:val="single" w:sz="4" w:space="0" w:color="auto"/>
            </w:tcBorders>
            <w:vAlign w:val="center"/>
          </w:tcPr>
          <w:p w14:paraId="16733D30" w14:textId="77777777" w:rsidR="00B45F59" w:rsidRPr="00B45F59" w:rsidDel="00CF2208" w:rsidRDefault="00B45F59" w:rsidP="00B45F59">
            <w:pPr>
              <w:jc w:val="center"/>
              <w:rPr>
                <w:sz w:val="16"/>
                <w:szCs w:val="16"/>
              </w:rPr>
            </w:pPr>
            <w:r w:rsidRPr="00B45F59">
              <w:rPr>
                <w:sz w:val="16"/>
                <w:szCs w:val="16"/>
              </w:rPr>
              <w:t>I finalizuar</w:t>
            </w:r>
          </w:p>
        </w:tc>
      </w:tr>
      <w:tr w:rsidR="00B45F59" w:rsidRPr="00B45F59" w14:paraId="5485AE5F" w14:textId="77777777" w:rsidTr="00B45F59">
        <w:tc>
          <w:tcPr>
            <w:tcW w:w="3114" w:type="dxa"/>
            <w:tcBorders>
              <w:top w:val="single" w:sz="4" w:space="0" w:color="auto"/>
              <w:left w:val="single" w:sz="4" w:space="0" w:color="auto"/>
              <w:bottom w:val="single" w:sz="4" w:space="0" w:color="auto"/>
              <w:right w:val="single" w:sz="4" w:space="0" w:color="auto"/>
            </w:tcBorders>
          </w:tcPr>
          <w:p w14:paraId="1D63B492" w14:textId="77777777" w:rsidR="00B45F59" w:rsidRPr="00B45F59" w:rsidRDefault="00B45F59" w:rsidP="00CD7428">
            <w:pPr>
              <w:numPr>
                <w:ilvl w:val="0"/>
                <w:numId w:val="54"/>
              </w:numPr>
              <w:contextualSpacing/>
              <w:rPr>
                <w:sz w:val="16"/>
                <w:szCs w:val="16"/>
              </w:rPr>
            </w:pPr>
            <w:r w:rsidRPr="00B45F59">
              <w:rPr>
                <w:sz w:val="16"/>
                <w:szCs w:val="16"/>
              </w:rPr>
              <w:t>Përqindja e kontabilistëve të qeverisë që kanë përfunduar trajnimin SNKSP</w:t>
            </w:r>
          </w:p>
        </w:tc>
        <w:tc>
          <w:tcPr>
            <w:tcW w:w="1180" w:type="dxa"/>
            <w:tcBorders>
              <w:top w:val="single" w:sz="4" w:space="0" w:color="auto"/>
              <w:left w:val="single" w:sz="4" w:space="0" w:color="auto"/>
              <w:bottom w:val="single" w:sz="4" w:space="0" w:color="auto"/>
              <w:right w:val="single" w:sz="4" w:space="0" w:color="auto"/>
            </w:tcBorders>
            <w:vAlign w:val="center"/>
          </w:tcPr>
          <w:p w14:paraId="1512FB97"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144A8C53" w14:textId="77777777" w:rsidR="00B45F59" w:rsidRPr="00B45F59" w:rsidRDefault="00B45F59" w:rsidP="00B45F59">
            <w:pPr>
              <w:jc w:val="center"/>
              <w:rPr>
                <w:sz w:val="16"/>
                <w:szCs w:val="16"/>
              </w:rPr>
            </w:pPr>
            <w:r w:rsidRPr="00B45F59">
              <w:rPr>
                <w:sz w:val="16"/>
                <w:szCs w:val="16"/>
              </w:rPr>
              <w:t>40%</w:t>
            </w:r>
          </w:p>
        </w:tc>
        <w:tc>
          <w:tcPr>
            <w:tcW w:w="1180" w:type="dxa"/>
            <w:tcBorders>
              <w:top w:val="single" w:sz="4" w:space="0" w:color="auto"/>
              <w:left w:val="single" w:sz="4" w:space="0" w:color="auto"/>
              <w:bottom w:val="single" w:sz="4" w:space="0" w:color="auto"/>
              <w:right w:val="single" w:sz="4" w:space="0" w:color="auto"/>
            </w:tcBorders>
            <w:vAlign w:val="center"/>
          </w:tcPr>
          <w:p w14:paraId="0AF61609" w14:textId="77777777" w:rsidR="00B45F59" w:rsidRPr="00B45F59" w:rsidRDefault="00B45F59" w:rsidP="00B45F59">
            <w:pPr>
              <w:jc w:val="center"/>
              <w:rPr>
                <w:sz w:val="16"/>
                <w:szCs w:val="16"/>
              </w:rPr>
            </w:pPr>
            <w:r w:rsidRPr="00B45F59">
              <w:rPr>
                <w:sz w:val="16"/>
                <w:szCs w:val="16"/>
              </w:rPr>
              <w:t>60%</w:t>
            </w:r>
          </w:p>
        </w:tc>
        <w:tc>
          <w:tcPr>
            <w:tcW w:w="1181" w:type="dxa"/>
            <w:tcBorders>
              <w:top w:val="single" w:sz="4" w:space="0" w:color="auto"/>
              <w:left w:val="single" w:sz="4" w:space="0" w:color="auto"/>
              <w:bottom w:val="single" w:sz="4" w:space="0" w:color="auto"/>
              <w:right w:val="single" w:sz="4" w:space="0" w:color="auto"/>
            </w:tcBorders>
            <w:vAlign w:val="center"/>
          </w:tcPr>
          <w:p w14:paraId="1DB80E7E" w14:textId="77777777" w:rsidR="00B45F59" w:rsidRPr="00B45F59" w:rsidRDefault="00B45F59" w:rsidP="00B45F59">
            <w:pPr>
              <w:jc w:val="center"/>
              <w:rPr>
                <w:sz w:val="16"/>
                <w:szCs w:val="16"/>
              </w:rPr>
            </w:pPr>
            <w:r w:rsidRPr="00B45F59">
              <w:rPr>
                <w:sz w:val="16"/>
                <w:szCs w:val="16"/>
              </w:rPr>
              <w:t>80%</w:t>
            </w:r>
          </w:p>
        </w:tc>
        <w:tc>
          <w:tcPr>
            <w:tcW w:w="1181" w:type="dxa"/>
            <w:tcBorders>
              <w:top w:val="single" w:sz="4" w:space="0" w:color="auto"/>
              <w:left w:val="single" w:sz="4" w:space="0" w:color="auto"/>
              <w:bottom w:val="single" w:sz="4" w:space="0" w:color="auto"/>
              <w:right w:val="single" w:sz="4" w:space="0" w:color="auto"/>
            </w:tcBorders>
            <w:vAlign w:val="center"/>
          </w:tcPr>
          <w:p w14:paraId="3910CC98" w14:textId="77777777" w:rsidR="00B45F59" w:rsidRPr="00B45F59" w:rsidRDefault="00B45F59" w:rsidP="00B45F59">
            <w:pPr>
              <w:jc w:val="center"/>
              <w:rPr>
                <w:sz w:val="16"/>
                <w:szCs w:val="16"/>
              </w:rPr>
            </w:pPr>
            <w:r w:rsidRPr="00B45F59">
              <w:rPr>
                <w:sz w:val="16"/>
                <w:szCs w:val="16"/>
              </w:rPr>
              <w:t>100%</w:t>
            </w:r>
          </w:p>
        </w:tc>
      </w:tr>
    </w:tbl>
    <w:p w14:paraId="7927386A" w14:textId="77777777" w:rsidR="003E6F0E" w:rsidRDefault="003E6F0E" w:rsidP="003E6F0E">
      <w:pPr>
        <w:rPr>
          <w:lang w:val="en-GB"/>
        </w:rPr>
      </w:pPr>
    </w:p>
    <w:p w14:paraId="486F8286" w14:textId="77777777" w:rsidR="00B45F59" w:rsidRDefault="00B45F59" w:rsidP="003E6F0E">
      <w:pPr>
        <w:rPr>
          <w:lang w:val="en-GB"/>
        </w:rPr>
      </w:pPr>
    </w:p>
    <w:p w14:paraId="599110B5" w14:textId="77777777" w:rsidR="00B45F59" w:rsidRPr="001F151E" w:rsidRDefault="00B45F59" w:rsidP="003E6F0E">
      <w:pPr>
        <w:rPr>
          <w:lang w:val="en-GB"/>
        </w:rPr>
      </w:pPr>
    </w:p>
    <w:p w14:paraId="430781DB" w14:textId="6F451625" w:rsidR="002C447B" w:rsidRPr="001F151E" w:rsidRDefault="00B45F59" w:rsidP="00C96708">
      <w:pPr>
        <w:pStyle w:val="Heading2"/>
        <w:rPr>
          <w:rFonts w:eastAsiaTheme="minorHAnsi" w:cs="Times New Roman"/>
          <w:sz w:val="21"/>
          <w:szCs w:val="21"/>
          <w:lang w:val="en-GB"/>
        </w:rPr>
      </w:pPr>
      <w:bookmarkStart w:id="42" w:name="_Toc161748827"/>
      <w:r>
        <w:rPr>
          <w:rFonts w:eastAsiaTheme="minorHAnsi"/>
          <w:lang w:val="en-GB"/>
        </w:rPr>
        <w:t>K</w:t>
      </w:r>
      <w:r w:rsidR="002C447B" w:rsidRPr="001F151E">
        <w:rPr>
          <w:rFonts w:eastAsiaTheme="minorHAnsi"/>
          <w:lang w:val="en-GB"/>
        </w:rPr>
        <w:t>omponent</w:t>
      </w:r>
      <w:r>
        <w:rPr>
          <w:rFonts w:eastAsiaTheme="minorHAnsi"/>
          <w:lang w:val="en-GB"/>
        </w:rPr>
        <w:t>i</w:t>
      </w:r>
      <w:r w:rsidR="002C447B" w:rsidRPr="001F151E">
        <w:rPr>
          <w:rFonts w:eastAsiaTheme="minorHAnsi"/>
          <w:lang w:val="en-GB"/>
        </w:rPr>
        <w:t xml:space="preserve"> 4.</w:t>
      </w:r>
      <w:r w:rsidR="00297283">
        <w:rPr>
          <w:rFonts w:eastAsiaTheme="minorHAnsi"/>
          <w:lang w:val="en-GB"/>
        </w:rPr>
        <w:t>3</w:t>
      </w:r>
      <w:r w:rsidR="002C447B" w:rsidRPr="001F151E">
        <w:rPr>
          <w:rFonts w:eastAsiaTheme="minorHAnsi"/>
          <w:lang w:val="en-GB"/>
        </w:rPr>
        <w:t xml:space="preserve"> </w:t>
      </w:r>
      <w:r>
        <w:rPr>
          <w:rFonts w:eastAsiaTheme="minorHAnsi"/>
          <w:lang w:val="en-GB"/>
        </w:rPr>
        <w:t>Prokurimi Publik</w:t>
      </w:r>
      <w:bookmarkEnd w:id="42"/>
    </w:p>
    <w:p w14:paraId="120D8CBF" w14:textId="77777777" w:rsidR="002C447B" w:rsidRPr="001F151E" w:rsidRDefault="002C447B" w:rsidP="002C447B">
      <w:pPr>
        <w:rPr>
          <w:lang w:val="en-GB"/>
        </w:rPr>
      </w:pPr>
    </w:p>
    <w:p w14:paraId="26EA7996" w14:textId="77777777" w:rsidR="00B45F59" w:rsidRPr="00B45F59" w:rsidRDefault="00B45F59" w:rsidP="00B45F59">
      <w:pPr>
        <w:spacing w:after="60" w:line="276" w:lineRule="auto"/>
        <w:jc w:val="both"/>
        <w:rPr>
          <w:rFonts w:ascii="Calibri" w:hAnsi="Calibri"/>
          <w:b/>
          <w:bCs/>
          <w:i/>
          <w:color w:val="0070C0"/>
          <w:lang w:val="en-GB"/>
        </w:rPr>
      </w:pPr>
      <w:r w:rsidRPr="00B45F59">
        <w:rPr>
          <w:b/>
          <w:bCs/>
          <w:color w:val="0070C0"/>
          <w:lang w:val="en-GB"/>
        </w:rPr>
        <w:t>Objektivi</w:t>
      </w:r>
    </w:p>
    <w:p w14:paraId="0C472E23" w14:textId="09941B37" w:rsidR="00B45F59" w:rsidRPr="00B45F59" w:rsidRDefault="00B45F59" w:rsidP="00B45F59">
      <w:pPr>
        <w:spacing w:line="276" w:lineRule="auto"/>
        <w:jc w:val="both"/>
        <w:rPr>
          <w:lang w:val="en-GB"/>
        </w:rPr>
      </w:pPr>
      <w:r w:rsidRPr="00B45F59">
        <w:rPr>
          <w:lang w:val="en-GB"/>
        </w:rPr>
        <w:t xml:space="preserve">Synimi për vitin 2030 është </w:t>
      </w:r>
      <w:r w:rsidR="00E35493" w:rsidRPr="00E35493">
        <w:rPr>
          <w:iCs/>
          <w:lang w:val="en-GB"/>
        </w:rPr>
        <w:t xml:space="preserve">garantimi i një sistemi </w:t>
      </w:r>
      <w:r w:rsidR="00E35493" w:rsidRPr="00E35493">
        <w:rPr>
          <w:lang w:val="en-GB"/>
        </w:rPr>
        <w:t xml:space="preserve">eficient dhe të qëndrueshëm duke promovuar përmirësimin e tij drejt një qasjeje moderne dhe eficiente të bazuar në praktikat më të mira ndërkombëtare, në përputhje me parimet e transparencës, konkurrencës së lirë dhe të ndershme, mosdiskriminimit </w:t>
      </w:r>
      <w:r w:rsidR="00E35493" w:rsidRPr="00E35493">
        <w:rPr>
          <w:iCs/>
          <w:lang w:val="en-GB"/>
        </w:rPr>
        <w:t xml:space="preserve">dhe trajtimit të barabartë, </w:t>
      </w:r>
      <w:r w:rsidR="00E35493" w:rsidRPr="00E35493">
        <w:rPr>
          <w:lang w:val="en-GB"/>
        </w:rPr>
        <w:t>duke promovuar dhe nxitur një sistem të qëndrueshëm që garanton vlerën për para</w:t>
      </w:r>
      <w:r w:rsidRPr="00B45F59">
        <w:rPr>
          <w:lang w:val="en-GB"/>
        </w:rPr>
        <w:t>.</w:t>
      </w:r>
    </w:p>
    <w:p w14:paraId="21C1A280" w14:textId="77777777" w:rsidR="00B45F59" w:rsidRPr="00B45F59" w:rsidRDefault="00B45F59" w:rsidP="00B45F59">
      <w:pPr>
        <w:spacing w:line="276" w:lineRule="auto"/>
        <w:jc w:val="both"/>
        <w:rPr>
          <w:lang w:val="en-GB"/>
        </w:rPr>
      </w:pPr>
    </w:p>
    <w:p w14:paraId="1C83BB4E" w14:textId="77777777" w:rsidR="00B45F59" w:rsidRPr="00B45F59" w:rsidRDefault="00B45F59" w:rsidP="00B45F59">
      <w:pPr>
        <w:spacing w:after="60" w:line="276" w:lineRule="auto"/>
        <w:jc w:val="both"/>
        <w:rPr>
          <w:b/>
          <w:bCs/>
          <w:color w:val="0070C0"/>
          <w:lang w:val="en-GB"/>
        </w:rPr>
      </w:pPr>
      <w:r w:rsidRPr="00B45F59">
        <w:rPr>
          <w:b/>
          <w:bCs/>
          <w:color w:val="0070C0"/>
          <w:lang w:val="en-GB"/>
        </w:rPr>
        <w:t xml:space="preserve">Konteksti </w:t>
      </w:r>
    </w:p>
    <w:p w14:paraId="04B558A9" w14:textId="3C6CADF1" w:rsidR="00B45F59" w:rsidRPr="00B45F59" w:rsidRDefault="00B45F59" w:rsidP="00B45F59">
      <w:pPr>
        <w:spacing w:line="276" w:lineRule="auto"/>
        <w:jc w:val="both"/>
        <w:rPr>
          <w:rFonts w:eastAsia="Times New Roman"/>
          <w:lang w:val="en-GB"/>
        </w:rPr>
      </w:pPr>
      <w:r w:rsidRPr="00B45F59">
        <w:rPr>
          <w:rFonts w:eastAsia="Times New Roman"/>
          <w:lang w:val="en-GB"/>
        </w:rPr>
        <w:t xml:space="preserve">Vitet e fundit, është bërë përparim domethënës në përafrimin e legjislacionit të prokurimit publik me direktivat e BE-së. Është miratuar Ligji për Prokurimin Publik </w:t>
      </w:r>
      <w:r w:rsidR="00203791">
        <w:rPr>
          <w:rStyle w:val="FootnoteReference"/>
          <w:rFonts w:eastAsia="Times New Roman"/>
          <w:lang w:val="en-GB"/>
        </w:rPr>
        <w:footnoteReference w:id="51"/>
      </w:r>
      <w:r w:rsidR="00203791">
        <w:rPr>
          <w:rFonts w:eastAsia="Times New Roman"/>
          <w:lang w:val="en-GB"/>
        </w:rPr>
        <w:t xml:space="preserve"> </w:t>
      </w:r>
      <w:r w:rsidRPr="00B45F59">
        <w:rPr>
          <w:rFonts w:eastAsia="Times New Roman"/>
          <w:lang w:val="en-GB"/>
        </w:rPr>
        <w:t xml:space="preserve">dhe janë miratuar një sërë aktesh nënligjore dhe rregulloresh, </w:t>
      </w:r>
      <w:r w:rsidR="00E35493" w:rsidRPr="00E35493">
        <w:rPr>
          <w:rFonts w:eastAsia="Times New Roman"/>
          <w:lang w:val="en-GB"/>
        </w:rPr>
        <w:t>d</w:t>
      </w:r>
      <w:r w:rsidR="00E35493" w:rsidRPr="00E35493">
        <w:rPr>
          <w:rFonts w:eastAsia="Times New Roman"/>
          <w:iCs/>
          <w:lang w:val="en-GB"/>
        </w:rPr>
        <w:t xml:space="preserve">uke perfshire miratimin e rregullave të prokurimit publik, VKM për prokurimin e shërbimeve sociale dhe shërbimeve të tjera specifike, fjalorin e përbashket të prokurimit etj. </w:t>
      </w:r>
      <w:r w:rsidR="00E35493" w:rsidRPr="00E35493">
        <w:rPr>
          <w:rFonts w:eastAsia="Times New Roman"/>
          <w:lang w:val="en-GB"/>
        </w:rPr>
        <w:t>Sistemi i Prokurimit Elektronik ka ardhur duke u përmirësuar</w:t>
      </w:r>
      <w:r w:rsidRPr="00E35493">
        <w:rPr>
          <w:rFonts w:eastAsia="Times New Roman"/>
          <w:iCs/>
          <w:lang w:val="en-GB"/>
        </w:rPr>
        <w:t>,</w:t>
      </w:r>
      <w:r w:rsidRPr="00B45F59">
        <w:rPr>
          <w:rFonts w:eastAsia="Times New Roman"/>
          <w:lang w:val="en-GB"/>
        </w:rPr>
        <w:t xml:space="preserve"> duke përfshirë realizimin e funksionaliteteve të reja në SPE për t'u përafruar me ndryshimet e ligjit të ri. Një ndërfaqe ndërmjet SIFQ dhe SPE u krijua në vitin 2020, duke siguruar që autoritetet kontraktore të mund të verifikonin disponueshmërinë e fondeve përpara se të vazhdonin me procedurat e prokurimit.</w:t>
      </w:r>
    </w:p>
    <w:p w14:paraId="3C16FD26" w14:textId="77777777" w:rsidR="00B45F59" w:rsidRPr="00B45F59" w:rsidRDefault="00B45F59" w:rsidP="00B45F59">
      <w:pPr>
        <w:spacing w:line="276" w:lineRule="auto"/>
        <w:jc w:val="both"/>
        <w:rPr>
          <w:rFonts w:eastAsia="Times New Roman"/>
          <w:color w:val="FF0000"/>
          <w:lang w:val="en-GB"/>
        </w:rPr>
      </w:pPr>
    </w:p>
    <w:p w14:paraId="58FA65A8" w14:textId="77777777" w:rsidR="00B45F59" w:rsidRPr="00B45F59" w:rsidRDefault="00B45F59" w:rsidP="00B45F59">
      <w:pPr>
        <w:spacing w:line="276" w:lineRule="auto"/>
        <w:jc w:val="both"/>
        <w:rPr>
          <w:lang w:val="en-GB"/>
        </w:rPr>
      </w:pPr>
      <w:r w:rsidRPr="00B45F59">
        <w:rPr>
          <w:lang w:val="en-GB"/>
        </w:rPr>
        <w:t>Agjencia Shqiptare e Prokurimit Publik (APP) në cilësinë e saj si rregullatore e prokurimit publik vazhdon të mbikëqyrë zbatimin e ligjit të ri të prokurimit publik. APP ka publikuar një udhërrëfyes në lidhje me përdorimin e prokurimit publik të gjelbër, duke përfshirë një metodologji për kriteret dhe specifikimet teknike përkatëse. Përdorimi i kritereve të gjelbra në prokurimin publik kërkon rritje të kapaciteteve dhe njohurive mbi konceptin e Prokurimit Publik të Gjelbër nga autoritetet kontraktore.</w:t>
      </w:r>
    </w:p>
    <w:p w14:paraId="191AC97B" w14:textId="77777777" w:rsidR="00B45F59" w:rsidRPr="00B45F59" w:rsidRDefault="00B45F59" w:rsidP="00B45F59">
      <w:pPr>
        <w:spacing w:line="276" w:lineRule="auto"/>
        <w:jc w:val="both"/>
        <w:rPr>
          <w:lang w:val="en-GB"/>
        </w:rPr>
      </w:pPr>
    </w:p>
    <w:p w14:paraId="33B0394B" w14:textId="414987D7" w:rsidR="00B45F59" w:rsidRPr="00B45F59" w:rsidRDefault="00B45F59" w:rsidP="00B45F59">
      <w:pPr>
        <w:spacing w:line="276" w:lineRule="auto"/>
        <w:jc w:val="both"/>
        <w:rPr>
          <w:rFonts w:eastAsia="Times New Roman"/>
          <w:lang w:val="en-GB"/>
        </w:rPr>
      </w:pPr>
      <w:r w:rsidRPr="00B45F59">
        <w:rPr>
          <w:rFonts w:eastAsia="Times New Roman"/>
          <w:lang w:val="en-GB"/>
        </w:rPr>
        <w:t xml:space="preserve">Komisioni Shqiptar i Prokurimit Publik (KPP) </w:t>
      </w:r>
      <w:r w:rsidR="00203791">
        <w:rPr>
          <w:rStyle w:val="FootnoteReference"/>
          <w:rFonts w:eastAsia="Times New Roman"/>
          <w:lang w:val="en-GB"/>
        </w:rPr>
        <w:footnoteReference w:id="52"/>
      </w:r>
      <w:r w:rsidR="00203791">
        <w:rPr>
          <w:rFonts w:eastAsia="Times New Roman"/>
          <w:lang w:val="en-GB"/>
        </w:rPr>
        <w:t xml:space="preserve"> </w:t>
      </w:r>
      <w:r w:rsidRPr="00B45F59">
        <w:rPr>
          <w:rFonts w:eastAsia="Times New Roman"/>
          <w:lang w:val="en-GB"/>
        </w:rPr>
        <w:t>ka forcuar pavarësinë e tij me zbatimin e ndryshimeve ligjore në vitin 2018. Një sistem elektronik i menaxhimit të ankesave për prokurimet publike u bë funksional që nga viti 2021. Të gjitha vendet vakante të planifikuara u plotësuan deri në fund të vitit 2022 dhe në të njëjtin vitin, KPP-ja përmirësoi efikasitetin e shqyrtimit të ankesave, si për sa i përket numrit të ankesave të trajtuara jashtë afatit, ashtu edhe për kohën e nevojshme për shqyrtimin e ankesave. KPP do të vazhdojë të mbajë fokusin në vendimmarrjen në kohë dhe efektive në procesin e shqyrtimit të ankesave, duke mbajtur në ekuilibër shpërndarjen e burimeve, ndryshimet rregullatore dhe përmirësimet teknologjike.</w:t>
      </w:r>
    </w:p>
    <w:p w14:paraId="0A92C246" w14:textId="77777777" w:rsidR="00B45F59" w:rsidRPr="00B45F59" w:rsidRDefault="00B45F59" w:rsidP="00B45F59">
      <w:pPr>
        <w:spacing w:line="264" w:lineRule="auto"/>
        <w:rPr>
          <w:color w:val="FF0000"/>
          <w:szCs w:val="20"/>
          <w:lang w:val="en-GB"/>
        </w:rPr>
      </w:pPr>
    </w:p>
    <w:p w14:paraId="3B33AA9B" w14:textId="77777777" w:rsidR="00B45F59" w:rsidRPr="00B45F59" w:rsidRDefault="00B45F59" w:rsidP="00B45F59">
      <w:pPr>
        <w:spacing w:after="60"/>
        <w:rPr>
          <w:b/>
          <w:bCs/>
          <w:color w:val="0070C0"/>
          <w:lang w:val="en-GB"/>
        </w:rPr>
      </w:pPr>
      <w:r w:rsidRPr="00B45F59">
        <w:rPr>
          <w:b/>
          <w:bCs/>
          <w:color w:val="0070C0"/>
          <w:lang w:val="en-GB"/>
        </w:rPr>
        <w:t>Masat dhe aktivitetet</w:t>
      </w:r>
    </w:p>
    <w:tbl>
      <w:tblPr>
        <w:tblStyle w:val="TableGridIDEA2"/>
        <w:tblW w:w="5000" w:type="pct"/>
        <w:tblCellMar>
          <w:top w:w="57" w:type="dxa"/>
          <w:left w:w="57" w:type="dxa"/>
          <w:bottom w:w="57" w:type="dxa"/>
          <w:right w:w="57" w:type="dxa"/>
        </w:tblCellMar>
        <w:tblLook w:val="04A0" w:firstRow="1" w:lastRow="0" w:firstColumn="1" w:lastColumn="0" w:noHBand="0" w:noVBand="1"/>
      </w:tblPr>
      <w:tblGrid>
        <w:gridCol w:w="2018"/>
        <w:gridCol w:w="3637"/>
        <w:gridCol w:w="794"/>
        <w:gridCol w:w="794"/>
        <w:gridCol w:w="1773"/>
      </w:tblGrid>
      <w:tr w:rsidR="00B45F59" w:rsidRPr="00B45F59" w14:paraId="2CF03849" w14:textId="77777777" w:rsidTr="00B45F59">
        <w:trPr>
          <w:trHeight w:val="182"/>
          <w:tblHeader/>
        </w:trPr>
        <w:tc>
          <w:tcPr>
            <w:tcW w:w="2018" w:type="dxa"/>
            <w:shd w:val="clear" w:color="auto" w:fill="D9D9D9" w:themeFill="background1" w:themeFillShade="D9"/>
          </w:tcPr>
          <w:p w14:paraId="4824D878" w14:textId="77777777" w:rsidR="00B45F59" w:rsidRPr="00B45F59" w:rsidRDefault="00B45F59" w:rsidP="00B45F59">
            <w:pPr>
              <w:rPr>
                <w:b/>
                <w:bCs/>
                <w:sz w:val="16"/>
                <w:szCs w:val="16"/>
              </w:rPr>
            </w:pPr>
            <w:r w:rsidRPr="00B45F59">
              <w:rPr>
                <w:b/>
                <w:bCs/>
                <w:sz w:val="16"/>
                <w:szCs w:val="16"/>
              </w:rPr>
              <w:t>Masa</w:t>
            </w:r>
          </w:p>
        </w:tc>
        <w:tc>
          <w:tcPr>
            <w:tcW w:w="3637" w:type="dxa"/>
            <w:shd w:val="clear" w:color="auto" w:fill="D9D9D9" w:themeFill="background1" w:themeFillShade="D9"/>
          </w:tcPr>
          <w:p w14:paraId="48915D78" w14:textId="77777777" w:rsidR="00B45F59" w:rsidRPr="00B45F59" w:rsidRDefault="00B45F59" w:rsidP="00B45F59">
            <w:pPr>
              <w:rPr>
                <w:b/>
                <w:bCs/>
                <w:sz w:val="16"/>
                <w:szCs w:val="16"/>
              </w:rPr>
            </w:pPr>
            <w:r w:rsidRPr="00B45F59">
              <w:rPr>
                <w:b/>
                <w:bCs/>
                <w:sz w:val="16"/>
                <w:szCs w:val="16"/>
              </w:rPr>
              <w:t>Aktiviteti</w:t>
            </w:r>
          </w:p>
        </w:tc>
        <w:tc>
          <w:tcPr>
            <w:tcW w:w="794" w:type="dxa"/>
            <w:shd w:val="clear" w:color="auto" w:fill="D9D9D9" w:themeFill="background1" w:themeFillShade="D9"/>
          </w:tcPr>
          <w:p w14:paraId="0BBB9153" w14:textId="77777777" w:rsidR="00B45F59" w:rsidRPr="00B45F59" w:rsidRDefault="00B45F59" w:rsidP="00B45F59">
            <w:pPr>
              <w:jc w:val="center"/>
              <w:rPr>
                <w:b/>
                <w:bCs/>
                <w:sz w:val="16"/>
                <w:szCs w:val="16"/>
              </w:rPr>
            </w:pPr>
            <w:r w:rsidRPr="00B45F59">
              <w:rPr>
                <w:b/>
                <w:bCs/>
                <w:sz w:val="16"/>
                <w:szCs w:val="16"/>
              </w:rPr>
              <w:t>Fillimi</w:t>
            </w:r>
          </w:p>
        </w:tc>
        <w:tc>
          <w:tcPr>
            <w:tcW w:w="794" w:type="dxa"/>
            <w:shd w:val="clear" w:color="auto" w:fill="D9D9D9" w:themeFill="background1" w:themeFillShade="D9"/>
          </w:tcPr>
          <w:p w14:paraId="35C2D0A1" w14:textId="77777777" w:rsidR="00B45F59" w:rsidRPr="00B45F59" w:rsidRDefault="00B45F59" w:rsidP="00B45F59">
            <w:pPr>
              <w:jc w:val="center"/>
              <w:rPr>
                <w:b/>
                <w:bCs/>
                <w:sz w:val="16"/>
                <w:szCs w:val="16"/>
              </w:rPr>
            </w:pPr>
            <w:r w:rsidRPr="00B45F59">
              <w:rPr>
                <w:b/>
                <w:bCs/>
                <w:sz w:val="16"/>
                <w:szCs w:val="16"/>
              </w:rPr>
              <w:t>Mbarimi</w:t>
            </w:r>
          </w:p>
        </w:tc>
        <w:tc>
          <w:tcPr>
            <w:tcW w:w="1773" w:type="dxa"/>
            <w:shd w:val="clear" w:color="auto" w:fill="D9D9D9" w:themeFill="background1" w:themeFillShade="D9"/>
          </w:tcPr>
          <w:p w14:paraId="0DCA822A" w14:textId="77777777" w:rsidR="00B45F59" w:rsidRPr="00B45F59" w:rsidRDefault="00B45F59" w:rsidP="00B45F59">
            <w:pPr>
              <w:rPr>
                <w:b/>
                <w:bCs/>
                <w:sz w:val="16"/>
                <w:szCs w:val="16"/>
              </w:rPr>
            </w:pPr>
            <w:r w:rsidRPr="00B45F59">
              <w:rPr>
                <w:b/>
                <w:bCs/>
                <w:sz w:val="16"/>
                <w:szCs w:val="16"/>
              </w:rPr>
              <w:t>Grupet e Interesit</w:t>
            </w:r>
          </w:p>
        </w:tc>
      </w:tr>
      <w:tr w:rsidR="00B45F59" w:rsidRPr="00B45F59" w14:paraId="7CBD3E1C" w14:textId="77777777" w:rsidTr="00B45F59">
        <w:trPr>
          <w:trHeight w:val="20"/>
        </w:trPr>
        <w:tc>
          <w:tcPr>
            <w:tcW w:w="2018" w:type="dxa"/>
            <w:shd w:val="clear" w:color="auto" w:fill="auto"/>
          </w:tcPr>
          <w:p w14:paraId="16AC16BF" w14:textId="249E92E7" w:rsidR="00B45F59" w:rsidRPr="009D660E" w:rsidRDefault="00B45F59" w:rsidP="00B45F59">
            <w:pPr>
              <w:rPr>
                <w:b/>
                <w:bCs/>
                <w:sz w:val="16"/>
                <w:szCs w:val="16"/>
                <w:lang w:val="it-IT"/>
              </w:rPr>
            </w:pPr>
            <w:r w:rsidRPr="009D660E">
              <w:rPr>
                <w:b/>
                <w:bCs/>
                <w:sz w:val="16"/>
                <w:szCs w:val="16"/>
                <w:lang w:val="it-IT"/>
              </w:rPr>
              <w:t xml:space="preserve">Masa 4.3.1 </w:t>
            </w:r>
            <w:r w:rsidR="00E35493" w:rsidRPr="009D660E">
              <w:rPr>
                <w:b/>
                <w:bCs/>
                <w:iCs/>
                <w:sz w:val="16"/>
                <w:szCs w:val="16"/>
                <w:lang w:val="it-IT"/>
              </w:rPr>
              <w:t>Permiresimi i cilesisë dhe eficences në procedurat e prokurimit</w:t>
            </w:r>
          </w:p>
        </w:tc>
        <w:tc>
          <w:tcPr>
            <w:tcW w:w="3637" w:type="dxa"/>
            <w:vAlign w:val="center"/>
          </w:tcPr>
          <w:p w14:paraId="62F16923" w14:textId="1EF32722" w:rsidR="00B45F59" w:rsidRPr="009D660E" w:rsidRDefault="00E35493" w:rsidP="00B45F59">
            <w:pPr>
              <w:numPr>
                <w:ilvl w:val="0"/>
                <w:numId w:val="14"/>
              </w:numPr>
              <w:rPr>
                <w:sz w:val="16"/>
                <w:szCs w:val="16"/>
                <w:lang w:val="it-IT"/>
              </w:rPr>
            </w:pPr>
            <w:r w:rsidRPr="009D660E">
              <w:rPr>
                <w:sz w:val="16"/>
                <w:szCs w:val="16"/>
                <w:lang w:val="it-IT"/>
              </w:rPr>
              <w:t>Per perdorimin e kriterit te vleresimit “Oferta ekonomikisht me e favorshme bazuar ne kosto” (MEAT bazuar ne kosto)</w:t>
            </w:r>
          </w:p>
        </w:tc>
        <w:tc>
          <w:tcPr>
            <w:tcW w:w="794" w:type="dxa"/>
            <w:vAlign w:val="center"/>
          </w:tcPr>
          <w:p w14:paraId="625B560E" w14:textId="77777777" w:rsidR="00B45F59" w:rsidRPr="00B45F59" w:rsidRDefault="00B45F59" w:rsidP="00B45F59">
            <w:pPr>
              <w:jc w:val="center"/>
              <w:rPr>
                <w:sz w:val="16"/>
                <w:szCs w:val="16"/>
              </w:rPr>
            </w:pPr>
            <w:r w:rsidRPr="00B45F59">
              <w:rPr>
                <w:sz w:val="16"/>
                <w:szCs w:val="16"/>
              </w:rPr>
              <w:t>T1 2023</w:t>
            </w:r>
          </w:p>
        </w:tc>
        <w:tc>
          <w:tcPr>
            <w:tcW w:w="794" w:type="dxa"/>
            <w:vAlign w:val="center"/>
          </w:tcPr>
          <w:p w14:paraId="650137F7" w14:textId="77777777" w:rsidR="00B45F59" w:rsidRPr="00B45F59" w:rsidRDefault="00B45F59" w:rsidP="00B45F59">
            <w:pPr>
              <w:jc w:val="center"/>
              <w:rPr>
                <w:sz w:val="16"/>
                <w:szCs w:val="16"/>
              </w:rPr>
            </w:pPr>
            <w:r w:rsidRPr="00B45F59">
              <w:rPr>
                <w:sz w:val="16"/>
                <w:szCs w:val="16"/>
              </w:rPr>
              <w:t>T4 2024</w:t>
            </w:r>
          </w:p>
        </w:tc>
        <w:tc>
          <w:tcPr>
            <w:tcW w:w="1773" w:type="dxa"/>
          </w:tcPr>
          <w:p w14:paraId="7ACCF99C" w14:textId="77777777" w:rsidR="00B45F59" w:rsidRPr="00B45F59" w:rsidRDefault="00B45F59" w:rsidP="00B45F59">
            <w:pPr>
              <w:rPr>
                <w:b/>
                <w:bCs/>
                <w:sz w:val="16"/>
                <w:szCs w:val="16"/>
              </w:rPr>
            </w:pPr>
            <w:r w:rsidRPr="00B45F59">
              <w:rPr>
                <w:b/>
                <w:bCs/>
                <w:sz w:val="16"/>
                <w:szCs w:val="16"/>
              </w:rPr>
              <w:t>Njësitë përgjegjëse:</w:t>
            </w:r>
          </w:p>
          <w:p w14:paraId="2490D1AE" w14:textId="77777777" w:rsidR="00B45F59" w:rsidRPr="00B45F59" w:rsidRDefault="00B45F59" w:rsidP="00B45F59">
            <w:pPr>
              <w:rPr>
                <w:sz w:val="16"/>
                <w:szCs w:val="16"/>
              </w:rPr>
            </w:pPr>
            <w:r w:rsidRPr="00B45F59">
              <w:rPr>
                <w:sz w:val="16"/>
                <w:szCs w:val="16"/>
              </w:rPr>
              <w:t>APP (lider)</w:t>
            </w:r>
          </w:p>
          <w:p w14:paraId="62C8CB5D" w14:textId="77777777" w:rsidR="00B45F59" w:rsidRPr="00B45F59" w:rsidRDefault="00B45F59" w:rsidP="00B45F59">
            <w:pPr>
              <w:rPr>
                <w:sz w:val="16"/>
                <w:szCs w:val="16"/>
              </w:rPr>
            </w:pPr>
          </w:p>
          <w:p w14:paraId="4C2E8FBE" w14:textId="77777777" w:rsidR="00B45F59" w:rsidRPr="00B45F59" w:rsidRDefault="00B45F59" w:rsidP="00B45F59">
            <w:pPr>
              <w:rPr>
                <w:b/>
                <w:bCs/>
                <w:sz w:val="16"/>
                <w:szCs w:val="16"/>
              </w:rPr>
            </w:pPr>
            <w:r w:rsidRPr="00B45F59">
              <w:rPr>
                <w:b/>
                <w:bCs/>
                <w:sz w:val="16"/>
                <w:szCs w:val="16"/>
              </w:rPr>
              <w:t>Partnerët:</w:t>
            </w:r>
          </w:p>
          <w:p w14:paraId="314D4783" w14:textId="77777777" w:rsidR="00B45F59" w:rsidRPr="00B45F59" w:rsidRDefault="00B45F59" w:rsidP="00B45F59">
            <w:pPr>
              <w:rPr>
                <w:sz w:val="16"/>
                <w:szCs w:val="16"/>
              </w:rPr>
            </w:pPr>
            <w:r w:rsidRPr="00B45F59">
              <w:rPr>
                <w:sz w:val="16"/>
                <w:szCs w:val="16"/>
              </w:rPr>
              <w:t>SIGMA</w:t>
            </w:r>
          </w:p>
        </w:tc>
      </w:tr>
      <w:tr w:rsidR="00B45F59" w:rsidRPr="00B45F59" w14:paraId="6D9E85EF" w14:textId="77777777" w:rsidTr="00B45F59">
        <w:trPr>
          <w:trHeight w:val="32"/>
        </w:trPr>
        <w:tc>
          <w:tcPr>
            <w:tcW w:w="2018" w:type="dxa"/>
            <w:vMerge w:val="restart"/>
          </w:tcPr>
          <w:p w14:paraId="0304A9FE" w14:textId="77777777" w:rsidR="00B45F59" w:rsidRPr="00B45F59" w:rsidRDefault="00B45F59" w:rsidP="00B45F59">
            <w:pPr>
              <w:rPr>
                <w:b/>
                <w:bCs/>
                <w:sz w:val="16"/>
                <w:szCs w:val="16"/>
              </w:rPr>
            </w:pPr>
            <w:r w:rsidRPr="00B45F59">
              <w:rPr>
                <w:b/>
                <w:bCs/>
                <w:sz w:val="16"/>
                <w:szCs w:val="16"/>
              </w:rPr>
              <w:t>Masa 4.3.2 Hartimi dhe zbatimi i prokurimit publik të gjelbër</w:t>
            </w:r>
          </w:p>
          <w:p w14:paraId="64FA2573" w14:textId="77777777" w:rsidR="00B45F59" w:rsidRPr="00B45F59" w:rsidRDefault="00B45F59" w:rsidP="00B45F59">
            <w:pPr>
              <w:rPr>
                <w:b/>
                <w:bCs/>
                <w:sz w:val="16"/>
                <w:szCs w:val="16"/>
              </w:rPr>
            </w:pPr>
          </w:p>
        </w:tc>
        <w:tc>
          <w:tcPr>
            <w:tcW w:w="3637" w:type="dxa"/>
            <w:vAlign w:val="center"/>
          </w:tcPr>
          <w:p w14:paraId="6B7BA51D" w14:textId="77777777" w:rsidR="00B45F59" w:rsidRPr="00B45F59" w:rsidRDefault="00B45F59" w:rsidP="00B45F59">
            <w:pPr>
              <w:numPr>
                <w:ilvl w:val="0"/>
                <w:numId w:val="15"/>
              </w:numPr>
              <w:spacing w:line="264" w:lineRule="auto"/>
              <w:rPr>
                <w:sz w:val="16"/>
                <w:szCs w:val="16"/>
              </w:rPr>
            </w:pPr>
            <w:r w:rsidRPr="00B45F59">
              <w:rPr>
                <w:sz w:val="16"/>
                <w:szCs w:val="16"/>
              </w:rPr>
              <w:t>Përgatitja e metodologjisë për zbatimin e kritereve të prokurimit të gjelbër/efiçencës së energjisë.</w:t>
            </w:r>
            <w:r w:rsidRPr="00B45F59">
              <w:rPr>
                <w:sz w:val="16"/>
                <w:szCs w:val="16"/>
                <w:vertAlign w:val="superscript"/>
              </w:rPr>
              <w:footnoteReference w:id="53"/>
            </w:r>
          </w:p>
        </w:tc>
        <w:tc>
          <w:tcPr>
            <w:tcW w:w="794" w:type="dxa"/>
            <w:vAlign w:val="center"/>
          </w:tcPr>
          <w:p w14:paraId="017A2F71" w14:textId="77777777" w:rsidR="00B45F59" w:rsidRPr="00B45F59" w:rsidRDefault="00B45F59" w:rsidP="00B45F59">
            <w:pPr>
              <w:jc w:val="center"/>
              <w:rPr>
                <w:sz w:val="16"/>
                <w:szCs w:val="16"/>
              </w:rPr>
            </w:pPr>
            <w:r w:rsidRPr="00B45F59">
              <w:rPr>
                <w:sz w:val="16"/>
                <w:szCs w:val="16"/>
              </w:rPr>
              <w:t>T1 2023</w:t>
            </w:r>
          </w:p>
        </w:tc>
        <w:tc>
          <w:tcPr>
            <w:tcW w:w="794" w:type="dxa"/>
            <w:vAlign w:val="center"/>
          </w:tcPr>
          <w:p w14:paraId="477AB6BA" w14:textId="77777777" w:rsidR="00B45F59" w:rsidRPr="00B45F59" w:rsidRDefault="00B45F59" w:rsidP="00B45F59">
            <w:pPr>
              <w:jc w:val="center"/>
              <w:rPr>
                <w:sz w:val="16"/>
                <w:szCs w:val="16"/>
              </w:rPr>
            </w:pPr>
            <w:r w:rsidRPr="00B45F59">
              <w:rPr>
                <w:sz w:val="16"/>
                <w:szCs w:val="16"/>
              </w:rPr>
              <w:t>T4 2023</w:t>
            </w:r>
          </w:p>
        </w:tc>
        <w:tc>
          <w:tcPr>
            <w:tcW w:w="1773" w:type="dxa"/>
            <w:vMerge w:val="restart"/>
          </w:tcPr>
          <w:p w14:paraId="49C0CBA6" w14:textId="77777777" w:rsidR="00B45F59" w:rsidRPr="00B45F59" w:rsidRDefault="00B45F59" w:rsidP="00B45F59">
            <w:pPr>
              <w:rPr>
                <w:b/>
                <w:bCs/>
                <w:sz w:val="16"/>
                <w:szCs w:val="16"/>
              </w:rPr>
            </w:pPr>
            <w:r w:rsidRPr="00B45F59">
              <w:rPr>
                <w:b/>
                <w:bCs/>
                <w:sz w:val="16"/>
                <w:szCs w:val="16"/>
              </w:rPr>
              <w:t>Njësitë përgjegjëse:</w:t>
            </w:r>
          </w:p>
          <w:p w14:paraId="04516897" w14:textId="684B9BB1" w:rsidR="00B45F59" w:rsidRPr="00B45F59" w:rsidRDefault="00B45F59" w:rsidP="00B45F59">
            <w:pPr>
              <w:rPr>
                <w:sz w:val="16"/>
                <w:szCs w:val="16"/>
              </w:rPr>
            </w:pPr>
            <w:r w:rsidRPr="00B45F59">
              <w:rPr>
                <w:sz w:val="16"/>
                <w:szCs w:val="16"/>
              </w:rPr>
              <w:t>APP (lider)</w:t>
            </w:r>
            <w:r w:rsidR="00123CA7">
              <w:rPr>
                <w:sz w:val="16"/>
                <w:szCs w:val="16"/>
              </w:rPr>
              <w:t>, MIE</w:t>
            </w:r>
          </w:p>
          <w:p w14:paraId="42260EB2" w14:textId="77777777" w:rsidR="00B45F59" w:rsidRPr="00B45F59" w:rsidRDefault="00B45F59" w:rsidP="00B45F59">
            <w:pPr>
              <w:rPr>
                <w:sz w:val="16"/>
                <w:szCs w:val="16"/>
              </w:rPr>
            </w:pPr>
          </w:p>
          <w:p w14:paraId="490E9216" w14:textId="77777777" w:rsidR="00B45F59" w:rsidRPr="00B45F59" w:rsidRDefault="00B45F59" w:rsidP="00B45F59">
            <w:pPr>
              <w:rPr>
                <w:b/>
                <w:bCs/>
                <w:sz w:val="16"/>
                <w:szCs w:val="16"/>
              </w:rPr>
            </w:pPr>
            <w:r w:rsidRPr="00B45F59">
              <w:rPr>
                <w:b/>
                <w:bCs/>
                <w:sz w:val="16"/>
                <w:szCs w:val="16"/>
              </w:rPr>
              <w:t>Partnerët:</w:t>
            </w:r>
          </w:p>
          <w:p w14:paraId="4F074483" w14:textId="77777777" w:rsidR="00B45F59" w:rsidRPr="00B45F59" w:rsidRDefault="00B45F59" w:rsidP="00B45F59">
            <w:pPr>
              <w:rPr>
                <w:sz w:val="16"/>
                <w:szCs w:val="16"/>
              </w:rPr>
            </w:pPr>
            <w:r w:rsidRPr="00B45F59">
              <w:rPr>
                <w:sz w:val="16"/>
                <w:szCs w:val="16"/>
              </w:rPr>
              <w:t>Banka Botërore</w:t>
            </w:r>
          </w:p>
          <w:p w14:paraId="64DC2C5B" w14:textId="77777777" w:rsidR="00B45F59" w:rsidRPr="00B45F59" w:rsidRDefault="00B45F59" w:rsidP="00B45F59">
            <w:pPr>
              <w:rPr>
                <w:sz w:val="16"/>
                <w:szCs w:val="16"/>
              </w:rPr>
            </w:pPr>
          </w:p>
        </w:tc>
      </w:tr>
      <w:tr w:rsidR="00B45F59" w:rsidRPr="00B45F59" w14:paraId="65726187" w14:textId="77777777" w:rsidTr="00B45F59">
        <w:trPr>
          <w:trHeight w:val="32"/>
        </w:trPr>
        <w:tc>
          <w:tcPr>
            <w:tcW w:w="2018" w:type="dxa"/>
            <w:vMerge/>
          </w:tcPr>
          <w:p w14:paraId="75850AB9" w14:textId="77777777" w:rsidR="00B45F59" w:rsidRPr="00B45F59" w:rsidRDefault="00B45F59" w:rsidP="00B45F59">
            <w:pPr>
              <w:numPr>
                <w:ilvl w:val="0"/>
                <w:numId w:val="15"/>
              </w:numPr>
              <w:rPr>
                <w:sz w:val="16"/>
                <w:szCs w:val="16"/>
              </w:rPr>
            </w:pPr>
          </w:p>
        </w:tc>
        <w:tc>
          <w:tcPr>
            <w:tcW w:w="3637" w:type="dxa"/>
            <w:vAlign w:val="center"/>
          </w:tcPr>
          <w:p w14:paraId="0BF94070" w14:textId="77777777" w:rsidR="00B45F59" w:rsidRPr="00B45F59" w:rsidRDefault="00B45F59" w:rsidP="00B45F59">
            <w:pPr>
              <w:numPr>
                <w:ilvl w:val="0"/>
                <w:numId w:val="15"/>
              </w:numPr>
              <w:rPr>
                <w:sz w:val="16"/>
                <w:szCs w:val="16"/>
              </w:rPr>
            </w:pPr>
            <w:r w:rsidRPr="00B45F59">
              <w:rPr>
                <w:sz w:val="16"/>
                <w:szCs w:val="16"/>
              </w:rPr>
              <w:t>Zhvillimi dhe ofrimi i trajnimeve mbi prokurimin e gjelbër/efiçencën e energjisë për profesionistët e prokurimit.</w:t>
            </w:r>
          </w:p>
        </w:tc>
        <w:tc>
          <w:tcPr>
            <w:tcW w:w="794" w:type="dxa"/>
            <w:vAlign w:val="center"/>
          </w:tcPr>
          <w:p w14:paraId="7429CB72" w14:textId="77777777" w:rsidR="00B45F59" w:rsidRPr="00B45F59" w:rsidRDefault="00B45F59" w:rsidP="00B45F59">
            <w:pPr>
              <w:jc w:val="center"/>
              <w:rPr>
                <w:sz w:val="16"/>
                <w:szCs w:val="16"/>
              </w:rPr>
            </w:pPr>
            <w:r w:rsidRPr="00B45F59">
              <w:rPr>
                <w:sz w:val="16"/>
                <w:szCs w:val="16"/>
              </w:rPr>
              <w:t>T1 2023</w:t>
            </w:r>
          </w:p>
        </w:tc>
        <w:tc>
          <w:tcPr>
            <w:tcW w:w="794" w:type="dxa"/>
            <w:vAlign w:val="center"/>
          </w:tcPr>
          <w:p w14:paraId="026ECE8D" w14:textId="77777777" w:rsidR="00B45F59" w:rsidRPr="00B45F59" w:rsidRDefault="00B45F59" w:rsidP="00B45F59">
            <w:pPr>
              <w:jc w:val="center"/>
              <w:rPr>
                <w:sz w:val="16"/>
                <w:szCs w:val="16"/>
              </w:rPr>
            </w:pPr>
            <w:r w:rsidRPr="00B45F59">
              <w:rPr>
                <w:sz w:val="16"/>
                <w:szCs w:val="16"/>
              </w:rPr>
              <w:t>T4 2024</w:t>
            </w:r>
          </w:p>
        </w:tc>
        <w:tc>
          <w:tcPr>
            <w:tcW w:w="1773" w:type="dxa"/>
            <w:vMerge/>
          </w:tcPr>
          <w:p w14:paraId="6FF6ADB1" w14:textId="77777777" w:rsidR="00B45F59" w:rsidRPr="00B45F59" w:rsidRDefault="00B45F59" w:rsidP="00B45F59">
            <w:pPr>
              <w:rPr>
                <w:sz w:val="16"/>
                <w:szCs w:val="16"/>
              </w:rPr>
            </w:pPr>
          </w:p>
        </w:tc>
      </w:tr>
      <w:tr w:rsidR="00B45F59" w:rsidRPr="00B45F59" w14:paraId="01DAAEF1" w14:textId="77777777" w:rsidTr="00B45F59">
        <w:trPr>
          <w:trHeight w:val="20"/>
        </w:trPr>
        <w:tc>
          <w:tcPr>
            <w:tcW w:w="2018" w:type="dxa"/>
            <w:vMerge/>
          </w:tcPr>
          <w:p w14:paraId="70145D1E" w14:textId="77777777" w:rsidR="00B45F59" w:rsidRPr="00B45F59" w:rsidRDefault="00B45F59" w:rsidP="00B45F59">
            <w:pPr>
              <w:numPr>
                <w:ilvl w:val="0"/>
                <w:numId w:val="15"/>
              </w:numPr>
              <w:rPr>
                <w:sz w:val="16"/>
                <w:szCs w:val="16"/>
              </w:rPr>
            </w:pPr>
          </w:p>
        </w:tc>
        <w:tc>
          <w:tcPr>
            <w:tcW w:w="3637" w:type="dxa"/>
            <w:vAlign w:val="center"/>
          </w:tcPr>
          <w:p w14:paraId="58454960" w14:textId="77777777" w:rsidR="00B45F59" w:rsidRPr="00B45F59" w:rsidRDefault="00B45F59" w:rsidP="00B45F59">
            <w:pPr>
              <w:numPr>
                <w:ilvl w:val="0"/>
                <w:numId w:val="15"/>
              </w:numPr>
              <w:rPr>
                <w:sz w:val="16"/>
                <w:szCs w:val="16"/>
              </w:rPr>
            </w:pPr>
            <w:r w:rsidRPr="00B45F59">
              <w:rPr>
                <w:sz w:val="16"/>
                <w:szCs w:val="16"/>
              </w:rPr>
              <w:t>Rishikimi dhe ndryshimi i kuadrit rregullator (nëse nevojitet).</w:t>
            </w:r>
          </w:p>
        </w:tc>
        <w:tc>
          <w:tcPr>
            <w:tcW w:w="794" w:type="dxa"/>
            <w:vAlign w:val="center"/>
          </w:tcPr>
          <w:p w14:paraId="751CBCEA" w14:textId="77777777" w:rsidR="00B45F59" w:rsidRPr="00B45F59" w:rsidRDefault="00B45F59" w:rsidP="00B45F59">
            <w:pPr>
              <w:jc w:val="center"/>
              <w:rPr>
                <w:sz w:val="16"/>
                <w:szCs w:val="16"/>
              </w:rPr>
            </w:pPr>
            <w:r w:rsidRPr="00B45F59">
              <w:rPr>
                <w:sz w:val="16"/>
                <w:szCs w:val="16"/>
              </w:rPr>
              <w:t>T1 2023</w:t>
            </w:r>
          </w:p>
        </w:tc>
        <w:tc>
          <w:tcPr>
            <w:tcW w:w="794" w:type="dxa"/>
            <w:vAlign w:val="center"/>
          </w:tcPr>
          <w:p w14:paraId="6A88636D" w14:textId="77777777" w:rsidR="00B45F59" w:rsidRPr="00B45F59" w:rsidRDefault="00B45F59" w:rsidP="00B45F59">
            <w:pPr>
              <w:jc w:val="center"/>
              <w:rPr>
                <w:sz w:val="16"/>
                <w:szCs w:val="16"/>
              </w:rPr>
            </w:pPr>
            <w:r w:rsidRPr="00B45F59">
              <w:rPr>
                <w:sz w:val="16"/>
                <w:szCs w:val="16"/>
              </w:rPr>
              <w:t>T4 2026</w:t>
            </w:r>
          </w:p>
        </w:tc>
        <w:tc>
          <w:tcPr>
            <w:tcW w:w="1773" w:type="dxa"/>
            <w:vMerge/>
          </w:tcPr>
          <w:p w14:paraId="0D5B47B5" w14:textId="77777777" w:rsidR="00B45F59" w:rsidRPr="00B45F59" w:rsidRDefault="00B45F59" w:rsidP="00B45F59">
            <w:pPr>
              <w:rPr>
                <w:sz w:val="16"/>
                <w:szCs w:val="16"/>
              </w:rPr>
            </w:pPr>
          </w:p>
        </w:tc>
      </w:tr>
      <w:tr w:rsidR="00B45F59" w:rsidRPr="0059094E" w14:paraId="141DBDC8" w14:textId="77777777" w:rsidTr="00B45F59">
        <w:trPr>
          <w:trHeight w:val="20"/>
        </w:trPr>
        <w:tc>
          <w:tcPr>
            <w:tcW w:w="2018" w:type="dxa"/>
            <w:vMerge w:val="restart"/>
          </w:tcPr>
          <w:p w14:paraId="3D761244" w14:textId="77777777" w:rsidR="00B45F59" w:rsidRPr="00B45F59" w:rsidRDefault="00B45F59" w:rsidP="00B45F59">
            <w:pPr>
              <w:rPr>
                <w:b/>
                <w:bCs/>
                <w:sz w:val="16"/>
                <w:szCs w:val="16"/>
              </w:rPr>
            </w:pPr>
            <w:r w:rsidRPr="00B45F59">
              <w:rPr>
                <w:b/>
                <w:bCs/>
                <w:sz w:val="16"/>
                <w:szCs w:val="16"/>
              </w:rPr>
              <w:t>Masa 4.3.3 Rritja e efiçencës të sistemit të shqyrtimit të ankesave duke rritur shpejtësinë e vendimmarrjes</w:t>
            </w:r>
          </w:p>
          <w:p w14:paraId="75A795D1" w14:textId="77777777" w:rsidR="00B45F59" w:rsidRPr="00B45F59" w:rsidRDefault="00B45F59" w:rsidP="00B45F59">
            <w:pPr>
              <w:rPr>
                <w:b/>
                <w:bCs/>
                <w:sz w:val="16"/>
                <w:szCs w:val="16"/>
              </w:rPr>
            </w:pPr>
          </w:p>
        </w:tc>
        <w:tc>
          <w:tcPr>
            <w:tcW w:w="3637" w:type="dxa"/>
          </w:tcPr>
          <w:p w14:paraId="392B5EF9" w14:textId="77777777" w:rsidR="00B45F59" w:rsidRPr="00B45F59" w:rsidRDefault="00B45F59" w:rsidP="00B45F59">
            <w:pPr>
              <w:numPr>
                <w:ilvl w:val="0"/>
                <w:numId w:val="16"/>
              </w:numPr>
              <w:rPr>
                <w:sz w:val="16"/>
                <w:szCs w:val="16"/>
              </w:rPr>
            </w:pPr>
            <w:r w:rsidRPr="00B45F59">
              <w:rPr>
                <w:sz w:val="16"/>
                <w:szCs w:val="16"/>
              </w:rPr>
              <w:t>Plotësimi i vendeve vakante.</w:t>
            </w:r>
            <w:r w:rsidRPr="00B45F59">
              <w:rPr>
                <w:sz w:val="16"/>
                <w:szCs w:val="16"/>
                <w:vertAlign w:val="superscript"/>
              </w:rPr>
              <w:footnoteReference w:id="54"/>
            </w:r>
          </w:p>
        </w:tc>
        <w:tc>
          <w:tcPr>
            <w:tcW w:w="794" w:type="dxa"/>
            <w:vAlign w:val="center"/>
          </w:tcPr>
          <w:p w14:paraId="4FE74D99" w14:textId="77777777" w:rsidR="00B45F59" w:rsidRPr="00B45F59" w:rsidRDefault="00B45F59" w:rsidP="00B45F59">
            <w:pPr>
              <w:jc w:val="center"/>
              <w:rPr>
                <w:sz w:val="16"/>
                <w:szCs w:val="16"/>
              </w:rPr>
            </w:pPr>
            <w:r w:rsidRPr="00B45F59">
              <w:rPr>
                <w:sz w:val="16"/>
                <w:szCs w:val="16"/>
              </w:rPr>
              <w:t>T1 2024</w:t>
            </w:r>
          </w:p>
        </w:tc>
        <w:tc>
          <w:tcPr>
            <w:tcW w:w="794" w:type="dxa"/>
            <w:vAlign w:val="center"/>
          </w:tcPr>
          <w:p w14:paraId="7798C9EF" w14:textId="77777777" w:rsidR="00B45F59" w:rsidRPr="00B45F59" w:rsidRDefault="00B45F59" w:rsidP="00B45F59">
            <w:pPr>
              <w:jc w:val="center"/>
              <w:rPr>
                <w:sz w:val="16"/>
                <w:szCs w:val="16"/>
              </w:rPr>
            </w:pPr>
            <w:r w:rsidRPr="00B45F59">
              <w:rPr>
                <w:sz w:val="16"/>
                <w:szCs w:val="16"/>
              </w:rPr>
              <w:t>T4 2024</w:t>
            </w:r>
          </w:p>
        </w:tc>
        <w:tc>
          <w:tcPr>
            <w:tcW w:w="1773" w:type="dxa"/>
            <w:vMerge w:val="restart"/>
          </w:tcPr>
          <w:p w14:paraId="3B87D07C" w14:textId="77777777" w:rsidR="00B45F59" w:rsidRPr="00B45F59" w:rsidRDefault="00B45F59" w:rsidP="00B45F59">
            <w:pPr>
              <w:rPr>
                <w:b/>
                <w:bCs/>
                <w:sz w:val="16"/>
                <w:szCs w:val="16"/>
              </w:rPr>
            </w:pPr>
            <w:r w:rsidRPr="00B45F59">
              <w:rPr>
                <w:b/>
                <w:bCs/>
                <w:sz w:val="16"/>
                <w:szCs w:val="16"/>
              </w:rPr>
              <w:t>Njësitë përgjegjëse:</w:t>
            </w:r>
          </w:p>
          <w:p w14:paraId="6455E5DC" w14:textId="77777777" w:rsidR="00B45F59" w:rsidRPr="00B45F59" w:rsidRDefault="00B45F59" w:rsidP="00B45F59">
            <w:pPr>
              <w:rPr>
                <w:sz w:val="16"/>
                <w:szCs w:val="16"/>
              </w:rPr>
            </w:pPr>
            <w:r w:rsidRPr="00B45F59">
              <w:rPr>
                <w:sz w:val="16"/>
                <w:szCs w:val="16"/>
              </w:rPr>
              <w:t>KPP (lider)</w:t>
            </w:r>
          </w:p>
          <w:p w14:paraId="4E600755" w14:textId="77777777" w:rsidR="00B45F59" w:rsidRPr="00B45F59" w:rsidRDefault="00B45F59" w:rsidP="00B45F59">
            <w:pPr>
              <w:rPr>
                <w:sz w:val="16"/>
                <w:szCs w:val="16"/>
              </w:rPr>
            </w:pPr>
          </w:p>
          <w:p w14:paraId="55061C9F" w14:textId="77777777" w:rsidR="00B45F59" w:rsidRPr="00B45F59" w:rsidRDefault="00B45F59" w:rsidP="00B45F59">
            <w:pPr>
              <w:rPr>
                <w:b/>
                <w:bCs/>
                <w:sz w:val="16"/>
                <w:szCs w:val="16"/>
              </w:rPr>
            </w:pPr>
            <w:r w:rsidRPr="00B45F59">
              <w:rPr>
                <w:b/>
                <w:bCs/>
                <w:sz w:val="16"/>
                <w:szCs w:val="16"/>
              </w:rPr>
              <w:t>Partnerët:</w:t>
            </w:r>
          </w:p>
          <w:p w14:paraId="6684EA4F" w14:textId="3E491620" w:rsidR="00B45F59" w:rsidRPr="009D660E" w:rsidRDefault="00123CA7" w:rsidP="00B45F59">
            <w:pPr>
              <w:rPr>
                <w:sz w:val="16"/>
                <w:szCs w:val="16"/>
                <w:lang w:val="it-IT"/>
              </w:rPr>
            </w:pPr>
            <w:r w:rsidRPr="009D660E">
              <w:rPr>
                <w:sz w:val="16"/>
                <w:szCs w:val="16"/>
                <w:lang w:val="it-IT"/>
              </w:rPr>
              <w:t>Universiteti i Tiranës, SIGMA, Partnerë të tjerë Ndërkombëtarë</w:t>
            </w:r>
          </w:p>
        </w:tc>
      </w:tr>
      <w:tr w:rsidR="00B45F59" w:rsidRPr="00B45F59" w14:paraId="1BA70EC4" w14:textId="77777777" w:rsidTr="00B45F59">
        <w:trPr>
          <w:trHeight w:val="254"/>
        </w:trPr>
        <w:tc>
          <w:tcPr>
            <w:tcW w:w="2018" w:type="dxa"/>
            <w:vMerge/>
          </w:tcPr>
          <w:p w14:paraId="54065668" w14:textId="77777777" w:rsidR="00B45F59" w:rsidRPr="009D660E" w:rsidRDefault="00B45F59" w:rsidP="00B45F59">
            <w:pPr>
              <w:numPr>
                <w:ilvl w:val="0"/>
                <w:numId w:val="16"/>
              </w:numPr>
              <w:rPr>
                <w:sz w:val="16"/>
                <w:szCs w:val="16"/>
                <w:lang w:val="it-IT"/>
              </w:rPr>
            </w:pPr>
          </w:p>
        </w:tc>
        <w:tc>
          <w:tcPr>
            <w:tcW w:w="3637" w:type="dxa"/>
          </w:tcPr>
          <w:p w14:paraId="122DA8D4" w14:textId="77777777" w:rsidR="00B45F59" w:rsidRPr="009D660E" w:rsidRDefault="00B45F59" w:rsidP="00B45F59">
            <w:pPr>
              <w:numPr>
                <w:ilvl w:val="0"/>
                <w:numId w:val="16"/>
              </w:numPr>
              <w:rPr>
                <w:sz w:val="16"/>
                <w:szCs w:val="16"/>
                <w:lang w:val="it-IT"/>
              </w:rPr>
            </w:pPr>
            <w:r w:rsidRPr="009D660E">
              <w:rPr>
                <w:sz w:val="16"/>
                <w:szCs w:val="16"/>
                <w:lang w:val="it-IT"/>
              </w:rPr>
              <w:t>Kryerja çdo vit e vlerësimit të nevojave për trajnim, zhvillimin dhe ofrimin e aktiviteteve të specializuara për ngritjen e kapaciteteve për inspektorët.</w:t>
            </w:r>
            <w:r w:rsidRPr="00B45F59">
              <w:rPr>
                <w:sz w:val="16"/>
                <w:szCs w:val="16"/>
                <w:vertAlign w:val="superscript"/>
              </w:rPr>
              <w:footnoteReference w:id="55"/>
            </w:r>
          </w:p>
        </w:tc>
        <w:tc>
          <w:tcPr>
            <w:tcW w:w="794" w:type="dxa"/>
            <w:vAlign w:val="center"/>
          </w:tcPr>
          <w:p w14:paraId="7CB286B5" w14:textId="77777777" w:rsidR="00B45F59" w:rsidRPr="00B45F59" w:rsidRDefault="00B45F59" w:rsidP="00B45F59">
            <w:pPr>
              <w:jc w:val="center"/>
              <w:rPr>
                <w:sz w:val="16"/>
                <w:szCs w:val="16"/>
              </w:rPr>
            </w:pPr>
            <w:r w:rsidRPr="00B45F59">
              <w:rPr>
                <w:sz w:val="16"/>
                <w:szCs w:val="16"/>
              </w:rPr>
              <w:t>T1 2024</w:t>
            </w:r>
          </w:p>
        </w:tc>
        <w:tc>
          <w:tcPr>
            <w:tcW w:w="794" w:type="dxa"/>
            <w:vAlign w:val="center"/>
          </w:tcPr>
          <w:p w14:paraId="67E6C8B6" w14:textId="77777777" w:rsidR="00B45F59" w:rsidRPr="00B45F59" w:rsidRDefault="00B45F59" w:rsidP="00B45F59">
            <w:pPr>
              <w:jc w:val="center"/>
              <w:rPr>
                <w:sz w:val="16"/>
                <w:szCs w:val="16"/>
              </w:rPr>
            </w:pPr>
            <w:r w:rsidRPr="00B45F59">
              <w:rPr>
                <w:sz w:val="16"/>
                <w:szCs w:val="16"/>
              </w:rPr>
              <w:t>T4 2024</w:t>
            </w:r>
          </w:p>
        </w:tc>
        <w:tc>
          <w:tcPr>
            <w:tcW w:w="1773" w:type="dxa"/>
            <w:vMerge/>
          </w:tcPr>
          <w:p w14:paraId="1BAECACE" w14:textId="77777777" w:rsidR="00B45F59" w:rsidRPr="00B45F59" w:rsidRDefault="00B45F59" w:rsidP="00B45F59">
            <w:pPr>
              <w:rPr>
                <w:sz w:val="16"/>
                <w:szCs w:val="16"/>
              </w:rPr>
            </w:pPr>
          </w:p>
        </w:tc>
      </w:tr>
      <w:tr w:rsidR="00B45F59" w:rsidRPr="00B45F59" w14:paraId="716D3ABA" w14:textId="77777777" w:rsidTr="00B45F59">
        <w:trPr>
          <w:trHeight w:val="20"/>
        </w:trPr>
        <w:tc>
          <w:tcPr>
            <w:tcW w:w="2018" w:type="dxa"/>
            <w:vMerge/>
          </w:tcPr>
          <w:p w14:paraId="72EE2514" w14:textId="77777777" w:rsidR="00B45F59" w:rsidRPr="00B45F59" w:rsidRDefault="00B45F59" w:rsidP="00B45F59">
            <w:pPr>
              <w:numPr>
                <w:ilvl w:val="0"/>
                <w:numId w:val="16"/>
              </w:numPr>
              <w:rPr>
                <w:sz w:val="16"/>
                <w:szCs w:val="16"/>
              </w:rPr>
            </w:pPr>
          </w:p>
        </w:tc>
        <w:tc>
          <w:tcPr>
            <w:tcW w:w="3637" w:type="dxa"/>
          </w:tcPr>
          <w:p w14:paraId="35117317" w14:textId="77777777" w:rsidR="00B45F59" w:rsidRPr="009D660E" w:rsidRDefault="00B45F59" w:rsidP="00B45F59">
            <w:pPr>
              <w:numPr>
                <w:ilvl w:val="0"/>
                <w:numId w:val="16"/>
              </w:numPr>
              <w:rPr>
                <w:sz w:val="16"/>
                <w:szCs w:val="16"/>
                <w:lang w:val="it-IT"/>
              </w:rPr>
            </w:pPr>
            <w:r w:rsidRPr="009D660E">
              <w:rPr>
                <w:sz w:val="16"/>
                <w:szCs w:val="16"/>
                <w:lang w:val="it-IT"/>
              </w:rPr>
              <w:t>Përditësimi i sistemit elektronik të ankesave.</w:t>
            </w:r>
          </w:p>
        </w:tc>
        <w:tc>
          <w:tcPr>
            <w:tcW w:w="794" w:type="dxa"/>
            <w:vAlign w:val="center"/>
          </w:tcPr>
          <w:p w14:paraId="797918E3" w14:textId="77777777" w:rsidR="00B45F59" w:rsidRPr="00B45F59" w:rsidRDefault="00B45F59" w:rsidP="00B45F59">
            <w:pPr>
              <w:jc w:val="center"/>
              <w:rPr>
                <w:sz w:val="16"/>
                <w:szCs w:val="16"/>
              </w:rPr>
            </w:pPr>
            <w:r w:rsidRPr="00B45F59">
              <w:rPr>
                <w:sz w:val="16"/>
                <w:szCs w:val="16"/>
              </w:rPr>
              <w:t>T1 2024</w:t>
            </w:r>
          </w:p>
        </w:tc>
        <w:tc>
          <w:tcPr>
            <w:tcW w:w="794" w:type="dxa"/>
            <w:vAlign w:val="center"/>
          </w:tcPr>
          <w:p w14:paraId="35BCAD02" w14:textId="77777777" w:rsidR="00B45F59" w:rsidRPr="00B45F59" w:rsidRDefault="00B45F59" w:rsidP="00B45F59">
            <w:pPr>
              <w:jc w:val="center"/>
              <w:rPr>
                <w:sz w:val="16"/>
                <w:szCs w:val="16"/>
              </w:rPr>
            </w:pPr>
            <w:r w:rsidRPr="00B45F59">
              <w:rPr>
                <w:sz w:val="16"/>
                <w:szCs w:val="16"/>
              </w:rPr>
              <w:t>T4 2026</w:t>
            </w:r>
          </w:p>
        </w:tc>
        <w:tc>
          <w:tcPr>
            <w:tcW w:w="1773" w:type="dxa"/>
            <w:vMerge/>
          </w:tcPr>
          <w:p w14:paraId="2245F8F9" w14:textId="77777777" w:rsidR="00B45F59" w:rsidRPr="00B45F59" w:rsidRDefault="00B45F59" w:rsidP="00B45F59">
            <w:pPr>
              <w:rPr>
                <w:sz w:val="16"/>
                <w:szCs w:val="16"/>
              </w:rPr>
            </w:pPr>
          </w:p>
        </w:tc>
      </w:tr>
      <w:tr w:rsidR="00B45F59" w:rsidRPr="00B45F59" w14:paraId="7E49496F" w14:textId="77777777" w:rsidTr="00B45F59">
        <w:trPr>
          <w:trHeight w:val="20"/>
        </w:trPr>
        <w:tc>
          <w:tcPr>
            <w:tcW w:w="2018" w:type="dxa"/>
            <w:vMerge/>
          </w:tcPr>
          <w:p w14:paraId="0672DC59" w14:textId="77777777" w:rsidR="00B45F59" w:rsidRPr="00B45F59" w:rsidRDefault="00B45F59" w:rsidP="00B45F59">
            <w:pPr>
              <w:numPr>
                <w:ilvl w:val="0"/>
                <w:numId w:val="16"/>
              </w:numPr>
              <w:rPr>
                <w:sz w:val="16"/>
                <w:szCs w:val="16"/>
              </w:rPr>
            </w:pPr>
          </w:p>
        </w:tc>
        <w:tc>
          <w:tcPr>
            <w:tcW w:w="3637" w:type="dxa"/>
          </w:tcPr>
          <w:p w14:paraId="7F7BEFA9" w14:textId="77777777" w:rsidR="00B45F59" w:rsidRPr="009D660E" w:rsidRDefault="00B45F59" w:rsidP="00B45F59">
            <w:pPr>
              <w:numPr>
                <w:ilvl w:val="0"/>
                <w:numId w:val="16"/>
              </w:numPr>
              <w:rPr>
                <w:sz w:val="16"/>
                <w:szCs w:val="16"/>
                <w:lang w:val="it-IT"/>
              </w:rPr>
            </w:pPr>
            <w:r w:rsidRPr="009D660E">
              <w:rPr>
                <w:sz w:val="16"/>
                <w:szCs w:val="16"/>
                <w:lang w:val="it-IT"/>
              </w:rPr>
              <w:t>Zbatimi i ISO 370001 mbi sistemet e menaxhimit kundër ryshfetit</w:t>
            </w:r>
            <w:r w:rsidRPr="00B45F59">
              <w:rPr>
                <w:sz w:val="16"/>
                <w:szCs w:val="16"/>
                <w:vertAlign w:val="superscript"/>
              </w:rPr>
              <w:footnoteReference w:id="56"/>
            </w:r>
            <w:r w:rsidRPr="009D660E">
              <w:rPr>
                <w:sz w:val="16"/>
                <w:szCs w:val="16"/>
                <w:lang w:val="it-IT"/>
              </w:rPr>
              <w:t>.</w:t>
            </w:r>
          </w:p>
        </w:tc>
        <w:tc>
          <w:tcPr>
            <w:tcW w:w="794" w:type="dxa"/>
            <w:vAlign w:val="center"/>
          </w:tcPr>
          <w:p w14:paraId="50A6227A" w14:textId="77777777" w:rsidR="00B45F59" w:rsidRPr="00B45F59" w:rsidRDefault="00B45F59" w:rsidP="00B45F59">
            <w:pPr>
              <w:jc w:val="center"/>
              <w:rPr>
                <w:sz w:val="16"/>
                <w:szCs w:val="16"/>
              </w:rPr>
            </w:pPr>
            <w:r w:rsidRPr="00B45F59">
              <w:rPr>
                <w:sz w:val="16"/>
                <w:szCs w:val="16"/>
              </w:rPr>
              <w:t>T1 2024</w:t>
            </w:r>
          </w:p>
        </w:tc>
        <w:tc>
          <w:tcPr>
            <w:tcW w:w="794" w:type="dxa"/>
            <w:vAlign w:val="center"/>
          </w:tcPr>
          <w:p w14:paraId="1085745F" w14:textId="77777777" w:rsidR="00B45F59" w:rsidRPr="00B45F59" w:rsidRDefault="00B45F59" w:rsidP="00B45F59">
            <w:pPr>
              <w:jc w:val="center"/>
              <w:rPr>
                <w:sz w:val="16"/>
                <w:szCs w:val="16"/>
              </w:rPr>
            </w:pPr>
            <w:r w:rsidRPr="00B45F59">
              <w:rPr>
                <w:sz w:val="16"/>
                <w:szCs w:val="16"/>
              </w:rPr>
              <w:t>T4 2024</w:t>
            </w:r>
          </w:p>
        </w:tc>
        <w:tc>
          <w:tcPr>
            <w:tcW w:w="1773" w:type="dxa"/>
            <w:vMerge/>
          </w:tcPr>
          <w:p w14:paraId="6ACE1004" w14:textId="77777777" w:rsidR="00B45F59" w:rsidRPr="00B45F59" w:rsidRDefault="00B45F59" w:rsidP="00B45F59">
            <w:pPr>
              <w:rPr>
                <w:sz w:val="16"/>
                <w:szCs w:val="16"/>
              </w:rPr>
            </w:pPr>
          </w:p>
        </w:tc>
      </w:tr>
      <w:tr w:rsidR="00B45F59" w:rsidRPr="00B45F59" w14:paraId="70EBFAB2" w14:textId="77777777" w:rsidTr="00B45F59">
        <w:trPr>
          <w:trHeight w:val="20"/>
        </w:trPr>
        <w:tc>
          <w:tcPr>
            <w:tcW w:w="2018" w:type="dxa"/>
          </w:tcPr>
          <w:p w14:paraId="5C931B63" w14:textId="77777777" w:rsidR="00B45F59" w:rsidRPr="00B45F59" w:rsidRDefault="00B45F59" w:rsidP="00B45F59">
            <w:pPr>
              <w:spacing w:line="264" w:lineRule="auto"/>
              <w:rPr>
                <w:b/>
                <w:bCs/>
                <w:sz w:val="16"/>
                <w:szCs w:val="16"/>
              </w:rPr>
            </w:pPr>
            <w:r w:rsidRPr="00B45F59">
              <w:rPr>
                <w:b/>
                <w:bCs/>
                <w:sz w:val="16"/>
                <w:szCs w:val="16"/>
              </w:rPr>
              <w:t>Masas 4.3.4 Përmirësimi i kuadrit ligjor dhe institucional për koncesionet dhe partneritetin publik-privat</w:t>
            </w:r>
          </w:p>
        </w:tc>
        <w:tc>
          <w:tcPr>
            <w:tcW w:w="3637" w:type="dxa"/>
          </w:tcPr>
          <w:p w14:paraId="128E8CBE" w14:textId="77777777" w:rsidR="00B45F59" w:rsidRPr="009D660E" w:rsidRDefault="00B45F59" w:rsidP="00CD7428">
            <w:pPr>
              <w:numPr>
                <w:ilvl w:val="0"/>
                <w:numId w:val="82"/>
              </w:numPr>
              <w:rPr>
                <w:sz w:val="16"/>
                <w:szCs w:val="16"/>
                <w:lang w:val="it-IT"/>
              </w:rPr>
            </w:pPr>
            <w:r w:rsidRPr="009D660E">
              <w:rPr>
                <w:sz w:val="16"/>
                <w:szCs w:val="16"/>
                <w:lang w:val="it-IT"/>
              </w:rPr>
              <w:t>Përafrimi i Ligjit për Koncesionet dhe PPP me Acquis Communautaire</w:t>
            </w:r>
          </w:p>
        </w:tc>
        <w:tc>
          <w:tcPr>
            <w:tcW w:w="794" w:type="dxa"/>
            <w:vAlign w:val="center"/>
          </w:tcPr>
          <w:p w14:paraId="01BA1E75" w14:textId="5470534D" w:rsidR="00B45F59" w:rsidRPr="00123CA7" w:rsidRDefault="00123CA7" w:rsidP="00B45F59">
            <w:pPr>
              <w:jc w:val="center"/>
              <w:rPr>
                <w:sz w:val="16"/>
                <w:szCs w:val="16"/>
              </w:rPr>
            </w:pPr>
            <w:r w:rsidRPr="00123CA7">
              <w:rPr>
                <w:sz w:val="16"/>
                <w:szCs w:val="16"/>
              </w:rPr>
              <w:t>2024</w:t>
            </w:r>
          </w:p>
        </w:tc>
        <w:tc>
          <w:tcPr>
            <w:tcW w:w="794" w:type="dxa"/>
            <w:vAlign w:val="center"/>
          </w:tcPr>
          <w:p w14:paraId="5C2F2247" w14:textId="394612D2" w:rsidR="00B45F59" w:rsidRPr="00123CA7" w:rsidRDefault="00123CA7" w:rsidP="00B45F59">
            <w:pPr>
              <w:jc w:val="center"/>
              <w:rPr>
                <w:sz w:val="16"/>
                <w:szCs w:val="16"/>
              </w:rPr>
            </w:pPr>
            <w:r w:rsidRPr="00123CA7">
              <w:rPr>
                <w:sz w:val="16"/>
                <w:szCs w:val="16"/>
              </w:rPr>
              <w:t>2025</w:t>
            </w:r>
          </w:p>
        </w:tc>
        <w:tc>
          <w:tcPr>
            <w:tcW w:w="1773" w:type="dxa"/>
          </w:tcPr>
          <w:p w14:paraId="1742EB58" w14:textId="77777777" w:rsidR="00B45F59" w:rsidRPr="009D660E" w:rsidRDefault="00B45F59" w:rsidP="00B45F59">
            <w:pPr>
              <w:rPr>
                <w:b/>
                <w:bCs/>
                <w:sz w:val="16"/>
                <w:szCs w:val="16"/>
                <w:lang w:val="it-IT"/>
              </w:rPr>
            </w:pPr>
            <w:r w:rsidRPr="009D660E">
              <w:rPr>
                <w:b/>
                <w:bCs/>
                <w:sz w:val="16"/>
                <w:szCs w:val="16"/>
                <w:lang w:val="it-IT"/>
              </w:rPr>
              <w:t>Njësitë përgjegjëse:</w:t>
            </w:r>
          </w:p>
          <w:p w14:paraId="7D4B4883" w14:textId="693309F8" w:rsidR="00B45F59" w:rsidRPr="009D660E" w:rsidRDefault="00123CA7" w:rsidP="00B45F59">
            <w:pPr>
              <w:rPr>
                <w:sz w:val="16"/>
                <w:szCs w:val="16"/>
                <w:lang w:val="it-IT"/>
              </w:rPr>
            </w:pPr>
            <w:r w:rsidRPr="009D660E">
              <w:rPr>
                <w:sz w:val="16"/>
                <w:szCs w:val="16"/>
                <w:lang w:val="it-IT"/>
              </w:rPr>
              <w:t>Grupi i Punës</w:t>
            </w:r>
          </w:p>
          <w:p w14:paraId="4C29B69C" w14:textId="77777777" w:rsidR="00B45F59" w:rsidRPr="009D660E" w:rsidRDefault="00B45F59" w:rsidP="00B45F59">
            <w:pPr>
              <w:rPr>
                <w:sz w:val="16"/>
                <w:szCs w:val="16"/>
                <w:lang w:val="it-IT"/>
              </w:rPr>
            </w:pPr>
          </w:p>
          <w:p w14:paraId="774F6399" w14:textId="77777777" w:rsidR="00B45F59" w:rsidRPr="009D660E" w:rsidRDefault="00B45F59" w:rsidP="00B45F59">
            <w:pPr>
              <w:rPr>
                <w:b/>
                <w:bCs/>
                <w:sz w:val="16"/>
                <w:szCs w:val="16"/>
                <w:lang w:val="it-IT"/>
              </w:rPr>
            </w:pPr>
            <w:r w:rsidRPr="009D660E">
              <w:rPr>
                <w:b/>
                <w:bCs/>
                <w:sz w:val="16"/>
                <w:szCs w:val="16"/>
                <w:lang w:val="it-IT"/>
              </w:rPr>
              <w:t>Partnerët:</w:t>
            </w:r>
          </w:p>
          <w:p w14:paraId="3BACD81F" w14:textId="77777777" w:rsidR="00B45F59" w:rsidRPr="00123CA7" w:rsidRDefault="00B45F59" w:rsidP="00B45F59">
            <w:pPr>
              <w:rPr>
                <w:sz w:val="16"/>
                <w:szCs w:val="16"/>
              </w:rPr>
            </w:pPr>
            <w:r w:rsidRPr="00123CA7">
              <w:rPr>
                <w:sz w:val="16"/>
                <w:szCs w:val="16"/>
              </w:rPr>
              <w:t>SIGMA</w:t>
            </w:r>
          </w:p>
        </w:tc>
      </w:tr>
    </w:tbl>
    <w:p w14:paraId="49496AA9" w14:textId="77777777" w:rsidR="00B45F59" w:rsidRPr="00B45F59" w:rsidRDefault="00B45F59" w:rsidP="00B45F59">
      <w:pPr>
        <w:rPr>
          <w:color w:val="FF0000"/>
          <w:lang w:val="en-GB"/>
        </w:rPr>
      </w:pPr>
    </w:p>
    <w:p w14:paraId="208DB262" w14:textId="77777777" w:rsidR="00B45F59" w:rsidRPr="009D660E" w:rsidRDefault="00B45F59" w:rsidP="00B45F59">
      <w:pPr>
        <w:spacing w:after="60"/>
        <w:rPr>
          <w:b/>
          <w:bCs/>
          <w:color w:val="0070C0"/>
          <w:lang w:val="it-IT"/>
        </w:rPr>
      </w:pPr>
      <w:r w:rsidRPr="009D660E">
        <w:rPr>
          <w:b/>
          <w:bCs/>
          <w:color w:val="0070C0"/>
          <w:lang w:val="it-IT"/>
        </w:rPr>
        <w:t>Treguesit e performancës dhe vlerat e synuara</w:t>
      </w:r>
    </w:p>
    <w:tbl>
      <w:tblPr>
        <w:tblStyle w:val="TableGridIDEA2"/>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B45F59" w:rsidRPr="00B45F59" w14:paraId="7167B80D" w14:textId="77777777" w:rsidTr="00B45F59">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011D09" w14:textId="77777777" w:rsidR="00B45F59" w:rsidRPr="00B45F59" w:rsidRDefault="00B45F59" w:rsidP="00B45F59">
            <w:pPr>
              <w:spacing w:line="264" w:lineRule="auto"/>
              <w:rPr>
                <w:b/>
                <w:bCs/>
                <w:sz w:val="16"/>
                <w:szCs w:val="16"/>
              </w:rPr>
            </w:pPr>
            <w:r w:rsidRPr="00B45F59">
              <w:rPr>
                <w:b/>
                <w:bCs/>
                <w:sz w:val="16"/>
                <w:szCs w:val="16"/>
              </w:rP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C3CE65" w14:textId="4362DBFC" w:rsidR="00B45F59" w:rsidRPr="00B45F59" w:rsidRDefault="00B45F59" w:rsidP="00E35493">
            <w:pPr>
              <w:spacing w:line="264" w:lineRule="auto"/>
              <w:jc w:val="center"/>
              <w:rPr>
                <w:b/>
                <w:bCs/>
                <w:sz w:val="16"/>
                <w:szCs w:val="16"/>
              </w:rPr>
            </w:pPr>
            <w:r w:rsidRPr="00B45F59">
              <w:rPr>
                <w:b/>
                <w:bCs/>
                <w:sz w:val="16"/>
                <w:szCs w:val="16"/>
              </w:rPr>
              <w:t>Vlera Bazë (</w:t>
            </w:r>
            <w:r w:rsidR="00E35493">
              <w:rPr>
                <w:b/>
                <w:bCs/>
                <w:sz w:val="16"/>
                <w:szCs w:val="16"/>
              </w:rPr>
              <w:t>2022</w:t>
            </w:r>
            <w:r w:rsidRPr="00B45F59">
              <w:rPr>
                <w:b/>
                <w:bCs/>
                <w:sz w:val="16"/>
                <w:szCs w:val="16"/>
              </w:rPr>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D1B05C" w14:textId="77777777" w:rsidR="00B45F59" w:rsidRPr="00B45F59" w:rsidRDefault="00B45F59" w:rsidP="00B45F59">
            <w:pPr>
              <w:spacing w:line="264" w:lineRule="auto"/>
              <w:jc w:val="center"/>
              <w:rPr>
                <w:b/>
                <w:bCs/>
                <w:sz w:val="16"/>
                <w:szCs w:val="16"/>
              </w:rPr>
            </w:pPr>
            <w:r w:rsidRPr="00B45F59">
              <w:rPr>
                <w:b/>
                <w:bCs/>
                <w:sz w:val="16"/>
                <w:szCs w:val="16"/>
              </w:rPr>
              <w:t>Vlera e synuar</w:t>
            </w:r>
          </w:p>
        </w:tc>
      </w:tr>
      <w:tr w:rsidR="00B45F59" w:rsidRPr="00B45F59" w14:paraId="445372D7" w14:textId="77777777" w:rsidTr="00B45F59">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30CAF0E" w14:textId="77777777" w:rsidR="00B45F59" w:rsidRPr="00B45F59" w:rsidRDefault="00B45F59" w:rsidP="00B45F59">
            <w:pPr>
              <w:spacing w:line="264" w:lineRule="auto"/>
              <w:rPr>
                <w:b/>
                <w:bCs/>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08A467F5" w14:textId="77777777" w:rsidR="00B45F59" w:rsidRPr="00B45F59" w:rsidRDefault="00B45F59" w:rsidP="00B45F59">
            <w:pPr>
              <w:spacing w:line="264" w:lineRule="auto"/>
              <w:jc w:val="center"/>
              <w:rPr>
                <w:b/>
                <w:bCs/>
                <w:sz w:val="16"/>
                <w:szCs w:val="16"/>
              </w:rP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4DA80" w14:textId="77777777" w:rsidR="00B45F59" w:rsidRPr="00B45F59" w:rsidRDefault="00B45F59" w:rsidP="00B45F59">
            <w:pPr>
              <w:spacing w:line="264" w:lineRule="auto"/>
              <w:jc w:val="center"/>
              <w:rPr>
                <w:b/>
                <w:bCs/>
                <w:sz w:val="16"/>
                <w:szCs w:val="16"/>
              </w:rPr>
            </w:pPr>
            <w:r w:rsidRPr="00B45F59">
              <w:rPr>
                <w:b/>
                <w:bCs/>
                <w:sz w:val="16"/>
                <w:szCs w:val="16"/>
              </w:rPr>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F38B1" w14:textId="77777777" w:rsidR="00B45F59" w:rsidRPr="00B45F59" w:rsidRDefault="00B45F59" w:rsidP="00B45F59">
            <w:pPr>
              <w:spacing w:line="264" w:lineRule="auto"/>
              <w:jc w:val="center"/>
              <w:rPr>
                <w:b/>
                <w:bCs/>
                <w:sz w:val="16"/>
                <w:szCs w:val="16"/>
              </w:rPr>
            </w:pPr>
            <w:r w:rsidRPr="00B45F59">
              <w:rPr>
                <w:b/>
                <w:bCs/>
                <w:sz w:val="16"/>
                <w:szCs w:val="16"/>
              </w:rPr>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EB01F" w14:textId="77777777" w:rsidR="00B45F59" w:rsidRPr="00B45F59" w:rsidRDefault="00B45F59" w:rsidP="00B45F59">
            <w:pPr>
              <w:spacing w:line="264" w:lineRule="auto"/>
              <w:jc w:val="center"/>
              <w:rPr>
                <w:b/>
                <w:bCs/>
                <w:sz w:val="16"/>
                <w:szCs w:val="16"/>
              </w:rPr>
            </w:pPr>
            <w:r w:rsidRPr="00B45F59">
              <w:rPr>
                <w:b/>
                <w:bCs/>
                <w:sz w:val="16"/>
                <w:szCs w:val="16"/>
              </w:rPr>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77C96" w14:textId="77777777" w:rsidR="00B45F59" w:rsidRPr="00B45F59" w:rsidRDefault="00B45F59" w:rsidP="00B45F59">
            <w:pPr>
              <w:spacing w:line="264" w:lineRule="auto"/>
              <w:jc w:val="center"/>
              <w:rPr>
                <w:b/>
                <w:bCs/>
                <w:sz w:val="16"/>
                <w:szCs w:val="16"/>
              </w:rPr>
            </w:pPr>
            <w:r w:rsidRPr="00B45F59">
              <w:rPr>
                <w:b/>
                <w:bCs/>
                <w:sz w:val="16"/>
                <w:szCs w:val="16"/>
              </w:rPr>
              <w:t>2026</w:t>
            </w:r>
          </w:p>
        </w:tc>
      </w:tr>
      <w:tr w:rsidR="00B45F59" w:rsidRPr="00B45F59" w14:paraId="5C96F7E5" w14:textId="77777777" w:rsidTr="00B45F59">
        <w:tc>
          <w:tcPr>
            <w:tcW w:w="3114" w:type="dxa"/>
            <w:tcBorders>
              <w:top w:val="single" w:sz="4" w:space="0" w:color="auto"/>
              <w:left w:val="single" w:sz="4" w:space="0" w:color="auto"/>
              <w:bottom w:val="single" w:sz="4" w:space="0" w:color="auto"/>
              <w:right w:val="single" w:sz="4" w:space="0" w:color="auto"/>
            </w:tcBorders>
          </w:tcPr>
          <w:p w14:paraId="50696EC2" w14:textId="7DE45E93" w:rsidR="00B45F59" w:rsidRPr="00B45F59" w:rsidRDefault="00E35493" w:rsidP="00CD7428">
            <w:pPr>
              <w:numPr>
                <w:ilvl w:val="0"/>
                <w:numId w:val="66"/>
              </w:numPr>
              <w:contextualSpacing/>
              <w:rPr>
                <w:sz w:val="16"/>
                <w:szCs w:val="16"/>
              </w:rPr>
            </w:pPr>
            <w:r w:rsidRPr="00E35493">
              <w:rPr>
                <w:iCs/>
                <w:sz w:val="16"/>
                <w:szCs w:val="16"/>
              </w:rPr>
              <w:t>Përqindja e përdorimit të kriterit të vlerësimit “Oferta Ekonomikisht me e favorshme bazuar në kosto” (kriteri MEAT bazuar në kosto) në procedurat e prokurimit publik</w:t>
            </w:r>
          </w:p>
        </w:tc>
        <w:tc>
          <w:tcPr>
            <w:tcW w:w="1180" w:type="dxa"/>
            <w:tcBorders>
              <w:top w:val="single" w:sz="4" w:space="0" w:color="auto"/>
              <w:left w:val="single" w:sz="4" w:space="0" w:color="auto"/>
              <w:bottom w:val="single" w:sz="4" w:space="0" w:color="auto"/>
              <w:right w:val="single" w:sz="4" w:space="0" w:color="auto"/>
            </w:tcBorders>
            <w:vAlign w:val="center"/>
          </w:tcPr>
          <w:p w14:paraId="77CADB58" w14:textId="7B56289F" w:rsidR="00B45F59" w:rsidRPr="00B45F59" w:rsidRDefault="00E35493" w:rsidP="00B45F59">
            <w:pPr>
              <w:jc w:val="center"/>
              <w:rPr>
                <w:sz w:val="16"/>
                <w:szCs w:val="16"/>
              </w:rPr>
            </w:pPr>
            <w:r>
              <w:rPr>
                <w:sz w:val="16"/>
                <w:szCs w:val="16"/>
              </w:rPr>
              <w:t>33.92</w:t>
            </w:r>
            <w:r w:rsidR="00B45F59"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3C4DBB20" w14:textId="77777777" w:rsidR="00B45F59" w:rsidRPr="00B45F59" w:rsidRDefault="00B45F59" w:rsidP="00B45F59">
            <w:pPr>
              <w:jc w:val="center"/>
              <w:rPr>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tcPr>
          <w:p w14:paraId="0D1093B8" w14:textId="77777777" w:rsidR="00B45F59" w:rsidRPr="00B45F59" w:rsidRDefault="00B45F59" w:rsidP="00B45F59">
            <w:pPr>
              <w:jc w:val="center"/>
              <w:rPr>
                <w:sz w:val="16"/>
                <w:szCs w:val="16"/>
              </w:rPr>
            </w:pPr>
          </w:p>
        </w:tc>
        <w:tc>
          <w:tcPr>
            <w:tcW w:w="1181" w:type="dxa"/>
            <w:tcBorders>
              <w:top w:val="single" w:sz="4" w:space="0" w:color="auto"/>
              <w:left w:val="single" w:sz="4" w:space="0" w:color="auto"/>
              <w:bottom w:val="single" w:sz="4" w:space="0" w:color="auto"/>
              <w:right w:val="single" w:sz="4" w:space="0" w:color="auto"/>
            </w:tcBorders>
            <w:vAlign w:val="center"/>
          </w:tcPr>
          <w:p w14:paraId="4FFFAC32" w14:textId="77777777" w:rsidR="00B45F59" w:rsidRPr="00B45F59" w:rsidRDefault="00B45F59" w:rsidP="00B45F59">
            <w:pPr>
              <w:jc w:val="center"/>
              <w:rPr>
                <w:sz w:val="16"/>
                <w:szCs w:val="16"/>
              </w:rPr>
            </w:pPr>
          </w:p>
        </w:tc>
        <w:tc>
          <w:tcPr>
            <w:tcW w:w="1181" w:type="dxa"/>
            <w:tcBorders>
              <w:top w:val="single" w:sz="4" w:space="0" w:color="auto"/>
              <w:left w:val="single" w:sz="4" w:space="0" w:color="auto"/>
              <w:bottom w:val="single" w:sz="4" w:space="0" w:color="auto"/>
              <w:right w:val="single" w:sz="4" w:space="0" w:color="auto"/>
            </w:tcBorders>
            <w:vAlign w:val="center"/>
          </w:tcPr>
          <w:p w14:paraId="1E7DD667" w14:textId="77777777" w:rsidR="00B45F59" w:rsidRPr="00B45F59" w:rsidRDefault="00B45F59" w:rsidP="00B45F59">
            <w:pPr>
              <w:jc w:val="center"/>
              <w:rPr>
                <w:sz w:val="16"/>
                <w:szCs w:val="16"/>
              </w:rPr>
            </w:pPr>
            <w:r w:rsidRPr="00B45F59">
              <w:rPr>
                <w:sz w:val="16"/>
                <w:szCs w:val="16"/>
              </w:rPr>
              <w:t>Trend rritës</w:t>
            </w:r>
          </w:p>
        </w:tc>
      </w:tr>
      <w:tr w:rsidR="00B45F59" w:rsidRPr="00B45F59" w14:paraId="284FFACA" w14:textId="77777777" w:rsidTr="00B45F59">
        <w:tc>
          <w:tcPr>
            <w:tcW w:w="3114" w:type="dxa"/>
            <w:tcBorders>
              <w:top w:val="single" w:sz="4" w:space="0" w:color="auto"/>
              <w:left w:val="single" w:sz="4" w:space="0" w:color="auto"/>
              <w:bottom w:val="single" w:sz="4" w:space="0" w:color="auto"/>
              <w:right w:val="single" w:sz="4" w:space="0" w:color="auto"/>
            </w:tcBorders>
          </w:tcPr>
          <w:p w14:paraId="26B0FB29" w14:textId="77777777" w:rsidR="00B45F59" w:rsidRPr="00B45F59" w:rsidRDefault="00B45F59" w:rsidP="00CD7428">
            <w:pPr>
              <w:numPr>
                <w:ilvl w:val="0"/>
                <w:numId w:val="66"/>
              </w:numPr>
              <w:contextualSpacing/>
              <w:rPr>
                <w:sz w:val="16"/>
                <w:szCs w:val="16"/>
              </w:rPr>
            </w:pPr>
            <w:r w:rsidRPr="00B45F59">
              <w:rPr>
                <w:sz w:val="16"/>
                <w:szCs w:val="16"/>
              </w:rPr>
              <w:t>2. ISO 370001 mbi ‘Sistemet e menaxhimit kundër ryshfetit’ zbatuar nga KPP.</w:t>
            </w:r>
          </w:p>
        </w:tc>
        <w:tc>
          <w:tcPr>
            <w:tcW w:w="1180" w:type="dxa"/>
            <w:tcBorders>
              <w:top w:val="single" w:sz="4" w:space="0" w:color="auto"/>
              <w:left w:val="single" w:sz="4" w:space="0" w:color="auto"/>
              <w:bottom w:val="single" w:sz="4" w:space="0" w:color="auto"/>
              <w:right w:val="single" w:sz="4" w:space="0" w:color="auto"/>
            </w:tcBorders>
            <w:vAlign w:val="center"/>
          </w:tcPr>
          <w:p w14:paraId="6EA02E1B"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1215B653" w14:textId="77777777" w:rsidR="00B45F59" w:rsidRPr="00B45F59" w:rsidRDefault="00B45F59" w:rsidP="00B45F59">
            <w:pPr>
              <w:jc w:val="center"/>
              <w:rPr>
                <w:sz w:val="16"/>
                <w:szCs w:val="16"/>
              </w:rPr>
            </w:pPr>
            <w:r w:rsidRPr="00B45F59">
              <w:rPr>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66005302"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357D7128"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286AE7EB" w14:textId="77777777" w:rsidR="00B45F59" w:rsidRPr="00B45F59" w:rsidRDefault="00B45F59" w:rsidP="00B45F59">
            <w:pPr>
              <w:jc w:val="center"/>
              <w:rPr>
                <w:sz w:val="16"/>
                <w:szCs w:val="16"/>
              </w:rPr>
            </w:pPr>
            <w:r w:rsidRPr="00B45F59">
              <w:rPr>
                <w:sz w:val="16"/>
                <w:szCs w:val="16"/>
              </w:rPr>
              <w:t>I zbatuar</w:t>
            </w:r>
          </w:p>
        </w:tc>
      </w:tr>
    </w:tbl>
    <w:p w14:paraId="6E70E940" w14:textId="77777777" w:rsidR="00FA16E5" w:rsidRDefault="00FA16E5" w:rsidP="00FA16E5">
      <w:pPr>
        <w:pStyle w:val="Heading2"/>
        <w:numPr>
          <w:ilvl w:val="0"/>
          <w:numId w:val="0"/>
        </w:numPr>
        <w:ind w:left="567"/>
        <w:rPr>
          <w:rFonts w:eastAsiaTheme="minorHAnsi" w:cs="Times New Roman"/>
          <w:sz w:val="21"/>
          <w:szCs w:val="21"/>
          <w:lang w:val="en-GB"/>
        </w:rPr>
      </w:pPr>
    </w:p>
    <w:p w14:paraId="7CB12DB0" w14:textId="77777777" w:rsidR="00FA16E5" w:rsidRPr="00FA16E5" w:rsidRDefault="00FA16E5" w:rsidP="00FA16E5">
      <w:pPr>
        <w:rPr>
          <w:lang w:val="en-GB"/>
        </w:rPr>
      </w:pPr>
    </w:p>
    <w:p w14:paraId="0374207E" w14:textId="0A4721F1" w:rsidR="002C447B" w:rsidRPr="001F151E" w:rsidRDefault="00B45F59" w:rsidP="00C96708">
      <w:pPr>
        <w:pStyle w:val="Heading2"/>
        <w:rPr>
          <w:rFonts w:eastAsiaTheme="minorHAnsi" w:cs="Times New Roman"/>
          <w:sz w:val="21"/>
          <w:szCs w:val="21"/>
          <w:lang w:val="en-GB"/>
        </w:rPr>
      </w:pPr>
      <w:bookmarkStart w:id="43" w:name="_Toc161748828"/>
      <w:r>
        <w:rPr>
          <w:rFonts w:eastAsiaTheme="minorHAnsi"/>
          <w:lang w:val="en-GB"/>
        </w:rPr>
        <w:t>K</w:t>
      </w:r>
      <w:r w:rsidR="002C447B" w:rsidRPr="001F151E">
        <w:rPr>
          <w:rFonts w:eastAsiaTheme="minorHAnsi"/>
          <w:lang w:val="en-GB"/>
        </w:rPr>
        <w:t>omponent</w:t>
      </w:r>
      <w:r>
        <w:rPr>
          <w:rFonts w:eastAsiaTheme="minorHAnsi"/>
          <w:lang w:val="en-GB"/>
        </w:rPr>
        <w:t>i</w:t>
      </w:r>
      <w:r w:rsidR="002C447B" w:rsidRPr="001F151E">
        <w:rPr>
          <w:rFonts w:eastAsiaTheme="minorHAnsi"/>
          <w:lang w:val="en-GB"/>
        </w:rPr>
        <w:t xml:space="preserve"> 4.</w:t>
      </w:r>
      <w:r w:rsidR="00297283">
        <w:rPr>
          <w:rFonts w:eastAsiaTheme="minorHAnsi"/>
          <w:lang w:val="en-GB"/>
        </w:rPr>
        <w:t>4</w:t>
      </w:r>
      <w:r w:rsidR="002C447B" w:rsidRPr="001F151E">
        <w:rPr>
          <w:rFonts w:eastAsiaTheme="minorHAnsi"/>
          <w:lang w:val="en-GB"/>
        </w:rPr>
        <w:t xml:space="preserve"> </w:t>
      </w:r>
      <w:r>
        <w:rPr>
          <w:rFonts w:eastAsiaTheme="minorHAnsi"/>
          <w:lang w:val="en-GB"/>
        </w:rPr>
        <w:t>Menaxhimi i Borxhit</w:t>
      </w:r>
      <w:bookmarkEnd w:id="43"/>
    </w:p>
    <w:p w14:paraId="190F4643" w14:textId="77777777" w:rsidR="002C447B" w:rsidRPr="001F151E" w:rsidRDefault="002C447B" w:rsidP="002C447B">
      <w:pPr>
        <w:rPr>
          <w:lang w:val="en-GB"/>
        </w:rPr>
      </w:pPr>
    </w:p>
    <w:p w14:paraId="342B403D" w14:textId="77777777" w:rsidR="00B45F59" w:rsidRPr="00B45F59" w:rsidRDefault="00B45F59" w:rsidP="00B45F59">
      <w:pPr>
        <w:spacing w:after="60" w:line="276" w:lineRule="auto"/>
        <w:jc w:val="both"/>
        <w:rPr>
          <w:b/>
          <w:bCs/>
          <w:color w:val="0070C0"/>
          <w:lang w:val="en-GB"/>
        </w:rPr>
      </w:pPr>
      <w:r w:rsidRPr="00B45F59">
        <w:rPr>
          <w:b/>
          <w:bCs/>
          <w:color w:val="0070C0"/>
          <w:lang w:val="en-GB"/>
        </w:rPr>
        <w:t>Objektivi</w:t>
      </w:r>
    </w:p>
    <w:p w14:paraId="7A4C2BDD" w14:textId="77777777" w:rsidR="00B45F59" w:rsidRPr="00B45F59" w:rsidRDefault="00B45F59" w:rsidP="00B45F59">
      <w:pPr>
        <w:spacing w:after="60" w:line="276" w:lineRule="auto"/>
        <w:jc w:val="both"/>
        <w:rPr>
          <w:lang w:val="en-GB"/>
        </w:rPr>
      </w:pPr>
      <w:r w:rsidRPr="00B45F59">
        <w:rPr>
          <w:lang w:val="en-GB"/>
        </w:rPr>
        <w:t>Synimi për vitin 2030 është të funksionojë një Sistem gjithëpërfshirës i Menaxhimit të Borxhit që siguron që nevojat e qeverisë për financim dhe detyrimet e saj për pagesën e borxhit të përmbushen me koston më të ulët të mundshme në periudhën afatmesme dhe afatgjatë në përputhje me një shkallë të kujdesshme risku.</w:t>
      </w:r>
    </w:p>
    <w:p w14:paraId="573BB6F8" w14:textId="77777777" w:rsidR="00B45F59" w:rsidRPr="00B45F59" w:rsidRDefault="00B45F59" w:rsidP="00B45F59">
      <w:pPr>
        <w:spacing w:after="60" w:line="276" w:lineRule="auto"/>
        <w:jc w:val="both"/>
        <w:rPr>
          <w:lang w:val="en-GB"/>
        </w:rPr>
      </w:pPr>
    </w:p>
    <w:p w14:paraId="28E72156" w14:textId="77777777" w:rsidR="00B45F59" w:rsidRPr="00B45F59" w:rsidRDefault="00B45F59" w:rsidP="00B45F59">
      <w:pPr>
        <w:spacing w:after="60" w:line="276" w:lineRule="auto"/>
        <w:jc w:val="both"/>
        <w:rPr>
          <w:rFonts w:ascii="Calibri" w:hAnsi="Calibri"/>
          <w:b/>
          <w:bCs/>
          <w:color w:val="0070C0"/>
          <w:sz w:val="21"/>
          <w:lang w:val="en-GB"/>
        </w:rPr>
      </w:pPr>
      <w:r w:rsidRPr="00B45F59">
        <w:rPr>
          <w:b/>
          <w:bCs/>
          <w:color w:val="0070C0"/>
          <w:lang w:val="en-GB"/>
        </w:rPr>
        <w:t>Konteksti</w:t>
      </w:r>
    </w:p>
    <w:p w14:paraId="45F6A088" w14:textId="6E802A3D" w:rsidR="00B45F59" w:rsidRPr="00B45F59" w:rsidRDefault="00B45F59" w:rsidP="00B45F59">
      <w:pPr>
        <w:spacing w:line="276" w:lineRule="auto"/>
        <w:jc w:val="both"/>
        <w:rPr>
          <w:lang w:val="en-GB"/>
        </w:rPr>
      </w:pPr>
      <w:r w:rsidRPr="00B45F59">
        <w:rPr>
          <w:lang w:val="en-GB"/>
        </w:rPr>
        <w:t xml:space="preserve">Kuadri ligjor i menaxhimit të borxhit është konsoliduar, me disa ndryshime të </w:t>
      </w:r>
      <w:r w:rsidR="00EB3607">
        <w:rPr>
          <w:lang w:val="en-GB"/>
        </w:rPr>
        <w:t>realizuara</w:t>
      </w:r>
      <w:r w:rsidRPr="00B45F59">
        <w:rPr>
          <w:lang w:val="en-GB"/>
        </w:rPr>
        <w:t xml:space="preserve"> kohët e fundi</w:t>
      </w:r>
      <w:r w:rsidR="00B07E1A">
        <w:rPr>
          <w:lang w:val="en-GB"/>
        </w:rPr>
        <w:t>t për të reflektuar përmirësime</w:t>
      </w:r>
      <w:r w:rsidRPr="00B45F59">
        <w:rPr>
          <w:lang w:val="en-GB"/>
        </w:rPr>
        <w:t xml:space="preserve"> </w:t>
      </w:r>
      <w:r w:rsidR="00EB3607">
        <w:rPr>
          <w:lang w:val="en-GB"/>
        </w:rPr>
        <w:t>mbi</w:t>
      </w:r>
      <w:r w:rsidRPr="00B45F59">
        <w:rPr>
          <w:lang w:val="en-GB"/>
        </w:rPr>
        <w:t xml:space="preserve"> përgatitjen e Strategjisë së Menaxhimit të Borxhit (SMB). Hartimi dhe publikimi i SMB-së në baza të rregullta është institucionalizuar plotësisht. Një Plan Vjetor i Huamarrjes u publikua për herë të parë në vitin 2022, duke përcaktuar qartë strategjinë dhe instrumentet e h</w:t>
      </w:r>
      <w:r w:rsidR="00EB3607">
        <w:rPr>
          <w:lang w:val="en-GB"/>
        </w:rPr>
        <w:t>uamarrjes që do të përdoren. K</w:t>
      </w:r>
      <w:r w:rsidRPr="00B45F59">
        <w:rPr>
          <w:lang w:val="en-GB"/>
        </w:rPr>
        <w:t>alendar</w:t>
      </w:r>
      <w:r w:rsidR="00EB3607">
        <w:rPr>
          <w:lang w:val="en-GB"/>
        </w:rPr>
        <w:t>i</w:t>
      </w:r>
      <w:r w:rsidRPr="00B45F59">
        <w:rPr>
          <w:lang w:val="en-GB"/>
        </w:rPr>
        <w:t xml:space="preserve"> tremujor i ankandeve publikohet në kohë, duke plotësuar një plan vjetor të emetimit të brendshëm të përfshirë në planin vjetor të huamarrjes. Publikohet një buletin statistikor tremujor i borxhit dhe raporti vjetor për zbatimin e SMB-së</w:t>
      </w:r>
      <w:r w:rsidRPr="00B45F59">
        <w:rPr>
          <w:rFonts w:eastAsia="Times New Roman"/>
          <w:szCs w:val="14"/>
          <w:vertAlign w:val="superscript"/>
          <w:lang w:val="en-GB"/>
        </w:rPr>
        <w:footnoteReference w:id="57"/>
      </w:r>
      <w:r w:rsidRPr="00B45F59">
        <w:rPr>
          <w:lang w:val="en-GB"/>
        </w:rPr>
        <w:t>. Në janar 2023, u prezantua një format kodi ndërkombëtar për letrat me vlerë të qeverisë (ISIN-Numri i identifikimit ndërkombëtar të letrave me vlerë) me qëllim rritjen e aksesit të investitorëve të huaj në tregun vendas të letrave me vlerë të qeverisë.</w:t>
      </w:r>
    </w:p>
    <w:p w14:paraId="21795567" w14:textId="77777777" w:rsidR="00B45F59" w:rsidRPr="00B45F59" w:rsidRDefault="00B45F59" w:rsidP="00B45F59">
      <w:pPr>
        <w:spacing w:line="276" w:lineRule="auto"/>
        <w:jc w:val="both"/>
        <w:rPr>
          <w:lang w:val="en-GB"/>
        </w:rPr>
      </w:pPr>
    </w:p>
    <w:p w14:paraId="46CE1BA5" w14:textId="79944D39" w:rsidR="00B45F59" w:rsidRPr="00B45F59" w:rsidRDefault="00B45F59" w:rsidP="00B45F59">
      <w:pPr>
        <w:spacing w:line="276" w:lineRule="auto"/>
        <w:jc w:val="both"/>
        <w:rPr>
          <w:lang w:val="en-GB"/>
        </w:rPr>
      </w:pPr>
      <w:r w:rsidRPr="00B45F59">
        <w:rPr>
          <w:lang w:val="en-GB"/>
        </w:rPr>
        <w:t xml:space="preserve">Disa sfida në fushën e Menaxhimit të Borxhit duhet të adresohen. Burime njerëzore janë të mjaftueshme në DPBSH, por duhet ende të zhvillohen kapacitetet. Garancitë dhe </w:t>
      </w:r>
      <w:r w:rsidR="00EB3607">
        <w:rPr>
          <w:lang w:val="en-GB"/>
        </w:rPr>
        <w:t>nën-</w:t>
      </w:r>
      <w:r w:rsidRPr="00B45F59">
        <w:rPr>
          <w:lang w:val="en-GB"/>
        </w:rPr>
        <w:t xml:space="preserve">huadhënia është e rregulluar mirë në ligjin e borxhit, megjithatë një kuadër i duhur mbetet ende për t'u zhvilluar. DPB kryen një vlerësim të riskut të kredisë për NSH-të dhe qeverinë vendore që kërkojnë garanci ose kur përfitojnë nga operacionet e </w:t>
      </w:r>
      <w:r w:rsidR="00EB3607">
        <w:rPr>
          <w:lang w:val="en-GB"/>
        </w:rPr>
        <w:t>nën-</w:t>
      </w:r>
      <w:r w:rsidRPr="00B45F59">
        <w:rPr>
          <w:lang w:val="en-GB"/>
        </w:rPr>
        <w:t>huadhënies. Kjo analizë ka të nevojshme një metodologji të formalizuar dhe të mirë strukturuar.</w:t>
      </w:r>
    </w:p>
    <w:p w14:paraId="6C0770DD" w14:textId="77777777" w:rsidR="00B45F59" w:rsidRPr="00B45F59" w:rsidRDefault="00B45F59" w:rsidP="00B45F59">
      <w:pPr>
        <w:spacing w:line="276" w:lineRule="auto"/>
        <w:jc w:val="both"/>
        <w:rPr>
          <w:lang w:val="en-GB"/>
        </w:rPr>
      </w:pPr>
    </w:p>
    <w:p w14:paraId="7481CC03" w14:textId="77777777" w:rsidR="00B45F59" w:rsidRPr="00B45F59" w:rsidRDefault="00B45F59" w:rsidP="00B45F59">
      <w:pPr>
        <w:spacing w:after="60" w:line="276" w:lineRule="auto"/>
        <w:jc w:val="both"/>
        <w:rPr>
          <w:b/>
          <w:bCs/>
          <w:color w:val="0070C0"/>
          <w:lang w:val="en-GB"/>
        </w:rPr>
      </w:pPr>
      <w:r w:rsidRPr="00B45F59">
        <w:rPr>
          <w:b/>
          <w:bCs/>
          <w:color w:val="0070C0"/>
          <w:lang w:val="en-GB"/>
        </w:rPr>
        <w:t>Prioritetet</w:t>
      </w:r>
    </w:p>
    <w:p w14:paraId="327C8780" w14:textId="77777777" w:rsidR="00B45F59" w:rsidRPr="00B45F59" w:rsidRDefault="00B45F59" w:rsidP="00B45F59">
      <w:pPr>
        <w:spacing w:line="276" w:lineRule="auto"/>
        <w:jc w:val="both"/>
        <w:rPr>
          <w:lang w:val="en-GB"/>
        </w:rPr>
      </w:pPr>
      <w:r w:rsidRPr="00B45F59">
        <w:rPr>
          <w:lang w:val="en-GB"/>
        </w:rPr>
        <w:t>Prioritetet kryesore për periudhën 2023-2026 janë:</w:t>
      </w:r>
    </w:p>
    <w:p w14:paraId="6E670F71" w14:textId="08D84951" w:rsidR="00B45F59" w:rsidRPr="009D660E" w:rsidRDefault="00EB3607" w:rsidP="00CD7428">
      <w:pPr>
        <w:numPr>
          <w:ilvl w:val="0"/>
          <w:numId w:val="65"/>
        </w:numPr>
        <w:contextualSpacing/>
        <w:rPr>
          <w:lang w:val="it-IT"/>
        </w:rPr>
      </w:pPr>
      <w:r w:rsidRPr="009D660E">
        <w:rPr>
          <w:lang w:val="it-IT"/>
        </w:rPr>
        <w:t>Forcimi i raportimit mbi</w:t>
      </w:r>
      <w:r w:rsidR="00B45F59" w:rsidRPr="009D660E">
        <w:rPr>
          <w:lang w:val="it-IT"/>
        </w:rPr>
        <w:t xml:space="preserve"> menaxhimi</w:t>
      </w:r>
      <w:r w:rsidRPr="009D660E">
        <w:rPr>
          <w:lang w:val="it-IT"/>
        </w:rPr>
        <w:t>n</w:t>
      </w:r>
      <w:r w:rsidR="00B45F59" w:rsidRPr="009D660E">
        <w:rPr>
          <w:lang w:val="it-IT"/>
        </w:rPr>
        <w:t xml:space="preserve"> </w:t>
      </w:r>
      <w:r w:rsidRPr="009D660E">
        <w:rPr>
          <w:lang w:val="it-IT"/>
        </w:rPr>
        <w:t>e</w:t>
      </w:r>
      <w:r w:rsidR="00B45F59" w:rsidRPr="009D660E">
        <w:rPr>
          <w:lang w:val="it-IT"/>
        </w:rPr>
        <w:t xml:space="preserve"> borxhit dhe marrëdhënie</w:t>
      </w:r>
      <w:r w:rsidRPr="009D660E">
        <w:rPr>
          <w:lang w:val="it-IT"/>
        </w:rPr>
        <w:t>ve</w:t>
      </w:r>
      <w:r w:rsidR="00B45F59" w:rsidRPr="009D660E">
        <w:rPr>
          <w:lang w:val="it-IT"/>
        </w:rPr>
        <w:t xml:space="preserve"> me investitorët;</w:t>
      </w:r>
    </w:p>
    <w:p w14:paraId="02C84902" w14:textId="043843A7" w:rsidR="00B45F59" w:rsidRPr="009D660E" w:rsidRDefault="00B45F59" w:rsidP="00CD7428">
      <w:pPr>
        <w:numPr>
          <w:ilvl w:val="0"/>
          <w:numId w:val="65"/>
        </w:numPr>
        <w:contextualSpacing/>
        <w:rPr>
          <w:lang w:val="it-IT"/>
        </w:rPr>
      </w:pPr>
      <w:r w:rsidRPr="009D660E">
        <w:rPr>
          <w:lang w:val="it-IT"/>
        </w:rPr>
        <w:t xml:space="preserve">Zhvillimi i një kuadri gjithëpërfshirës për dhënien e garancive dhe </w:t>
      </w:r>
      <w:r w:rsidR="00EB3607" w:rsidRPr="009D660E">
        <w:rPr>
          <w:lang w:val="it-IT"/>
        </w:rPr>
        <w:t>nën-huave</w:t>
      </w:r>
      <w:r w:rsidRPr="009D660E">
        <w:rPr>
          <w:lang w:val="it-IT"/>
        </w:rPr>
        <w:t>, të mbështetur nga një metodologji vlerësimi e formalizuar e fokusuar në menaxhimin e riskut të portofolit të mundshëm të ardhshëm;</w:t>
      </w:r>
    </w:p>
    <w:p w14:paraId="58A57504" w14:textId="77777777" w:rsidR="00B45F59" w:rsidRPr="009D660E" w:rsidRDefault="00B45F59" w:rsidP="00CD7428">
      <w:pPr>
        <w:numPr>
          <w:ilvl w:val="0"/>
          <w:numId w:val="65"/>
        </w:numPr>
        <w:contextualSpacing/>
        <w:rPr>
          <w:lang w:val="it-IT"/>
        </w:rPr>
      </w:pPr>
      <w:r w:rsidRPr="009D660E">
        <w:rPr>
          <w:lang w:val="it-IT"/>
        </w:rPr>
        <w:t>Vlerësimi i përdorimit të mundshëm të burimeve të reja alternative të financimit (të gjelbra, sociale, të qëndrueshmërisë ose instrumente të tjera).</w:t>
      </w:r>
    </w:p>
    <w:p w14:paraId="5E87097F" w14:textId="77777777" w:rsidR="00B45F59" w:rsidRPr="009D660E" w:rsidRDefault="00B45F59" w:rsidP="00B45F59">
      <w:pPr>
        <w:contextualSpacing/>
        <w:rPr>
          <w:lang w:val="it-IT"/>
        </w:rPr>
      </w:pPr>
    </w:p>
    <w:p w14:paraId="7D844551" w14:textId="77777777" w:rsidR="00B45F59" w:rsidRPr="00B45F59" w:rsidRDefault="00B45F59" w:rsidP="00B45F59">
      <w:pPr>
        <w:spacing w:after="60"/>
        <w:rPr>
          <w:b/>
          <w:bCs/>
          <w:color w:val="0070C0"/>
          <w:lang w:val="en-GB"/>
        </w:rPr>
      </w:pPr>
      <w:r w:rsidRPr="00B45F59">
        <w:rPr>
          <w:b/>
          <w:bCs/>
          <w:color w:val="0070C0"/>
          <w:lang w:val="en-GB"/>
        </w:rPr>
        <w:t>Masat dhe aktivitetet</w:t>
      </w:r>
    </w:p>
    <w:tbl>
      <w:tblPr>
        <w:tblStyle w:val="TableGridIDEA3"/>
        <w:tblW w:w="9015" w:type="dxa"/>
        <w:tblCellMar>
          <w:top w:w="28" w:type="dxa"/>
          <w:left w:w="57" w:type="dxa"/>
          <w:bottom w:w="28" w:type="dxa"/>
          <w:right w:w="57" w:type="dxa"/>
        </w:tblCellMar>
        <w:tblLook w:val="04A0" w:firstRow="1" w:lastRow="0" w:firstColumn="1" w:lastColumn="0" w:noHBand="0" w:noVBand="1"/>
      </w:tblPr>
      <w:tblGrid>
        <w:gridCol w:w="1976"/>
        <w:gridCol w:w="3710"/>
        <w:gridCol w:w="790"/>
        <w:gridCol w:w="797"/>
        <w:gridCol w:w="1742"/>
      </w:tblGrid>
      <w:tr w:rsidR="00B45F59" w:rsidRPr="00B45F59" w14:paraId="03BCCC96" w14:textId="77777777" w:rsidTr="00B45F59">
        <w:trPr>
          <w:trHeight w:val="20"/>
          <w:tblHeader/>
        </w:trPr>
        <w:tc>
          <w:tcPr>
            <w:tcW w:w="1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4421D" w14:textId="77777777" w:rsidR="00B45F59" w:rsidRPr="00B45F59" w:rsidRDefault="00B45F59" w:rsidP="00B45F59">
            <w:pPr>
              <w:spacing w:line="264" w:lineRule="auto"/>
              <w:rPr>
                <w:b/>
                <w:bCs/>
                <w:sz w:val="16"/>
                <w:szCs w:val="16"/>
              </w:rPr>
            </w:pPr>
            <w:r w:rsidRPr="00B45F59">
              <w:rPr>
                <w:b/>
                <w:bCs/>
                <w:sz w:val="16"/>
                <w:szCs w:val="16"/>
              </w:rPr>
              <w:t>Masa</w:t>
            </w:r>
          </w:p>
        </w:tc>
        <w:tc>
          <w:tcPr>
            <w:tcW w:w="3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493EF4" w14:textId="77777777" w:rsidR="00B45F59" w:rsidRPr="00B45F59" w:rsidRDefault="00B45F59" w:rsidP="00B45F59">
            <w:pPr>
              <w:spacing w:line="264" w:lineRule="auto"/>
              <w:rPr>
                <w:b/>
                <w:bCs/>
                <w:sz w:val="16"/>
                <w:szCs w:val="16"/>
              </w:rPr>
            </w:pPr>
            <w:r w:rsidRPr="00B45F59">
              <w:rPr>
                <w:b/>
                <w:bCs/>
                <w:sz w:val="16"/>
                <w:szCs w:val="16"/>
              </w:rPr>
              <w:t>Aktiviteti</w:t>
            </w:r>
          </w:p>
        </w:tc>
        <w:tc>
          <w:tcPr>
            <w:tcW w:w="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01107A" w14:textId="77777777" w:rsidR="00B45F59" w:rsidRPr="00B45F59" w:rsidRDefault="00B45F59" w:rsidP="00B45F59">
            <w:pPr>
              <w:spacing w:line="264" w:lineRule="auto"/>
              <w:jc w:val="center"/>
              <w:rPr>
                <w:b/>
                <w:bCs/>
                <w:sz w:val="16"/>
                <w:szCs w:val="16"/>
              </w:rPr>
            </w:pPr>
            <w:r w:rsidRPr="00B45F59">
              <w:rPr>
                <w:b/>
                <w:bCs/>
                <w:sz w:val="16"/>
                <w:szCs w:val="16"/>
              </w:rPr>
              <w:t>Fillimi</w:t>
            </w:r>
          </w:p>
        </w:tc>
        <w:tc>
          <w:tcPr>
            <w:tcW w:w="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1D921" w14:textId="77777777" w:rsidR="00B45F59" w:rsidRPr="00B45F59" w:rsidRDefault="00B45F59" w:rsidP="00B45F59">
            <w:pPr>
              <w:spacing w:line="264" w:lineRule="auto"/>
              <w:jc w:val="center"/>
              <w:rPr>
                <w:b/>
                <w:bCs/>
                <w:sz w:val="16"/>
                <w:szCs w:val="16"/>
              </w:rPr>
            </w:pPr>
            <w:r w:rsidRPr="00B45F59">
              <w:rPr>
                <w:b/>
                <w:bCs/>
                <w:sz w:val="16"/>
                <w:szCs w:val="16"/>
              </w:rPr>
              <w:t>Mbarimi</w:t>
            </w:r>
          </w:p>
        </w:tc>
        <w:tc>
          <w:tcPr>
            <w:tcW w:w="1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3CBC3" w14:textId="77777777" w:rsidR="00B45F59" w:rsidRPr="00B45F59" w:rsidRDefault="00B45F59" w:rsidP="00B45F59">
            <w:pPr>
              <w:spacing w:line="264" w:lineRule="auto"/>
              <w:rPr>
                <w:b/>
                <w:bCs/>
                <w:sz w:val="16"/>
                <w:szCs w:val="16"/>
              </w:rPr>
            </w:pPr>
            <w:r w:rsidRPr="00B45F59">
              <w:rPr>
                <w:b/>
                <w:bCs/>
                <w:sz w:val="16"/>
                <w:szCs w:val="16"/>
              </w:rPr>
              <w:t>Grupet e Interesit</w:t>
            </w:r>
          </w:p>
        </w:tc>
      </w:tr>
      <w:tr w:rsidR="00B45F59" w:rsidRPr="00B45F59" w14:paraId="62D97DB5" w14:textId="77777777" w:rsidTr="00B45F59">
        <w:trPr>
          <w:trHeight w:val="20"/>
        </w:trPr>
        <w:tc>
          <w:tcPr>
            <w:tcW w:w="1976" w:type="dxa"/>
            <w:vMerge w:val="restart"/>
            <w:tcBorders>
              <w:top w:val="single" w:sz="4" w:space="0" w:color="auto"/>
              <w:left w:val="single" w:sz="4" w:space="0" w:color="auto"/>
              <w:right w:val="single" w:sz="4" w:space="0" w:color="auto"/>
            </w:tcBorders>
            <w:shd w:val="clear" w:color="auto" w:fill="auto"/>
          </w:tcPr>
          <w:p w14:paraId="7D015AAC" w14:textId="77777777" w:rsidR="00B45F59" w:rsidRPr="00B45F59" w:rsidRDefault="00B45F59" w:rsidP="00B45F59">
            <w:pPr>
              <w:spacing w:line="264" w:lineRule="auto"/>
              <w:rPr>
                <w:b/>
                <w:bCs/>
                <w:sz w:val="16"/>
                <w:szCs w:val="16"/>
              </w:rPr>
            </w:pPr>
            <w:r w:rsidRPr="00B45F59">
              <w:rPr>
                <w:b/>
                <w:bCs/>
                <w:sz w:val="16"/>
                <w:szCs w:val="16"/>
              </w:rPr>
              <w:t>Masa 4.4.1 Forcimi i raportimit të menaxhimit të borxhit dhe Marrëdhënieve me Investitorët</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380083ED" w14:textId="77777777" w:rsidR="00B45F59" w:rsidRPr="00EB3607" w:rsidRDefault="00B45F59" w:rsidP="00CD7428">
            <w:pPr>
              <w:pStyle w:val="T-number"/>
              <w:numPr>
                <w:ilvl w:val="0"/>
                <w:numId w:val="106"/>
              </w:numPr>
            </w:pPr>
            <w:r w:rsidRPr="00EB3607">
              <w:t>Përgatitja dhe publikimi i planit vjetor të huamarrjes.</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06D1F64A" w14:textId="77777777" w:rsidR="00B45F59" w:rsidRPr="00B45F59" w:rsidRDefault="00B45F59" w:rsidP="00B45F59">
            <w:pPr>
              <w:spacing w:line="264" w:lineRule="auto"/>
              <w:jc w:val="center"/>
              <w:rPr>
                <w:sz w:val="16"/>
                <w:szCs w:val="16"/>
              </w:rPr>
            </w:pPr>
            <w:r w:rsidRPr="00B45F59">
              <w:rPr>
                <w:sz w:val="16"/>
                <w:szCs w:val="16"/>
              </w:rPr>
              <w:t>T1 2023</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3FE22A88" w14:textId="77777777" w:rsidR="00B45F59" w:rsidRPr="00B45F59" w:rsidRDefault="00B45F59" w:rsidP="00B45F59">
            <w:pPr>
              <w:spacing w:line="264" w:lineRule="auto"/>
              <w:jc w:val="center"/>
              <w:rPr>
                <w:sz w:val="16"/>
                <w:szCs w:val="16"/>
              </w:rPr>
            </w:pPr>
            <w:r w:rsidRPr="00B45F59">
              <w:rPr>
                <w:sz w:val="16"/>
                <w:szCs w:val="16"/>
              </w:rPr>
              <w:t>T4 2023</w:t>
            </w:r>
          </w:p>
        </w:tc>
        <w:tc>
          <w:tcPr>
            <w:tcW w:w="1742" w:type="dxa"/>
            <w:vMerge w:val="restart"/>
            <w:tcBorders>
              <w:top w:val="single" w:sz="4" w:space="0" w:color="auto"/>
              <w:left w:val="single" w:sz="4" w:space="0" w:color="auto"/>
              <w:right w:val="single" w:sz="4" w:space="0" w:color="auto"/>
            </w:tcBorders>
            <w:shd w:val="clear" w:color="auto" w:fill="auto"/>
          </w:tcPr>
          <w:p w14:paraId="62867F57" w14:textId="77777777" w:rsidR="00B45F59" w:rsidRPr="00B45F59" w:rsidRDefault="00B45F59" w:rsidP="00B45F59">
            <w:pPr>
              <w:rPr>
                <w:b/>
                <w:bCs/>
                <w:sz w:val="16"/>
                <w:szCs w:val="16"/>
              </w:rPr>
            </w:pPr>
            <w:r w:rsidRPr="00B45F59">
              <w:rPr>
                <w:b/>
                <w:bCs/>
                <w:sz w:val="16"/>
                <w:szCs w:val="16"/>
              </w:rPr>
              <w:t>Njësitë përgjegjëse:</w:t>
            </w:r>
          </w:p>
          <w:p w14:paraId="5CD027F0" w14:textId="77777777" w:rsidR="00B45F59" w:rsidRPr="00B45F59" w:rsidRDefault="00B45F59" w:rsidP="00B45F59">
            <w:pPr>
              <w:rPr>
                <w:sz w:val="16"/>
                <w:szCs w:val="16"/>
              </w:rPr>
            </w:pPr>
            <w:r w:rsidRPr="00B45F59">
              <w:rPr>
                <w:sz w:val="16"/>
                <w:szCs w:val="16"/>
              </w:rPr>
              <w:t>DPBSH (lider)</w:t>
            </w:r>
          </w:p>
          <w:p w14:paraId="3898FB47" w14:textId="77777777" w:rsidR="00B45F59" w:rsidRPr="00B45F59" w:rsidRDefault="00B45F59" w:rsidP="00B45F59">
            <w:pPr>
              <w:rPr>
                <w:sz w:val="16"/>
                <w:szCs w:val="16"/>
              </w:rPr>
            </w:pPr>
          </w:p>
          <w:p w14:paraId="5FECAB82" w14:textId="77777777" w:rsidR="00B45F59" w:rsidRPr="00B45F59" w:rsidRDefault="00B45F59" w:rsidP="00B45F59">
            <w:pPr>
              <w:rPr>
                <w:b/>
                <w:bCs/>
                <w:sz w:val="16"/>
                <w:szCs w:val="16"/>
              </w:rPr>
            </w:pPr>
            <w:r w:rsidRPr="00B45F59">
              <w:rPr>
                <w:b/>
                <w:bCs/>
                <w:sz w:val="16"/>
                <w:szCs w:val="16"/>
              </w:rPr>
              <w:t>Partnerët:</w:t>
            </w:r>
          </w:p>
          <w:p w14:paraId="157C7677" w14:textId="77777777" w:rsidR="00B45F59" w:rsidRPr="00B45F59" w:rsidRDefault="00B45F59" w:rsidP="00B45F59">
            <w:pPr>
              <w:spacing w:line="264" w:lineRule="auto"/>
              <w:rPr>
                <w:sz w:val="16"/>
                <w:szCs w:val="16"/>
              </w:rPr>
            </w:pPr>
            <w:r w:rsidRPr="00B45F59">
              <w:rPr>
                <w:sz w:val="16"/>
                <w:szCs w:val="16"/>
              </w:rPr>
              <w:t>Banka Botërore</w:t>
            </w:r>
          </w:p>
        </w:tc>
      </w:tr>
      <w:tr w:rsidR="00B45F59" w:rsidRPr="00B45F59" w14:paraId="286C8F57" w14:textId="77777777" w:rsidTr="00B45F59">
        <w:trPr>
          <w:trHeight w:val="20"/>
        </w:trPr>
        <w:tc>
          <w:tcPr>
            <w:tcW w:w="1976" w:type="dxa"/>
            <w:vMerge/>
            <w:tcBorders>
              <w:left w:val="single" w:sz="4" w:space="0" w:color="auto"/>
              <w:right w:val="single" w:sz="4" w:space="0" w:color="auto"/>
            </w:tcBorders>
            <w:shd w:val="clear" w:color="auto" w:fill="auto"/>
          </w:tcPr>
          <w:p w14:paraId="4CB877B9" w14:textId="77777777" w:rsidR="00B45F59" w:rsidRPr="00B45F59" w:rsidRDefault="00B45F59" w:rsidP="00B45F59">
            <w:pPr>
              <w:spacing w:line="264" w:lineRule="auto"/>
              <w:rPr>
                <w:b/>
                <w:bCs/>
                <w:sz w:val="16"/>
                <w:szCs w:val="16"/>
              </w:rPr>
            </w:pP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5BD5CE6B" w14:textId="2BCCD3B5" w:rsidR="00B45F59" w:rsidRPr="009D660E" w:rsidRDefault="00EB737F" w:rsidP="00B45F59">
            <w:pPr>
              <w:numPr>
                <w:ilvl w:val="0"/>
                <w:numId w:val="5"/>
              </w:numPr>
              <w:spacing w:line="264" w:lineRule="auto"/>
              <w:rPr>
                <w:sz w:val="16"/>
                <w:szCs w:val="16"/>
                <w:lang w:val="it-IT"/>
              </w:rPr>
            </w:pPr>
            <w:r w:rsidRPr="009D660E">
              <w:rPr>
                <w:sz w:val="16"/>
                <w:szCs w:val="16"/>
                <w:lang w:val="it-IT"/>
              </w:rPr>
              <w:t>Rishikimi i</w:t>
            </w:r>
            <w:r w:rsidR="00B45F59" w:rsidRPr="009D660E">
              <w:rPr>
                <w:sz w:val="16"/>
                <w:szCs w:val="16"/>
                <w:lang w:val="it-IT"/>
              </w:rPr>
              <w:t xml:space="preserve"> praktikave aktuale dhe përmirësimi i  informacionin për investitorët i publikuar në faqen e internetit të MF-së</w:t>
            </w:r>
            <w:r w:rsidR="00B45F59" w:rsidRPr="00B45F59">
              <w:rPr>
                <w:bCs/>
                <w:szCs w:val="14"/>
                <w:vertAlign w:val="superscript"/>
              </w:rPr>
              <w:footnoteReference w:id="58"/>
            </w:r>
            <w:r w:rsidR="00B45F59" w:rsidRPr="009D660E">
              <w:rPr>
                <w:sz w:val="16"/>
                <w:szCs w:val="16"/>
                <w:lang w:val="it-IT"/>
              </w:rPr>
              <w:t xml:space="preserve">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345CD363" w14:textId="77777777" w:rsidR="00B45F59" w:rsidRPr="00B45F59" w:rsidRDefault="00B45F59" w:rsidP="00B45F59">
            <w:pPr>
              <w:spacing w:line="264" w:lineRule="auto"/>
              <w:jc w:val="center"/>
              <w:rPr>
                <w:bCs/>
                <w:sz w:val="16"/>
                <w:szCs w:val="16"/>
              </w:rPr>
            </w:pPr>
            <w:r w:rsidRPr="00B45F59">
              <w:rPr>
                <w:bCs/>
                <w:color w:val="000000"/>
                <w:sz w:val="16"/>
                <w:szCs w:val="16"/>
                <w:shd w:val="clear" w:color="auto" w:fill="FFFFFF"/>
              </w:rPr>
              <w:t>T2 2024</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82641BF" w14:textId="77777777" w:rsidR="00B45F59" w:rsidRPr="00B45F59" w:rsidRDefault="00B45F59" w:rsidP="00B45F59">
            <w:pPr>
              <w:spacing w:line="264" w:lineRule="auto"/>
              <w:jc w:val="center"/>
              <w:rPr>
                <w:bCs/>
                <w:sz w:val="16"/>
                <w:szCs w:val="16"/>
              </w:rPr>
            </w:pPr>
            <w:r w:rsidRPr="00B45F59">
              <w:rPr>
                <w:bCs/>
                <w:color w:val="000000"/>
                <w:sz w:val="16"/>
                <w:szCs w:val="16"/>
                <w:shd w:val="clear" w:color="auto" w:fill="FFFFFF"/>
              </w:rPr>
              <w:t>T3 2024</w:t>
            </w:r>
          </w:p>
        </w:tc>
        <w:tc>
          <w:tcPr>
            <w:tcW w:w="1742" w:type="dxa"/>
            <w:vMerge/>
            <w:tcBorders>
              <w:left w:val="single" w:sz="4" w:space="0" w:color="auto"/>
              <w:right w:val="single" w:sz="4" w:space="0" w:color="auto"/>
            </w:tcBorders>
            <w:shd w:val="clear" w:color="auto" w:fill="auto"/>
          </w:tcPr>
          <w:p w14:paraId="1EB532DA" w14:textId="77777777" w:rsidR="00B45F59" w:rsidRPr="00B45F59" w:rsidRDefault="00B45F59" w:rsidP="00B45F59">
            <w:pPr>
              <w:spacing w:line="264" w:lineRule="auto"/>
              <w:rPr>
                <w:b/>
                <w:bCs/>
                <w:sz w:val="16"/>
                <w:szCs w:val="16"/>
              </w:rPr>
            </w:pPr>
          </w:p>
        </w:tc>
      </w:tr>
      <w:tr w:rsidR="00B45F59" w:rsidRPr="00B45F59" w14:paraId="290AEECA" w14:textId="77777777" w:rsidTr="00B45F59">
        <w:trPr>
          <w:trHeight w:val="20"/>
        </w:trPr>
        <w:tc>
          <w:tcPr>
            <w:tcW w:w="1976" w:type="dxa"/>
            <w:vMerge/>
            <w:tcBorders>
              <w:left w:val="single" w:sz="4" w:space="0" w:color="auto"/>
              <w:bottom w:val="single" w:sz="4" w:space="0" w:color="auto"/>
              <w:right w:val="single" w:sz="4" w:space="0" w:color="auto"/>
            </w:tcBorders>
            <w:shd w:val="clear" w:color="auto" w:fill="auto"/>
          </w:tcPr>
          <w:p w14:paraId="67C3D4A5" w14:textId="77777777" w:rsidR="00B45F59" w:rsidRPr="00B45F59" w:rsidRDefault="00B45F59" w:rsidP="00B45F59">
            <w:pPr>
              <w:spacing w:line="264" w:lineRule="auto"/>
              <w:rPr>
                <w:b/>
                <w:bCs/>
                <w:sz w:val="16"/>
                <w:szCs w:val="16"/>
              </w:rPr>
            </w:pP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5EC1A830" w14:textId="77777777" w:rsidR="00B45F59" w:rsidRPr="009D660E" w:rsidRDefault="00B45F59" w:rsidP="00B45F59">
            <w:pPr>
              <w:numPr>
                <w:ilvl w:val="0"/>
                <w:numId w:val="5"/>
              </w:numPr>
              <w:spacing w:line="264" w:lineRule="auto"/>
              <w:rPr>
                <w:sz w:val="16"/>
                <w:szCs w:val="16"/>
                <w:lang w:val="it-IT"/>
              </w:rPr>
            </w:pPr>
            <w:r w:rsidRPr="009D660E">
              <w:rPr>
                <w:bCs/>
                <w:sz w:val="16"/>
                <w:szCs w:val="24"/>
                <w:lang w:val="it-IT"/>
              </w:rPr>
              <w:t>Ofrimi i informacionit për bazën e investitorëve mbi zhvillimet kryesore makroekonomike në vend</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465E2901" w14:textId="77777777" w:rsidR="00B45F59" w:rsidRPr="00B45F59" w:rsidRDefault="00B45F59" w:rsidP="00B45F59">
            <w:pPr>
              <w:spacing w:line="264" w:lineRule="auto"/>
              <w:jc w:val="center"/>
              <w:rPr>
                <w:sz w:val="16"/>
                <w:szCs w:val="16"/>
              </w:rPr>
            </w:pPr>
            <w:r w:rsidRPr="00B45F59">
              <w:rPr>
                <w:bCs/>
                <w:sz w:val="16"/>
                <w:szCs w:val="16"/>
                <w:shd w:val="clear" w:color="auto" w:fill="FFFFFF"/>
              </w:rPr>
              <w:t>T3 2024</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2557F6F6" w14:textId="77777777" w:rsidR="00B45F59" w:rsidRPr="00B45F59" w:rsidRDefault="00B45F59" w:rsidP="00B45F59">
            <w:pPr>
              <w:spacing w:line="264" w:lineRule="auto"/>
              <w:jc w:val="center"/>
              <w:rPr>
                <w:sz w:val="16"/>
                <w:szCs w:val="16"/>
              </w:rPr>
            </w:pPr>
            <w:r w:rsidRPr="00B45F59">
              <w:rPr>
                <w:bCs/>
                <w:sz w:val="16"/>
                <w:szCs w:val="16"/>
                <w:shd w:val="clear" w:color="auto" w:fill="FFFFFF"/>
              </w:rPr>
              <w:t>T4 2026</w:t>
            </w:r>
          </w:p>
        </w:tc>
        <w:tc>
          <w:tcPr>
            <w:tcW w:w="1742" w:type="dxa"/>
            <w:vMerge/>
            <w:tcBorders>
              <w:left w:val="single" w:sz="4" w:space="0" w:color="auto"/>
              <w:bottom w:val="single" w:sz="4" w:space="0" w:color="auto"/>
              <w:right w:val="single" w:sz="4" w:space="0" w:color="auto"/>
            </w:tcBorders>
            <w:shd w:val="clear" w:color="auto" w:fill="auto"/>
          </w:tcPr>
          <w:p w14:paraId="3AAA0EEA" w14:textId="77777777" w:rsidR="00B45F59" w:rsidRPr="00B45F59" w:rsidRDefault="00B45F59" w:rsidP="00B45F59">
            <w:pPr>
              <w:spacing w:line="264" w:lineRule="auto"/>
              <w:rPr>
                <w:b/>
                <w:bCs/>
                <w:sz w:val="16"/>
                <w:szCs w:val="16"/>
              </w:rPr>
            </w:pPr>
          </w:p>
        </w:tc>
      </w:tr>
      <w:tr w:rsidR="00B45F59" w:rsidRPr="00B45F59" w14:paraId="1CCA95DA" w14:textId="77777777" w:rsidTr="00B45F59">
        <w:trPr>
          <w:trHeight w:val="20"/>
        </w:trPr>
        <w:tc>
          <w:tcPr>
            <w:tcW w:w="1976" w:type="dxa"/>
            <w:vMerge/>
            <w:tcBorders>
              <w:left w:val="single" w:sz="4" w:space="0" w:color="auto"/>
              <w:bottom w:val="single" w:sz="4" w:space="0" w:color="auto"/>
              <w:right w:val="single" w:sz="4" w:space="0" w:color="auto"/>
            </w:tcBorders>
            <w:shd w:val="clear" w:color="auto" w:fill="auto"/>
          </w:tcPr>
          <w:p w14:paraId="237795AC" w14:textId="77777777" w:rsidR="00B45F59" w:rsidRPr="00B45F59" w:rsidRDefault="00B45F59" w:rsidP="00B45F59">
            <w:pPr>
              <w:spacing w:line="264" w:lineRule="auto"/>
              <w:rPr>
                <w:b/>
                <w:bCs/>
                <w:sz w:val="16"/>
                <w:szCs w:val="16"/>
              </w:rPr>
            </w:pP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3DB5BC9A" w14:textId="77777777" w:rsidR="00B45F59" w:rsidRPr="009D660E" w:rsidRDefault="00B45F59" w:rsidP="00B45F59">
            <w:pPr>
              <w:numPr>
                <w:ilvl w:val="0"/>
                <w:numId w:val="5"/>
              </w:numPr>
              <w:spacing w:line="264" w:lineRule="auto"/>
              <w:rPr>
                <w:sz w:val="16"/>
                <w:szCs w:val="16"/>
                <w:lang w:val="it-IT"/>
              </w:rPr>
            </w:pPr>
            <w:r w:rsidRPr="009D660E">
              <w:rPr>
                <w:sz w:val="16"/>
                <w:szCs w:val="16"/>
                <w:lang w:val="it-IT"/>
              </w:rPr>
              <w:t>Përgatitja dhe publikimi i Raportit vjetor të Monitorimit të SMB.</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001146FA" w14:textId="77777777" w:rsidR="00B45F59" w:rsidRPr="00B45F59" w:rsidRDefault="00B45F59" w:rsidP="00B45F59">
            <w:pPr>
              <w:spacing w:line="264" w:lineRule="auto"/>
              <w:jc w:val="center"/>
              <w:rPr>
                <w:b/>
                <w:bCs/>
                <w:sz w:val="16"/>
                <w:szCs w:val="16"/>
              </w:rPr>
            </w:pPr>
            <w:r w:rsidRPr="00B45F59">
              <w:rPr>
                <w:sz w:val="16"/>
                <w:szCs w:val="16"/>
              </w:rPr>
              <w:t>T1 2023</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31DC8EEE" w14:textId="77777777" w:rsidR="00B45F59" w:rsidRPr="00B45F59" w:rsidRDefault="00B45F59" w:rsidP="00B45F59">
            <w:pPr>
              <w:spacing w:line="264" w:lineRule="auto"/>
              <w:jc w:val="center"/>
              <w:rPr>
                <w:b/>
                <w:bCs/>
                <w:sz w:val="16"/>
                <w:szCs w:val="16"/>
              </w:rPr>
            </w:pPr>
            <w:r w:rsidRPr="00B45F59">
              <w:rPr>
                <w:sz w:val="16"/>
                <w:szCs w:val="16"/>
              </w:rPr>
              <w:t>T1 2026</w:t>
            </w:r>
          </w:p>
        </w:tc>
        <w:tc>
          <w:tcPr>
            <w:tcW w:w="1742" w:type="dxa"/>
            <w:vMerge/>
            <w:tcBorders>
              <w:left w:val="single" w:sz="4" w:space="0" w:color="auto"/>
              <w:bottom w:val="single" w:sz="4" w:space="0" w:color="auto"/>
              <w:right w:val="single" w:sz="4" w:space="0" w:color="auto"/>
            </w:tcBorders>
            <w:shd w:val="clear" w:color="auto" w:fill="auto"/>
          </w:tcPr>
          <w:p w14:paraId="75641D72" w14:textId="77777777" w:rsidR="00B45F59" w:rsidRPr="00B45F59" w:rsidRDefault="00B45F59" w:rsidP="00B45F59">
            <w:pPr>
              <w:spacing w:line="264" w:lineRule="auto"/>
              <w:rPr>
                <w:b/>
                <w:bCs/>
                <w:sz w:val="16"/>
                <w:szCs w:val="16"/>
              </w:rPr>
            </w:pPr>
          </w:p>
        </w:tc>
      </w:tr>
      <w:tr w:rsidR="00B45F59" w:rsidRPr="00B45F59" w14:paraId="7D5E55DF" w14:textId="77777777" w:rsidTr="00B45F59">
        <w:trPr>
          <w:trHeight w:val="20"/>
        </w:trPr>
        <w:tc>
          <w:tcPr>
            <w:tcW w:w="1976" w:type="dxa"/>
            <w:vMerge w:val="restart"/>
            <w:tcBorders>
              <w:top w:val="single" w:sz="4" w:space="0" w:color="auto"/>
              <w:left w:val="single" w:sz="4" w:space="0" w:color="auto"/>
              <w:right w:val="single" w:sz="4" w:space="0" w:color="auto"/>
            </w:tcBorders>
            <w:shd w:val="clear" w:color="auto" w:fill="auto"/>
          </w:tcPr>
          <w:p w14:paraId="22E3945A" w14:textId="77777777" w:rsidR="00B45F59" w:rsidRPr="00B45F59" w:rsidRDefault="00B45F59" w:rsidP="00B45F59">
            <w:pPr>
              <w:spacing w:line="264" w:lineRule="auto"/>
              <w:rPr>
                <w:b/>
                <w:sz w:val="16"/>
                <w:szCs w:val="16"/>
              </w:rPr>
            </w:pPr>
            <w:r w:rsidRPr="00B45F59">
              <w:rPr>
                <w:b/>
                <w:bCs/>
                <w:sz w:val="16"/>
                <w:szCs w:val="16"/>
              </w:rPr>
              <w:t>Masa 4.4.2 Zhvillimi i një kuadri gjithëpërfshirës për sigurimin e garancive dhe huadhënies</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0FBF1777" w14:textId="0F9B473F" w:rsidR="00B45F59" w:rsidRPr="00EB3607" w:rsidRDefault="00B45F59" w:rsidP="00CD7428">
            <w:pPr>
              <w:pStyle w:val="T-number"/>
              <w:numPr>
                <w:ilvl w:val="0"/>
                <w:numId w:val="107"/>
              </w:numPr>
            </w:pPr>
            <w:r w:rsidRPr="00EB3607">
              <w:t xml:space="preserve">Zhvillimi i një kuadri gjithëpërfshirës për vlerësimin e riskut të kredisë për NSH-të dhe qeverinë vendore kur ofrohet garanci shtetërore ose </w:t>
            </w:r>
            <w:r w:rsidR="00EB3607">
              <w:t>nën-hua</w:t>
            </w:r>
            <w:r w:rsidRPr="00EB3607">
              <w:t>.</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30F3F0BF" w14:textId="77777777" w:rsidR="00B45F59" w:rsidRPr="00B45F59" w:rsidRDefault="00B45F59" w:rsidP="00B45F59">
            <w:pPr>
              <w:spacing w:line="264" w:lineRule="auto"/>
              <w:jc w:val="center"/>
              <w:rPr>
                <w:sz w:val="16"/>
                <w:szCs w:val="16"/>
              </w:rPr>
            </w:pPr>
            <w:r w:rsidRPr="00B45F59">
              <w:rPr>
                <w:sz w:val="16"/>
                <w:szCs w:val="16"/>
              </w:rPr>
              <w:t>T1 2025</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196791ED" w14:textId="77777777" w:rsidR="00B45F59" w:rsidRPr="00B45F59" w:rsidRDefault="00B45F59" w:rsidP="00B45F59">
            <w:pPr>
              <w:spacing w:line="264" w:lineRule="auto"/>
              <w:jc w:val="center"/>
              <w:rPr>
                <w:sz w:val="16"/>
                <w:szCs w:val="16"/>
              </w:rPr>
            </w:pPr>
            <w:r w:rsidRPr="00B45F59">
              <w:rPr>
                <w:sz w:val="16"/>
                <w:szCs w:val="16"/>
              </w:rPr>
              <w:t>T4 2026</w:t>
            </w:r>
          </w:p>
        </w:tc>
        <w:tc>
          <w:tcPr>
            <w:tcW w:w="1742" w:type="dxa"/>
            <w:vMerge w:val="restart"/>
            <w:tcBorders>
              <w:top w:val="single" w:sz="4" w:space="0" w:color="auto"/>
              <w:left w:val="single" w:sz="4" w:space="0" w:color="auto"/>
              <w:right w:val="single" w:sz="4" w:space="0" w:color="auto"/>
            </w:tcBorders>
            <w:shd w:val="clear" w:color="auto" w:fill="auto"/>
          </w:tcPr>
          <w:p w14:paraId="3555EFF7" w14:textId="77777777" w:rsidR="00B45F59" w:rsidRPr="00B45F59" w:rsidRDefault="00B45F59" w:rsidP="00B45F59">
            <w:pPr>
              <w:rPr>
                <w:b/>
                <w:bCs/>
                <w:sz w:val="16"/>
                <w:szCs w:val="16"/>
              </w:rPr>
            </w:pPr>
            <w:r w:rsidRPr="00B45F59">
              <w:rPr>
                <w:b/>
                <w:bCs/>
                <w:sz w:val="16"/>
                <w:szCs w:val="16"/>
              </w:rPr>
              <w:t>Njësitë përgjegjëse:</w:t>
            </w:r>
          </w:p>
          <w:p w14:paraId="3CE3996B" w14:textId="77777777" w:rsidR="00B45F59" w:rsidRPr="00B45F59" w:rsidRDefault="00B45F59" w:rsidP="00B45F59">
            <w:pPr>
              <w:rPr>
                <w:sz w:val="16"/>
                <w:szCs w:val="16"/>
              </w:rPr>
            </w:pPr>
            <w:r w:rsidRPr="00B45F59">
              <w:rPr>
                <w:sz w:val="16"/>
                <w:szCs w:val="16"/>
              </w:rPr>
              <w:t>DPBSH (lider)</w:t>
            </w:r>
          </w:p>
          <w:p w14:paraId="02816AAD" w14:textId="77777777" w:rsidR="00B45F59" w:rsidRPr="00B45F59" w:rsidRDefault="00B45F59" w:rsidP="00B45F59">
            <w:pPr>
              <w:rPr>
                <w:sz w:val="16"/>
                <w:szCs w:val="16"/>
              </w:rPr>
            </w:pPr>
          </w:p>
          <w:p w14:paraId="39E6294B" w14:textId="77777777" w:rsidR="00B45F59" w:rsidRPr="00B45F59" w:rsidRDefault="00B45F59" w:rsidP="00B45F59">
            <w:pPr>
              <w:rPr>
                <w:b/>
                <w:bCs/>
                <w:sz w:val="16"/>
                <w:szCs w:val="16"/>
              </w:rPr>
            </w:pPr>
            <w:r w:rsidRPr="00B45F59">
              <w:rPr>
                <w:b/>
                <w:bCs/>
                <w:sz w:val="16"/>
                <w:szCs w:val="16"/>
              </w:rPr>
              <w:t>Partnerët:</w:t>
            </w:r>
          </w:p>
          <w:p w14:paraId="4DCAEFCC" w14:textId="77777777" w:rsidR="00B45F59" w:rsidRPr="00B45F59" w:rsidRDefault="00B45F59" w:rsidP="00B45F59">
            <w:pPr>
              <w:spacing w:line="264" w:lineRule="auto"/>
              <w:rPr>
                <w:bCs/>
                <w:sz w:val="16"/>
                <w:szCs w:val="16"/>
              </w:rPr>
            </w:pPr>
            <w:r w:rsidRPr="00B45F59">
              <w:rPr>
                <w:bCs/>
                <w:sz w:val="16"/>
                <w:szCs w:val="16"/>
              </w:rPr>
              <w:t>Banka Botërore</w:t>
            </w:r>
          </w:p>
        </w:tc>
      </w:tr>
      <w:tr w:rsidR="00B45F59" w:rsidRPr="00B45F59" w14:paraId="74394D3D" w14:textId="77777777" w:rsidTr="00B45F59">
        <w:trPr>
          <w:trHeight w:val="20"/>
        </w:trPr>
        <w:tc>
          <w:tcPr>
            <w:tcW w:w="1976" w:type="dxa"/>
            <w:vMerge/>
            <w:tcBorders>
              <w:left w:val="single" w:sz="4" w:space="0" w:color="auto"/>
              <w:bottom w:val="single" w:sz="4" w:space="0" w:color="auto"/>
              <w:right w:val="single" w:sz="4" w:space="0" w:color="auto"/>
            </w:tcBorders>
            <w:shd w:val="clear" w:color="auto" w:fill="auto"/>
          </w:tcPr>
          <w:p w14:paraId="27115A61" w14:textId="77777777" w:rsidR="00B45F59" w:rsidRPr="00B45F59" w:rsidRDefault="00B45F59" w:rsidP="00B45F59">
            <w:pPr>
              <w:spacing w:line="264" w:lineRule="auto"/>
              <w:rPr>
                <w:b/>
                <w:bCs/>
                <w:sz w:val="16"/>
                <w:szCs w:val="16"/>
              </w:rPr>
            </w:pP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5FC4F335" w14:textId="77777777" w:rsidR="00B45F59" w:rsidRPr="00B45F59" w:rsidRDefault="00B45F59" w:rsidP="00B45F59">
            <w:pPr>
              <w:numPr>
                <w:ilvl w:val="0"/>
                <w:numId w:val="5"/>
              </w:numPr>
              <w:spacing w:line="264" w:lineRule="auto"/>
              <w:rPr>
                <w:sz w:val="16"/>
                <w:szCs w:val="16"/>
              </w:rPr>
            </w:pPr>
            <w:r w:rsidRPr="00B45F59">
              <w:rPr>
                <w:sz w:val="16"/>
                <w:szCs w:val="16"/>
              </w:rPr>
              <w:t>Ngritja e kapaciteteve të stafit të DPBSH-së për të vlerësuar aftësinë kreditore të NSH-ve dhe qeverisë vendore.</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21B32C65" w14:textId="77777777" w:rsidR="00B45F59" w:rsidRPr="00B45F59" w:rsidRDefault="00B45F59" w:rsidP="00B45F59">
            <w:pPr>
              <w:spacing w:line="264" w:lineRule="auto"/>
              <w:jc w:val="center"/>
              <w:rPr>
                <w:sz w:val="16"/>
                <w:szCs w:val="16"/>
              </w:rPr>
            </w:pPr>
            <w:r w:rsidRPr="00B45F59">
              <w:rPr>
                <w:sz w:val="16"/>
                <w:szCs w:val="16"/>
              </w:rPr>
              <w:t>T1 2025</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71BAE6FF" w14:textId="77777777" w:rsidR="00B45F59" w:rsidRPr="00B45F59" w:rsidRDefault="00B45F59" w:rsidP="00B45F59">
            <w:pPr>
              <w:spacing w:line="264" w:lineRule="auto"/>
              <w:jc w:val="center"/>
              <w:rPr>
                <w:sz w:val="16"/>
                <w:szCs w:val="16"/>
              </w:rPr>
            </w:pPr>
            <w:r w:rsidRPr="00B45F59">
              <w:rPr>
                <w:sz w:val="16"/>
                <w:szCs w:val="16"/>
              </w:rPr>
              <w:t>T4 2026</w:t>
            </w:r>
          </w:p>
        </w:tc>
        <w:tc>
          <w:tcPr>
            <w:tcW w:w="1742" w:type="dxa"/>
            <w:vMerge/>
            <w:tcBorders>
              <w:left w:val="single" w:sz="4" w:space="0" w:color="auto"/>
              <w:bottom w:val="single" w:sz="4" w:space="0" w:color="auto"/>
              <w:right w:val="single" w:sz="4" w:space="0" w:color="auto"/>
            </w:tcBorders>
            <w:shd w:val="clear" w:color="auto" w:fill="auto"/>
          </w:tcPr>
          <w:p w14:paraId="2A3CA958" w14:textId="77777777" w:rsidR="00B45F59" w:rsidRPr="00B45F59" w:rsidRDefault="00B45F59" w:rsidP="00B45F59">
            <w:pPr>
              <w:spacing w:line="264" w:lineRule="auto"/>
              <w:rPr>
                <w:b/>
                <w:bCs/>
                <w:sz w:val="16"/>
                <w:szCs w:val="16"/>
              </w:rPr>
            </w:pPr>
          </w:p>
        </w:tc>
      </w:tr>
      <w:tr w:rsidR="00B45F59" w:rsidRPr="00B45F59" w14:paraId="67264395" w14:textId="77777777" w:rsidTr="00B45F59">
        <w:trPr>
          <w:trHeight w:val="20"/>
        </w:trPr>
        <w:tc>
          <w:tcPr>
            <w:tcW w:w="1976" w:type="dxa"/>
            <w:vMerge w:val="restart"/>
            <w:tcBorders>
              <w:top w:val="single" w:sz="4" w:space="0" w:color="auto"/>
              <w:left w:val="single" w:sz="4" w:space="0" w:color="auto"/>
              <w:right w:val="single" w:sz="4" w:space="0" w:color="auto"/>
            </w:tcBorders>
            <w:shd w:val="clear" w:color="auto" w:fill="auto"/>
          </w:tcPr>
          <w:p w14:paraId="555506CF" w14:textId="77777777" w:rsidR="00B45F59" w:rsidRPr="00B45F59" w:rsidRDefault="00B45F59" w:rsidP="00B45F59">
            <w:pPr>
              <w:spacing w:line="264" w:lineRule="auto"/>
              <w:rPr>
                <w:rFonts w:ascii="Open Sans Light" w:hAnsi="Open Sans Light" w:cs="Open Sans Light"/>
                <w:szCs w:val="20"/>
              </w:rPr>
            </w:pPr>
            <w:r w:rsidRPr="00B45F59">
              <w:rPr>
                <w:b/>
                <w:sz w:val="16"/>
                <w:szCs w:val="16"/>
              </w:rPr>
              <w:t xml:space="preserve">Masa 4.4.3 </w:t>
            </w:r>
            <w:r w:rsidRPr="00B45F59">
              <w:rPr>
                <w:b/>
                <w:bCs/>
                <w:sz w:val="16"/>
                <w:szCs w:val="16"/>
              </w:rPr>
              <w:t>Fillimi gradual i zhvillimit të vlerësimit të nevojshëm për instrumente të reja alternative të financimit (të gjelbër, Social ose Qëndrueshmëri ose instrumente të tjera)</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39F31189" w14:textId="53D0A57B" w:rsidR="00B45F59" w:rsidRPr="00EB3607" w:rsidRDefault="00B45F59" w:rsidP="00CD7428">
            <w:pPr>
              <w:pStyle w:val="T-number"/>
              <w:numPr>
                <w:ilvl w:val="0"/>
                <w:numId w:val="108"/>
              </w:numPr>
            </w:pPr>
            <w:r w:rsidRPr="00EB3607">
              <w:t xml:space="preserve">Kryerja e një vlerësimi të </w:t>
            </w:r>
            <w:r w:rsidR="00EB3607">
              <w:t>instrumentave/obligacioneve</w:t>
            </w:r>
            <w:r w:rsidRPr="00EB3607">
              <w:t xml:space="preserve"> të ndryshme të gjelbra dhe instrumenteve të tjera alternative të financimit dhe se si ato mund të zbatohen.</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3CF4828C" w14:textId="77777777" w:rsidR="00B45F59" w:rsidRPr="00B45F59" w:rsidRDefault="00B45F59" w:rsidP="00B45F59">
            <w:pPr>
              <w:spacing w:line="264" w:lineRule="auto"/>
              <w:jc w:val="center"/>
              <w:rPr>
                <w:sz w:val="16"/>
                <w:szCs w:val="16"/>
              </w:rPr>
            </w:pPr>
            <w:r w:rsidRPr="00B45F59">
              <w:rPr>
                <w:bCs/>
                <w:sz w:val="16"/>
                <w:szCs w:val="16"/>
              </w:rPr>
              <w:t>T3 2024</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0B40FD2B" w14:textId="77777777" w:rsidR="00B45F59" w:rsidRPr="00B45F59" w:rsidRDefault="00B45F59" w:rsidP="00B45F59">
            <w:pPr>
              <w:spacing w:line="264" w:lineRule="auto"/>
              <w:jc w:val="center"/>
              <w:rPr>
                <w:sz w:val="16"/>
                <w:szCs w:val="16"/>
              </w:rPr>
            </w:pPr>
            <w:r w:rsidRPr="00B45F59">
              <w:rPr>
                <w:bCs/>
                <w:sz w:val="16"/>
                <w:szCs w:val="16"/>
              </w:rPr>
              <w:t>T4 2025</w:t>
            </w:r>
          </w:p>
        </w:tc>
        <w:tc>
          <w:tcPr>
            <w:tcW w:w="1742" w:type="dxa"/>
            <w:vMerge w:val="restart"/>
            <w:tcBorders>
              <w:top w:val="single" w:sz="4" w:space="0" w:color="auto"/>
              <w:left w:val="single" w:sz="4" w:space="0" w:color="auto"/>
              <w:right w:val="single" w:sz="4" w:space="0" w:color="auto"/>
            </w:tcBorders>
            <w:shd w:val="clear" w:color="auto" w:fill="auto"/>
          </w:tcPr>
          <w:p w14:paraId="573D18F6" w14:textId="77777777" w:rsidR="00B45F59" w:rsidRPr="00B45F59" w:rsidRDefault="00B45F59" w:rsidP="00B45F59">
            <w:pPr>
              <w:rPr>
                <w:b/>
                <w:bCs/>
                <w:sz w:val="16"/>
                <w:szCs w:val="16"/>
              </w:rPr>
            </w:pPr>
            <w:r w:rsidRPr="00B45F59">
              <w:rPr>
                <w:b/>
                <w:bCs/>
                <w:sz w:val="16"/>
                <w:szCs w:val="16"/>
              </w:rPr>
              <w:t>Njësitë përgjegjëse:</w:t>
            </w:r>
          </w:p>
          <w:p w14:paraId="5DF37400" w14:textId="77777777" w:rsidR="00B45F59" w:rsidRPr="00B45F59" w:rsidRDefault="00B45F59" w:rsidP="00B45F59">
            <w:pPr>
              <w:rPr>
                <w:sz w:val="16"/>
                <w:szCs w:val="16"/>
              </w:rPr>
            </w:pPr>
            <w:r w:rsidRPr="00B45F59">
              <w:rPr>
                <w:sz w:val="16"/>
                <w:szCs w:val="16"/>
              </w:rPr>
              <w:t>DPBSH (lider), DPPM, DPB, Ministritë e Linjës.</w:t>
            </w:r>
          </w:p>
          <w:p w14:paraId="5FB60DA6" w14:textId="77777777" w:rsidR="00B45F59" w:rsidRPr="00B45F59" w:rsidRDefault="00B45F59" w:rsidP="00B45F59">
            <w:pPr>
              <w:rPr>
                <w:sz w:val="16"/>
                <w:szCs w:val="16"/>
              </w:rPr>
            </w:pPr>
          </w:p>
          <w:p w14:paraId="6636777D" w14:textId="77777777" w:rsidR="00B45F59" w:rsidRPr="00B45F59" w:rsidRDefault="00B45F59" w:rsidP="00B45F59">
            <w:pPr>
              <w:rPr>
                <w:b/>
                <w:bCs/>
                <w:sz w:val="16"/>
                <w:szCs w:val="16"/>
              </w:rPr>
            </w:pPr>
            <w:r w:rsidRPr="00B45F59">
              <w:rPr>
                <w:b/>
                <w:bCs/>
                <w:sz w:val="16"/>
                <w:szCs w:val="16"/>
              </w:rPr>
              <w:t>Partnerët:</w:t>
            </w:r>
          </w:p>
          <w:p w14:paraId="5292DC9D" w14:textId="77777777" w:rsidR="00B45F59" w:rsidRPr="00B45F59" w:rsidRDefault="00B45F59" w:rsidP="00B45F59">
            <w:pPr>
              <w:rPr>
                <w:sz w:val="16"/>
                <w:szCs w:val="16"/>
              </w:rPr>
            </w:pPr>
            <w:r w:rsidRPr="00B45F59">
              <w:rPr>
                <w:sz w:val="16"/>
                <w:szCs w:val="16"/>
              </w:rPr>
              <w:t>Banka Botërore, GIZ, AFD</w:t>
            </w:r>
          </w:p>
        </w:tc>
      </w:tr>
      <w:tr w:rsidR="00B45F59" w:rsidRPr="00B45F59" w14:paraId="2F5976F8" w14:textId="77777777" w:rsidTr="00B45F59">
        <w:trPr>
          <w:trHeight w:val="20"/>
        </w:trPr>
        <w:tc>
          <w:tcPr>
            <w:tcW w:w="1976" w:type="dxa"/>
            <w:vMerge/>
            <w:tcBorders>
              <w:left w:val="single" w:sz="4" w:space="0" w:color="auto"/>
              <w:bottom w:val="single" w:sz="4" w:space="0" w:color="auto"/>
              <w:right w:val="single" w:sz="4" w:space="0" w:color="auto"/>
            </w:tcBorders>
            <w:shd w:val="clear" w:color="auto" w:fill="auto"/>
          </w:tcPr>
          <w:p w14:paraId="41FB8F15" w14:textId="77777777" w:rsidR="00B45F59" w:rsidRPr="00B45F59" w:rsidRDefault="00B45F59" w:rsidP="00B45F59">
            <w:pPr>
              <w:spacing w:line="264" w:lineRule="auto"/>
              <w:rPr>
                <w:b/>
                <w:bCs/>
                <w:sz w:val="16"/>
                <w:szCs w:val="16"/>
              </w:rPr>
            </w:pP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6AACFE4E" w14:textId="77777777" w:rsidR="00B45F59" w:rsidRPr="00B45F59" w:rsidRDefault="00B45F59" w:rsidP="00B45F59">
            <w:pPr>
              <w:numPr>
                <w:ilvl w:val="0"/>
                <w:numId w:val="5"/>
              </w:numPr>
              <w:spacing w:line="264" w:lineRule="auto"/>
              <w:rPr>
                <w:sz w:val="16"/>
                <w:szCs w:val="16"/>
              </w:rPr>
            </w:pPr>
            <w:r w:rsidRPr="00B45F59">
              <w:rPr>
                <w:rFonts w:eastAsia="Times New Roman"/>
                <w:bCs/>
                <w:sz w:val="16"/>
                <w:szCs w:val="16"/>
              </w:rPr>
              <w:t>Ndërtimi i kapaciteteve të DPBSH-së, MIP-it dhe stafit të tjerë për të përmirësuar të kuptuarit e financimit të gjelbër dhe instrumenteve të tjera alternative të financimit dhe kushteve dhe kërkesave përkatëse.</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09A4E2D6" w14:textId="77777777" w:rsidR="00B45F59" w:rsidRPr="00B45F59" w:rsidRDefault="00B45F59" w:rsidP="00B45F59">
            <w:pPr>
              <w:spacing w:line="264" w:lineRule="auto"/>
              <w:jc w:val="center"/>
              <w:rPr>
                <w:sz w:val="16"/>
                <w:szCs w:val="16"/>
              </w:rPr>
            </w:pPr>
            <w:r w:rsidRPr="00B45F59">
              <w:rPr>
                <w:bCs/>
                <w:sz w:val="16"/>
                <w:szCs w:val="16"/>
              </w:rPr>
              <w:t>T3 2024</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159EDFD2" w14:textId="77777777" w:rsidR="00B45F59" w:rsidRPr="00B45F59" w:rsidRDefault="00B45F59" w:rsidP="00B45F59">
            <w:pPr>
              <w:spacing w:line="264" w:lineRule="auto"/>
              <w:jc w:val="center"/>
              <w:rPr>
                <w:sz w:val="16"/>
                <w:szCs w:val="16"/>
              </w:rPr>
            </w:pPr>
            <w:r w:rsidRPr="00B45F59">
              <w:rPr>
                <w:bCs/>
                <w:sz w:val="16"/>
                <w:szCs w:val="16"/>
              </w:rPr>
              <w:t>T4 2025</w:t>
            </w:r>
          </w:p>
        </w:tc>
        <w:tc>
          <w:tcPr>
            <w:tcW w:w="1742" w:type="dxa"/>
            <w:vMerge/>
            <w:tcBorders>
              <w:left w:val="single" w:sz="4" w:space="0" w:color="auto"/>
              <w:bottom w:val="single" w:sz="4" w:space="0" w:color="auto"/>
              <w:right w:val="single" w:sz="4" w:space="0" w:color="auto"/>
            </w:tcBorders>
            <w:shd w:val="clear" w:color="auto" w:fill="auto"/>
          </w:tcPr>
          <w:p w14:paraId="0AFD37FC" w14:textId="77777777" w:rsidR="00B45F59" w:rsidRPr="00B45F59" w:rsidRDefault="00B45F59" w:rsidP="00B45F59">
            <w:pPr>
              <w:spacing w:line="264" w:lineRule="auto"/>
              <w:rPr>
                <w:b/>
                <w:bCs/>
                <w:sz w:val="16"/>
                <w:szCs w:val="16"/>
              </w:rPr>
            </w:pPr>
          </w:p>
        </w:tc>
      </w:tr>
    </w:tbl>
    <w:p w14:paraId="1635D952" w14:textId="77777777" w:rsidR="00B45F59" w:rsidRPr="00B45F59" w:rsidRDefault="00B45F59" w:rsidP="00B45F59">
      <w:pPr>
        <w:contextualSpacing/>
        <w:rPr>
          <w:lang w:val="en-GB"/>
        </w:rPr>
      </w:pPr>
    </w:p>
    <w:p w14:paraId="2ADECE5F" w14:textId="77777777" w:rsidR="00B45F59" w:rsidRPr="009D660E" w:rsidRDefault="00B45F59" w:rsidP="00B45F59">
      <w:pPr>
        <w:spacing w:after="60"/>
        <w:rPr>
          <w:b/>
          <w:bCs/>
          <w:color w:val="0070C0"/>
          <w:lang w:val="it-IT"/>
        </w:rPr>
      </w:pPr>
      <w:r w:rsidRPr="009D660E">
        <w:rPr>
          <w:b/>
          <w:bCs/>
          <w:color w:val="0070C0"/>
          <w:lang w:val="it-IT"/>
        </w:rPr>
        <w:t>Treguesit e performancës dhe vlerat e synuara</w:t>
      </w:r>
    </w:p>
    <w:tbl>
      <w:tblPr>
        <w:tblStyle w:val="TableGridIDEA3"/>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B45F59" w:rsidRPr="00B45F59" w14:paraId="38AB9507" w14:textId="77777777" w:rsidTr="00B45F59">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9FD31A" w14:textId="77777777" w:rsidR="00B45F59" w:rsidRPr="00B45F59" w:rsidRDefault="00B45F59" w:rsidP="00B45F59">
            <w:pPr>
              <w:spacing w:line="200" w:lineRule="exact"/>
              <w:rPr>
                <w:b/>
                <w:bCs/>
                <w:sz w:val="16"/>
                <w:szCs w:val="16"/>
              </w:rPr>
            </w:pPr>
            <w:r w:rsidRPr="00B45F59">
              <w:rPr>
                <w:b/>
                <w:bCs/>
                <w:sz w:val="16"/>
                <w:szCs w:val="16"/>
              </w:rP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7255F3" w14:textId="77777777" w:rsidR="00B45F59" w:rsidRPr="00B45F59" w:rsidRDefault="00B45F59" w:rsidP="00B45F59">
            <w:pPr>
              <w:spacing w:line="200" w:lineRule="exact"/>
              <w:jc w:val="center"/>
              <w:rPr>
                <w:b/>
                <w:bCs/>
                <w:sz w:val="16"/>
                <w:szCs w:val="16"/>
              </w:rPr>
            </w:pPr>
            <w:r w:rsidRPr="00B45F59">
              <w:rPr>
                <w:b/>
                <w:bCs/>
                <w:sz w:val="16"/>
                <w:szCs w:val="16"/>
              </w:rPr>
              <w:t>Vlera bazë (viti)</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82C63" w14:textId="77777777" w:rsidR="00B45F59" w:rsidRPr="00B45F59" w:rsidRDefault="00B45F59" w:rsidP="00B45F59">
            <w:pPr>
              <w:spacing w:line="200" w:lineRule="exact"/>
              <w:jc w:val="center"/>
              <w:rPr>
                <w:b/>
                <w:bCs/>
                <w:sz w:val="16"/>
                <w:szCs w:val="16"/>
              </w:rPr>
            </w:pPr>
            <w:r w:rsidRPr="00B45F59">
              <w:rPr>
                <w:b/>
                <w:bCs/>
                <w:sz w:val="16"/>
                <w:szCs w:val="16"/>
              </w:rPr>
              <w:t>Vlerat e synuara</w:t>
            </w:r>
          </w:p>
        </w:tc>
      </w:tr>
      <w:tr w:rsidR="00B45F59" w:rsidRPr="00B45F59" w14:paraId="3C6C7EAF" w14:textId="77777777" w:rsidTr="00B45F59">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980F6D3" w14:textId="77777777" w:rsidR="00B45F59" w:rsidRPr="00B45F59" w:rsidRDefault="00B45F59" w:rsidP="00B45F59">
            <w:pPr>
              <w:spacing w:line="200" w:lineRule="exact"/>
              <w:rPr>
                <w:b/>
                <w:bCs/>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5389C8DB" w14:textId="77777777" w:rsidR="00B45F59" w:rsidRPr="00B45F59" w:rsidRDefault="00B45F59" w:rsidP="00B45F59">
            <w:pPr>
              <w:spacing w:line="200" w:lineRule="exact"/>
              <w:jc w:val="center"/>
              <w:rPr>
                <w:b/>
                <w:bCs/>
                <w:sz w:val="16"/>
                <w:szCs w:val="16"/>
              </w:rP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B48FB" w14:textId="77777777" w:rsidR="00B45F59" w:rsidRPr="00B45F59" w:rsidRDefault="00B45F59" w:rsidP="00B45F59">
            <w:pPr>
              <w:spacing w:line="200" w:lineRule="exact"/>
              <w:jc w:val="center"/>
              <w:rPr>
                <w:b/>
                <w:bCs/>
                <w:sz w:val="16"/>
                <w:szCs w:val="16"/>
              </w:rPr>
            </w:pPr>
            <w:r w:rsidRPr="00B45F59">
              <w:rPr>
                <w:b/>
                <w:bCs/>
                <w:sz w:val="16"/>
                <w:szCs w:val="16"/>
              </w:rPr>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BB3B4" w14:textId="77777777" w:rsidR="00B45F59" w:rsidRPr="00B45F59" w:rsidRDefault="00B45F59" w:rsidP="00B45F59">
            <w:pPr>
              <w:spacing w:line="200" w:lineRule="exact"/>
              <w:jc w:val="center"/>
              <w:rPr>
                <w:b/>
                <w:bCs/>
                <w:sz w:val="16"/>
                <w:szCs w:val="16"/>
              </w:rPr>
            </w:pPr>
            <w:r w:rsidRPr="00B45F59">
              <w:rPr>
                <w:b/>
                <w:bCs/>
                <w:sz w:val="16"/>
                <w:szCs w:val="16"/>
              </w:rPr>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09D729" w14:textId="77777777" w:rsidR="00B45F59" w:rsidRPr="00B45F59" w:rsidRDefault="00B45F59" w:rsidP="00B45F59">
            <w:pPr>
              <w:spacing w:line="200" w:lineRule="exact"/>
              <w:jc w:val="center"/>
              <w:rPr>
                <w:b/>
                <w:bCs/>
                <w:sz w:val="16"/>
                <w:szCs w:val="16"/>
              </w:rPr>
            </w:pPr>
            <w:r w:rsidRPr="00B45F59">
              <w:rPr>
                <w:b/>
                <w:bCs/>
                <w:sz w:val="16"/>
                <w:szCs w:val="16"/>
              </w:rPr>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00068" w14:textId="77777777" w:rsidR="00B45F59" w:rsidRPr="00B45F59" w:rsidRDefault="00B45F59" w:rsidP="00B45F59">
            <w:pPr>
              <w:spacing w:line="200" w:lineRule="exact"/>
              <w:jc w:val="center"/>
              <w:rPr>
                <w:b/>
                <w:bCs/>
                <w:sz w:val="16"/>
                <w:szCs w:val="16"/>
              </w:rPr>
            </w:pPr>
            <w:r w:rsidRPr="00B45F59">
              <w:rPr>
                <w:b/>
                <w:bCs/>
                <w:sz w:val="16"/>
                <w:szCs w:val="16"/>
              </w:rPr>
              <w:t>2026</w:t>
            </w:r>
          </w:p>
        </w:tc>
      </w:tr>
      <w:tr w:rsidR="00B45F59" w:rsidRPr="00B45F59" w14:paraId="0594A3A8" w14:textId="77777777" w:rsidTr="00B45F59">
        <w:tc>
          <w:tcPr>
            <w:tcW w:w="3114" w:type="dxa"/>
            <w:tcBorders>
              <w:top w:val="single" w:sz="4" w:space="0" w:color="auto"/>
              <w:left w:val="single" w:sz="4" w:space="0" w:color="auto"/>
              <w:bottom w:val="single" w:sz="4" w:space="0" w:color="auto"/>
              <w:right w:val="single" w:sz="4" w:space="0" w:color="auto"/>
            </w:tcBorders>
          </w:tcPr>
          <w:p w14:paraId="2944C9FB" w14:textId="77777777" w:rsidR="00B45F59" w:rsidRPr="009D660E" w:rsidRDefault="00B45F59" w:rsidP="00CD7428">
            <w:pPr>
              <w:numPr>
                <w:ilvl w:val="0"/>
                <w:numId w:val="38"/>
              </w:numPr>
              <w:spacing w:line="200" w:lineRule="exact"/>
              <w:contextualSpacing/>
              <w:rPr>
                <w:rFonts w:eastAsia="Times New Roman"/>
                <w:bCs/>
                <w:sz w:val="16"/>
                <w:szCs w:val="16"/>
                <w:lang w:val="it-IT"/>
              </w:rPr>
            </w:pPr>
            <w:r w:rsidRPr="009D660E">
              <w:rPr>
                <w:rFonts w:eastAsia="Times New Roman"/>
                <w:bCs/>
                <w:sz w:val="16"/>
                <w:szCs w:val="16"/>
                <w:lang w:val="it-IT"/>
              </w:rPr>
              <w:t>Plani Vjetor i Huamarrjes dhe Raporti i Monitorimit i SMB-së i përgatitur dhe publikuar</w:t>
            </w:r>
          </w:p>
        </w:tc>
        <w:tc>
          <w:tcPr>
            <w:tcW w:w="1180" w:type="dxa"/>
            <w:tcBorders>
              <w:top w:val="single" w:sz="4" w:space="0" w:color="auto"/>
              <w:left w:val="single" w:sz="4" w:space="0" w:color="auto"/>
              <w:bottom w:val="single" w:sz="4" w:space="0" w:color="auto"/>
              <w:right w:val="single" w:sz="4" w:space="0" w:color="auto"/>
            </w:tcBorders>
            <w:vAlign w:val="center"/>
          </w:tcPr>
          <w:p w14:paraId="4F0563D2"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1CD34DA0" w14:textId="77777777" w:rsidR="00B45F59" w:rsidRPr="00B45F59" w:rsidRDefault="00B45F59" w:rsidP="00B45F59">
            <w:pPr>
              <w:jc w:val="center"/>
              <w:rPr>
                <w:sz w:val="16"/>
                <w:szCs w:val="16"/>
              </w:rPr>
            </w:pPr>
            <w:r w:rsidRPr="00B45F59">
              <w:rPr>
                <w:sz w:val="16"/>
                <w:szCs w:val="16"/>
              </w:rPr>
              <w:t>Dokumentet e publikuara në faqen zyrtare të MF-së</w:t>
            </w:r>
          </w:p>
        </w:tc>
        <w:tc>
          <w:tcPr>
            <w:tcW w:w="1180" w:type="dxa"/>
            <w:tcBorders>
              <w:top w:val="single" w:sz="4" w:space="0" w:color="auto"/>
              <w:left w:val="single" w:sz="4" w:space="0" w:color="auto"/>
              <w:bottom w:val="single" w:sz="4" w:space="0" w:color="auto"/>
              <w:right w:val="single" w:sz="4" w:space="0" w:color="auto"/>
            </w:tcBorders>
            <w:vAlign w:val="center"/>
          </w:tcPr>
          <w:p w14:paraId="7155C0E6" w14:textId="77777777" w:rsidR="00B45F59" w:rsidRPr="00B45F59" w:rsidRDefault="00B45F59" w:rsidP="00B45F59">
            <w:pPr>
              <w:jc w:val="center"/>
              <w:rPr>
                <w:sz w:val="16"/>
                <w:szCs w:val="16"/>
              </w:rPr>
            </w:pPr>
            <w:r w:rsidRPr="00B45F59">
              <w:rPr>
                <w:sz w:val="16"/>
                <w:szCs w:val="16"/>
              </w:rPr>
              <w:t>Dokumentet e publikuara në faqen zyrtare të MF-së</w:t>
            </w:r>
          </w:p>
        </w:tc>
        <w:tc>
          <w:tcPr>
            <w:tcW w:w="1181" w:type="dxa"/>
            <w:tcBorders>
              <w:top w:val="single" w:sz="4" w:space="0" w:color="auto"/>
              <w:left w:val="single" w:sz="4" w:space="0" w:color="auto"/>
              <w:bottom w:val="single" w:sz="4" w:space="0" w:color="auto"/>
              <w:right w:val="single" w:sz="4" w:space="0" w:color="auto"/>
            </w:tcBorders>
          </w:tcPr>
          <w:p w14:paraId="01D6263A" w14:textId="77777777" w:rsidR="00B45F59" w:rsidRPr="00B45F59" w:rsidRDefault="00B45F59" w:rsidP="00B45F59">
            <w:pPr>
              <w:jc w:val="center"/>
              <w:rPr>
                <w:sz w:val="16"/>
                <w:szCs w:val="16"/>
              </w:rPr>
            </w:pPr>
            <w:r w:rsidRPr="00B45F59">
              <w:rPr>
                <w:sz w:val="16"/>
                <w:szCs w:val="16"/>
              </w:rPr>
              <w:t>Dokumentet e publikuara në faqen zyrtare të MF-së</w:t>
            </w:r>
          </w:p>
        </w:tc>
        <w:tc>
          <w:tcPr>
            <w:tcW w:w="1181" w:type="dxa"/>
            <w:tcBorders>
              <w:top w:val="single" w:sz="4" w:space="0" w:color="auto"/>
              <w:left w:val="single" w:sz="4" w:space="0" w:color="auto"/>
              <w:bottom w:val="single" w:sz="4" w:space="0" w:color="auto"/>
              <w:right w:val="single" w:sz="4" w:space="0" w:color="auto"/>
            </w:tcBorders>
          </w:tcPr>
          <w:p w14:paraId="0F853D7D" w14:textId="77777777" w:rsidR="00B45F59" w:rsidRPr="00B45F59" w:rsidRDefault="00B45F59" w:rsidP="00B45F59">
            <w:pPr>
              <w:jc w:val="center"/>
              <w:rPr>
                <w:sz w:val="16"/>
                <w:szCs w:val="16"/>
              </w:rPr>
            </w:pPr>
            <w:r w:rsidRPr="00B45F59">
              <w:rPr>
                <w:sz w:val="16"/>
                <w:szCs w:val="16"/>
              </w:rPr>
              <w:t>Dokumentet e publikuara në faqen zyrtare të MF-së</w:t>
            </w:r>
          </w:p>
        </w:tc>
      </w:tr>
      <w:tr w:rsidR="00B45F59" w:rsidRPr="0059094E" w14:paraId="18FF2C60" w14:textId="77777777" w:rsidTr="00B45F59">
        <w:tc>
          <w:tcPr>
            <w:tcW w:w="3114" w:type="dxa"/>
            <w:tcBorders>
              <w:top w:val="single" w:sz="4" w:space="0" w:color="auto"/>
              <w:left w:val="single" w:sz="4" w:space="0" w:color="auto"/>
              <w:bottom w:val="single" w:sz="4" w:space="0" w:color="auto"/>
              <w:right w:val="single" w:sz="4" w:space="0" w:color="auto"/>
            </w:tcBorders>
          </w:tcPr>
          <w:p w14:paraId="325713D6" w14:textId="77777777" w:rsidR="00B45F59" w:rsidRPr="00B45F59" w:rsidRDefault="00B45F59" w:rsidP="00CD7428">
            <w:pPr>
              <w:numPr>
                <w:ilvl w:val="0"/>
                <w:numId w:val="38"/>
              </w:numPr>
              <w:spacing w:line="200" w:lineRule="exact"/>
              <w:contextualSpacing/>
              <w:rPr>
                <w:sz w:val="16"/>
                <w:szCs w:val="16"/>
              </w:rPr>
            </w:pPr>
            <w:r w:rsidRPr="00B45F59">
              <w:rPr>
                <w:rFonts w:eastAsia="Times New Roman"/>
                <w:bCs/>
                <w:sz w:val="16"/>
                <w:szCs w:val="16"/>
              </w:rPr>
              <w:t>Kuadri Gjithëpërfshirës i Vlerësimit të Riskut të Kredisë (VRK).</w:t>
            </w:r>
          </w:p>
        </w:tc>
        <w:tc>
          <w:tcPr>
            <w:tcW w:w="1180" w:type="dxa"/>
            <w:tcBorders>
              <w:top w:val="single" w:sz="4" w:space="0" w:color="auto"/>
              <w:left w:val="single" w:sz="4" w:space="0" w:color="auto"/>
              <w:bottom w:val="single" w:sz="4" w:space="0" w:color="auto"/>
              <w:right w:val="single" w:sz="4" w:space="0" w:color="auto"/>
            </w:tcBorders>
            <w:vAlign w:val="center"/>
          </w:tcPr>
          <w:p w14:paraId="51A0CE3C"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2114B74E" w14:textId="77777777" w:rsidR="00B45F59" w:rsidRPr="00B45F59" w:rsidRDefault="00B45F59" w:rsidP="00B45F59">
            <w:pPr>
              <w:jc w:val="center"/>
              <w:rPr>
                <w:sz w:val="16"/>
                <w:szCs w:val="16"/>
              </w:rPr>
            </w:pPr>
            <w:r w:rsidRPr="00B45F59">
              <w:rPr>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32C8E734"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tcPr>
          <w:p w14:paraId="605A94C0"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tcPr>
          <w:p w14:paraId="0E0961F2" w14:textId="77777777" w:rsidR="00B45F59" w:rsidRPr="009D660E" w:rsidRDefault="00B45F59" w:rsidP="00B45F59">
            <w:pPr>
              <w:jc w:val="center"/>
              <w:rPr>
                <w:sz w:val="16"/>
                <w:szCs w:val="16"/>
                <w:lang w:val="it-IT"/>
              </w:rPr>
            </w:pPr>
            <w:r w:rsidRPr="009D660E">
              <w:rPr>
                <w:sz w:val="16"/>
                <w:szCs w:val="16"/>
                <w:lang w:val="it-IT"/>
              </w:rPr>
              <w:t xml:space="preserve">Kuadri VRK i zhvilluar dhe i zbatuar </w:t>
            </w:r>
            <w:r w:rsidRPr="00B45F59">
              <w:rPr>
                <w:sz w:val="16"/>
                <w:szCs w:val="16"/>
                <w:vertAlign w:val="superscript"/>
              </w:rPr>
              <w:footnoteReference w:id="59"/>
            </w:r>
          </w:p>
        </w:tc>
      </w:tr>
      <w:tr w:rsidR="00B45F59" w:rsidRPr="00B45F59" w14:paraId="7E7D0ED5" w14:textId="77777777" w:rsidTr="00B45F59">
        <w:trPr>
          <w:trHeight w:val="21"/>
        </w:trPr>
        <w:tc>
          <w:tcPr>
            <w:tcW w:w="3114" w:type="dxa"/>
            <w:tcBorders>
              <w:top w:val="single" w:sz="4" w:space="0" w:color="auto"/>
              <w:left w:val="single" w:sz="4" w:space="0" w:color="auto"/>
              <w:bottom w:val="single" w:sz="4" w:space="0" w:color="auto"/>
              <w:right w:val="single" w:sz="4" w:space="0" w:color="auto"/>
            </w:tcBorders>
          </w:tcPr>
          <w:p w14:paraId="10561FD7" w14:textId="77777777" w:rsidR="00B45F59" w:rsidRPr="009D660E" w:rsidRDefault="00B45F59" w:rsidP="00CD7428">
            <w:pPr>
              <w:numPr>
                <w:ilvl w:val="0"/>
                <w:numId w:val="38"/>
              </w:numPr>
              <w:spacing w:line="200" w:lineRule="exact"/>
              <w:contextualSpacing/>
              <w:rPr>
                <w:sz w:val="16"/>
                <w:szCs w:val="16"/>
                <w:lang w:val="it-IT"/>
              </w:rPr>
            </w:pPr>
            <w:r w:rsidRPr="009D660E">
              <w:rPr>
                <w:sz w:val="16"/>
                <w:szCs w:val="16"/>
                <w:lang w:val="it-IT"/>
              </w:rPr>
              <w:t>Zhvillimi i Dokumentit konceptual mbi instrumentet e financimit të gjelbër/alternativë</w:t>
            </w:r>
          </w:p>
        </w:tc>
        <w:tc>
          <w:tcPr>
            <w:tcW w:w="1180" w:type="dxa"/>
            <w:tcBorders>
              <w:top w:val="single" w:sz="4" w:space="0" w:color="auto"/>
              <w:left w:val="single" w:sz="4" w:space="0" w:color="auto"/>
              <w:bottom w:val="single" w:sz="4" w:space="0" w:color="auto"/>
              <w:right w:val="single" w:sz="4" w:space="0" w:color="auto"/>
            </w:tcBorders>
            <w:vAlign w:val="center"/>
          </w:tcPr>
          <w:p w14:paraId="53104116"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319DDBDC" w14:textId="77777777" w:rsidR="00B45F59" w:rsidRPr="00B45F59" w:rsidRDefault="00B45F59" w:rsidP="00B45F59">
            <w:pPr>
              <w:jc w:val="center"/>
              <w:rPr>
                <w:sz w:val="16"/>
                <w:szCs w:val="16"/>
              </w:rPr>
            </w:pPr>
            <w:r w:rsidRPr="00B45F59">
              <w:rPr>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10084BDC" w14:textId="77777777" w:rsidR="00B45F59" w:rsidRPr="00B45F59" w:rsidRDefault="00B45F59" w:rsidP="00B45F59">
            <w:pPr>
              <w:jc w:val="center"/>
              <w:rPr>
                <w:sz w:val="16"/>
                <w:szCs w:val="16"/>
              </w:rPr>
            </w:pPr>
            <w:r w:rsidRPr="00B45F59">
              <w:rPr>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2952EE98" w14:textId="77777777" w:rsidR="00B45F59" w:rsidRPr="009D660E" w:rsidRDefault="00B45F59" w:rsidP="00B45F59">
            <w:pPr>
              <w:jc w:val="center"/>
              <w:rPr>
                <w:sz w:val="16"/>
                <w:szCs w:val="16"/>
                <w:lang w:val="it-IT"/>
              </w:rPr>
            </w:pPr>
            <w:r w:rsidRPr="009D660E">
              <w:rPr>
                <w:sz w:val="16"/>
                <w:szCs w:val="16"/>
                <w:lang w:val="it-IT"/>
              </w:rPr>
              <w:t>Raporti i vlerësimit i përgatitur</w:t>
            </w:r>
          </w:p>
        </w:tc>
        <w:tc>
          <w:tcPr>
            <w:tcW w:w="1181" w:type="dxa"/>
            <w:tcBorders>
              <w:top w:val="single" w:sz="4" w:space="0" w:color="auto"/>
              <w:left w:val="single" w:sz="4" w:space="0" w:color="auto"/>
              <w:bottom w:val="single" w:sz="4" w:space="0" w:color="auto"/>
              <w:right w:val="single" w:sz="4" w:space="0" w:color="auto"/>
            </w:tcBorders>
            <w:vAlign w:val="center"/>
          </w:tcPr>
          <w:p w14:paraId="6D98157B" w14:textId="77777777" w:rsidR="00B45F59" w:rsidRPr="00B45F59" w:rsidRDefault="00B45F59" w:rsidP="00B45F59">
            <w:pPr>
              <w:jc w:val="center"/>
              <w:rPr>
                <w:sz w:val="16"/>
                <w:szCs w:val="16"/>
              </w:rPr>
            </w:pPr>
            <w:r w:rsidRPr="00B45F59">
              <w:rPr>
                <w:sz w:val="16"/>
                <w:szCs w:val="16"/>
              </w:rPr>
              <w:t>-</w:t>
            </w:r>
          </w:p>
        </w:tc>
      </w:tr>
    </w:tbl>
    <w:p w14:paraId="67A50852" w14:textId="77777777" w:rsidR="002C447B" w:rsidRPr="001F151E" w:rsidRDefault="002C447B" w:rsidP="002C447B">
      <w:pPr>
        <w:rPr>
          <w:lang w:val="en-GB"/>
        </w:rPr>
      </w:pPr>
    </w:p>
    <w:p w14:paraId="3DFE64F7" w14:textId="49830F39" w:rsidR="00801FD9" w:rsidRPr="001F151E" w:rsidRDefault="00B45F59" w:rsidP="00801FD9">
      <w:pPr>
        <w:pStyle w:val="Heading2"/>
        <w:rPr>
          <w:rFonts w:eastAsiaTheme="minorHAnsi"/>
          <w:lang w:val="en-GB"/>
        </w:rPr>
      </w:pPr>
      <w:bookmarkStart w:id="44" w:name="_Toc152719056"/>
      <w:bookmarkStart w:id="45" w:name="_Toc161748829"/>
      <w:r>
        <w:rPr>
          <w:rFonts w:eastAsiaTheme="minorHAnsi"/>
          <w:lang w:val="en-GB"/>
        </w:rPr>
        <w:t>K</w:t>
      </w:r>
      <w:r w:rsidR="00801FD9" w:rsidRPr="001F151E">
        <w:rPr>
          <w:rFonts w:eastAsiaTheme="minorHAnsi"/>
          <w:lang w:val="en-GB"/>
        </w:rPr>
        <w:t>omponent</w:t>
      </w:r>
      <w:r>
        <w:rPr>
          <w:rFonts w:eastAsiaTheme="minorHAnsi"/>
          <w:lang w:val="en-GB"/>
        </w:rPr>
        <w:t>i</w:t>
      </w:r>
      <w:r w:rsidR="00801FD9" w:rsidRPr="001F151E">
        <w:rPr>
          <w:rFonts w:eastAsiaTheme="minorHAnsi"/>
          <w:lang w:val="en-GB"/>
        </w:rPr>
        <w:t xml:space="preserve"> 4.</w:t>
      </w:r>
      <w:r w:rsidR="00297283">
        <w:rPr>
          <w:rFonts w:eastAsiaTheme="minorHAnsi"/>
          <w:lang w:val="en-GB"/>
        </w:rPr>
        <w:t>5</w:t>
      </w:r>
      <w:r w:rsidR="00801FD9" w:rsidRPr="001F151E">
        <w:rPr>
          <w:rFonts w:eastAsiaTheme="minorHAnsi"/>
          <w:lang w:val="en-GB"/>
        </w:rPr>
        <w:t xml:space="preserve"> </w:t>
      </w:r>
      <w:bookmarkEnd w:id="44"/>
      <w:r>
        <w:rPr>
          <w:rFonts w:eastAsiaTheme="minorHAnsi"/>
          <w:lang w:val="en-GB"/>
        </w:rPr>
        <w:t>Menaxhimi i likuiditetit</w:t>
      </w:r>
      <w:bookmarkEnd w:id="45"/>
    </w:p>
    <w:p w14:paraId="63743683" w14:textId="77777777" w:rsidR="00801FD9" w:rsidRPr="001F151E" w:rsidRDefault="00801FD9" w:rsidP="00801FD9">
      <w:pPr>
        <w:rPr>
          <w:lang w:val="en-GB"/>
        </w:rPr>
      </w:pPr>
    </w:p>
    <w:p w14:paraId="7A31FE2B" w14:textId="77777777" w:rsidR="00B45F59" w:rsidRPr="00B45F59" w:rsidRDefault="00B45F59" w:rsidP="00B45F59">
      <w:pPr>
        <w:spacing w:after="60" w:line="276" w:lineRule="auto"/>
        <w:jc w:val="both"/>
        <w:rPr>
          <w:b/>
          <w:bCs/>
          <w:color w:val="0070C0"/>
          <w:lang w:val="en-GB"/>
        </w:rPr>
      </w:pPr>
      <w:r w:rsidRPr="00B45F59">
        <w:rPr>
          <w:b/>
          <w:bCs/>
          <w:color w:val="0070C0"/>
          <w:lang w:val="en-GB"/>
        </w:rPr>
        <w:t>Objektivi</w:t>
      </w:r>
    </w:p>
    <w:p w14:paraId="6AF0C130" w14:textId="77777777" w:rsidR="00B45F59" w:rsidRPr="00B45F59" w:rsidRDefault="00B45F59" w:rsidP="00B45F59">
      <w:pPr>
        <w:spacing w:line="276" w:lineRule="auto"/>
        <w:jc w:val="both"/>
        <w:rPr>
          <w:lang w:val="en-GB"/>
        </w:rPr>
      </w:pPr>
      <w:r w:rsidRPr="00B45F59">
        <w:t>Synimi për vitin 2030 është që të ketë sisteme të avancuara të planifikimit dhe menaxhimit të likuiditetit për të siguruar operacione efikase dhe efektive të thesarit.</w:t>
      </w:r>
    </w:p>
    <w:p w14:paraId="31303B29" w14:textId="77777777" w:rsidR="00B45F59" w:rsidRPr="00B45F59" w:rsidRDefault="00B45F59" w:rsidP="00B45F59">
      <w:pPr>
        <w:spacing w:line="276" w:lineRule="auto"/>
        <w:jc w:val="both"/>
        <w:rPr>
          <w:lang w:val="en-GB"/>
        </w:rPr>
      </w:pPr>
    </w:p>
    <w:p w14:paraId="225A5CF4" w14:textId="77777777" w:rsidR="00B45F59" w:rsidRPr="00B45F59" w:rsidRDefault="00B45F59" w:rsidP="00B45F59">
      <w:pPr>
        <w:spacing w:after="60" w:line="276" w:lineRule="auto"/>
        <w:jc w:val="both"/>
        <w:rPr>
          <w:b/>
          <w:bCs/>
          <w:color w:val="0070C0"/>
          <w:lang w:val="en-GB"/>
        </w:rPr>
      </w:pPr>
      <w:r w:rsidRPr="00B45F59">
        <w:rPr>
          <w:b/>
          <w:bCs/>
          <w:color w:val="0070C0"/>
          <w:lang w:val="en-GB"/>
        </w:rPr>
        <w:t>Konteksti</w:t>
      </w:r>
    </w:p>
    <w:p w14:paraId="7FACB3EF" w14:textId="655C4F47" w:rsidR="00B45F59" w:rsidRPr="00B45F59" w:rsidRDefault="00B45F59" w:rsidP="00B45F59">
      <w:pPr>
        <w:spacing w:line="276" w:lineRule="auto"/>
        <w:jc w:val="both"/>
        <w:rPr>
          <w:lang w:val="en-GB"/>
        </w:rPr>
      </w:pPr>
      <w:r w:rsidRPr="00B45F59">
        <w:rPr>
          <w:lang w:val="en-GB"/>
        </w:rPr>
        <w:t>Procesi i parashikimit të fluksit të likuiditetit është përmirësuar kohët e fundit. Parashikimet mujore të fluksit të likuiditetit prodhohen për 12 muaj përpara dhe parashikimet ditore përgatiten për periudhën e ardhshme tre mujore. Planet buxhetore të marra nga subjektet shpenzuese dhe të dhënat historike janë një input për parashikimet. Përveç qasjes së parashikimit nga lart-poshtë, është zbatuar një pilotim me tre ministri të linjës dhe me autoritetet tatimore dhe doganore për të plotësuar parashikimin me informacion nga poshtë-lart. Për të përmirësuar saktësinë e parashikimeve dhe për të minimizuar devijimet, nevojitet një vlerësim periodik i saktësisë së parashikimit nga DPTH</w:t>
      </w:r>
      <w:r w:rsidRPr="00454FB6">
        <w:rPr>
          <w:szCs w:val="14"/>
          <w:vertAlign w:val="superscript"/>
          <w:lang w:val="en-GB"/>
        </w:rPr>
        <w:footnoteReference w:id="60"/>
      </w:r>
      <w:r w:rsidRPr="00454FB6">
        <w:rPr>
          <w:lang w:val="en-GB"/>
        </w:rPr>
        <w:t xml:space="preserve">. </w:t>
      </w:r>
      <w:r w:rsidR="00454FB6" w:rsidRPr="00454FB6">
        <w:rPr>
          <w:lang w:val="en-GB"/>
        </w:rPr>
        <w:t>Për</w:t>
      </w:r>
      <w:r w:rsidRPr="00454FB6">
        <w:rPr>
          <w:lang w:val="en-GB"/>
        </w:rPr>
        <w:t xml:space="preserve">sa i përket </w:t>
      </w:r>
      <w:r w:rsidR="00454FB6">
        <w:rPr>
          <w:lang w:val="en-GB"/>
        </w:rPr>
        <w:t>menaxhimit të</w:t>
      </w:r>
      <w:r w:rsidR="00454FB6" w:rsidRPr="00454FB6">
        <w:rPr>
          <w:lang w:val="en-GB"/>
        </w:rPr>
        <w:t xml:space="preserve"> parasë</w:t>
      </w:r>
      <w:r w:rsidRPr="00454FB6">
        <w:rPr>
          <w:lang w:val="en-GB"/>
        </w:rPr>
        <w:t xml:space="preserve">, vihet re </w:t>
      </w:r>
      <w:r w:rsidR="00454FB6" w:rsidRPr="00454FB6">
        <w:rPr>
          <w:lang w:val="en-GB"/>
        </w:rPr>
        <w:t>q</w:t>
      </w:r>
      <w:r w:rsidRPr="00454FB6">
        <w:rPr>
          <w:lang w:val="en-GB"/>
        </w:rPr>
        <w:t xml:space="preserve">ë </w:t>
      </w:r>
      <w:r w:rsidR="00454FB6" w:rsidRPr="00454FB6">
        <w:rPr>
          <w:lang w:val="en-GB"/>
        </w:rPr>
        <w:t>nga depozitat e llogarive të thesarit pranë Bankës së Shqipërisë, të ardhurat nga interesi nuk janë shumë të larta. Gjithashtu ka një qasje më fleksibël ndaj sasisë së rezervave monetare që duhet të mbajë.</w:t>
      </w:r>
    </w:p>
    <w:p w14:paraId="1F7FD9FA" w14:textId="77777777" w:rsidR="00B45F59" w:rsidRPr="00B45F59" w:rsidRDefault="00B45F59" w:rsidP="00B45F59">
      <w:pPr>
        <w:spacing w:line="276" w:lineRule="auto"/>
        <w:jc w:val="both"/>
        <w:rPr>
          <w:lang w:val="en-GB"/>
        </w:rPr>
      </w:pPr>
    </w:p>
    <w:p w14:paraId="06DA12EE" w14:textId="77777777" w:rsidR="00B45F59" w:rsidRPr="00B45F59" w:rsidRDefault="00B45F59" w:rsidP="00B45F59">
      <w:pPr>
        <w:spacing w:after="60" w:line="276" w:lineRule="auto"/>
        <w:jc w:val="both"/>
        <w:rPr>
          <w:b/>
          <w:bCs/>
          <w:color w:val="0070C0"/>
          <w:lang w:val="en-GB"/>
        </w:rPr>
      </w:pPr>
      <w:r w:rsidRPr="00B45F59">
        <w:rPr>
          <w:b/>
          <w:bCs/>
          <w:color w:val="0070C0"/>
          <w:lang w:val="en-GB"/>
        </w:rPr>
        <w:t>Prioritetet</w:t>
      </w:r>
    </w:p>
    <w:p w14:paraId="7714F665" w14:textId="77777777" w:rsidR="00B45F59" w:rsidRPr="00B45F59" w:rsidRDefault="00B45F59" w:rsidP="00B45F59">
      <w:pPr>
        <w:spacing w:line="276" w:lineRule="auto"/>
        <w:jc w:val="both"/>
        <w:rPr>
          <w:lang w:val="en-GB"/>
        </w:rPr>
      </w:pPr>
      <w:r w:rsidRPr="00B45F59">
        <w:rPr>
          <w:lang w:val="en-GB"/>
        </w:rPr>
        <w:t>Prioritetet për periudhën 2023-2026 janë:</w:t>
      </w:r>
    </w:p>
    <w:p w14:paraId="7A3D7AE5" w14:textId="77777777" w:rsidR="00B45F59" w:rsidRPr="009D660E" w:rsidRDefault="00B45F59" w:rsidP="00B45F59">
      <w:pPr>
        <w:numPr>
          <w:ilvl w:val="0"/>
          <w:numId w:val="19"/>
        </w:numPr>
        <w:spacing w:line="276" w:lineRule="auto"/>
        <w:contextualSpacing/>
        <w:jc w:val="both"/>
        <w:rPr>
          <w:lang w:val="it-IT"/>
        </w:rPr>
      </w:pPr>
      <w:r w:rsidRPr="009D660E">
        <w:rPr>
          <w:lang w:val="it-IT"/>
        </w:rPr>
        <w:t>Përmirësimi i procesit të parashikimit të likuiditetit.</w:t>
      </w:r>
    </w:p>
    <w:p w14:paraId="23A0AD49" w14:textId="77777777" w:rsidR="00B45F59" w:rsidRPr="009D660E" w:rsidRDefault="00B45F59" w:rsidP="00B45F59">
      <w:pPr>
        <w:numPr>
          <w:ilvl w:val="0"/>
          <w:numId w:val="19"/>
        </w:numPr>
        <w:spacing w:line="276" w:lineRule="auto"/>
        <w:contextualSpacing/>
        <w:jc w:val="both"/>
        <w:rPr>
          <w:lang w:val="it-IT"/>
        </w:rPr>
      </w:pPr>
      <w:r w:rsidRPr="009D660E">
        <w:rPr>
          <w:lang w:val="it-IT"/>
        </w:rPr>
        <w:t>Krijimi i një sistemi gjithëpërfshirës të monitorimit të performancës për parashikimin e likuiditetit.</w:t>
      </w:r>
    </w:p>
    <w:p w14:paraId="66249A5D" w14:textId="77777777" w:rsidR="00B45F59" w:rsidRPr="00B45F59" w:rsidRDefault="00B45F59" w:rsidP="00B45F59">
      <w:pPr>
        <w:numPr>
          <w:ilvl w:val="0"/>
          <w:numId w:val="19"/>
        </w:numPr>
        <w:spacing w:line="276" w:lineRule="auto"/>
        <w:contextualSpacing/>
        <w:jc w:val="both"/>
        <w:rPr>
          <w:lang w:val="en-GB"/>
        </w:rPr>
      </w:pPr>
      <w:r w:rsidRPr="00B45F59">
        <w:rPr>
          <w:lang w:val="en-GB"/>
        </w:rPr>
        <w:t>Përmirësimi i instrumenteve të menaxhimit të likuiditetit.</w:t>
      </w:r>
    </w:p>
    <w:p w14:paraId="11D6193B" w14:textId="5AF6A639" w:rsidR="00B45F59" w:rsidRPr="00B45F59" w:rsidRDefault="00B45F59" w:rsidP="00B45F59">
      <w:pPr>
        <w:spacing w:after="160" w:line="259" w:lineRule="auto"/>
        <w:rPr>
          <w:b/>
          <w:bCs/>
          <w:color w:val="0070C0"/>
          <w:lang w:val="en-GB"/>
        </w:rPr>
      </w:pPr>
    </w:p>
    <w:p w14:paraId="5D92B410" w14:textId="77777777" w:rsidR="00B45F59" w:rsidRPr="00B45F59" w:rsidRDefault="00B45F59" w:rsidP="00B45F59">
      <w:pPr>
        <w:spacing w:after="60"/>
        <w:rPr>
          <w:b/>
          <w:bCs/>
          <w:color w:val="0070C0"/>
          <w:lang w:val="en-GB"/>
        </w:rPr>
      </w:pPr>
      <w:r w:rsidRPr="00B45F59">
        <w:rPr>
          <w:b/>
          <w:bCs/>
          <w:color w:val="0070C0"/>
          <w:lang w:val="en-GB"/>
        </w:rPr>
        <w:t>Masat dhe aktivitetet</w:t>
      </w:r>
    </w:p>
    <w:tbl>
      <w:tblPr>
        <w:tblStyle w:val="TableGridIDEA4"/>
        <w:tblW w:w="5000" w:type="pct"/>
        <w:jc w:val="center"/>
        <w:tblLayout w:type="fixed"/>
        <w:tblCellMar>
          <w:top w:w="57" w:type="dxa"/>
          <w:left w:w="85" w:type="dxa"/>
          <w:bottom w:w="57" w:type="dxa"/>
          <w:right w:w="85" w:type="dxa"/>
        </w:tblCellMar>
        <w:tblLook w:val="04A0" w:firstRow="1" w:lastRow="0" w:firstColumn="1" w:lastColumn="0" w:noHBand="0" w:noVBand="1"/>
      </w:tblPr>
      <w:tblGrid>
        <w:gridCol w:w="1918"/>
        <w:gridCol w:w="3440"/>
        <w:gridCol w:w="1013"/>
        <w:gridCol w:w="964"/>
        <w:gridCol w:w="1671"/>
        <w:gridCol w:w="10"/>
      </w:tblGrid>
      <w:tr w:rsidR="00B45F59" w:rsidRPr="00B45F59" w14:paraId="05ECDF8D" w14:textId="77777777" w:rsidTr="001E0EAC">
        <w:trPr>
          <w:gridAfter w:val="1"/>
          <w:wAfter w:w="10" w:type="dxa"/>
          <w:trHeight w:val="287"/>
          <w:jc w:val="center"/>
        </w:trPr>
        <w:tc>
          <w:tcPr>
            <w:tcW w:w="1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2BC87" w14:textId="77777777" w:rsidR="00B45F59" w:rsidRPr="00B45F59" w:rsidRDefault="00B45F59" w:rsidP="00B45F59">
            <w:pPr>
              <w:spacing w:line="264" w:lineRule="auto"/>
              <w:rPr>
                <w:b/>
                <w:bCs/>
                <w:sz w:val="16"/>
                <w:szCs w:val="16"/>
              </w:rPr>
            </w:pPr>
            <w:r w:rsidRPr="00B45F59">
              <w:rPr>
                <w:b/>
                <w:bCs/>
                <w:sz w:val="16"/>
                <w:szCs w:val="16"/>
              </w:rPr>
              <w:t>Masa</w:t>
            </w:r>
          </w:p>
        </w:tc>
        <w:tc>
          <w:tcPr>
            <w:tcW w:w="3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D76467" w14:textId="77777777" w:rsidR="00B45F59" w:rsidRPr="00B45F59" w:rsidRDefault="00B45F59" w:rsidP="00B45F59">
            <w:pPr>
              <w:spacing w:line="264" w:lineRule="auto"/>
              <w:rPr>
                <w:b/>
                <w:bCs/>
                <w:sz w:val="16"/>
                <w:szCs w:val="16"/>
              </w:rPr>
            </w:pPr>
            <w:r w:rsidRPr="00B45F59">
              <w:rPr>
                <w:b/>
                <w:bCs/>
                <w:sz w:val="16"/>
                <w:szCs w:val="16"/>
              </w:rPr>
              <w:t>Aktiviteti</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33A9B1" w14:textId="77777777" w:rsidR="00B45F59" w:rsidRPr="00B45F59" w:rsidRDefault="00B45F59" w:rsidP="00B45F59">
            <w:pPr>
              <w:spacing w:line="264" w:lineRule="auto"/>
              <w:jc w:val="center"/>
              <w:rPr>
                <w:b/>
                <w:bCs/>
                <w:sz w:val="16"/>
                <w:szCs w:val="16"/>
              </w:rPr>
            </w:pPr>
            <w:r w:rsidRPr="00B45F59">
              <w:rPr>
                <w:b/>
                <w:bCs/>
                <w:sz w:val="16"/>
                <w:szCs w:val="16"/>
              </w:rPr>
              <w:t>Fillimi</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E92E" w14:textId="77777777" w:rsidR="00B45F59" w:rsidRPr="00B45F59" w:rsidRDefault="00B45F59" w:rsidP="00B45F59">
            <w:pPr>
              <w:spacing w:line="264" w:lineRule="auto"/>
              <w:jc w:val="center"/>
              <w:rPr>
                <w:b/>
                <w:bCs/>
                <w:sz w:val="16"/>
                <w:szCs w:val="16"/>
              </w:rPr>
            </w:pPr>
            <w:r w:rsidRPr="00B45F59">
              <w:rPr>
                <w:b/>
                <w:bCs/>
                <w:sz w:val="16"/>
                <w:szCs w:val="16"/>
              </w:rPr>
              <w:t>Mbarimi</w:t>
            </w:r>
          </w:p>
        </w:tc>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B698C" w14:textId="77777777" w:rsidR="00B45F59" w:rsidRPr="00B45F59" w:rsidRDefault="00B45F59" w:rsidP="00B45F59">
            <w:pPr>
              <w:spacing w:line="264" w:lineRule="auto"/>
              <w:rPr>
                <w:b/>
                <w:bCs/>
                <w:sz w:val="16"/>
                <w:szCs w:val="16"/>
              </w:rPr>
            </w:pPr>
            <w:r w:rsidRPr="00B45F59">
              <w:rPr>
                <w:b/>
                <w:bCs/>
                <w:sz w:val="16"/>
                <w:szCs w:val="16"/>
              </w:rPr>
              <w:t>Grupet e Interesit</w:t>
            </w:r>
          </w:p>
        </w:tc>
      </w:tr>
      <w:tr w:rsidR="00B45F59" w:rsidRPr="00B45F59" w14:paraId="780EE77E" w14:textId="77777777" w:rsidTr="001E0EAC">
        <w:trPr>
          <w:gridAfter w:val="1"/>
          <w:wAfter w:w="10" w:type="dxa"/>
          <w:trHeight w:val="20"/>
          <w:jc w:val="center"/>
        </w:trPr>
        <w:tc>
          <w:tcPr>
            <w:tcW w:w="1918" w:type="dxa"/>
            <w:vMerge w:val="restart"/>
            <w:tcBorders>
              <w:top w:val="single" w:sz="4" w:space="0" w:color="auto"/>
              <w:left w:val="single" w:sz="4" w:space="0" w:color="auto"/>
              <w:bottom w:val="single" w:sz="4" w:space="0" w:color="auto"/>
              <w:right w:val="single" w:sz="4" w:space="0" w:color="auto"/>
            </w:tcBorders>
          </w:tcPr>
          <w:p w14:paraId="6B48E6D5" w14:textId="77777777" w:rsidR="00B45F59" w:rsidRPr="009D660E" w:rsidRDefault="00B45F59" w:rsidP="00B45F59">
            <w:pPr>
              <w:spacing w:line="264" w:lineRule="auto"/>
              <w:rPr>
                <w:b/>
                <w:sz w:val="16"/>
                <w:szCs w:val="16"/>
                <w:lang w:val="it-IT"/>
              </w:rPr>
            </w:pPr>
            <w:r w:rsidRPr="009D660E">
              <w:rPr>
                <w:b/>
                <w:sz w:val="16"/>
                <w:szCs w:val="16"/>
                <w:lang w:val="it-IT"/>
              </w:rPr>
              <w:t xml:space="preserve">Masa 4.5.1 </w:t>
            </w:r>
            <w:r w:rsidRPr="009D660E">
              <w:rPr>
                <w:rFonts w:ascii="Open Sans Light" w:hAnsi="Open Sans Light" w:cs="Open Sans Light"/>
                <w:b/>
                <w:szCs w:val="20"/>
                <w:lang w:val="it-IT"/>
              </w:rPr>
              <w:t>Përmirësimi i procesit të parashikimit të likuiditetit</w:t>
            </w:r>
          </w:p>
          <w:p w14:paraId="66CC6593" w14:textId="77777777" w:rsidR="00B45F59" w:rsidRPr="009D660E" w:rsidRDefault="00B45F59" w:rsidP="00B45F59">
            <w:pPr>
              <w:spacing w:line="264" w:lineRule="auto"/>
              <w:rPr>
                <w:rFonts w:eastAsia="Times New Roman"/>
                <w:b/>
                <w:bCs/>
                <w:sz w:val="16"/>
                <w:szCs w:val="16"/>
                <w:lang w:val="it-IT"/>
              </w:rPr>
            </w:pPr>
          </w:p>
        </w:tc>
        <w:tc>
          <w:tcPr>
            <w:tcW w:w="3440" w:type="dxa"/>
            <w:tcBorders>
              <w:top w:val="single" w:sz="4" w:space="0" w:color="auto"/>
              <w:left w:val="single" w:sz="4" w:space="0" w:color="auto"/>
              <w:bottom w:val="single" w:sz="4" w:space="0" w:color="auto"/>
              <w:right w:val="single" w:sz="4" w:space="0" w:color="auto"/>
            </w:tcBorders>
            <w:hideMark/>
          </w:tcPr>
          <w:p w14:paraId="4A619D55" w14:textId="77777777" w:rsidR="00B45F59" w:rsidRPr="009D660E" w:rsidRDefault="00B45F59" w:rsidP="00CD7428">
            <w:pPr>
              <w:numPr>
                <w:ilvl w:val="0"/>
                <w:numId w:val="55"/>
              </w:numPr>
              <w:autoSpaceDE w:val="0"/>
              <w:autoSpaceDN w:val="0"/>
              <w:adjustRightInd w:val="0"/>
              <w:contextualSpacing/>
              <w:rPr>
                <w:rFonts w:eastAsia="Times New Roman"/>
                <w:bCs/>
                <w:sz w:val="16"/>
                <w:szCs w:val="16"/>
                <w:lang w:val="it-IT"/>
              </w:rPr>
            </w:pPr>
            <w:r w:rsidRPr="009D660E">
              <w:rPr>
                <w:rFonts w:eastAsia="Times New Roman"/>
                <w:bCs/>
                <w:sz w:val="16"/>
                <w:szCs w:val="16"/>
                <w:lang w:val="it-IT"/>
              </w:rPr>
              <w:t>Rishikimi i procesit të përgatitjes dhe dorëzimit të planeve të thesarit nga institucionet buxhetore.</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D930F" w14:textId="77777777" w:rsidR="00B45F59" w:rsidRPr="00B45F59" w:rsidRDefault="00B45F59" w:rsidP="00B45F59">
            <w:pPr>
              <w:jc w:val="center"/>
              <w:rPr>
                <w:sz w:val="16"/>
                <w:szCs w:val="16"/>
              </w:rPr>
            </w:pPr>
            <w:r w:rsidRPr="00B45F59">
              <w:rPr>
                <w:sz w:val="16"/>
                <w:szCs w:val="16"/>
              </w:rPr>
              <w:t>T1 2024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85F5D5F" w14:textId="77777777" w:rsidR="00B45F59" w:rsidRPr="00B45F59" w:rsidRDefault="00B45F59" w:rsidP="00B45F59">
            <w:pPr>
              <w:jc w:val="center"/>
              <w:rPr>
                <w:sz w:val="16"/>
                <w:szCs w:val="16"/>
              </w:rPr>
            </w:pPr>
            <w:r w:rsidRPr="00B45F59">
              <w:rPr>
                <w:sz w:val="16"/>
                <w:szCs w:val="16"/>
              </w:rPr>
              <w:t>T4 2026</w:t>
            </w:r>
          </w:p>
        </w:tc>
        <w:tc>
          <w:tcPr>
            <w:tcW w:w="1671" w:type="dxa"/>
            <w:vMerge w:val="restart"/>
            <w:tcBorders>
              <w:top w:val="single" w:sz="4" w:space="0" w:color="auto"/>
              <w:left w:val="single" w:sz="4" w:space="0" w:color="auto"/>
              <w:bottom w:val="single" w:sz="4" w:space="0" w:color="auto"/>
              <w:right w:val="single" w:sz="4" w:space="0" w:color="auto"/>
            </w:tcBorders>
          </w:tcPr>
          <w:p w14:paraId="5D8DE4D2" w14:textId="77777777" w:rsidR="00B45F59" w:rsidRPr="00B45F59" w:rsidRDefault="00B45F59" w:rsidP="00B45F59">
            <w:pPr>
              <w:rPr>
                <w:b/>
                <w:bCs/>
                <w:sz w:val="16"/>
                <w:szCs w:val="16"/>
              </w:rPr>
            </w:pPr>
            <w:r w:rsidRPr="00B45F59">
              <w:rPr>
                <w:b/>
                <w:bCs/>
                <w:sz w:val="16"/>
                <w:szCs w:val="16"/>
              </w:rPr>
              <w:t>Njësitë përgjegjëse:</w:t>
            </w:r>
          </w:p>
          <w:p w14:paraId="279027EE" w14:textId="77777777" w:rsidR="00B45F59" w:rsidRPr="00B45F59" w:rsidRDefault="00B45F59" w:rsidP="00B45F59">
            <w:pPr>
              <w:rPr>
                <w:sz w:val="16"/>
                <w:szCs w:val="16"/>
              </w:rPr>
            </w:pPr>
            <w:r w:rsidRPr="00B45F59">
              <w:rPr>
                <w:sz w:val="16"/>
                <w:szCs w:val="16"/>
              </w:rPr>
              <w:t xml:space="preserve">DPTH (lider), CMU </w:t>
            </w:r>
          </w:p>
          <w:p w14:paraId="60588E8E" w14:textId="77777777" w:rsidR="00B45F59" w:rsidRPr="00B45F59" w:rsidRDefault="00B45F59" w:rsidP="00B45F59">
            <w:pPr>
              <w:rPr>
                <w:sz w:val="16"/>
                <w:szCs w:val="16"/>
              </w:rPr>
            </w:pPr>
          </w:p>
          <w:p w14:paraId="4061C729" w14:textId="77777777" w:rsidR="00B45F59" w:rsidRPr="00B45F59" w:rsidRDefault="00B45F59" w:rsidP="00B45F59">
            <w:pPr>
              <w:rPr>
                <w:b/>
                <w:bCs/>
                <w:sz w:val="16"/>
                <w:szCs w:val="16"/>
              </w:rPr>
            </w:pPr>
            <w:r w:rsidRPr="00B45F59">
              <w:rPr>
                <w:b/>
                <w:bCs/>
                <w:sz w:val="16"/>
                <w:szCs w:val="16"/>
              </w:rPr>
              <w:t>Partner:</w:t>
            </w:r>
          </w:p>
          <w:p w14:paraId="0222471D" w14:textId="1BDF0837" w:rsidR="00B45F59" w:rsidRPr="00B45F59" w:rsidRDefault="00B45F59" w:rsidP="00B45F59">
            <w:pPr>
              <w:rPr>
                <w:sz w:val="16"/>
                <w:szCs w:val="16"/>
              </w:rPr>
            </w:pPr>
            <w:r w:rsidRPr="00B45F59">
              <w:rPr>
                <w:sz w:val="16"/>
                <w:szCs w:val="16"/>
              </w:rPr>
              <w:t>IB, DPT, Doganat</w:t>
            </w:r>
            <w:r w:rsidR="00B9728A">
              <w:rPr>
                <w:sz w:val="16"/>
                <w:szCs w:val="16"/>
              </w:rPr>
              <w:t>, FMN</w:t>
            </w:r>
          </w:p>
        </w:tc>
      </w:tr>
      <w:tr w:rsidR="00B45F59" w:rsidRPr="00B45F59" w14:paraId="4F2C075F" w14:textId="77777777" w:rsidTr="001E0EAC">
        <w:trPr>
          <w:gridAfter w:val="1"/>
          <w:wAfter w:w="10" w:type="dxa"/>
          <w:trHeight w:val="230"/>
          <w:jc w:val="center"/>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6ED3C34F" w14:textId="77777777" w:rsidR="00B45F59" w:rsidRPr="00B45F59" w:rsidRDefault="00B45F59" w:rsidP="00B45F59">
            <w:pPr>
              <w:spacing w:line="240" w:lineRule="auto"/>
              <w:rPr>
                <w:rFonts w:eastAsia="Times New Roman"/>
                <w:b/>
                <w:bCs/>
                <w:sz w:val="16"/>
                <w:szCs w:val="16"/>
              </w:rPr>
            </w:pPr>
          </w:p>
        </w:tc>
        <w:tc>
          <w:tcPr>
            <w:tcW w:w="3440" w:type="dxa"/>
            <w:tcBorders>
              <w:top w:val="single" w:sz="4" w:space="0" w:color="auto"/>
              <w:left w:val="single" w:sz="4" w:space="0" w:color="auto"/>
              <w:bottom w:val="single" w:sz="4" w:space="0" w:color="auto"/>
              <w:right w:val="single" w:sz="4" w:space="0" w:color="auto"/>
            </w:tcBorders>
            <w:hideMark/>
          </w:tcPr>
          <w:p w14:paraId="4CF8AC41" w14:textId="77777777" w:rsidR="00B45F59" w:rsidRPr="00B45F59" w:rsidRDefault="00B45F59" w:rsidP="00CD7428">
            <w:pPr>
              <w:numPr>
                <w:ilvl w:val="0"/>
                <w:numId w:val="55"/>
              </w:numPr>
              <w:autoSpaceDE w:val="0"/>
              <w:autoSpaceDN w:val="0"/>
              <w:adjustRightInd w:val="0"/>
              <w:contextualSpacing/>
              <w:rPr>
                <w:rFonts w:eastAsia="Times New Roman"/>
                <w:bCs/>
                <w:sz w:val="16"/>
                <w:szCs w:val="16"/>
              </w:rPr>
            </w:pPr>
            <w:r w:rsidRPr="00B45F59">
              <w:rPr>
                <w:rFonts w:eastAsia="Times New Roman"/>
                <w:bCs/>
                <w:sz w:val="16"/>
                <w:szCs w:val="16"/>
              </w:rPr>
              <w:t>Krijimi i Komitetit Teknik dhe organizimi i takimeve teknike në baza mujore me IB-të më të mëdha, Tatimet dhe Doganat për të marrë informacione të rëndësishme në kohë reale.</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50B82" w14:textId="77777777" w:rsidR="00B45F59" w:rsidRPr="00B45F59" w:rsidRDefault="00B45F59" w:rsidP="00B45F59">
            <w:pPr>
              <w:jc w:val="center"/>
              <w:rPr>
                <w:sz w:val="16"/>
                <w:szCs w:val="16"/>
              </w:rPr>
            </w:pPr>
            <w:r w:rsidRPr="00B45F59">
              <w:rPr>
                <w:sz w:val="16"/>
                <w:szCs w:val="16"/>
              </w:rPr>
              <w:t>T1 2024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5C76886" w14:textId="77777777" w:rsidR="00B45F59" w:rsidRPr="00B45F59" w:rsidRDefault="00B45F59" w:rsidP="00B45F59">
            <w:pPr>
              <w:jc w:val="center"/>
              <w:rPr>
                <w:sz w:val="16"/>
                <w:szCs w:val="16"/>
              </w:rPr>
            </w:pPr>
            <w:r w:rsidRPr="00B45F59">
              <w:rPr>
                <w:sz w:val="16"/>
                <w:szCs w:val="16"/>
              </w:rPr>
              <w:t>T4 2024</w:t>
            </w:r>
          </w:p>
        </w:tc>
        <w:tc>
          <w:tcPr>
            <w:tcW w:w="1671" w:type="dxa"/>
            <w:vMerge/>
            <w:tcBorders>
              <w:top w:val="single" w:sz="4" w:space="0" w:color="auto"/>
              <w:left w:val="single" w:sz="4" w:space="0" w:color="auto"/>
              <w:bottom w:val="single" w:sz="4" w:space="0" w:color="auto"/>
              <w:right w:val="single" w:sz="4" w:space="0" w:color="auto"/>
            </w:tcBorders>
            <w:vAlign w:val="center"/>
            <w:hideMark/>
          </w:tcPr>
          <w:p w14:paraId="6E019E8A" w14:textId="77777777" w:rsidR="00B45F59" w:rsidRPr="00B45F59" w:rsidRDefault="00B45F59" w:rsidP="00B45F59">
            <w:pPr>
              <w:spacing w:line="240" w:lineRule="auto"/>
              <w:rPr>
                <w:sz w:val="16"/>
                <w:szCs w:val="16"/>
              </w:rPr>
            </w:pPr>
          </w:p>
        </w:tc>
      </w:tr>
      <w:tr w:rsidR="00B45F59" w:rsidRPr="00B45F59" w14:paraId="341B8FBD" w14:textId="77777777" w:rsidTr="001E0EAC">
        <w:trPr>
          <w:gridAfter w:val="1"/>
          <w:wAfter w:w="10" w:type="dxa"/>
          <w:trHeight w:val="230"/>
          <w:jc w:val="center"/>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6723AF6F" w14:textId="77777777" w:rsidR="00B45F59" w:rsidRPr="00B45F59" w:rsidRDefault="00B45F59" w:rsidP="00B45F59">
            <w:pPr>
              <w:spacing w:line="240" w:lineRule="auto"/>
              <w:rPr>
                <w:rFonts w:eastAsia="Times New Roman"/>
                <w:b/>
                <w:bCs/>
                <w:sz w:val="16"/>
                <w:szCs w:val="16"/>
              </w:rPr>
            </w:pPr>
          </w:p>
        </w:tc>
        <w:tc>
          <w:tcPr>
            <w:tcW w:w="3440" w:type="dxa"/>
            <w:tcBorders>
              <w:top w:val="single" w:sz="4" w:space="0" w:color="auto"/>
              <w:left w:val="single" w:sz="4" w:space="0" w:color="auto"/>
              <w:bottom w:val="single" w:sz="4" w:space="0" w:color="auto"/>
              <w:right w:val="single" w:sz="4" w:space="0" w:color="auto"/>
            </w:tcBorders>
            <w:hideMark/>
          </w:tcPr>
          <w:p w14:paraId="5F0E330D" w14:textId="77777777" w:rsidR="00B45F59" w:rsidRPr="00B45F59" w:rsidRDefault="00B45F59" w:rsidP="00CD7428">
            <w:pPr>
              <w:numPr>
                <w:ilvl w:val="0"/>
                <w:numId w:val="55"/>
              </w:numPr>
              <w:autoSpaceDE w:val="0"/>
              <w:autoSpaceDN w:val="0"/>
              <w:adjustRightInd w:val="0"/>
              <w:contextualSpacing/>
              <w:rPr>
                <w:rFonts w:eastAsia="Times New Roman"/>
                <w:bCs/>
                <w:sz w:val="16"/>
                <w:szCs w:val="16"/>
              </w:rPr>
            </w:pPr>
            <w:r w:rsidRPr="00B45F59">
              <w:rPr>
                <w:rFonts w:eastAsia="Times New Roman"/>
                <w:bCs/>
                <w:sz w:val="16"/>
                <w:szCs w:val="16"/>
              </w:rPr>
              <w:t>Prezantimi i një mekanizmi njoftimi dy javë përpara se të kryhen pagesa të mëdha</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971FC" w14:textId="77777777" w:rsidR="00B45F59" w:rsidRPr="00B45F59" w:rsidRDefault="00B45F59" w:rsidP="00B45F59">
            <w:pPr>
              <w:jc w:val="center"/>
              <w:rPr>
                <w:sz w:val="16"/>
                <w:szCs w:val="16"/>
              </w:rPr>
            </w:pPr>
            <w:r w:rsidRPr="00B45F59">
              <w:rPr>
                <w:sz w:val="16"/>
                <w:szCs w:val="16"/>
              </w:rPr>
              <w:t>T1 2024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126987A" w14:textId="77777777" w:rsidR="00B45F59" w:rsidRPr="00B45F59" w:rsidRDefault="00B45F59" w:rsidP="00B45F59">
            <w:pPr>
              <w:jc w:val="center"/>
              <w:rPr>
                <w:sz w:val="16"/>
                <w:szCs w:val="16"/>
              </w:rPr>
            </w:pPr>
            <w:r w:rsidRPr="00B45F59">
              <w:rPr>
                <w:sz w:val="16"/>
                <w:szCs w:val="16"/>
              </w:rPr>
              <w:t>T4 2024</w:t>
            </w:r>
          </w:p>
        </w:tc>
        <w:tc>
          <w:tcPr>
            <w:tcW w:w="1671" w:type="dxa"/>
            <w:vMerge/>
            <w:tcBorders>
              <w:top w:val="single" w:sz="4" w:space="0" w:color="auto"/>
              <w:left w:val="single" w:sz="4" w:space="0" w:color="auto"/>
              <w:bottom w:val="single" w:sz="4" w:space="0" w:color="auto"/>
              <w:right w:val="single" w:sz="4" w:space="0" w:color="auto"/>
            </w:tcBorders>
            <w:vAlign w:val="center"/>
            <w:hideMark/>
          </w:tcPr>
          <w:p w14:paraId="50B4688B" w14:textId="77777777" w:rsidR="00B45F59" w:rsidRPr="00B45F59" w:rsidRDefault="00B45F59" w:rsidP="00B45F59">
            <w:pPr>
              <w:spacing w:line="240" w:lineRule="auto"/>
              <w:rPr>
                <w:sz w:val="16"/>
                <w:szCs w:val="16"/>
              </w:rPr>
            </w:pPr>
          </w:p>
        </w:tc>
      </w:tr>
      <w:tr w:rsidR="00B45F59" w:rsidRPr="00B45F59" w14:paraId="11CFEB02" w14:textId="77777777" w:rsidTr="001E0EAC">
        <w:trPr>
          <w:gridAfter w:val="1"/>
          <w:wAfter w:w="10" w:type="dxa"/>
          <w:trHeight w:val="230"/>
          <w:jc w:val="center"/>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20660713" w14:textId="77777777" w:rsidR="00B45F59" w:rsidRPr="00B45F59" w:rsidRDefault="00B45F59" w:rsidP="00B45F59">
            <w:pPr>
              <w:spacing w:line="240" w:lineRule="auto"/>
              <w:rPr>
                <w:rFonts w:eastAsia="Times New Roman"/>
                <w:b/>
                <w:bCs/>
                <w:sz w:val="16"/>
                <w:szCs w:val="16"/>
              </w:rPr>
            </w:pPr>
          </w:p>
        </w:tc>
        <w:tc>
          <w:tcPr>
            <w:tcW w:w="3440" w:type="dxa"/>
            <w:tcBorders>
              <w:top w:val="single" w:sz="4" w:space="0" w:color="auto"/>
              <w:left w:val="single" w:sz="4" w:space="0" w:color="auto"/>
              <w:bottom w:val="single" w:sz="4" w:space="0" w:color="auto"/>
              <w:right w:val="single" w:sz="4" w:space="0" w:color="auto"/>
            </w:tcBorders>
            <w:hideMark/>
          </w:tcPr>
          <w:p w14:paraId="052A2D56" w14:textId="77777777" w:rsidR="00B45F59" w:rsidRPr="00B45F59" w:rsidRDefault="00B45F59" w:rsidP="00CD7428">
            <w:pPr>
              <w:numPr>
                <w:ilvl w:val="0"/>
                <w:numId w:val="55"/>
              </w:numPr>
              <w:autoSpaceDE w:val="0"/>
              <w:autoSpaceDN w:val="0"/>
              <w:adjustRightInd w:val="0"/>
              <w:contextualSpacing/>
              <w:rPr>
                <w:rFonts w:eastAsia="Times New Roman"/>
                <w:bCs/>
                <w:sz w:val="16"/>
                <w:szCs w:val="16"/>
              </w:rPr>
            </w:pPr>
            <w:r w:rsidRPr="00B45F59">
              <w:rPr>
                <w:rFonts w:eastAsia="Times New Roman"/>
                <w:bCs/>
                <w:sz w:val="16"/>
                <w:szCs w:val="16"/>
              </w:rPr>
              <w:t>Përdorimi i një “mjeti” të ri të zhvilluar nga FMN në Microsoft Excel për përgatitjen e parashikimeve dhe për analizën e të dhënave.</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F005" w14:textId="77777777" w:rsidR="00B45F59" w:rsidRPr="00B45F59" w:rsidRDefault="00B45F59" w:rsidP="00B45F59">
            <w:pPr>
              <w:jc w:val="center"/>
              <w:rPr>
                <w:sz w:val="16"/>
                <w:szCs w:val="16"/>
              </w:rPr>
            </w:pPr>
            <w:r w:rsidRPr="00B45F59">
              <w:rPr>
                <w:sz w:val="16"/>
                <w:szCs w:val="16"/>
              </w:rPr>
              <w:t>T1 2024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419B701" w14:textId="77777777" w:rsidR="00B45F59" w:rsidRPr="00B45F59" w:rsidRDefault="00B45F59" w:rsidP="00B45F59">
            <w:pPr>
              <w:jc w:val="center"/>
              <w:rPr>
                <w:sz w:val="16"/>
                <w:szCs w:val="16"/>
              </w:rPr>
            </w:pPr>
            <w:r w:rsidRPr="00B45F59">
              <w:rPr>
                <w:sz w:val="16"/>
                <w:szCs w:val="16"/>
              </w:rPr>
              <w:t>T4 2026</w:t>
            </w:r>
          </w:p>
        </w:tc>
        <w:tc>
          <w:tcPr>
            <w:tcW w:w="1671" w:type="dxa"/>
            <w:vMerge/>
            <w:tcBorders>
              <w:top w:val="single" w:sz="4" w:space="0" w:color="auto"/>
              <w:left w:val="single" w:sz="4" w:space="0" w:color="auto"/>
              <w:bottom w:val="single" w:sz="4" w:space="0" w:color="auto"/>
              <w:right w:val="single" w:sz="4" w:space="0" w:color="auto"/>
            </w:tcBorders>
            <w:vAlign w:val="center"/>
            <w:hideMark/>
          </w:tcPr>
          <w:p w14:paraId="698E43E7" w14:textId="77777777" w:rsidR="00B45F59" w:rsidRPr="00B45F59" w:rsidRDefault="00B45F59" w:rsidP="00B45F59">
            <w:pPr>
              <w:spacing w:line="240" w:lineRule="auto"/>
              <w:rPr>
                <w:sz w:val="16"/>
                <w:szCs w:val="16"/>
              </w:rPr>
            </w:pPr>
          </w:p>
        </w:tc>
      </w:tr>
      <w:tr w:rsidR="00B45F59" w:rsidRPr="00B45F59" w14:paraId="34B262CF" w14:textId="77777777" w:rsidTr="001E0EAC">
        <w:trPr>
          <w:gridAfter w:val="1"/>
          <w:wAfter w:w="10" w:type="dxa"/>
          <w:trHeight w:val="20"/>
          <w:jc w:val="center"/>
        </w:trPr>
        <w:tc>
          <w:tcPr>
            <w:tcW w:w="191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776964" w14:textId="77777777" w:rsidR="00B45F59" w:rsidRPr="00B45F59" w:rsidRDefault="00B45F59" w:rsidP="00B45F59">
            <w:pPr>
              <w:spacing w:line="264" w:lineRule="auto"/>
              <w:rPr>
                <w:b/>
                <w:sz w:val="16"/>
                <w:szCs w:val="16"/>
              </w:rPr>
            </w:pPr>
            <w:r w:rsidRPr="00B45F59">
              <w:rPr>
                <w:b/>
                <w:sz w:val="16"/>
                <w:szCs w:val="16"/>
              </w:rPr>
              <w:t>Masa 4.5.2 Prezantimi i një sistemi gjithëpërfshirës të monitorimit të performancës për parashikimin e likuiditetit</w:t>
            </w:r>
          </w:p>
        </w:tc>
        <w:tc>
          <w:tcPr>
            <w:tcW w:w="34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0130DFA" w14:textId="77777777" w:rsidR="00B45F59" w:rsidRPr="009D660E" w:rsidRDefault="00B45F59" w:rsidP="00CD7428">
            <w:pPr>
              <w:numPr>
                <w:ilvl w:val="0"/>
                <w:numId w:val="68"/>
              </w:numPr>
              <w:autoSpaceDE w:val="0"/>
              <w:autoSpaceDN w:val="0"/>
              <w:adjustRightInd w:val="0"/>
              <w:contextualSpacing/>
              <w:rPr>
                <w:rFonts w:eastAsia="Times New Roman"/>
                <w:bCs/>
                <w:sz w:val="16"/>
                <w:szCs w:val="16"/>
                <w:lang w:val="it-IT"/>
              </w:rPr>
            </w:pPr>
            <w:r w:rsidRPr="009D660E">
              <w:rPr>
                <w:rFonts w:eastAsia="Times New Roman"/>
                <w:bCs/>
                <w:sz w:val="16"/>
                <w:szCs w:val="16"/>
                <w:lang w:val="it-IT"/>
              </w:rPr>
              <w:t>Matja dhe monitorimi i devijimeve nga parashikimet mujore të përditësuara.</w:t>
            </w:r>
          </w:p>
        </w:tc>
        <w:tc>
          <w:tcPr>
            <w:tcW w:w="10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60BF1FB" w14:textId="77777777" w:rsidR="00B45F59" w:rsidRPr="00B45F59" w:rsidRDefault="00B45F59" w:rsidP="00B45F59">
            <w:pPr>
              <w:jc w:val="center"/>
              <w:rPr>
                <w:sz w:val="16"/>
                <w:szCs w:val="16"/>
              </w:rPr>
            </w:pPr>
            <w:r w:rsidRPr="00B45F59">
              <w:rPr>
                <w:sz w:val="16"/>
                <w:szCs w:val="16"/>
              </w:rPr>
              <w:t>T1 2024</w:t>
            </w:r>
          </w:p>
        </w:tc>
        <w:tc>
          <w:tcPr>
            <w:tcW w:w="9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4F12EE" w14:textId="77777777" w:rsidR="00B45F59" w:rsidRPr="00B45F59" w:rsidRDefault="00B45F59" w:rsidP="00B45F59">
            <w:pPr>
              <w:jc w:val="center"/>
              <w:rPr>
                <w:sz w:val="16"/>
                <w:szCs w:val="16"/>
              </w:rPr>
            </w:pPr>
            <w:r w:rsidRPr="00B45F59">
              <w:rPr>
                <w:sz w:val="16"/>
                <w:szCs w:val="16"/>
              </w:rPr>
              <w:t>T4 2025</w:t>
            </w:r>
          </w:p>
        </w:tc>
        <w:tc>
          <w:tcPr>
            <w:tcW w:w="1671"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96321E" w14:textId="77777777" w:rsidR="00B45F59" w:rsidRPr="00B45F59" w:rsidRDefault="00B45F59" w:rsidP="00B45F59">
            <w:pPr>
              <w:rPr>
                <w:b/>
                <w:bCs/>
                <w:sz w:val="16"/>
                <w:szCs w:val="16"/>
              </w:rPr>
            </w:pPr>
            <w:r w:rsidRPr="00B45F59">
              <w:rPr>
                <w:b/>
                <w:bCs/>
                <w:sz w:val="16"/>
                <w:szCs w:val="16"/>
              </w:rPr>
              <w:t>Njësitë përgjegjëse:</w:t>
            </w:r>
          </w:p>
          <w:p w14:paraId="0C0D73E8" w14:textId="77777777" w:rsidR="00B45F59" w:rsidRPr="00B45F59" w:rsidRDefault="00B45F59" w:rsidP="00B45F59">
            <w:pPr>
              <w:rPr>
                <w:sz w:val="16"/>
                <w:szCs w:val="16"/>
              </w:rPr>
            </w:pPr>
            <w:r w:rsidRPr="00B45F59">
              <w:rPr>
                <w:sz w:val="16"/>
                <w:szCs w:val="16"/>
              </w:rPr>
              <w:t xml:space="preserve">DPTH (lider) </w:t>
            </w:r>
          </w:p>
          <w:p w14:paraId="7B2437EF" w14:textId="77777777" w:rsidR="00B45F59" w:rsidRPr="00B45F59" w:rsidRDefault="00B45F59" w:rsidP="00B45F59">
            <w:pPr>
              <w:rPr>
                <w:sz w:val="16"/>
                <w:szCs w:val="16"/>
              </w:rPr>
            </w:pPr>
          </w:p>
          <w:p w14:paraId="3782D5EB" w14:textId="77777777" w:rsidR="00B45F59" w:rsidRPr="00B45F59" w:rsidRDefault="00B45F59" w:rsidP="00B45F59">
            <w:pPr>
              <w:rPr>
                <w:b/>
                <w:bCs/>
                <w:sz w:val="16"/>
                <w:szCs w:val="16"/>
              </w:rPr>
            </w:pPr>
            <w:r w:rsidRPr="00B45F59">
              <w:rPr>
                <w:b/>
                <w:bCs/>
                <w:sz w:val="16"/>
                <w:szCs w:val="16"/>
              </w:rPr>
              <w:t>Partnerët:</w:t>
            </w:r>
          </w:p>
          <w:p w14:paraId="31556938" w14:textId="12E973A2" w:rsidR="00B45F59" w:rsidRPr="00B45F59" w:rsidRDefault="00B9728A" w:rsidP="00B45F59">
            <w:pPr>
              <w:rPr>
                <w:sz w:val="16"/>
                <w:szCs w:val="16"/>
              </w:rPr>
            </w:pPr>
            <w:r>
              <w:rPr>
                <w:sz w:val="16"/>
                <w:szCs w:val="16"/>
              </w:rPr>
              <w:t>FMN</w:t>
            </w:r>
          </w:p>
        </w:tc>
      </w:tr>
      <w:tr w:rsidR="00B45F59" w:rsidRPr="00B45F59" w14:paraId="55D82710" w14:textId="77777777" w:rsidTr="001E0EAC">
        <w:trPr>
          <w:gridAfter w:val="1"/>
          <w:wAfter w:w="10" w:type="dxa"/>
          <w:trHeight w:val="230"/>
          <w:jc w:val="center"/>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3A857465" w14:textId="77777777" w:rsidR="00B45F59" w:rsidRPr="00B45F59" w:rsidRDefault="00B45F59" w:rsidP="00B45F59">
            <w:pPr>
              <w:spacing w:line="240" w:lineRule="auto"/>
              <w:rPr>
                <w:rFonts w:eastAsia="Times New Roman"/>
                <w:b/>
                <w:bCs/>
                <w:sz w:val="16"/>
                <w:szCs w:val="16"/>
              </w:rPr>
            </w:pPr>
          </w:p>
        </w:tc>
        <w:tc>
          <w:tcPr>
            <w:tcW w:w="34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CCF0E53" w14:textId="77777777" w:rsidR="00B45F59" w:rsidRPr="00B45F59" w:rsidRDefault="00B45F59" w:rsidP="00CD7428">
            <w:pPr>
              <w:numPr>
                <w:ilvl w:val="0"/>
                <w:numId w:val="68"/>
              </w:numPr>
              <w:autoSpaceDE w:val="0"/>
              <w:autoSpaceDN w:val="0"/>
              <w:adjustRightInd w:val="0"/>
              <w:contextualSpacing/>
              <w:rPr>
                <w:rFonts w:eastAsia="Times New Roman"/>
                <w:bCs/>
                <w:sz w:val="16"/>
                <w:szCs w:val="16"/>
              </w:rPr>
            </w:pPr>
            <w:r w:rsidRPr="00B45F59">
              <w:rPr>
                <w:rFonts w:eastAsia="Times New Roman"/>
                <w:bCs/>
                <w:sz w:val="16"/>
                <w:szCs w:val="16"/>
              </w:rPr>
              <w:t>Përcaktimi i treguesve kryesore të performancës (TKP) për parashikimet ditore dhe mujore dhe prezantimin e tyre në Komitetin e Menaxhimit të Likuiditetit dhe Borxhit (KMLB).</w:t>
            </w:r>
          </w:p>
        </w:tc>
        <w:tc>
          <w:tcPr>
            <w:tcW w:w="10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E655282" w14:textId="77777777" w:rsidR="00B45F59" w:rsidRPr="00B45F59" w:rsidRDefault="00B45F59" w:rsidP="00B45F59">
            <w:pPr>
              <w:jc w:val="center"/>
              <w:rPr>
                <w:sz w:val="16"/>
                <w:szCs w:val="16"/>
              </w:rPr>
            </w:pPr>
            <w:r w:rsidRPr="00B45F59">
              <w:rPr>
                <w:sz w:val="16"/>
                <w:szCs w:val="16"/>
              </w:rPr>
              <w:t>T1 2024</w:t>
            </w:r>
          </w:p>
        </w:tc>
        <w:tc>
          <w:tcPr>
            <w:tcW w:w="9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1AFC3A" w14:textId="77777777" w:rsidR="00B45F59" w:rsidRPr="00B45F59" w:rsidRDefault="00B45F59" w:rsidP="00B45F59">
            <w:pPr>
              <w:jc w:val="center"/>
              <w:rPr>
                <w:sz w:val="16"/>
                <w:szCs w:val="16"/>
              </w:rPr>
            </w:pPr>
            <w:r w:rsidRPr="00B45F59">
              <w:rPr>
                <w:sz w:val="16"/>
                <w:szCs w:val="16"/>
              </w:rPr>
              <w:t>T4 2025</w:t>
            </w:r>
          </w:p>
        </w:tc>
        <w:tc>
          <w:tcPr>
            <w:tcW w:w="1671" w:type="dxa"/>
            <w:vMerge/>
            <w:tcBorders>
              <w:top w:val="single" w:sz="4" w:space="0" w:color="auto"/>
              <w:left w:val="single" w:sz="4" w:space="0" w:color="auto"/>
              <w:bottom w:val="single" w:sz="4" w:space="0" w:color="auto"/>
              <w:right w:val="single" w:sz="4" w:space="0" w:color="auto"/>
            </w:tcBorders>
            <w:vAlign w:val="center"/>
            <w:hideMark/>
          </w:tcPr>
          <w:p w14:paraId="164AFCFD" w14:textId="77777777" w:rsidR="00B45F59" w:rsidRPr="00B45F59" w:rsidRDefault="00B45F59" w:rsidP="00B45F59">
            <w:pPr>
              <w:spacing w:line="240" w:lineRule="auto"/>
              <w:rPr>
                <w:sz w:val="16"/>
                <w:szCs w:val="16"/>
              </w:rPr>
            </w:pPr>
          </w:p>
        </w:tc>
      </w:tr>
      <w:tr w:rsidR="00B45F59" w:rsidRPr="00B45F59" w14:paraId="6A365EF9" w14:textId="77777777" w:rsidTr="001E0EAC">
        <w:trPr>
          <w:trHeight w:val="20"/>
          <w:jc w:val="center"/>
        </w:trPr>
        <w:tc>
          <w:tcPr>
            <w:tcW w:w="191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5F70A5" w14:textId="77777777" w:rsidR="00B45F59" w:rsidRPr="00B45F59" w:rsidRDefault="00B45F59" w:rsidP="00B45F59">
            <w:pPr>
              <w:spacing w:line="264" w:lineRule="auto"/>
              <w:rPr>
                <w:b/>
                <w:sz w:val="16"/>
                <w:szCs w:val="16"/>
              </w:rPr>
            </w:pPr>
            <w:r w:rsidRPr="00B45F59">
              <w:rPr>
                <w:b/>
                <w:sz w:val="16"/>
                <w:szCs w:val="16"/>
              </w:rPr>
              <w:t>Masa 4.5.3 Përmirësimi i instrumenteve të menaxhimit të likuiditetit</w:t>
            </w:r>
          </w:p>
          <w:p w14:paraId="48714FFE" w14:textId="77777777" w:rsidR="00B45F59" w:rsidRPr="00B45F59" w:rsidRDefault="00B45F59" w:rsidP="00B45F59">
            <w:pPr>
              <w:spacing w:line="264" w:lineRule="auto"/>
              <w:rPr>
                <w:rFonts w:eastAsia="Times New Roman"/>
                <w:b/>
                <w:bCs/>
                <w:sz w:val="16"/>
                <w:szCs w:val="16"/>
              </w:rPr>
            </w:pPr>
          </w:p>
        </w:tc>
        <w:tc>
          <w:tcPr>
            <w:tcW w:w="34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E16AC40" w14:textId="1BD2687B" w:rsidR="00B45F59" w:rsidRPr="009D660E" w:rsidRDefault="00454FB6" w:rsidP="00CD7428">
            <w:pPr>
              <w:numPr>
                <w:ilvl w:val="0"/>
                <w:numId w:val="67"/>
              </w:numPr>
              <w:autoSpaceDE w:val="0"/>
              <w:autoSpaceDN w:val="0"/>
              <w:adjustRightInd w:val="0"/>
              <w:contextualSpacing/>
              <w:rPr>
                <w:rFonts w:eastAsia="Times New Roman"/>
                <w:bCs/>
                <w:sz w:val="16"/>
                <w:szCs w:val="16"/>
                <w:lang w:val="it-IT"/>
              </w:rPr>
            </w:pPr>
            <w:r w:rsidRPr="009D660E">
              <w:rPr>
                <w:rFonts w:eastAsia="Times New Roman"/>
                <w:bCs/>
                <w:sz w:val="16"/>
                <w:szCs w:val="16"/>
                <w:lang w:val="it-IT"/>
              </w:rPr>
              <w:t>Përmirësimi i politikave t</w:t>
            </w:r>
            <w:r w:rsidR="00B45F59" w:rsidRPr="009D660E">
              <w:rPr>
                <w:rFonts w:eastAsia="Times New Roman"/>
                <w:bCs/>
                <w:sz w:val="16"/>
                <w:szCs w:val="16"/>
                <w:lang w:val="it-IT"/>
              </w:rPr>
              <w:t xml:space="preserve">ë </w:t>
            </w:r>
            <w:r w:rsidRPr="009D660E">
              <w:rPr>
                <w:rFonts w:eastAsia="Times New Roman"/>
                <w:bCs/>
                <w:sz w:val="16"/>
                <w:szCs w:val="16"/>
                <w:lang w:val="it-IT"/>
              </w:rPr>
              <w:t xml:space="preserve">rezervave </w:t>
            </w:r>
            <w:r w:rsidR="00B45F59" w:rsidRPr="009D660E">
              <w:rPr>
                <w:rFonts w:eastAsia="Times New Roman"/>
                <w:bCs/>
                <w:sz w:val="16"/>
                <w:szCs w:val="16"/>
                <w:lang w:val="it-IT"/>
              </w:rPr>
              <w:t>monetare</w:t>
            </w:r>
          </w:p>
        </w:tc>
        <w:tc>
          <w:tcPr>
            <w:tcW w:w="10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6DAD916" w14:textId="77777777" w:rsidR="00B45F59" w:rsidRPr="00B45F59" w:rsidRDefault="00B45F59" w:rsidP="00B45F59">
            <w:pPr>
              <w:jc w:val="center"/>
              <w:rPr>
                <w:sz w:val="16"/>
                <w:szCs w:val="16"/>
              </w:rPr>
            </w:pPr>
            <w:r w:rsidRPr="00B45F59">
              <w:rPr>
                <w:sz w:val="16"/>
                <w:szCs w:val="16"/>
              </w:rPr>
              <w:t>T1 2024</w:t>
            </w:r>
          </w:p>
        </w:tc>
        <w:tc>
          <w:tcPr>
            <w:tcW w:w="9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4C6DF8F" w14:textId="77777777" w:rsidR="00B45F59" w:rsidRPr="00B45F59" w:rsidRDefault="00B45F59" w:rsidP="00B45F59">
            <w:pPr>
              <w:jc w:val="center"/>
              <w:rPr>
                <w:sz w:val="16"/>
                <w:szCs w:val="16"/>
              </w:rPr>
            </w:pPr>
            <w:r w:rsidRPr="00B45F59">
              <w:rPr>
                <w:sz w:val="16"/>
                <w:szCs w:val="16"/>
              </w:rPr>
              <w:t>T4 2025</w:t>
            </w:r>
          </w:p>
        </w:tc>
        <w:tc>
          <w:tcPr>
            <w:tcW w:w="1681"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7B3E20" w14:textId="77777777" w:rsidR="00B45F59" w:rsidRPr="00B45F59" w:rsidRDefault="00B45F59" w:rsidP="00B45F59">
            <w:pPr>
              <w:rPr>
                <w:b/>
                <w:bCs/>
                <w:sz w:val="16"/>
                <w:szCs w:val="16"/>
              </w:rPr>
            </w:pPr>
            <w:r w:rsidRPr="00B45F59">
              <w:rPr>
                <w:b/>
                <w:bCs/>
                <w:sz w:val="16"/>
                <w:szCs w:val="16"/>
              </w:rPr>
              <w:t>Njësitë përgjegjëse:</w:t>
            </w:r>
          </w:p>
          <w:p w14:paraId="0F0B2EEA" w14:textId="7D9771A9" w:rsidR="00B45F59" w:rsidRPr="00B45F59" w:rsidRDefault="004337B6" w:rsidP="00B45F59">
            <w:pPr>
              <w:rPr>
                <w:sz w:val="16"/>
                <w:szCs w:val="16"/>
              </w:rPr>
            </w:pPr>
            <w:r>
              <w:rPr>
                <w:sz w:val="16"/>
                <w:szCs w:val="16"/>
              </w:rPr>
              <w:t>DP</w:t>
            </w:r>
            <w:r w:rsidR="00B45F59" w:rsidRPr="00B45F59">
              <w:rPr>
                <w:sz w:val="16"/>
                <w:szCs w:val="16"/>
              </w:rPr>
              <w:t>TH (l</w:t>
            </w:r>
            <w:r>
              <w:rPr>
                <w:sz w:val="16"/>
                <w:szCs w:val="16"/>
              </w:rPr>
              <w:t>ider</w:t>
            </w:r>
            <w:r w:rsidR="00B45F59" w:rsidRPr="00B45F59">
              <w:rPr>
                <w:sz w:val="16"/>
                <w:szCs w:val="16"/>
              </w:rPr>
              <w:t xml:space="preserve">) </w:t>
            </w:r>
          </w:p>
          <w:p w14:paraId="3B137FF4" w14:textId="77777777" w:rsidR="00B45F59" w:rsidRPr="00B45F59" w:rsidRDefault="00B45F59" w:rsidP="00B45F59">
            <w:pPr>
              <w:rPr>
                <w:sz w:val="16"/>
                <w:szCs w:val="16"/>
              </w:rPr>
            </w:pPr>
          </w:p>
          <w:p w14:paraId="76208F46" w14:textId="77777777" w:rsidR="00B45F59" w:rsidRPr="00B45F59" w:rsidRDefault="00B45F59" w:rsidP="00B45F59">
            <w:pPr>
              <w:rPr>
                <w:b/>
                <w:bCs/>
                <w:sz w:val="16"/>
                <w:szCs w:val="16"/>
              </w:rPr>
            </w:pPr>
            <w:r w:rsidRPr="00B45F59">
              <w:rPr>
                <w:b/>
                <w:bCs/>
                <w:sz w:val="16"/>
                <w:szCs w:val="16"/>
              </w:rPr>
              <w:t>Partnerët:</w:t>
            </w:r>
          </w:p>
          <w:p w14:paraId="5A257640" w14:textId="75749E12" w:rsidR="00B45F59" w:rsidRPr="00B45F59" w:rsidRDefault="005F3AD2" w:rsidP="00B45F59">
            <w:pPr>
              <w:rPr>
                <w:sz w:val="16"/>
                <w:szCs w:val="16"/>
              </w:rPr>
            </w:pPr>
            <w:r>
              <w:rPr>
                <w:sz w:val="16"/>
                <w:szCs w:val="16"/>
              </w:rPr>
              <w:t>BSH</w:t>
            </w:r>
            <w:r w:rsidR="00B9728A">
              <w:rPr>
                <w:sz w:val="16"/>
                <w:szCs w:val="16"/>
              </w:rPr>
              <w:t>, FMN</w:t>
            </w:r>
          </w:p>
        </w:tc>
      </w:tr>
      <w:tr w:rsidR="00B45F59" w:rsidRPr="00B45F59" w14:paraId="0385923E" w14:textId="77777777" w:rsidTr="001E0EAC">
        <w:trPr>
          <w:trHeight w:val="20"/>
          <w:jc w:val="center"/>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42E65B9C" w14:textId="77777777" w:rsidR="00B45F59" w:rsidRPr="00B45F59" w:rsidRDefault="00B45F59" w:rsidP="00B45F59">
            <w:pPr>
              <w:spacing w:line="240" w:lineRule="auto"/>
              <w:rPr>
                <w:rFonts w:eastAsia="Times New Roman"/>
                <w:b/>
                <w:bCs/>
                <w:sz w:val="16"/>
                <w:szCs w:val="16"/>
              </w:rPr>
            </w:pPr>
          </w:p>
        </w:tc>
        <w:tc>
          <w:tcPr>
            <w:tcW w:w="34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A5551C1" w14:textId="77777777" w:rsidR="00B45F59" w:rsidRPr="00B45F59" w:rsidRDefault="00B45F59" w:rsidP="00CD7428">
            <w:pPr>
              <w:numPr>
                <w:ilvl w:val="0"/>
                <w:numId w:val="67"/>
              </w:numPr>
              <w:autoSpaceDE w:val="0"/>
              <w:autoSpaceDN w:val="0"/>
              <w:adjustRightInd w:val="0"/>
              <w:contextualSpacing/>
              <w:rPr>
                <w:rFonts w:eastAsia="Times New Roman"/>
                <w:bCs/>
                <w:sz w:val="16"/>
                <w:szCs w:val="16"/>
              </w:rPr>
            </w:pPr>
            <w:r w:rsidRPr="00B45F59">
              <w:rPr>
                <w:rFonts w:eastAsia="Times New Roman"/>
                <w:bCs/>
                <w:sz w:val="16"/>
                <w:szCs w:val="16"/>
              </w:rPr>
              <w:t>Rritja e shumës dhe afatit kohor të investimit të depozitave në para në BSH dhe futja e instrumenteve të reja investimi.</w:t>
            </w:r>
          </w:p>
        </w:tc>
        <w:tc>
          <w:tcPr>
            <w:tcW w:w="10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62E2A09" w14:textId="77777777" w:rsidR="00B45F59" w:rsidRPr="00B45F59" w:rsidRDefault="00B45F59" w:rsidP="00B45F59">
            <w:pPr>
              <w:jc w:val="center"/>
              <w:rPr>
                <w:sz w:val="16"/>
                <w:szCs w:val="16"/>
              </w:rPr>
            </w:pPr>
            <w:r w:rsidRPr="00B45F59">
              <w:rPr>
                <w:sz w:val="16"/>
                <w:szCs w:val="16"/>
              </w:rPr>
              <w:t>T1 2024</w:t>
            </w:r>
          </w:p>
        </w:tc>
        <w:tc>
          <w:tcPr>
            <w:tcW w:w="9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0F7BB4" w14:textId="77777777" w:rsidR="00B45F59" w:rsidRPr="00B45F59" w:rsidRDefault="00B45F59" w:rsidP="00B45F59">
            <w:pPr>
              <w:jc w:val="center"/>
              <w:rPr>
                <w:sz w:val="16"/>
                <w:szCs w:val="16"/>
              </w:rPr>
            </w:pPr>
            <w:r w:rsidRPr="00B45F59">
              <w:rPr>
                <w:sz w:val="16"/>
                <w:szCs w:val="16"/>
              </w:rPr>
              <w:t>T4 2025</w:t>
            </w: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14:paraId="21097977" w14:textId="77777777" w:rsidR="00B45F59" w:rsidRPr="00B45F59" w:rsidRDefault="00B45F59" w:rsidP="00B45F59">
            <w:pPr>
              <w:spacing w:line="240" w:lineRule="auto"/>
              <w:rPr>
                <w:sz w:val="16"/>
                <w:szCs w:val="16"/>
              </w:rPr>
            </w:pPr>
          </w:p>
        </w:tc>
      </w:tr>
    </w:tbl>
    <w:p w14:paraId="4266699E" w14:textId="77777777" w:rsidR="00B45F59" w:rsidRPr="00B45F59" w:rsidRDefault="00B45F59" w:rsidP="00B45F59">
      <w:pPr>
        <w:rPr>
          <w:lang w:val="en-GB"/>
        </w:rPr>
      </w:pPr>
    </w:p>
    <w:p w14:paraId="6DEEAE1C" w14:textId="77777777" w:rsidR="00B45F59" w:rsidRPr="009D660E" w:rsidRDefault="00B45F59" w:rsidP="00B45F59">
      <w:pPr>
        <w:spacing w:after="60"/>
        <w:rPr>
          <w:b/>
          <w:bCs/>
          <w:color w:val="0070C0"/>
          <w:lang w:val="it-IT"/>
        </w:rPr>
      </w:pPr>
      <w:r w:rsidRPr="009D660E">
        <w:rPr>
          <w:b/>
          <w:bCs/>
          <w:color w:val="0070C0"/>
          <w:lang w:val="it-IT"/>
        </w:rPr>
        <w:t>Treguesit e performancës dhe vlerat e synuara</w:t>
      </w:r>
    </w:p>
    <w:tbl>
      <w:tblPr>
        <w:tblStyle w:val="TableGridIDEA4"/>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B45F59" w:rsidRPr="00B45F59" w14:paraId="5999C97C" w14:textId="77777777" w:rsidTr="00B45F59">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9A4E99" w14:textId="77777777" w:rsidR="00B45F59" w:rsidRPr="00B45F59" w:rsidRDefault="00B45F59" w:rsidP="00B45F59">
            <w:pPr>
              <w:spacing w:line="200" w:lineRule="exact"/>
              <w:rPr>
                <w:b/>
                <w:bCs/>
                <w:sz w:val="16"/>
                <w:szCs w:val="16"/>
              </w:rPr>
            </w:pPr>
            <w:r w:rsidRPr="00B45F59">
              <w:rPr>
                <w:b/>
                <w:bCs/>
                <w:sz w:val="16"/>
                <w:szCs w:val="16"/>
              </w:rP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C6291C" w14:textId="77777777" w:rsidR="00B45F59" w:rsidRPr="00B45F59" w:rsidRDefault="00B45F59" w:rsidP="00B45F59">
            <w:pPr>
              <w:spacing w:line="200" w:lineRule="exact"/>
              <w:jc w:val="center"/>
              <w:rPr>
                <w:b/>
                <w:bCs/>
                <w:sz w:val="16"/>
                <w:szCs w:val="16"/>
              </w:rPr>
            </w:pPr>
            <w:r w:rsidRPr="00B45F59">
              <w:rPr>
                <w:b/>
                <w:bCs/>
                <w:sz w:val="16"/>
                <w:szCs w:val="16"/>
              </w:rPr>
              <w:t>Vlera bazë (viti)</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3F5CF" w14:textId="77777777" w:rsidR="00B45F59" w:rsidRPr="00B45F59" w:rsidRDefault="00B45F59" w:rsidP="00B45F59">
            <w:pPr>
              <w:spacing w:line="200" w:lineRule="exact"/>
              <w:jc w:val="center"/>
              <w:rPr>
                <w:b/>
                <w:bCs/>
                <w:sz w:val="16"/>
                <w:szCs w:val="16"/>
              </w:rPr>
            </w:pPr>
            <w:r w:rsidRPr="00B45F59">
              <w:rPr>
                <w:b/>
                <w:bCs/>
                <w:sz w:val="16"/>
                <w:szCs w:val="16"/>
              </w:rPr>
              <w:t>Vlerat e synuara</w:t>
            </w:r>
          </w:p>
        </w:tc>
      </w:tr>
      <w:tr w:rsidR="00B45F59" w:rsidRPr="00B45F59" w14:paraId="1090A295" w14:textId="77777777" w:rsidTr="00B45F59">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BD3783A" w14:textId="77777777" w:rsidR="00B45F59" w:rsidRPr="00B45F59" w:rsidRDefault="00B45F59" w:rsidP="00B45F59">
            <w:pPr>
              <w:spacing w:line="200" w:lineRule="exact"/>
              <w:rPr>
                <w:b/>
                <w:bCs/>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AB855A2" w14:textId="77777777" w:rsidR="00B45F59" w:rsidRPr="00B45F59" w:rsidRDefault="00B45F59" w:rsidP="00B45F59">
            <w:pPr>
              <w:spacing w:line="200" w:lineRule="exact"/>
              <w:jc w:val="center"/>
              <w:rPr>
                <w:b/>
                <w:bCs/>
                <w:sz w:val="16"/>
                <w:szCs w:val="16"/>
              </w:rP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A1EC4" w14:textId="77777777" w:rsidR="00B45F59" w:rsidRPr="00B45F59" w:rsidRDefault="00B45F59" w:rsidP="00B45F59">
            <w:pPr>
              <w:spacing w:line="200" w:lineRule="exact"/>
              <w:jc w:val="center"/>
              <w:rPr>
                <w:b/>
                <w:bCs/>
                <w:sz w:val="16"/>
                <w:szCs w:val="16"/>
              </w:rPr>
            </w:pPr>
            <w:r w:rsidRPr="00B45F59">
              <w:rPr>
                <w:b/>
                <w:bCs/>
                <w:sz w:val="16"/>
                <w:szCs w:val="16"/>
              </w:rPr>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B02DE" w14:textId="77777777" w:rsidR="00B45F59" w:rsidRPr="00B45F59" w:rsidRDefault="00B45F59" w:rsidP="00B45F59">
            <w:pPr>
              <w:spacing w:line="200" w:lineRule="exact"/>
              <w:jc w:val="center"/>
              <w:rPr>
                <w:b/>
                <w:bCs/>
                <w:sz w:val="16"/>
                <w:szCs w:val="16"/>
              </w:rPr>
            </w:pPr>
            <w:r w:rsidRPr="00B45F59">
              <w:rPr>
                <w:b/>
                <w:bCs/>
                <w:sz w:val="16"/>
                <w:szCs w:val="16"/>
              </w:rPr>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9EB4C" w14:textId="77777777" w:rsidR="00B45F59" w:rsidRPr="00B45F59" w:rsidRDefault="00B45F59" w:rsidP="00B45F59">
            <w:pPr>
              <w:spacing w:line="200" w:lineRule="exact"/>
              <w:jc w:val="center"/>
              <w:rPr>
                <w:b/>
                <w:bCs/>
                <w:sz w:val="16"/>
                <w:szCs w:val="16"/>
              </w:rPr>
            </w:pPr>
            <w:r w:rsidRPr="00B45F59">
              <w:rPr>
                <w:b/>
                <w:bCs/>
                <w:sz w:val="16"/>
                <w:szCs w:val="16"/>
              </w:rPr>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F484A0" w14:textId="77777777" w:rsidR="00B45F59" w:rsidRPr="00B45F59" w:rsidRDefault="00B45F59" w:rsidP="00B45F59">
            <w:pPr>
              <w:spacing w:line="200" w:lineRule="exact"/>
              <w:jc w:val="center"/>
              <w:rPr>
                <w:b/>
                <w:bCs/>
                <w:sz w:val="16"/>
                <w:szCs w:val="16"/>
              </w:rPr>
            </w:pPr>
            <w:r w:rsidRPr="00B45F59">
              <w:rPr>
                <w:b/>
                <w:bCs/>
                <w:sz w:val="16"/>
                <w:szCs w:val="16"/>
              </w:rPr>
              <w:t>2026</w:t>
            </w:r>
          </w:p>
        </w:tc>
      </w:tr>
      <w:tr w:rsidR="00B45F59" w:rsidRPr="00B45F59" w14:paraId="53AA84E7" w14:textId="77777777" w:rsidTr="00B45F59">
        <w:tc>
          <w:tcPr>
            <w:tcW w:w="3114" w:type="dxa"/>
            <w:tcBorders>
              <w:top w:val="single" w:sz="4" w:space="0" w:color="auto"/>
              <w:left w:val="single" w:sz="4" w:space="0" w:color="auto"/>
              <w:bottom w:val="single" w:sz="4" w:space="0" w:color="auto"/>
              <w:right w:val="single" w:sz="4" w:space="0" w:color="auto"/>
            </w:tcBorders>
          </w:tcPr>
          <w:p w14:paraId="17B9D7EF" w14:textId="77777777" w:rsidR="00B45F59" w:rsidRPr="00B45F59" w:rsidRDefault="00B45F59" w:rsidP="00CD7428">
            <w:pPr>
              <w:numPr>
                <w:ilvl w:val="0"/>
                <w:numId w:val="58"/>
              </w:numPr>
              <w:spacing w:line="200" w:lineRule="exact"/>
              <w:contextualSpacing/>
              <w:rPr>
                <w:rFonts w:eastAsia="Times New Roman"/>
                <w:bCs/>
                <w:sz w:val="16"/>
                <w:szCs w:val="16"/>
              </w:rPr>
            </w:pPr>
            <w:r w:rsidRPr="00B45F59">
              <w:rPr>
                <w:rFonts w:eastAsia="Times New Roman"/>
                <w:bCs/>
                <w:sz w:val="16"/>
                <w:szCs w:val="16"/>
              </w:rPr>
              <w:t xml:space="preserve">Norma e saktësisë së parashikimit mujor të likuiditetit </w:t>
            </w:r>
          </w:p>
        </w:tc>
        <w:tc>
          <w:tcPr>
            <w:tcW w:w="1180" w:type="dxa"/>
            <w:tcBorders>
              <w:top w:val="single" w:sz="4" w:space="0" w:color="auto"/>
              <w:left w:val="single" w:sz="4" w:space="0" w:color="auto"/>
              <w:bottom w:val="single" w:sz="4" w:space="0" w:color="auto"/>
              <w:right w:val="single" w:sz="4" w:space="0" w:color="auto"/>
            </w:tcBorders>
          </w:tcPr>
          <w:p w14:paraId="4F9D9DB0" w14:textId="77777777" w:rsidR="00B45F59" w:rsidRPr="00B45F59" w:rsidRDefault="00B45F59" w:rsidP="00B45F59">
            <w:pPr>
              <w:spacing w:line="200" w:lineRule="exact"/>
              <w:jc w:val="center"/>
              <w:rPr>
                <w:sz w:val="16"/>
                <w:szCs w:val="16"/>
              </w:rPr>
            </w:pPr>
            <w:r w:rsidRPr="00B45F59">
              <w:rPr>
                <w:sz w:val="16"/>
                <w:szCs w:val="16"/>
              </w:rPr>
              <w:t>88%</w:t>
            </w:r>
          </w:p>
        </w:tc>
        <w:tc>
          <w:tcPr>
            <w:tcW w:w="1181" w:type="dxa"/>
            <w:tcBorders>
              <w:top w:val="single" w:sz="4" w:space="0" w:color="auto"/>
              <w:left w:val="single" w:sz="4" w:space="0" w:color="auto"/>
              <w:bottom w:val="single" w:sz="4" w:space="0" w:color="auto"/>
              <w:right w:val="single" w:sz="4" w:space="0" w:color="auto"/>
            </w:tcBorders>
          </w:tcPr>
          <w:p w14:paraId="6CB7516C" w14:textId="77777777" w:rsidR="00B45F59" w:rsidRPr="00B45F59" w:rsidRDefault="00B45F59" w:rsidP="00B45F59">
            <w:pPr>
              <w:spacing w:line="200" w:lineRule="exact"/>
              <w:jc w:val="center"/>
              <w:rPr>
                <w:sz w:val="16"/>
                <w:szCs w:val="16"/>
              </w:rPr>
            </w:pPr>
            <w:r w:rsidRPr="00B45F59">
              <w:rPr>
                <w:sz w:val="16"/>
                <w:szCs w:val="16"/>
              </w:rPr>
              <w:t>88%</w:t>
            </w:r>
          </w:p>
        </w:tc>
        <w:tc>
          <w:tcPr>
            <w:tcW w:w="1180" w:type="dxa"/>
            <w:tcBorders>
              <w:top w:val="single" w:sz="4" w:space="0" w:color="auto"/>
              <w:left w:val="single" w:sz="4" w:space="0" w:color="auto"/>
              <w:bottom w:val="single" w:sz="4" w:space="0" w:color="auto"/>
              <w:right w:val="single" w:sz="4" w:space="0" w:color="auto"/>
            </w:tcBorders>
          </w:tcPr>
          <w:p w14:paraId="4FBB94B8" w14:textId="77777777" w:rsidR="00B45F59" w:rsidRPr="00B45F59" w:rsidRDefault="00B45F59" w:rsidP="00B45F59">
            <w:pPr>
              <w:spacing w:line="200" w:lineRule="exact"/>
              <w:jc w:val="center"/>
              <w:rPr>
                <w:sz w:val="16"/>
                <w:szCs w:val="16"/>
              </w:rPr>
            </w:pPr>
            <w:r w:rsidRPr="00B45F59">
              <w:rPr>
                <w:sz w:val="16"/>
                <w:szCs w:val="16"/>
              </w:rPr>
              <w:t>91%</w:t>
            </w:r>
          </w:p>
        </w:tc>
        <w:tc>
          <w:tcPr>
            <w:tcW w:w="1181" w:type="dxa"/>
            <w:tcBorders>
              <w:top w:val="single" w:sz="4" w:space="0" w:color="auto"/>
              <w:left w:val="single" w:sz="4" w:space="0" w:color="auto"/>
              <w:bottom w:val="single" w:sz="4" w:space="0" w:color="auto"/>
              <w:right w:val="single" w:sz="4" w:space="0" w:color="auto"/>
            </w:tcBorders>
          </w:tcPr>
          <w:p w14:paraId="6A4533AD" w14:textId="77777777" w:rsidR="00B45F59" w:rsidRPr="00B45F59" w:rsidRDefault="00B45F59" w:rsidP="00B45F59">
            <w:pPr>
              <w:spacing w:line="200" w:lineRule="exact"/>
              <w:jc w:val="center"/>
              <w:rPr>
                <w:sz w:val="16"/>
                <w:szCs w:val="16"/>
              </w:rPr>
            </w:pPr>
            <w:r w:rsidRPr="00B45F59">
              <w:rPr>
                <w:sz w:val="16"/>
                <w:szCs w:val="16"/>
              </w:rPr>
              <w:t>93%</w:t>
            </w:r>
          </w:p>
        </w:tc>
        <w:tc>
          <w:tcPr>
            <w:tcW w:w="1181" w:type="dxa"/>
            <w:tcBorders>
              <w:top w:val="single" w:sz="4" w:space="0" w:color="auto"/>
              <w:left w:val="single" w:sz="4" w:space="0" w:color="auto"/>
              <w:bottom w:val="single" w:sz="4" w:space="0" w:color="auto"/>
              <w:right w:val="single" w:sz="4" w:space="0" w:color="auto"/>
            </w:tcBorders>
          </w:tcPr>
          <w:p w14:paraId="7BDC7612" w14:textId="77777777" w:rsidR="00B45F59" w:rsidRPr="00B45F59" w:rsidRDefault="00B45F59" w:rsidP="00B45F59">
            <w:pPr>
              <w:spacing w:line="200" w:lineRule="exact"/>
              <w:jc w:val="center"/>
              <w:rPr>
                <w:color w:val="FF0000"/>
                <w:sz w:val="16"/>
                <w:szCs w:val="16"/>
              </w:rPr>
            </w:pPr>
            <w:r w:rsidRPr="00B45F59">
              <w:rPr>
                <w:sz w:val="16"/>
                <w:szCs w:val="16"/>
              </w:rPr>
              <w:t>96%</w:t>
            </w:r>
          </w:p>
        </w:tc>
      </w:tr>
      <w:tr w:rsidR="00B45F59" w:rsidRPr="00B45F59" w14:paraId="4E00B54C" w14:textId="77777777" w:rsidTr="00B45F59">
        <w:tc>
          <w:tcPr>
            <w:tcW w:w="3114" w:type="dxa"/>
            <w:tcBorders>
              <w:top w:val="single" w:sz="4" w:space="0" w:color="auto"/>
              <w:left w:val="single" w:sz="4" w:space="0" w:color="auto"/>
              <w:bottom w:val="single" w:sz="4" w:space="0" w:color="auto"/>
              <w:right w:val="single" w:sz="4" w:space="0" w:color="auto"/>
            </w:tcBorders>
          </w:tcPr>
          <w:p w14:paraId="4FB96F34" w14:textId="77777777" w:rsidR="00B45F59" w:rsidRPr="00B45F59" w:rsidRDefault="00B45F59" w:rsidP="00CD7428">
            <w:pPr>
              <w:numPr>
                <w:ilvl w:val="0"/>
                <w:numId w:val="58"/>
              </w:numPr>
              <w:spacing w:line="200" w:lineRule="exact"/>
              <w:contextualSpacing/>
              <w:rPr>
                <w:rFonts w:eastAsia="Times New Roman"/>
                <w:bCs/>
                <w:sz w:val="16"/>
                <w:szCs w:val="16"/>
              </w:rPr>
            </w:pPr>
            <w:r w:rsidRPr="00B45F59">
              <w:rPr>
                <w:rFonts w:eastAsia="Times New Roman"/>
                <w:bCs/>
                <w:sz w:val="16"/>
                <w:szCs w:val="16"/>
              </w:rPr>
              <w:t>Zërat e detajuara të të hyrjeve dhe daljeve në Parashikimin e Flukseve të Likuiditetit të përfshira</w:t>
            </w:r>
          </w:p>
        </w:tc>
        <w:tc>
          <w:tcPr>
            <w:tcW w:w="1180" w:type="dxa"/>
            <w:tcBorders>
              <w:top w:val="single" w:sz="4" w:space="0" w:color="auto"/>
              <w:left w:val="single" w:sz="4" w:space="0" w:color="auto"/>
              <w:bottom w:val="single" w:sz="4" w:space="0" w:color="auto"/>
              <w:right w:val="single" w:sz="4" w:space="0" w:color="auto"/>
            </w:tcBorders>
            <w:vAlign w:val="center"/>
          </w:tcPr>
          <w:p w14:paraId="17EBFD34" w14:textId="77777777" w:rsidR="00B45F59" w:rsidRPr="00B45F59" w:rsidRDefault="00B45F59" w:rsidP="00B45F59">
            <w:pPr>
              <w:spacing w:line="200" w:lineRule="exact"/>
              <w:jc w:val="center"/>
              <w:rPr>
                <w:sz w:val="16"/>
                <w:szCs w:val="16"/>
              </w:rPr>
            </w:pPr>
            <w:r w:rsidRPr="00B45F59">
              <w:rPr>
                <w:sz w:val="16"/>
                <w:szCs w:val="16"/>
              </w:rPr>
              <w:t>0</w:t>
            </w:r>
          </w:p>
        </w:tc>
        <w:tc>
          <w:tcPr>
            <w:tcW w:w="1181" w:type="dxa"/>
            <w:tcBorders>
              <w:top w:val="single" w:sz="4" w:space="0" w:color="auto"/>
              <w:left w:val="single" w:sz="4" w:space="0" w:color="auto"/>
              <w:bottom w:val="single" w:sz="4" w:space="0" w:color="auto"/>
              <w:right w:val="single" w:sz="4" w:space="0" w:color="auto"/>
            </w:tcBorders>
            <w:vAlign w:val="center"/>
          </w:tcPr>
          <w:p w14:paraId="535D692A" w14:textId="77777777" w:rsidR="00B45F59" w:rsidRPr="00B45F59" w:rsidRDefault="00B45F59" w:rsidP="00B45F59">
            <w:pPr>
              <w:spacing w:line="200" w:lineRule="exact"/>
              <w:jc w:val="center"/>
              <w:rPr>
                <w:sz w:val="16"/>
                <w:szCs w:val="16"/>
              </w:rPr>
            </w:pPr>
            <w:r w:rsidRPr="00B45F59">
              <w:rPr>
                <w:sz w:val="16"/>
                <w:szCs w:val="16"/>
              </w:rPr>
              <w:t>0</w:t>
            </w:r>
          </w:p>
        </w:tc>
        <w:tc>
          <w:tcPr>
            <w:tcW w:w="1180" w:type="dxa"/>
            <w:tcBorders>
              <w:top w:val="single" w:sz="4" w:space="0" w:color="auto"/>
              <w:left w:val="single" w:sz="4" w:space="0" w:color="auto"/>
              <w:bottom w:val="single" w:sz="4" w:space="0" w:color="auto"/>
              <w:right w:val="single" w:sz="4" w:space="0" w:color="auto"/>
            </w:tcBorders>
            <w:vAlign w:val="center"/>
          </w:tcPr>
          <w:p w14:paraId="41984FB7" w14:textId="77777777" w:rsidR="00B45F59" w:rsidRPr="00B45F59" w:rsidRDefault="00B45F59" w:rsidP="00B45F59">
            <w:pPr>
              <w:spacing w:line="200" w:lineRule="exact"/>
              <w:jc w:val="center"/>
              <w:rPr>
                <w:sz w:val="16"/>
                <w:szCs w:val="16"/>
              </w:rPr>
            </w:pPr>
            <w:r w:rsidRPr="00B45F59">
              <w:rPr>
                <w:sz w:val="16"/>
                <w:szCs w:val="16"/>
              </w:rPr>
              <w:t>6</w:t>
            </w:r>
          </w:p>
        </w:tc>
        <w:tc>
          <w:tcPr>
            <w:tcW w:w="1181" w:type="dxa"/>
            <w:tcBorders>
              <w:top w:val="single" w:sz="4" w:space="0" w:color="auto"/>
              <w:left w:val="single" w:sz="4" w:space="0" w:color="auto"/>
              <w:bottom w:val="single" w:sz="4" w:space="0" w:color="auto"/>
              <w:right w:val="single" w:sz="4" w:space="0" w:color="auto"/>
            </w:tcBorders>
            <w:vAlign w:val="center"/>
          </w:tcPr>
          <w:p w14:paraId="0B37090F" w14:textId="77777777" w:rsidR="00B45F59" w:rsidRPr="00B45F59" w:rsidRDefault="00B45F59" w:rsidP="00B45F59">
            <w:pPr>
              <w:spacing w:line="200" w:lineRule="exact"/>
              <w:jc w:val="center"/>
              <w:rPr>
                <w:sz w:val="16"/>
                <w:szCs w:val="16"/>
              </w:rPr>
            </w:pPr>
            <w:r w:rsidRPr="00B45F59">
              <w:rPr>
                <w:sz w:val="16"/>
                <w:szCs w:val="16"/>
              </w:rPr>
              <w:t>2</w:t>
            </w:r>
          </w:p>
        </w:tc>
        <w:tc>
          <w:tcPr>
            <w:tcW w:w="1181" w:type="dxa"/>
            <w:tcBorders>
              <w:top w:val="single" w:sz="4" w:space="0" w:color="auto"/>
              <w:left w:val="single" w:sz="4" w:space="0" w:color="auto"/>
              <w:bottom w:val="single" w:sz="4" w:space="0" w:color="auto"/>
              <w:right w:val="single" w:sz="4" w:space="0" w:color="auto"/>
            </w:tcBorders>
            <w:vAlign w:val="center"/>
          </w:tcPr>
          <w:p w14:paraId="5963354D" w14:textId="77777777" w:rsidR="00B45F59" w:rsidRPr="00B45F59" w:rsidRDefault="00B45F59" w:rsidP="00B45F59">
            <w:pPr>
              <w:spacing w:line="200" w:lineRule="exact"/>
              <w:jc w:val="center"/>
              <w:rPr>
                <w:color w:val="FF0000"/>
                <w:sz w:val="16"/>
                <w:szCs w:val="16"/>
              </w:rPr>
            </w:pPr>
            <w:r w:rsidRPr="00B45F59">
              <w:rPr>
                <w:sz w:val="16"/>
                <w:szCs w:val="16"/>
              </w:rPr>
              <w:t>0</w:t>
            </w:r>
          </w:p>
        </w:tc>
      </w:tr>
      <w:tr w:rsidR="00B45F59" w:rsidRPr="00B45F59" w14:paraId="2C527D8D" w14:textId="77777777" w:rsidTr="00B45F59">
        <w:tc>
          <w:tcPr>
            <w:tcW w:w="3114" w:type="dxa"/>
            <w:tcBorders>
              <w:top w:val="single" w:sz="4" w:space="0" w:color="auto"/>
              <w:left w:val="single" w:sz="4" w:space="0" w:color="auto"/>
              <w:bottom w:val="single" w:sz="4" w:space="0" w:color="auto"/>
              <w:right w:val="single" w:sz="4" w:space="0" w:color="auto"/>
            </w:tcBorders>
          </w:tcPr>
          <w:p w14:paraId="0C37F4C9" w14:textId="77777777" w:rsidR="00B45F59" w:rsidRPr="00B45F59" w:rsidRDefault="00B45F59" w:rsidP="00CD7428">
            <w:pPr>
              <w:numPr>
                <w:ilvl w:val="0"/>
                <w:numId w:val="58"/>
              </w:numPr>
              <w:spacing w:line="200" w:lineRule="exact"/>
              <w:contextualSpacing/>
              <w:rPr>
                <w:sz w:val="16"/>
                <w:szCs w:val="16"/>
              </w:rPr>
            </w:pPr>
            <w:r w:rsidRPr="00B45F59">
              <w:rPr>
                <w:sz w:val="16"/>
                <w:szCs w:val="16"/>
              </w:rPr>
              <w:t>Rritja e numrit të instrumenteve për menaxhim aktiv të likuiditetit</w:t>
            </w:r>
          </w:p>
        </w:tc>
        <w:tc>
          <w:tcPr>
            <w:tcW w:w="1180" w:type="dxa"/>
            <w:tcBorders>
              <w:top w:val="single" w:sz="4" w:space="0" w:color="auto"/>
              <w:left w:val="single" w:sz="4" w:space="0" w:color="auto"/>
              <w:bottom w:val="single" w:sz="4" w:space="0" w:color="auto"/>
              <w:right w:val="single" w:sz="4" w:space="0" w:color="auto"/>
            </w:tcBorders>
            <w:vAlign w:val="center"/>
          </w:tcPr>
          <w:p w14:paraId="59B68422" w14:textId="77777777" w:rsidR="00B45F59" w:rsidRPr="00B45F59" w:rsidRDefault="00B45F59" w:rsidP="00B45F59">
            <w:pPr>
              <w:spacing w:line="200" w:lineRule="exact"/>
              <w:jc w:val="center"/>
              <w:rPr>
                <w:sz w:val="16"/>
                <w:szCs w:val="16"/>
              </w:rPr>
            </w:pPr>
            <w:r w:rsidRPr="00B45F59">
              <w:rPr>
                <w:sz w:val="16"/>
                <w:szCs w:val="16"/>
              </w:rPr>
              <w:t>1</w:t>
            </w:r>
          </w:p>
        </w:tc>
        <w:tc>
          <w:tcPr>
            <w:tcW w:w="1181" w:type="dxa"/>
            <w:tcBorders>
              <w:top w:val="single" w:sz="4" w:space="0" w:color="auto"/>
              <w:left w:val="single" w:sz="4" w:space="0" w:color="auto"/>
              <w:bottom w:val="single" w:sz="4" w:space="0" w:color="auto"/>
              <w:right w:val="single" w:sz="4" w:space="0" w:color="auto"/>
            </w:tcBorders>
            <w:vAlign w:val="center"/>
          </w:tcPr>
          <w:p w14:paraId="49F7E045" w14:textId="77777777" w:rsidR="00B45F59" w:rsidRPr="00B45F59" w:rsidRDefault="00B45F59" w:rsidP="00B45F59">
            <w:pPr>
              <w:spacing w:line="200" w:lineRule="exact"/>
              <w:jc w:val="center"/>
              <w:rPr>
                <w:sz w:val="16"/>
                <w:szCs w:val="16"/>
              </w:rPr>
            </w:pPr>
            <w:r w:rsidRPr="00B45F59">
              <w:rPr>
                <w:sz w:val="16"/>
                <w:szCs w:val="16"/>
              </w:rPr>
              <w:t>0</w:t>
            </w:r>
          </w:p>
        </w:tc>
        <w:tc>
          <w:tcPr>
            <w:tcW w:w="1180" w:type="dxa"/>
            <w:tcBorders>
              <w:top w:val="single" w:sz="4" w:space="0" w:color="auto"/>
              <w:left w:val="single" w:sz="4" w:space="0" w:color="auto"/>
              <w:bottom w:val="single" w:sz="4" w:space="0" w:color="auto"/>
              <w:right w:val="single" w:sz="4" w:space="0" w:color="auto"/>
            </w:tcBorders>
            <w:vAlign w:val="center"/>
          </w:tcPr>
          <w:p w14:paraId="4563A1B0" w14:textId="77777777" w:rsidR="00B45F59" w:rsidRPr="00B45F59" w:rsidRDefault="00B45F59" w:rsidP="00B45F59">
            <w:pPr>
              <w:spacing w:line="200" w:lineRule="exact"/>
              <w:jc w:val="center"/>
              <w:rPr>
                <w:sz w:val="16"/>
                <w:szCs w:val="16"/>
              </w:rPr>
            </w:pPr>
            <w:r w:rsidRPr="00B45F59">
              <w:rPr>
                <w:sz w:val="16"/>
                <w:szCs w:val="16"/>
              </w:rPr>
              <w:t>0</w:t>
            </w:r>
          </w:p>
        </w:tc>
        <w:tc>
          <w:tcPr>
            <w:tcW w:w="1181" w:type="dxa"/>
            <w:tcBorders>
              <w:top w:val="single" w:sz="4" w:space="0" w:color="auto"/>
              <w:left w:val="single" w:sz="4" w:space="0" w:color="auto"/>
              <w:bottom w:val="single" w:sz="4" w:space="0" w:color="auto"/>
              <w:right w:val="single" w:sz="4" w:space="0" w:color="auto"/>
            </w:tcBorders>
            <w:vAlign w:val="center"/>
          </w:tcPr>
          <w:p w14:paraId="1A3EC8FD" w14:textId="77777777" w:rsidR="00B45F59" w:rsidRPr="00B45F59" w:rsidRDefault="00B45F59" w:rsidP="00B45F59">
            <w:pPr>
              <w:spacing w:line="200" w:lineRule="exact"/>
              <w:jc w:val="center"/>
              <w:rPr>
                <w:sz w:val="16"/>
                <w:szCs w:val="16"/>
              </w:rPr>
            </w:pPr>
            <w:r w:rsidRPr="00B45F59">
              <w:rPr>
                <w:sz w:val="16"/>
                <w:szCs w:val="16"/>
              </w:rPr>
              <w:t>1</w:t>
            </w:r>
          </w:p>
        </w:tc>
        <w:tc>
          <w:tcPr>
            <w:tcW w:w="1181" w:type="dxa"/>
            <w:tcBorders>
              <w:top w:val="single" w:sz="4" w:space="0" w:color="auto"/>
              <w:left w:val="single" w:sz="4" w:space="0" w:color="auto"/>
              <w:bottom w:val="single" w:sz="4" w:space="0" w:color="auto"/>
              <w:right w:val="single" w:sz="4" w:space="0" w:color="auto"/>
            </w:tcBorders>
            <w:vAlign w:val="center"/>
          </w:tcPr>
          <w:p w14:paraId="75B14289" w14:textId="77777777" w:rsidR="00B45F59" w:rsidRPr="00B45F59" w:rsidRDefault="00B45F59" w:rsidP="00B45F59">
            <w:pPr>
              <w:spacing w:line="200" w:lineRule="exact"/>
              <w:jc w:val="center"/>
              <w:rPr>
                <w:sz w:val="16"/>
                <w:szCs w:val="16"/>
              </w:rPr>
            </w:pPr>
            <w:r w:rsidRPr="00B45F59">
              <w:rPr>
                <w:sz w:val="16"/>
                <w:szCs w:val="16"/>
              </w:rPr>
              <w:t>0</w:t>
            </w:r>
          </w:p>
        </w:tc>
      </w:tr>
    </w:tbl>
    <w:p w14:paraId="73A766C2" w14:textId="77777777" w:rsidR="00B45F59" w:rsidRDefault="00B45F59" w:rsidP="00B45F59">
      <w:pPr>
        <w:rPr>
          <w:lang w:val="en-GB"/>
        </w:rPr>
      </w:pPr>
    </w:p>
    <w:p w14:paraId="3432B971" w14:textId="77777777" w:rsidR="00FA16E5" w:rsidRDefault="00FA16E5" w:rsidP="00B45F59">
      <w:pPr>
        <w:rPr>
          <w:lang w:val="en-GB"/>
        </w:rPr>
      </w:pPr>
    </w:p>
    <w:p w14:paraId="1900EB4F" w14:textId="77777777" w:rsidR="00FA16E5" w:rsidRDefault="00FA16E5" w:rsidP="00B45F59">
      <w:pPr>
        <w:rPr>
          <w:lang w:val="en-GB"/>
        </w:rPr>
      </w:pPr>
    </w:p>
    <w:p w14:paraId="53500592" w14:textId="77777777" w:rsidR="00FA16E5" w:rsidRPr="00B45F59" w:rsidRDefault="00FA16E5" w:rsidP="00B45F59">
      <w:pPr>
        <w:rPr>
          <w:lang w:val="en-GB"/>
        </w:rPr>
      </w:pPr>
    </w:p>
    <w:p w14:paraId="781E06D3" w14:textId="77777777" w:rsidR="00B45F59" w:rsidRPr="00B45F59" w:rsidRDefault="00B45F59" w:rsidP="00B45F59">
      <w:pPr>
        <w:rPr>
          <w:lang w:val="en-GB"/>
        </w:rPr>
      </w:pPr>
    </w:p>
    <w:p w14:paraId="3A9CDA85" w14:textId="77777777" w:rsidR="00801FD9" w:rsidRPr="001F151E" w:rsidRDefault="00801FD9" w:rsidP="002C447B">
      <w:pPr>
        <w:rPr>
          <w:lang w:val="en-GB"/>
        </w:rPr>
      </w:pPr>
    </w:p>
    <w:p w14:paraId="1492F5EA" w14:textId="77777777" w:rsidR="00F4321F" w:rsidRPr="001F151E" w:rsidRDefault="00F4321F" w:rsidP="00F4321F">
      <w:pPr>
        <w:pStyle w:val="Heading2"/>
        <w:rPr>
          <w:rFonts w:eastAsiaTheme="minorHAnsi"/>
          <w:lang w:val="en-GB"/>
        </w:rPr>
      </w:pPr>
      <w:bookmarkStart w:id="46" w:name="_Toc152719057"/>
      <w:bookmarkStart w:id="47" w:name="_Toc161748830"/>
      <w:bookmarkStart w:id="48" w:name="_Hlk148118301"/>
      <w:r>
        <w:rPr>
          <w:rFonts w:eastAsiaTheme="minorHAnsi"/>
          <w:lang w:val="en-GB"/>
        </w:rPr>
        <w:t>Komponenti</w:t>
      </w:r>
      <w:r w:rsidRPr="001F151E">
        <w:rPr>
          <w:rFonts w:eastAsiaTheme="minorHAnsi"/>
          <w:lang w:val="en-GB"/>
        </w:rPr>
        <w:t xml:space="preserve"> 4.</w:t>
      </w:r>
      <w:r>
        <w:rPr>
          <w:rFonts w:eastAsiaTheme="minorHAnsi"/>
          <w:lang w:val="en-GB"/>
        </w:rPr>
        <w:t>6</w:t>
      </w:r>
      <w:r w:rsidRPr="001F151E">
        <w:rPr>
          <w:rFonts w:eastAsiaTheme="minorHAnsi"/>
          <w:lang w:val="en-GB"/>
        </w:rPr>
        <w:t xml:space="preserve"> </w:t>
      </w:r>
      <w:bookmarkEnd w:id="46"/>
      <w:r>
        <w:rPr>
          <w:rFonts w:eastAsiaTheme="minorHAnsi"/>
          <w:lang w:val="en-GB"/>
        </w:rPr>
        <w:t>Menaxhimi i Aseteve</w:t>
      </w:r>
      <w:bookmarkEnd w:id="47"/>
    </w:p>
    <w:p w14:paraId="64F0D691" w14:textId="77777777" w:rsidR="00F4321F" w:rsidRPr="001F151E" w:rsidRDefault="00F4321F" w:rsidP="00F4321F">
      <w:pPr>
        <w:rPr>
          <w:lang w:val="en-GB"/>
        </w:rPr>
      </w:pPr>
    </w:p>
    <w:p w14:paraId="06645A3C" w14:textId="77777777" w:rsidR="00F4321F" w:rsidRPr="001F151E" w:rsidRDefault="00F4321F" w:rsidP="00F4321F">
      <w:pPr>
        <w:pStyle w:val="H5"/>
        <w:spacing w:line="276" w:lineRule="auto"/>
        <w:jc w:val="both"/>
        <w:rPr>
          <w:lang w:val="en-GB"/>
        </w:rPr>
      </w:pPr>
      <w:r w:rsidRPr="001F151E">
        <w:rPr>
          <w:lang w:val="en-GB"/>
        </w:rPr>
        <w:t>Obje</w:t>
      </w:r>
      <w:r>
        <w:rPr>
          <w:lang w:val="en-GB"/>
        </w:rPr>
        <w:t>ktivi</w:t>
      </w:r>
    </w:p>
    <w:p w14:paraId="52E6764E" w14:textId="77777777" w:rsidR="00F4321F" w:rsidRPr="001F151E" w:rsidRDefault="00F4321F" w:rsidP="00F4321F">
      <w:pPr>
        <w:pStyle w:val="H5"/>
        <w:spacing w:line="276" w:lineRule="auto"/>
        <w:jc w:val="both"/>
        <w:rPr>
          <w:b w:val="0"/>
          <w:bCs w:val="0"/>
          <w:color w:val="auto"/>
          <w:lang w:val="en-GB"/>
        </w:rPr>
      </w:pPr>
      <w:r w:rsidRPr="00FD436F">
        <w:rPr>
          <w:b w:val="0"/>
          <w:bCs w:val="0"/>
          <w:color w:val="auto"/>
          <w:lang w:val="en-GB"/>
        </w:rPr>
        <w:t>Synimi për vitin 2030 është të ke</w:t>
      </w:r>
      <w:r>
        <w:rPr>
          <w:b w:val="0"/>
          <w:bCs w:val="0"/>
          <w:color w:val="auto"/>
          <w:lang w:val="en-GB"/>
        </w:rPr>
        <w:t>n</w:t>
      </w:r>
      <w:r w:rsidRPr="00FD436F">
        <w:rPr>
          <w:b w:val="0"/>
          <w:bCs w:val="0"/>
          <w:color w:val="auto"/>
          <w:lang w:val="en-GB"/>
        </w:rPr>
        <w:t xml:space="preserve">ë përfunduar procedurat dhe sistemet për regjistrimin dhe vlerësimin e të gjitha </w:t>
      </w:r>
      <w:r>
        <w:rPr>
          <w:b w:val="0"/>
          <w:bCs w:val="0"/>
          <w:color w:val="auto"/>
          <w:lang w:val="en-GB"/>
        </w:rPr>
        <w:t>aseteve</w:t>
      </w:r>
      <w:r w:rsidRPr="00FD436F">
        <w:rPr>
          <w:b w:val="0"/>
          <w:bCs w:val="0"/>
          <w:color w:val="auto"/>
          <w:lang w:val="en-GB"/>
        </w:rPr>
        <w:t xml:space="preserve"> publike në përputhje me standardet e</w:t>
      </w:r>
      <w:r>
        <w:rPr>
          <w:b w:val="0"/>
          <w:bCs w:val="0"/>
          <w:color w:val="auto"/>
          <w:lang w:val="en-GB"/>
        </w:rPr>
        <w:t xml:space="preserve"> miratuara të</w:t>
      </w:r>
      <w:r w:rsidRPr="00FD436F">
        <w:rPr>
          <w:b w:val="0"/>
          <w:bCs w:val="0"/>
          <w:color w:val="auto"/>
          <w:lang w:val="en-GB"/>
        </w:rPr>
        <w:t xml:space="preserve"> kontabilitetit.</w:t>
      </w:r>
    </w:p>
    <w:p w14:paraId="6E556540" w14:textId="77777777" w:rsidR="00F4321F" w:rsidRPr="001F151E" w:rsidRDefault="00F4321F" w:rsidP="00F4321F">
      <w:pPr>
        <w:pStyle w:val="H5"/>
        <w:spacing w:line="276" w:lineRule="auto"/>
        <w:jc w:val="both"/>
        <w:rPr>
          <w:lang w:val="en-GB"/>
        </w:rPr>
      </w:pPr>
    </w:p>
    <w:p w14:paraId="5D1A3D10" w14:textId="77777777" w:rsidR="00F4321F" w:rsidRPr="001F151E" w:rsidRDefault="00F4321F" w:rsidP="00F4321F">
      <w:pPr>
        <w:pStyle w:val="H5"/>
        <w:spacing w:line="276" w:lineRule="auto"/>
        <w:jc w:val="both"/>
        <w:rPr>
          <w:lang w:val="en-GB"/>
        </w:rPr>
      </w:pPr>
      <w:r>
        <w:rPr>
          <w:lang w:val="en-GB"/>
        </w:rPr>
        <w:t>K</w:t>
      </w:r>
      <w:r w:rsidRPr="001F151E">
        <w:rPr>
          <w:lang w:val="en-GB"/>
        </w:rPr>
        <w:t>onte</w:t>
      </w:r>
      <w:r>
        <w:rPr>
          <w:lang w:val="en-GB"/>
        </w:rPr>
        <w:t>ksti</w:t>
      </w:r>
    </w:p>
    <w:p w14:paraId="52A56F8B" w14:textId="77777777" w:rsidR="00F4321F" w:rsidRPr="001F151E" w:rsidRDefault="00F4321F" w:rsidP="00F4321F">
      <w:pPr>
        <w:spacing w:line="276" w:lineRule="auto"/>
        <w:jc w:val="both"/>
        <w:rPr>
          <w:lang w:val="en-GB"/>
        </w:rPr>
      </w:pPr>
      <w:r>
        <w:rPr>
          <w:rStyle w:val="rynqvb"/>
        </w:rPr>
        <w:t>Për qëllime të kontabilitetit, në SIFQ është krijuar një modul i regjistrit publik të aseteve.</w:t>
      </w:r>
      <w:r>
        <w:rPr>
          <w:rStyle w:val="hwtze"/>
        </w:rPr>
        <w:t xml:space="preserve"> </w:t>
      </w:r>
      <w:r>
        <w:rPr>
          <w:rStyle w:val="rynqvb"/>
        </w:rPr>
        <w:t>Duke marrë parasysh boshllëkun e konsiderueshëm të të dhënave në regjistrat e aseteve fikse, në kuadër të projektit të BB-së “Zhvillimi i kontabilitetit të sektorit publik në Shqipëri (SNKSP)” u krye një vlerësim i cilësisë, plotësisë, metodologjisë dhe saktësisë së aseteve fikse.</w:t>
      </w:r>
      <w:r>
        <w:rPr>
          <w:rStyle w:val="hwtze"/>
        </w:rPr>
        <w:t xml:space="preserve"> </w:t>
      </w:r>
      <w:r>
        <w:rPr>
          <w:rStyle w:val="rynqvb"/>
        </w:rPr>
        <w:t>Si rezultat u hartuan disa udhëzime të tilla si: (i) një udhëzim për njohjen fillestare, matjen dhe çregjistrimin e çdo klase të aseteve, (ii) një metodologji për regjistrin e aseteve fikse dhe (iii) një plan veprimi për</w:t>
      </w:r>
      <w:r>
        <w:rPr>
          <w:rStyle w:val="hwtze"/>
        </w:rPr>
        <w:t xml:space="preserve"> </w:t>
      </w:r>
      <w:r>
        <w:rPr>
          <w:rStyle w:val="rynqvb"/>
        </w:rPr>
        <w:t>inventarizimin e aktiveve dhe masat e propozuara për inventarizimin në nivel njësie biznesi.</w:t>
      </w:r>
      <w:r>
        <w:rPr>
          <w:rStyle w:val="hwtze"/>
        </w:rPr>
        <w:t xml:space="preserve"> </w:t>
      </w:r>
      <w:r>
        <w:rPr>
          <w:rStyle w:val="rynqvb"/>
        </w:rPr>
        <w:t>Në lidhje me hapjen e regjistrit, është ofruar trajnim për përdoruesit e sistemit.</w:t>
      </w:r>
      <w:r w:rsidRPr="001F151E">
        <w:rPr>
          <w:lang w:val="en-GB"/>
        </w:rPr>
        <w:t xml:space="preserve"> </w:t>
      </w:r>
    </w:p>
    <w:p w14:paraId="2FB51471" w14:textId="77777777" w:rsidR="00F4321F" w:rsidRPr="009D660E" w:rsidRDefault="00F4321F" w:rsidP="00F4321F">
      <w:pPr>
        <w:spacing w:line="276" w:lineRule="auto"/>
        <w:jc w:val="both"/>
        <w:rPr>
          <w:lang w:val="it-IT"/>
        </w:rPr>
      </w:pPr>
      <w:r w:rsidRPr="009D660E">
        <w:rPr>
          <w:lang w:val="it-IT"/>
        </w:rPr>
        <w:t xml:space="preserve">.  </w:t>
      </w:r>
    </w:p>
    <w:p w14:paraId="50DE10EF" w14:textId="77777777" w:rsidR="00F4321F" w:rsidRPr="009D660E" w:rsidRDefault="00F4321F" w:rsidP="00F4321F">
      <w:pPr>
        <w:pStyle w:val="H5"/>
        <w:spacing w:line="276" w:lineRule="auto"/>
        <w:jc w:val="both"/>
        <w:rPr>
          <w:lang w:val="it-IT"/>
        </w:rPr>
      </w:pPr>
      <w:r w:rsidRPr="009D660E">
        <w:rPr>
          <w:lang w:val="it-IT"/>
        </w:rPr>
        <w:t xml:space="preserve">Prioritetet </w:t>
      </w:r>
    </w:p>
    <w:p w14:paraId="723C9183" w14:textId="77777777" w:rsidR="00F4321F" w:rsidRPr="009D660E" w:rsidRDefault="00F4321F" w:rsidP="00F4321F">
      <w:pPr>
        <w:pStyle w:val="N-Bullet"/>
        <w:numPr>
          <w:ilvl w:val="0"/>
          <w:numId w:val="0"/>
        </w:numPr>
        <w:spacing w:line="276" w:lineRule="auto"/>
        <w:ind w:left="360" w:hanging="360"/>
        <w:jc w:val="both"/>
        <w:rPr>
          <w:lang w:val="it-IT"/>
        </w:rPr>
      </w:pPr>
      <w:r w:rsidRPr="009D660E">
        <w:rPr>
          <w:lang w:val="it-IT"/>
        </w:rPr>
        <w:t>Prioriteti për periudhën 2023-2026 është:</w:t>
      </w:r>
    </w:p>
    <w:p w14:paraId="18A755FD" w14:textId="77777777" w:rsidR="00F4321F" w:rsidRPr="009D660E" w:rsidRDefault="00F4321F" w:rsidP="00F4321F">
      <w:pPr>
        <w:pStyle w:val="N-Bullet"/>
        <w:numPr>
          <w:ilvl w:val="0"/>
          <w:numId w:val="19"/>
        </w:numPr>
        <w:spacing w:line="276" w:lineRule="auto"/>
        <w:jc w:val="both"/>
        <w:rPr>
          <w:lang w:val="it-IT"/>
        </w:rPr>
      </w:pPr>
      <w:r w:rsidRPr="009D660E">
        <w:rPr>
          <w:lang w:val="it-IT"/>
        </w:rPr>
        <w:t>Finalizimi i reformës për futjen dhe vendosjen e plotë të modulit të regjistrit të aseteve në SIFQ.</w:t>
      </w:r>
    </w:p>
    <w:p w14:paraId="669A8713" w14:textId="77777777" w:rsidR="00F4321F" w:rsidRPr="009D660E" w:rsidRDefault="00F4321F" w:rsidP="00F4321F">
      <w:pPr>
        <w:rPr>
          <w:lang w:val="it-IT"/>
        </w:rPr>
      </w:pPr>
    </w:p>
    <w:p w14:paraId="513CDEA2" w14:textId="77777777" w:rsidR="00F4321F" w:rsidRPr="001F151E" w:rsidRDefault="00F4321F" w:rsidP="00F4321F">
      <w:pPr>
        <w:pStyle w:val="H5"/>
        <w:rPr>
          <w:lang w:val="en-GB"/>
        </w:rPr>
      </w:pPr>
      <w:r>
        <w:rPr>
          <w:rStyle w:val="rynqv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18"/>
        <w:gridCol w:w="3637"/>
        <w:gridCol w:w="794"/>
        <w:gridCol w:w="794"/>
        <w:gridCol w:w="1773"/>
      </w:tblGrid>
      <w:tr w:rsidR="00F4321F" w:rsidRPr="001F151E" w14:paraId="0137739C" w14:textId="77777777" w:rsidTr="000C70FA">
        <w:trPr>
          <w:trHeight w:val="20"/>
          <w:tblHeader/>
        </w:trPr>
        <w:tc>
          <w:tcPr>
            <w:tcW w:w="2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35DAEC" w14:textId="77777777" w:rsidR="00F4321F" w:rsidRPr="001F151E" w:rsidRDefault="00F4321F" w:rsidP="000C70FA">
            <w:pPr>
              <w:pStyle w:val="T-bold"/>
              <w:spacing w:line="288" w:lineRule="auto"/>
            </w:pPr>
            <w:r>
              <w:t>Masa</w:t>
            </w:r>
          </w:p>
        </w:tc>
        <w:tc>
          <w:tcPr>
            <w:tcW w:w="3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1C630E" w14:textId="77777777" w:rsidR="00F4321F" w:rsidRPr="001F151E" w:rsidRDefault="00F4321F" w:rsidP="000C70FA">
            <w:pPr>
              <w:pStyle w:val="T-bold"/>
              <w:spacing w:line="288" w:lineRule="auto"/>
            </w:pPr>
            <w:r w:rsidRPr="001F151E">
              <w:t>A</w:t>
            </w:r>
            <w:r>
              <w:t>ktiviteti</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10E953" w14:textId="77777777" w:rsidR="00F4321F" w:rsidRPr="001F151E" w:rsidRDefault="00F4321F" w:rsidP="000C70FA">
            <w:pPr>
              <w:pStyle w:val="T-bold"/>
              <w:spacing w:line="288" w:lineRule="auto"/>
              <w:jc w:val="center"/>
            </w:pPr>
            <w:r>
              <w:t>Fillimi</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D3FBCE" w14:textId="77777777" w:rsidR="00F4321F" w:rsidRPr="001F151E" w:rsidRDefault="00F4321F" w:rsidP="000C70FA">
            <w:pPr>
              <w:pStyle w:val="T-bold"/>
              <w:spacing w:line="288" w:lineRule="auto"/>
              <w:jc w:val="center"/>
            </w:pPr>
            <w:r>
              <w:t>Mbarimi</w:t>
            </w:r>
          </w:p>
        </w:tc>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FE1D6" w14:textId="77777777" w:rsidR="00F4321F" w:rsidRPr="001F151E" w:rsidRDefault="00F4321F" w:rsidP="000C70FA">
            <w:pPr>
              <w:pStyle w:val="T-bold"/>
              <w:spacing w:line="288" w:lineRule="auto"/>
            </w:pPr>
            <w:r>
              <w:rPr>
                <w:rStyle w:val="rynqvb"/>
              </w:rPr>
              <w:t>Grupet e interesit</w:t>
            </w:r>
          </w:p>
        </w:tc>
      </w:tr>
      <w:tr w:rsidR="00F4321F" w:rsidRPr="001F151E" w14:paraId="668748B6" w14:textId="77777777" w:rsidTr="000C70FA">
        <w:trPr>
          <w:trHeight w:val="20"/>
        </w:trPr>
        <w:tc>
          <w:tcPr>
            <w:tcW w:w="2018" w:type="dxa"/>
            <w:vMerge w:val="restart"/>
            <w:tcBorders>
              <w:top w:val="single" w:sz="4" w:space="0" w:color="auto"/>
              <w:left w:val="single" w:sz="4" w:space="0" w:color="auto"/>
              <w:right w:val="single" w:sz="4" w:space="0" w:color="auto"/>
            </w:tcBorders>
          </w:tcPr>
          <w:p w14:paraId="475AE93C" w14:textId="77777777" w:rsidR="00F4321F" w:rsidRPr="009D660E" w:rsidRDefault="00F4321F" w:rsidP="000C70FA">
            <w:pPr>
              <w:pStyle w:val="EcorysBody"/>
              <w:rPr>
                <w:rFonts w:ascii="Arial" w:hAnsi="Arial" w:cs="Arial"/>
                <w:b/>
                <w:sz w:val="16"/>
                <w:szCs w:val="16"/>
                <w:lang w:val="it-IT"/>
              </w:rPr>
            </w:pPr>
            <w:r w:rsidRPr="009D660E">
              <w:rPr>
                <w:rFonts w:ascii="Arial" w:hAnsi="Arial" w:cs="Arial"/>
                <w:b/>
                <w:sz w:val="16"/>
                <w:szCs w:val="16"/>
                <w:lang w:val="it-IT"/>
              </w:rPr>
              <w:t>Masa 4.6.1 Finalizimi i reformës për regjistrimin e aseteve për qëllime kontabiliteti</w:t>
            </w:r>
          </w:p>
          <w:p w14:paraId="05B27A2B" w14:textId="77777777" w:rsidR="00F4321F" w:rsidRPr="009D660E" w:rsidRDefault="00F4321F" w:rsidP="000C70FA">
            <w:pPr>
              <w:pStyle w:val="EcorysBody"/>
              <w:rPr>
                <w:rFonts w:ascii="Arial" w:eastAsia="Times New Roman" w:hAnsi="Arial" w:cs="Arial"/>
                <w:b/>
                <w:bCs/>
                <w:sz w:val="16"/>
                <w:szCs w:val="16"/>
                <w:lang w:val="it-IT"/>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2B057A9F" w14:textId="77777777" w:rsidR="00F4321F" w:rsidRPr="009D660E" w:rsidRDefault="00F4321F" w:rsidP="00CD7428">
            <w:pPr>
              <w:pStyle w:val="ListParagraph"/>
              <w:numPr>
                <w:ilvl w:val="0"/>
                <w:numId w:val="56"/>
              </w:numPr>
              <w:autoSpaceDE w:val="0"/>
              <w:autoSpaceDN w:val="0"/>
              <w:adjustRightInd w:val="0"/>
              <w:rPr>
                <w:rFonts w:eastAsia="Times New Roman"/>
                <w:bCs/>
                <w:sz w:val="16"/>
                <w:szCs w:val="16"/>
                <w:lang w:val="it-IT"/>
              </w:rPr>
            </w:pPr>
            <w:r w:rsidRPr="009D660E">
              <w:rPr>
                <w:rFonts w:eastAsia="Times New Roman"/>
                <w:bCs/>
                <w:sz w:val="16"/>
                <w:szCs w:val="16"/>
                <w:lang w:val="it-IT"/>
              </w:rPr>
              <w:t>Rishikimi dhe ndryshimi i metodologjisë përkatëse për menaxhimin e aseteve në përputhje me kërkesat e SNKSP.</w:t>
            </w:r>
            <w:r w:rsidRPr="001F151E">
              <w:rPr>
                <w:rStyle w:val="FootnoteReference"/>
                <w:rFonts w:eastAsia="Times New Roman"/>
                <w:bCs/>
              </w:rPr>
              <w:footnoteReference w:id="61"/>
            </w:r>
          </w:p>
        </w:tc>
        <w:tc>
          <w:tcPr>
            <w:tcW w:w="794" w:type="dxa"/>
            <w:tcBorders>
              <w:top w:val="single" w:sz="4" w:space="0" w:color="auto"/>
              <w:left w:val="single" w:sz="4" w:space="0" w:color="auto"/>
              <w:bottom w:val="single" w:sz="4" w:space="0" w:color="auto"/>
              <w:right w:val="single" w:sz="4" w:space="0" w:color="auto"/>
            </w:tcBorders>
            <w:vAlign w:val="center"/>
            <w:hideMark/>
          </w:tcPr>
          <w:p w14:paraId="0C3DE5AE" w14:textId="77777777" w:rsidR="00F4321F" w:rsidRPr="001F151E" w:rsidRDefault="00F4321F" w:rsidP="000C70FA">
            <w:pPr>
              <w:jc w:val="center"/>
              <w:rPr>
                <w:sz w:val="16"/>
                <w:szCs w:val="16"/>
              </w:rPr>
            </w:pPr>
            <w:r>
              <w:rPr>
                <w:sz w:val="16"/>
                <w:szCs w:val="16"/>
              </w:rPr>
              <w:t>T</w:t>
            </w:r>
            <w:r w:rsidRPr="001F151E">
              <w:rPr>
                <w:sz w:val="16"/>
                <w:szCs w:val="16"/>
              </w:rPr>
              <w:t>1 2024</w:t>
            </w:r>
          </w:p>
        </w:tc>
        <w:tc>
          <w:tcPr>
            <w:tcW w:w="794" w:type="dxa"/>
            <w:tcBorders>
              <w:top w:val="single" w:sz="4" w:space="0" w:color="auto"/>
              <w:left w:val="single" w:sz="4" w:space="0" w:color="auto"/>
              <w:bottom w:val="single" w:sz="4" w:space="0" w:color="auto"/>
              <w:right w:val="single" w:sz="4" w:space="0" w:color="auto"/>
            </w:tcBorders>
            <w:vAlign w:val="center"/>
            <w:hideMark/>
          </w:tcPr>
          <w:p w14:paraId="3DA0F55D" w14:textId="77777777" w:rsidR="00F4321F" w:rsidRPr="001F151E" w:rsidRDefault="00F4321F" w:rsidP="000C70FA">
            <w:pPr>
              <w:jc w:val="center"/>
              <w:rPr>
                <w:sz w:val="16"/>
                <w:szCs w:val="16"/>
              </w:rPr>
            </w:pPr>
            <w:r w:rsidRPr="001F151E">
              <w:rPr>
                <w:sz w:val="16"/>
                <w:szCs w:val="16"/>
              </w:rPr>
              <w:t>2027</w:t>
            </w:r>
          </w:p>
        </w:tc>
        <w:tc>
          <w:tcPr>
            <w:tcW w:w="1773" w:type="dxa"/>
            <w:vMerge w:val="restart"/>
            <w:tcBorders>
              <w:top w:val="single" w:sz="4" w:space="0" w:color="auto"/>
              <w:left w:val="single" w:sz="4" w:space="0" w:color="auto"/>
              <w:right w:val="single" w:sz="4" w:space="0" w:color="auto"/>
            </w:tcBorders>
          </w:tcPr>
          <w:p w14:paraId="62F1D09E" w14:textId="77777777" w:rsidR="00F4321F" w:rsidRPr="001F151E" w:rsidRDefault="00F4321F" w:rsidP="000C70FA">
            <w:pPr>
              <w:rPr>
                <w:b/>
                <w:bCs/>
                <w:sz w:val="16"/>
                <w:szCs w:val="16"/>
              </w:rPr>
            </w:pPr>
            <w:r>
              <w:rPr>
                <w:b/>
                <w:bCs/>
                <w:sz w:val="16"/>
                <w:szCs w:val="16"/>
              </w:rPr>
              <w:t>Njësitë përgjegjëse</w:t>
            </w:r>
            <w:r w:rsidRPr="001F151E">
              <w:rPr>
                <w:b/>
                <w:bCs/>
                <w:sz w:val="16"/>
                <w:szCs w:val="16"/>
              </w:rPr>
              <w:t>:</w:t>
            </w:r>
          </w:p>
          <w:p w14:paraId="71DD2373" w14:textId="77777777" w:rsidR="00F4321F" w:rsidRPr="001F151E" w:rsidRDefault="00F4321F" w:rsidP="000C70FA">
            <w:pPr>
              <w:rPr>
                <w:sz w:val="16"/>
                <w:szCs w:val="16"/>
              </w:rPr>
            </w:pPr>
            <w:r>
              <w:rPr>
                <w:sz w:val="16"/>
                <w:szCs w:val="16"/>
              </w:rPr>
              <w:t>DHMFKK</w:t>
            </w:r>
            <w:r w:rsidRPr="001F151E">
              <w:rPr>
                <w:sz w:val="16"/>
                <w:szCs w:val="16"/>
              </w:rPr>
              <w:t xml:space="preserve"> (</w:t>
            </w:r>
            <w:r>
              <w:rPr>
                <w:sz w:val="16"/>
                <w:szCs w:val="16"/>
              </w:rPr>
              <w:t>lider për</w:t>
            </w:r>
            <w:r w:rsidRPr="001F151E">
              <w:rPr>
                <w:sz w:val="16"/>
                <w:szCs w:val="16"/>
              </w:rPr>
              <w:t xml:space="preserve"> </w:t>
            </w:r>
            <w:r>
              <w:rPr>
                <w:sz w:val="16"/>
                <w:szCs w:val="16"/>
              </w:rPr>
              <w:t>SNKSP</w:t>
            </w:r>
            <w:r w:rsidRPr="001F151E">
              <w:rPr>
                <w:sz w:val="16"/>
                <w:szCs w:val="16"/>
              </w:rPr>
              <w:t xml:space="preserve">), </w:t>
            </w:r>
            <w:r>
              <w:rPr>
                <w:sz w:val="16"/>
                <w:szCs w:val="16"/>
              </w:rPr>
              <w:t>DPTH</w:t>
            </w:r>
            <w:r w:rsidRPr="001F151E">
              <w:rPr>
                <w:sz w:val="16"/>
                <w:szCs w:val="16"/>
              </w:rPr>
              <w:t xml:space="preserve"> (</w:t>
            </w:r>
            <w:r>
              <w:rPr>
                <w:sz w:val="16"/>
                <w:szCs w:val="16"/>
              </w:rPr>
              <w:t>lider për SIFQ</w:t>
            </w:r>
            <w:r w:rsidRPr="001F151E">
              <w:rPr>
                <w:sz w:val="16"/>
                <w:szCs w:val="16"/>
              </w:rPr>
              <w:t xml:space="preserve">). </w:t>
            </w:r>
          </w:p>
          <w:p w14:paraId="4BA5DBC0" w14:textId="77777777" w:rsidR="00F4321F" w:rsidRPr="001F151E" w:rsidRDefault="00F4321F" w:rsidP="000C70FA">
            <w:pPr>
              <w:rPr>
                <w:sz w:val="16"/>
                <w:szCs w:val="16"/>
              </w:rPr>
            </w:pPr>
          </w:p>
          <w:p w14:paraId="34EC4106" w14:textId="77777777" w:rsidR="00F4321F" w:rsidRPr="001F151E" w:rsidRDefault="00F4321F" w:rsidP="000C70FA">
            <w:pPr>
              <w:rPr>
                <w:sz w:val="16"/>
                <w:szCs w:val="16"/>
              </w:rPr>
            </w:pPr>
          </w:p>
        </w:tc>
      </w:tr>
      <w:tr w:rsidR="00F4321F" w:rsidRPr="001F151E" w14:paraId="35D96FBF" w14:textId="77777777" w:rsidTr="000C70FA">
        <w:trPr>
          <w:trHeight w:val="20"/>
        </w:trPr>
        <w:tc>
          <w:tcPr>
            <w:tcW w:w="0" w:type="auto"/>
            <w:vMerge/>
            <w:tcBorders>
              <w:left w:val="single" w:sz="4" w:space="0" w:color="auto"/>
              <w:right w:val="single" w:sz="4" w:space="0" w:color="auto"/>
            </w:tcBorders>
            <w:vAlign w:val="center"/>
            <w:hideMark/>
          </w:tcPr>
          <w:p w14:paraId="6EFD5D88" w14:textId="77777777" w:rsidR="00F4321F" w:rsidRPr="001F151E" w:rsidRDefault="00F4321F" w:rsidP="000C70FA">
            <w:pPr>
              <w:spacing w:line="240" w:lineRule="auto"/>
              <w:rPr>
                <w:rFonts w:eastAsia="Times New Roman"/>
                <w:b/>
                <w:bCs/>
                <w:sz w:val="16"/>
                <w:szCs w:val="16"/>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08FA2E6F" w14:textId="77777777" w:rsidR="00F4321F" w:rsidRPr="001F151E" w:rsidRDefault="00F4321F" w:rsidP="00CD7428">
            <w:pPr>
              <w:pStyle w:val="ListParagraph"/>
              <w:numPr>
                <w:ilvl w:val="0"/>
                <w:numId w:val="56"/>
              </w:numPr>
              <w:autoSpaceDE w:val="0"/>
              <w:autoSpaceDN w:val="0"/>
              <w:adjustRightInd w:val="0"/>
              <w:rPr>
                <w:rFonts w:eastAsia="Times New Roman"/>
                <w:bCs/>
                <w:sz w:val="16"/>
                <w:szCs w:val="16"/>
              </w:rPr>
            </w:pPr>
            <w:r w:rsidRPr="00286BFB">
              <w:rPr>
                <w:rFonts w:eastAsia="Times New Roman"/>
                <w:bCs/>
                <w:sz w:val="16"/>
                <w:szCs w:val="16"/>
              </w:rPr>
              <w:t>Vazhd</w:t>
            </w:r>
            <w:r>
              <w:rPr>
                <w:rFonts w:eastAsia="Times New Roman"/>
                <w:bCs/>
                <w:sz w:val="16"/>
                <w:szCs w:val="16"/>
              </w:rPr>
              <w:t>imi</w:t>
            </w:r>
            <w:r w:rsidRPr="00286BFB">
              <w:rPr>
                <w:rFonts w:eastAsia="Times New Roman"/>
                <w:bCs/>
                <w:sz w:val="16"/>
                <w:szCs w:val="16"/>
              </w:rPr>
              <w:t xml:space="preserve"> dhe finaliz</w:t>
            </w:r>
            <w:r>
              <w:rPr>
                <w:rFonts w:eastAsia="Times New Roman"/>
                <w:bCs/>
                <w:sz w:val="16"/>
                <w:szCs w:val="16"/>
              </w:rPr>
              <w:t>imi i</w:t>
            </w:r>
            <w:r w:rsidRPr="00286BFB">
              <w:rPr>
                <w:rFonts w:eastAsia="Times New Roman"/>
                <w:bCs/>
                <w:sz w:val="16"/>
                <w:szCs w:val="16"/>
              </w:rPr>
              <w:t xml:space="preserve"> </w:t>
            </w:r>
            <w:r>
              <w:rPr>
                <w:rFonts w:eastAsia="Times New Roman"/>
                <w:bCs/>
                <w:sz w:val="16"/>
                <w:szCs w:val="16"/>
              </w:rPr>
              <w:t>popullimit</w:t>
            </w:r>
            <w:r w:rsidRPr="00286BFB">
              <w:rPr>
                <w:rFonts w:eastAsia="Times New Roman"/>
                <w:bCs/>
                <w:sz w:val="16"/>
                <w:szCs w:val="16"/>
              </w:rPr>
              <w:t xml:space="preserve"> / futje</w:t>
            </w:r>
            <w:r>
              <w:rPr>
                <w:rFonts w:eastAsia="Times New Roman"/>
                <w:bCs/>
                <w:sz w:val="16"/>
                <w:szCs w:val="16"/>
              </w:rPr>
              <w:t>s së</w:t>
            </w:r>
            <w:r w:rsidRPr="00286BFB">
              <w:rPr>
                <w:rFonts w:eastAsia="Times New Roman"/>
                <w:bCs/>
                <w:sz w:val="16"/>
                <w:szCs w:val="16"/>
              </w:rPr>
              <w:t xml:space="preserve"> të dhënave të aseteve në </w:t>
            </w:r>
            <w:r>
              <w:rPr>
                <w:rFonts w:eastAsia="Times New Roman"/>
                <w:bCs/>
                <w:sz w:val="16"/>
                <w:szCs w:val="16"/>
              </w:rPr>
              <w:t>SIFQ</w:t>
            </w:r>
            <w:r w:rsidRPr="00286BFB">
              <w:rPr>
                <w:rFonts w:eastAsia="Times New Roman"/>
                <w:bCs/>
                <w:sz w:val="16"/>
                <w:szCs w:val="16"/>
              </w:rPr>
              <w:t xml:space="preserve"> nga Institucionet Buxhetore </w:t>
            </w:r>
            <w:r>
              <w:rPr>
                <w:rFonts w:eastAsia="Times New Roman"/>
                <w:bCs/>
                <w:sz w:val="16"/>
                <w:szCs w:val="16"/>
              </w:rPr>
              <w:t>online</w:t>
            </w:r>
            <w:r w:rsidRPr="00286BFB">
              <w:rPr>
                <w:rFonts w:eastAsia="Times New Roman"/>
                <w:bCs/>
                <w:sz w:val="16"/>
                <w:szCs w:val="16"/>
              </w:rPr>
              <w:t xml:space="preserve"> dhe krye</w:t>
            </w:r>
            <w:r>
              <w:rPr>
                <w:rFonts w:eastAsia="Times New Roman"/>
                <w:bCs/>
                <w:sz w:val="16"/>
                <w:szCs w:val="16"/>
              </w:rPr>
              <w:t>rja e</w:t>
            </w:r>
            <w:r w:rsidRPr="00286BFB">
              <w:rPr>
                <w:rFonts w:eastAsia="Times New Roman"/>
                <w:bCs/>
                <w:sz w:val="16"/>
                <w:szCs w:val="16"/>
              </w:rPr>
              <w:t xml:space="preserve"> kontrolle</w:t>
            </w:r>
            <w:r>
              <w:rPr>
                <w:rFonts w:eastAsia="Times New Roman"/>
                <w:bCs/>
                <w:sz w:val="16"/>
                <w:szCs w:val="16"/>
              </w:rPr>
              <w:t>ve të</w:t>
            </w:r>
            <w:r w:rsidRPr="00286BFB">
              <w:rPr>
                <w:rFonts w:eastAsia="Times New Roman"/>
                <w:bCs/>
                <w:sz w:val="16"/>
                <w:szCs w:val="16"/>
              </w:rPr>
              <w:t xml:space="preserve"> nevojshme</w:t>
            </w:r>
            <w:r w:rsidRPr="001F151E">
              <w:rPr>
                <w:rFonts w:eastAsia="Times New Roman"/>
                <w:bCs/>
                <w:sz w:val="16"/>
                <w:szCs w:val="16"/>
              </w:rPr>
              <w:t>.</w:t>
            </w:r>
          </w:p>
        </w:tc>
        <w:tc>
          <w:tcPr>
            <w:tcW w:w="794" w:type="dxa"/>
            <w:tcBorders>
              <w:top w:val="single" w:sz="4" w:space="0" w:color="auto"/>
              <w:left w:val="single" w:sz="4" w:space="0" w:color="auto"/>
              <w:bottom w:val="single" w:sz="4" w:space="0" w:color="auto"/>
              <w:right w:val="single" w:sz="4" w:space="0" w:color="auto"/>
            </w:tcBorders>
            <w:vAlign w:val="center"/>
          </w:tcPr>
          <w:p w14:paraId="00D40DE7" w14:textId="77777777" w:rsidR="00F4321F" w:rsidRPr="001F151E" w:rsidRDefault="00F4321F" w:rsidP="000C70FA">
            <w:pPr>
              <w:jc w:val="center"/>
              <w:rPr>
                <w:sz w:val="16"/>
                <w:szCs w:val="16"/>
              </w:rPr>
            </w:pPr>
            <w:r>
              <w:rPr>
                <w:sz w:val="16"/>
                <w:szCs w:val="16"/>
              </w:rPr>
              <w:t>T</w:t>
            </w:r>
            <w:r w:rsidRPr="001F151E">
              <w:rPr>
                <w:sz w:val="16"/>
                <w:szCs w:val="16"/>
              </w:rPr>
              <w:t>1 2024</w:t>
            </w:r>
          </w:p>
        </w:tc>
        <w:tc>
          <w:tcPr>
            <w:tcW w:w="794" w:type="dxa"/>
            <w:tcBorders>
              <w:top w:val="single" w:sz="4" w:space="0" w:color="auto"/>
              <w:left w:val="single" w:sz="4" w:space="0" w:color="auto"/>
              <w:bottom w:val="single" w:sz="4" w:space="0" w:color="auto"/>
              <w:right w:val="single" w:sz="4" w:space="0" w:color="auto"/>
            </w:tcBorders>
            <w:vAlign w:val="center"/>
          </w:tcPr>
          <w:p w14:paraId="62260586" w14:textId="77777777" w:rsidR="00F4321F" w:rsidRPr="001F151E" w:rsidRDefault="00F4321F" w:rsidP="000C70FA">
            <w:pPr>
              <w:jc w:val="center"/>
              <w:rPr>
                <w:sz w:val="16"/>
                <w:szCs w:val="16"/>
              </w:rPr>
            </w:pPr>
            <w:r>
              <w:rPr>
                <w:sz w:val="16"/>
                <w:szCs w:val="16"/>
              </w:rPr>
              <w:t>T</w:t>
            </w:r>
            <w:r w:rsidRPr="001F151E">
              <w:rPr>
                <w:sz w:val="16"/>
                <w:szCs w:val="16"/>
              </w:rPr>
              <w:t>3 2026</w:t>
            </w:r>
          </w:p>
        </w:tc>
        <w:tc>
          <w:tcPr>
            <w:tcW w:w="0" w:type="auto"/>
            <w:vMerge/>
            <w:tcBorders>
              <w:left w:val="single" w:sz="4" w:space="0" w:color="auto"/>
              <w:right w:val="single" w:sz="4" w:space="0" w:color="auto"/>
            </w:tcBorders>
            <w:vAlign w:val="center"/>
            <w:hideMark/>
          </w:tcPr>
          <w:p w14:paraId="67AEBEC5" w14:textId="77777777" w:rsidR="00F4321F" w:rsidRPr="001F151E" w:rsidRDefault="00F4321F" w:rsidP="000C70FA">
            <w:pPr>
              <w:spacing w:line="240" w:lineRule="auto"/>
              <w:rPr>
                <w:sz w:val="16"/>
                <w:szCs w:val="16"/>
              </w:rPr>
            </w:pPr>
          </w:p>
        </w:tc>
      </w:tr>
      <w:tr w:rsidR="00F4321F" w:rsidRPr="001F151E" w14:paraId="7BFC14A8" w14:textId="77777777" w:rsidTr="000C70FA">
        <w:trPr>
          <w:trHeight w:val="20"/>
        </w:trPr>
        <w:tc>
          <w:tcPr>
            <w:tcW w:w="0" w:type="auto"/>
            <w:vMerge/>
            <w:tcBorders>
              <w:left w:val="single" w:sz="4" w:space="0" w:color="auto"/>
              <w:right w:val="single" w:sz="4" w:space="0" w:color="auto"/>
            </w:tcBorders>
            <w:vAlign w:val="center"/>
          </w:tcPr>
          <w:p w14:paraId="71A0C69A" w14:textId="77777777" w:rsidR="00F4321F" w:rsidRPr="001F151E" w:rsidRDefault="00F4321F" w:rsidP="000C70FA">
            <w:pPr>
              <w:spacing w:line="240" w:lineRule="auto"/>
              <w:rPr>
                <w:rFonts w:eastAsia="Times New Roman"/>
                <w:b/>
                <w:bCs/>
                <w:sz w:val="16"/>
                <w:szCs w:val="16"/>
              </w:rPr>
            </w:pPr>
          </w:p>
        </w:tc>
        <w:tc>
          <w:tcPr>
            <w:tcW w:w="3637" w:type="dxa"/>
            <w:tcBorders>
              <w:top w:val="single" w:sz="4" w:space="0" w:color="auto"/>
              <w:left w:val="single" w:sz="4" w:space="0" w:color="auto"/>
              <w:bottom w:val="single" w:sz="4" w:space="0" w:color="auto"/>
              <w:right w:val="single" w:sz="4" w:space="0" w:color="auto"/>
            </w:tcBorders>
            <w:vAlign w:val="center"/>
          </w:tcPr>
          <w:p w14:paraId="3FF00871" w14:textId="77777777" w:rsidR="00F4321F" w:rsidRPr="001F151E" w:rsidRDefault="00F4321F" w:rsidP="00CD7428">
            <w:pPr>
              <w:pStyle w:val="ListParagraph"/>
              <w:numPr>
                <w:ilvl w:val="0"/>
                <w:numId w:val="56"/>
              </w:numPr>
              <w:autoSpaceDE w:val="0"/>
              <w:autoSpaceDN w:val="0"/>
              <w:adjustRightInd w:val="0"/>
              <w:rPr>
                <w:rFonts w:eastAsia="Times New Roman"/>
                <w:bCs/>
                <w:sz w:val="16"/>
                <w:szCs w:val="16"/>
              </w:rPr>
            </w:pPr>
            <w:r w:rsidRPr="00286BFB">
              <w:rPr>
                <w:rFonts w:eastAsia="Times New Roman"/>
                <w:bCs/>
                <w:sz w:val="16"/>
                <w:szCs w:val="16"/>
              </w:rPr>
              <w:t xml:space="preserve">Institucionet e sektorit publik kryejnë inventarizimin dhe vlerësimin e </w:t>
            </w:r>
            <w:r>
              <w:rPr>
                <w:rFonts w:eastAsia="Times New Roman"/>
                <w:bCs/>
                <w:sz w:val="16"/>
                <w:szCs w:val="16"/>
              </w:rPr>
              <w:t>aseteve t</w:t>
            </w:r>
            <w:r w:rsidRPr="00286BFB">
              <w:rPr>
                <w:rFonts w:eastAsia="Times New Roman"/>
                <w:bCs/>
                <w:sz w:val="16"/>
                <w:szCs w:val="16"/>
              </w:rPr>
              <w:t>ë tyre</w:t>
            </w:r>
            <w:r w:rsidRPr="001F151E">
              <w:rPr>
                <w:rFonts w:eastAsia="Times New Roman"/>
                <w:bCs/>
                <w:sz w:val="16"/>
                <w:szCs w:val="16"/>
              </w:rPr>
              <w:t>.</w:t>
            </w:r>
          </w:p>
        </w:tc>
        <w:tc>
          <w:tcPr>
            <w:tcW w:w="794" w:type="dxa"/>
            <w:tcBorders>
              <w:top w:val="single" w:sz="4" w:space="0" w:color="auto"/>
              <w:left w:val="single" w:sz="4" w:space="0" w:color="auto"/>
              <w:bottom w:val="single" w:sz="4" w:space="0" w:color="auto"/>
              <w:right w:val="single" w:sz="4" w:space="0" w:color="auto"/>
            </w:tcBorders>
            <w:vAlign w:val="center"/>
          </w:tcPr>
          <w:p w14:paraId="7680B2AF" w14:textId="77777777" w:rsidR="00F4321F" w:rsidRPr="001F151E" w:rsidRDefault="00F4321F" w:rsidP="000C70FA">
            <w:pPr>
              <w:jc w:val="center"/>
              <w:rPr>
                <w:sz w:val="16"/>
                <w:szCs w:val="16"/>
              </w:rPr>
            </w:pPr>
            <w:r>
              <w:rPr>
                <w:sz w:val="16"/>
                <w:szCs w:val="16"/>
              </w:rPr>
              <w:t>T</w:t>
            </w:r>
            <w:r w:rsidRPr="001F151E">
              <w:rPr>
                <w:sz w:val="16"/>
                <w:szCs w:val="16"/>
              </w:rPr>
              <w:t>1 2025</w:t>
            </w:r>
          </w:p>
        </w:tc>
        <w:tc>
          <w:tcPr>
            <w:tcW w:w="794" w:type="dxa"/>
            <w:tcBorders>
              <w:top w:val="single" w:sz="4" w:space="0" w:color="auto"/>
              <w:left w:val="single" w:sz="4" w:space="0" w:color="auto"/>
              <w:bottom w:val="single" w:sz="4" w:space="0" w:color="auto"/>
              <w:right w:val="single" w:sz="4" w:space="0" w:color="auto"/>
            </w:tcBorders>
            <w:vAlign w:val="center"/>
          </w:tcPr>
          <w:p w14:paraId="4253E965" w14:textId="77777777" w:rsidR="00F4321F" w:rsidRPr="001F151E" w:rsidRDefault="00F4321F" w:rsidP="000C70FA">
            <w:pPr>
              <w:jc w:val="center"/>
              <w:rPr>
                <w:sz w:val="16"/>
                <w:szCs w:val="16"/>
              </w:rPr>
            </w:pPr>
            <w:r>
              <w:rPr>
                <w:sz w:val="16"/>
                <w:szCs w:val="16"/>
              </w:rPr>
              <w:t>T</w:t>
            </w:r>
            <w:r w:rsidRPr="001F151E">
              <w:rPr>
                <w:sz w:val="16"/>
                <w:szCs w:val="16"/>
              </w:rPr>
              <w:t>4 2026</w:t>
            </w:r>
          </w:p>
        </w:tc>
        <w:tc>
          <w:tcPr>
            <w:tcW w:w="0" w:type="auto"/>
            <w:vMerge/>
            <w:tcBorders>
              <w:left w:val="single" w:sz="4" w:space="0" w:color="auto"/>
              <w:right w:val="single" w:sz="4" w:space="0" w:color="auto"/>
            </w:tcBorders>
            <w:vAlign w:val="center"/>
          </w:tcPr>
          <w:p w14:paraId="282DB16B" w14:textId="77777777" w:rsidR="00F4321F" w:rsidRPr="001F151E" w:rsidRDefault="00F4321F" w:rsidP="000C70FA">
            <w:pPr>
              <w:spacing w:line="240" w:lineRule="auto"/>
              <w:rPr>
                <w:sz w:val="16"/>
                <w:szCs w:val="16"/>
              </w:rPr>
            </w:pPr>
          </w:p>
        </w:tc>
      </w:tr>
      <w:tr w:rsidR="00F4321F" w:rsidRPr="001F151E" w14:paraId="7626507F" w14:textId="77777777" w:rsidTr="000C70FA">
        <w:trPr>
          <w:trHeight w:val="20"/>
        </w:trPr>
        <w:tc>
          <w:tcPr>
            <w:tcW w:w="0" w:type="auto"/>
            <w:vMerge/>
            <w:tcBorders>
              <w:left w:val="single" w:sz="4" w:space="0" w:color="auto"/>
              <w:bottom w:val="single" w:sz="4" w:space="0" w:color="auto"/>
              <w:right w:val="single" w:sz="4" w:space="0" w:color="auto"/>
            </w:tcBorders>
            <w:vAlign w:val="center"/>
          </w:tcPr>
          <w:p w14:paraId="10B1797B" w14:textId="77777777" w:rsidR="00F4321F" w:rsidRPr="001F151E" w:rsidRDefault="00F4321F" w:rsidP="000C70FA">
            <w:pPr>
              <w:spacing w:line="240" w:lineRule="auto"/>
              <w:rPr>
                <w:rFonts w:eastAsia="Times New Roman"/>
                <w:b/>
                <w:bCs/>
                <w:sz w:val="16"/>
                <w:szCs w:val="16"/>
              </w:rPr>
            </w:pPr>
          </w:p>
        </w:tc>
        <w:tc>
          <w:tcPr>
            <w:tcW w:w="3637" w:type="dxa"/>
            <w:tcBorders>
              <w:top w:val="single" w:sz="4" w:space="0" w:color="auto"/>
              <w:left w:val="single" w:sz="4" w:space="0" w:color="auto"/>
              <w:bottom w:val="single" w:sz="4" w:space="0" w:color="auto"/>
              <w:right w:val="single" w:sz="4" w:space="0" w:color="auto"/>
            </w:tcBorders>
            <w:vAlign w:val="center"/>
          </w:tcPr>
          <w:p w14:paraId="038E0E52" w14:textId="00AC1215" w:rsidR="00F4321F" w:rsidRPr="0059094E" w:rsidRDefault="00F4321F" w:rsidP="00C92D62">
            <w:pPr>
              <w:pStyle w:val="ListParagraph"/>
              <w:numPr>
                <w:ilvl w:val="0"/>
                <w:numId w:val="56"/>
              </w:numPr>
              <w:autoSpaceDE w:val="0"/>
              <w:autoSpaceDN w:val="0"/>
              <w:adjustRightInd w:val="0"/>
              <w:rPr>
                <w:rFonts w:eastAsia="Times New Roman"/>
                <w:bCs/>
                <w:sz w:val="16"/>
                <w:szCs w:val="16"/>
              </w:rPr>
            </w:pPr>
            <w:r w:rsidRPr="0059094E">
              <w:rPr>
                <w:rFonts w:eastAsia="Times New Roman"/>
                <w:bCs/>
                <w:sz w:val="16"/>
                <w:szCs w:val="16"/>
              </w:rPr>
              <w:t>Përgatitja e një regjistri të konsoliduar të aseteve</w:t>
            </w:r>
            <w:r w:rsidR="00C92D62" w:rsidRPr="0059094E">
              <w:rPr>
                <w:rFonts w:eastAsia="Times New Roman"/>
                <w:bCs/>
                <w:sz w:val="16"/>
                <w:szCs w:val="16"/>
              </w:rPr>
              <w:t xml:space="preserve"> në institucionet qendrore, në nivel njësie kontrolluese</w:t>
            </w:r>
            <w:r w:rsidRPr="0059094E">
              <w:rPr>
                <w:rFonts w:eastAsia="Times New Roman"/>
                <w:bCs/>
                <w:sz w:val="16"/>
                <w:szCs w:val="16"/>
              </w:rPr>
              <w:t>.</w:t>
            </w:r>
          </w:p>
        </w:tc>
        <w:tc>
          <w:tcPr>
            <w:tcW w:w="794" w:type="dxa"/>
            <w:tcBorders>
              <w:top w:val="single" w:sz="4" w:space="0" w:color="auto"/>
              <w:left w:val="single" w:sz="4" w:space="0" w:color="auto"/>
              <w:bottom w:val="single" w:sz="4" w:space="0" w:color="auto"/>
              <w:right w:val="single" w:sz="4" w:space="0" w:color="auto"/>
            </w:tcBorders>
            <w:vAlign w:val="center"/>
          </w:tcPr>
          <w:p w14:paraId="7BC820D3" w14:textId="77777777" w:rsidR="00F4321F" w:rsidRPr="001F151E" w:rsidRDefault="00F4321F" w:rsidP="000C70FA">
            <w:pPr>
              <w:jc w:val="center"/>
              <w:rPr>
                <w:sz w:val="16"/>
                <w:szCs w:val="16"/>
              </w:rPr>
            </w:pPr>
            <w:r>
              <w:rPr>
                <w:sz w:val="16"/>
                <w:szCs w:val="16"/>
              </w:rPr>
              <w:t>T</w:t>
            </w:r>
            <w:r w:rsidRPr="001F151E">
              <w:rPr>
                <w:sz w:val="16"/>
                <w:szCs w:val="16"/>
              </w:rPr>
              <w:t>1 2025</w:t>
            </w:r>
          </w:p>
        </w:tc>
        <w:tc>
          <w:tcPr>
            <w:tcW w:w="794" w:type="dxa"/>
            <w:tcBorders>
              <w:top w:val="single" w:sz="4" w:space="0" w:color="auto"/>
              <w:left w:val="single" w:sz="4" w:space="0" w:color="auto"/>
              <w:bottom w:val="single" w:sz="4" w:space="0" w:color="auto"/>
              <w:right w:val="single" w:sz="4" w:space="0" w:color="auto"/>
            </w:tcBorders>
            <w:vAlign w:val="center"/>
          </w:tcPr>
          <w:p w14:paraId="47A031F8" w14:textId="77777777" w:rsidR="00F4321F" w:rsidRPr="001F151E" w:rsidRDefault="00F4321F" w:rsidP="000C70FA">
            <w:pPr>
              <w:jc w:val="center"/>
              <w:rPr>
                <w:sz w:val="16"/>
                <w:szCs w:val="16"/>
              </w:rPr>
            </w:pPr>
            <w:r>
              <w:rPr>
                <w:sz w:val="16"/>
                <w:szCs w:val="16"/>
              </w:rPr>
              <w:t>T</w:t>
            </w:r>
            <w:r w:rsidRPr="001F151E">
              <w:rPr>
                <w:sz w:val="16"/>
                <w:szCs w:val="16"/>
              </w:rPr>
              <w:t>4 2026</w:t>
            </w:r>
          </w:p>
        </w:tc>
        <w:tc>
          <w:tcPr>
            <w:tcW w:w="0" w:type="auto"/>
            <w:vMerge/>
            <w:tcBorders>
              <w:left w:val="single" w:sz="4" w:space="0" w:color="auto"/>
              <w:bottom w:val="single" w:sz="4" w:space="0" w:color="auto"/>
              <w:right w:val="single" w:sz="4" w:space="0" w:color="auto"/>
            </w:tcBorders>
            <w:vAlign w:val="center"/>
          </w:tcPr>
          <w:p w14:paraId="67A9BF8C" w14:textId="77777777" w:rsidR="00F4321F" w:rsidRPr="001F151E" w:rsidRDefault="00F4321F" w:rsidP="000C70FA">
            <w:pPr>
              <w:spacing w:line="240" w:lineRule="auto"/>
              <w:rPr>
                <w:sz w:val="16"/>
                <w:szCs w:val="16"/>
              </w:rPr>
            </w:pPr>
          </w:p>
        </w:tc>
      </w:tr>
    </w:tbl>
    <w:p w14:paraId="36EB14E5" w14:textId="77777777" w:rsidR="00F4321F" w:rsidRPr="001F151E" w:rsidRDefault="00F4321F" w:rsidP="00F4321F">
      <w:pPr>
        <w:rPr>
          <w:lang w:val="en-GB"/>
        </w:rPr>
      </w:pPr>
    </w:p>
    <w:p w14:paraId="738D594C" w14:textId="77777777" w:rsidR="00F4321F" w:rsidRPr="009D660E" w:rsidRDefault="00F4321F" w:rsidP="00F4321F">
      <w:pPr>
        <w:pStyle w:val="H5"/>
        <w:rPr>
          <w:lang w:val="it-IT"/>
        </w:rPr>
      </w:pPr>
      <w:r w:rsidRPr="009D660E">
        <w:rPr>
          <w:lang w:val="it-IT"/>
        </w:rPr>
        <w:t>Treguesit e performancës dhe vlerat e synuara</w:t>
      </w:r>
    </w:p>
    <w:tbl>
      <w:tblPr>
        <w:tblStyle w:val="TableGrid"/>
        <w:tblW w:w="0" w:type="auto"/>
        <w:tblLayout w:type="fixed"/>
        <w:tblCellMar>
          <w:top w:w="28" w:type="dxa"/>
          <w:left w:w="57" w:type="dxa"/>
          <w:bottom w:w="28" w:type="dxa"/>
          <w:right w:w="57" w:type="dxa"/>
        </w:tblCellMar>
        <w:tblLook w:val="04A0" w:firstRow="1" w:lastRow="0" w:firstColumn="1" w:lastColumn="0" w:noHBand="0" w:noVBand="1"/>
      </w:tblPr>
      <w:tblGrid>
        <w:gridCol w:w="3939"/>
        <w:gridCol w:w="919"/>
        <w:gridCol w:w="1039"/>
        <w:gridCol w:w="1040"/>
        <w:gridCol w:w="1039"/>
        <w:gridCol w:w="1040"/>
      </w:tblGrid>
      <w:tr w:rsidR="00F4321F" w:rsidRPr="001F151E" w14:paraId="01443339" w14:textId="77777777" w:rsidTr="000C70FA">
        <w:tc>
          <w:tcPr>
            <w:tcW w:w="3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A7BD16" w14:textId="77777777" w:rsidR="00F4321F" w:rsidRPr="001F151E" w:rsidRDefault="00F4321F" w:rsidP="000C70FA">
            <w:pPr>
              <w:pStyle w:val="EcorysBody"/>
              <w:rPr>
                <w:rFonts w:ascii="Arial" w:hAnsi="Arial" w:cs="Arial"/>
                <w:b/>
                <w:bCs/>
                <w:sz w:val="16"/>
                <w:szCs w:val="16"/>
              </w:rPr>
            </w:pPr>
            <w:r>
              <w:rPr>
                <w:rFonts w:ascii="Arial" w:hAnsi="Arial" w:cs="Arial"/>
                <w:b/>
                <w:bCs/>
                <w:sz w:val="16"/>
                <w:szCs w:val="16"/>
              </w:rPr>
              <w:t>Treguesi</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0DADDE" w14:textId="77777777" w:rsidR="00F4321F" w:rsidRPr="001F151E" w:rsidRDefault="00F4321F" w:rsidP="000C70FA">
            <w:pPr>
              <w:pStyle w:val="EcorysBody"/>
              <w:jc w:val="center"/>
              <w:rPr>
                <w:rFonts w:ascii="Arial" w:hAnsi="Arial" w:cs="Arial"/>
                <w:b/>
                <w:bCs/>
                <w:sz w:val="16"/>
                <w:szCs w:val="16"/>
              </w:rPr>
            </w:pPr>
            <w:r>
              <w:rPr>
                <w:rFonts w:ascii="Arial" w:hAnsi="Arial" w:cs="Arial"/>
                <w:b/>
                <w:bCs/>
                <w:sz w:val="16"/>
                <w:szCs w:val="16"/>
              </w:rPr>
              <w:t>Vlera bazë</w:t>
            </w:r>
            <w:r w:rsidRPr="001F151E">
              <w:rPr>
                <w:rFonts w:ascii="Arial" w:hAnsi="Arial" w:cs="Arial"/>
                <w:b/>
                <w:bCs/>
                <w:sz w:val="16"/>
                <w:szCs w:val="16"/>
              </w:rPr>
              <w:t xml:space="preserve"> (</w:t>
            </w:r>
            <w:r>
              <w:rPr>
                <w:rFonts w:ascii="Arial" w:hAnsi="Arial" w:cs="Arial"/>
                <w:b/>
                <w:bCs/>
                <w:sz w:val="16"/>
                <w:szCs w:val="16"/>
              </w:rPr>
              <w:t>viti</w:t>
            </w:r>
            <w:r w:rsidRPr="001F151E">
              <w:rPr>
                <w:rFonts w:ascii="Arial" w:hAnsi="Arial" w:cs="Arial"/>
                <w:b/>
                <w:bCs/>
                <w:sz w:val="16"/>
                <w:szCs w:val="16"/>
              </w:rPr>
              <w:t>)</w:t>
            </w:r>
          </w:p>
        </w:tc>
        <w:tc>
          <w:tcPr>
            <w:tcW w:w="41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3CBF4" w14:textId="77777777" w:rsidR="00F4321F" w:rsidRPr="001F151E" w:rsidRDefault="00F4321F" w:rsidP="000C70FA">
            <w:pPr>
              <w:pStyle w:val="EcorysBody"/>
              <w:jc w:val="center"/>
              <w:rPr>
                <w:rFonts w:ascii="Arial" w:hAnsi="Arial" w:cs="Arial"/>
                <w:b/>
                <w:bCs/>
                <w:sz w:val="16"/>
                <w:szCs w:val="16"/>
              </w:rPr>
            </w:pPr>
            <w:r>
              <w:rPr>
                <w:rFonts w:ascii="Arial" w:hAnsi="Arial" w:cs="Arial"/>
                <w:b/>
                <w:bCs/>
                <w:sz w:val="16"/>
                <w:szCs w:val="16"/>
              </w:rPr>
              <w:t>Vlera e synuar</w:t>
            </w:r>
          </w:p>
        </w:tc>
      </w:tr>
      <w:tr w:rsidR="00F4321F" w:rsidRPr="001F151E" w14:paraId="2473FADC" w14:textId="77777777" w:rsidTr="000C70FA">
        <w:tc>
          <w:tcPr>
            <w:tcW w:w="3939" w:type="dxa"/>
            <w:vMerge/>
            <w:tcBorders>
              <w:top w:val="single" w:sz="4" w:space="0" w:color="auto"/>
              <w:left w:val="single" w:sz="4" w:space="0" w:color="auto"/>
              <w:bottom w:val="single" w:sz="4" w:space="0" w:color="auto"/>
              <w:right w:val="single" w:sz="4" w:space="0" w:color="auto"/>
            </w:tcBorders>
            <w:vAlign w:val="center"/>
            <w:hideMark/>
          </w:tcPr>
          <w:p w14:paraId="306DD48B" w14:textId="77777777" w:rsidR="00F4321F" w:rsidRPr="001F151E" w:rsidRDefault="00F4321F" w:rsidP="000C70FA">
            <w:pPr>
              <w:spacing w:line="240" w:lineRule="auto"/>
              <w:rPr>
                <w:b/>
                <w:bCs/>
                <w:sz w:val="16"/>
                <w:szCs w:val="16"/>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007FB33D" w14:textId="77777777" w:rsidR="00F4321F" w:rsidRPr="001F151E" w:rsidRDefault="00F4321F" w:rsidP="000C70FA">
            <w:pPr>
              <w:spacing w:line="240" w:lineRule="auto"/>
              <w:rPr>
                <w:b/>
                <w:bCs/>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0BE8DD" w14:textId="77777777" w:rsidR="00F4321F" w:rsidRPr="001F151E" w:rsidRDefault="00F4321F" w:rsidP="000C70FA">
            <w:pPr>
              <w:pStyle w:val="EcorysBody"/>
              <w:jc w:val="center"/>
              <w:rPr>
                <w:rFonts w:ascii="Arial" w:hAnsi="Arial" w:cs="Arial"/>
                <w:b/>
                <w:bCs/>
                <w:sz w:val="16"/>
                <w:szCs w:val="16"/>
              </w:rPr>
            </w:pPr>
            <w:r w:rsidRPr="001F151E">
              <w:rPr>
                <w:rFonts w:ascii="Arial" w:hAnsi="Arial" w:cs="Arial"/>
                <w:b/>
                <w:bCs/>
                <w:sz w:val="16"/>
                <w:szCs w:val="16"/>
              </w:rPr>
              <w:t>2023</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F1433C" w14:textId="77777777" w:rsidR="00F4321F" w:rsidRPr="001F151E" w:rsidRDefault="00F4321F" w:rsidP="000C70FA">
            <w:pPr>
              <w:pStyle w:val="EcorysBody"/>
              <w:jc w:val="center"/>
              <w:rPr>
                <w:rFonts w:ascii="Arial" w:hAnsi="Arial" w:cs="Arial"/>
                <w:b/>
                <w:bCs/>
                <w:sz w:val="16"/>
                <w:szCs w:val="16"/>
              </w:rPr>
            </w:pPr>
            <w:r w:rsidRPr="001F151E">
              <w:rPr>
                <w:rFonts w:ascii="Arial" w:hAnsi="Arial" w:cs="Arial"/>
                <w:b/>
                <w:bCs/>
                <w:sz w:val="16"/>
                <w:szCs w:val="16"/>
              </w:rPr>
              <w:t>2024</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AD336E" w14:textId="77777777" w:rsidR="00F4321F" w:rsidRPr="001F151E" w:rsidRDefault="00F4321F" w:rsidP="000C70FA">
            <w:pPr>
              <w:pStyle w:val="EcorysBody"/>
              <w:jc w:val="center"/>
              <w:rPr>
                <w:rFonts w:ascii="Arial" w:hAnsi="Arial" w:cs="Arial"/>
                <w:b/>
                <w:bCs/>
                <w:sz w:val="16"/>
                <w:szCs w:val="16"/>
              </w:rPr>
            </w:pPr>
            <w:r w:rsidRPr="001F151E">
              <w:rPr>
                <w:rFonts w:ascii="Arial" w:hAnsi="Arial" w:cs="Arial"/>
                <w:b/>
                <w:bCs/>
                <w:sz w:val="16"/>
                <w:szCs w:val="16"/>
              </w:rPr>
              <w:t>2025</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9AEC9B" w14:textId="77777777" w:rsidR="00F4321F" w:rsidRPr="001F151E" w:rsidRDefault="00F4321F" w:rsidP="000C70FA">
            <w:pPr>
              <w:pStyle w:val="EcorysBody"/>
              <w:jc w:val="center"/>
              <w:rPr>
                <w:rFonts w:ascii="Arial" w:hAnsi="Arial" w:cs="Arial"/>
                <w:b/>
                <w:bCs/>
                <w:sz w:val="16"/>
                <w:szCs w:val="16"/>
              </w:rPr>
            </w:pPr>
            <w:r w:rsidRPr="001F151E">
              <w:rPr>
                <w:rFonts w:ascii="Arial" w:hAnsi="Arial" w:cs="Arial"/>
                <w:b/>
                <w:bCs/>
                <w:sz w:val="16"/>
                <w:szCs w:val="16"/>
              </w:rPr>
              <w:t>2026</w:t>
            </w:r>
          </w:p>
        </w:tc>
      </w:tr>
      <w:tr w:rsidR="00F4321F" w:rsidRPr="001F151E" w14:paraId="59A7C0D8" w14:textId="77777777" w:rsidTr="000C70FA">
        <w:tc>
          <w:tcPr>
            <w:tcW w:w="3939" w:type="dxa"/>
            <w:tcBorders>
              <w:top w:val="single" w:sz="4" w:space="0" w:color="auto"/>
              <w:left w:val="single" w:sz="4" w:space="0" w:color="auto"/>
              <w:bottom w:val="single" w:sz="4" w:space="0" w:color="auto"/>
              <w:right w:val="single" w:sz="4" w:space="0" w:color="auto"/>
            </w:tcBorders>
            <w:hideMark/>
          </w:tcPr>
          <w:p w14:paraId="106B89D7" w14:textId="77777777" w:rsidR="00F4321F" w:rsidRPr="009D660E" w:rsidRDefault="00F4321F" w:rsidP="00CD7428">
            <w:pPr>
              <w:pStyle w:val="ListParagraph"/>
              <w:numPr>
                <w:ilvl w:val="0"/>
                <w:numId w:val="57"/>
              </w:numPr>
              <w:autoSpaceDE w:val="0"/>
              <w:autoSpaceDN w:val="0"/>
              <w:adjustRightInd w:val="0"/>
              <w:rPr>
                <w:rFonts w:eastAsia="Times New Roman"/>
                <w:bCs/>
                <w:sz w:val="16"/>
                <w:szCs w:val="16"/>
                <w:lang w:val="it-IT"/>
              </w:rPr>
            </w:pPr>
            <w:r w:rsidRPr="009D660E">
              <w:rPr>
                <w:rFonts w:eastAsia="Times New Roman"/>
                <w:bCs/>
                <w:sz w:val="16"/>
                <w:szCs w:val="16"/>
                <w:lang w:val="it-IT"/>
              </w:rPr>
              <w:t>Krijimi i kuadrit të duhur rregullator për vlerësimin dhe inventarizimin e aseteve publike.</w:t>
            </w:r>
          </w:p>
        </w:tc>
        <w:tc>
          <w:tcPr>
            <w:tcW w:w="919" w:type="dxa"/>
            <w:tcBorders>
              <w:top w:val="single" w:sz="4" w:space="0" w:color="auto"/>
              <w:left w:val="single" w:sz="4" w:space="0" w:color="auto"/>
              <w:bottom w:val="single" w:sz="4" w:space="0" w:color="auto"/>
              <w:right w:val="single" w:sz="4" w:space="0" w:color="auto"/>
            </w:tcBorders>
            <w:vAlign w:val="center"/>
          </w:tcPr>
          <w:p w14:paraId="0893AE43" w14:textId="77777777" w:rsidR="00F4321F" w:rsidRPr="001F151E" w:rsidRDefault="00F4321F" w:rsidP="000C70FA">
            <w:pPr>
              <w:pStyle w:val="EcorysBody"/>
              <w:jc w:val="center"/>
              <w:rPr>
                <w:rFonts w:ascii="Arial" w:hAnsi="Arial" w:cs="Arial"/>
                <w:color w:val="FF0000"/>
                <w:sz w:val="16"/>
                <w:szCs w:val="16"/>
              </w:rPr>
            </w:pPr>
            <w:r w:rsidRPr="001F151E">
              <w:rPr>
                <w:rFonts w:ascii="Arial" w:hAnsi="Arial" w:cs="Arial"/>
                <w:color w:val="FF0000"/>
                <w:sz w:val="16"/>
                <w:szCs w:val="16"/>
              </w:rPr>
              <w:t>-</w:t>
            </w:r>
          </w:p>
        </w:tc>
        <w:tc>
          <w:tcPr>
            <w:tcW w:w="1039" w:type="dxa"/>
            <w:tcBorders>
              <w:top w:val="single" w:sz="4" w:space="0" w:color="auto"/>
              <w:left w:val="single" w:sz="4" w:space="0" w:color="auto"/>
              <w:bottom w:val="single" w:sz="4" w:space="0" w:color="auto"/>
              <w:right w:val="single" w:sz="4" w:space="0" w:color="auto"/>
            </w:tcBorders>
            <w:vAlign w:val="center"/>
          </w:tcPr>
          <w:p w14:paraId="2490F9D0" w14:textId="77777777" w:rsidR="00F4321F" w:rsidRPr="001F151E" w:rsidRDefault="00F4321F" w:rsidP="000C70FA">
            <w:pPr>
              <w:pStyle w:val="EcorysBody"/>
              <w:jc w:val="center"/>
              <w:rPr>
                <w:rFonts w:ascii="Arial" w:hAnsi="Arial" w:cs="Arial"/>
                <w:sz w:val="16"/>
                <w:szCs w:val="16"/>
              </w:rPr>
            </w:pPr>
            <w:r>
              <w:rPr>
                <w:rFonts w:ascii="Arial" w:hAnsi="Arial" w:cs="Arial"/>
                <w:sz w:val="16"/>
                <w:szCs w:val="16"/>
              </w:rPr>
              <w:t>K</w:t>
            </w:r>
            <w:r w:rsidRPr="00DC32BE">
              <w:rPr>
                <w:rFonts w:ascii="Arial" w:hAnsi="Arial" w:cs="Arial"/>
                <w:sz w:val="16"/>
                <w:szCs w:val="16"/>
              </w:rPr>
              <w:t>oncept</w:t>
            </w:r>
            <w:r>
              <w:rPr>
                <w:rFonts w:ascii="Arial" w:hAnsi="Arial" w:cs="Arial"/>
                <w:sz w:val="16"/>
                <w:szCs w:val="16"/>
              </w:rPr>
              <w:t xml:space="preserve"> dokumenti</w:t>
            </w:r>
            <w:r w:rsidRPr="00DC32BE">
              <w:rPr>
                <w:rFonts w:ascii="Arial" w:hAnsi="Arial" w:cs="Arial"/>
                <w:sz w:val="16"/>
                <w:szCs w:val="16"/>
              </w:rPr>
              <w:t xml:space="preserve"> i përgatitur</w:t>
            </w:r>
          </w:p>
        </w:tc>
        <w:tc>
          <w:tcPr>
            <w:tcW w:w="1040" w:type="dxa"/>
            <w:tcBorders>
              <w:top w:val="single" w:sz="4" w:space="0" w:color="auto"/>
              <w:left w:val="single" w:sz="4" w:space="0" w:color="auto"/>
              <w:bottom w:val="single" w:sz="4" w:space="0" w:color="auto"/>
              <w:right w:val="single" w:sz="4" w:space="0" w:color="auto"/>
            </w:tcBorders>
            <w:vAlign w:val="center"/>
          </w:tcPr>
          <w:p w14:paraId="68CC6040" w14:textId="77777777" w:rsidR="00F4321F" w:rsidRPr="001F151E" w:rsidRDefault="00F4321F" w:rsidP="000C70FA">
            <w:pPr>
              <w:pStyle w:val="EcorysBody"/>
              <w:jc w:val="center"/>
              <w:rPr>
                <w:rFonts w:ascii="Arial" w:hAnsi="Arial" w:cs="Arial"/>
                <w:sz w:val="16"/>
                <w:szCs w:val="16"/>
              </w:rPr>
            </w:pPr>
            <w:r w:rsidRPr="00DC32BE">
              <w:rPr>
                <w:rFonts w:ascii="Arial" w:hAnsi="Arial" w:cs="Arial"/>
                <w:sz w:val="16"/>
                <w:szCs w:val="16"/>
              </w:rPr>
              <w:t>K</w:t>
            </w:r>
            <w:r>
              <w:rPr>
                <w:rFonts w:ascii="Arial" w:hAnsi="Arial" w:cs="Arial"/>
                <w:sz w:val="16"/>
                <w:szCs w:val="16"/>
              </w:rPr>
              <w:t>uadri</w:t>
            </w:r>
            <w:r w:rsidRPr="00DC32BE">
              <w:rPr>
                <w:rFonts w:ascii="Arial" w:hAnsi="Arial" w:cs="Arial"/>
                <w:sz w:val="16"/>
                <w:szCs w:val="16"/>
              </w:rPr>
              <w:t xml:space="preserve"> rregullat</w:t>
            </w:r>
            <w:r>
              <w:rPr>
                <w:rFonts w:ascii="Arial" w:hAnsi="Arial" w:cs="Arial"/>
                <w:sz w:val="16"/>
                <w:szCs w:val="16"/>
              </w:rPr>
              <w:t xml:space="preserve">or i </w:t>
            </w:r>
            <w:r w:rsidRPr="00DC32BE">
              <w:rPr>
                <w:rFonts w:ascii="Arial" w:hAnsi="Arial" w:cs="Arial"/>
                <w:sz w:val="16"/>
                <w:szCs w:val="16"/>
              </w:rPr>
              <w:t>hartuar</w:t>
            </w:r>
          </w:p>
        </w:tc>
        <w:tc>
          <w:tcPr>
            <w:tcW w:w="1039" w:type="dxa"/>
            <w:tcBorders>
              <w:top w:val="single" w:sz="4" w:space="0" w:color="auto"/>
              <w:left w:val="single" w:sz="4" w:space="0" w:color="auto"/>
              <w:bottom w:val="single" w:sz="4" w:space="0" w:color="auto"/>
              <w:right w:val="single" w:sz="4" w:space="0" w:color="auto"/>
            </w:tcBorders>
            <w:vAlign w:val="center"/>
          </w:tcPr>
          <w:p w14:paraId="0395603B" w14:textId="77777777" w:rsidR="00F4321F" w:rsidRPr="001F151E" w:rsidRDefault="00F4321F" w:rsidP="000C70FA">
            <w:pPr>
              <w:pStyle w:val="EcorysBody"/>
              <w:jc w:val="center"/>
              <w:rPr>
                <w:rFonts w:ascii="Arial" w:hAnsi="Arial" w:cs="Arial"/>
                <w:sz w:val="16"/>
                <w:szCs w:val="16"/>
              </w:rPr>
            </w:pPr>
            <w:r w:rsidRPr="00DC32BE">
              <w:rPr>
                <w:rFonts w:ascii="Arial" w:hAnsi="Arial" w:cs="Arial"/>
                <w:sz w:val="16"/>
                <w:szCs w:val="16"/>
              </w:rPr>
              <w:t>K</w:t>
            </w:r>
            <w:r>
              <w:rPr>
                <w:rFonts w:ascii="Arial" w:hAnsi="Arial" w:cs="Arial"/>
                <w:sz w:val="16"/>
                <w:szCs w:val="16"/>
              </w:rPr>
              <w:t>uadri</w:t>
            </w:r>
            <w:r w:rsidRPr="00DC32BE">
              <w:rPr>
                <w:rFonts w:ascii="Arial" w:hAnsi="Arial" w:cs="Arial"/>
                <w:sz w:val="16"/>
                <w:szCs w:val="16"/>
              </w:rPr>
              <w:t xml:space="preserve"> rregullat</w:t>
            </w:r>
            <w:r>
              <w:rPr>
                <w:rFonts w:ascii="Arial" w:hAnsi="Arial" w:cs="Arial"/>
                <w:sz w:val="16"/>
                <w:szCs w:val="16"/>
              </w:rPr>
              <w:t>or i miratuar</w:t>
            </w:r>
          </w:p>
        </w:tc>
        <w:tc>
          <w:tcPr>
            <w:tcW w:w="1040" w:type="dxa"/>
            <w:tcBorders>
              <w:top w:val="single" w:sz="4" w:space="0" w:color="auto"/>
              <w:left w:val="single" w:sz="4" w:space="0" w:color="auto"/>
              <w:bottom w:val="single" w:sz="4" w:space="0" w:color="auto"/>
              <w:right w:val="single" w:sz="4" w:space="0" w:color="auto"/>
            </w:tcBorders>
            <w:vAlign w:val="center"/>
          </w:tcPr>
          <w:p w14:paraId="149956E8" w14:textId="77777777" w:rsidR="00F4321F" w:rsidRPr="001F151E" w:rsidRDefault="00F4321F" w:rsidP="000C70FA">
            <w:pPr>
              <w:pStyle w:val="EcorysBody"/>
              <w:jc w:val="center"/>
              <w:rPr>
                <w:rFonts w:ascii="Arial" w:hAnsi="Arial" w:cs="Arial"/>
                <w:sz w:val="16"/>
                <w:szCs w:val="16"/>
              </w:rPr>
            </w:pPr>
            <w:r w:rsidRPr="001F151E">
              <w:rPr>
                <w:rFonts w:ascii="Arial" w:hAnsi="Arial" w:cs="Arial"/>
                <w:sz w:val="16"/>
                <w:szCs w:val="16"/>
              </w:rPr>
              <w:t>-</w:t>
            </w:r>
          </w:p>
        </w:tc>
      </w:tr>
      <w:tr w:rsidR="00F4321F" w:rsidRPr="001F151E" w14:paraId="3C1F56D5" w14:textId="77777777" w:rsidTr="000C70FA">
        <w:tc>
          <w:tcPr>
            <w:tcW w:w="3939" w:type="dxa"/>
            <w:tcBorders>
              <w:top w:val="single" w:sz="4" w:space="0" w:color="auto"/>
              <w:left w:val="single" w:sz="4" w:space="0" w:color="auto"/>
              <w:bottom w:val="single" w:sz="4" w:space="0" w:color="auto"/>
              <w:right w:val="single" w:sz="4" w:space="0" w:color="auto"/>
            </w:tcBorders>
            <w:hideMark/>
          </w:tcPr>
          <w:p w14:paraId="139E1203" w14:textId="0E984890" w:rsidR="00F4321F" w:rsidRPr="0059094E" w:rsidRDefault="00F4321F" w:rsidP="00C92D62">
            <w:pPr>
              <w:pStyle w:val="ListParagraph"/>
              <w:numPr>
                <w:ilvl w:val="0"/>
                <w:numId w:val="57"/>
              </w:numPr>
              <w:autoSpaceDE w:val="0"/>
              <w:autoSpaceDN w:val="0"/>
              <w:adjustRightInd w:val="0"/>
              <w:rPr>
                <w:sz w:val="16"/>
                <w:szCs w:val="16"/>
                <w:lang w:val="en-US"/>
              </w:rPr>
            </w:pPr>
            <w:r w:rsidRPr="0059094E">
              <w:rPr>
                <w:rFonts w:eastAsia="Times New Roman"/>
                <w:bCs/>
                <w:sz w:val="16"/>
                <w:szCs w:val="16"/>
                <w:lang w:val="en-US"/>
              </w:rPr>
              <w:t>Përgatitja e një regjistri të konsoliduar të aseteve</w:t>
            </w:r>
            <w:r w:rsidR="00C92D62" w:rsidRPr="0059094E">
              <w:rPr>
                <w:rFonts w:eastAsia="Times New Roman"/>
                <w:bCs/>
                <w:sz w:val="16"/>
                <w:szCs w:val="16"/>
                <w:lang w:val="en-US"/>
              </w:rPr>
              <w:t xml:space="preserve"> në institucionet qendrore, në nivel njësie kontrolluese</w:t>
            </w:r>
            <w:r w:rsidRPr="0059094E">
              <w:rPr>
                <w:sz w:val="16"/>
                <w:szCs w:val="16"/>
                <w:lang w:val="en-US"/>
              </w:rPr>
              <w:t>.</w:t>
            </w:r>
          </w:p>
        </w:tc>
        <w:tc>
          <w:tcPr>
            <w:tcW w:w="919" w:type="dxa"/>
            <w:tcBorders>
              <w:top w:val="single" w:sz="4" w:space="0" w:color="auto"/>
              <w:left w:val="single" w:sz="4" w:space="0" w:color="auto"/>
              <w:bottom w:val="single" w:sz="4" w:space="0" w:color="auto"/>
              <w:right w:val="single" w:sz="4" w:space="0" w:color="auto"/>
            </w:tcBorders>
            <w:vAlign w:val="center"/>
          </w:tcPr>
          <w:p w14:paraId="3225B403" w14:textId="77777777" w:rsidR="00F4321F" w:rsidRPr="001F151E" w:rsidRDefault="00F4321F" w:rsidP="000C70FA">
            <w:pPr>
              <w:pStyle w:val="EcorysBody"/>
              <w:jc w:val="center"/>
              <w:rPr>
                <w:rFonts w:ascii="Arial" w:hAnsi="Arial" w:cs="Arial"/>
                <w:sz w:val="16"/>
                <w:szCs w:val="16"/>
              </w:rPr>
            </w:pPr>
            <w:r w:rsidRPr="001F151E">
              <w:rPr>
                <w:rFonts w:ascii="Arial" w:hAnsi="Arial" w:cs="Arial"/>
                <w:sz w:val="16"/>
                <w:szCs w:val="16"/>
              </w:rPr>
              <w:t>-</w:t>
            </w:r>
          </w:p>
        </w:tc>
        <w:tc>
          <w:tcPr>
            <w:tcW w:w="1039" w:type="dxa"/>
            <w:tcBorders>
              <w:top w:val="single" w:sz="4" w:space="0" w:color="auto"/>
              <w:left w:val="single" w:sz="4" w:space="0" w:color="auto"/>
              <w:bottom w:val="single" w:sz="4" w:space="0" w:color="auto"/>
              <w:right w:val="single" w:sz="4" w:space="0" w:color="auto"/>
            </w:tcBorders>
            <w:vAlign w:val="center"/>
          </w:tcPr>
          <w:p w14:paraId="6B77B665" w14:textId="77777777" w:rsidR="00F4321F" w:rsidRPr="001F151E" w:rsidRDefault="00F4321F" w:rsidP="000C70FA">
            <w:pPr>
              <w:pStyle w:val="EcorysBody"/>
              <w:jc w:val="center"/>
              <w:rPr>
                <w:rFonts w:ascii="Arial" w:hAnsi="Arial" w:cs="Arial"/>
                <w:sz w:val="16"/>
                <w:szCs w:val="16"/>
              </w:rPr>
            </w:pPr>
            <w:r>
              <w:rPr>
                <w:rFonts w:ascii="Arial" w:hAnsi="Arial" w:cs="Arial"/>
                <w:sz w:val="16"/>
                <w:szCs w:val="16"/>
              </w:rPr>
              <w:t>K</w:t>
            </w:r>
            <w:r w:rsidRPr="00DC32BE">
              <w:rPr>
                <w:rFonts w:ascii="Arial" w:hAnsi="Arial" w:cs="Arial"/>
                <w:sz w:val="16"/>
                <w:szCs w:val="16"/>
              </w:rPr>
              <w:t>oncept</w:t>
            </w:r>
            <w:r>
              <w:rPr>
                <w:rFonts w:ascii="Arial" w:hAnsi="Arial" w:cs="Arial"/>
                <w:sz w:val="16"/>
                <w:szCs w:val="16"/>
              </w:rPr>
              <w:t xml:space="preserve"> dokumenti</w:t>
            </w:r>
            <w:r w:rsidRPr="00DC32BE">
              <w:rPr>
                <w:rFonts w:ascii="Arial" w:hAnsi="Arial" w:cs="Arial"/>
                <w:sz w:val="16"/>
                <w:szCs w:val="16"/>
              </w:rPr>
              <w:t xml:space="preserve"> i përgatitur</w:t>
            </w:r>
          </w:p>
        </w:tc>
        <w:tc>
          <w:tcPr>
            <w:tcW w:w="1040" w:type="dxa"/>
            <w:tcBorders>
              <w:top w:val="single" w:sz="4" w:space="0" w:color="auto"/>
              <w:left w:val="single" w:sz="4" w:space="0" w:color="auto"/>
              <w:bottom w:val="single" w:sz="4" w:space="0" w:color="auto"/>
              <w:right w:val="single" w:sz="4" w:space="0" w:color="auto"/>
            </w:tcBorders>
            <w:vAlign w:val="center"/>
          </w:tcPr>
          <w:p w14:paraId="6A9D42B1" w14:textId="77777777" w:rsidR="00F4321F" w:rsidRPr="001F151E" w:rsidRDefault="00F4321F" w:rsidP="000C70FA">
            <w:pPr>
              <w:pStyle w:val="EcorysBody"/>
              <w:jc w:val="center"/>
              <w:rPr>
                <w:rFonts w:ascii="Arial" w:hAnsi="Arial" w:cs="Arial"/>
                <w:sz w:val="16"/>
                <w:szCs w:val="16"/>
              </w:rPr>
            </w:pPr>
            <w:r>
              <w:rPr>
                <w:rFonts w:ascii="Arial" w:hAnsi="Arial" w:cs="Arial"/>
                <w:sz w:val="16"/>
                <w:szCs w:val="16"/>
              </w:rPr>
              <w:t>Hartuar</w:t>
            </w:r>
          </w:p>
        </w:tc>
        <w:tc>
          <w:tcPr>
            <w:tcW w:w="1039" w:type="dxa"/>
            <w:tcBorders>
              <w:top w:val="single" w:sz="4" w:space="0" w:color="auto"/>
              <w:left w:val="single" w:sz="4" w:space="0" w:color="auto"/>
              <w:bottom w:val="single" w:sz="4" w:space="0" w:color="auto"/>
              <w:right w:val="single" w:sz="4" w:space="0" w:color="auto"/>
            </w:tcBorders>
            <w:vAlign w:val="center"/>
          </w:tcPr>
          <w:p w14:paraId="2E145FD6" w14:textId="77777777" w:rsidR="00F4321F" w:rsidRPr="001F151E" w:rsidRDefault="00F4321F" w:rsidP="000C70FA">
            <w:pPr>
              <w:pStyle w:val="EcorysBody"/>
              <w:jc w:val="center"/>
              <w:rPr>
                <w:rFonts w:ascii="Arial" w:hAnsi="Arial" w:cs="Arial"/>
                <w:sz w:val="16"/>
                <w:szCs w:val="16"/>
              </w:rPr>
            </w:pPr>
            <w:r>
              <w:rPr>
                <w:rFonts w:ascii="Arial" w:hAnsi="Arial" w:cs="Arial"/>
                <w:sz w:val="16"/>
                <w:szCs w:val="16"/>
              </w:rPr>
              <w:t>Hartuar</w:t>
            </w:r>
          </w:p>
        </w:tc>
        <w:tc>
          <w:tcPr>
            <w:tcW w:w="1040" w:type="dxa"/>
            <w:tcBorders>
              <w:top w:val="single" w:sz="4" w:space="0" w:color="auto"/>
              <w:left w:val="single" w:sz="4" w:space="0" w:color="auto"/>
              <w:bottom w:val="single" w:sz="4" w:space="0" w:color="auto"/>
              <w:right w:val="single" w:sz="4" w:space="0" w:color="auto"/>
            </w:tcBorders>
            <w:vAlign w:val="center"/>
          </w:tcPr>
          <w:p w14:paraId="5EAD5EEB" w14:textId="77777777" w:rsidR="00F4321F" w:rsidRPr="001F151E" w:rsidRDefault="00F4321F" w:rsidP="000C70FA">
            <w:pPr>
              <w:pStyle w:val="EcorysBody"/>
              <w:jc w:val="center"/>
              <w:rPr>
                <w:rFonts w:ascii="Arial" w:hAnsi="Arial" w:cs="Arial"/>
                <w:sz w:val="16"/>
                <w:szCs w:val="16"/>
              </w:rPr>
            </w:pPr>
            <w:r>
              <w:rPr>
                <w:rFonts w:ascii="Arial" w:hAnsi="Arial" w:cs="Arial"/>
                <w:sz w:val="16"/>
                <w:szCs w:val="16"/>
              </w:rPr>
              <w:t>Miratuar</w:t>
            </w:r>
          </w:p>
        </w:tc>
      </w:tr>
    </w:tbl>
    <w:p w14:paraId="3BBFED41" w14:textId="75166F43" w:rsidR="0087716B" w:rsidRPr="001F151E" w:rsidRDefault="0087716B">
      <w:pPr>
        <w:spacing w:after="160" w:line="259" w:lineRule="auto"/>
        <w:rPr>
          <w:rFonts w:eastAsiaTheme="majorEastAsia" w:cstheme="majorBidi"/>
          <w:b/>
          <w:bCs/>
          <w:iCs/>
          <w:color w:val="0070C0"/>
          <w:sz w:val="26"/>
          <w:szCs w:val="26"/>
          <w:lang w:val="en-GB"/>
        </w:rPr>
      </w:pPr>
    </w:p>
    <w:p w14:paraId="5A1A2F4D" w14:textId="77777777" w:rsidR="008E03E2" w:rsidRPr="001F151E" w:rsidRDefault="008E03E2">
      <w:pPr>
        <w:spacing w:after="160" w:line="259" w:lineRule="auto"/>
        <w:rPr>
          <w:rFonts w:eastAsiaTheme="majorEastAsia" w:cstheme="majorBidi"/>
          <w:b/>
          <w:bCs/>
          <w:iCs/>
          <w:color w:val="0070C0"/>
          <w:sz w:val="26"/>
          <w:szCs w:val="26"/>
          <w:lang w:val="en-GB"/>
        </w:rPr>
      </w:pPr>
      <w:r w:rsidRPr="001F151E">
        <w:rPr>
          <w:lang w:val="en-GB"/>
        </w:rPr>
        <w:br w:type="page"/>
      </w:r>
    </w:p>
    <w:p w14:paraId="59101922" w14:textId="77777777" w:rsidR="000F0526" w:rsidRPr="009D660E" w:rsidRDefault="000F0526" w:rsidP="000F0526">
      <w:pPr>
        <w:pStyle w:val="Heading1"/>
        <w:rPr>
          <w:lang w:val="it-IT"/>
        </w:rPr>
      </w:pPr>
      <w:bookmarkStart w:id="49" w:name="_Toc161748831"/>
      <w:bookmarkEnd w:id="48"/>
      <w:r w:rsidRPr="009D660E">
        <w:rPr>
          <w:lang w:val="it-IT"/>
        </w:rPr>
        <w:t>Shtylla 5 Kontrolli i Brendshëm Financiar Publik</w:t>
      </w:r>
      <w:bookmarkEnd w:id="49"/>
    </w:p>
    <w:p w14:paraId="59A11533" w14:textId="77777777" w:rsidR="000F0526" w:rsidRPr="009D660E" w:rsidRDefault="000F0526" w:rsidP="000F0526">
      <w:pPr>
        <w:rPr>
          <w:lang w:val="it-IT"/>
        </w:rPr>
      </w:pPr>
    </w:p>
    <w:p w14:paraId="13B73C4B" w14:textId="77777777" w:rsidR="000F0526" w:rsidRPr="009D660E" w:rsidRDefault="000F0526" w:rsidP="000F0526">
      <w:pPr>
        <w:rPr>
          <w:lang w:val="it-IT"/>
        </w:rPr>
      </w:pPr>
    </w:p>
    <w:p w14:paraId="7790B8E6" w14:textId="77777777" w:rsidR="000F0526" w:rsidRPr="001F151E" w:rsidRDefault="000F0526" w:rsidP="000F0526">
      <w:pPr>
        <w:pStyle w:val="Heading2"/>
        <w:rPr>
          <w:lang w:val="en-GB"/>
        </w:rPr>
      </w:pPr>
      <w:bookmarkStart w:id="50" w:name="_Toc161748832"/>
      <w:r>
        <w:rPr>
          <w:lang w:val="en-GB"/>
        </w:rPr>
        <w:t>Hyrje</w:t>
      </w:r>
      <w:bookmarkEnd w:id="50"/>
    </w:p>
    <w:p w14:paraId="06123D7A" w14:textId="77777777" w:rsidR="000F0526" w:rsidRPr="001F151E" w:rsidRDefault="000F0526" w:rsidP="000F0526">
      <w:pPr>
        <w:spacing w:line="276" w:lineRule="auto"/>
        <w:jc w:val="both"/>
        <w:rPr>
          <w:lang w:val="en-GB"/>
        </w:rPr>
      </w:pPr>
    </w:p>
    <w:p w14:paraId="04CD36C8" w14:textId="77777777" w:rsidR="000F0526" w:rsidRPr="001F151E" w:rsidRDefault="000F0526" w:rsidP="000F0526">
      <w:pPr>
        <w:spacing w:line="276" w:lineRule="auto"/>
        <w:jc w:val="both"/>
        <w:rPr>
          <w:lang w:val="en-GB"/>
        </w:rPr>
      </w:pPr>
      <w:r w:rsidRPr="008C4A75">
        <w:rPr>
          <w:lang w:val="en-GB"/>
        </w:rPr>
        <w:t xml:space="preserve">Objektivi specifik </w:t>
      </w:r>
      <w:r>
        <w:rPr>
          <w:lang w:val="en-GB"/>
        </w:rPr>
        <w:t xml:space="preserve">i Shtyllës </w:t>
      </w:r>
      <w:r w:rsidRPr="008C4A75">
        <w:rPr>
          <w:lang w:val="en-GB"/>
        </w:rPr>
        <w:t xml:space="preserve">5 </w:t>
      </w:r>
      <w:r>
        <w:rPr>
          <w:lang w:val="en-GB"/>
        </w:rPr>
        <w:t xml:space="preserve">është </w:t>
      </w:r>
      <w:r w:rsidRPr="008C4A75">
        <w:rPr>
          <w:lang w:val="en-GB"/>
        </w:rPr>
        <w:t xml:space="preserve">“Sistemi i Kontrollit të Brendshëm Financiar Publik profesionalizohet më tej në të gjitha institucionet buxhetore në përputhje me kërkesat e integrimit në BE” </w:t>
      </w:r>
      <w:r>
        <w:rPr>
          <w:lang w:val="en-GB"/>
        </w:rPr>
        <w:t xml:space="preserve">dhe </w:t>
      </w:r>
      <w:r w:rsidRPr="008C4A75">
        <w:rPr>
          <w:lang w:val="en-GB"/>
        </w:rPr>
        <w:t>mbulon M</w:t>
      </w:r>
      <w:r>
        <w:rPr>
          <w:lang w:val="en-GB"/>
        </w:rPr>
        <w:t>enaxhimin Financiar dhe Kontrollin</w:t>
      </w:r>
      <w:r w:rsidRPr="008C4A75">
        <w:rPr>
          <w:lang w:val="en-GB"/>
        </w:rPr>
        <w:t xml:space="preserve">, Auditimin e Brendshëm, Inspektimin Financiar Publik dhe </w:t>
      </w:r>
      <w:r>
        <w:rPr>
          <w:lang w:val="en-GB"/>
        </w:rPr>
        <w:t>Shërbimet e Koordinimit kundër Mashtrimit,</w:t>
      </w:r>
      <w:r w:rsidRPr="008C4A75">
        <w:rPr>
          <w:lang w:val="en-GB"/>
        </w:rPr>
        <w:t xml:space="preserve"> </w:t>
      </w:r>
      <w:r>
        <w:rPr>
          <w:lang w:val="en-GB"/>
        </w:rPr>
        <w:t xml:space="preserve">dhe </w:t>
      </w:r>
      <w:r w:rsidRPr="008C4A75">
        <w:rPr>
          <w:lang w:val="en-GB"/>
        </w:rPr>
        <w:t>menaxhimin e fondeve të BE-së.</w:t>
      </w:r>
    </w:p>
    <w:p w14:paraId="4FBB58BE" w14:textId="77777777" w:rsidR="000F0526" w:rsidRPr="001F151E" w:rsidRDefault="000F0526" w:rsidP="000F0526">
      <w:pPr>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9026"/>
      </w:tblGrid>
      <w:tr w:rsidR="000F0526" w:rsidRPr="0059094E" w14:paraId="7184F420" w14:textId="77777777" w:rsidTr="000C70FA">
        <w:trPr>
          <w:trHeight w:val="6856"/>
        </w:trPr>
        <w:tc>
          <w:tcPr>
            <w:tcW w:w="9016" w:type="dxa"/>
            <w:shd w:val="clear" w:color="auto" w:fill="F2F2F2" w:themeFill="background1" w:themeFillShade="F2"/>
          </w:tcPr>
          <w:p w14:paraId="614852CE" w14:textId="77777777" w:rsidR="000F0526" w:rsidRPr="00F664B4" w:rsidRDefault="000F0526" w:rsidP="000C70FA">
            <w:pPr>
              <w:spacing w:after="60" w:line="220" w:lineRule="exact"/>
              <w:jc w:val="both"/>
              <w:rPr>
                <w:b/>
                <w:bCs/>
                <w:sz w:val="16"/>
                <w:szCs w:val="16"/>
              </w:rPr>
            </w:pPr>
            <w:r w:rsidRPr="00F664B4">
              <w:rPr>
                <w:b/>
                <w:bCs/>
                <w:sz w:val="16"/>
                <w:szCs w:val="16"/>
              </w:rPr>
              <w:t>Komponenti 5.1 Menaxhimi Financiar dhe Kontrolli</w:t>
            </w:r>
          </w:p>
          <w:p w14:paraId="2E9D8440" w14:textId="77777777" w:rsidR="000F0526" w:rsidRPr="00F664B4" w:rsidRDefault="000F0526" w:rsidP="000C70FA">
            <w:pPr>
              <w:pStyle w:val="T-normal"/>
              <w:spacing w:after="60" w:line="220" w:lineRule="exact"/>
              <w:jc w:val="both"/>
            </w:pPr>
            <w:r w:rsidRPr="00F664B4">
              <w:t>Synimi 2030: Sisteme të fuqishme të MFK-së funksionale në të gjitha Institucionet Publike në përputhje me legjislacionin kombëtar dhe praktikat e mira ndërkombëtare/BE.</w:t>
            </w:r>
          </w:p>
          <w:p w14:paraId="6BE755CD" w14:textId="77777777" w:rsidR="000F0526" w:rsidRPr="00F664B4" w:rsidRDefault="000F0526" w:rsidP="000C70FA">
            <w:pPr>
              <w:pStyle w:val="T-normal"/>
              <w:spacing w:line="220" w:lineRule="exact"/>
              <w:jc w:val="both"/>
            </w:pPr>
            <w:r w:rsidRPr="00F664B4">
              <w:t>Masat p</w:t>
            </w:r>
            <w:r>
              <w:t>ë</w:t>
            </w:r>
            <w:r w:rsidRPr="00F664B4">
              <w:t>r vitet 2023-2026:</w:t>
            </w:r>
          </w:p>
          <w:p w14:paraId="24D38F69" w14:textId="77777777" w:rsidR="000F0526" w:rsidRPr="00F664B4" w:rsidRDefault="000F0526" w:rsidP="000C70FA">
            <w:pPr>
              <w:pStyle w:val="T-bullet0"/>
              <w:spacing w:line="220" w:lineRule="exact"/>
              <w:jc w:val="both"/>
            </w:pPr>
            <w:r>
              <w:t xml:space="preserve">Masa </w:t>
            </w:r>
            <w:r w:rsidRPr="00F664B4">
              <w:t>5.1.1 P</w:t>
            </w:r>
            <w:r>
              <w:t>ë</w:t>
            </w:r>
            <w:r w:rsidRPr="00F664B4">
              <w:t>rmir</w:t>
            </w:r>
            <w:r>
              <w:t>ë</w:t>
            </w:r>
            <w:r w:rsidRPr="00F664B4">
              <w:t>simi i kuadrit ligjor dhe rregullator për MFK-në;</w:t>
            </w:r>
          </w:p>
          <w:p w14:paraId="63318563" w14:textId="77777777" w:rsidR="000F0526" w:rsidRPr="00F664B4" w:rsidRDefault="000F0526" w:rsidP="000C70FA">
            <w:pPr>
              <w:pStyle w:val="T-bullet0"/>
              <w:spacing w:line="220" w:lineRule="exact"/>
              <w:jc w:val="both"/>
            </w:pPr>
            <w:r>
              <w:t>Masa</w:t>
            </w:r>
            <w:r w:rsidRPr="00F664B4">
              <w:t xml:space="preserve"> 5.1.2 P</w:t>
            </w:r>
            <w:r>
              <w:t>ë</w:t>
            </w:r>
            <w:r w:rsidRPr="00F664B4">
              <w:t>rmir</w:t>
            </w:r>
            <w:r>
              <w:t>ë</w:t>
            </w:r>
            <w:r w:rsidRPr="00F664B4">
              <w:t>simi i llogaridhënies menaxheriale në institucionet publike;</w:t>
            </w:r>
          </w:p>
          <w:p w14:paraId="7DD7036C" w14:textId="77777777" w:rsidR="000F0526" w:rsidRPr="00F664B4" w:rsidRDefault="000F0526" w:rsidP="000C70FA">
            <w:pPr>
              <w:pStyle w:val="T-bullet0"/>
              <w:spacing w:line="220" w:lineRule="exact"/>
              <w:jc w:val="both"/>
            </w:pPr>
            <w:r>
              <w:t>Masa</w:t>
            </w:r>
            <w:r w:rsidRPr="00F664B4">
              <w:t xml:space="preserve"> 5.1.3 Forcimi i praktikave t</w:t>
            </w:r>
            <w:r>
              <w:t>ë</w:t>
            </w:r>
            <w:r w:rsidRPr="00F664B4">
              <w:t xml:space="preserve"> Menaxhimit të Riskut;</w:t>
            </w:r>
          </w:p>
          <w:p w14:paraId="3CAB4BFB" w14:textId="77777777" w:rsidR="000F0526" w:rsidRPr="00F664B4" w:rsidRDefault="000F0526" w:rsidP="000C70FA">
            <w:pPr>
              <w:pStyle w:val="T-bullet0"/>
              <w:spacing w:line="220" w:lineRule="exact"/>
              <w:jc w:val="both"/>
            </w:pPr>
            <w:r>
              <w:t>Masa</w:t>
            </w:r>
            <w:r w:rsidRPr="00F664B4">
              <w:t xml:space="preserve"> 5.1.4 P</w:t>
            </w:r>
            <w:r>
              <w:t>ë</w:t>
            </w:r>
            <w:r w:rsidRPr="00F664B4">
              <w:t>rmir</w:t>
            </w:r>
            <w:r>
              <w:t>ë</w:t>
            </w:r>
            <w:r w:rsidRPr="00F664B4">
              <w:t>simi i vlerësimit dhe përmirësimit të cilësisë së MFK-së në institucionet publike.</w:t>
            </w:r>
          </w:p>
          <w:p w14:paraId="128EBEDE" w14:textId="77777777" w:rsidR="000F0526" w:rsidRPr="00F664B4" w:rsidRDefault="000F0526" w:rsidP="000C70FA">
            <w:pPr>
              <w:spacing w:after="60" w:line="220" w:lineRule="exact"/>
              <w:jc w:val="both"/>
              <w:rPr>
                <w:b/>
                <w:bCs/>
                <w:sz w:val="16"/>
                <w:szCs w:val="16"/>
              </w:rPr>
            </w:pPr>
          </w:p>
          <w:p w14:paraId="093D0698" w14:textId="77777777" w:rsidR="000F0526" w:rsidRPr="00F664B4" w:rsidRDefault="000F0526" w:rsidP="000C70FA">
            <w:pPr>
              <w:spacing w:after="60" w:line="220" w:lineRule="exact"/>
              <w:jc w:val="both"/>
              <w:rPr>
                <w:b/>
                <w:bCs/>
                <w:sz w:val="16"/>
                <w:szCs w:val="16"/>
              </w:rPr>
            </w:pPr>
            <w:r w:rsidRPr="00F664B4">
              <w:rPr>
                <w:b/>
                <w:bCs/>
                <w:sz w:val="16"/>
                <w:szCs w:val="16"/>
              </w:rPr>
              <w:t>Komponenti 5.2 Auditimi i Brendsh</w:t>
            </w:r>
            <w:r>
              <w:rPr>
                <w:b/>
                <w:bCs/>
                <w:sz w:val="16"/>
                <w:szCs w:val="16"/>
              </w:rPr>
              <w:t>ë</w:t>
            </w:r>
            <w:r w:rsidRPr="00F664B4">
              <w:rPr>
                <w:b/>
                <w:bCs/>
                <w:sz w:val="16"/>
                <w:szCs w:val="16"/>
              </w:rPr>
              <w:t>m</w:t>
            </w:r>
          </w:p>
          <w:p w14:paraId="0532B4B0" w14:textId="77777777" w:rsidR="000F0526" w:rsidRPr="00F664B4" w:rsidRDefault="000F0526" w:rsidP="000C70FA">
            <w:pPr>
              <w:pStyle w:val="T-normal"/>
              <w:spacing w:after="60" w:line="220" w:lineRule="exact"/>
              <w:jc w:val="both"/>
            </w:pPr>
            <w:r w:rsidRPr="00F664B4">
              <w:t>Synimi 2030: Auditimi i brendshëm me vlerë të shtuar në të gjitha institucionet publike në përputhje me standardet ndërkombëtare.</w:t>
            </w:r>
          </w:p>
          <w:p w14:paraId="054A71A6" w14:textId="77777777" w:rsidR="000F0526" w:rsidRPr="00F664B4" w:rsidRDefault="000F0526" w:rsidP="000C70FA">
            <w:pPr>
              <w:pStyle w:val="T-normal"/>
              <w:spacing w:line="220" w:lineRule="exact"/>
              <w:jc w:val="both"/>
            </w:pPr>
            <w:r w:rsidRPr="00F664B4">
              <w:t>Masat p</w:t>
            </w:r>
            <w:r>
              <w:t>ë</w:t>
            </w:r>
            <w:r w:rsidRPr="00F664B4">
              <w:t>r vitet 2023-2026:</w:t>
            </w:r>
          </w:p>
          <w:p w14:paraId="13F69924" w14:textId="77777777" w:rsidR="000F0526" w:rsidRPr="00F664B4" w:rsidRDefault="000F0526" w:rsidP="000C70FA">
            <w:pPr>
              <w:pStyle w:val="T-bullet0"/>
              <w:spacing w:line="220" w:lineRule="exact"/>
              <w:jc w:val="both"/>
            </w:pPr>
            <w:r>
              <w:t>Masa</w:t>
            </w:r>
            <w:r w:rsidRPr="00F664B4">
              <w:t xml:space="preserve"> 5.2.1 </w:t>
            </w:r>
            <w:r w:rsidRPr="00F664B4">
              <w:rPr>
                <w:rStyle w:val="rynqvb"/>
              </w:rPr>
              <w:t>Vazhdimi i mbikëqyrjes dhe zgjerimi i shërbimeve mbështetëse për institucionet publike dhe ekipet e auditimit të brendshëm</w:t>
            </w:r>
            <w:r w:rsidRPr="00F664B4">
              <w:t>;</w:t>
            </w:r>
          </w:p>
          <w:p w14:paraId="765DB784" w14:textId="77777777" w:rsidR="000F0526" w:rsidRPr="00F664B4" w:rsidRDefault="000F0526" w:rsidP="000C70FA">
            <w:pPr>
              <w:pStyle w:val="T-bullet0"/>
              <w:spacing w:line="220" w:lineRule="exact"/>
              <w:jc w:val="both"/>
            </w:pPr>
            <w:r>
              <w:t>Masa</w:t>
            </w:r>
            <w:r w:rsidRPr="00F664B4">
              <w:t xml:space="preserve"> 5.2.2 Profesionalizimi i praktikave thelbësore të auditimit të brendshëm përmes zhvillimit të udhëzimeve dhe ofrimit të aktiviteteve për ngritjen e kapaciteteve.</w:t>
            </w:r>
          </w:p>
          <w:p w14:paraId="04564110" w14:textId="77777777" w:rsidR="000F0526" w:rsidRPr="00F664B4" w:rsidRDefault="000F0526" w:rsidP="000C70FA">
            <w:pPr>
              <w:spacing w:after="60" w:line="220" w:lineRule="exact"/>
              <w:jc w:val="both"/>
              <w:rPr>
                <w:b/>
                <w:bCs/>
                <w:sz w:val="16"/>
                <w:szCs w:val="16"/>
              </w:rPr>
            </w:pPr>
          </w:p>
          <w:p w14:paraId="7C0AAAE5" w14:textId="77777777" w:rsidR="000F0526" w:rsidRPr="009D660E" w:rsidRDefault="000F0526" w:rsidP="000C70FA">
            <w:pPr>
              <w:spacing w:after="60" w:line="220" w:lineRule="exact"/>
              <w:jc w:val="both"/>
              <w:rPr>
                <w:b/>
                <w:bCs/>
                <w:sz w:val="16"/>
                <w:szCs w:val="16"/>
                <w:lang w:val="it-IT"/>
              </w:rPr>
            </w:pPr>
            <w:r w:rsidRPr="009D660E">
              <w:rPr>
                <w:b/>
                <w:bCs/>
                <w:sz w:val="16"/>
                <w:szCs w:val="16"/>
                <w:lang w:val="it-IT"/>
              </w:rPr>
              <w:t>Komponenti 5.3 Inspektimi Financiar Publik dhe Shërbimet e Koordinimit kundër Mashtrimit</w:t>
            </w:r>
          </w:p>
          <w:p w14:paraId="404B1A36" w14:textId="77777777" w:rsidR="000F0526" w:rsidRPr="009D660E" w:rsidRDefault="000F0526" w:rsidP="000C70FA">
            <w:pPr>
              <w:pStyle w:val="T-normal"/>
              <w:spacing w:after="60" w:line="220" w:lineRule="exact"/>
              <w:jc w:val="both"/>
              <w:rPr>
                <w:lang w:val="it-IT"/>
              </w:rPr>
            </w:pPr>
            <w:r w:rsidRPr="009D660E">
              <w:rPr>
                <w:lang w:val="it-IT"/>
              </w:rPr>
              <w:t>Synimi 2030: Inspektimi Financiar Publik që trajton në mënyrë efektive të gjitha rastet e raportuara të parregullsive, mashtrimit dhe korrupsionit dhe strategjia kombëtare kundër mashtrimit e zbatuar për të mbrojtur interesat financiare të BE-së.</w:t>
            </w:r>
          </w:p>
          <w:p w14:paraId="1C396FBF" w14:textId="77777777" w:rsidR="000F0526" w:rsidRPr="00F664B4" w:rsidRDefault="000F0526" w:rsidP="000C70FA">
            <w:pPr>
              <w:pStyle w:val="T-normal"/>
              <w:spacing w:line="220" w:lineRule="exact"/>
              <w:jc w:val="both"/>
            </w:pPr>
            <w:r w:rsidRPr="00F664B4">
              <w:t>Masat p</w:t>
            </w:r>
            <w:r>
              <w:t>ë</w:t>
            </w:r>
            <w:r w:rsidRPr="00F664B4">
              <w:t>r vitet 2023-2026:</w:t>
            </w:r>
          </w:p>
          <w:p w14:paraId="6280BBF7" w14:textId="77777777" w:rsidR="000F0526" w:rsidRPr="009D660E" w:rsidRDefault="000F0526" w:rsidP="000C70FA">
            <w:pPr>
              <w:pStyle w:val="T-bullet0"/>
              <w:spacing w:line="220" w:lineRule="exact"/>
              <w:jc w:val="both"/>
              <w:rPr>
                <w:lang w:val="it-IT"/>
              </w:rPr>
            </w:pPr>
            <w:r w:rsidRPr="009D660E">
              <w:rPr>
                <w:lang w:val="it-IT"/>
              </w:rPr>
              <w:t xml:space="preserve">Masa 5.3.1 </w:t>
            </w:r>
            <w:r w:rsidRPr="009D660E">
              <w:rPr>
                <w:rStyle w:val="rynqvb"/>
                <w:lang w:val="it-IT"/>
              </w:rPr>
              <w:t>Rritja e bashkëpunimit me Auditimin e Brendshëm dhe KLSH</w:t>
            </w:r>
            <w:r w:rsidRPr="009D660E">
              <w:rPr>
                <w:lang w:val="it-IT"/>
              </w:rPr>
              <w:t>;</w:t>
            </w:r>
          </w:p>
          <w:p w14:paraId="7FB7DACD" w14:textId="35890184" w:rsidR="000F0526" w:rsidRPr="009D660E" w:rsidRDefault="000F0526" w:rsidP="000C70FA">
            <w:pPr>
              <w:pStyle w:val="T-bullet0"/>
              <w:spacing w:line="220" w:lineRule="exact"/>
              <w:jc w:val="both"/>
              <w:rPr>
                <w:lang w:val="it-IT"/>
              </w:rPr>
            </w:pPr>
            <w:r w:rsidRPr="009D660E">
              <w:rPr>
                <w:lang w:val="it-IT"/>
              </w:rPr>
              <w:t xml:space="preserve">Masa 5.3.2 </w:t>
            </w:r>
            <w:r w:rsidRPr="009D660E">
              <w:rPr>
                <w:rStyle w:val="rynqvb"/>
                <w:lang w:val="it-IT"/>
              </w:rPr>
              <w:t xml:space="preserve">Koordinimi i hartimit dhe </w:t>
            </w:r>
            <w:r w:rsidR="000C35D1" w:rsidRPr="009D660E">
              <w:rPr>
                <w:rStyle w:val="rynqvb"/>
                <w:lang w:val="it-IT"/>
              </w:rPr>
              <w:t xml:space="preserve">monitorimit </w:t>
            </w:r>
            <w:r w:rsidRPr="009D660E">
              <w:rPr>
                <w:rStyle w:val="rynqvb"/>
                <w:lang w:val="it-IT"/>
              </w:rPr>
              <w:t>të Strategjisë Kombëtare Kundër Mashtrimit për mbrojtjen e interesave financiare të BE-së</w:t>
            </w:r>
            <w:r w:rsidRPr="009D660E">
              <w:rPr>
                <w:lang w:val="it-IT"/>
              </w:rPr>
              <w:t>.</w:t>
            </w:r>
          </w:p>
          <w:p w14:paraId="4B51F623" w14:textId="77777777" w:rsidR="000F0526" w:rsidRPr="009D660E" w:rsidRDefault="000F0526" w:rsidP="000C70FA">
            <w:pPr>
              <w:spacing w:after="60" w:line="220" w:lineRule="exact"/>
              <w:jc w:val="both"/>
              <w:rPr>
                <w:b/>
                <w:bCs/>
                <w:sz w:val="16"/>
                <w:szCs w:val="16"/>
                <w:lang w:val="it-IT"/>
              </w:rPr>
            </w:pPr>
          </w:p>
          <w:p w14:paraId="225C8CBC" w14:textId="77777777" w:rsidR="000F0526" w:rsidRPr="009D660E" w:rsidRDefault="000F0526" w:rsidP="000C70FA">
            <w:pPr>
              <w:spacing w:after="60" w:line="220" w:lineRule="exact"/>
              <w:jc w:val="both"/>
              <w:rPr>
                <w:b/>
                <w:bCs/>
                <w:sz w:val="16"/>
                <w:szCs w:val="16"/>
                <w:lang w:val="it-IT"/>
              </w:rPr>
            </w:pPr>
            <w:r w:rsidRPr="009D660E">
              <w:rPr>
                <w:b/>
                <w:bCs/>
                <w:sz w:val="16"/>
                <w:szCs w:val="16"/>
                <w:lang w:val="it-IT"/>
              </w:rPr>
              <w:t>Komponenti 5.4 Menaxhimi i Fondeve të BE-së</w:t>
            </w:r>
          </w:p>
          <w:p w14:paraId="538FD0FA" w14:textId="77777777" w:rsidR="000F0526" w:rsidRPr="009D660E" w:rsidRDefault="000F0526" w:rsidP="000C70FA">
            <w:pPr>
              <w:pStyle w:val="T-normal"/>
              <w:spacing w:after="60" w:line="220" w:lineRule="exact"/>
              <w:jc w:val="both"/>
              <w:rPr>
                <w:lang w:val="it-IT"/>
              </w:rPr>
            </w:pPr>
            <w:r w:rsidRPr="009D660E">
              <w:rPr>
                <w:lang w:val="it-IT"/>
              </w:rPr>
              <w:t>Synimi 2030: Sisteme të përshtatshme të MFP në përputhje me kërkesat e BE-së për menaxhim të shëndoshë financiar, në mënyrë që të përthithen në mënyrë efektive fondet e BE-së.</w:t>
            </w:r>
          </w:p>
          <w:p w14:paraId="4F50E800" w14:textId="77777777" w:rsidR="000F0526" w:rsidRPr="001F151E" w:rsidRDefault="000F0526" w:rsidP="000C70FA">
            <w:pPr>
              <w:pStyle w:val="T-normal"/>
              <w:spacing w:line="220" w:lineRule="exact"/>
              <w:jc w:val="both"/>
            </w:pPr>
            <w:r w:rsidRPr="00F664B4">
              <w:t>Masat p</w:t>
            </w:r>
            <w:r>
              <w:t>ë</w:t>
            </w:r>
            <w:r w:rsidRPr="00F664B4">
              <w:t>r vitet 2023-2026</w:t>
            </w:r>
            <w:r>
              <w:t>:</w:t>
            </w:r>
          </w:p>
          <w:p w14:paraId="6DE13864" w14:textId="77777777" w:rsidR="000F0526" w:rsidRPr="001F151E" w:rsidRDefault="000F0526" w:rsidP="000C70FA">
            <w:pPr>
              <w:pStyle w:val="T-bullet0"/>
              <w:spacing w:line="220" w:lineRule="exact"/>
              <w:jc w:val="both"/>
            </w:pPr>
            <w:r>
              <w:t>Masa</w:t>
            </w:r>
            <w:r w:rsidRPr="001F151E">
              <w:t xml:space="preserve"> 5.4.1 </w:t>
            </w:r>
            <w:r>
              <w:rPr>
                <w:rStyle w:val="rynqvb"/>
              </w:rPr>
              <w:t>Krijimi i kuadrit ligjor IPA III</w:t>
            </w:r>
            <w:r w:rsidRPr="001F151E">
              <w:t>;</w:t>
            </w:r>
          </w:p>
          <w:p w14:paraId="743D3FD9" w14:textId="77777777" w:rsidR="000F0526" w:rsidRPr="009D660E" w:rsidRDefault="000F0526" w:rsidP="000C70FA">
            <w:pPr>
              <w:pStyle w:val="T-bullet0"/>
              <w:spacing w:line="220" w:lineRule="exact"/>
              <w:jc w:val="both"/>
              <w:rPr>
                <w:lang w:val="it-IT"/>
              </w:rPr>
            </w:pPr>
            <w:r w:rsidRPr="009D660E">
              <w:rPr>
                <w:lang w:val="it-IT"/>
              </w:rPr>
              <w:t>Masa 5.4.2 Zhvillimi dhe zbatimi i rregulloreve, procedurave për menaxhimin e IPA III dhe rritja e kapaciteteve të strukturave të IPA III;</w:t>
            </w:r>
          </w:p>
          <w:p w14:paraId="6CC75AD8" w14:textId="77777777" w:rsidR="000F0526" w:rsidRPr="009D660E" w:rsidRDefault="000F0526" w:rsidP="000C70FA">
            <w:pPr>
              <w:pStyle w:val="T-bullet0"/>
              <w:spacing w:line="220" w:lineRule="exact"/>
              <w:jc w:val="both"/>
              <w:rPr>
                <w:lang w:val="it-IT"/>
              </w:rPr>
            </w:pPr>
            <w:r w:rsidRPr="009D660E">
              <w:rPr>
                <w:lang w:val="it-IT"/>
              </w:rPr>
              <w:t>Masa 5.4.3 Përmirësimi i procedurave të rregullimit financiar dhe/ose rikuperimit për fondet e BE-së në përputhje me kërkesat ligjore kombëtare dhe IPA III;</w:t>
            </w:r>
          </w:p>
          <w:p w14:paraId="530D1D8F" w14:textId="77777777" w:rsidR="000F0526" w:rsidRPr="009D660E" w:rsidRDefault="000F0526" w:rsidP="00A07E1E">
            <w:pPr>
              <w:pStyle w:val="T-bullet0"/>
              <w:spacing w:line="220" w:lineRule="exact"/>
              <w:jc w:val="both"/>
              <w:rPr>
                <w:lang w:val="it-IT"/>
              </w:rPr>
            </w:pPr>
            <w:r w:rsidRPr="009D660E">
              <w:rPr>
                <w:lang w:val="it-IT"/>
              </w:rPr>
              <w:t>Masa 5.4.4 Marrja parasysh e kërkesave të ardhshme për menaxhimin e fondeve të BE-së pas anëtarësimit dhe zhvillimi i një plani</w:t>
            </w:r>
            <w:r w:rsidR="00A07E1E" w:rsidRPr="009D660E">
              <w:rPr>
                <w:lang w:val="it-IT"/>
              </w:rPr>
              <w:t>, në kuadër të Kapitullit 22, i cili do të përcaktojë nevojat për përmirësimin e kuadrit ligjor të menaxhimit të fondeve</w:t>
            </w:r>
            <w:r w:rsidRPr="009D660E">
              <w:rPr>
                <w:lang w:val="it-IT"/>
              </w:rPr>
              <w:t>.</w:t>
            </w:r>
          </w:p>
          <w:p w14:paraId="36F509C7" w14:textId="552BDAF9" w:rsidR="00A07E1E" w:rsidRPr="009D660E" w:rsidRDefault="00A07E1E" w:rsidP="00A07E1E">
            <w:pPr>
              <w:pStyle w:val="T-bullet0"/>
              <w:spacing w:line="220" w:lineRule="exact"/>
              <w:jc w:val="both"/>
              <w:rPr>
                <w:lang w:val="it-IT"/>
              </w:rPr>
            </w:pPr>
            <w:r w:rsidRPr="009D660E">
              <w:rPr>
                <w:lang w:val="it-IT"/>
              </w:rPr>
              <w:t xml:space="preserve">Masa 5.4.5. Zhvillimi i opsioneve të thjeshtuara të kostos (SCO). </w:t>
            </w:r>
          </w:p>
        </w:tc>
      </w:tr>
    </w:tbl>
    <w:p w14:paraId="149671DA" w14:textId="77777777" w:rsidR="000F0526" w:rsidRPr="009D660E" w:rsidRDefault="000F0526" w:rsidP="000F0526">
      <w:pPr>
        <w:rPr>
          <w:lang w:val="it-IT"/>
        </w:rPr>
      </w:pPr>
    </w:p>
    <w:p w14:paraId="6A9A8658" w14:textId="77777777" w:rsidR="000F0526" w:rsidRPr="009D660E" w:rsidRDefault="000F0526" w:rsidP="000F0526">
      <w:pPr>
        <w:rPr>
          <w:lang w:val="it-IT"/>
        </w:rPr>
      </w:pPr>
    </w:p>
    <w:p w14:paraId="0E7C6BCF" w14:textId="77777777" w:rsidR="00A07E1E" w:rsidRPr="009D660E" w:rsidRDefault="00A07E1E" w:rsidP="000F0526">
      <w:pPr>
        <w:rPr>
          <w:lang w:val="it-IT"/>
        </w:rPr>
      </w:pPr>
    </w:p>
    <w:p w14:paraId="5640A682" w14:textId="77777777" w:rsidR="00A07E1E" w:rsidRPr="009D660E" w:rsidRDefault="00A07E1E" w:rsidP="000F0526">
      <w:pPr>
        <w:rPr>
          <w:lang w:val="it-IT"/>
        </w:rPr>
      </w:pPr>
    </w:p>
    <w:p w14:paraId="0940BFEB" w14:textId="77777777" w:rsidR="00A07E1E" w:rsidRPr="009D660E" w:rsidRDefault="00A07E1E" w:rsidP="000F0526">
      <w:pPr>
        <w:rPr>
          <w:lang w:val="it-IT"/>
        </w:rPr>
      </w:pPr>
    </w:p>
    <w:p w14:paraId="4520C91E" w14:textId="77777777" w:rsidR="000F0526" w:rsidRPr="001F151E" w:rsidRDefault="000F0526" w:rsidP="000F0526">
      <w:pPr>
        <w:pStyle w:val="Heading2"/>
        <w:rPr>
          <w:lang w:val="en-GB"/>
        </w:rPr>
      </w:pPr>
      <w:bookmarkStart w:id="51" w:name="_Toc161748833"/>
      <w:r>
        <w:rPr>
          <w:lang w:val="en-GB"/>
        </w:rPr>
        <w:t>K</w:t>
      </w:r>
      <w:r w:rsidRPr="001F151E">
        <w:rPr>
          <w:lang w:val="en-GB"/>
        </w:rPr>
        <w:t>omponent</w:t>
      </w:r>
      <w:r>
        <w:rPr>
          <w:lang w:val="en-GB"/>
        </w:rPr>
        <w:t>i</w:t>
      </w:r>
      <w:r w:rsidRPr="001F151E">
        <w:rPr>
          <w:lang w:val="en-GB"/>
        </w:rPr>
        <w:t xml:space="preserve"> 5.1 </w:t>
      </w:r>
      <w:r w:rsidRPr="008C4A75">
        <w:rPr>
          <w:lang w:val="en-GB"/>
        </w:rPr>
        <w:t>Menaxhimi Financiar dhe Kontrolli</w:t>
      </w:r>
      <w:bookmarkEnd w:id="51"/>
    </w:p>
    <w:p w14:paraId="15D05400" w14:textId="77777777" w:rsidR="000F0526" w:rsidRPr="001F151E" w:rsidRDefault="000F0526" w:rsidP="000F0526">
      <w:pPr>
        <w:rPr>
          <w:lang w:val="en-GB"/>
        </w:rPr>
      </w:pPr>
    </w:p>
    <w:p w14:paraId="74333E24" w14:textId="77777777" w:rsidR="000F0526" w:rsidRPr="001F151E" w:rsidRDefault="000F0526" w:rsidP="000F0526">
      <w:pPr>
        <w:pStyle w:val="H5"/>
        <w:jc w:val="both"/>
        <w:rPr>
          <w:lang w:val="en-GB"/>
        </w:rPr>
      </w:pPr>
      <w:r w:rsidRPr="001F151E">
        <w:rPr>
          <w:lang w:val="en-GB"/>
        </w:rPr>
        <w:t>Obje</w:t>
      </w:r>
      <w:r>
        <w:rPr>
          <w:lang w:val="en-GB"/>
        </w:rPr>
        <w:t>ktivi</w:t>
      </w:r>
    </w:p>
    <w:p w14:paraId="6CE3E97B" w14:textId="77777777" w:rsidR="000F0526" w:rsidRPr="001F151E" w:rsidRDefault="000F0526" w:rsidP="000F0526">
      <w:pPr>
        <w:spacing w:line="276" w:lineRule="auto"/>
        <w:jc w:val="both"/>
        <w:rPr>
          <w:lang w:val="en-GB"/>
        </w:rPr>
      </w:pPr>
      <w:r>
        <w:rPr>
          <w:rStyle w:val="rynqvb"/>
        </w:rPr>
        <w:t>Synimi për vitin 2030 është që të kemi sisteme të fuqishme të MFK-së funksionale në të gjitha Institucionet Publike në përputhje me legjislacionin kombëtar dhe praktikat e mira ndërkombëtare/BE.</w:t>
      </w:r>
    </w:p>
    <w:p w14:paraId="359D62FA" w14:textId="4B21004E" w:rsidR="000F0526" w:rsidRDefault="000F0526" w:rsidP="000F0526">
      <w:pPr>
        <w:spacing w:after="160" w:line="276" w:lineRule="auto"/>
        <w:jc w:val="both"/>
        <w:rPr>
          <w:b/>
          <w:bCs/>
          <w:color w:val="0070C0"/>
          <w:lang w:val="en-GB"/>
        </w:rPr>
      </w:pPr>
    </w:p>
    <w:p w14:paraId="71EAD8F9" w14:textId="77777777" w:rsidR="000F0526" w:rsidRPr="001F151E" w:rsidRDefault="000F0526" w:rsidP="000F0526">
      <w:pPr>
        <w:pStyle w:val="H5"/>
        <w:spacing w:line="276" w:lineRule="auto"/>
        <w:jc w:val="both"/>
        <w:rPr>
          <w:lang w:val="en-GB"/>
        </w:rPr>
      </w:pPr>
      <w:r>
        <w:rPr>
          <w:lang w:val="en-GB"/>
        </w:rPr>
        <w:t>K</w:t>
      </w:r>
      <w:r w:rsidRPr="001F151E">
        <w:rPr>
          <w:lang w:val="en-GB"/>
        </w:rPr>
        <w:t>onte</w:t>
      </w:r>
      <w:r>
        <w:rPr>
          <w:lang w:val="en-GB"/>
        </w:rPr>
        <w:t>ksti</w:t>
      </w:r>
    </w:p>
    <w:p w14:paraId="5992C596" w14:textId="6D88CE79" w:rsidR="000F0526" w:rsidRPr="001F151E" w:rsidRDefault="000F0526" w:rsidP="000F0526">
      <w:pPr>
        <w:spacing w:line="276" w:lineRule="auto"/>
        <w:jc w:val="both"/>
        <w:rPr>
          <w:lang w:val="en-GB"/>
        </w:rPr>
      </w:pPr>
      <w:r>
        <w:rPr>
          <w:rStyle w:val="rynqvb"/>
        </w:rPr>
        <w:t>Praktikat e Menaxhimit Financiar dhe Kontrollit (MFK) në Institucionet Publike janë përmirësuar gradualisht me kalimin e kohës.</w:t>
      </w:r>
      <w:r>
        <w:rPr>
          <w:rStyle w:val="hwtze"/>
        </w:rPr>
        <w:t xml:space="preserve"> </w:t>
      </w:r>
      <w:r>
        <w:rPr>
          <w:rStyle w:val="rynqvb"/>
        </w:rPr>
        <w:t>Megjithatë, cilësia e MFK-së si dhe përputhshmëria me ligjet dhe rregulloret ndryshojnë në mënyrë të konsiderueshme ndërmjet institucioneve publike.</w:t>
      </w:r>
      <w:r>
        <w:rPr>
          <w:rStyle w:val="hwtze"/>
        </w:rPr>
        <w:t xml:space="preserve"> </w:t>
      </w:r>
      <w:r>
        <w:rPr>
          <w:rStyle w:val="rynqvb"/>
        </w:rPr>
        <w:t>Në veçanti në fushën e kontrollit të brendshëm, vërehet hapësira për përmirësime të llogaridhënies menaxheriale dhe menaxhimit të riskut.</w:t>
      </w:r>
      <w:r>
        <w:rPr>
          <w:rStyle w:val="hwtze"/>
        </w:rPr>
        <w:t xml:space="preserve"> </w:t>
      </w:r>
      <w:r>
        <w:rPr>
          <w:rStyle w:val="rynqvb"/>
        </w:rPr>
        <w:t>Kuadri ligjor i përbërë nga ligji për Menaxhimin Financiar dhe Kontrollin</w:t>
      </w:r>
      <w:r w:rsidRPr="001F151E">
        <w:rPr>
          <w:rStyle w:val="FootnoteReference"/>
          <w:lang w:val="en-GB"/>
        </w:rPr>
        <w:footnoteReference w:id="62"/>
      </w:r>
      <w:r>
        <w:rPr>
          <w:rStyle w:val="rynqvb"/>
        </w:rPr>
        <w:t xml:space="preserve"> dhe disa akte nënligjore janë në proces ndryshimi për të adresuar reformat e vazhdueshme në këtë fushë.</w:t>
      </w:r>
      <w:r>
        <w:rPr>
          <w:rStyle w:val="hwtze"/>
        </w:rPr>
        <w:t xml:space="preserve"> </w:t>
      </w:r>
      <w:r>
        <w:rPr>
          <w:rStyle w:val="rynqvb"/>
        </w:rPr>
        <w:t>Gjithashtu manuali</w:t>
      </w:r>
      <w:r w:rsidRPr="001F151E">
        <w:rPr>
          <w:rStyle w:val="FootnoteReference"/>
          <w:lang w:val="en-GB"/>
        </w:rPr>
        <w:footnoteReference w:id="63"/>
      </w:r>
      <w:r>
        <w:rPr>
          <w:rStyle w:val="rynqvb"/>
        </w:rPr>
        <w:t xml:space="preserve"> i MFK-së është duke u përmirësuar dhe përshtatur më tej.</w:t>
      </w:r>
      <w:r>
        <w:rPr>
          <w:rStyle w:val="hwtze"/>
        </w:rPr>
        <w:t xml:space="preserve"> </w:t>
      </w:r>
      <w:r>
        <w:rPr>
          <w:rStyle w:val="rynqvb"/>
        </w:rPr>
        <w:t>Të gjitha ndryshimet janë në përputhje me kërkesat e BE-së siç përcaktohet në kapitullin 32 të acquis.</w:t>
      </w:r>
      <w:r>
        <w:rPr>
          <w:rStyle w:val="hwtze"/>
        </w:rPr>
        <w:t xml:space="preserve"> Është krijuar p</w:t>
      </w:r>
      <w:r>
        <w:rPr>
          <w:rStyle w:val="rynqvb"/>
        </w:rPr>
        <w:t>rocesi i vetëvlerësimit vjetor të cilësisë së sistemit të MFK-së (nëpërmjet një pyetësori</w:t>
      </w:r>
      <w:r w:rsidRPr="001F151E">
        <w:rPr>
          <w:rStyle w:val="FootnoteReference"/>
          <w:lang w:val="en-GB"/>
        </w:rPr>
        <w:footnoteReference w:id="64"/>
      </w:r>
      <w:r>
        <w:rPr>
          <w:rStyle w:val="rynqvb"/>
        </w:rPr>
        <w:t>), raportimi pasues në MF, zhvillimi i planeve të përmirësimit të MFK-së dhe zbatimi i tij nga Institucionet Publike si dhe mbështetet nga NjQH/MFK. Gjetjet kryesore raportohen në raportin vjetor të KBFP dhe diskutohen nga bordi i KBFP.</w:t>
      </w:r>
      <w:r>
        <w:rPr>
          <w:rStyle w:val="hwtze"/>
        </w:rPr>
        <w:t xml:space="preserve"> </w:t>
      </w:r>
      <w:r>
        <w:rPr>
          <w:rStyle w:val="rynqvb"/>
        </w:rPr>
        <w:t>NJQH/MFK mbështet institucionet publike me asistencë të drejtpërdrejtë në zbatimin e kërkesave të menaxhimit financiar dhe kontrollit.</w:t>
      </w:r>
      <w:r>
        <w:rPr>
          <w:rStyle w:val="hwtze"/>
        </w:rPr>
        <w:t xml:space="preserve"> </w:t>
      </w:r>
      <w:r>
        <w:rPr>
          <w:rStyle w:val="rynqvb"/>
        </w:rPr>
        <w:t>Koncepti i llogaridhënies menaxheriale brenda institucioneve publike ende nuk është kristalizuar plotësisht dhe duhet të zhvillohet dhe lehtësohet një kuptim më i thellë i përgjegjshmërisë menaxheriale nga niveli ekzekutiv nga mjetet e nevojshme.</w:t>
      </w:r>
      <w:r>
        <w:rPr>
          <w:rStyle w:val="hwtze"/>
        </w:rPr>
        <w:t xml:space="preserve"> Janë identifikuar d</w:t>
      </w:r>
      <w:r>
        <w:rPr>
          <w:rStyle w:val="rynqvb"/>
        </w:rPr>
        <w:t>isa dobësi në ndjekjen sistematike të rekomandimeve nga auditorët e brendshëm dhe të jashtëm të cilat duhet të zgjidhen.</w:t>
      </w:r>
      <w:r>
        <w:rPr>
          <w:rStyle w:val="hwtze"/>
        </w:rPr>
        <w:t xml:space="preserve"> </w:t>
      </w:r>
      <w:r>
        <w:rPr>
          <w:rStyle w:val="rynqvb"/>
        </w:rPr>
        <w:t>Menaxhimi i riskut është ende në një fazë të hershme në të gjitha nivelet dhe duhet të përfshihet më mirë në menaxhimin e proceseve financiare dhe operacionale</w:t>
      </w:r>
      <w:r w:rsidRPr="001F151E">
        <w:rPr>
          <w:lang w:val="en-GB"/>
        </w:rPr>
        <w:t>.</w:t>
      </w:r>
      <w:r w:rsidRPr="001F151E">
        <w:rPr>
          <w:rStyle w:val="FootnoteReference"/>
          <w:lang w:val="en-GB"/>
        </w:rPr>
        <w:footnoteReference w:id="65"/>
      </w:r>
    </w:p>
    <w:p w14:paraId="6EB2F284" w14:textId="77777777" w:rsidR="000F0526" w:rsidRPr="001F151E" w:rsidRDefault="000F0526" w:rsidP="000F0526">
      <w:pPr>
        <w:pStyle w:val="DefaultText"/>
        <w:spacing w:line="276" w:lineRule="auto"/>
        <w:jc w:val="both"/>
      </w:pPr>
    </w:p>
    <w:p w14:paraId="620EA8CA" w14:textId="77777777" w:rsidR="000F0526" w:rsidRPr="001F151E" w:rsidRDefault="000F0526" w:rsidP="000F0526">
      <w:pPr>
        <w:pStyle w:val="H5"/>
        <w:spacing w:line="276" w:lineRule="auto"/>
        <w:jc w:val="both"/>
        <w:rPr>
          <w:lang w:val="en-GB"/>
        </w:rPr>
      </w:pPr>
      <w:r w:rsidRPr="001F151E">
        <w:rPr>
          <w:lang w:val="en-GB"/>
        </w:rPr>
        <w:t>Priorit</w:t>
      </w:r>
      <w:r>
        <w:rPr>
          <w:lang w:val="en-GB"/>
        </w:rPr>
        <w:t>etet</w:t>
      </w:r>
    </w:p>
    <w:p w14:paraId="676E2A84" w14:textId="77777777" w:rsidR="000F0526" w:rsidRPr="006D4509" w:rsidRDefault="000F0526" w:rsidP="000F0526">
      <w:pPr>
        <w:spacing w:line="276" w:lineRule="auto"/>
        <w:jc w:val="both"/>
        <w:rPr>
          <w:lang w:val="en-GB"/>
        </w:rPr>
      </w:pPr>
      <w:r>
        <w:rPr>
          <w:lang w:val="en-GB"/>
        </w:rPr>
        <w:t>Prioritetet p</w:t>
      </w:r>
      <w:r w:rsidRPr="006D4509">
        <w:rPr>
          <w:lang w:val="en-GB"/>
        </w:rPr>
        <w:t>ër periudhën 2023-2026 janë:</w:t>
      </w:r>
    </w:p>
    <w:p w14:paraId="086201B1" w14:textId="77777777" w:rsidR="000F0526" w:rsidRPr="006D4509" w:rsidRDefault="000F0526" w:rsidP="000F0526">
      <w:pPr>
        <w:pStyle w:val="ListParagraph"/>
        <w:numPr>
          <w:ilvl w:val="0"/>
          <w:numId w:val="2"/>
        </w:numPr>
        <w:spacing w:line="276" w:lineRule="auto"/>
        <w:jc w:val="both"/>
        <w:rPr>
          <w:lang w:val="en-GB"/>
        </w:rPr>
      </w:pPr>
      <w:r w:rsidRPr="006D4509">
        <w:rPr>
          <w:lang w:val="en-GB"/>
        </w:rPr>
        <w:t>Për</w:t>
      </w:r>
      <w:r>
        <w:rPr>
          <w:lang w:val="en-GB"/>
        </w:rPr>
        <w:t>dit</w:t>
      </w:r>
      <w:r w:rsidRPr="006D4509">
        <w:rPr>
          <w:lang w:val="en-GB"/>
        </w:rPr>
        <w:t>ësimi i kuadrit ligjor dhe rregullator për MFK-në në kuadër të reformave në vazhdim në fushën e MFK-së.</w:t>
      </w:r>
    </w:p>
    <w:p w14:paraId="32E7A0D1" w14:textId="77777777" w:rsidR="000F0526" w:rsidRPr="006D4509" w:rsidRDefault="000F0526" w:rsidP="000F0526">
      <w:pPr>
        <w:pStyle w:val="ListParagraph"/>
        <w:numPr>
          <w:ilvl w:val="0"/>
          <w:numId w:val="2"/>
        </w:numPr>
        <w:spacing w:line="276" w:lineRule="auto"/>
        <w:jc w:val="both"/>
        <w:rPr>
          <w:lang w:val="en-GB"/>
        </w:rPr>
      </w:pPr>
      <w:r w:rsidRPr="006D4509">
        <w:rPr>
          <w:lang w:val="en-GB"/>
        </w:rPr>
        <w:t xml:space="preserve">Përmirësimi </w:t>
      </w:r>
      <w:r>
        <w:rPr>
          <w:lang w:val="en-GB"/>
        </w:rPr>
        <w:t>i</w:t>
      </w:r>
      <w:r w:rsidRPr="006D4509">
        <w:rPr>
          <w:lang w:val="en-GB"/>
        </w:rPr>
        <w:t xml:space="preserve"> praktikave të llogaridhënies menaxheriale në institucionet publike.</w:t>
      </w:r>
    </w:p>
    <w:p w14:paraId="7B1150A2" w14:textId="77777777" w:rsidR="000F0526" w:rsidRPr="006D4509" w:rsidRDefault="000F0526" w:rsidP="000F0526">
      <w:pPr>
        <w:pStyle w:val="ListParagraph"/>
        <w:numPr>
          <w:ilvl w:val="0"/>
          <w:numId w:val="2"/>
        </w:numPr>
        <w:spacing w:line="276" w:lineRule="auto"/>
        <w:jc w:val="both"/>
        <w:rPr>
          <w:lang w:val="en-GB"/>
        </w:rPr>
      </w:pPr>
      <w:r w:rsidRPr="006D4509">
        <w:rPr>
          <w:lang w:val="en-GB"/>
        </w:rPr>
        <w:t>Përmirësimi</w:t>
      </w:r>
      <w:r>
        <w:rPr>
          <w:lang w:val="en-GB"/>
        </w:rPr>
        <w:t xml:space="preserve"> i</w:t>
      </w:r>
      <w:r w:rsidRPr="006D4509">
        <w:rPr>
          <w:lang w:val="en-GB"/>
        </w:rPr>
        <w:t xml:space="preserve"> praktikave të menaxhimit të ri</w:t>
      </w:r>
      <w:r>
        <w:rPr>
          <w:lang w:val="en-GB"/>
        </w:rPr>
        <w:t>s</w:t>
      </w:r>
      <w:r w:rsidRPr="006D4509">
        <w:rPr>
          <w:lang w:val="en-GB"/>
        </w:rPr>
        <w:t>kut në institucionet publike.</w:t>
      </w:r>
    </w:p>
    <w:p w14:paraId="624F4778" w14:textId="77777777" w:rsidR="000F0526" w:rsidRPr="001F151E" w:rsidRDefault="000F0526" w:rsidP="000F0526">
      <w:pPr>
        <w:pStyle w:val="ListParagraph"/>
        <w:numPr>
          <w:ilvl w:val="0"/>
          <w:numId w:val="2"/>
        </w:numPr>
        <w:spacing w:line="276" w:lineRule="auto"/>
        <w:jc w:val="both"/>
        <w:rPr>
          <w:lang w:val="en-GB"/>
        </w:rPr>
      </w:pPr>
      <w:r w:rsidRPr="006D4509">
        <w:rPr>
          <w:lang w:val="en-GB"/>
        </w:rPr>
        <w:t xml:space="preserve">Vazhdimi i mbështetjes </w:t>
      </w:r>
      <w:r>
        <w:rPr>
          <w:lang w:val="en-GB"/>
        </w:rPr>
        <w:t>të</w:t>
      </w:r>
      <w:r w:rsidRPr="006D4509">
        <w:rPr>
          <w:lang w:val="en-GB"/>
        </w:rPr>
        <w:t xml:space="preserve"> institucione</w:t>
      </w:r>
      <w:r>
        <w:rPr>
          <w:lang w:val="en-GB"/>
        </w:rPr>
        <w:t>ve</w:t>
      </w:r>
      <w:r w:rsidRPr="006D4509">
        <w:rPr>
          <w:lang w:val="en-GB"/>
        </w:rPr>
        <w:t xml:space="preserve"> publike </w:t>
      </w:r>
      <w:r>
        <w:rPr>
          <w:lang w:val="en-GB"/>
        </w:rPr>
        <w:t>për</w:t>
      </w:r>
      <w:r w:rsidRPr="006D4509">
        <w:rPr>
          <w:lang w:val="en-GB"/>
        </w:rPr>
        <w:t xml:space="preserve"> zhvillimin dhe zbatimin e mjeteve të MFK-së.</w:t>
      </w:r>
      <w:r w:rsidRPr="001F151E">
        <w:rPr>
          <w:lang w:val="en-GB"/>
        </w:rPr>
        <w:t xml:space="preserve"> </w:t>
      </w:r>
    </w:p>
    <w:p w14:paraId="1675A0BC" w14:textId="77777777" w:rsidR="000F0526" w:rsidRPr="001F151E" w:rsidRDefault="000F0526" w:rsidP="000F0526">
      <w:pPr>
        <w:rPr>
          <w:lang w:val="en-GB"/>
        </w:rPr>
      </w:pPr>
    </w:p>
    <w:p w14:paraId="39A4137B" w14:textId="77777777" w:rsidR="000F0526" w:rsidRPr="001F151E" w:rsidRDefault="000F0526" w:rsidP="000F0526">
      <w:pPr>
        <w:pStyle w:val="H5"/>
        <w:rPr>
          <w:lang w:val="en-GB"/>
        </w:rPr>
      </w:pPr>
      <w:r>
        <w:rPr>
          <w:rStyle w:val="rynqv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80"/>
        <w:gridCol w:w="3659"/>
        <w:gridCol w:w="798"/>
        <w:gridCol w:w="798"/>
        <w:gridCol w:w="1781"/>
      </w:tblGrid>
      <w:tr w:rsidR="000F0526" w:rsidRPr="001F151E" w14:paraId="28D74B35" w14:textId="77777777" w:rsidTr="000C70FA">
        <w:trPr>
          <w:cantSplit/>
          <w:trHeight w:val="20"/>
          <w:tblHeader/>
        </w:trPr>
        <w:tc>
          <w:tcPr>
            <w:tcW w:w="1980" w:type="dxa"/>
            <w:shd w:val="clear" w:color="auto" w:fill="D9D9D9" w:themeFill="background1" w:themeFillShade="D9"/>
          </w:tcPr>
          <w:p w14:paraId="668C1E96" w14:textId="77777777" w:rsidR="000F0526" w:rsidRPr="0037385F" w:rsidRDefault="000F0526" w:rsidP="000C70FA">
            <w:pPr>
              <w:pStyle w:val="T-bold"/>
            </w:pPr>
            <w:bookmarkStart w:id="52" w:name="_Hlk153204913"/>
            <w:r w:rsidRPr="0037385F">
              <w:t>Masa</w:t>
            </w:r>
          </w:p>
        </w:tc>
        <w:tc>
          <w:tcPr>
            <w:tcW w:w="3659" w:type="dxa"/>
            <w:shd w:val="clear" w:color="auto" w:fill="D9D9D9" w:themeFill="background1" w:themeFillShade="D9"/>
          </w:tcPr>
          <w:p w14:paraId="287E5695" w14:textId="77777777" w:rsidR="000F0526" w:rsidRPr="0037385F" w:rsidRDefault="000F0526" w:rsidP="000C70FA">
            <w:pPr>
              <w:pStyle w:val="T-bold"/>
            </w:pPr>
            <w:r w:rsidRPr="0037385F">
              <w:t>Aktiviteti</w:t>
            </w:r>
          </w:p>
        </w:tc>
        <w:tc>
          <w:tcPr>
            <w:tcW w:w="798" w:type="dxa"/>
            <w:shd w:val="clear" w:color="auto" w:fill="D9D9D9" w:themeFill="background1" w:themeFillShade="D9"/>
          </w:tcPr>
          <w:p w14:paraId="11CC4FCC" w14:textId="77777777" w:rsidR="000F0526" w:rsidRPr="0037385F" w:rsidRDefault="000F0526" w:rsidP="000C70FA">
            <w:pPr>
              <w:pStyle w:val="T-bold"/>
              <w:jc w:val="center"/>
            </w:pPr>
            <w:r w:rsidRPr="0037385F">
              <w:t>Fillimi</w:t>
            </w:r>
          </w:p>
        </w:tc>
        <w:tc>
          <w:tcPr>
            <w:tcW w:w="798" w:type="dxa"/>
            <w:shd w:val="clear" w:color="auto" w:fill="D9D9D9" w:themeFill="background1" w:themeFillShade="D9"/>
          </w:tcPr>
          <w:p w14:paraId="661E0B64" w14:textId="77777777" w:rsidR="000F0526" w:rsidRPr="0037385F" w:rsidRDefault="000F0526" w:rsidP="000C70FA">
            <w:pPr>
              <w:pStyle w:val="T-bold"/>
              <w:jc w:val="center"/>
            </w:pPr>
            <w:r w:rsidRPr="0037385F">
              <w:t>Mbarimi</w:t>
            </w:r>
          </w:p>
        </w:tc>
        <w:tc>
          <w:tcPr>
            <w:tcW w:w="1781" w:type="dxa"/>
            <w:shd w:val="clear" w:color="auto" w:fill="D9D9D9" w:themeFill="background1" w:themeFillShade="D9"/>
          </w:tcPr>
          <w:p w14:paraId="29A7E3B4" w14:textId="77777777" w:rsidR="000F0526" w:rsidRPr="0037385F" w:rsidRDefault="000F0526" w:rsidP="000C70FA">
            <w:pPr>
              <w:pStyle w:val="T-bold"/>
            </w:pPr>
            <w:r w:rsidRPr="0037385F">
              <w:rPr>
                <w:rStyle w:val="rynqvb"/>
              </w:rPr>
              <w:t>Grupet e interesit</w:t>
            </w:r>
          </w:p>
        </w:tc>
      </w:tr>
      <w:tr w:rsidR="000F0526" w:rsidRPr="001F151E" w14:paraId="6D8EA52F" w14:textId="77777777" w:rsidTr="000C70FA">
        <w:trPr>
          <w:cantSplit/>
          <w:trHeight w:val="20"/>
        </w:trPr>
        <w:tc>
          <w:tcPr>
            <w:tcW w:w="1980" w:type="dxa"/>
            <w:vMerge w:val="restart"/>
            <w:shd w:val="clear" w:color="auto" w:fill="auto"/>
          </w:tcPr>
          <w:p w14:paraId="666CE96C" w14:textId="77777777" w:rsidR="000F0526" w:rsidRPr="0037385F" w:rsidRDefault="000F0526" w:rsidP="000C70FA">
            <w:pPr>
              <w:pStyle w:val="EcorysBody"/>
              <w:rPr>
                <w:rFonts w:ascii="Arial" w:hAnsi="Arial" w:cs="Arial"/>
                <w:b/>
                <w:bCs/>
                <w:sz w:val="16"/>
                <w:szCs w:val="16"/>
              </w:rPr>
            </w:pPr>
            <w:r w:rsidRPr="0037385F">
              <w:rPr>
                <w:rFonts w:ascii="Arial" w:hAnsi="Arial" w:cs="Arial"/>
                <w:b/>
                <w:bCs/>
                <w:sz w:val="16"/>
                <w:szCs w:val="16"/>
              </w:rPr>
              <w:t xml:space="preserve">Masa 5.1.1 </w:t>
            </w:r>
          </w:p>
          <w:p w14:paraId="7B43C4C6" w14:textId="77777777" w:rsidR="000F0526" w:rsidRPr="0037385F" w:rsidRDefault="000F0526" w:rsidP="000C70FA">
            <w:pPr>
              <w:pStyle w:val="EcorysBody"/>
              <w:rPr>
                <w:rFonts w:ascii="Arial" w:hAnsi="Arial" w:cs="Arial"/>
                <w:sz w:val="16"/>
                <w:szCs w:val="16"/>
              </w:rPr>
            </w:pPr>
            <w:r w:rsidRPr="0037385F">
              <w:rPr>
                <w:rFonts w:ascii="Arial" w:hAnsi="Arial" w:cs="Arial"/>
                <w:b/>
                <w:bCs/>
                <w:sz w:val="16"/>
                <w:szCs w:val="16"/>
              </w:rPr>
              <w:t>P</w:t>
            </w:r>
            <w:r>
              <w:rPr>
                <w:rFonts w:ascii="Arial" w:hAnsi="Arial" w:cs="Arial"/>
                <w:b/>
                <w:bCs/>
                <w:sz w:val="16"/>
                <w:szCs w:val="16"/>
              </w:rPr>
              <w:t>ë</w:t>
            </w:r>
            <w:r w:rsidRPr="0037385F">
              <w:rPr>
                <w:rFonts w:ascii="Arial" w:hAnsi="Arial" w:cs="Arial"/>
                <w:b/>
                <w:bCs/>
                <w:sz w:val="16"/>
                <w:szCs w:val="16"/>
              </w:rPr>
              <w:t>rmir</w:t>
            </w:r>
            <w:r>
              <w:rPr>
                <w:rFonts w:ascii="Arial" w:hAnsi="Arial" w:cs="Arial"/>
                <w:b/>
                <w:bCs/>
                <w:sz w:val="16"/>
                <w:szCs w:val="16"/>
              </w:rPr>
              <w:t>ë</w:t>
            </w:r>
            <w:r w:rsidRPr="0037385F">
              <w:rPr>
                <w:rFonts w:ascii="Arial" w:hAnsi="Arial" w:cs="Arial"/>
                <w:b/>
                <w:bCs/>
                <w:sz w:val="16"/>
                <w:szCs w:val="16"/>
              </w:rPr>
              <w:t>simi i kuadrit ligjor dhe rregullator për MFK-në</w:t>
            </w:r>
          </w:p>
        </w:tc>
        <w:tc>
          <w:tcPr>
            <w:tcW w:w="3659" w:type="dxa"/>
            <w:vAlign w:val="center"/>
          </w:tcPr>
          <w:p w14:paraId="71E0D963" w14:textId="77777777" w:rsidR="000F0526" w:rsidRPr="0037385F" w:rsidRDefault="000F0526" w:rsidP="000F0526">
            <w:pPr>
              <w:pStyle w:val="EcorysBody"/>
              <w:numPr>
                <w:ilvl w:val="0"/>
                <w:numId w:val="6"/>
              </w:numPr>
              <w:jc w:val="both"/>
              <w:rPr>
                <w:rFonts w:ascii="Arial" w:hAnsi="Arial" w:cs="Arial"/>
                <w:sz w:val="16"/>
                <w:szCs w:val="16"/>
              </w:rPr>
            </w:pPr>
            <w:r w:rsidRPr="0037385F">
              <w:rPr>
                <w:rFonts w:ascii="Arial" w:hAnsi="Arial" w:cs="Arial"/>
                <w:sz w:val="16"/>
                <w:szCs w:val="16"/>
              </w:rPr>
              <w:t>Rishikimi i ligjit të MFK-së për adresimin e reformave në vazhdim në fushën e MFK-së.</w:t>
            </w:r>
          </w:p>
        </w:tc>
        <w:tc>
          <w:tcPr>
            <w:tcW w:w="798" w:type="dxa"/>
            <w:shd w:val="clear" w:color="auto" w:fill="FFFFFF" w:themeFill="background1"/>
            <w:vAlign w:val="center"/>
          </w:tcPr>
          <w:p w14:paraId="5A0095BD" w14:textId="77777777" w:rsidR="000F0526" w:rsidRPr="0037385F" w:rsidRDefault="000F0526" w:rsidP="000C70FA">
            <w:pPr>
              <w:jc w:val="center"/>
              <w:rPr>
                <w:sz w:val="16"/>
                <w:szCs w:val="16"/>
              </w:rPr>
            </w:pPr>
            <w:r w:rsidRPr="0037385F">
              <w:rPr>
                <w:sz w:val="16"/>
                <w:szCs w:val="16"/>
              </w:rPr>
              <w:t>T1 2023</w:t>
            </w:r>
          </w:p>
        </w:tc>
        <w:tc>
          <w:tcPr>
            <w:tcW w:w="798" w:type="dxa"/>
            <w:shd w:val="clear" w:color="auto" w:fill="FFFFFF" w:themeFill="background1"/>
            <w:vAlign w:val="center"/>
          </w:tcPr>
          <w:p w14:paraId="637D475A" w14:textId="77777777" w:rsidR="000F0526" w:rsidRPr="0037385F" w:rsidRDefault="000F0526" w:rsidP="000C70FA">
            <w:pPr>
              <w:jc w:val="center"/>
              <w:rPr>
                <w:sz w:val="16"/>
                <w:szCs w:val="16"/>
              </w:rPr>
            </w:pPr>
            <w:r w:rsidRPr="0037385F">
              <w:rPr>
                <w:sz w:val="16"/>
                <w:szCs w:val="16"/>
              </w:rPr>
              <w:t>T1 2023</w:t>
            </w:r>
          </w:p>
        </w:tc>
        <w:tc>
          <w:tcPr>
            <w:tcW w:w="1781" w:type="dxa"/>
            <w:vMerge w:val="restart"/>
          </w:tcPr>
          <w:p w14:paraId="582743C7" w14:textId="77777777" w:rsidR="000F0526" w:rsidRPr="0037385F" w:rsidRDefault="000F0526" w:rsidP="000C70FA">
            <w:pPr>
              <w:rPr>
                <w:b/>
                <w:bCs/>
                <w:sz w:val="16"/>
                <w:szCs w:val="16"/>
              </w:rPr>
            </w:pPr>
            <w:r w:rsidRPr="0037385F">
              <w:rPr>
                <w:b/>
                <w:bCs/>
                <w:sz w:val="16"/>
                <w:szCs w:val="16"/>
              </w:rPr>
              <w:t>Nj</w:t>
            </w:r>
            <w:r>
              <w:rPr>
                <w:b/>
                <w:bCs/>
                <w:sz w:val="16"/>
                <w:szCs w:val="16"/>
              </w:rPr>
              <w:t>ë</w:t>
            </w:r>
            <w:r w:rsidRPr="0037385F">
              <w:rPr>
                <w:b/>
                <w:bCs/>
                <w:sz w:val="16"/>
                <w:szCs w:val="16"/>
              </w:rPr>
              <w:t>sit</w:t>
            </w:r>
            <w:r>
              <w:rPr>
                <w:b/>
                <w:bCs/>
                <w:sz w:val="16"/>
                <w:szCs w:val="16"/>
              </w:rPr>
              <w:t>ë</w:t>
            </w:r>
            <w:r w:rsidRPr="0037385F">
              <w:rPr>
                <w:b/>
                <w:bCs/>
                <w:sz w:val="16"/>
                <w:szCs w:val="16"/>
              </w:rPr>
              <w:t xml:space="preserve"> p</w:t>
            </w:r>
            <w:r>
              <w:rPr>
                <w:b/>
                <w:bCs/>
                <w:sz w:val="16"/>
                <w:szCs w:val="16"/>
              </w:rPr>
              <w:t>ë</w:t>
            </w:r>
            <w:r w:rsidRPr="0037385F">
              <w:rPr>
                <w:b/>
                <w:bCs/>
                <w:sz w:val="16"/>
                <w:szCs w:val="16"/>
              </w:rPr>
              <w:t>rgjegj</w:t>
            </w:r>
            <w:r>
              <w:rPr>
                <w:b/>
                <w:bCs/>
                <w:sz w:val="16"/>
                <w:szCs w:val="16"/>
              </w:rPr>
              <w:t>ë</w:t>
            </w:r>
            <w:r w:rsidRPr="0037385F">
              <w:rPr>
                <w:b/>
                <w:bCs/>
                <w:sz w:val="16"/>
                <w:szCs w:val="16"/>
              </w:rPr>
              <w:t>se:</w:t>
            </w:r>
          </w:p>
          <w:p w14:paraId="755FFB56" w14:textId="77777777" w:rsidR="000F0526" w:rsidRPr="0037385F" w:rsidRDefault="000F0526" w:rsidP="000C70FA">
            <w:pPr>
              <w:pStyle w:val="EcorysBody"/>
              <w:rPr>
                <w:rFonts w:ascii="Arial" w:hAnsi="Arial" w:cs="Arial"/>
                <w:sz w:val="16"/>
                <w:szCs w:val="16"/>
              </w:rPr>
            </w:pPr>
            <w:r w:rsidRPr="0037385F">
              <w:rPr>
                <w:rFonts w:ascii="Arial" w:hAnsi="Arial" w:cs="Arial"/>
                <w:sz w:val="16"/>
                <w:szCs w:val="16"/>
              </w:rPr>
              <w:t>DHMFKK (lider).</w:t>
            </w:r>
          </w:p>
          <w:p w14:paraId="7E3A0E78" w14:textId="77777777" w:rsidR="000F0526" w:rsidRPr="0037385F" w:rsidRDefault="000F0526" w:rsidP="000C70FA">
            <w:pPr>
              <w:pStyle w:val="EcorysBody"/>
              <w:rPr>
                <w:rFonts w:ascii="Arial" w:hAnsi="Arial" w:cs="Arial"/>
                <w:b/>
                <w:bCs/>
                <w:sz w:val="16"/>
                <w:szCs w:val="16"/>
              </w:rPr>
            </w:pPr>
          </w:p>
          <w:p w14:paraId="144A1818" w14:textId="77777777" w:rsidR="000F0526" w:rsidRPr="0037385F" w:rsidRDefault="000F0526" w:rsidP="000C70FA">
            <w:pPr>
              <w:pStyle w:val="EcorysBody"/>
              <w:rPr>
                <w:rFonts w:ascii="Arial" w:hAnsi="Arial" w:cs="Arial"/>
                <w:b/>
                <w:bCs/>
                <w:sz w:val="16"/>
                <w:szCs w:val="16"/>
              </w:rPr>
            </w:pPr>
            <w:r w:rsidRPr="0037385F">
              <w:rPr>
                <w:rFonts w:ascii="Arial" w:hAnsi="Arial" w:cs="Arial"/>
                <w:b/>
                <w:bCs/>
                <w:sz w:val="16"/>
                <w:szCs w:val="16"/>
              </w:rPr>
              <w:t>Partner</w:t>
            </w:r>
            <w:r>
              <w:rPr>
                <w:rFonts w:ascii="Arial" w:hAnsi="Arial" w:cs="Arial"/>
                <w:b/>
                <w:bCs/>
                <w:sz w:val="16"/>
                <w:szCs w:val="16"/>
              </w:rPr>
              <w:t>ë</w:t>
            </w:r>
            <w:r w:rsidRPr="0037385F">
              <w:rPr>
                <w:rFonts w:ascii="Arial" w:hAnsi="Arial" w:cs="Arial"/>
                <w:b/>
                <w:bCs/>
                <w:sz w:val="16"/>
                <w:szCs w:val="16"/>
              </w:rPr>
              <w:t>t:</w:t>
            </w:r>
            <w:r w:rsidRPr="0037385F">
              <w:rPr>
                <w:rStyle w:val="FootnoteReference"/>
                <w:sz w:val="16"/>
                <w:szCs w:val="16"/>
              </w:rPr>
              <w:t xml:space="preserve"> </w:t>
            </w:r>
          </w:p>
          <w:p w14:paraId="798B05FD" w14:textId="77777777" w:rsidR="000F0526" w:rsidRPr="0037385F" w:rsidRDefault="000F0526" w:rsidP="000C70FA">
            <w:pPr>
              <w:pStyle w:val="EcorysBody"/>
              <w:rPr>
                <w:rFonts w:ascii="Arial" w:hAnsi="Arial" w:cs="Arial"/>
                <w:sz w:val="16"/>
                <w:szCs w:val="16"/>
              </w:rPr>
            </w:pPr>
            <w:r w:rsidRPr="0037385F">
              <w:rPr>
                <w:rFonts w:ascii="Arial" w:hAnsi="Arial" w:cs="Arial"/>
                <w:sz w:val="16"/>
                <w:szCs w:val="16"/>
              </w:rPr>
              <w:t>BE, SIGMA, SECO.</w:t>
            </w:r>
            <w:r w:rsidRPr="0037385F">
              <w:rPr>
                <w:rStyle w:val="FootnoteReference"/>
                <w:sz w:val="16"/>
                <w:szCs w:val="16"/>
              </w:rPr>
              <w:footnoteReference w:id="66"/>
            </w:r>
          </w:p>
          <w:p w14:paraId="6571C0BB" w14:textId="77777777" w:rsidR="000F0526" w:rsidRPr="0037385F" w:rsidRDefault="000F0526" w:rsidP="000C70FA">
            <w:pPr>
              <w:pStyle w:val="EcorysBody"/>
              <w:rPr>
                <w:rFonts w:ascii="Arial" w:hAnsi="Arial" w:cs="Arial"/>
                <w:sz w:val="16"/>
                <w:szCs w:val="16"/>
              </w:rPr>
            </w:pPr>
          </w:p>
          <w:p w14:paraId="57FBAFA8" w14:textId="77777777" w:rsidR="000F0526" w:rsidRPr="0037385F" w:rsidRDefault="000F0526" w:rsidP="000C70FA">
            <w:pPr>
              <w:rPr>
                <w:sz w:val="16"/>
                <w:szCs w:val="16"/>
              </w:rPr>
            </w:pPr>
          </w:p>
        </w:tc>
      </w:tr>
      <w:tr w:rsidR="000F0526" w:rsidRPr="001F151E" w14:paraId="007E6DB8" w14:textId="77777777" w:rsidTr="000C70FA">
        <w:trPr>
          <w:cantSplit/>
          <w:trHeight w:val="566"/>
        </w:trPr>
        <w:tc>
          <w:tcPr>
            <w:tcW w:w="1980" w:type="dxa"/>
            <w:vMerge/>
            <w:shd w:val="clear" w:color="auto" w:fill="auto"/>
          </w:tcPr>
          <w:p w14:paraId="1463DE29" w14:textId="77777777" w:rsidR="000F0526" w:rsidRPr="0037385F" w:rsidRDefault="000F0526" w:rsidP="000C70FA">
            <w:pPr>
              <w:pStyle w:val="EcorysBody"/>
              <w:numPr>
                <w:ilvl w:val="0"/>
                <w:numId w:val="6"/>
              </w:numPr>
              <w:rPr>
                <w:rFonts w:ascii="Arial" w:hAnsi="Arial" w:cs="Arial"/>
                <w:sz w:val="16"/>
                <w:szCs w:val="16"/>
              </w:rPr>
            </w:pPr>
          </w:p>
        </w:tc>
        <w:tc>
          <w:tcPr>
            <w:tcW w:w="3659" w:type="dxa"/>
            <w:vAlign w:val="center"/>
          </w:tcPr>
          <w:p w14:paraId="564E7587" w14:textId="77777777" w:rsidR="000F0526" w:rsidRPr="0037385F" w:rsidRDefault="000F0526" w:rsidP="000F0526">
            <w:pPr>
              <w:pStyle w:val="EcorysBody"/>
              <w:numPr>
                <w:ilvl w:val="0"/>
                <w:numId w:val="6"/>
              </w:numPr>
              <w:jc w:val="both"/>
              <w:rPr>
                <w:rFonts w:ascii="Arial" w:hAnsi="Arial" w:cs="Arial"/>
                <w:sz w:val="16"/>
                <w:szCs w:val="16"/>
              </w:rPr>
            </w:pPr>
            <w:r w:rsidRPr="0037385F">
              <w:rPr>
                <w:rFonts w:ascii="Arial" w:hAnsi="Arial" w:cs="Arial"/>
                <w:sz w:val="16"/>
                <w:szCs w:val="16"/>
              </w:rPr>
              <w:t>Rishikimi dhe përditësimi i akteve nënligjore dhe përmirësimi i mëtejshëm i manualit të MFK-së.</w:t>
            </w:r>
          </w:p>
        </w:tc>
        <w:tc>
          <w:tcPr>
            <w:tcW w:w="798" w:type="dxa"/>
            <w:shd w:val="clear" w:color="auto" w:fill="FFFFFF" w:themeFill="background1"/>
            <w:vAlign w:val="center"/>
          </w:tcPr>
          <w:p w14:paraId="1AFFA372" w14:textId="77777777" w:rsidR="000F0526" w:rsidRPr="0037385F" w:rsidRDefault="000F0526" w:rsidP="000C70FA">
            <w:pPr>
              <w:rPr>
                <w:sz w:val="16"/>
                <w:szCs w:val="16"/>
              </w:rPr>
            </w:pPr>
            <w:r w:rsidRPr="0037385F">
              <w:rPr>
                <w:sz w:val="16"/>
                <w:szCs w:val="16"/>
              </w:rPr>
              <w:t>T4 2023</w:t>
            </w:r>
          </w:p>
        </w:tc>
        <w:tc>
          <w:tcPr>
            <w:tcW w:w="798" w:type="dxa"/>
            <w:shd w:val="clear" w:color="auto" w:fill="FFFFFF" w:themeFill="background1"/>
            <w:vAlign w:val="center"/>
          </w:tcPr>
          <w:p w14:paraId="5C2E195D" w14:textId="77777777" w:rsidR="000F0526" w:rsidRPr="0037385F" w:rsidRDefault="000F0526" w:rsidP="000C70FA">
            <w:pPr>
              <w:jc w:val="center"/>
              <w:rPr>
                <w:sz w:val="16"/>
                <w:szCs w:val="16"/>
              </w:rPr>
            </w:pPr>
            <w:r w:rsidRPr="0037385F">
              <w:rPr>
                <w:sz w:val="16"/>
                <w:szCs w:val="16"/>
              </w:rPr>
              <w:t>T4 2025</w:t>
            </w:r>
          </w:p>
        </w:tc>
        <w:tc>
          <w:tcPr>
            <w:tcW w:w="1781" w:type="dxa"/>
            <w:vMerge/>
          </w:tcPr>
          <w:p w14:paraId="6F8FF387" w14:textId="77777777" w:rsidR="000F0526" w:rsidRPr="0037385F" w:rsidRDefault="000F0526" w:rsidP="000C70FA">
            <w:pPr>
              <w:rPr>
                <w:sz w:val="16"/>
                <w:szCs w:val="16"/>
              </w:rPr>
            </w:pPr>
          </w:p>
        </w:tc>
      </w:tr>
      <w:tr w:rsidR="000F0526" w:rsidRPr="001F151E" w14:paraId="4C983EF1" w14:textId="77777777" w:rsidTr="000C70FA">
        <w:trPr>
          <w:cantSplit/>
          <w:trHeight w:val="810"/>
        </w:trPr>
        <w:tc>
          <w:tcPr>
            <w:tcW w:w="1980" w:type="dxa"/>
            <w:vMerge/>
            <w:shd w:val="clear" w:color="auto" w:fill="auto"/>
          </w:tcPr>
          <w:p w14:paraId="0D43E012" w14:textId="77777777" w:rsidR="000F0526" w:rsidRPr="0037385F" w:rsidRDefault="000F0526" w:rsidP="000C70FA">
            <w:pPr>
              <w:pStyle w:val="EcorysBody"/>
              <w:numPr>
                <w:ilvl w:val="0"/>
                <w:numId w:val="6"/>
              </w:numPr>
              <w:rPr>
                <w:rFonts w:ascii="Arial" w:hAnsi="Arial" w:cs="Arial"/>
                <w:sz w:val="16"/>
                <w:szCs w:val="16"/>
              </w:rPr>
            </w:pPr>
          </w:p>
        </w:tc>
        <w:tc>
          <w:tcPr>
            <w:tcW w:w="3659" w:type="dxa"/>
            <w:vAlign w:val="center"/>
          </w:tcPr>
          <w:p w14:paraId="7FF7DD2A" w14:textId="77777777" w:rsidR="000F0526" w:rsidRPr="0037385F" w:rsidRDefault="000F0526" w:rsidP="000F0526">
            <w:pPr>
              <w:pStyle w:val="EcorysBody"/>
              <w:numPr>
                <w:ilvl w:val="0"/>
                <w:numId w:val="6"/>
              </w:numPr>
              <w:jc w:val="both"/>
              <w:rPr>
                <w:rFonts w:ascii="Arial" w:hAnsi="Arial" w:cs="Arial"/>
                <w:sz w:val="16"/>
                <w:szCs w:val="16"/>
              </w:rPr>
            </w:pPr>
            <w:r w:rsidRPr="0037385F">
              <w:rPr>
                <w:rFonts w:ascii="Arial" w:hAnsi="Arial" w:cs="Arial"/>
                <w:sz w:val="16"/>
                <w:szCs w:val="16"/>
              </w:rPr>
              <w:t>Rishikimi i efektivitetit të ligjit të MFK-së si dhe harmonizimi i nevojsh</w:t>
            </w:r>
            <w:r>
              <w:rPr>
                <w:rFonts w:ascii="Arial" w:hAnsi="Arial" w:cs="Arial"/>
                <w:sz w:val="16"/>
                <w:szCs w:val="16"/>
              </w:rPr>
              <w:t>ë</w:t>
            </w:r>
            <w:r w:rsidRPr="0037385F">
              <w:rPr>
                <w:rFonts w:ascii="Arial" w:hAnsi="Arial" w:cs="Arial"/>
                <w:sz w:val="16"/>
                <w:szCs w:val="16"/>
              </w:rPr>
              <w:t>m me ligjet e tjera dhe përgatitja e ndryshimeve nëse është e nevojshme.</w:t>
            </w:r>
          </w:p>
        </w:tc>
        <w:tc>
          <w:tcPr>
            <w:tcW w:w="798" w:type="dxa"/>
            <w:shd w:val="clear" w:color="auto" w:fill="FFFFFF" w:themeFill="background1"/>
            <w:vAlign w:val="center"/>
          </w:tcPr>
          <w:p w14:paraId="62EC9CAA" w14:textId="77777777" w:rsidR="000F0526" w:rsidRPr="0037385F" w:rsidRDefault="000F0526" w:rsidP="000C70FA">
            <w:pPr>
              <w:jc w:val="center"/>
              <w:rPr>
                <w:sz w:val="16"/>
                <w:szCs w:val="16"/>
              </w:rPr>
            </w:pPr>
            <w:r w:rsidRPr="0037385F">
              <w:rPr>
                <w:sz w:val="16"/>
                <w:szCs w:val="16"/>
              </w:rPr>
              <w:t>T1 2026</w:t>
            </w:r>
          </w:p>
        </w:tc>
        <w:tc>
          <w:tcPr>
            <w:tcW w:w="798" w:type="dxa"/>
            <w:shd w:val="clear" w:color="auto" w:fill="FFFFFF" w:themeFill="background1"/>
            <w:vAlign w:val="center"/>
          </w:tcPr>
          <w:p w14:paraId="2A43067E" w14:textId="77777777" w:rsidR="000F0526" w:rsidRPr="0037385F" w:rsidRDefault="000F0526" w:rsidP="000C70FA">
            <w:pPr>
              <w:jc w:val="center"/>
              <w:rPr>
                <w:sz w:val="16"/>
                <w:szCs w:val="16"/>
              </w:rPr>
            </w:pPr>
            <w:r w:rsidRPr="0037385F">
              <w:rPr>
                <w:sz w:val="16"/>
                <w:szCs w:val="16"/>
              </w:rPr>
              <w:t>T2 2026</w:t>
            </w:r>
          </w:p>
        </w:tc>
        <w:tc>
          <w:tcPr>
            <w:tcW w:w="1781" w:type="dxa"/>
            <w:vMerge/>
          </w:tcPr>
          <w:p w14:paraId="685CD65B" w14:textId="77777777" w:rsidR="000F0526" w:rsidRPr="0037385F" w:rsidRDefault="000F0526" w:rsidP="000C70FA">
            <w:pPr>
              <w:rPr>
                <w:sz w:val="16"/>
                <w:szCs w:val="16"/>
              </w:rPr>
            </w:pPr>
          </w:p>
        </w:tc>
      </w:tr>
      <w:tr w:rsidR="000F0526" w:rsidRPr="001F151E" w14:paraId="463BDA8E" w14:textId="77777777" w:rsidTr="000C70FA">
        <w:trPr>
          <w:cantSplit/>
          <w:trHeight w:val="1012"/>
        </w:trPr>
        <w:tc>
          <w:tcPr>
            <w:tcW w:w="1980" w:type="dxa"/>
            <w:vMerge w:val="restart"/>
            <w:shd w:val="clear" w:color="auto" w:fill="auto"/>
          </w:tcPr>
          <w:p w14:paraId="07B3943F" w14:textId="77777777" w:rsidR="000F0526" w:rsidRPr="0037385F" w:rsidRDefault="000F0526" w:rsidP="000C70FA">
            <w:pPr>
              <w:pStyle w:val="EcorysBody"/>
              <w:rPr>
                <w:rFonts w:ascii="Arial" w:hAnsi="Arial" w:cs="Arial"/>
                <w:b/>
                <w:bCs/>
                <w:sz w:val="16"/>
                <w:szCs w:val="16"/>
              </w:rPr>
            </w:pPr>
            <w:r w:rsidRPr="0037385F">
              <w:rPr>
                <w:rFonts w:ascii="Arial" w:hAnsi="Arial" w:cs="Arial"/>
                <w:b/>
                <w:bCs/>
                <w:sz w:val="16"/>
                <w:szCs w:val="16"/>
              </w:rPr>
              <w:t xml:space="preserve">Masa 5.1.2 </w:t>
            </w:r>
          </w:p>
          <w:p w14:paraId="0F4AEF8F" w14:textId="77777777" w:rsidR="000F0526" w:rsidRPr="0037385F" w:rsidRDefault="000F0526" w:rsidP="000C70FA">
            <w:pPr>
              <w:pStyle w:val="EcorysBody"/>
              <w:rPr>
                <w:rFonts w:ascii="Arial" w:hAnsi="Arial" w:cs="Arial"/>
                <w:sz w:val="16"/>
                <w:szCs w:val="16"/>
              </w:rPr>
            </w:pPr>
            <w:r w:rsidRPr="0037385F">
              <w:rPr>
                <w:rFonts w:ascii="Arial" w:hAnsi="Arial" w:cs="Arial"/>
                <w:b/>
                <w:bCs/>
                <w:sz w:val="16"/>
                <w:szCs w:val="16"/>
              </w:rPr>
              <w:t>P</w:t>
            </w:r>
            <w:r>
              <w:rPr>
                <w:rFonts w:ascii="Arial" w:hAnsi="Arial" w:cs="Arial"/>
                <w:b/>
                <w:bCs/>
                <w:sz w:val="16"/>
                <w:szCs w:val="16"/>
              </w:rPr>
              <w:t>ë</w:t>
            </w:r>
            <w:r w:rsidRPr="0037385F">
              <w:rPr>
                <w:rFonts w:ascii="Arial" w:hAnsi="Arial" w:cs="Arial"/>
                <w:b/>
                <w:bCs/>
                <w:sz w:val="16"/>
                <w:szCs w:val="16"/>
              </w:rPr>
              <w:t>rmir</w:t>
            </w:r>
            <w:r>
              <w:rPr>
                <w:rFonts w:ascii="Arial" w:hAnsi="Arial" w:cs="Arial"/>
                <w:b/>
                <w:bCs/>
                <w:sz w:val="16"/>
                <w:szCs w:val="16"/>
              </w:rPr>
              <w:t>ë</w:t>
            </w:r>
            <w:r w:rsidRPr="0037385F">
              <w:rPr>
                <w:rFonts w:ascii="Arial" w:hAnsi="Arial" w:cs="Arial"/>
                <w:b/>
                <w:bCs/>
                <w:sz w:val="16"/>
                <w:szCs w:val="16"/>
              </w:rPr>
              <w:t xml:space="preserve">simi i llogaridhënies menaxheriale në institucionet publike </w:t>
            </w:r>
          </w:p>
        </w:tc>
        <w:tc>
          <w:tcPr>
            <w:tcW w:w="3659" w:type="dxa"/>
          </w:tcPr>
          <w:p w14:paraId="48D4FD0B" w14:textId="77777777" w:rsidR="000F0526" w:rsidRPr="0037385F" w:rsidRDefault="000F0526" w:rsidP="000F0526">
            <w:pPr>
              <w:pStyle w:val="EcorysBody"/>
              <w:numPr>
                <w:ilvl w:val="0"/>
                <w:numId w:val="7"/>
              </w:numPr>
              <w:jc w:val="both"/>
              <w:rPr>
                <w:rFonts w:ascii="Arial" w:hAnsi="Arial" w:cs="Arial"/>
                <w:sz w:val="16"/>
                <w:szCs w:val="16"/>
              </w:rPr>
            </w:pPr>
            <w:r w:rsidRPr="0037385F">
              <w:rPr>
                <w:rFonts w:ascii="Arial" w:hAnsi="Arial" w:cs="Arial"/>
                <w:sz w:val="16"/>
                <w:szCs w:val="16"/>
              </w:rPr>
              <w:t>Mbështetja e institucioneve publike p</w:t>
            </w:r>
            <w:r>
              <w:rPr>
                <w:rFonts w:ascii="Arial" w:hAnsi="Arial" w:cs="Arial"/>
                <w:sz w:val="16"/>
                <w:szCs w:val="16"/>
              </w:rPr>
              <w:t>ë</w:t>
            </w:r>
            <w:r w:rsidRPr="0037385F">
              <w:rPr>
                <w:rFonts w:ascii="Arial" w:hAnsi="Arial" w:cs="Arial"/>
                <w:sz w:val="16"/>
                <w:szCs w:val="16"/>
              </w:rPr>
              <w:t>r përdorimin e rregullave të delegimit të detyrave si vazhdimësi e kuadrit ligjor dhe rregullator të zhvilluar për MFK-në dhe llogaridhënien menaxheriale.</w:t>
            </w:r>
            <w:r w:rsidRPr="0037385F">
              <w:rPr>
                <w:rStyle w:val="FootnoteReference"/>
                <w:sz w:val="16"/>
                <w:szCs w:val="16"/>
              </w:rPr>
              <w:footnoteReference w:id="67"/>
            </w:r>
          </w:p>
        </w:tc>
        <w:tc>
          <w:tcPr>
            <w:tcW w:w="798" w:type="dxa"/>
            <w:shd w:val="clear" w:color="auto" w:fill="FFFFFF" w:themeFill="background1"/>
            <w:vAlign w:val="center"/>
          </w:tcPr>
          <w:p w14:paraId="2DFC5C66" w14:textId="77777777" w:rsidR="000F0526" w:rsidRPr="0037385F" w:rsidRDefault="000F0526" w:rsidP="000C70FA">
            <w:pPr>
              <w:jc w:val="center"/>
              <w:rPr>
                <w:sz w:val="16"/>
                <w:szCs w:val="16"/>
              </w:rPr>
            </w:pPr>
            <w:r w:rsidRPr="0037385F">
              <w:rPr>
                <w:sz w:val="16"/>
                <w:szCs w:val="16"/>
              </w:rPr>
              <w:t>T1 2025</w:t>
            </w:r>
          </w:p>
        </w:tc>
        <w:tc>
          <w:tcPr>
            <w:tcW w:w="798" w:type="dxa"/>
            <w:shd w:val="clear" w:color="auto" w:fill="FFFFFF" w:themeFill="background1"/>
            <w:vAlign w:val="center"/>
          </w:tcPr>
          <w:p w14:paraId="457180E2" w14:textId="77777777" w:rsidR="000F0526" w:rsidRPr="0037385F" w:rsidRDefault="000F0526" w:rsidP="000C70FA">
            <w:pPr>
              <w:jc w:val="center"/>
              <w:rPr>
                <w:sz w:val="16"/>
                <w:szCs w:val="16"/>
              </w:rPr>
            </w:pPr>
            <w:r w:rsidRPr="0037385F">
              <w:rPr>
                <w:sz w:val="16"/>
                <w:szCs w:val="16"/>
              </w:rPr>
              <w:t>T4 2025</w:t>
            </w:r>
          </w:p>
        </w:tc>
        <w:tc>
          <w:tcPr>
            <w:tcW w:w="1781" w:type="dxa"/>
            <w:vMerge w:val="restart"/>
          </w:tcPr>
          <w:p w14:paraId="2E6A310C" w14:textId="77777777" w:rsidR="000F0526" w:rsidRPr="0037385F" w:rsidRDefault="000F0526" w:rsidP="000C70FA">
            <w:pPr>
              <w:rPr>
                <w:b/>
                <w:bCs/>
                <w:sz w:val="16"/>
                <w:szCs w:val="16"/>
              </w:rPr>
            </w:pPr>
            <w:r w:rsidRPr="0037385F">
              <w:rPr>
                <w:b/>
                <w:bCs/>
                <w:sz w:val="16"/>
                <w:szCs w:val="16"/>
              </w:rPr>
              <w:t>Nj</w:t>
            </w:r>
            <w:r>
              <w:rPr>
                <w:b/>
                <w:bCs/>
                <w:sz w:val="16"/>
                <w:szCs w:val="16"/>
              </w:rPr>
              <w:t>ë</w:t>
            </w:r>
            <w:r w:rsidRPr="0037385F">
              <w:rPr>
                <w:b/>
                <w:bCs/>
                <w:sz w:val="16"/>
                <w:szCs w:val="16"/>
              </w:rPr>
              <w:t>sit</w:t>
            </w:r>
            <w:r>
              <w:rPr>
                <w:b/>
                <w:bCs/>
                <w:sz w:val="16"/>
                <w:szCs w:val="16"/>
              </w:rPr>
              <w:t>ë</w:t>
            </w:r>
            <w:r w:rsidRPr="0037385F">
              <w:rPr>
                <w:b/>
                <w:bCs/>
                <w:sz w:val="16"/>
                <w:szCs w:val="16"/>
              </w:rPr>
              <w:t xml:space="preserve"> p</w:t>
            </w:r>
            <w:r>
              <w:rPr>
                <w:b/>
                <w:bCs/>
                <w:sz w:val="16"/>
                <w:szCs w:val="16"/>
              </w:rPr>
              <w:t>ë</w:t>
            </w:r>
            <w:r w:rsidRPr="0037385F">
              <w:rPr>
                <w:b/>
                <w:bCs/>
                <w:sz w:val="16"/>
                <w:szCs w:val="16"/>
              </w:rPr>
              <w:t>rgjegj</w:t>
            </w:r>
            <w:r>
              <w:rPr>
                <w:b/>
                <w:bCs/>
                <w:sz w:val="16"/>
                <w:szCs w:val="16"/>
              </w:rPr>
              <w:t>ë</w:t>
            </w:r>
            <w:r w:rsidRPr="0037385F">
              <w:rPr>
                <w:b/>
                <w:bCs/>
                <w:sz w:val="16"/>
                <w:szCs w:val="16"/>
              </w:rPr>
              <w:t>se:</w:t>
            </w:r>
          </w:p>
          <w:p w14:paraId="03085829" w14:textId="6903B94D" w:rsidR="000F0526" w:rsidRPr="0037385F" w:rsidRDefault="000F0526" w:rsidP="000C70FA">
            <w:pPr>
              <w:pStyle w:val="EcorysBody"/>
              <w:rPr>
                <w:rFonts w:ascii="Arial" w:hAnsi="Arial" w:cs="Arial"/>
                <w:sz w:val="16"/>
                <w:szCs w:val="16"/>
              </w:rPr>
            </w:pPr>
            <w:r w:rsidRPr="0037385F">
              <w:rPr>
                <w:rFonts w:ascii="Arial" w:hAnsi="Arial" w:cs="Arial"/>
                <w:sz w:val="16"/>
                <w:szCs w:val="16"/>
              </w:rPr>
              <w:t>DHMFKK (lider)</w:t>
            </w:r>
          </w:p>
          <w:p w14:paraId="722AC8A6" w14:textId="77777777" w:rsidR="000F0526" w:rsidRPr="0037385F" w:rsidRDefault="000F0526" w:rsidP="000C70FA">
            <w:pPr>
              <w:pStyle w:val="EcorysBody"/>
              <w:rPr>
                <w:rFonts w:ascii="Arial" w:hAnsi="Arial" w:cs="Arial"/>
                <w:b/>
                <w:bCs/>
                <w:sz w:val="16"/>
                <w:szCs w:val="16"/>
              </w:rPr>
            </w:pPr>
          </w:p>
          <w:p w14:paraId="6E608B81" w14:textId="77777777" w:rsidR="000F0526" w:rsidRPr="0037385F" w:rsidRDefault="000F0526" w:rsidP="000C70FA">
            <w:pPr>
              <w:pStyle w:val="EcorysBody"/>
              <w:rPr>
                <w:rFonts w:ascii="Arial" w:hAnsi="Arial" w:cs="Arial"/>
                <w:b/>
                <w:bCs/>
                <w:sz w:val="16"/>
                <w:szCs w:val="16"/>
              </w:rPr>
            </w:pPr>
            <w:r w:rsidRPr="0037385F">
              <w:rPr>
                <w:rFonts w:ascii="Arial" w:hAnsi="Arial" w:cs="Arial"/>
                <w:b/>
                <w:bCs/>
                <w:sz w:val="16"/>
                <w:szCs w:val="16"/>
              </w:rPr>
              <w:t>Partner</w:t>
            </w:r>
            <w:r>
              <w:rPr>
                <w:rFonts w:ascii="Arial" w:hAnsi="Arial" w:cs="Arial"/>
                <w:b/>
                <w:bCs/>
                <w:sz w:val="16"/>
                <w:szCs w:val="16"/>
              </w:rPr>
              <w:t>ë</w:t>
            </w:r>
            <w:r w:rsidRPr="0037385F">
              <w:rPr>
                <w:rFonts w:ascii="Arial" w:hAnsi="Arial" w:cs="Arial"/>
                <w:b/>
                <w:bCs/>
                <w:sz w:val="16"/>
                <w:szCs w:val="16"/>
              </w:rPr>
              <w:t>t:</w:t>
            </w:r>
          </w:p>
          <w:p w14:paraId="08D4C6BB" w14:textId="77777777" w:rsidR="000F0526" w:rsidRPr="0037385F" w:rsidRDefault="000F0526" w:rsidP="000C70FA">
            <w:pPr>
              <w:pStyle w:val="EcorysBody"/>
              <w:rPr>
                <w:rFonts w:ascii="Arial" w:hAnsi="Arial" w:cs="Arial"/>
                <w:sz w:val="16"/>
                <w:szCs w:val="16"/>
              </w:rPr>
            </w:pPr>
            <w:r w:rsidRPr="0037385F">
              <w:rPr>
                <w:rFonts w:ascii="Arial" w:hAnsi="Arial" w:cs="Arial"/>
                <w:sz w:val="16"/>
                <w:szCs w:val="16"/>
              </w:rPr>
              <w:t>BE, SIGMA, SECO.</w:t>
            </w:r>
            <w:r w:rsidRPr="0037385F">
              <w:rPr>
                <w:rStyle w:val="FootnoteReference"/>
                <w:sz w:val="16"/>
                <w:szCs w:val="16"/>
              </w:rPr>
              <w:footnoteReference w:id="68"/>
            </w:r>
          </w:p>
          <w:p w14:paraId="65D8B8F1" w14:textId="77777777" w:rsidR="000F0526" w:rsidRPr="0037385F" w:rsidRDefault="000F0526" w:rsidP="000C70FA">
            <w:pPr>
              <w:rPr>
                <w:sz w:val="16"/>
                <w:szCs w:val="16"/>
              </w:rPr>
            </w:pPr>
          </w:p>
        </w:tc>
      </w:tr>
      <w:tr w:rsidR="000F0526" w:rsidRPr="001F151E" w14:paraId="4DFDB5C0" w14:textId="77777777" w:rsidTr="000C70FA">
        <w:trPr>
          <w:cantSplit/>
          <w:trHeight w:val="20"/>
        </w:trPr>
        <w:tc>
          <w:tcPr>
            <w:tcW w:w="1980" w:type="dxa"/>
            <w:vMerge/>
            <w:shd w:val="clear" w:color="auto" w:fill="auto"/>
          </w:tcPr>
          <w:p w14:paraId="013C4DBC" w14:textId="77777777" w:rsidR="000F0526" w:rsidRPr="0037385F" w:rsidRDefault="000F0526" w:rsidP="000C70FA">
            <w:pPr>
              <w:pStyle w:val="EcorysBody"/>
              <w:numPr>
                <w:ilvl w:val="0"/>
                <w:numId w:val="7"/>
              </w:numPr>
              <w:rPr>
                <w:rFonts w:ascii="Arial" w:hAnsi="Arial" w:cs="Arial"/>
                <w:sz w:val="16"/>
                <w:szCs w:val="16"/>
              </w:rPr>
            </w:pPr>
          </w:p>
        </w:tc>
        <w:tc>
          <w:tcPr>
            <w:tcW w:w="3659" w:type="dxa"/>
          </w:tcPr>
          <w:p w14:paraId="017ED81A" w14:textId="77777777" w:rsidR="000F0526" w:rsidRPr="0037385F" w:rsidRDefault="000F0526" w:rsidP="000F0526">
            <w:pPr>
              <w:pStyle w:val="EcorysBody"/>
              <w:numPr>
                <w:ilvl w:val="0"/>
                <w:numId w:val="7"/>
              </w:numPr>
              <w:jc w:val="both"/>
              <w:rPr>
                <w:rFonts w:ascii="Arial" w:hAnsi="Arial" w:cs="Arial"/>
                <w:sz w:val="16"/>
                <w:szCs w:val="16"/>
              </w:rPr>
            </w:pPr>
            <w:r w:rsidRPr="0037385F">
              <w:rPr>
                <w:rFonts w:ascii="Arial" w:hAnsi="Arial" w:cs="Arial"/>
                <w:sz w:val="16"/>
                <w:szCs w:val="16"/>
              </w:rPr>
              <w:t xml:space="preserve">Rritja e ndërgjegjësimit për llogaridhënien menaxheriale dhe shpërndarja e përvojave tek niveli i lartë drejtues i institucioneve publike përmes trajnimit dhe asistencës teknike gjatë vlerësimit të cilësisë së KB. </w:t>
            </w:r>
          </w:p>
        </w:tc>
        <w:tc>
          <w:tcPr>
            <w:tcW w:w="798" w:type="dxa"/>
            <w:shd w:val="clear" w:color="auto" w:fill="FFFFFF" w:themeFill="background1"/>
            <w:vAlign w:val="center"/>
          </w:tcPr>
          <w:p w14:paraId="7A3516C3" w14:textId="77777777" w:rsidR="000F0526" w:rsidRPr="0037385F" w:rsidRDefault="000F0526" w:rsidP="000C70FA">
            <w:pPr>
              <w:jc w:val="center"/>
              <w:rPr>
                <w:sz w:val="16"/>
                <w:szCs w:val="16"/>
              </w:rPr>
            </w:pPr>
            <w:r w:rsidRPr="0037385F">
              <w:rPr>
                <w:sz w:val="16"/>
                <w:szCs w:val="16"/>
              </w:rPr>
              <w:t>T1 2024</w:t>
            </w:r>
          </w:p>
        </w:tc>
        <w:tc>
          <w:tcPr>
            <w:tcW w:w="798" w:type="dxa"/>
            <w:shd w:val="clear" w:color="auto" w:fill="FFFFFF" w:themeFill="background1"/>
            <w:vAlign w:val="center"/>
          </w:tcPr>
          <w:p w14:paraId="61B740D1" w14:textId="77777777" w:rsidR="000F0526" w:rsidRPr="0037385F" w:rsidRDefault="000F0526" w:rsidP="000C70FA">
            <w:pPr>
              <w:jc w:val="center"/>
              <w:rPr>
                <w:sz w:val="16"/>
                <w:szCs w:val="16"/>
              </w:rPr>
            </w:pPr>
            <w:r w:rsidRPr="0037385F">
              <w:rPr>
                <w:sz w:val="16"/>
                <w:szCs w:val="16"/>
              </w:rPr>
              <w:t>T4 2025</w:t>
            </w:r>
          </w:p>
        </w:tc>
        <w:tc>
          <w:tcPr>
            <w:tcW w:w="1781" w:type="dxa"/>
            <w:vMerge/>
          </w:tcPr>
          <w:p w14:paraId="4E3E7AE6" w14:textId="77777777" w:rsidR="000F0526" w:rsidRPr="0037385F" w:rsidRDefault="000F0526" w:rsidP="000C70FA">
            <w:pPr>
              <w:rPr>
                <w:sz w:val="16"/>
                <w:szCs w:val="16"/>
              </w:rPr>
            </w:pPr>
          </w:p>
        </w:tc>
      </w:tr>
      <w:tr w:rsidR="000F0526" w:rsidRPr="001F151E" w14:paraId="7853B2AD" w14:textId="77777777" w:rsidTr="000C70FA">
        <w:trPr>
          <w:cantSplit/>
          <w:trHeight w:val="20"/>
        </w:trPr>
        <w:tc>
          <w:tcPr>
            <w:tcW w:w="1980" w:type="dxa"/>
            <w:vMerge w:val="restart"/>
            <w:shd w:val="clear" w:color="auto" w:fill="auto"/>
          </w:tcPr>
          <w:p w14:paraId="19326BAE" w14:textId="77777777" w:rsidR="000F0526" w:rsidRPr="0037385F" w:rsidRDefault="000F0526" w:rsidP="000C70FA">
            <w:pPr>
              <w:rPr>
                <w:sz w:val="16"/>
                <w:szCs w:val="16"/>
              </w:rPr>
            </w:pPr>
            <w:r w:rsidRPr="0037385F">
              <w:rPr>
                <w:b/>
                <w:bCs/>
                <w:sz w:val="16"/>
                <w:szCs w:val="16"/>
              </w:rPr>
              <w:t>Masa 5.1.3 Forcimi i praktikave t</w:t>
            </w:r>
            <w:r>
              <w:rPr>
                <w:b/>
                <w:bCs/>
                <w:sz w:val="16"/>
                <w:szCs w:val="16"/>
              </w:rPr>
              <w:t>ë</w:t>
            </w:r>
            <w:r w:rsidRPr="0037385F">
              <w:rPr>
                <w:b/>
                <w:bCs/>
                <w:sz w:val="16"/>
                <w:szCs w:val="16"/>
              </w:rPr>
              <w:t xml:space="preserve"> Menaxhimit të Riskut</w:t>
            </w:r>
          </w:p>
        </w:tc>
        <w:tc>
          <w:tcPr>
            <w:tcW w:w="3659" w:type="dxa"/>
          </w:tcPr>
          <w:p w14:paraId="3E59BF63" w14:textId="77777777" w:rsidR="000F0526" w:rsidRPr="0037385F" w:rsidRDefault="000F0526" w:rsidP="000F0526">
            <w:pPr>
              <w:pStyle w:val="ListParagraph"/>
              <w:numPr>
                <w:ilvl w:val="0"/>
                <w:numId w:val="8"/>
              </w:numPr>
              <w:jc w:val="both"/>
              <w:rPr>
                <w:sz w:val="16"/>
                <w:szCs w:val="16"/>
              </w:rPr>
            </w:pPr>
            <w:r w:rsidRPr="0037385F">
              <w:rPr>
                <w:sz w:val="16"/>
                <w:szCs w:val="16"/>
              </w:rPr>
              <w:t>Rishikimi dhe ndryshimi i udhëzimeve të koordinatorit të riskut dhe koordinatorit të MFK-së.</w:t>
            </w:r>
          </w:p>
        </w:tc>
        <w:tc>
          <w:tcPr>
            <w:tcW w:w="798" w:type="dxa"/>
            <w:shd w:val="clear" w:color="auto" w:fill="FFFFFF" w:themeFill="background1"/>
            <w:vAlign w:val="center"/>
          </w:tcPr>
          <w:p w14:paraId="14101641" w14:textId="77777777" w:rsidR="000F0526" w:rsidRPr="0037385F" w:rsidRDefault="000F0526" w:rsidP="000C70FA">
            <w:pPr>
              <w:jc w:val="center"/>
              <w:rPr>
                <w:sz w:val="16"/>
                <w:szCs w:val="16"/>
              </w:rPr>
            </w:pPr>
            <w:r w:rsidRPr="0037385F">
              <w:rPr>
                <w:sz w:val="16"/>
                <w:szCs w:val="16"/>
              </w:rPr>
              <w:t>T1 2024</w:t>
            </w:r>
          </w:p>
        </w:tc>
        <w:tc>
          <w:tcPr>
            <w:tcW w:w="798" w:type="dxa"/>
            <w:shd w:val="clear" w:color="auto" w:fill="FFFFFF" w:themeFill="background1"/>
            <w:vAlign w:val="center"/>
          </w:tcPr>
          <w:p w14:paraId="4832748F" w14:textId="77777777" w:rsidR="000F0526" w:rsidRPr="0037385F" w:rsidRDefault="000F0526" w:rsidP="000C70FA">
            <w:pPr>
              <w:jc w:val="center"/>
              <w:rPr>
                <w:sz w:val="16"/>
                <w:szCs w:val="16"/>
              </w:rPr>
            </w:pPr>
            <w:r w:rsidRPr="0037385F">
              <w:rPr>
                <w:sz w:val="16"/>
                <w:szCs w:val="16"/>
              </w:rPr>
              <w:t>T4 2024</w:t>
            </w:r>
          </w:p>
        </w:tc>
        <w:tc>
          <w:tcPr>
            <w:tcW w:w="1781" w:type="dxa"/>
            <w:vMerge w:val="restart"/>
          </w:tcPr>
          <w:p w14:paraId="52AE6D96" w14:textId="77777777" w:rsidR="000F0526" w:rsidRPr="0037385F" w:rsidRDefault="000F0526" w:rsidP="000C70FA">
            <w:pPr>
              <w:rPr>
                <w:b/>
                <w:bCs/>
                <w:sz w:val="16"/>
                <w:szCs w:val="16"/>
              </w:rPr>
            </w:pPr>
            <w:r w:rsidRPr="0037385F">
              <w:rPr>
                <w:b/>
                <w:bCs/>
                <w:sz w:val="16"/>
                <w:szCs w:val="16"/>
              </w:rPr>
              <w:t>Nj</w:t>
            </w:r>
            <w:r>
              <w:rPr>
                <w:b/>
                <w:bCs/>
                <w:sz w:val="16"/>
                <w:szCs w:val="16"/>
              </w:rPr>
              <w:t>ë</w:t>
            </w:r>
            <w:r w:rsidRPr="0037385F">
              <w:rPr>
                <w:b/>
                <w:bCs/>
                <w:sz w:val="16"/>
                <w:szCs w:val="16"/>
              </w:rPr>
              <w:t>sit</w:t>
            </w:r>
            <w:r>
              <w:rPr>
                <w:b/>
                <w:bCs/>
                <w:sz w:val="16"/>
                <w:szCs w:val="16"/>
              </w:rPr>
              <w:t>ë</w:t>
            </w:r>
            <w:r w:rsidRPr="0037385F">
              <w:rPr>
                <w:b/>
                <w:bCs/>
                <w:sz w:val="16"/>
                <w:szCs w:val="16"/>
              </w:rPr>
              <w:t xml:space="preserve"> p</w:t>
            </w:r>
            <w:r>
              <w:rPr>
                <w:b/>
                <w:bCs/>
                <w:sz w:val="16"/>
                <w:szCs w:val="16"/>
              </w:rPr>
              <w:t>ë</w:t>
            </w:r>
            <w:r w:rsidRPr="0037385F">
              <w:rPr>
                <w:b/>
                <w:bCs/>
                <w:sz w:val="16"/>
                <w:szCs w:val="16"/>
              </w:rPr>
              <w:t>rgjegj</w:t>
            </w:r>
            <w:r>
              <w:rPr>
                <w:b/>
                <w:bCs/>
                <w:sz w:val="16"/>
                <w:szCs w:val="16"/>
              </w:rPr>
              <w:t>ë</w:t>
            </w:r>
            <w:r w:rsidRPr="0037385F">
              <w:rPr>
                <w:b/>
                <w:bCs/>
                <w:sz w:val="16"/>
                <w:szCs w:val="16"/>
              </w:rPr>
              <w:t xml:space="preserve">se: </w:t>
            </w:r>
          </w:p>
          <w:p w14:paraId="08AEF2F4" w14:textId="77777777" w:rsidR="000F0526" w:rsidRPr="0037385F" w:rsidRDefault="000F0526" w:rsidP="000C70FA">
            <w:pPr>
              <w:rPr>
                <w:sz w:val="16"/>
                <w:szCs w:val="16"/>
              </w:rPr>
            </w:pPr>
            <w:r w:rsidRPr="0037385F">
              <w:rPr>
                <w:sz w:val="16"/>
                <w:szCs w:val="16"/>
              </w:rPr>
              <w:t>DHMFKK (lider)</w:t>
            </w:r>
          </w:p>
          <w:p w14:paraId="3AAB3DDA" w14:textId="77777777" w:rsidR="000F0526" w:rsidRPr="0037385F" w:rsidRDefault="000F0526" w:rsidP="000C70FA">
            <w:pPr>
              <w:pStyle w:val="EcorysBody"/>
              <w:rPr>
                <w:rFonts w:ascii="Arial" w:hAnsi="Arial" w:cs="Arial"/>
                <w:b/>
                <w:bCs/>
                <w:sz w:val="16"/>
                <w:szCs w:val="16"/>
              </w:rPr>
            </w:pPr>
          </w:p>
          <w:p w14:paraId="5670AB69" w14:textId="77777777" w:rsidR="000F0526" w:rsidRPr="0037385F" w:rsidRDefault="000F0526" w:rsidP="000C70FA">
            <w:pPr>
              <w:pStyle w:val="EcorysBody"/>
              <w:rPr>
                <w:rFonts w:ascii="Arial" w:hAnsi="Arial" w:cs="Arial"/>
                <w:b/>
                <w:bCs/>
                <w:sz w:val="16"/>
                <w:szCs w:val="16"/>
              </w:rPr>
            </w:pPr>
            <w:r w:rsidRPr="0037385F">
              <w:rPr>
                <w:rFonts w:ascii="Arial" w:hAnsi="Arial" w:cs="Arial"/>
                <w:b/>
                <w:bCs/>
                <w:sz w:val="16"/>
                <w:szCs w:val="16"/>
              </w:rPr>
              <w:t>Partner</w:t>
            </w:r>
            <w:r>
              <w:rPr>
                <w:rFonts w:ascii="Arial" w:hAnsi="Arial" w:cs="Arial"/>
                <w:b/>
                <w:bCs/>
                <w:sz w:val="16"/>
                <w:szCs w:val="16"/>
              </w:rPr>
              <w:t>ë</w:t>
            </w:r>
            <w:r w:rsidRPr="0037385F">
              <w:rPr>
                <w:rFonts w:ascii="Arial" w:hAnsi="Arial" w:cs="Arial"/>
                <w:b/>
                <w:bCs/>
                <w:sz w:val="16"/>
                <w:szCs w:val="16"/>
              </w:rPr>
              <w:t>t:</w:t>
            </w:r>
          </w:p>
          <w:p w14:paraId="3B6CC578" w14:textId="77777777" w:rsidR="000F0526" w:rsidRPr="0037385F" w:rsidRDefault="000F0526" w:rsidP="000C70FA">
            <w:pPr>
              <w:pStyle w:val="EcorysBody"/>
              <w:rPr>
                <w:rFonts w:ascii="Arial" w:hAnsi="Arial" w:cs="Arial"/>
                <w:sz w:val="16"/>
                <w:szCs w:val="16"/>
              </w:rPr>
            </w:pPr>
            <w:r w:rsidRPr="0037385F">
              <w:rPr>
                <w:rFonts w:ascii="Arial" w:hAnsi="Arial" w:cs="Arial"/>
                <w:sz w:val="16"/>
                <w:szCs w:val="16"/>
              </w:rPr>
              <w:t>BE, SIGMA, SECO</w:t>
            </w:r>
          </w:p>
          <w:p w14:paraId="56E05CC4" w14:textId="77777777" w:rsidR="000F0526" w:rsidRPr="0037385F" w:rsidRDefault="000F0526" w:rsidP="000C70FA">
            <w:pPr>
              <w:pStyle w:val="EcorysBody"/>
              <w:rPr>
                <w:rFonts w:ascii="Arial" w:hAnsi="Arial" w:cs="Arial"/>
                <w:sz w:val="16"/>
                <w:szCs w:val="16"/>
              </w:rPr>
            </w:pPr>
          </w:p>
        </w:tc>
      </w:tr>
      <w:tr w:rsidR="000F0526" w:rsidRPr="001F151E" w14:paraId="6591924D" w14:textId="77777777" w:rsidTr="000C70FA">
        <w:trPr>
          <w:cantSplit/>
          <w:trHeight w:val="20"/>
        </w:trPr>
        <w:tc>
          <w:tcPr>
            <w:tcW w:w="1980" w:type="dxa"/>
            <w:vMerge/>
            <w:shd w:val="clear" w:color="auto" w:fill="auto"/>
          </w:tcPr>
          <w:p w14:paraId="3DFA9122" w14:textId="77777777" w:rsidR="000F0526" w:rsidRPr="0037385F" w:rsidRDefault="000F0526" w:rsidP="000C70FA">
            <w:pPr>
              <w:rPr>
                <w:b/>
                <w:bCs/>
                <w:sz w:val="16"/>
                <w:szCs w:val="16"/>
              </w:rPr>
            </w:pPr>
          </w:p>
        </w:tc>
        <w:tc>
          <w:tcPr>
            <w:tcW w:w="3659" w:type="dxa"/>
          </w:tcPr>
          <w:p w14:paraId="509E899C" w14:textId="77777777" w:rsidR="000F0526" w:rsidRPr="0037385F" w:rsidRDefault="000F0526" w:rsidP="000F0526">
            <w:pPr>
              <w:pStyle w:val="ListParagraph"/>
              <w:numPr>
                <w:ilvl w:val="0"/>
                <w:numId w:val="8"/>
              </w:numPr>
              <w:jc w:val="both"/>
              <w:rPr>
                <w:sz w:val="16"/>
                <w:szCs w:val="16"/>
              </w:rPr>
            </w:pPr>
            <w:r w:rsidRPr="0037385F">
              <w:rPr>
                <w:sz w:val="16"/>
                <w:szCs w:val="16"/>
              </w:rPr>
              <w:t>Rritja e ndërgjegjësimit dhe ofrimi i asistencës teknike për menaxhimin e riskut se si të zhvillohen mjetet për menaxhimin (strategjik dhe operacional) të riskut.</w:t>
            </w:r>
          </w:p>
        </w:tc>
        <w:tc>
          <w:tcPr>
            <w:tcW w:w="798" w:type="dxa"/>
            <w:shd w:val="clear" w:color="auto" w:fill="FFFFFF" w:themeFill="background1"/>
            <w:vAlign w:val="center"/>
          </w:tcPr>
          <w:p w14:paraId="6D1211B7" w14:textId="77777777" w:rsidR="000F0526" w:rsidRPr="0037385F" w:rsidRDefault="000F0526" w:rsidP="000C70FA">
            <w:pPr>
              <w:jc w:val="center"/>
              <w:rPr>
                <w:sz w:val="16"/>
                <w:szCs w:val="16"/>
              </w:rPr>
            </w:pPr>
            <w:r w:rsidRPr="0037385F">
              <w:rPr>
                <w:sz w:val="16"/>
                <w:szCs w:val="16"/>
              </w:rPr>
              <w:t>T1 2024</w:t>
            </w:r>
          </w:p>
        </w:tc>
        <w:tc>
          <w:tcPr>
            <w:tcW w:w="798" w:type="dxa"/>
            <w:shd w:val="clear" w:color="auto" w:fill="FFFFFF" w:themeFill="background1"/>
            <w:vAlign w:val="center"/>
          </w:tcPr>
          <w:p w14:paraId="693E96D5" w14:textId="77777777" w:rsidR="000F0526" w:rsidRPr="0037385F" w:rsidRDefault="000F0526" w:rsidP="000C70FA">
            <w:pPr>
              <w:jc w:val="center"/>
              <w:rPr>
                <w:sz w:val="16"/>
                <w:szCs w:val="16"/>
              </w:rPr>
            </w:pPr>
            <w:r w:rsidRPr="0037385F">
              <w:rPr>
                <w:sz w:val="16"/>
                <w:szCs w:val="16"/>
              </w:rPr>
              <w:t>T4 2025</w:t>
            </w:r>
          </w:p>
        </w:tc>
        <w:tc>
          <w:tcPr>
            <w:tcW w:w="1781" w:type="dxa"/>
            <w:vMerge/>
          </w:tcPr>
          <w:p w14:paraId="212D653D" w14:textId="77777777" w:rsidR="000F0526" w:rsidRPr="0037385F" w:rsidRDefault="000F0526" w:rsidP="000C70FA">
            <w:pPr>
              <w:rPr>
                <w:b/>
                <w:bCs/>
                <w:sz w:val="16"/>
                <w:szCs w:val="16"/>
              </w:rPr>
            </w:pPr>
          </w:p>
        </w:tc>
      </w:tr>
      <w:tr w:rsidR="000F0526" w:rsidRPr="001F151E" w14:paraId="159DE417" w14:textId="77777777" w:rsidTr="000C70FA">
        <w:trPr>
          <w:cantSplit/>
          <w:trHeight w:val="23"/>
        </w:trPr>
        <w:tc>
          <w:tcPr>
            <w:tcW w:w="1980" w:type="dxa"/>
            <w:shd w:val="clear" w:color="auto" w:fill="auto"/>
          </w:tcPr>
          <w:p w14:paraId="1CA67635" w14:textId="77777777" w:rsidR="000F0526" w:rsidRPr="0037385F" w:rsidRDefault="000F0526" w:rsidP="000C70FA">
            <w:pPr>
              <w:rPr>
                <w:b/>
                <w:bCs/>
                <w:sz w:val="16"/>
                <w:szCs w:val="16"/>
              </w:rPr>
            </w:pPr>
            <w:r w:rsidRPr="0037385F">
              <w:rPr>
                <w:b/>
                <w:bCs/>
                <w:sz w:val="16"/>
                <w:szCs w:val="16"/>
              </w:rPr>
              <w:t xml:space="preserve">Masa 5.1.4 </w:t>
            </w:r>
          </w:p>
          <w:p w14:paraId="391187C0" w14:textId="77777777" w:rsidR="000F0526" w:rsidRPr="0037385F" w:rsidRDefault="000F0526" w:rsidP="000C70FA">
            <w:pPr>
              <w:rPr>
                <w:sz w:val="16"/>
                <w:szCs w:val="16"/>
              </w:rPr>
            </w:pPr>
            <w:r>
              <w:rPr>
                <w:b/>
                <w:bCs/>
                <w:sz w:val="16"/>
                <w:szCs w:val="16"/>
              </w:rPr>
              <w:t>Përmirësimi i</w:t>
            </w:r>
            <w:r w:rsidRPr="00744543">
              <w:rPr>
                <w:b/>
                <w:bCs/>
                <w:sz w:val="16"/>
                <w:szCs w:val="16"/>
              </w:rPr>
              <w:t xml:space="preserve"> vlerësimit dhe përmirësimit të cilësisë së MFK-së në institucionet publike</w:t>
            </w:r>
          </w:p>
        </w:tc>
        <w:tc>
          <w:tcPr>
            <w:tcW w:w="3659" w:type="dxa"/>
            <w:vAlign w:val="center"/>
          </w:tcPr>
          <w:p w14:paraId="7091A8F0" w14:textId="77777777" w:rsidR="000F0526" w:rsidRPr="0037385F" w:rsidRDefault="000F0526" w:rsidP="000F0526">
            <w:pPr>
              <w:pStyle w:val="ListParagraph"/>
              <w:numPr>
                <w:ilvl w:val="0"/>
                <w:numId w:val="12"/>
              </w:numPr>
              <w:jc w:val="both"/>
              <w:rPr>
                <w:sz w:val="16"/>
                <w:szCs w:val="16"/>
              </w:rPr>
            </w:pPr>
            <w:r w:rsidRPr="0037385F">
              <w:rPr>
                <w:sz w:val="16"/>
                <w:szCs w:val="16"/>
              </w:rPr>
              <w:t>Përmirësimi i nivelit të zbatimit të rekomandimeve të MFK-së nga procedura e vlerësimit të cilësisë së KB përmes planit të zhvillimit të MFK-së.</w:t>
            </w:r>
          </w:p>
        </w:tc>
        <w:tc>
          <w:tcPr>
            <w:tcW w:w="798" w:type="dxa"/>
            <w:vAlign w:val="center"/>
          </w:tcPr>
          <w:p w14:paraId="1F0AF760" w14:textId="77777777" w:rsidR="000F0526" w:rsidRPr="0037385F" w:rsidRDefault="000F0526" w:rsidP="000C70FA">
            <w:pPr>
              <w:jc w:val="center"/>
              <w:rPr>
                <w:sz w:val="16"/>
                <w:szCs w:val="16"/>
              </w:rPr>
            </w:pPr>
            <w:r w:rsidRPr="0037385F">
              <w:rPr>
                <w:sz w:val="16"/>
                <w:szCs w:val="16"/>
              </w:rPr>
              <w:t>T1 2024</w:t>
            </w:r>
          </w:p>
        </w:tc>
        <w:tc>
          <w:tcPr>
            <w:tcW w:w="798" w:type="dxa"/>
            <w:vAlign w:val="center"/>
          </w:tcPr>
          <w:p w14:paraId="02C0DED8" w14:textId="77777777" w:rsidR="000F0526" w:rsidRPr="0037385F" w:rsidRDefault="000F0526" w:rsidP="000C70FA">
            <w:pPr>
              <w:jc w:val="center"/>
              <w:rPr>
                <w:sz w:val="16"/>
                <w:szCs w:val="16"/>
              </w:rPr>
            </w:pPr>
            <w:r w:rsidRPr="0037385F">
              <w:rPr>
                <w:sz w:val="16"/>
                <w:szCs w:val="16"/>
              </w:rPr>
              <w:t>T4 2026</w:t>
            </w:r>
          </w:p>
        </w:tc>
        <w:tc>
          <w:tcPr>
            <w:tcW w:w="1781" w:type="dxa"/>
          </w:tcPr>
          <w:p w14:paraId="3C31A417" w14:textId="77777777" w:rsidR="000F0526" w:rsidRPr="0037385F" w:rsidRDefault="000F0526" w:rsidP="000C70FA">
            <w:pPr>
              <w:rPr>
                <w:b/>
                <w:bCs/>
                <w:sz w:val="16"/>
                <w:szCs w:val="16"/>
              </w:rPr>
            </w:pPr>
            <w:r w:rsidRPr="0037385F">
              <w:rPr>
                <w:b/>
                <w:bCs/>
                <w:sz w:val="16"/>
                <w:szCs w:val="16"/>
              </w:rPr>
              <w:t>Nj</w:t>
            </w:r>
            <w:r>
              <w:rPr>
                <w:b/>
                <w:bCs/>
                <w:sz w:val="16"/>
                <w:szCs w:val="16"/>
              </w:rPr>
              <w:t>ë</w:t>
            </w:r>
            <w:r w:rsidRPr="0037385F">
              <w:rPr>
                <w:b/>
                <w:bCs/>
                <w:sz w:val="16"/>
                <w:szCs w:val="16"/>
              </w:rPr>
              <w:t>sit</w:t>
            </w:r>
            <w:r>
              <w:rPr>
                <w:b/>
                <w:bCs/>
                <w:sz w:val="16"/>
                <w:szCs w:val="16"/>
              </w:rPr>
              <w:t>ë</w:t>
            </w:r>
            <w:r w:rsidRPr="0037385F">
              <w:rPr>
                <w:b/>
                <w:bCs/>
                <w:sz w:val="16"/>
                <w:szCs w:val="16"/>
              </w:rPr>
              <w:t xml:space="preserve"> p</w:t>
            </w:r>
            <w:r>
              <w:rPr>
                <w:b/>
                <w:bCs/>
                <w:sz w:val="16"/>
                <w:szCs w:val="16"/>
              </w:rPr>
              <w:t>ë</w:t>
            </w:r>
            <w:r w:rsidRPr="0037385F">
              <w:rPr>
                <w:b/>
                <w:bCs/>
                <w:sz w:val="16"/>
                <w:szCs w:val="16"/>
              </w:rPr>
              <w:t>rgjegj</w:t>
            </w:r>
            <w:r>
              <w:rPr>
                <w:b/>
                <w:bCs/>
                <w:sz w:val="16"/>
                <w:szCs w:val="16"/>
              </w:rPr>
              <w:t>ë</w:t>
            </w:r>
            <w:r w:rsidRPr="0037385F">
              <w:rPr>
                <w:b/>
                <w:bCs/>
                <w:sz w:val="16"/>
                <w:szCs w:val="16"/>
              </w:rPr>
              <w:t xml:space="preserve">se: </w:t>
            </w:r>
          </w:p>
          <w:p w14:paraId="5770D2DC" w14:textId="77777777" w:rsidR="000F0526" w:rsidRPr="0037385F" w:rsidRDefault="000F0526" w:rsidP="000C70FA">
            <w:pPr>
              <w:rPr>
                <w:sz w:val="16"/>
                <w:szCs w:val="16"/>
              </w:rPr>
            </w:pPr>
            <w:r w:rsidRPr="0037385F">
              <w:rPr>
                <w:sz w:val="16"/>
                <w:szCs w:val="16"/>
              </w:rPr>
              <w:t>DHMFKK (lider)</w:t>
            </w:r>
          </w:p>
          <w:p w14:paraId="1E561DDC" w14:textId="77777777" w:rsidR="000F0526" w:rsidRPr="0037385F" w:rsidRDefault="000F0526" w:rsidP="000C70FA">
            <w:pPr>
              <w:pStyle w:val="EcorysBody"/>
              <w:rPr>
                <w:rFonts w:ascii="Arial" w:hAnsi="Arial" w:cs="Arial"/>
                <w:b/>
                <w:bCs/>
                <w:sz w:val="16"/>
                <w:szCs w:val="16"/>
              </w:rPr>
            </w:pPr>
          </w:p>
          <w:p w14:paraId="68C455E3" w14:textId="77777777" w:rsidR="000F0526" w:rsidRPr="0037385F" w:rsidRDefault="000F0526" w:rsidP="000C70FA">
            <w:pPr>
              <w:pStyle w:val="EcorysBody"/>
              <w:rPr>
                <w:rFonts w:ascii="Arial" w:hAnsi="Arial" w:cs="Arial"/>
                <w:b/>
                <w:bCs/>
                <w:sz w:val="16"/>
                <w:szCs w:val="16"/>
              </w:rPr>
            </w:pPr>
            <w:r w:rsidRPr="0037385F">
              <w:rPr>
                <w:rFonts w:ascii="Arial" w:hAnsi="Arial" w:cs="Arial"/>
                <w:b/>
                <w:bCs/>
                <w:sz w:val="16"/>
                <w:szCs w:val="16"/>
              </w:rPr>
              <w:t>Partner</w:t>
            </w:r>
            <w:r>
              <w:rPr>
                <w:rFonts w:ascii="Arial" w:hAnsi="Arial" w:cs="Arial"/>
                <w:b/>
                <w:bCs/>
                <w:sz w:val="16"/>
                <w:szCs w:val="16"/>
              </w:rPr>
              <w:t>ë</w:t>
            </w:r>
            <w:r w:rsidRPr="0037385F">
              <w:rPr>
                <w:rFonts w:ascii="Arial" w:hAnsi="Arial" w:cs="Arial"/>
                <w:b/>
                <w:bCs/>
                <w:sz w:val="16"/>
                <w:szCs w:val="16"/>
              </w:rPr>
              <w:t>t:</w:t>
            </w:r>
          </w:p>
          <w:p w14:paraId="4F1FE4EB" w14:textId="77777777" w:rsidR="000F0526" w:rsidRPr="0037385F" w:rsidRDefault="000F0526" w:rsidP="000C70FA">
            <w:pPr>
              <w:pStyle w:val="EcorysBody"/>
              <w:rPr>
                <w:rFonts w:ascii="Arial" w:hAnsi="Arial" w:cs="Arial"/>
                <w:sz w:val="16"/>
                <w:szCs w:val="16"/>
              </w:rPr>
            </w:pPr>
            <w:r w:rsidRPr="0037385F">
              <w:rPr>
                <w:rFonts w:ascii="Arial" w:hAnsi="Arial" w:cs="Arial"/>
                <w:sz w:val="16"/>
                <w:szCs w:val="16"/>
              </w:rPr>
              <w:t>SIGMA, SECO.</w:t>
            </w:r>
            <w:r w:rsidRPr="0037385F">
              <w:rPr>
                <w:rStyle w:val="FootnoteReference"/>
                <w:sz w:val="16"/>
                <w:szCs w:val="16"/>
              </w:rPr>
              <w:footnoteReference w:id="69"/>
            </w:r>
          </w:p>
        </w:tc>
      </w:tr>
      <w:bookmarkEnd w:id="52"/>
    </w:tbl>
    <w:p w14:paraId="6543FC3A" w14:textId="77777777" w:rsidR="000F0526" w:rsidRPr="001F151E" w:rsidRDefault="000F0526" w:rsidP="000F0526">
      <w:pPr>
        <w:rPr>
          <w:rStyle w:val="IntenseReference"/>
          <w:rFonts w:eastAsiaTheme="majorEastAsia" w:cstheme="majorBidi"/>
          <w:i w:val="0"/>
          <w:iCs/>
          <w:sz w:val="22"/>
          <w:szCs w:val="22"/>
          <w:lang w:val="en-GB"/>
        </w:rPr>
      </w:pPr>
    </w:p>
    <w:p w14:paraId="7C302DE9" w14:textId="77777777" w:rsidR="000F0526" w:rsidRPr="009D660E" w:rsidRDefault="000F0526" w:rsidP="000F0526">
      <w:pPr>
        <w:pStyle w:val="H5"/>
        <w:rPr>
          <w:lang w:val="it-IT"/>
        </w:rPr>
      </w:pPr>
      <w:r w:rsidRPr="009D660E">
        <w:rPr>
          <w:lang w:val="it-IT"/>
        </w:rPr>
        <w:t>Treguesit e performancës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0F0526" w:rsidRPr="001F151E" w14:paraId="67977217" w14:textId="77777777" w:rsidTr="000C70FA">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5E329D" w14:textId="77777777" w:rsidR="000F0526" w:rsidRPr="001F151E" w:rsidRDefault="000F0526" w:rsidP="000C70FA">
            <w:pPr>
              <w:pStyle w:val="T-bold"/>
              <w:spacing w:line="200" w:lineRule="exact"/>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C88B53" w14:textId="77777777" w:rsidR="000F0526" w:rsidRPr="001F151E" w:rsidRDefault="000F0526" w:rsidP="000C70FA">
            <w:pPr>
              <w:pStyle w:val="T-bold"/>
              <w:spacing w:line="200" w:lineRule="exact"/>
              <w:jc w:val="center"/>
            </w:pPr>
            <w:r>
              <w:t>Vlera bazë</w:t>
            </w:r>
            <w:r w:rsidRPr="001F151E">
              <w:t xml:space="preserve"> (</w:t>
            </w:r>
            <w:r>
              <w:t>2022)</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95C446" w14:textId="77777777" w:rsidR="000F0526" w:rsidRPr="001F151E" w:rsidRDefault="000F0526" w:rsidP="000C70FA">
            <w:pPr>
              <w:pStyle w:val="T-bold"/>
              <w:spacing w:line="200" w:lineRule="exact"/>
              <w:jc w:val="center"/>
            </w:pPr>
            <w:r>
              <w:t>Vlera e synuar</w:t>
            </w:r>
          </w:p>
        </w:tc>
      </w:tr>
      <w:tr w:rsidR="000F0526" w:rsidRPr="001F151E" w14:paraId="368F38AA" w14:textId="77777777" w:rsidTr="000C70FA">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800D331" w14:textId="77777777" w:rsidR="000F0526" w:rsidRPr="001F151E" w:rsidRDefault="000F0526" w:rsidP="000C70FA">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2B2DBCA" w14:textId="77777777" w:rsidR="000F0526" w:rsidRPr="001F151E" w:rsidRDefault="000F0526" w:rsidP="000C70FA">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697D1" w14:textId="77777777" w:rsidR="000F0526" w:rsidRPr="001F151E" w:rsidRDefault="000F0526" w:rsidP="000C70FA">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1B190B" w14:textId="77777777" w:rsidR="000F0526" w:rsidRPr="001F151E" w:rsidRDefault="000F0526" w:rsidP="000C70FA">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CBF65" w14:textId="77777777" w:rsidR="000F0526" w:rsidRPr="001F151E" w:rsidRDefault="000F0526" w:rsidP="000C70FA">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75E08" w14:textId="77777777" w:rsidR="000F0526" w:rsidRPr="001F151E" w:rsidRDefault="000F0526" w:rsidP="000C70FA">
            <w:pPr>
              <w:pStyle w:val="T-bold"/>
              <w:spacing w:line="200" w:lineRule="exact"/>
              <w:jc w:val="center"/>
            </w:pPr>
            <w:r w:rsidRPr="001F151E">
              <w:t>2026</w:t>
            </w:r>
          </w:p>
        </w:tc>
      </w:tr>
      <w:tr w:rsidR="000F0526" w:rsidRPr="001F151E" w14:paraId="24B184DF" w14:textId="77777777" w:rsidTr="000C70FA">
        <w:tc>
          <w:tcPr>
            <w:tcW w:w="3114" w:type="dxa"/>
            <w:tcBorders>
              <w:top w:val="single" w:sz="4" w:space="0" w:color="auto"/>
              <w:left w:val="single" w:sz="4" w:space="0" w:color="auto"/>
              <w:bottom w:val="single" w:sz="4" w:space="0" w:color="auto"/>
              <w:right w:val="single" w:sz="4" w:space="0" w:color="auto"/>
            </w:tcBorders>
          </w:tcPr>
          <w:p w14:paraId="2F7DB0D8" w14:textId="77777777" w:rsidR="000F0526" w:rsidRPr="0037385F" w:rsidRDefault="000F0526" w:rsidP="00CD7428">
            <w:pPr>
              <w:pStyle w:val="ListParagraph"/>
              <w:numPr>
                <w:ilvl w:val="0"/>
                <w:numId w:val="39"/>
              </w:numPr>
              <w:spacing w:line="200" w:lineRule="exact"/>
              <w:rPr>
                <w:sz w:val="16"/>
                <w:szCs w:val="16"/>
              </w:rPr>
            </w:pPr>
            <w:r w:rsidRPr="0037385F">
              <w:rPr>
                <w:sz w:val="16"/>
                <w:szCs w:val="16"/>
              </w:rPr>
              <w:t xml:space="preserve">Përqindja e Institucioneve Publike që përmbushin kërkesat e MFK-së. </w:t>
            </w:r>
          </w:p>
        </w:tc>
        <w:tc>
          <w:tcPr>
            <w:tcW w:w="1180" w:type="dxa"/>
            <w:tcBorders>
              <w:top w:val="single" w:sz="4" w:space="0" w:color="auto"/>
              <w:left w:val="single" w:sz="4" w:space="0" w:color="auto"/>
              <w:bottom w:val="single" w:sz="4" w:space="0" w:color="auto"/>
              <w:right w:val="single" w:sz="4" w:space="0" w:color="auto"/>
            </w:tcBorders>
            <w:vAlign w:val="center"/>
          </w:tcPr>
          <w:p w14:paraId="03F61534"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69%</w:t>
            </w:r>
          </w:p>
        </w:tc>
        <w:tc>
          <w:tcPr>
            <w:tcW w:w="1181" w:type="dxa"/>
            <w:tcBorders>
              <w:top w:val="single" w:sz="4" w:space="0" w:color="auto"/>
              <w:left w:val="single" w:sz="4" w:space="0" w:color="auto"/>
              <w:bottom w:val="single" w:sz="4" w:space="0" w:color="auto"/>
              <w:right w:val="single" w:sz="4" w:space="0" w:color="auto"/>
            </w:tcBorders>
            <w:vAlign w:val="center"/>
          </w:tcPr>
          <w:p w14:paraId="1298315A"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70%</w:t>
            </w:r>
          </w:p>
        </w:tc>
        <w:tc>
          <w:tcPr>
            <w:tcW w:w="1180" w:type="dxa"/>
            <w:tcBorders>
              <w:top w:val="single" w:sz="4" w:space="0" w:color="auto"/>
              <w:left w:val="single" w:sz="4" w:space="0" w:color="auto"/>
              <w:bottom w:val="single" w:sz="4" w:space="0" w:color="auto"/>
              <w:right w:val="single" w:sz="4" w:space="0" w:color="auto"/>
            </w:tcBorders>
            <w:vAlign w:val="center"/>
          </w:tcPr>
          <w:p w14:paraId="73AA0BC7"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72%</w:t>
            </w:r>
          </w:p>
        </w:tc>
        <w:tc>
          <w:tcPr>
            <w:tcW w:w="1181" w:type="dxa"/>
            <w:tcBorders>
              <w:top w:val="single" w:sz="4" w:space="0" w:color="auto"/>
              <w:left w:val="single" w:sz="4" w:space="0" w:color="auto"/>
              <w:bottom w:val="single" w:sz="4" w:space="0" w:color="auto"/>
              <w:right w:val="single" w:sz="4" w:space="0" w:color="auto"/>
            </w:tcBorders>
            <w:vAlign w:val="center"/>
          </w:tcPr>
          <w:p w14:paraId="5D92D970"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75%</w:t>
            </w:r>
          </w:p>
        </w:tc>
        <w:tc>
          <w:tcPr>
            <w:tcW w:w="1181" w:type="dxa"/>
            <w:tcBorders>
              <w:top w:val="single" w:sz="4" w:space="0" w:color="auto"/>
              <w:left w:val="single" w:sz="4" w:space="0" w:color="auto"/>
              <w:bottom w:val="single" w:sz="4" w:space="0" w:color="auto"/>
              <w:right w:val="single" w:sz="4" w:space="0" w:color="auto"/>
            </w:tcBorders>
            <w:vAlign w:val="center"/>
          </w:tcPr>
          <w:p w14:paraId="65AC792C"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80%</w:t>
            </w:r>
          </w:p>
        </w:tc>
      </w:tr>
      <w:tr w:rsidR="000F0526" w:rsidRPr="001F151E" w14:paraId="63469807" w14:textId="77777777" w:rsidTr="000C70FA">
        <w:trPr>
          <w:trHeight w:val="21"/>
        </w:trPr>
        <w:tc>
          <w:tcPr>
            <w:tcW w:w="3114" w:type="dxa"/>
            <w:tcBorders>
              <w:top w:val="single" w:sz="4" w:space="0" w:color="auto"/>
              <w:left w:val="single" w:sz="4" w:space="0" w:color="auto"/>
              <w:bottom w:val="single" w:sz="4" w:space="0" w:color="auto"/>
              <w:right w:val="single" w:sz="4" w:space="0" w:color="auto"/>
            </w:tcBorders>
          </w:tcPr>
          <w:p w14:paraId="49432A77" w14:textId="77777777" w:rsidR="000F0526" w:rsidRPr="0037385F" w:rsidRDefault="000F0526" w:rsidP="00CD7428">
            <w:pPr>
              <w:pStyle w:val="ListParagraph"/>
              <w:numPr>
                <w:ilvl w:val="0"/>
                <w:numId w:val="39"/>
              </w:numPr>
              <w:spacing w:line="200" w:lineRule="exact"/>
              <w:rPr>
                <w:sz w:val="16"/>
                <w:szCs w:val="16"/>
              </w:rPr>
            </w:pPr>
            <w:r w:rsidRPr="0037385F">
              <w:rPr>
                <w:rStyle w:val="rynqvb"/>
                <w:sz w:val="16"/>
                <w:szCs w:val="16"/>
              </w:rPr>
              <w:t>Përqindja e institucioneve publike që kanë të vendosur mekanizma adekuat të llogaridhënies menaxheriale</w:t>
            </w:r>
            <w:r w:rsidRPr="0037385F">
              <w:rPr>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30C0EDB3" w14:textId="727A5FA1" w:rsidR="000F0526" w:rsidRPr="0037385F" w:rsidRDefault="008700AB" w:rsidP="000C70FA">
            <w:pPr>
              <w:pStyle w:val="EcorysBody"/>
              <w:spacing w:line="200" w:lineRule="exact"/>
              <w:jc w:val="center"/>
              <w:rPr>
                <w:rFonts w:ascii="Arial" w:hAnsi="Arial" w:cs="Arial"/>
                <w:sz w:val="16"/>
                <w:szCs w:val="16"/>
              </w:rPr>
            </w:pPr>
            <w:r>
              <w:rPr>
                <w:rFonts w:ascii="Arial" w:hAnsi="Arial" w:cs="Arial"/>
                <w:sz w:val="16"/>
                <w:szCs w:val="16"/>
              </w:rPr>
              <w:t>68</w:t>
            </w:r>
            <w:r w:rsidR="000F0526" w:rsidRPr="0037385F">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746BB707"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70%</w:t>
            </w:r>
          </w:p>
        </w:tc>
        <w:tc>
          <w:tcPr>
            <w:tcW w:w="1180" w:type="dxa"/>
            <w:tcBorders>
              <w:top w:val="single" w:sz="4" w:space="0" w:color="auto"/>
              <w:left w:val="single" w:sz="4" w:space="0" w:color="auto"/>
              <w:bottom w:val="single" w:sz="4" w:space="0" w:color="auto"/>
              <w:right w:val="single" w:sz="4" w:space="0" w:color="auto"/>
            </w:tcBorders>
            <w:vAlign w:val="center"/>
          </w:tcPr>
          <w:p w14:paraId="635980ED"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72%</w:t>
            </w:r>
          </w:p>
        </w:tc>
        <w:tc>
          <w:tcPr>
            <w:tcW w:w="1181" w:type="dxa"/>
            <w:tcBorders>
              <w:top w:val="single" w:sz="4" w:space="0" w:color="auto"/>
              <w:left w:val="single" w:sz="4" w:space="0" w:color="auto"/>
              <w:bottom w:val="single" w:sz="4" w:space="0" w:color="auto"/>
              <w:right w:val="single" w:sz="4" w:space="0" w:color="auto"/>
            </w:tcBorders>
            <w:vAlign w:val="center"/>
          </w:tcPr>
          <w:p w14:paraId="7BB3E7D3"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75%</w:t>
            </w:r>
          </w:p>
        </w:tc>
        <w:tc>
          <w:tcPr>
            <w:tcW w:w="1181" w:type="dxa"/>
            <w:tcBorders>
              <w:top w:val="single" w:sz="4" w:space="0" w:color="auto"/>
              <w:left w:val="single" w:sz="4" w:space="0" w:color="auto"/>
              <w:bottom w:val="single" w:sz="4" w:space="0" w:color="auto"/>
              <w:right w:val="single" w:sz="4" w:space="0" w:color="auto"/>
            </w:tcBorders>
            <w:vAlign w:val="center"/>
          </w:tcPr>
          <w:p w14:paraId="3FD180CA"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80%</w:t>
            </w:r>
          </w:p>
        </w:tc>
      </w:tr>
      <w:tr w:rsidR="000F0526" w:rsidRPr="001F151E" w14:paraId="6182BB34" w14:textId="77777777" w:rsidTr="000C70FA">
        <w:tc>
          <w:tcPr>
            <w:tcW w:w="3114" w:type="dxa"/>
            <w:tcBorders>
              <w:top w:val="single" w:sz="4" w:space="0" w:color="auto"/>
              <w:left w:val="single" w:sz="4" w:space="0" w:color="auto"/>
              <w:bottom w:val="single" w:sz="4" w:space="0" w:color="auto"/>
              <w:right w:val="single" w:sz="4" w:space="0" w:color="auto"/>
            </w:tcBorders>
            <w:vAlign w:val="center"/>
          </w:tcPr>
          <w:p w14:paraId="26432BCC" w14:textId="77777777" w:rsidR="000F0526" w:rsidRPr="0037385F" w:rsidRDefault="000F0526" w:rsidP="00CD7428">
            <w:pPr>
              <w:pStyle w:val="ListParagraph"/>
              <w:numPr>
                <w:ilvl w:val="0"/>
                <w:numId w:val="39"/>
              </w:numPr>
              <w:spacing w:line="200" w:lineRule="exact"/>
              <w:rPr>
                <w:sz w:val="16"/>
                <w:szCs w:val="16"/>
              </w:rPr>
            </w:pPr>
            <w:r w:rsidRPr="0037385F">
              <w:rPr>
                <w:rStyle w:val="rynqvb"/>
                <w:sz w:val="16"/>
                <w:szCs w:val="16"/>
              </w:rPr>
              <w:t>Ligji dhe aktet nënligjore të MFK-së jan</w:t>
            </w:r>
            <w:r>
              <w:rPr>
                <w:rStyle w:val="rynqvb"/>
                <w:sz w:val="16"/>
                <w:szCs w:val="16"/>
              </w:rPr>
              <w:t>ë</w:t>
            </w:r>
            <w:r w:rsidRPr="0037385F">
              <w:rPr>
                <w:rStyle w:val="rynqvb"/>
                <w:sz w:val="16"/>
                <w:szCs w:val="16"/>
              </w:rPr>
              <w:t xml:space="preserve"> ndryshuar dhe miratuar</w:t>
            </w:r>
            <w:r w:rsidRPr="0037385F">
              <w:rPr>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79F3F01F"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ND</w:t>
            </w:r>
          </w:p>
        </w:tc>
        <w:tc>
          <w:tcPr>
            <w:tcW w:w="1181" w:type="dxa"/>
            <w:tcBorders>
              <w:top w:val="single" w:sz="4" w:space="0" w:color="auto"/>
              <w:left w:val="single" w:sz="4" w:space="0" w:color="auto"/>
              <w:bottom w:val="single" w:sz="4" w:space="0" w:color="auto"/>
              <w:right w:val="single" w:sz="4" w:space="0" w:color="auto"/>
            </w:tcBorders>
            <w:vAlign w:val="center"/>
          </w:tcPr>
          <w:p w14:paraId="1E4FCC40"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Ligji i MFK-së, manuali i MFK-së dhe udhëzimi për deklarimin dhe raportimin për cilësinë e sistemit të kontrollit të brendshëm të miratuar</w:t>
            </w:r>
          </w:p>
        </w:tc>
        <w:tc>
          <w:tcPr>
            <w:tcW w:w="1180" w:type="dxa"/>
            <w:tcBorders>
              <w:top w:val="single" w:sz="4" w:space="0" w:color="auto"/>
              <w:left w:val="single" w:sz="4" w:space="0" w:color="auto"/>
              <w:bottom w:val="single" w:sz="4" w:space="0" w:color="auto"/>
              <w:right w:val="single" w:sz="4" w:space="0" w:color="auto"/>
            </w:tcBorders>
            <w:vAlign w:val="center"/>
          </w:tcPr>
          <w:p w14:paraId="765B77CE"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Metodologjia e vlerësimit të cilësisë së KB është miratuar</w:t>
            </w:r>
          </w:p>
        </w:tc>
        <w:tc>
          <w:tcPr>
            <w:tcW w:w="1181" w:type="dxa"/>
            <w:tcBorders>
              <w:top w:val="single" w:sz="4" w:space="0" w:color="auto"/>
              <w:left w:val="single" w:sz="4" w:space="0" w:color="auto"/>
              <w:bottom w:val="single" w:sz="4" w:space="0" w:color="auto"/>
              <w:right w:val="single" w:sz="4" w:space="0" w:color="auto"/>
            </w:tcBorders>
            <w:vAlign w:val="center"/>
          </w:tcPr>
          <w:p w14:paraId="2E1021C2"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Metodologjia për monitorimin e performancës së njësive të qeverisjes së përgjithshme është miratuar</w:t>
            </w:r>
          </w:p>
        </w:tc>
        <w:tc>
          <w:tcPr>
            <w:tcW w:w="1181" w:type="dxa"/>
            <w:tcBorders>
              <w:top w:val="single" w:sz="4" w:space="0" w:color="auto"/>
              <w:left w:val="single" w:sz="4" w:space="0" w:color="auto"/>
              <w:bottom w:val="single" w:sz="4" w:space="0" w:color="auto"/>
              <w:right w:val="single" w:sz="4" w:space="0" w:color="auto"/>
            </w:tcBorders>
            <w:vAlign w:val="center"/>
          </w:tcPr>
          <w:p w14:paraId="3BEBD622"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Ligji i MFK-së i rishikuar</w:t>
            </w:r>
            <w:r w:rsidRPr="0037385F">
              <w:rPr>
                <w:rStyle w:val="FootnoteReference"/>
                <w:rFonts w:cs="Arial"/>
                <w:sz w:val="16"/>
                <w:szCs w:val="16"/>
                <w:vertAlign w:val="baseline"/>
              </w:rPr>
              <w:t xml:space="preserve"> </w:t>
            </w:r>
            <w:r w:rsidRPr="0037385F">
              <w:rPr>
                <w:rStyle w:val="FootnoteReference"/>
                <w:rFonts w:cs="Arial"/>
                <w:sz w:val="16"/>
                <w:szCs w:val="16"/>
              </w:rPr>
              <w:footnoteReference w:id="70"/>
            </w:r>
            <w:r w:rsidRPr="0037385F">
              <w:rPr>
                <w:rFonts w:ascii="Arial" w:hAnsi="Arial" w:cs="Arial"/>
                <w:sz w:val="16"/>
                <w:szCs w:val="16"/>
              </w:rPr>
              <w:t xml:space="preserve"> </w:t>
            </w:r>
          </w:p>
        </w:tc>
      </w:tr>
      <w:tr w:rsidR="000F0526" w:rsidRPr="001F151E" w14:paraId="39880C1F" w14:textId="77777777" w:rsidTr="000C70FA">
        <w:tc>
          <w:tcPr>
            <w:tcW w:w="3114" w:type="dxa"/>
            <w:tcBorders>
              <w:top w:val="single" w:sz="4" w:space="0" w:color="auto"/>
              <w:left w:val="single" w:sz="4" w:space="0" w:color="auto"/>
              <w:bottom w:val="single" w:sz="4" w:space="0" w:color="auto"/>
              <w:right w:val="single" w:sz="4" w:space="0" w:color="auto"/>
            </w:tcBorders>
          </w:tcPr>
          <w:p w14:paraId="6F54A676" w14:textId="77777777" w:rsidR="000F0526" w:rsidRPr="0037385F" w:rsidRDefault="000F0526" w:rsidP="00CD7428">
            <w:pPr>
              <w:pStyle w:val="ListParagraph"/>
              <w:numPr>
                <w:ilvl w:val="0"/>
                <w:numId w:val="39"/>
              </w:numPr>
              <w:spacing w:line="200" w:lineRule="exact"/>
              <w:rPr>
                <w:sz w:val="16"/>
                <w:szCs w:val="16"/>
              </w:rPr>
            </w:pPr>
            <w:r w:rsidRPr="0037385F">
              <w:rPr>
                <w:sz w:val="16"/>
                <w:szCs w:val="16"/>
              </w:rPr>
              <w:t>Përqindja e institucioneve publike që kanë adoptuar të gjitha mjetet e menaxhimit të riskut.</w:t>
            </w:r>
          </w:p>
        </w:tc>
        <w:tc>
          <w:tcPr>
            <w:tcW w:w="1180" w:type="dxa"/>
            <w:tcBorders>
              <w:top w:val="single" w:sz="4" w:space="0" w:color="auto"/>
              <w:left w:val="single" w:sz="4" w:space="0" w:color="auto"/>
              <w:bottom w:val="single" w:sz="4" w:space="0" w:color="auto"/>
              <w:right w:val="single" w:sz="4" w:space="0" w:color="auto"/>
            </w:tcBorders>
            <w:vAlign w:val="center"/>
          </w:tcPr>
          <w:p w14:paraId="1D82DE47"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68%</w:t>
            </w:r>
          </w:p>
        </w:tc>
        <w:tc>
          <w:tcPr>
            <w:tcW w:w="1181" w:type="dxa"/>
            <w:tcBorders>
              <w:top w:val="single" w:sz="4" w:space="0" w:color="auto"/>
              <w:left w:val="single" w:sz="4" w:space="0" w:color="auto"/>
              <w:bottom w:val="single" w:sz="4" w:space="0" w:color="auto"/>
              <w:right w:val="single" w:sz="4" w:space="0" w:color="auto"/>
            </w:tcBorders>
            <w:vAlign w:val="center"/>
          </w:tcPr>
          <w:p w14:paraId="4096025D"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70%</w:t>
            </w:r>
          </w:p>
        </w:tc>
        <w:tc>
          <w:tcPr>
            <w:tcW w:w="1180" w:type="dxa"/>
            <w:tcBorders>
              <w:top w:val="single" w:sz="4" w:space="0" w:color="auto"/>
              <w:left w:val="single" w:sz="4" w:space="0" w:color="auto"/>
              <w:bottom w:val="single" w:sz="4" w:space="0" w:color="auto"/>
              <w:right w:val="single" w:sz="4" w:space="0" w:color="auto"/>
            </w:tcBorders>
            <w:vAlign w:val="center"/>
          </w:tcPr>
          <w:p w14:paraId="55E588F1"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72%</w:t>
            </w:r>
          </w:p>
        </w:tc>
        <w:tc>
          <w:tcPr>
            <w:tcW w:w="1181" w:type="dxa"/>
            <w:tcBorders>
              <w:top w:val="single" w:sz="4" w:space="0" w:color="auto"/>
              <w:left w:val="single" w:sz="4" w:space="0" w:color="auto"/>
              <w:bottom w:val="single" w:sz="4" w:space="0" w:color="auto"/>
              <w:right w:val="single" w:sz="4" w:space="0" w:color="auto"/>
            </w:tcBorders>
            <w:vAlign w:val="center"/>
          </w:tcPr>
          <w:p w14:paraId="61C3799D"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75%</w:t>
            </w:r>
          </w:p>
        </w:tc>
        <w:tc>
          <w:tcPr>
            <w:tcW w:w="1181" w:type="dxa"/>
            <w:tcBorders>
              <w:top w:val="single" w:sz="4" w:space="0" w:color="auto"/>
              <w:left w:val="single" w:sz="4" w:space="0" w:color="auto"/>
              <w:bottom w:val="single" w:sz="4" w:space="0" w:color="auto"/>
              <w:right w:val="single" w:sz="4" w:space="0" w:color="auto"/>
            </w:tcBorders>
            <w:vAlign w:val="center"/>
          </w:tcPr>
          <w:p w14:paraId="231D63BD" w14:textId="77777777" w:rsidR="000F0526" w:rsidRPr="0037385F" w:rsidRDefault="000F0526" w:rsidP="000C70FA">
            <w:pPr>
              <w:pStyle w:val="EcorysBody"/>
              <w:spacing w:line="200" w:lineRule="exact"/>
              <w:jc w:val="center"/>
              <w:rPr>
                <w:rFonts w:ascii="Arial" w:hAnsi="Arial" w:cs="Arial"/>
                <w:sz w:val="16"/>
                <w:szCs w:val="16"/>
              </w:rPr>
            </w:pPr>
            <w:r w:rsidRPr="0037385F">
              <w:rPr>
                <w:rFonts w:ascii="Arial" w:hAnsi="Arial" w:cs="Arial"/>
                <w:sz w:val="16"/>
                <w:szCs w:val="16"/>
              </w:rPr>
              <w:t>80%</w:t>
            </w:r>
          </w:p>
        </w:tc>
      </w:tr>
    </w:tbl>
    <w:p w14:paraId="3345DF86" w14:textId="77777777" w:rsidR="000F0526" w:rsidRPr="001F151E" w:rsidRDefault="000F0526" w:rsidP="000F0526">
      <w:pPr>
        <w:rPr>
          <w:lang w:val="en-GB"/>
        </w:rPr>
      </w:pPr>
    </w:p>
    <w:p w14:paraId="1A9CDE7D" w14:textId="77777777" w:rsidR="000F0526" w:rsidRDefault="000F0526" w:rsidP="000F0526">
      <w:pPr>
        <w:rPr>
          <w:lang w:val="en-GB"/>
        </w:rPr>
      </w:pPr>
    </w:p>
    <w:p w14:paraId="3FF2A401" w14:textId="77777777" w:rsidR="00FA16E5" w:rsidRDefault="00FA16E5" w:rsidP="000F0526">
      <w:pPr>
        <w:rPr>
          <w:lang w:val="en-GB"/>
        </w:rPr>
      </w:pPr>
    </w:p>
    <w:p w14:paraId="5A8A9EC4" w14:textId="77777777" w:rsidR="00FA16E5" w:rsidRPr="001F151E" w:rsidRDefault="00FA16E5" w:rsidP="000F0526">
      <w:pPr>
        <w:rPr>
          <w:lang w:val="en-GB"/>
        </w:rPr>
      </w:pPr>
    </w:p>
    <w:p w14:paraId="0F102DD7" w14:textId="77777777" w:rsidR="000F0526" w:rsidRPr="001F151E" w:rsidRDefault="000F0526" w:rsidP="000F0526">
      <w:pPr>
        <w:pStyle w:val="Heading2"/>
        <w:rPr>
          <w:lang w:val="en-GB"/>
        </w:rPr>
      </w:pPr>
      <w:bookmarkStart w:id="53" w:name="_Toc150931563"/>
      <w:bookmarkStart w:id="54" w:name="_Toc161748834"/>
      <w:r>
        <w:rPr>
          <w:lang w:val="en-GB"/>
        </w:rPr>
        <w:t>K</w:t>
      </w:r>
      <w:r w:rsidRPr="001F151E">
        <w:rPr>
          <w:lang w:val="en-GB"/>
        </w:rPr>
        <w:t>omponent</w:t>
      </w:r>
      <w:r>
        <w:rPr>
          <w:lang w:val="en-GB"/>
        </w:rPr>
        <w:t>i</w:t>
      </w:r>
      <w:r w:rsidRPr="001F151E">
        <w:rPr>
          <w:lang w:val="en-GB"/>
        </w:rPr>
        <w:t xml:space="preserve"> 5.2 </w:t>
      </w:r>
      <w:bookmarkEnd w:id="53"/>
      <w:r>
        <w:rPr>
          <w:lang w:val="en-GB"/>
        </w:rPr>
        <w:t>Auditimi i Brendshëm</w:t>
      </w:r>
      <w:bookmarkEnd w:id="54"/>
    </w:p>
    <w:p w14:paraId="7ABB4F11" w14:textId="77777777" w:rsidR="000F0526" w:rsidRPr="001F151E" w:rsidRDefault="000F0526" w:rsidP="000F0526">
      <w:pPr>
        <w:ind w:left="360" w:hanging="360"/>
        <w:rPr>
          <w:lang w:val="en-GB"/>
        </w:rPr>
      </w:pPr>
    </w:p>
    <w:p w14:paraId="7ED547B1" w14:textId="77777777" w:rsidR="000F0526" w:rsidRPr="001F151E" w:rsidRDefault="000F0526" w:rsidP="000F0526">
      <w:pPr>
        <w:pStyle w:val="H5"/>
        <w:rPr>
          <w:rStyle w:val="Strong"/>
          <w:b/>
          <w:lang w:val="en-GB"/>
        </w:rPr>
      </w:pPr>
      <w:r w:rsidRPr="001F151E">
        <w:rPr>
          <w:rStyle w:val="Strong"/>
          <w:b/>
          <w:lang w:val="en-GB"/>
        </w:rPr>
        <w:t>Obje</w:t>
      </w:r>
      <w:r>
        <w:rPr>
          <w:rStyle w:val="Strong"/>
          <w:b/>
          <w:lang w:val="en-GB"/>
        </w:rPr>
        <w:t>ktivi</w:t>
      </w:r>
    </w:p>
    <w:p w14:paraId="572C4FB4" w14:textId="77777777" w:rsidR="000F0526" w:rsidRPr="001F151E" w:rsidRDefault="000F0526" w:rsidP="000F0526">
      <w:pPr>
        <w:spacing w:line="276" w:lineRule="auto"/>
        <w:jc w:val="both"/>
        <w:rPr>
          <w:lang w:val="en-GB"/>
        </w:rPr>
      </w:pPr>
      <w:r>
        <w:rPr>
          <w:rStyle w:val="rynqvb"/>
        </w:rPr>
        <w:t xml:space="preserve">Synimi për vitin 2030 </w:t>
      </w:r>
      <w:r w:rsidRPr="00E64EBD">
        <w:rPr>
          <w:rStyle w:val="rynqvb"/>
        </w:rPr>
        <w:t>është të sigurohet një auditim i brendshëm me vlerë të shtuar në të gjitha institucionet publike në përputhje me standardet ndërkombëtare.</w:t>
      </w:r>
      <w:r>
        <w:rPr>
          <w:rStyle w:val="rynqvb"/>
        </w:rPr>
        <w:t xml:space="preserve"> Kjo mund të arrihet nëpërmjet një funksioni të brendshëm të auditimit të brendshëm ose shërbimeve të përbashkëta, duke siguruar respektimin e standardeve të miratuara ndërkombëtarisht për auditimin e brendshëm.</w:t>
      </w:r>
      <w:r>
        <w:rPr>
          <w:rStyle w:val="hwtze"/>
        </w:rPr>
        <w:t xml:space="preserve"> </w:t>
      </w:r>
      <w:r>
        <w:rPr>
          <w:rStyle w:val="rynqvb"/>
        </w:rPr>
        <w:t>Objektivi është që të ofrohen rekomandime kuptimplota si për nivelin ekzekutiv të institucionit buxhetor ashtu edhe për komitetin e auditimit.</w:t>
      </w:r>
      <w:r>
        <w:rPr>
          <w:rStyle w:val="hwtze"/>
        </w:rPr>
        <w:t xml:space="preserve"> </w:t>
      </w:r>
      <w:r>
        <w:rPr>
          <w:rStyle w:val="rynqvb"/>
        </w:rPr>
        <w:t>Profesioni i auditimit do të nxjerrë më tej avantazhe nga integrimi i teknologjive dhe mjeteve dixhitale, duke synuar optimizimin dhe përmirësimin e funksioneve të auditimit të brendshëm brenda organizatave qeveritare.</w:t>
      </w:r>
      <w:r>
        <w:rPr>
          <w:rStyle w:val="hwtze"/>
        </w:rPr>
        <w:t xml:space="preserve"> </w:t>
      </w:r>
      <w:r>
        <w:rPr>
          <w:rStyle w:val="rynqvb"/>
        </w:rPr>
        <w:t>Për më tepër, përmirësimi i kuadrit të certifikimit për audituesit e brendshëm dhe ofrimi i mundësive të zhvillimit profesional në nivel kombëtar dhe ndërkombëtar do të kontribuojë në përmirësimin e vazhdueshëm të profesionit.</w:t>
      </w:r>
    </w:p>
    <w:p w14:paraId="59FA96B6" w14:textId="77777777" w:rsidR="000F0526" w:rsidRDefault="000F0526" w:rsidP="000F0526">
      <w:pPr>
        <w:spacing w:line="276" w:lineRule="auto"/>
        <w:jc w:val="both"/>
        <w:rPr>
          <w:lang w:val="en-GB"/>
        </w:rPr>
      </w:pPr>
    </w:p>
    <w:p w14:paraId="480D01BB" w14:textId="77777777" w:rsidR="00E2605D" w:rsidRDefault="00E2605D" w:rsidP="000F0526">
      <w:pPr>
        <w:spacing w:line="276" w:lineRule="auto"/>
        <w:jc w:val="both"/>
        <w:rPr>
          <w:lang w:val="en-GB"/>
        </w:rPr>
      </w:pPr>
    </w:p>
    <w:p w14:paraId="36083CB3" w14:textId="77777777" w:rsidR="00E2605D" w:rsidRPr="001F151E" w:rsidRDefault="00E2605D" w:rsidP="000F0526">
      <w:pPr>
        <w:spacing w:line="276" w:lineRule="auto"/>
        <w:jc w:val="both"/>
        <w:rPr>
          <w:lang w:val="en-GB"/>
        </w:rPr>
      </w:pPr>
    </w:p>
    <w:p w14:paraId="7D74BAA6" w14:textId="77777777" w:rsidR="000F0526" w:rsidRPr="001F151E" w:rsidRDefault="000F0526" w:rsidP="000F0526">
      <w:pPr>
        <w:pStyle w:val="H5"/>
        <w:spacing w:line="276" w:lineRule="auto"/>
        <w:jc w:val="both"/>
        <w:rPr>
          <w:lang w:val="en-GB"/>
        </w:rPr>
      </w:pPr>
      <w:r>
        <w:rPr>
          <w:lang w:val="en-GB"/>
        </w:rPr>
        <w:t>K</w:t>
      </w:r>
      <w:r w:rsidRPr="001F151E">
        <w:rPr>
          <w:lang w:val="en-GB"/>
        </w:rPr>
        <w:t>onte</w:t>
      </w:r>
      <w:r>
        <w:rPr>
          <w:lang w:val="en-GB"/>
        </w:rPr>
        <w:t>ksti</w:t>
      </w:r>
    </w:p>
    <w:p w14:paraId="02298026" w14:textId="77777777" w:rsidR="000F0526" w:rsidRPr="001F151E" w:rsidRDefault="000F0526" w:rsidP="000F0526">
      <w:pPr>
        <w:spacing w:line="276" w:lineRule="auto"/>
        <w:jc w:val="both"/>
        <w:rPr>
          <w:lang w:val="en-GB"/>
        </w:rPr>
      </w:pPr>
      <w:r>
        <w:rPr>
          <w:lang w:val="en-GB"/>
        </w:rPr>
        <w:t xml:space="preserve">Në vijim të </w:t>
      </w:r>
      <w:r w:rsidRPr="00CB5654">
        <w:rPr>
          <w:lang w:val="en-GB"/>
        </w:rPr>
        <w:t>analiz</w:t>
      </w:r>
      <w:r>
        <w:rPr>
          <w:lang w:val="en-GB"/>
        </w:rPr>
        <w:t>ës s</w:t>
      </w:r>
      <w:r w:rsidRPr="00CB5654">
        <w:rPr>
          <w:lang w:val="en-GB"/>
        </w:rPr>
        <w:t>ë mangësive të ligjit për auditimin e brendshëm kundrejt praktikave të mira ndërkombëtare, janë zhvilluar propozime për ndryshimin e ligjit për auditimin e brendshëm. Ndryshimet e propozuara në ligj përfshijnë: (i) futjen e një mekanizmi për kontraktimin e funksionit të auditimit të brendshëm (shërbimi i auditimit) si një alternativë për punësimin e stafit të auditimit në njësinë publike; (ii) ndryshimet në kriteret për emërimin e drejtuesit të Njësisë së Auditimit të Brendshëm të një njësie publike (audit</w:t>
      </w:r>
      <w:r>
        <w:rPr>
          <w:lang w:val="en-GB"/>
        </w:rPr>
        <w:t>uesi</w:t>
      </w:r>
      <w:r w:rsidRPr="00CB5654">
        <w:rPr>
          <w:lang w:val="en-GB"/>
        </w:rPr>
        <w:t xml:space="preserve"> i lartë) dhe stafit vartës të auditimit (audit</w:t>
      </w:r>
      <w:r>
        <w:rPr>
          <w:lang w:val="en-GB"/>
        </w:rPr>
        <w:t>uesit</w:t>
      </w:r>
      <w:r w:rsidRPr="00CB5654">
        <w:rPr>
          <w:lang w:val="en-GB"/>
        </w:rPr>
        <w:t xml:space="preserve"> e rinj); (iii) ndryshimet në sistemin e certifikimit: përveç audit</w:t>
      </w:r>
      <w:r>
        <w:rPr>
          <w:lang w:val="en-GB"/>
        </w:rPr>
        <w:t>uesve</w:t>
      </w:r>
      <w:r w:rsidRPr="00CB5654">
        <w:rPr>
          <w:lang w:val="en-GB"/>
        </w:rPr>
        <w:t xml:space="preserve"> të brendshëm edhe për specialistë të tjerë në fushën e financës dhe ekonomisë mund të certifikohen pas përfundimit të arsimit të nevojshëm dhe para se të emërohen si Auditues i Brendshëm; (iv) sqarimin e koncepteve për trajtimin e korrupsionit, mashtrimit apo parregullsive të vërejtura dhe rolin e audit</w:t>
      </w:r>
      <w:r>
        <w:rPr>
          <w:lang w:val="en-GB"/>
        </w:rPr>
        <w:t>uesit</w:t>
      </w:r>
      <w:r w:rsidRPr="00CB5654">
        <w:rPr>
          <w:lang w:val="en-GB"/>
        </w:rPr>
        <w:t xml:space="preserve"> të brendshëm dhe drejtuesit të njësisë publike dhe (v) specifikimin e mandatit dhe rolit të komiteteve të auditimit në njësitë publike. Institucionet buxhetore vazhdojnë të zhvillojnë dhe zbatojnë Plane për Përmirësimin e Sigurimit të Cilësisë (</w:t>
      </w:r>
      <w:r>
        <w:rPr>
          <w:lang w:val="en-GB"/>
        </w:rPr>
        <w:t>PPSC</w:t>
      </w:r>
      <w:r w:rsidRPr="00CB5654">
        <w:rPr>
          <w:lang w:val="en-GB"/>
        </w:rPr>
        <w:t>) dhe MF vazhdon të ofrojë Zhvillim të Vazhdueshëm Profesional (ZH</w:t>
      </w:r>
      <w:r>
        <w:rPr>
          <w:lang w:val="en-GB"/>
        </w:rPr>
        <w:t>V</w:t>
      </w:r>
      <w:r w:rsidRPr="00CB5654">
        <w:rPr>
          <w:lang w:val="en-GB"/>
        </w:rPr>
        <w:t>P) dhe trajnime të tjera për Audit</w:t>
      </w:r>
      <w:r>
        <w:rPr>
          <w:lang w:val="en-GB"/>
        </w:rPr>
        <w:t>uesit</w:t>
      </w:r>
      <w:r w:rsidRPr="00CB5654">
        <w:rPr>
          <w:lang w:val="en-GB"/>
        </w:rPr>
        <w:t xml:space="preserve"> e Brendshëm përmes programeve kombëtare dhe ndërkombëtare të trajnimit (CEF) dhe 90% e audit</w:t>
      </w:r>
      <w:r>
        <w:rPr>
          <w:lang w:val="en-GB"/>
        </w:rPr>
        <w:t>uesve</w:t>
      </w:r>
      <w:r w:rsidRPr="00CB5654">
        <w:rPr>
          <w:lang w:val="en-GB"/>
        </w:rPr>
        <w:t xml:space="preserve"> të brendshëm në shërbim aktiv </w:t>
      </w:r>
      <w:r>
        <w:rPr>
          <w:lang w:val="en-GB"/>
        </w:rPr>
        <w:t>janë të</w:t>
      </w:r>
      <w:r w:rsidRPr="00CB5654">
        <w:rPr>
          <w:lang w:val="en-GB"/>
        </w:rPr>
        <w:t xml:space="preserve"> certifikuar.</w:t>
      </w:r>
    </w:p>
    <w:p w14:paraId="0D25DF70" w14:textId="77777777" w:rsidR="000F0526" w:rsidRPr="001F151E" w:rsidRDefault="000F0526" w:rsidP="000F0526">
      <w:pPr>
        <w:spacing w:line="276" w:lineRule="auto"/>
        <w:jc w:val="both"/>
        <w:rPr>
          <w:lang w:val="en-GB"/>
        </w:rPr>
      </w:pPr>
    </w:p>
    <w:p w14:paraId="00F996EC" w14:textId="77777777" w:rsidR="000F0526" w:rsidRPr="001F151E" w:rsidRDefault="000F0526" w:rsidP="000F0526">
      <w:pPr>
        <w:spacing w:line="276" w:lineRule="auto"/>
        <w:jc w:val="both"/>
        <w:rPr>
          <w:lang w:val="en-GB"/>
        </w:rPr>
      </w:pPr>
      <w:r>
        <w:rPr>
          <w:rStyle w:val="rynqvb"/>
        </w:rPr>
        <w:t>Pavarësisht këtyre arritjeve, mbeten një sërë sfidash.</w:t>
      </w:r>
      <w:r>
        <w:rPr>
          <w:rStyle w:val="hwtze"/>
        </w:rPr>
        <w:t xml:space="preserve"> </w:t>
      </w:r>
      <w:r>
        <w:rPr>
          <w:rStyle w:val="rynqvb"/>
        </w:rPr>
        <w:t>Ende jo të gjitha institucionet publike kanë plotësuar me staf funksionin e auditimit të brendshëm ose nuk kanë kontraktuar funksionin e auditimit.</w:t>
      </w:r>
      <w:r>
        <w:rPr>
          <w:rStyle w:val="hwtze"/>
        </w:rPr>
        <w:t xml:space="preserve"> </w:t>
      </w:r>
      <w:r>
        <w:rPr>
          <w:rStyle w:val="rynqvb"/>
        </w:rPr>
        <w:t>Në disa institucione publike – veçanërisht në disa NJQV dhe institucione të nivelit dytësor të nivelit qendror, kapaciteti i ekipeve të auditimit të brendshëm mbetet i dobët.</w:t>
      </w:r>
      <w:r>
        <w:rPr>
          <w:rStyle w:val="hwtze"/>
        </w:rPr>
        <w:t xml:space="preserve"> </w:t>
      </w:r>
      <w:r>
        <w:rPr>
          <w:rStyle w:val="rynqvb"/>
        </w:rPr>
        <w:t>Gjithashtu, vlera e shtuar e auditimit të brendshëm kërkon përmirësim me auditimet financiare dhe të pajtueshmërisë që kulmojnë me raporte të forta auditimi që paraqesin një opinion të qartë auditimi dhe rekomandime praktike për përmirësimin e proceseve të MFK-së dhe biznesit.</w:t>
      </w:r>
      <w:r>
        <w:rPr>
          <w:rStyle w:val="hwtze"/>
        </w:rPr>
        <w:t xml:space="preserve"> </w:t>
      </w:r>
      <w:r>
        <w:rPr>
          <w:rStyle w:val="rynqvb"/>
        </w:rPr>
        <w:t>Më pas do të promovohet ndjekja e përshtatshme e rekomandimeve të auditimit nga niveli ekzekutiv i institucioneve buxhetore dhe Komitetet e Auditimit duhet të forcohen për të sjellë një kontribut të frytshëm në përmirësimin e praktikave të menaxhimit financiar.</w:t>
      </w:r>
      <w:r w:rsidRPr="001F151E">
        <w:rPr>
          <w:lang w:val="en-GB"/>
        </w:rPr>
        <w:t xml:space="preserve"> </w:t>
      </w:r>
    </w:p>
    <w:p w14:paraId="021F8DEE" w14:textId="77777777" w:rsidR="000F0526" w:rsidRPr="001F151E" w:rsidRDefault="000F0526" w:rsidP="000F0526">
      <w:pPr>
        <w:spacing w:line="276" w:lineRule="auto"/>
        <w:jc w:val="both"/>
        <w:rPr>
          <w:lang w:val="en-GB"/>
        </w:rPr>
      </w:pPr>
    </w:p>
    <w:p w14:paraId="0F94A282" w14:textId="77777777" w:rsidR="000F0526" w:rsidRPr="001F151E" w:rsidRDefault="000F0526" w:rsidP="000F0526">
      <w:pPr>
        <w:spacing w:line="276" w:lineRule="auto"/>
        <w:jc w:val="both"/>
        <w:rPr>
          <w:lang w:val="en-GB"/>
        </w:rPr>
      </w:pPr>
      <w:r w:rsidRPr="004540E9">
        <w:rPr>
          <w:lang w:val="en-GB"/>
        </w:rPr>
        <w:t xml:space="preserve">Llojet më të avancuara të auditimit të brendshëm si auditimi i TI-së, auditimi i performancës, auditimi i të ardhurave dhe auditimi i projektit janë </w:t>
      </w:r>
      <w:r>
        <w:rPr>
          <w:lang w:val="en-GB"/>
        </w:rPr>
        <w:t xml:space="preserve">prezantuar </w:t>
      </w:r>
      <w:r w:rsidRPr="004540E9">
        <w:rPr>
          <w:lang w:val="en-GB"/>
        </w:rPr>
        <w:t xml:space="preserve">pjesërisht. </w:t>
      </w:r>
      <w:r>
        <w:rPr>
          <w:lang w:val="en-GB"/>
        </w:rPr>
        <w:t>Kuadri i</w:t>
      </w:r>
      <w:r w:rsidRPr="004540E9">
        <w:rPr>
          <w:lang w:val="en-GB"/>
        </w:rPr>
        <w:t xml:space="preserve"> auditimit të bazuar në ri</w:t>
      </w:r>
      <w:r>
        <w:rPr>
          <w:lang w:val="en-GB"/>
        </w:rPr>
        <w:t>s</w:t>
      </w:r>
      <w:r w:rsidRPr="004540E9">
        <w:rPr>
          <w:lang w:val="en-GB"/>
        </w:rPr>
        <w:t xml:space="preserve">k, në kombinim me parimet e parandalimit, zbulimit dhe adresimit të parregullsive të mundshme, mashtrimit dhe korrupsionit duhet të operacionalizohet dhe institucionalizohet më tej për të qenë plotësisht efektiv. Përmirësimi dhe ruajtja e kualifikimeve dhe aftësive profesionale të të gjithë kuadrit të auditimit të brendshëm mbetet sfidë </w:t>
      </w:r>
      <w:r>
        <w:rPr>
          <w:lang w:val="en-GB"/>
        </w:rPr>
        <w:t xml:space="preserve">dhe </w:t>
      </w:r>
      <w:r w:rsidRPr="004540E9">
        <w:rPr>
          <w:lang w:val="en-GB"/>
        </w:rPr>
        <w:t>prioritet</w:t>
      </w:r>
      <w:r w:rsidRPr="001F151E">
        <w:rPr>
          <w:lang w:val="en-GB"/>
        </w:rPr>
        <w:t xml:space="preserve">. </w:t>
      </w:r>
    </w:p>
    <w:p w14:paraId="542B1265" w14:textId="77777777" w:rsidR="000F0526" w:rsidRPr="001F151E" w:rsidRDefault="000F0526" w:rsidP="000F0526">
      <w:pPr>
        <w:spacing w:line="276" w:lineRule="auto"/>
        <w:jc w:val="both"/>
        <w:rPr>
          <w:lang w:val="en-GB"/>
        </w:rPr>
      </w:pPr>
    </w:p>
    <w:p w14:paraId="136D7F57" w14:textId="77777777" w:rsidR="000F0526" w:rsidRPr="001F151E" w:rsidRDefault="000F0526" w:rsidP="000F0526">
      <w:pPr>
        <w:pStyle w:val="H5"/>
        <w:spacing w:line="276" w:lineRule="auto"/>
        <w:jc w:val="both"/>
        <w:rPr>
          <w:lang w:val="en-GB"/>
        </w:rPr>
      </w:pPr>
      <w:r w:rsidRPr="001F151E">
        <w:rPr>
          <w:lang w:val="en-GB"/>
        </w:rPr>
        <w:t>Priorit</w:t>
      </w:r>
      <w:r>
        <w:rPr>
          <w:lang w:val="en-GB"/>
        </w:rPr>
        <w:t>etet</w:t>
      </w:r>
    </w:p>
    <w:p w14:paraId="6ABAED7E" w14:textId="77777777" w:rsidR="000F0526" w:rsidRPr="00657F7C" w:rsidRDefault="000F0526" w:rsidP="000F0526">
      <w:pPr>
        <w:spacing w:line="276" w:lineRule="auto"/>
        <w:jc w:val="both"/>
        <w:rPr>
          <w:lang w:val="en-GB"/>
        </w:rPr>
      </w:pPr>
      <w:r w:rsidRPr="00657F7C">
        <w:rPr>
          <w:lang w:val="en-GB"/>
        </w:rPr>
        <w:t>Prioritetet për periudhën 2023-2026 janë:</w:t>
      </w:r>
    </w:p>
    <w:p w14:paraId="2035E027" w14:textId="77777777" w:rsidR="000F0526" w:rsidRPr="00657F7C" w:rsidRDefault="000F0526" w:rsidP="000F0526">
      <w:pPr>
        <w:pStyle w:val="ListParagraph"/>
        <w:numPr>
          <w:ilvl w:val="0"/>
          <w:numId w:val="2"/>
        </w:numPr>
        <w:spacing w:line="276" w:lineRule="auto"/>
        <w:jc w:val="both"/>
        <w:rPr>
          <w:lang w:val="en-GB"/>
        </w:rPr>
      </w:pPr>
      <w:r w:rsidRPr="00657F7C">
        <w:rPr>
          <w:lang w:val="en-GB"/>
        </w:rPr>
        <w:t>Sigurimi që shërbimet e auditimit të brendshëm ofrohen në çdo institucion buxhetor, qoftë përmes një funksioni të auditimit të brendshëm, modalitetit të përbashkët të shërbimeve të auditimit të brendshëm ose marrëveshjeve të tjera.</w:t>
      </w:r>
    </w:p>
    <w:p w14:paraId="4DE508CA" w14:textId="77777777" w:rsidR="000F0526" w:rsidRPr="00657F7C" w:rsidRDefault="000F0526" w:rsidP="000F0526">
      <w:pPr>
        <w:pStyle w:val="ListParagraph"/>
        <w:numPr>
          <w:ilvl w:val="0"/>
          <w:numId w:val="2"/>
        </w:numPr>
        <w:spacing w:line="276" w:lineRule="auto"/>
        <w:jc w:val="both"/>
        <w:rPr>
          <w:lang w:val="en-GB"/>
        </w:rPr>
      </w:pPr>
      <w:r w:rsidRPr="00657F7C">
        <w:rPr>
          <w:lang w:val="en-GB"/>
        </w:rPr>
        <w:t xml:space="preserve">Forcimi i praktikave </w:t>
      </w:r>
      <w:r>
        <w:rPr>
          <w:lang w:val="en-GB"/>
        </w:rPr>
        <w:t xml:space="preserve">të auditimeve </w:t>
      </w:r>
      <w:r w:rsidRPr="00657F7C">
        <w:rPr>
          <w:lang w:val="en-GB"/>
        </w:rPr>
        <w:t>financiare, të përputhshmërisë dhe të performancës për të siguruar që auditimi i brendshëm të sigurojë vlerë të shtuar</w:t>
      </w:r>
      <w:r>
        <w:rPr>
          <w:lang w:val="en-GB"/>
        </w:rPr>
        <w:t xml:space="preserve"> </w:t>
      </w:r>
      <w:r w:rsidRPr="00657F7C">
        <w:rPr>
          <w:lang w:val="en-GB"/>
        </w:rPr>
        <w:t>të vërtetë.</w:t>
      </w:r>
    </w:p>
    <w:p w14:paraId="668F184E" w14:textId="77777777" w:rsidR="000F0526" w:rsidRPr="001F151E" w:rsidRDefault="000F0526" w:rsidP="000F0526">
      <w:pPr>
        <w:pStyle w:val="ListParagraph"/>
        <w:numPr>
          <w:ilvl w:val="0"/>
          <w:numId w:val="2"/>
        </w:numPr>
        <w:spacing w:line="276" w:lineRule="auto"/>
        <w:jc w:val="both"/>
        <w:rPr>
          <w:lang w:val="en-GB"/>
        </w:rPr>
      </w:pPr>
      <w:r w:rsidRPr="00657F7C">
        <w:rPr>
          <w:lang w:val="en-GB"/>
        </w:rPr>
        <w:t xml:space="preserve">Vazhdimi dhe përmirësimi i angazhimit të </w:t>
      </w:r>
      <w:r>
        <w:rPr>
          <w:lang w:val="en-GB"/>
        </w:rPr>
        <w:t>Nivelit</w:t>
      </w:r>
      <w:r w:rsidRPr="00657F7C">
        <w:rPr>
          <w:lang w:val="en-GB"/>
        </w:rPr>
        <w:t xml:space="preserve"> Ekzekutiv të institucioneve buxhetore për ndjekjen e rekomandimeve të Audit</w:t>
      </w:r>
      <w:r>
        <w:rPr>
          <w:lang w:val="en-GB"/>
        </w:rPr>
        <w:t>uesve</w:t>
      </w:r>
      <w:r w:rsidRPr="00657F7C">
        <w:rPr>
          <w:lang w:val="en-GB"/>
        </w:rPr>
        <w:t xml:space="preserve"> të Brendshëm, Audit</w:t>
      </w:r>
      <w:r>
        <w:rPr>
          <w:lang w:val="en-GB"/>
        </w:rPr>
        <w:t>uesve</w:t>
      </w:r>
      <w:r w:rsidRPr="00657F7C">
        <w:rPr>
          <w:lang w:val="en-GB"/>
        </w:rPr>
        <w:t xml:space="preserve"> të Jashtëm, dhe krijimin e Komiteteve efektive të Auditimit.</w:t>
      </w:r>
    </w:p>
    <w:p w14:paraId="1AA449E5" w14:textId="77777777" w:rsidR="000F0526" w:rsidRPr="001F151E" w:rsidRDefault="000F0526" w:rsidP="000F0526">
      <w:pPr>
        <w:rPr>
          <w:lang w:val="en-GB"/>
        </w:rPr>
      </w:pPr>
    </w:p>
    <w:p w14:paraId="2BB39CB3" w14:textId="77777777" w:rsidR="000F0526" w:rsidRPr="001F151E" w:rsidRDefault="000F0526" w:rsidP="000F0526">
      <w:pPr>
        <w:pStyle w:val="H5"/>
        <w:rPr>
          <w:lang w:val="en-GB"/>
        </w:rPr>
      </w:pPr>
      <w:r>
        <w:rPr>
          <w:rStyle w:val="rynqv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56"/>
        <w:gridCol w:w="3596"/>
        <w:gridCol w:w="790"/>
        <w:gridCol w:w="915"/>
        <w:gridCol w:w="1759"/>
      </w:tblGrid>
      <w:tr w:rsidR="000F0526" w:rsidRPr="001F151E" w14:paraId="38A4112D" w14:textId="77777777" w:rsidTr="000C70FA">
        <w:trPr>
          <w:cantSplit/>
          <w:trHeight w:val="20"/>
          <w:tblHeader/>
        </w:trPr>
        <w:tc>
          <w:tcPr>
            <w:tcW w:w="1956" w:type="dxa"/>
            <w:shd w:val="clear" w:color="auto" w:fill="D9D9D9" w:themeFill="background1" w:themeFillShade="D9"/>
          </w:tcPr>
          <w:p w14:paraId="248F55F2" w14:textId="77777777" w:rsidR="000F0526" w:rsidRPr="000F0526" w:rsidRDefault="000F0526" w:rsidP="000C70FA">
            <w:pPr>
              <w:pStyle w:val="T-bold"/>
            </w:pPr>
            <w:r w:rsidRPr="000F0526">
              <w:t>Masa</w:t>
            </w:r>
          </w:p>
        </w:tc>
        <w:tc>
          <w:tcPr>
            <w:tcW w:w="3596" w:type="dxa"/>
            <w:shd w:val="clear" w:color="auto" w:fill="D9D9D9" w:themeFill="background1" w:themeFillShade="D9"/>
          </w:tcPr>
          <w:p w14:paraId="29E0F35E" w14:textId="77777777" w:rsidR="000F0526" w:rsidRPr="000F0526" w:rsidRDefault="000F0526" w:rsidP="000C70FA">
            <w:pPr>
              <w:pStyle w:val="T-bold"/>
            </w:pPr>
            <w:r w:rsidRPr="000F0526">
              <w:t>Aktiviteti</w:t>
            </w:r>
          </w:p>
        </w:tc>
        <w:tc>
          <w:tcPr>
            <w:tcW w:w="790" w:type="dxa"/>
            <w:shd w:val="clear" w:color="auto" w:fill="D9D9D9" w:themeFill="background1" w:themeFillShade="D9"/>
          </w:tcPr>
          <w:p w14:paraId="35E51772" w14:textId="77777777" w:rsidR="000F0526" w:rsidRPr="000F0526" w:rsidRDefault="000F0526" w:rsidP="000C70FA">
            <w:pPr>
              <w:pStyle w:val="T-bold"/>
              <w:jc w:val="center"/>
            </w:pPr>
            <w:r w:rsidRPr="000F0526">
              <w:t>Fillimi</w:t>
            </w:r>
          </w:p>
        </w:tc>
        <w:tc>
          <w:tcPr>
            <w:tcW w:w="915" w:type="dxa"/>
            <w:shd w:val="clear" w:color="auto" w:fill="D9D9D9" w:themeFill="background1" w:themeFillShade="D9"/>
          </w:tcPr>
          <w:p w14:paraId="30C13008" w14:textId="77777777" w:rsidR="000F0526" w:rsidRPr="000F0526" w:rsidRDefault="000F0526" w:rsidP="000C70FA">
            <w:pPr>
              <w:pStyle w:val="T-bold"/>
              <w:jc w:val="center"/>
            </w:pPr>
            <w:r w:rsidRPr="000F0526">
              <w:t>Mbarimi</w:t>
            </w:r>
          </w:p>
        </w:tc>
        <w:tc>
          <w:tcPr>
            <w:tcW w:w="1759" w:type="dxa"/>
            <w:shd w:val="clear" w:color="auto" w:fill="D9D9D9" w:themeFill="background1" w:themeFillShade="D9"/>
          </w:tcPr>
          <w:p w14:paraId="7E5C5E8C" w14:textId="77777777" w:rsidR="000F0526" w:rsidRPr="001F151E" w:rsidRDefault="000F0526" w:rsidP="000C70FA">
            <w:pPr>
              <w:pStyle w:val="T-bold"/>
            </w:pPr>
            <w:r>
              <w:rPr>
                <w:rStyle w:val="rynqvb"/>
              </w:rPr>
              <w:t>Grupet e interesit</w:t>
            </w:r>
          </w:p>
        </w:tc>
      </w:tr>
      <w:tr w:rsidR="000F0526" w:rsidRPr="001F151E" w14:paraId="3820DFE3" w14:textId="77777777" w:rsidTr="000C70FA">
        <w:trPr>
          <w:trHeight w:val="20"/>
        </w:trPr>
        <w:tc>
          <w:tcPr>
            <w:tcW w:w="1956" w:type="dxa"/>
            <w:vMerge w:val="restart"/>
            <w:shd w:val="clear" w:color="auto" w:fill="auto"/>
          </w:tcPr>
          <w:p w14:paraId="0933CFFB" w14:textId="77777777" w:rsidR="000F0526" w:rsidRPr="000F0526" w:rsidRDefault="000F0526" w:rsidP="000C70FA">
            <w:pPr>
              <w:pStyle w:val="T-bold"/>
            </w:pPr>
            <w:r w:rsidRPr="000F0526">
              <w:t xml:space="preserve">Masa 5.2.1 </w:t>
            </w:r>
            <w:r w:rsidRPr="000F0526">
              <w:rPr>
                <w:rStyle w:val="rynqvb"/>
              </w:rPr>
              <w:t>Vazhdimi i mbikëqyrjes dhe zgjerimi i shërbimeve mbështetëse për institucionet publike dhe ekipet e auditimit të brendshëm</w:t>
            </w:r>
          </w:p>
        </w:tc>
        <w:tc>
          <w:tcPr>
            <w:tcW w:w="3596" w:type="dxa"/>
          </w:tcPr>
          <w:p w14:paraId="23BE817D" w14:textId="5EA8190D" w:rsidR="000F0526" w:rsidRPr="000F0526" w:rsidRDefault="000F0526" w:rsidP="00CD7428">
            <w:pPr>
              <w:pStyle w:val="T-number"/>
              <w:numPr>
                <w:ilvl w:val="0"/>
                <w:numId w:val="94"/>
              </w:numPr>
              <w:jc w:val="both"/>
            </w:pPr>
            <w:r w:rsidRPr="000F0526">
              <w:rPr>
                <w:rStyle w:val="rynqvb"/>
              </w:rPr>
              <w:t>Zhvillimi i mjeteve dhe mekanizmave për kontraktimin e shërbimeve të auditimit të brendshëm ose krijimi i shërbimeve të përbashkëta të auditimit të brendshëm dhe ofrimi i mbështetjes për institucionet publike që nuk kanë një ekip të auditimit të brendshëm për të përdorur këto mekanizma</w:t>
            </w:r>
            <w:r w:rsidRPr="000F0526">
              <w:t>.</w:t>
            </w:r>
          </w:p>
        </w:tc>
        <w:tc>
          <w:tcPr>
            <w:tcW w:w="790" w:type="dxa"/>
            <w:vAlign w:val="center"/>
          </w:tcPr>
          <w:p w14:paraId="5E7A5FD1" w14:textId="77777777" w:rsidR="000F0526" w:rsidRPr="000F0526" w:rsidRDefault="000F0526" w:rsidP="000C70FA">
            <w:pPr>
              <w:jc w:val="center"/>
              <w:rPr>
                <w:sz w:val="16"/>
                <w:szCs w:val="16"/>
              </w:rPr>
            </w:pPr>
            <w:r w:rsidRPr="000F0526">
              <w:rPr>
                <w:sz w:val="16"/>
                <w:szCs w:val="16"/>
              </w:rPr>
              <w:t>T1 2023</w:t>
            </w:r>
          </w:p>
          <w:p w14:paraId="17BAB2BD" w14:textId="77777777" w:rsidR="000F0526" w:rsidRPr="000F0526" w:rsidRDefault="000F0526" w:rsidP="000C70FA">
            <w:pPr>
              <w:jc w:val="center"/>
              <w:rPr>
                <w:sz w:val="16"/>
                <w:szCs w:val="16"/>
              </w:rPr>
            </w:pPr>
          </w:p>
        </w:tc>
        <w:tc>
          <w:tcPr>
            <w:tcW w:w="915" w:type="dxa"/>
            <w:vAlign w:val="center"/>
          </w:tcPr>
          <w:p w14:paraId="7067C005" w14:textId="77777777" w:rsidR="000F0526" w:rsidRPr="000F0526" w:rsidRDefault="000F0526" w:rsidP="000C70FA">
            <w:pPr>
              <w:jc w:val="center"/>
              <w:rPr>
                <w:sz w:val="16"/>
                <w:szCs w:val="16"/>
              </w:rPr>
            </w:pPr>
            <w:r w:rsidRPr="000F0526">
              <w:rPr>
                <w:sz w:val="16"/>
                <w:szCs w:val="16"/>
              </w:rPr>
              <w:t>T2 2023</w:t>
            </w:r>
          </w:p>
          <w:p w14:paraId="573E64F8" w14:textId="77777777" w:rsidR="000F0526" w:rsidRPr="000F0526" w:rsidRDefault="000F0526" w:rsidP="000C70FA">
            <w:pPr>
              <w:jc w:val="center"/>
              <w:rPr>
                <w:sz w:val="16"/>
                <w:szCs w:val="16"/>
              </w:rPr>
            </w:pPr>
          </w:p>
        </w:tc>
        <w:tc>
          <w:tcPr>
            <w:tcW w:w="1759" w:type="dxa"/>
            <w:vMerge w:val="restart"/>
          </w:tcPr>
          <w:p w14:paraId="0FB46054" w14:textId="77777777" w:rsidR="000F0526" w:rsidRPr="001F151E" w:rsidRDefault="000F0526" w:rsidP="000C70FA">
            <w:pPr>
              <w:rPr>
                <w:b/>
                <w:bCs/>
                <w:sz w:val="16"/>
                <w:szCs w:val="16"/>
              </w:rPr>
            </w:pPr>
            <w:r>
              <w:rPr>
                <w:b/>
                <w:bCs/>
                <w:sz w:val="16"/>
                <w:szCs w:val="16"/>
              </w:rPr>
              <w:t>Njësitë përgjegjëse</w:t>
            </w:r>
            <w:r w:rsidRPr="001F151E">
              <w:rPr>
                <w:b/>
                <w:bCs/>
                <w:sz w:val="16"/>
                <w:szCs w:val="16"/>
              </w:rPr>
              <w:t>:</w:t>
            </w:r>
          </w:p>
          <w:p w14:paraId="15E02F04" w14:textId="77777777" w:rsidR="000F0526" w:rsidRPr="001F151E" w:rsidRDefault="000F0526" w:rsidP="000C70FA">
            <w:pPr>
              <w:pStyle w:val="EcorysBody"/>
              <w:rPr>
                <w:rFonts w:ascii="Arial" w:hAnsi="Arial" w:cs="Arial"/>
                <w:sz w:val="16"/>
                <w:szCs w:val="16"/>
              </w:rPr>
            </w:pPr>
            <w:r w:rsidRPr="008A3D99">
              <w:rPr>
                <w:rFonts w:ascii="Arial" w:hAnsi="Arial" w:cs="Arial"/>
                <w:sz w:val="16"/>
                <w:szCs w:val="16"/>
              </w:rPr>
              <w:t>DHAB</w:t>
            </w:r>
            <w:r w:rsidRPr="001F151E">
              <w:rPr>
                <w:rFonts w:ascii="Arial" w:hAnsi="Arial" w:cs="Arial"/>
                <w:sz w:val="16"/>
                <w:szCs w:val="16"/>
              </w:rPr>
              <w:t xml:space="preserve"> (</w:t>
            </w:r>
            <w:r>
              <w:rPr>
                <w:rFonts w:ascii="Arial" w:hAnsi="Arial" w:cs="Arial"/>
                <w:sz w:val="16"/>
                <w:szCs w:val="16"/>
              </w:rPr>
              <w:t>lider</w:t>
            </w:r>
            <w:r w:rsidRPr="001F151E">
              <w:rPr>
                <w:rFonts w:ascii="Arial" w:hAnsi="Arial" w:cs="Arial"/>
                <w:sz w:val="16"/>
                <w:szCs w:val="16"/>
              </w:rPr>
              <w:t>)</w:t>
            </w:r>
          </w:p>
          <w:p w14:paraId="54785E48" w14:textId="77777777" w:rsidR="000F0526" w:rsidRPr="001F151E" w:rsidRDefault="000F0526" w:rsidP="000C70FA">
            <w:pPr>
              <w:pStyle w:val="EcorysBody"/>
              <w:rPr>
                <w:rFonts w:ascii="Arial" w:hAnsi="Arial" w:cs="Arial"/>
                <w:b/>
                <w:bCs/>
                <w:sz w:val="16"/>
                <w:szCs w:val="16"/>
              </w:rPr>
            </w:pPr>
          </w:p>
          <w:p w14:paraId="28C5C1FB" w14:textId="77777777" w:rsidR="000F0526" w:rsidRPr="001F151E" w:rsidRDefault="000F0526" w:rsidP="000C70FA">
            <w:pPr>
              <w:pStyle w:val="EcorysBody"/>
              <w:rPr>
                <w:rFonts w:ascii="Arial" w:hAnsi="Arial" w:cs="Arial"/>
                <w:b/>
                <w:bCs/>
                <w:sz w:val="16"/>
                <w:szCs w:val="16"/>
              </w:rPr>
            </w:pPr>
            <w:r w:rsidRPr="001F151E">
              <w:rPr>
                <w:rFonts w:ascii="Arial" w:hAnsi="Arial" w:cs="Arial"/>
                <w:b/>
                <w:bCs/>
                <w:sz w:val="16"/>
                <w:szCs w:val="16"/>
              </w:rPr>
              <w:t>Partne</w:t>
            </w:r>
            <w:r>
              <w:rPr>
                <w:rFonts w:ascii="Arial" w:hAnsi="Arial" w:cs="Arial"/>
                <w:b/>
                <w:bCs/>
                <w:sz w:val="16"/>
                <w:szCs w:val="16"/>
              </w:rPr>
              <w:t>rët</w:t>
            </w:r>
            <w:r w:rsidRPr="001F151E">
              <w:rPr>
                <w:rFonts w:ascii="Arial" w:hAnsi="Arial" w:cs="Arial"/>
                <w:b/>
                <w:bCs/>
                <w:sz w:val="16"/>
                <w:szCs w:val="16"/>
              </w:rPr>
              <w:t>:</w:t>
            </w:r>
            <w:r w:rsidRPr="001F151E">
              <w:rPr>
                <w:rStyle w:val="FootnoteReference"/>
                <w:sz w:val="16"/>
                <w:szCs w:val="16"/>
              </w:rPr>
              <w:t xml:space="preserve"> </w:t>
            </w:r>
          </w:p>
          <w:p w14:paraId="45AF7B25" w14:textId="77777777" w:rsidR="000F0526" w:rsidRPr="001F151E" w:rsidRDefault="000F0526" w:rsidP="000C70FA">
            <w:pPr>
              <w:pStyle w:val="EcorysBody"/>
              <w:rPr>
                <w:rFonts w:ascii="Arial" w:hAnsi="Arial" w:cs="Arial"/>
                <w:sz w:val="16"/>
                <w:szCs w:val="16"/>
              </w:rPr>
            </w:pPr>
            <w:r>
              <w:rPr>
                <w:rFonts w:ascii="Arial" w:hAnsi="Arial" w:cs="Arial"/>
                <w:sz w:val="16"/>
                <w:szCs w:val="16"/>
              </w:rPr>
              <w:t>BE</w:t>
            </w:r>
            <w:r w:rsidRPr="001F151E">
              <w:rPr>
                <w:rFonts w:ascii="Arial" w:hAnsi="Arial" w:cs="Arial"/>
                <w:sz w:val="16"/>
                <w:szCs w:val="16"/>
              </w:rPr>
              <w:t>, SIGMA</w:t>
            </w:r>
            <w:r w:rsidRPr="001F151E">
              <w:rPr>
                <w:rStyle w:val="FootnoteReference"/>
                <w:sz w:val="16"/>
                <w:szCs w:val="16"/>
              </w:rPr>
              <w:footnoteReference w:id="71"/>
            </w:r>
          </w:p>
          <w:p w14:paraId="781426C9" w14:textId="77777777" w:rsidR="000F0526" w:rsidRPr="001F151E" w:rsidRDefault="000F0526" w:rsidP="000C70FA">
            <w:pPr>
              <w:pStyle w:val="EcorysBody"/>
              <w:rPr>
                <w:sz w:val="16"/>
                <w:szCs w:val="16"/>
              </w:rPr>
            </w:pPr>
          </w:p>
        </w:tc>
      </w:tr>
      <w:tr w:rsidR="000F0526" w:rsidRPr="001F151E" w14:paraId="4663E9F7" w14:textId="77777777" w:rsidTr="000C70FA">
        <w:trPr>
          <w:trHeight w:val="20"/>
        </w:trPr>
        <w:tc>
          <w:tcPr>
            <w:tcW w:w="1956" w:type="dxa"/>
            <w:vMerge/>
            <w:shd w:val="clear" w:color="auto" w:fill="auto"/>
          </w:tcPr>
          <w:p w14:paraId="6039CC79" w14:textId="77777777" w:rsidR="000F0526" w:rsidRPr="000F0526" w:rsidRDefault="000F0526" w:rsidP="000C70FA">
            <w:pPr>
              <w:pStyle w:val="T-bold"/>
            </w:pPr>
          </w:p>
        </w:tc>
        <w:tc>
          <w:tcPr>
            <w:tcW w:w="3596" w:type="dxa"/>
          </w:tcPr>
          <w:p w14:paraId="246622F6" w14:textId="7D7369AC" w:rsidR="000F0526" w:rsidRPr="000F0526" w:rsidRDefault="000F0526" w:rsidP="00CD7428">
            <w:pPr>
              <w:pStyle w:val="T-number"/>
              <w:numPr>
                <w:ilvl w:val="0"/>
                <w:numId w:val="94"/>
              </w:numPr>
              <w:jc w:val="both"/>
            </w:pPr>
            <w:r w:rsidRPr="000F0526">
              <w:rPr>
                <w:rStyle w:val="rynqvb"/>
              </w:rPr>
              <w:t>Përmirësimi i sistemit të menaxhimit të sigurimit të cilësisë, në mënyrë që të sigurohet monitorim efektiv i punës së auditimit të brendshëm në njësitë e sektorit publi</w:t>
            </w:r>
            <w:r w:rsidR="00D65B8E">
              <w:rPr>
                <w:rStyle w:val="rynqvb"/>
              </w:rPr>
              <w:t>k</w:t>
            </w:r>
            <w:r w:rsidRPr="000F0526">
              <w:rPr>
                <w:rStyle w:val="rynqvb"/>
              </w:rPr>
              <w:t>.</w:t>
            </w:r>
          </w:p>
        </w:tc>
        <w:tc>
          <w:tcPr>
            <w:tcW w:w="790" w:type="dxa"/>
            <w:vAlign w:val="center"/>
          </w:tcPr>
          <w:p w14:paraId="7D580B82" w14:textId="77777777" w:rsidR="000F0526" w:rsidRPr="000F0526" w:rsidRDefault="000F0526" w:rsidP="000C70FA">
            <w:pPr>
              <w:jc w:val="center"/>
              <w:rPr>
                <w:sz w:val="16"/>
                <w:szCs w:val="16"/>
              </w:rPr>
            </w:pPr>
            <w:r w:rsidRPr="000F0526">
              <w:rPr>
                <w:sz w:val="16"/>
                <w:szCs w:val="16"/>
              </w:rPr>
              <w:t>T2 2025</w:t>
            </w:r>
          </w:p>
        </w:tc>
        <w:tc>
          <w:tcPr>
            <w:tcW w:w="915" w:type="dxa"/>
            <w:vAlign w:val="center"/>
          </w:tcPr>
          <w:p w14:paraId="35BE79C1" w14:textId="77777777" w:rsidR="000F0526" w:rsidRPr="000F0526" w:rsidRDefault="000F0526" w:rsidP="000C70FA">
            <w:pPr>
              <w:jc w:val="center"/>
              <w:rPr>
                <w:sz w:val="16"/>
                <w:szCs w:val="16"/>
              </w:rPr>
            </w:pPr>
            <w:r w:rsidRPr="000F0526">
              <w:rPr>
                <w:sz w:val="16"/>
                <w:szCs w:val="16"/>
              </w:rPr>
              <w:t>T4 2026</w:t>
            </w:r>
          </w:p>
        </w:tc>
        <w:tc>
          <w:tcPr>
            <w:tcW w:w="1759" w:type="dxa"/>
            <w:vMerge/>
          </w:tcPr>
          <w:p w14:paraId="6751C0F2" w14:textId="77777777" w:rsidR="000F0526" w:rsidRPr="001F151E" w:rsidRDefault="000F0526" w:rsidP="000C70FA">
            <w:pPr>
              <w:rPr>
                <w:sz w:val="16"/>
                <w:szCs w:val="16"/>
              </w:rPr>
            </w:pPr>
          </w:p>
        </w:tc>
      </w:tr>
      <w:tr w:rsidR="000F0526" w:rsidRPr="001F151E" w14:paraId="4DACD5B4" w14:textId="77777777" w:rsidTr="000C70FA">
        <w:trPr>
          <w:trHeight w:val="20"/>
        </w:trPr>
        <w:tc>
          <w:tcPr>
            <w:tcW w:w="1956" w:type="dxa"/>
            <w:vMerge/>
            <w:shd w:val="clear" w:color="auto" w:fill="auto"/>
          </w:tcPr>
          <w:p w14:paraId="021391B6" w14:textId="77777777" w:rsidR="000F0526" w:rsidRPr="000F0526" w:rsidRDefault="000F0526" w:rsidP="000C70FA">
            <w:pPr>
              <w:pStyle w:val="T-bold"/>
            </w:pPr>
          </w:p>
        </w:tc>
        <w:tc>
          <w:tcPr>
            <w:tcW w:w="3596" w:type="dxa"/>
          </w:tcPr>
          <w:p w14:paraId="43C99296" w14:textId="77777777" w:rsidR="000F0526" w:rsidRPr="000F0526" w:rsidRDefault="000F0526" w:rsidP="00CD7428">
            <w:pPr>
              <w:pStyle w:val="T-number"/>
              <w:numPr>
                <w:ilvl w:val="0"/>
                <w:numId w:val="94"/>
              </w:numPr>
              <w:jc w:val="both"/>
            </w:pPr>
            <w:r w:rsidRPr="000F0526">
              <w:rPr>
                <w:rStyle w:val="rynqvb"/>
              </w:rPr>
              <w:t>Përditësimi i ligjit për auditimin e brendshëm për të lehtësuar reformën në fushën e auditimit të brendshëm</w:t>
            </w:r>
            <w:r w:rsidRPr="000F0526">
              <w:t>.</w:t>
            </w:r>
          </w:p>
        </w:tc>
        <w:tc>
          <w:tcPr>
            <w:tcW w:w="790" w:type="dxa"/>
            <w:vAlign w:val="center"/>
          </w:tcPr>
          <w:p w14:paraId="2709696D" w14:textId="77777777" w:rsidR="000F0526" w:rsidRPr="000F0526" w:rsidRDefault="000F0526" w:rsidP="000C70FA">
            <w:pPr>
              <w:jc w:val="center"/>
              <w:rPr>
                <w:sz w:val="16"/>
                <w:szCs w:val="16"/>
              </w:rPr>
            </w:pPr>
            <w:r w:rsidRPr="000F0526">
              <w:rPr>
                <w:sz w:val="16"/>
                <w:szCs w:val="16"/>
              </w:rPr>
              <w:t>T1 2023</w:t>
            </w:r>
          </w:p>
        </w:tc>
        <w:tc>
          <w:tcPr>
            <w:tcW w:w="915" w:type="dxa"/>
            <w:vAlign w:val="center"/>
          </w:tcPr>
          <w:p w14:paraId="2F1E386A" w14:textId="77777777" w:rsidR="000F0526" w:rsidRPr="000F0526" w:rsidRDefault="000F0526" w:rsidP="000C70FA">
            <w:pPr>
              <w:jc w:val="center"/>
              <w:rPr>
                <w:sz w:val="16"/>
                <w:szCs w:val="16"/>
              </w:rPr>
            </w:pPr>
            <w:r w:rsidRPr="000F0526">
              <w:rPr>
                <w:sz w:val="16"/>
                <w:szCs w:val="16"/>
              </w:rPr>
              <w:t>T4 2023</w:t>
            </w:r>
          </w:p>
        </w:tc>
        <w:tc>
          <w:tcPr>
            <w:tcW w:w="1759" w:type="dxa"/>
            <w:vMerge/>
          </w:tcPr>
          <w:p w14:paraId="35670EBA" w14:textId="77777777" w:rsidR="000F0526" w:rsidRPr="001F151E" w:rsidRDefault="000F0526" w:rsidP="000C70FA">
            <w:pPr>
              <w:rPr>
                <w:sz w:val="16"/>
                <w:szCs w:val="16"/>
              </w:rPr>
            </w:pPr>
          </w:p>
        </w:tc>
      </w:tr>
      <w:tr w:rsidR="000F0526" w:rsidRPr="001F151E" w14:paraId="7DE0F6AC" w14:textId="77777777" w:rsidTr="000C70FA">
        <w:trPr>
          <w:trHeight w:val="20"/>
        </w:trPr>
        <w:tc>
          <w:tcPr>
            <w:tcW w:w="1956" w:type="dxa"/>
            <w:vMerge/>
            <w:shd w:val="clear" w:color="auto" w:fill="auto"/>
          </w:tcPr>
          <w:p w14:paraId="7A8F35F3" w14:textId="77777777" w:rsidR="000F0526" w:rsidRPr="000F0526" w:rsidRDefault="000F0526" w:rsidP="000C70FA">
            <w:pPr>
              <w:pStyle w:val="T-bold"/>
            </w:pPr>
          </w:p>
        </w:tc>
        <w:tc>
          <w:tcPr>
            <w:tcW w:w="3596" w:type="dxa"/>
          </w:tcPr>
          <w:p w14:paraId="6315AA21" w14:textId="77777777" w:rsidR="000F0526" w:rsidRPr="000F0526" w:rsidRDefault="000F0526" w:rsidP="00CD7428">
            <w:pPr>
              <w:pStyle w:val="T-number"/>
              <w:numPr>
                <w:ilvl w:val="0"/>
                <w:numId w:val="94"/>
              </w:numPr>
              <w:jc w:val="both"/>
            </w:pPr>
            <w:r w:rsidRPr="000F0526">
              <w:t>Ngritja e kapaciteteve të Komiteteve të Auditimit përmes aktiviteteve të personalizuara të trajnimit.</w:t>
            </w:r>
          </w:p>
        </w:tc>
        <w:tc>
          <w:tcPr>
            <w:tcW w:w="790" w:type="dxa"/>
            <w:vAlign w:val="center"/>
          </w:tcPr>
          <w:p w14:paraId="512CA1C2" w14:textId="77777777" w:rsidR="000F0526" w:rsidRPr="000F0526" w:rsidRDefault="000F0526" w:rsidP="000C70FA">
            <w:pPr>
              <w:jc w:val="center"/>
              <w:rPr>
                <w:sz w:val="16"/>
                <w:szCs w:val="16"/>
              </w:rPr>
            </w:pPr>
            <w:r w:rsidRPr="000F0526">
              <w:rPr>
                <w:sz w:val="16"/>
                <w:szCs w:val="16"/>
              </w:rPr>
              <w:t>T1 2024</w:t>
            </w:r>
          </w:p>
        </w:tc>
        <w:tc>
          <w:tcPr>
            <w:tcW w:w="915" w:type="dxa"/>
            <w:vAlign w:val="center"/>
          </w:tcPr>
          <w:p w14:paraId="38466D4A" w14:textId="77777777" w:rsidR="000F0526" w:rsidRPr="000F0526" w:rsidRDefault="000F0526" w:rsidP="000C70FA">
            <w:pPr>
              <w:jc w:val="center"/>
              <w:rPr>
                <w:sz w:val="16"/>
                <w:szCs w:val="16"/>
              </w:rPr>
            </w:pPr>
            <w:r w:rsidRPr="000F0526">
              <w:rPr>
                <w:sz w:val="16"/>
                <w:szCs w:val="16"/>
              </w:rPr>
              <w:t>T4 2026</w:t>
            </w:r>
          </w:p>
        </w:tc>
        <w:tc>
          <w:tcPr>
            <w:tcW w:w="1759" w:type="dxa"/>
            <w:vMerge/>
          </w:tcPr>
          <w:p w14:paraId="00DB733F" w14:textId="77777777" w:rsidR="000F0526" w:rsidRPr="001F151E" w:rsidRDefault="000F0526" w:rsidP="000C70FA">
            <w:pPr>
              <w:rPr>
                <w:sz w:val="16"/>
                <w:szCs w:val="16"/>
              </w:rPr>
            </w:pPr>
          </w:p>
        </w:tc>
      </w:tr>
      <w:tr w:rsidR="000F0526" w:rsidRPr="001F151E" w14:paraId="35F651D9" w14:textId="77777777" w:rsidTr="000C70FA">
        <w:trPr>
          <w:trHeight w:val="20"/>
        </w:trPr>
        <w:tc>
          <w:tcPr>
            <w:tcW w:w="1956" w:type="dxa"/>
            <w:vMerge/>
            <w:shd w:val="clear" w:color="auto" w:fill="auto"/>
          </w:tcPr>
          <w:p w14:paraId="3A642CEE" w14:textId="77777777" w:rsidR="000F0526" w:rsidRPr="000F0526" w:rsidRDefault="000F0526" w:rsidP="000C70FA">
            <w:pPr>
              <w:pStyle w:val="T-bold"/>
            </w:pPr>
          </w:p>
        </w:tc>
        <w:tc>
          <w:tcPr>
            <w:tcW w:w="3596" w:type="dxa"/>
          </w:tcPr>
          <w:p w14:paraId="301C8300" w14:textId="77777777" w:rsidR="000F0526" w:rsidRPr="000F0526" w:rsidRDefault="000F0526" w:rsidP="00CD7428">
            <w:pPr>
              <w:pStyle w:val="T-number"/>
              <w:numPr>
                <w:ilvl w:val="0"/>
                <w:numId w:val="94"/>
              </w:numPr>
              <w:jc w:val="both"/>
            </w:pPr>
            <w:r w:rsidRPr="000F0526">
              <w:rPr>
                <w:rStyle w:val="rynqvb"/>
              </w:rPr>
              <w:t>Rishikimi i opsioneve për futjen e softuerit të auditimit të brendshëm për të lehtësuar punën e ekipeve të auditimit të brendshëm</w:t>
            </w:r>
            <w:r w:rsidRPr="000F0526">
              <w:t xml:space="preserve">. </w:t>
            </w:r>
          </w:p>
        </w:tc>
        <w:tc>
          <w:tcPr>
            <w:tcW w:w="790" w:type="dxa"/>
            <w:vAlign w:val="center"/>
          </w:tcPr>
          <w:p w14:paraId="50DA56FD" w14:textId="77777777" w:rsidR="000F0526" w:rsidRPr="000F0526" w:rsidRDefault="000F0526" w:rsidP="000C70FA">
            <w:pPr>
              <w:jc w:val="center"/>
              <w:rPr>
                <w:sz w:val="16"/>
                <w:szCs w:val="16"/>
              </w:rPr>
            </w:pPr>
            <w:r w:rsidRPr="000F0526">
              <w:rPr>
                <w:sz w:val="16"/>
                <w:szCs w:val="16"/>
              </w:rPr>
              <w:t>T1 2026</w:t>
            </w:r>
          </w:p>
        </w:tc>
        <w:tc>
          <w:tcPr>
            <w:tcW w:w="915" w:type="dxa"/>
            <w:vAlign w:val="center"/>
          </w:tcPr>
          <w:p w14:paraId="63480665" w14:textId="77777777" w:rsidR="000F0526" w:rsidRPr="000F0526" w:rsidRDefault="000F0526" w:rsidP="000C70FA">
            <w:pPr>
              <w:jc w:val="center"/>
              <w:rPr>
                <w:sz w:val="16"/>
                <w:szCs w:val="16"/>
              </w:rPr>
            </w:pPr>
            <w:r w:rsidRPr="000F0526">
              <w:rPr>
                <w:sz w:val="16"/>
                <w:szCs w:val="16"/>
              </w:rPr>
              <w:t>T4 2026</w:t>
            </w:r>
          </w:p>
        </w:tc>
        <w:tc>
          <w:tcPr>
            <w:tcW w:w="1759" w:type="dxa"/>
            <w:vMerge/>
          </w:tcPr>
          <w:p w14:paraId="5D2A2C67" w14:textId="77777777" w:rsidR="000F0526" w:rsidRPr="001F151E" w:rsidRDefault="000F0526" w:rsidP="000C70FA">
            <w:pPr>
              <w:rPr>
                <w:sz w:val="16"/>
                <w:szCs w:val="16"/>
              </w:rPr>
            </w:pPr>
          </w:p>
        </w:tc>
      </w:tr>
      <w:tr w:rsidR="000F0526" w:rsidRPr="001F151E" w14:paraId="142DF932" w14:textId="77777777" w:rsidTr="000C70FA">
        <w:trPr>
          <w:trHeight w:val="20"/>
        </w:trPr>
        <w:tc>
          <w:tcPr>
            <w:tcW w:w="1956" w:type="dxa"/>
            <w:vMerge w:val="restart"/>
            <w:shd w:val="clear" w:color="auto" w:fill="auto"/>
          </w:tcPr>
          <w:p w14:paraId="45AEB0EC" w14:textId="77777777" w:rsidR="000F0526" w:rsidRPr="000F0526" w:rsidRDefault="000F0526" w:rsidP="000C70FA">
            <w:pPr>
              <w:pStyle w:val="T-bold"/>
            </w:pPr>
            <w:r w:rsidRPr="000F0526">
              <w:t>Masa 5.2.2 Profesionalizimi i praktikave thelbësore të auditimit të brendshëm përmes zhvillimit të udhëzimeve dhe ofrimit të aktiviteteve për ngritjen e kapaciteteve</w:t>
            </w:r>
          </w:p>
        </w:tc>
        <w:tc>
          <w:tcPr>
            <w:tcW w:w="3596" w:type="dxa"/>
          </w:tcPr>
          <w:p w14:paraId="59C62553" w14:textId="6325E29C" w:rsidR="000F0526" w:rsidRPr="000F0526" w:rsidRDefault="001D4CA8" w:rsidP="00CD7428">
            <w:pPr>
              <w:pStyle w:val="T-number"/>
              <w:numPr>
                <w:ilvl w:val="0"/>
                <w:numId w:val="95"/>
              </w:numPr>
              <w:jc w:val="both"/>
            </w:pPr>
            <w:r w:rsidRPr="001D4CA8">
              <w:t>Zhvillimi i Manualit të ri të AB në kuadër të Standardeve Globale të Auditimit të Brendshëm së fundmi, të nxjerra nga</w:t>
            </w:r>
            <w:r>
              <w:t xml:space="preserve"> </w:t>
            </w:r>
            <w:r w:rsidR="000F0526" w:rsidRPr="000F0526">
              <w:t>SNAB</w:t>
            </w:r>
            <w:r w:rsidR="000F0526" w:rsidRPr="000F0526">
              <w:rPr>
                <w:rStyle w:val="FootnoteReference"/>
                <w:sz w:val="16"/>
                <w:szCs w:val="16"/>
              </w:rPr>
              <w:footnoteReference w:id="72"/>
            </w:r>
            <w:r w:rsidR="000F0526">
              <w:t>.</w:t>
            </w:r>
          </w:p>
        </w:tc>
        <w:tc>
          <w:tcPr>
            <w:tcW w:w="790" w:type="dxa"/>
            <w:vAlign w:val="center"/>
          </w:tcPr>
          <w:p w14:paraId="2192C7F5" w14:textId="77777777" w:rsidR="000F0526" w:rsidRPr="000F0526" w:rsidRDefault="000F0526" w:rsidP="000C70FA">
            <w:pPr>
              <w:jc w:val="center"/>
              <w:rPr>
                <w:sz w:val="16"/>
                <w:szCs w:val="16"/>
              </w:rPr>
            </w:pPr>
            <w:r w:rsidRPr="000F0526">
              <w:rPr>
                <w:sz w:val="16"/>
                <w:szCs w:val="16"/>
              </w:rPr>
              <w:t>T3 2024</w:t>
            </w:r>
          </w:p>
        </w:tc>
        <w:tc>
          <w:tcPr>
            <w:tcW w:w="915" w:type="dxa"/>
            <w:vAlign w:val="center"/>
          </w:tcPr>
          <w:p w14:paraId="170DBD93" w14:textId="77777777" w:rsidR="000F0526" w:rsidRPr="000F0526" w:rsidRDefault="000F0526" w:rsidP="000C70FA">
            <w:pPr>
              <w:jc w:val="center"/>
              <w:rPr>
                <w:sz w:val="16"/>
                <w:szCs w:val="16"/>
              </w:rPr>
            </w:pPr>
            <w:r w:rsidRPr="000F0526">
              <w:rPr>
                <w:sz w:val="16"/>
                <w:szCs w:val="16"/>
              </w:rPr>
              <w:t>T4 2025</w:t>
            </w:r>
          </w:p>
        </w:tc>
        <w:tc>
          <w:tcPr>
            <w:tcW w:w="1759" w:type="dxa"/>
            <w:vMerge w:val="restart"/>
          </w:tcPr>
          <w:p w14:paraId="052E7364" w14:textId="77777777" w:rsidR="000F0526" w:rsidRPr="001F151E" w:rsidRDefault="000F0526" w:rsidP="000C70FA">
            <w:pPr>
              <w:rPr>
                <w:b/>
                <w:bCs/>
                <w:sz w:val="16"/>
                <w:szCs w:val="16"/>
              </w:rPr>
            </w:pPr>
            <w:r>
              <w:rPr>
                <w:b/>
                <w:bCs/>
                <w:sz w:val="16"/>
                <w:szCs w:val="16"/>
              </w:rPr>
              <w:t>Njësitë përgjegjëse</w:t>
            </w:r>
            <w:r w:rsidRPr="001F151E">
              <w:rPr>
                <w:b/>
                <w:bCs/>
                <w:sz w:val="16"/>
                <w:szCs w:val="16"/>
              </w:rPr>
              <w:t xml:space="preserve">: </w:t>
            </w:r>
          </w:p>
          <w:p w14:paraId="620D85A3" w14:textId="77777777" w:rsidR="000F0526" w:rsidRPr="008A3D99" w:rsidRDefault="000F0526" w:rsidP="000C70FA">
            <w:pPr>
              <w:pStyle w:val="EcorysBody"/>
              <w:rPr>
                <w:rFonts w:ascii="Arial" w:hAnsi="Arial" w:cs="Arial"/>
                <w:sz w:val="16"/>
                <w:szCs w:val="16"/>
              </w:rPr>
            </w:pPr>
            <w:r w:rsidRPr="008A3D99">
              <w:rPr>
                <w:rFonts w:ascii="Arial" w:hAnsi="Arial" w:cs="Arial"/>
                <w:sz w:val="16"/>
                <w:szCs w:val="16"/>
              </w:rPr>
              <w:t>DHAB</w:t>
            </w:r>
            <w:r w:rsidRPr="001F151E">
              <w:rPr>
                <w:rFonts w:ascii="Arial" w:hAnsi="Arial" w:cs="Arial"/>
                <w:sz w:val="16"/>
                <w:szCs w:val="16"/>
              </w:rPr>
              <w:t xml:space="preserve"> (</w:t>
            </w:r>
            <w:r>
              <w:rPr>
                <w:rFonts w:ascii="Arial" w:hAnsi="Arial" w:cs="Arial"/>
                <w:sz w:val="16"/>
                <w:szCs w:val="16"/>
              </w:rPr>
              <w:t>lider</w:t>
            </w:r>
            <w:r w:rsidRPr="001F151E">
              <w:rPr>
                <w:rFonts w:ascii="Arial" w:hAnsi="Arial" w:cs="Arial"/>
                <w:sz w:val="16"/>
                <w:szCs w:val="16"/>
              </w:rPr>
              <w:t>)</w:t>
            </w:r>
          </w:p>
          <w:p w14:paraId="3BCCB4E7" w14:textId="77777777" w:rsidR="000F0526" w:rsidRPr="001F151E" w:rsidRDefault="000F0526" w:rsidP="000C70FA">
            <w:pPr>
              <w:pStyle w:val="EcorysBody"/>
              <w:rPr>
                <w:rFonts w:ascii="Arial" w:hAnsi="Arial" w:cs="Arial"/>
                <w:b/>
                <w:bCs/>
                <w:sz w:val="16"/>
                <w:szCs w:val="16"/>
              </w:rPr>
            </w:pPr>
          </w:p>
          <w:p w14:paraId="3744D0F8" w14:textId="77777777" w:rsidR="000F0526" w:rsidRPr="001F151E" w:rsidRDefault="000F0526" w:rsidP="000C70FA">
            <w:pPr>
              <w:pStyle w:val="EcorysBody"/>
              <w:rPr>
                <w:rFonts w:ascii="Arial" w:hAnsi="Arial" w:cs="Arial"/>
                <w:b/>
                <w:bCs/>
                <w:sz w:val="16"/>
                <w:szCs w:val="16"/>
              </w:rPr>
            </w:pPr>
            <w:r w:rsidRPr="001F151E">
              <w:rPr>
                <w:rFonts w:ascii="Arial" w:hAnsi="Arial" w:cs="Arial"/>
                <w:b/>
                <w:bCs/>
                <w:sz w:val="16"/>
                <w:szCs w:val="16"/>
              </w:rPr>
              <w:t>Partne</w:t>
            </w:r>
            <w:r>
              <w:rPr>
                <w:rFonts w:ascii="Arial" w:hAnsi="Arial" w:cs="Arial"/>
                <w:b/>
                <w:bCs/>
                <w:sz w:val="16"/>
                <w:szCs w:val="16"/>
              </w:rPr>
              <w:t>rët</w:t>
            </w:r>
            <w:r w:rsidRPr="001F151E">
              <w:rPr>
                <w:rFonts w:ascii="Arial" w:hAnsi="Arial" w:cs="Arial"/>
                <w:b/>
                <w:bCs/>
                <w:sz w:val="16"/>
                <w:szCs w:val="16"/>
              </w:rPr>
              <w:t>:</w:t>
            </w:r>
          </w:p>
          <w:p w14:paraId="661185C5" w14:textId="77777777" w:rsidR="000F0526" w:rsidRPr="001F151E" w:rsidRDefault="000F0526" w:rsidP="000C70FA">
            <w:pPr>
              <w:pStyle w:val="EcorysBody"/>
              <w:rPr>
                <w:rFonts w:ascii="Arial" w:hAnsi="Arial" w:cs="Arial"/>
                <w:sz w:val="16"/>
                <w:szCs w:val="16"/>
              </w:rPr>
            </w:pPr>
            <w:r>
              <w:rPr>
                <w:rFonts w:ascii="Arial" w:hAnsi="Arial" w:cs="Arial"/>
                <w:sz w:val="16"/>
                <w:szCs w:val="16"/>
              </w:rPr>
              <w:t>BE</w:t>
            </w:r>
            <w:r w:rsidRPr="001F151E">
              <w:rPr>
                <w:rFonts w:ascii="Arial" w:hAnsi="Arial" w:cs="Arial"/>
                <w:sz w:val="16"/>
                <w:szCs w:val="16"/>
              </w:rPr>
              <w:t>, SIGMA</w:t>
            </w:r>
            <w:r w:rsidRPr="001F151E">
              <w:rPr>
                <w:rStyle w:val="FootnoteReference"/>
                <w:sz w:val="16"/>
                <w:szCs w:val="16"/>
              </w:rPr>
              <w:footnoteReference w:id="73"/>
            </w:r>
          </w:p>
          <w:p w14:paraId="4945C1F0" w14:textId="77777777" w:rsidR="000F0526" w:rsidRPr="001F151E" w:rsidRDefault="000F0526" w:rsidP="000C70FA">
            <w:pPr>
              <w:rPr>
                <w:sz w:val="16"/>
                <w:szCs w:val="16"/>
              </w:rPr>
            </w:pPr>
          </w:p>
        </w:tc>
      </w:tr>
      <w:tr w:rsidR="000F0526" w:rsidRPr="001F151E" w14:paraId="44B237D5" w14:textId="77777777" w:rsidTr="000C70FA">
        <w:trPr>
          <w:trHeight w:val="20"/>
        </w:trPr>
        <w:tc>
          <w:tcPr>
            <w:tcW w:w="1956" w:type="dxa"/>
            <w:vMerge/>
            <w:shd w:val="clear" w:color="auto" w:fill="auto"/>
          </w:tcPr>
          <w:p w14:paraId="42BDA0F2" w14:textId="77777777" w:rsidR="000F0526" w:rsidRPr="000F0526" w:rsidRDefault="000F0526" w:rsidP="000C70FA">
            <w:pPr>
              <w:pStyle w:val="T-bold"/>
            </w:pPr>
          </w:p>
        </w:tc>
        <w:tc>
          <w:tcPr>
            <w:tcW w:w="3596" w:type="dxa"/>
          </w:tcPr>
          <w:p w14:paraId="18F0F0DE" w14:textId="443D1E64" w:rsidR="001D4CA8" w:rsidRDefault="001D4CA8" w:rsidP="00CD7428">
            <w:pPr>
              <w:pStyle w:val="T-number"/>
              <w:numPr>
                <w:ilvl w:val="0"/>
                <w:numId w:val="95"/>
              </w:numPr>
              <w:jc w:val="both"/>
            </w:pPr>
            <w:r w:rsidRPr="001D4CA8">
              <w:t xml:space="preserve">Zhvillimi/përditësimi i Programit të Trajnimit të Trajnerëve mbi Manualin e ri të Auditimit të Brendshëm dhe </w:t>
            </w:r>
            <w:r>
              <w:t>SGAB</w:t>
            </w:r>
            <w:r w:rsidRPr="000F0526">
              <w:rPr>
                <w:vertAlign w:val="superscript"/>
              </w:rPr>
              <w:footnoteReference w:id="74"/>
            </w:r>
            <w:r>
              <w:t>.</w:t>
            </w:r>
            <w:r w:rsidRPr="001D4CA8">
              <w:t xml:space="preserve"> </w:t>
            </w:r>
          </w:p>
          <w:p w14:paraId="7FD43D13" w14:textId="72CFA01B" w:rsidR="000F0526" w:rsidRPr="000F0526" w:rsidRDefault="000F0526" w:rsidP="001D4CA8">
            <w:pPr>
              <w:pStyle w:val="T-number"/>
              <w:numPr>
                <w:ilvl w:val="0"/>
                <w:numId w:val="0"/>
              </w:numPr>
              <w:ind w:left="360"/>
              <w:jc w:val="both"/>
            </w:pPr>
          </w:p>
        </w:tc>
        <w:tc>
          <w:tcPr>
            <w:tcW w:w="790" w:type="dxa"/>
            <w:shd w:val="clear" w:color="auto" w:fill="auto"/>
            <w:vAlign w:val="center"/>
          </w:tcPr>
          <w:p w14:paraId="0C3807F4" w14:textId="15499AD1" w:rsidR="000F0526" w:rsidRPr="000F0526" w:rsidRDefault="000F0526" w:rsidP="000C70FA">
            <w:pPr>
              <w:jc w:val="center"/>
              <w:rPr>
                <w:sz w:val="16"/>
                <w:szCs w:val="16"/>
              </w:rPr>
            </w:pPr>
            <w:r w:rsidRPr="000F0526">
              <w:rPr>
                <w:sz w:val="16"/>
                <w:szCs w:val="16"/>
              </w:rPr>
              <w:t>T1 202</w:t>
            </w:r>
            <w:r w:rsidR="001D4CA8">
              <w:rPr>
                <w:sz w:val="16"/>
                <w:szCs w:val="16"/>
              </w:rPr>
              <w:t>3</w:t>
            </w:r>
          </w:p>
        </w:tc>
        <w:tc>
          <w:tcPr>
            <w:tcW w:w="915" w:type="dxa"/>
            <w:shd w:val="clear" w:color="auto" w:fill="auto"/>
            <w:vAlign w:val="center"/>
          </w:tcPr>
          <w:p w14:paraId="5C95CD77" w14:textId="76F7D4B7" w:rsidR="000F0526" w:rsidRPr="000F0526" w:rsidRDefault="000F0526" w:rsidP="000C70FA">
            <w:pPr>
              <w:jc w:val="center"/>
              <w:rPr>
                <w:sz w:val="16"/>
                <w:szCs w:val="16"/>
              </w:rPr>
            </w:pPr>
            <w:r w:rsidRPr="000F0526">
              <w:rPr>
                <w:sz w:val="16"/>
                <w:szCs w:val="16"/>
              </w:rPr>
              <w:t>T4 202</w:t>
            </w:r>
            <w:r w:rsidR="001D4CA8">
              <w:rPr>
                <w:sz w:val="16"/>
                <w:szCs w:val="16"/>
              </w:rPr>
              <w:t>6</w:t>
            </w:r>
          </w:p>
        </w:tc>
        <w:tc>
          <w:tcPr>
            <w:tcW w:w="1759" w:type="dxa"/>
            <w:vMerge/>
          </w:tcPr>
          <w:p w14:paraId="79F8466A" w14:textId="77777777" w:rsidR="000F0526" w:rsidRPr="001F151E" w:rsidRDefault="000F0526" w:rsidP="000C70FA">
            <w:pPr>
              <w:rPr>
                <w:b/>
                <w:bCs/>
                <w:sz w:val="16"/>
                <w:szCs w:val="16"/>
              </w:rPr>
            </w:pPr>
          </w:p>
        </w:tc>
      </w:tr>
      <w:tr w:rsidR="000F0526" w:rsidRPr="001F151E" w14:paraId="62DBD9A5" w14:textId="77777777" w:rsidTr="000C70FA">
        <w:trPr>
          <w:trHeight w:val="20"/>
        </w:trPr>
        <w:tc>
          <w:tcPr>
            <w:tcW w:w="1956" w:type="dxa"/>
            <w:vMerge/>
            <w:shd w:val="clear" w:color="auto" w:fill="auto"/>
          </w:tcPr>
          <w:p w14:paraId="0414D2CE" w14:textId="77777777" w:rsidR="000F0526" w:rsidRPr="000F0526" w:rsidRDefault="000F0526" w:rsidP="000C70FA">
            <w:pPr>
              <w:pStyle w:val="T-bold"/>
            </w:pPr>
          </w:p>
        </w:tc>
        <w:tc>
          <w:tcPr>
            <w:tcW w:w="3596" w:type="dxa"/>
          </w:tcPr>
          <w:p w14:paraId="2DE7D5F2" w14:textId="43E97AE8" w:rsidR="000F0526" w:rsidRPr="000F0526" w:rsidRDefault="001D4CA8" w:rsidP="00CD7428">
            <w:pPr>
              <w:pStyle w:val="T-number"/>
              <w:numPr>
                <w:ilvl w:val="0"/>
                <w:numId w:val="95"/>
              </w:numPr>
              <w:jc w:val="both"/>
            </w:pPr>
            <w:r w:rsidRPr="000F0526">
              <w:t>Forcimi i praktikave të auditimit të përputhshmërisë: zhvillimi/përditësimi i udhëzimeve dhe ofrimi i trajnimeve për Audituesit e Brendshëm mbi raportimin e auditimit, formulimi i opinionit të auditimit për sistemet e kontrollit të brendshëm dhe prezantimi i rekomandimeve në shkresën për nivelin drejtues.</w:t>
            </w:r>
          </w:p>
        </w:tc>
        <w:tc>
          <w:tcPr>
            <w:tcW w:w="790" w:type="dxa"/>
            <w:shd w:val="clear" w:color="auto" w:fill="auto"/>
            <w:vAlign w:val="center"/>
          </w:tcPr>
          <w:p w14:paraId="320765BA" w14:textId="04316453" w:rsidR="000F0526" w:rsidRPr="000F0526" w:rsidRDefault="000F0526" w:rsidP="000C70FA">
            <w:pPr>
              <w:jc w:val="center"/>
              <w:rPr>
                <w:sz w:val="16"/>
                <w:szCs w:val="16"/>
              </w:rPr>
            </w:pPr>
            <w:r w:rsidRPr="000F0526">
              <w:rPr>
                <w:sz w:val="16"/>
                <w:szCs w:val="16"/>
              </w:rPr>
              <w:t>T1 202</w:t>
            </w:r>
            <w:r w:rsidR="001D4CA8">
              <w:rPr>
                <w:sz w:val="16"/>
                <w:szCs w:val="16"/>
              </w:rPr>
              <w:t>4</w:t>
            </w:r>
          </w:p>
        </w:tc>
        <w:tc>
          <w:tcPr>
            <w:tcW w:w="915" w:type="dxa"/>
            <w:shd w:val="clear" w:color="auto" w:fill="auto"/>
            <w:vAlign w:val="center"/>
          </w:tcPr>
          <w:p w14:paraId="60D66EFA" w14:textId="0AB85CD0" w:rsidR="000F0526" w:rsidRPr="000F0526" w:rsidRDefault="000F0526" w:rsidP="000C70FA">
            <w:pPr>
              <w:jc w:val="center"/>
              <w:rPr>
                <w:sz w:val="16"/>
                <w:szCs w:val="16"/>
              </w:rPr>
            </w:pPr>
            <w:r w:rsidRPr="000F0526">
              <w:rPr>
                <w:sz w:val="16"/>
                <w:szCs w:val="16"/>
              </w:rPr>
              <w:t>T4 202</w:t>
            </w:r>
            <w:r w:rsidR="001D4CA8">
              <w:rPr>
                <w:sz w:val="16"/>
                <w:szCs w:val="16"/>
              </w:rPr>
              <w:t>5</w:t>
            </w:r>
          </w:p>
        </w:tc>
        <w:tc>
          <w:tcPr>
            <w:tcW w:w="1759" w:type="dxa"/>
            <w:vMerge/>
          </w:tcPr>
          <w:p w14:paraId="1D6C67EE" w14:textId="77777777" w:rsidR="000F0526" w:rsidRPr="001F151E" w:rsidRDefault="000F0526" w:rsidP="000C70FA">
            <w:pPr>
              <w:rPr>
                <w:sz w:val="16"/>
                <w:szCs w:val="16"/>
              </w:rPr>
            </w:pPr>
          </w:p>
        </w:tc>
      </w:tr>
      <w:tr w:rsidR="000F0526" w:rsidRPr="001F151E" w14:paraId="42500A21" w14:textId="77777777" w:rsidTr="000C70FA">
        <w:trPr>
          <w:trHeight w:val="20"/>
        </w:trPr>
        <w:tc>
          <w:tcPr>
            <w:tcW w:w="1956" w:type="dxa"/>
            <w:vMerge/>
            <w:shd w:val="clear" w:color="auto" w:fill="auto"/>
          </w:tcPr>
          <w:p w14:paraId="27397406" w14:textId="77777777" w:rsidR="000F0526" w:rsidRPr="000F0526" w:rsidRDefault="000F0526" w:rsidP="000C70FA">
            <w:pPr>
              <w:pStyle w:val="T-bold"/>
            </w:pPr>
          </w:p>
        </w:tc>
        <w:tc>
          <w:tcPr>
            <w:tcW w:w="3596" w:type="dxa"/>
          </w:tcPr>
          <w:p w14:paraId="6224BEED" w14:textId="60E4FD32" w:rsidR="000F0526" w:rsidRPr="000F0526" w:rsidRDefault="000F0526" w:rsidP="00CD7428">
            <w:pPr>
              <w:pStyle w:val="T-number"/>
              <w:numPr>
                <w:ilvl w:val="0"/>
                <w:numId w:val="95"/>
              </w:numPr>
              <w:jc w:val="both"/>
            </w:pPr>
            <w:r w:rsidRPr="000F0526">
              <w:rPr>
                <w:rStyle w:val="rynqvb"/>
              </w:rPr>
              <w:t>Zhvillimi i udhëzimeve dhe ofrimi i trajnimeve për audituesit e brendshëm mbi qasjet e auditimit të bazuara në risk në lidhje me parandalimin, zbulimin ose adresimin e parregullsive, mashtrimit dhe korrupsionit</w:t>
            </w:r>
            <w:r w:rsidRPr="000F0526">
              <w:t>.</w:t>
            </w:r>
          </w:p>
        </w:tc>
        <w:tc>
          <w:tcPr>
            <w:tcW w:w="790" w:type="dxa"/>
            <w:shd w:val="clear" w:color="auto" w:fill="auto"/>
            <w:vAlign w:val="center"/>
          </w:tcPr>
          <w:p w14:paraId="36BD8581" w14:textId="77777777" w:rsidR="000F0526" w:rsidRPr="000F0526" w:rsidRDefault="000F0526" w:rsidP="000C70FA">
            <w:pPr>
              <w:jc w:val="center"/>
              <w:rPr>
                <w:sz w:val="16"/>
                <w:szCs w:val="16"/>
              </w:rPr>
            </w:pPr>
            <w:r w:rsidRPr="000F0526">
              <w:rPr>
                <w:sz w:val="16"/>
                <w:szCs w:val="16"/>
              </w:rPr>
              <w:t>T1 2024</w:t>
            </w:r>
          </w:p>
        </w:tc>
        <w:tc>
          <w:tcPr>
            <w:tcW w:w="915" w:type="dxa"/>
            <w:shd w:val="clear" w:color="auto" w:fill="auto"/>
            <w:vAlign w:val="center"/>
          </w:tcPr>
          <w:p w14:paraId="1FB785EC" w14:textId="77777777" w:rsidR="000F0526" w:rsidRPr="000F0526" w:rsidRDefault="000F0526" w:rsidP="000C70FA">
            <w:pPr>
              <w:jc w:val="center"/>
              <w:rPr>
                <w:sz w:val="16"/>
                <w:szCs w:val="16"/>
              </w:rPr>
            </w:pPr>
            <w:r w:rsidRPr="000F0526">
              <w:rPr>
                <w:sz w:val="16"/>
                <w:szCs w:val="16"/>
              </w:rPr>
              <w:t>T4 2026</w:t>
            </w:r>
          </w:p>
        </w:tc>
        <w:tc>
          <w:tcPr>
            <w:tcW w:w="1759" w:type="dxa"/>
            <w:vMerge/>
          </w:tcPr>
          <w:p w14:paraId="5E998354" w14:textId="77777777" w:rsidR="000F0526" w:rsidRPr="001F151E" w:rsidRDefault="000F0526" w:rsidP="000C70FA">
            <w:pPr>
              <w:rPr>
                <w:sz w:val="16"/>
                <w:szCs w:val="16"/>
              </w:rPr>
            </w:pPr>
          </w:p>
        </w:tc>
      </w:tr>
    </w:tbl>
    <w:p w14:paraId="13A15AF3" w14:textId="77777777" w:rsidR="000F0526" w:rsidRPr="001F151E" w:rsidRDefault="000F0526" w:rsidP="000F0526">
      <w:pPr>
        <w:pStyle w:val="H5"/>
        <w:rPr>
          <w:lang w:val="en-GB"/>
        </w:rPr>
      </w:pPr>
    </w:p>
    <w:p w14:paraId="302AD047" w14:textId="77777777" w:rsidR="000F0526" w:rsidRPr="009D660E" w:rsidRDefault="000F0526" w:rsidP="000F0526">
      <w:pPr>
        <w:pStyle w:val="H5"/>
        <w:rPr>
          <w:lang w:val="it-IT"/>
        </w:rPr>
      </w:pPr>
      <w:r w:rsidRPr="009D660E">
        <w:rPr>
          <w:lang w:val="it-IT"/>
        </w:rPr>
        <w:t>Treguesit e performancës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0F0526" w:rsidRPr="001F151E" w14:paraId="4BE475D9" w14:textId="77777777" w:rsidTr="000C70FA">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850FE0" w14:textId="77777777" w:rsidR="000F0526" w:rsidRPr="001F151E" w:rsidRDefault="000F0526" w:rsidP="000C70FA">
            <w:pPr>
              <w:pStyle w:val="T-bold"/>
              <w:spacing w:line="200" w:lineRule="exact"/>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BF0DA6" w14:textId="77777777" w:rsidR="000F0526" w:rsidRPr="001F151E" w:rsidRDefault="000F0526" w:rsidP="000C70FA">
            <w:pPr>
              <w:pStyle w:val="T-bold"/>
              <w:spacing w:line="200" w:lineRule="exact"/>
              <w:jc w:val="center"/>
            </w:pPr>
            <w:r>
              <w:t>Vlera bazë</w:t>
            </w:r>
            <w:r w:rsidRPr="001F151E">
              <w:t xml:space="preserve"> (</w:t>
            </w:r>
            <w:r>
              <w:t>viti</w:t>
            </w:r>
            <w:r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B43CB" w14:textId="77777777" w:rsidR="000F0526" w:rsidRPr="001F151E" w:rsidRDefault="000F0526" w:rsidP="000C70FA">
            <w:pPr>
              <w:pStyle w:val="T-bold"/>
              <w:spacing w:line="200" w:lineRule="exact"/>
              <w:jc w:val="center"/>
            </w:pPr>
            <w:r>
              <w:t>Vlera e synuar</w:t>
            </w:r>
          </w:p>
        </w:tc>
      </w:tr>
      <w:tr w:rsidR="000F0526" w:rsidRPr="001F151E" w14:paraId="5A5B1677" w14:textId="77777777" w:rsidTr="000C70FA">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689DB07" w14:textId="77777777" w:rsidR="000F0526" w:rsidRPr="001F151E" w:rsidRDefault="000F0526" w:rsidP="000C70FA">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1A4632D" w14:textId="77777777" w:rsidR="000F0526" w:rsidRPr="001F151E" w:rsidRDefault="000F0526" w:rsidP="000C70FA">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D81B3" w14:textId="77777777" w:rsidR="000F0526" w:rsidRPr="001F151E" w:rsidRDefault="000F0526" w:rsidP="000C70FA">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58D64" w14:textId="77777777" w:rsidR="000F0526" w:rsidRPr="001F151E" w:rsidRDefault="000F0526" w:rsidP="000C70FA">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6DF53E" w14:textId="77777777" w:rsidR="000F0526" w:rsidRPr="001F151E" w:rsidRDefault="000F0526" w:rsidP="000C70FA">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6230B" w14:textId="77777777" w:rsidR="000F0526" w:rsidRPr="001F151E" w:rsidRDefault="000F0526" w:rsidP="000C70FA">
            <w:pPr>
              <w:pStyle w:val="T-bold"/>
              <w:spacing w:line="200" w:lineRule="exact"/>
              <w:jc w:val="center"/>
            </w:pPr>
            <w:r w:rsidRPr="001F151E">
              <w:t>2026</w:t>
            </w:r>
          </w:p>
        </w:tc>
      </w:tr>
      <w:tr w:rsidR="000F0526" w:rsidRPr="001F151E" w14:paraId="7684BF8C" w14:textId="77777777" w:rsidTr="000C70FA">
        <w:tc>
          <w:tcPr>
            <w:tcW w:w="3114" w:type="dxa"/>
            <w:tcBorders>
              <w:top w:val="single" w:sz="4" w:space="0" w:color="auto"/>
              <w:left w:val="single" w:sz="4" w:space="0" w:color="auto"/>
              <w:bottom w:val="single" w:sz="4" w:space="0" w:color="auto"/>
              <w:right w:val="single" w:sz="4" w:space="0" w:color="auto"/>
            </w:tcBorders>
          </w:tcPr>
          <w:p w14:paraId="7379B948" w14:textId="77777777" w:rsidR="000F0526" w:rsidRPr="000F0526" w:rsidRDefault="000F0526" w:rsidP="00CD7428">
            <w:pPr>
              <w:pStyle w:val="ListParagraph"/>
              <w:numPr>
                <w:ilvl w:val="0"/>
                <w:numId w:val="42"/>
              </w:numPr>
              <w:spacing w:line="200" w:lineRule="exact"/>
              <w:jc w:val="both"/>
              <w:rPr>
                <w:sz w:val="16"/>
                <w:szCs w:val="16"/>
              </w:rPr>
            </w:pPr>
            <w:r w:rsidRPr="000F0526">
              <w:rPr>
                <w:sz w:val="16"/>
                <w:szCs w:val="16"/>
              </w:rPr>
              <w:t>Përqindja e institucioneve publike që mbulohen nga auditimet e brendshme vjetore.</w:t>
            </w:r>
          </w:p>
        </w:tc>
        <w:tc>
          <w:tcPr>
            <w:tcW w:w="1180" w:type="dxa"/>
            <w:tcBorders>
              <w:top w:val="single" w:sz="4" w:space="0" w:color="auto"/>
              <w:left w:val="single" w:sz="4" w:space="0" w:color="auto"/>
              <w:bottom w:val="single" w:sz="4" w:space="0" w:color="auto"/>
              <w:right w:val="single" w:sz="4" w:space="0" w:color="auto"/>
            </w:tcBorders>
            <w:vAlign w:val="center"/>
          </w:tcPr>
          <w:p w14:paraId="1FC5E822" w14:textId="77777777" w:rsidR="000F0526" w:rsidRPr="001F151E" w:rsidRDefault="000F0526" w:rsidP="000C70FA">
            <w:pPr>
              <w:pStyle w:val="EcorysBody"/>
              <w:spacing w:line="200" w:lineRule="exact"/>
              <w:jc w:val="center"/>
              <w:rPr>
                <w:rFonts w:ascii="Arial" w:hAnsi="Arial" w:cs="Arial"/>
                <w:sz w:val="16"/>
                <w:szCs w:val="16"/>
              </w:rPr>
            </w:pPr>
            <w:r w:rsidRPr="001F151E">
              <w:rPr>
                <w:rFonts w:ascii="Arial" w:hAnsi="Arial" w:cs="Arial"/>
                <w:sz w:val="16"/>
                <w:szCs w:val="16"/>
              </w:rPr>
              <w:t>136</w:t>
            </w:r>
          </w:p>
        </w:tc>
        <w:tc>
          <w:tcPr>
            <w:tcW w:w="1181" w:type="dxa"/>
            <w:tcBorders>
              <w:top w:val="single" w:sz="4" w:space="0" w:color="auto"/>
              <w:left w:val="single" w:sz="4" w:space="0" w:color="auto"/>
              <w:bottom w:val="single" w:sz="4" w:space="0" w:color="auto"/>
              <w:right w:val="single" w:sz="4" w:space="0" w:color="auto"/>
            </w:tcBorders>
            <w:vAlign w:val="center"/>
          </w:tcPr>
          <w:p w14:paraId="06672643" w14:textId="77777777" w:rsidR="000F0526" w:rsidRPr="001F151E" w:rsidRDefault="000F0526" w:rsidP="000C70FA">
            <w:pPr>
              <w:pStyle w:val="EcorysBody"/>
              <w:spacing w:line="200" w:lineRule="exact"/>
              <w:jc w:val="center"/>
              <w:rPr>
                <w:rFonts w:ascii="Arial" w:hAnsi="Arial" w:cs="Arial"/>
                <w:sz w:val="16"/>
                <w:szCs w:val="16"/>
              </w:rPr>
            </w:pPr>
            <w:r w:rsidRPr="001F151E">
              <w:rPr>
                <w:rFonts w:ascii="Arial" w:hAnsi="Arial" w:cs="Arial"/>
                <w:sz w:val="16"/>
                <w:szCs w:val="16"/>
              </w:rPr>
              <w:t>138</w:t>
            </w:r>
          </w:p>
        </w:tc>
        <w:tc>
          <w:tcPr>
            <w:tcW w:w="1180" w:type="dxa"/>
            <w:tcBorders>
              <w:top w:val="single" w:sz="4" w:space="0" w:color="auto"/>
              <w:left w:val="single" w:sz="4" w:space="0" w:color="auto"/>
              <w:bottom w:val="single" w:sz="4" w:space="0" w:color="auto"/>
              <w:right w:val="single" w:sz="4" w:space="0" w:color="auto"/>
            </w:tcBorders>
            <w:vAlign w:val="center"/>
          </w:tcPr>
          <w:p w14:paraId="3E339DE0" w14:textId="77777777" w:rsidR="000F0526" w:rsidRPr="001F151E" w:rsidRDefault="000F0526" w:rsidP="000C70FA">
            <w:pPr>
              <w:pStyle w:val="EcorysBody"/>
              <w:spacing w:line="200" w:lineRule="exact"/>
              <w:jc w:val="center"/>
              <w:rPr>
                <w:rFonts w:ascii="Arial" w:hAnsi="Arial" w:cs="Arial"/>
                <w:sz w:val="16"/>
                <w:szCs w:val="16"/>
              </w:rPr>
            </w:pPr>
            <w:r>
              <w:rPr>
                <w:rFonts w:ascii="Arial" w:hAnsi="Arial" w:cs="Arial"/>
                <w:sz w:val="16"/>
                <w:szCs w:val="16"/>
              </w:rPr>
              <w:t>Trend rritës</w:t>
            </w:r>
            <w:r w:rsidRPr="001F151E">
              <w:rPr>
                <w:rFonts w:ascii="Arial" w:hAnsi="Arial" w:cs="Arial"/>
                <w:sz w:val="16"/>
                <w:szCs w:val="16"/>
              </w:rPr>
              <w:t xml:space="preserve"> </w:t>
            </w:r>
          </w:p>
        </w:tc>
        <w:tc>
          <w:tcPr>
            <w:tcW w:w="1181" w:type="dxa"/>
            <w:tcBorders>
              <w:top w:val="single" w:sz="4" w:space="0" w:color="auto"/>
              <w:left w:val="single" w:sz="4" w:space="0" w:color="auto"/>
              <w:bottom w:val="single" w:sz="4" w:space="0" w:color="auto"/>
              <w:right w:val="single" w:sz="4" w:space="0" w:color="auto"/>
            </w:tcBorders>
            <w:vAlign w:val="center"/>
          </w:tcPr>
          <w:p w14:paraId="5D3C636E" w14:textId="77777777" w:rsidR="000F0526" w:rsidRPr="001F151E" w:rsidRDefault="000F0526" w:rsidP="000C70FA">
            <w:pPr>
              <w:pStyle w:val="EcorysBody"/>
              <w:spacing w:line="200" w:lineRule="exact"/>
              <w:jc w:val="center"/>
              <w:rPr>
                <w:rFonts w:ascii="Arial" w:hAnsi="Arial" w:cs="Arial"/>
                <w:sz w:val="16"/>
                <w:szCs w:val="16"/>
              </w:rPr>
            </w:pPr>
            <w:r>
              <w:rPr>
                <w:rFonts w:ascii="Arial" w:hAnsi="Arial" w:cs="Arial"/>
                <w:sz w:val="16"/>
                <w:szCs w:val="16"/>
              </w:rPr>
              <w:t>Trend rritës</w:t>
            </w:r>
          </w:p>
        </w:tc>
        <w:tc>
          <w:tcPr>
            <w:tcW w:w="1181" w:type="dxa"/>
            <w:tcBorders>
              <w:top w:val="single" w:sz="4" w:space="0" w:color="auto"/>
              <w:left w:val="single" w:sz="4" w:space="0" w:color="auto"/>
              <w:bottom w:val="single" w:sz="4" w:space="0" w:color="auto"/>
              <w:right w:val="single" w:sz="4" w:space="0" w:color="auto"/>
            </w:tcBorders>
            <w:vAlign w:val="center"/>
          </w:tcPr>
          <w:p w14:paraId="70BF509E" w14:textId="77777777" w:rsidR="000F0526" w:rsidRPr="001F151E" w:rsidRDefault="000F0526" w:rsidP="000C70FA">
            <w:pPr>
              <w:pStyle w:val="EcorysBody"/>
              <w:spacing w:line="200" w:lineRule="exact"/>
              <w:jc w:val="center"/>
              <w:rPr>
                <w:rFonts w:ascii="Arial" w:hAnsi="Arial" w:cs="Arial"/>
                <w:sz w:val="16"/>
                <w:szCs w:val="16"/>
              </w:rPr>
            </w:pPr>
            <w:r>
              <w:rPr>
                <w:rFonts w:ascii="Arial" w:hAnsi="Arial" w:cs="Arial"/>
                <w:sz w:val="16"/>
                <w:szCs w:val="16"/>
              </w:rPr>
              <w:t>Trend rritës</w:t>
            </w:r>
          </w:p>
        </w:tc>
      </w:tr>
      <w:tr w:rsidR="000F0526" w:rsidRPr="001F151E" w14:paraId="6368D42C" w14:textId="77777777" w:rsidTr="000C70FA">
        <w:trPr>
          <w:trHeight w:val="21"/>
        </w:trPr>
        <w:tc>
          <w:tcPr>
            <w:tcW w:w="3114" w:type="dxa"/>
            <w:tcBorders>
              <w:top w:val="single" w:sz="4" w:space="0" w:color="auto"/>
              <w:left w:val="single" w:sz="4" w:space="0" w:color="auto"/>
              <w:bottom w:val="single" w:sz="4" w:space="0" w:color="auto"/>
              <w:right w:val="single" w:sz="4" w:space="0" w:color="auto"/>
            </w:tcBorders>
          </w:tcPr>
          <w:p w14:paraId="5DB54B54" w14:textId="77777777" w:rsidR="000F0526" w:rsidRPr="000F0526" w:rsidRDefault="000F0526" w:rsidP="00CD7428">
            <w:pPr>
              <w:pStyle w:val="ListParagraph"/>
              <w:numPr>
                <w:ilvl w:val="0"/>
                <w:numId w:val="42"/>
              </w:numPr>
              <w:spacing w:line="200" w:lineRule="exact"/>
              <w:jc w:val="both"/>
              <w:rPr>
                <w:sz w:val="16"/>
                <w:szCs w:val="16"/>
              </w:rPr>
            </w:pPr>
            <w:r w:rsidRPr="000F0526">
              <w:rPr>
                <w:sz w:val="16"/>
                <w:szCs w:val="16"/>
              </w:rPr>
              <w:t>Numri i institucioneve publike që kanë një komitet funksional auditimi.</w:t>
            </w:r>
          </w:p>
        </w:tc>
        <w:tc>
          <w:tcPr>
            <w:tcW w:w="1180" w:type="dxa"/>
            <w:tcBorders>
              <w:top w:val="single" w:sz="4" w:space="0" w:color="auto"/>
              <w:left w:val="single" w:sz="4" w:space="0" w:color="auto"/>
              <w:bottom w:val="single" w:sz="4" w:space="0" w:color="auto"/>
              <w:right w:val="single" w:sz="4" w:space="0" w:color="auto"/>
            </w:tcBorders>
            <w:vAlign w:val="center"/>
          </w:tcPr>
          <w:p w14:paraId="0F17BDE5" w14:textId="77777777" w:rsidR="000F0526" w:rsidRPr="001F151E" w:rsidRDefault="000F0526" w:rsidP="000C70FA">
            <w:pPr>
              <w:pStyle w:val="EcorysBody"/>
              <w:spacing w:line="200" w:lineRule="exact"/>
              <w:jc w:val="center"/>
              <w:rPr>
                <w:rFonts w:ascii="Arial" w:hAnsi="Arial" w:cs="Arial"/>
                <w:sz w:val="16"/>
                <w:szCs w:val="16"/>
              </w:rPr>
            </w:pPr>
            <w:r w:rsidRPr="001F151E">
              <w:rPr>
                <w:rFonts w:ascii="Arial" w:hAnsi="Arial" w:cs="Arial"/>
                <w:sz w:val="16"/>
                <w:szCs w:val="16"/>
              </w:rPr>
              <w:t>6</w:t>
            </w:r>
          </w:p>
        </w:tc>
        <w:tc>
          <w:tcPr>
            <w:tcW w:w="1181" w:type="dxa"/>
            <w:tcBorders>
              <w:top w:val="single" w:sz="4" w:space="0" w:color="auto"/>
              <w:left w:val="single" w:sz="4" w:space="0" w:color="auto"/>
              <w:bottom w:val="single" w:sz="4" w:space="0" w:color="auto"/>
              <w:right w:val="single" w:sz="4" w:space="0" w:color="auto"/>
            </w:tcBorders>
            <w:vAlign w:val="center"/>
          </w:tcPr>
          <w:p w14:paraId="1CDCAEA5" w14:textId="77777777" w:rsidR="000F0526" w:rsidRPr="001F151E" w:rsidRDefault="000F0526" w:rsidP="000C70FA">
            <w:pPr>
              <w:pStyle w:val="EcorysBody"/>
              <w:spacing w:line="200" w:lineRule="exact"/>
              <w:jc w:val="center"/>
              <w:rPr>
                <w:rFonts w:ascii="Arial" w:hAnsi="Arial" w:cs="Arial"/>
                <w:sz w:val="16"/>
                <w:szCs w:val="16"/>
              </w:rPr>
            </w:pPr>
            <w:r w:rsidRPr="001F151E">
              <w:rPr>
                <w:rFonts w:ascii="Arial" w:hAnsi="Arial" w:cs="Arial"/>
                <w:sz w:val="16"/>
                <w:szCs w:val="16"/>
              </w:rPr>
              <w:t>7</w:t>
            </w:r>
          </w:p>
        </w:tc>
        <w:tc>
          <w:tcPr>
            <w:tcW w:w="1180" w:type="dxa"/>
            <w:tcBorders>
              <w:top w:val="single" w:sz="4" w:space="0" w:color="auto"/>
              <w:left w:val="single" w:sz="4" w:space="0" w:color="auto"/>
              <w:bottom w:val="single" w:sz="4" w:space="0" w:color="auto"/>
              <w:right w:val="single" w:sz="4" w:space="0" w:color="auto"/>
            </w:tcBorders>
            <w:vAlign w:val="center"/>
          </w:tcPr>
          <w:p w14:paraId="5924A91C" w14:textId="77777777" w:rsidR="000F0526" w:rsidRPr="001F151E" w:rsidRDefault="000F0526" w:rsidP="000C70FA">
            <w:pPr>
              <w:pStyle w:val="EcorysBody"/>
              <w:spacing w:line="200" w:lineRule="exact"/>
              <w:jc w:val="center"/>
              <w:rPr>
                <w:rFonts w:ascii="Arial" w:hAnsi="Arial" w:cs="Arial"/>
                <w:sz w:val="16"/>
                <w:szCs w:val="16"/>
              </w:rPr>
            </w:pPr>
            <w:r>
              <w:rPr>
                <w:rFonts w:ascii="Arial" w:hAnsi="Arial" w:cs="Arial"/>
                <w:sz w:val="16"/>
                <w:szCs w:val="16"/>
              </w:rPr>
              <w:t>Trend rritës</w:t>
            </w:r>
          </w:p>
        </w:tc>
        <w:tc>
          <w:tcPr>
            <w:tcW w:w="1181" w:type="dxa"/>
            <w:tcBorders>
              <w:top w:val="single" w:sz="4" w:space="0" w:color="auto"/>
              <w:left w:val="single" w:sz="4" w:space="0" w:color="auto"/>
              <w:bottom w:val="single" w:sz="4" w:space="0" w:color="auto"/>
              <w:right w:val="single" w:sz="4" w:space="0" w:color="auto"/>
            </w:tcBorders>
            <w:vAlign w:val="center"/>
          </w:tcPr>
          <w:p w14:paraId="6E7887B6" w14:textId="77777777" w:rsidR="000F0526" w:rsidRPr="001F151E" w:rsidRDefault="000F0526" w:rsidP="000C70FA">
            <w:pPr>
              <w:pStyle w:val="EcorysBody"/>
              <w:spacing w:line="200" w:lineRule="exact"/>
              <w:jc w:val="center"/>
              <w:rPr>
                <w:rFonts w:ascii="Arial" w:hAnsi="Arial" w:cs="Arial"/>
                <w:sz w:val="16"/>
                <w:szCs w:val="16"/>
              </w:rPr>
            </w:pPr>
            <w:r>
              <w:rPr>
                <w:rFonts w:ascii="Arial" w:hAnsi="Arial" w:cs="Arial"/>
                <w:sz w:val="16"/>
                <w:szCs w:val="16"/>
              </w:rPr>
              <w:t>Trend rritës</w:t>
            </w:r>
          </w:p>
        </w:tc>
        <w:tc>
          <w:tcPr>
            <w:tcW w:w="1181" w:type="dxa"/>
            <w:tcBorders>
              <w:top w:val="single" w:sz="4" w:space="0" w:color="auto"/>
              <w:left w:val="single" w:sz="4" w:space="0" w:color="auto"/>
              <w:bottom w:val="single" w:sz="4" w:space="0" w:color="auto"/>
              <w:right w:val="single" w:sz="4" w:space="0" w:color="auto"/>
            </w:tcBorders>
            <w:vAlign w:val="center"/>
          </w:tcPr>
          <w:p w14:paraId="20FB4A94" w14:textId="77777777" w:rsidR="000F0526" w:rsidRPr="001F151E" w:rsidRDefault="000F0526" w:rsidP="000C70FA">
            <w:pPr>
              <w:pStyle w:val="EcorysBody"/>
              <w:spacing w:line="200" w:lineRule="exact"/>
              <w:jc w:val="center"/>
              <w:rPr>
                <w:rFonts w:ascii="Arial" w:hAnsi="Arial" w:cs="Arial"/>
                <w:sz w:val="16"/>
                <w:szCs w:val="16"/>
              </w:rPr>
            </w:pPr>
            <w:r>
              <w:rPr>
                <w:rFonts w:ascii="Arial" w:hAnsi="Arial" w:cs="Arial"/>
                <w:sz w:val="16"/>
                <w:szCs w:val="16"/>
              </w:rPr>
              <w:t>Trend rritës</w:t>
            </w:r>
          </w:p>
        </w:tc>
      </w:tr>
      <w:tr w:rsidR="000F0526" w:rsidRPr="001F151E" w14:paraId="2D379C85" w14:textId="77777777" w:rsidTr="000C70FA">
        <w:tc>
          <w:tcPr>
            <w:tcW w:w="3114" w:type="dxa"/>
            <w:tcBorders>
              <w:top w:val="single" w:sz="4" w:space="0" w:color="auto"/>
              <w:left w:val="single" w:sz="4" w:space="0" w:color="auto"/>
              <w:bottom w:val="single" w:sz="4" w:space="0" w:color="auto"/>
              <w:right w:val="single" w:sz="4" w:space="0" w:color="auto"/>
            </w:tcBorders>
          </w:tcPr>
          <w:p w14:paraId="47A095F8" w14:textId="77777777" w:rsidR="000F0526" w:rsidRPr="000F0526" w:rsidRDefault="000F0526" w:rsidP="00CD7428">
            <w:pPr>
              <w:pStyle w:val="ListParagraph"/>
              <w:numPr>
                <w:ilvl w:val="0"/>
                <w:numId w:val="42"/>
              </w:numPr>
              <w:spacing w:line="200" w:lineRule="exact"/>
              <w:jc w:val="both"/>
              <w:rPr>
                <w:sz w:val="16"/>
                <w:szCs w:val="16"/>
              </w:rPr>
            </w:pPr>
            <w:r w:rsidRPr="000F0526">
              <w:rPr>
                <w:sz w:val="16"/>
                <w:szCs w:val="16"/>
              </w:rPr>
              <w:t>Përqindja e audituesve të brendshëm aktivë që janë plotësisht të certifikuar.</w:t>
            </w:r>
          </w:p>
        </w:tc>
        <w:tc>
          <w:tcPr>
            <w:tcW w:w="1180" w:type="dxa"/>
            <w:tcBorders>
              <w:top w:val="single" w:sz="4" w:space="0" w:color="auto"/>
              <w:left w:val="single" w:sz="4" w:space="0" w:color="auto"/>
              <w:bottom w:val="single" w:sz="4" w:space="0" w:color="auto"/>
              <w:right w:val="single" w:sz="4" w:space="0" w:color="auto"/>
            </w:tcBorders>
            <w:vAlign w:val="center"/>
          </w:tcPr>
          <w:p w14:paraId="76A619D7" w14:textId="77777777" w:rsidR="000F0526" w:rsidRPr="001F151E" w:rsidRDefault="000F0526" w:rsidP="000C70FA">
            <w:pPr>
              <w:pStyle w:val="EcorysBody"/>
              <w:spacing w:line="200" w:lineRule="exact"/>
              <w:jc w:val="center"/>
              <w:rPr>
                <w:rFonts w:ascii="Arial" w:hAnsi="Arial" w:cs="Arial"/>
                <w:sz w:val="16"/>
                <w:szCs w:val="16"/>
              </w:rPr>
            </w:pPr>
            <w:r w:rsidRPr="001F151E">
              <w:rPr>
                <w:rFonts w:ascii="Arial" w:hAnsi="Arial" w:cs="Arial"/>
                <w:sz w:val="16"/>
                <w:szCs w:val="16"/>
              </w:rPr>
              <w:t>80%</w:t>
            </w:r>
          </w:p>
        </w:tc>
        <w:tc>
          <w:tcPr>
            <w:tcW w:w="1181" w:type="dxa"/>
            <w:tcBorders>
              <w:top w:val="single" w:sz="4" w:space="0" w:color="auto"/>
              <w:left w:val="single" w:sz="4" w:space="0" w:color="auto"/>
              <w:bottom w:val="single" w:sz="4" w:space="0" w:color="auto"/>
              <w:right w:val="single" w:sz="4" w:space="0" w:color="auto"/>
            </w:tcBorders>
            <w:vAlign w:val="center"/>
          </w:tcPr>
          <w:p w14:paraId="5D3A49A3" w14:textId="77777777" w:rsidR="000F0526" w:rsidRPr="001F151E" w:rsidRDefault="000F0526" w:rsidP="000C70FA">
            <w:pPr>
              <w:pStyle w:val="EcorysBody"/>
              <w:spacing w:line="200" w:lineRule="exact"/>
              <w:jc w:val="center"/>
              <w:rPr>
                <w:rFonts w:ascii="Arial Narrow" w:hAnsi="Arial Narrow" w:cs="Arial"/>
                <w:sz w:val="15"/>
                <w:szCs w:val="15"/>
              </w:rPr>
            </w:pPr>
            <w:r w:rsidRPr="001F151E">
              <w:rPr>
                <w:rFonts w:ascii="Arial" w:hAnsi="Arial" w:cs="Arial"/>
                <w:sz w:val="16"/>
                <w:szCs w:val="16"/>
              </w:rPr>
              <w:t>88%</w:t>
            </w:r>
          </w:p>
        </w:tc>
        <w:tc>
          <w:tcPr>
            <w:tcW w:w="1180" w:type="dxa"/>
            <w:tcBorders>
              <w:top w:val="single" w:sz="4" w:space="0" w:color="auto"/>
              <w:left w:val="single" w:sz="4" w:space="0" w:color="auto"/>
              <w:bottom w:val="single" w:sz="4" w:space="0" w:color="auto"/>
              <w:right w:val="single" w:sz="4" w:space="0" w:color="auto"/>
            </w:tcBorders>
            <w:vAlign w:val="center"/>
          </w:tcPr>
          <w:p w14:paraId="2027C7DC" w14:textId="77777777" w:rsidR="000F0526" w:rsidRPr="001F151E" w:rsidRDefault="000F0526" w:rsidP="000C70FA">
            <w:pPr>
              <w:pStyle w:val="EcorysBody"/>
              <w:spacing w:line="200" w:lineRule="exact"/>
              <w:jc w:val="center"/>
              <w:rPr>
                <w:rFonts w:ascii="Arial Narrow" w:hAnsi="Arial Narrow" w:cs="Arial"/>
                <w:sz w:val="15"/>
                <w:szCs w:val="15"/>
              </w:rPr>
            </w:pPr>
            <w:r>
              <w:rPr>
                <w:rFonts w:ascii="Arial" w:hAnsi="Arial" w:cs="Arial"/>
                <w:sz w:val="16"/>
                <w:szCs w:val="16"/>
              </w:rPr>
              <w:t>Trend rritës</w:t>
            </w:r>
          </w:p>
        </w:tc>
        <w:tc>
          <w:tcPr>
            <w:tcW w:w="1181" w:type="dxa"/>
            <w:tcBorders>
              <w:top w:val="single" w:sz="4" w:space="0" w:color="auto"/>
              <w:left w:val="single" w:sz="4" w:space="0" w:color="auto"/>
              <w:bottom w:val="single" w:sz="4" w:space="0" w:color="auto"/>
              <w:right w:val="single" w:sz="4" w:space="0" w:color="auto"/>
            </w:tcBorders>
            <w:vAlign w:val="center"/>
          </w:tcPr>
          <w:p w14:paraId="312B0E00" w14:textId="77777777" w:rsidR="000F0526" w:rsidRPr="001F151E" w:rsidRDefault="000F0526" w:rsidP="000C70FA">
            <w:pPr>
              <w:pStyle w:val="EcorysBody"/>
              <w:spacing w:line="200" w:lineRule="exact"/>
              <w:jc w:val="center"/>
              <w:rPr>
                <w:rFonts w:ascii="Arial Narrow" w:hAnsi="Arial Narrow" w:cs="Arial"/>
                <w:sz w:val="15"/>
                <w:szCs w:val="15"/>
              </w:rPr>
            </w:pPr>
            <w:r>
              <w:rPr>
                <w:rFonts w:ascii="Arial" w:hAnsi="Arial" w:cs="Arial"/>
                <w:sz w:val="16"/>
                <w:szCs w:val="16"/>
              </w:rPr>
              <w:t>Trend rritës</w:t>
            </w:r>
          </w:p>
        </w:tc>
        <w:tc>
          <w:tcPr>
            <w:tcW w:w="1181" w:type="dxa"/>
            <w:tcBorders>
              <w:top w:val="single" w:sz="4" w:space="0" w:color="auto"/>
              <w:left w:val="single" w:sz="4" w:space="0" w:color="auto"/>
              <w:bottom w:val="single" w:sz="4" w:space="0" w:color="auto"/>
              <w:right w:val="single" w:sz="4" w:space="0" w:color="auto"/>
            </w:tcBorders>
            <w:vAlign w:val="center"/>
          </w:tcPr>
          <w:p w14:paraId="5BC4EFFD" w14:textId="77777777" w:rsidR="000F0526" w:rsidRPr="001F151E" w:rsidRDefault="000F0526" w:rsidP="000C70FA">
            <w:pPr>
              <w:pStyle w:val="EcorysBody"/>
              <w:spacing w:line="200" w:lineRule="exact"/>
              <w:jc w:val="center"/>
              <w:rPr>
                <w:rFonts w:ascii="Arial" w:hAnsi="Arial" w:cs="Arial"/>
                <w:sz w:val="16"/>
                <w:szCs w:val="16"/>
              </w:rPr>
            </w:pPr>
            <w:r>
              <w:rPr>
                <w:rFonts w:ascii="Arial" w:hAnsi="Arial" w:cs="Arial"/>
                <w:sz w:val="16"/>
                <w:szCs w:val="16"/>
              </w:rPr>
              <w:t>Trend rritës</w:t>
            </w:r>
          </w:p>
        </w:tc>
      </w:tr>
      <w:tr w:rsidR="000F0526" w:rsidRPr="001F151E" w14:paraId="6ABBCE3C" w14:textId="77777777" w:rsidTr="000C70FA">
        <w:tc>
          <w:tcPr>
            <w:tcW w:w="3114" w:type="dxa"/>
            <w:tcBorders>
              <w:top w:val="single" w:sz="4" w:space="0" w:color="auto"/>
              <w:left w:val="single" w:sz="4" w:space="0" w:color="auto"/>
              <w:bottom w:val="single" w:sz="4" w:space="0" w:color="auto"/>
              <w:right w:val="single" w:sz="4" w:space="0" w:color="auto"/>
            </w:tcBorders>
          </w:tcPr>
          <w:p w14:paraId="497C6B77" w14:textId="77777777" w:rsidR="000F0526" w:rsidRPr="000F0526" w:rsidRDefault="000F0526" w:rsidP="00CD7428">
            <w:pPr>
              <w:pStyle w:val="ListParagraph"/>
              <w:numPr>
                <w:ilvl w:val="0"/>
                <w:numId w:val="42"/>
              </w:numPr>
              <w:spacing w:line="200" w:lineRule="exact"/>
              <w:jc w:val="both"/>
              <w:rPr>
                <w:sz w:val="16"/>
                <w:szCs w:val="16"/>
              </w:rPr>
            </w:pPr>
            <w:r w:rsidRPr="000F0526">
              <w:rPr>
                <w:sz w:val="16"/>
                <w:szCs w:val="16"/>
              </w:rPr>
              <w:t>Përqindja e njësive të auditimit të brendshëm që kanë krijuar dhe zbatuar PPSC në përputhje me standardet në fuqi.</w:t>
            </w:r>
          </w:p>
        </w:tc>
        <w:tc>
          <w:tcPr>
            <w:tcW w:w="1180" w:type="dxa"/>
            <w:tcBorders>
              <w:top w:val="single" w:sz="4" w:space="0" w:color="auto"/>
              <w:left w:val="single" w:sz="4" w:space="0" w:color="auto"/>
              <w:bottom w:val="single" w:sz="4" w:space="0" w:color="auto"/>
              <w:right w:val="single" w:sz="4" w:space="0" w:color="auto"/>
            </w:tcBorders>
            <w:vAlign w:val="center"/>
          </w:tcPr>
          <w:p w14:paraId="45338334" w14:textId="77777777" w:rsidR="000F0526" w:rsidRPr="001F151E" w:rsidRDefault="000F0526" w:rsidP="000C70FA">
            <w:pPr>
              <w:pStyle w:val="EcorysBody"/>
              <w:spacing w:line="200" w:lineRule="exact"/>
              <w:jc w:val="center"/>
              <w:rPr>
                <w:rFonts w:ascii="Arial" w:hAnsi="Arial" w:cs="Arial"/>
                <w:sz w:val="16"/>
                <w:szCs w:val="16"/>
              </w:rPr>
            </w:pPr>
            <w:r w:rsidRPr="001F151E">
              <w:rPr>
                <w:rFonts w:ascii="Arial" w:hAnsi="Arial" w:cs="Arial"/>
                <w:sz w:val="16"/>
                <w:szCs w:val="16"/>
              </w:rPr>
              <w:t>52%</w:t>
            </w:r>
          </w:p>
        </w:tc>
        <w:tc>
          <w:tcPr>
            <w:tcW w:w="1181" w:type="dxa"/>
            <w:tcBorders>
              <w:top w:val="single" w:sz="4" w:space="0" w:color="auto"/>
              <w:left w:val="single" w:sz="4" w:space="0" w:color="auto"/>
              <w:bottom w:val="single" w:sz="4" w:space="0" w:color="auto"/>
              <w:right w:val="single" w:sz="4" w:space="0" w:color="auto"/>
            </w:tcBorders>
            <w:vAlign w:val="center"/>
          </w:tcPr>
          <w:p w14:paraId="643D4CF6" w14:textId="77777777" w:rsidR="000F0526" w:rsidRPr="001F151E" w:rsidRDefault="000F0526" w:rsidP="000C70FA">
            <w:pPr>
              <w:pStyle w:val="EcorysBody"/>
              <w:spacing w:line="200" w:lineRule="exact"/>
              <w:jc w:val="center"/>
              <w:rPr>
                <w:rFonts w:ascii="Arial" w:hAnsi="Arial" w:cs="Arial"/>
                <w:sz w:val="16"/>
                <w:szCs w:val="16"/>
              </w:rPr>
            </w:pPr>
            <w:r w:rsidRPr="001F151E">
              <w:rPr>
                <w:rFonts w:ascii="Arial" w:hAnsi="Arial" w:cs="Arial"/>
                <w:sz w:val="16"/>
                <w:szCs w:val="16"/>
              </w:rPr>
              <w:t>71%</w:t>
            </w:r>
          </w:p>
        </w:tc>
        <w:tc>
          <w:tcPr>
            <w:tcW w:w="1180" w:type="dxa"/>
            <w:tcBorders>
              <w:top w:val="single" w:sz="4" w:space="0" w:color="auto"/>
              <w:left w:val="single" w:sz="4" w:space="0" w:color="auto"/>
              <w:bottom w:val="single" w:sz="4" w:space="0" w:color="auto"/>
              <w:right w:val="single" w:sz="4" w:space="0" w:color="auto"/>
            </w:tcBorders>
            <w:vAlign w:val="center"/>
          </w:tcPr>
          <w:p w14:paraId="1EBE68DD" w14:textId="77777777" w:rsidR="000F0526" w:rsidRPr="001F151E" w:rsidRDefault="000F0526" w:rsidP="000C70FA">
            <w:pPr>
              <w:pStyle w:val="EcorysBody"/>
              <w:spacing w:line="200" w:lineRule="exact"/>
              <w:jc w:val="center"/>
              <w:rPr>
                <w:rFonts w:ascii="Arial" w:hAnsi="Arial" w:cs="Arial"/>
                <w:sz w:val="16"/>
                <w:szCs w:val="16"/>
              </w:rPr>
            </w:pPr>
            <w:r>
              <w:rPr>
                <w:rFonts w:ascii="Arial" w:hAnsi="Arial" w:cs="Arial"/>
                <w:sz w:val="16"/>
                <w:szCs w:val="16"/>
              </w:rPr>
              <w:t>Trend rritës</w:t>
            </w:r>
          </w:p>
        </w:tc>
        <w:tc>
          <w:tcPr>
            <w:tcW w:w="1181" w:type="dxa"/>
            <w:tcBorders>
              <w:top w:val="single" w:sz="4" w:space="0" w:color="auto"/>
              <w:left w:val="single" w:sz="4" w:space="0" w:color="auto"/>
              <w:bottom w:val="single" w:sz="4" w:space="0" w:color="auto"/>
              <w:right w:val="single" w:sz="4" w:space="0" w:color="auto"/>
            </w:tcBorders>
            <w:vAlign w:val="center"/>
          </w:tcPr>
          <w:p w14:paraId="09C9A48E" w14:textId="77777777" w:rsidR="000F0526" w:rsidRPr="001F151E" w:rsidRDefault="000F0526" w:rsidP="000C70FA">
            <w:pPr>
              <w:pStyle w:val="EcorysBody"/>
              <w:spacing w:line="200" w:lineRule="exact"/>
              <w:jc w:val="center"/>
              <w:rPr>
                <w:rFonts w:ascii="Arial" w:hAnsi="Arial" w:cs="Arial"/>
                <w:sz w:val="16"/>
                <w:szCs w:val="16"/>
              </w:rPr>
            </w:pPr>
            <w:r>
              <w:rPr>
                <w:rFonts w:ascii="Arial" w:hAnsi="Arial" w:cs="Arial"/>
                <w:sz w:val="16"/>
                <w:szCs w:val="16"/>
              </w:rPr>
              <w:t>Trend rritës</w:t>
            </w:r>
          </w:p>
        </w:tc>
        <w:tc>
          <w:tcPr>
            <w:tcW w:w="1181" w:type="dxa"/>
            <w:tcBorders>
              <w:top w:val="single" w:sz="4" w:space="0" w:color="auto"/>
              <w:left w:val="single" w:sz="4" w:space="0" w:color="auto"/>
              <w:bottom w:val="single" w:sz="4" w:space="0" w:color="auto"/>
              <w:right w:val="single" w:sz="4" w:space="0" w:color="auto"/>
            </w:tcBorders>
            <w:vAlign w:val="center"/>
          </w:tcPr>
          <w:p w14:paraId="17BA8CE4" w14:textId="77777777" w:rsidR="000F0526" w:rsidRPr="001F151E" w:rsidRDefault="000F0526" w:rsidP="000C70FA">
            <w:pPr>
              <w:pStyle w:val="EcorysBody"/>
              <w:spacing w:line="200" w:lineRule="exact"/>
              <w:jc w:val="center"/>
              <w:rPr>
                <w:rFonts w:ascii="Arial" w:hAnsi="Arial" w:cs="Arial"/>
                <w:sz w:val="16"/>
                <w:szCs w:val="16"/>
              </w:rPr>
            </w:pPr>
            <w:r>
              <w:rPr>
                <w:rFonts w:ascii="Arial" w:hAnsi="Arial" w:cs="Arial"/>
                <w:sz w:val="16"/>
                <w:szCs w:val="16"/>
              </w:rPr>
              <w:t>Trend rritës</w:t>
            </w:r>
          </w:p>
        </w:tc>
      </w:tr>
      <w:tr w:rsidR="000F0526" w:rsidRPr="001F151E" w14:paraId="2D1E355A" w14:textId="77777777" w:rsidTr="000C70FA">
        <w:tc>
          <w:tcPr>
            <w:tcW w:w="3114" w:type="dxa"/>
            <w:tcBorders>
              <w:top w:val="single" w:sz="4" w:space="0" w:color="auto"/>
              <w:left w:val="single" w:sz="4" w:space="0" w:color="auto"/>
              <w:bottom w:val="single" w:sz="4" w:space="0" w:color="auto"/>
              <w:right w:val="single" w:sz="4" w:space="0" w:color="auto"/>
            </w:tcBorders>
          </w:tcPr>
          <w:p w14:paraId="41E3B19B" w14:textId="77777777" w:rsidR="000F0526" w:rsidRPr="000F0526" w:rsidRDefault="000F0526" w:rsidP="00CD7428">
            <w:pPr>
              <w:pStyle w:val="ListParagraph"/>
              <w:numPr>
                <w:ilvl w:val="0"/>
                <w:numId w:val="42"/>
              </w:numPr>
              <w:spacing w:line="200" w:lineRule="exact"/>
              <w:jc w:val="both"/>
              <w:rPr>
                <w:sz w:val="16"/>
                <w:szCs w:val="16"/>
              </w:rPr>
            </w:pPr>
            <w:r w:rsidRPr="000F0526">
              <w:rPr>
                <w:sz w:val="16"/>
                <w:szCs w:val="16"/>
              </w:rPr>
              <w:t>Përqindja e audituesve të brendshëm që përputhen me kërkesat e ZHVP</w:t>
            </w:r>
          </w:p>
        </w:tc>
        <w:tc>
          <w:tcPr>
            <w:tcW w:w="1180" w:type="dxa"/>
            <w:tcBorders>
              <w:top w:val="single" w:sz="4" w:space="0" w:color="auto"/>
              <w:left w:val="single" w:sz="4" w:space="0" w:color="auto"/>
              <w:bottom w:val="single" w:sz="4" w:space="0" w:color="auto"/>
              <w:right w:val="single" w:sz="4" w:space="0" w:color="auto"/>
            </w:tcBorders>
            <w:vAlign w:val="center"/>
          </w:tcPr>
          <w:p w14:paraId="57217108" w14:textId="77777777" w:rsidR="000F0526" w:rsidRPr="001F151E" w:rsidRDefault="000F0526" w:rsidP="000C70FA">
            <w:pPr>
              <w:pStyle w:val="EcorysBody"/>
              <w:spacing w:line="200" w:lineRule="exact"/>
              <w:jc w:val="center"/>
              <w:rPr>
                <w:rFonts w:ascii="Arial" w:hAnsi="Arial" w:cs="Arial"/>
                <w:sz w:val="16"/>
                <w:szCs w:val="16"/>
              </w:rPr>
            </w:pPr>
            <w:r w:rsidRPr="001F151E">
              <w:rPr>
                <w:rFonts w:ascii="Arial" w:hAnsi="Arial" w:cs="Arial"/>
                <w:sz w:val="16"/>
                <w:szCs w:val="16"/>
              </w:rPr>
              <w:t>100%</w:t>
            </w:r>
          </w:p>
        </w:tc>
        <w:tc>
          <w:tcPr>
            <w:tcW w:w="1181" w:type="dxa"/>
            <w:tcBorders>
              <w:top w:val="single" w:sz="4" w:space="0" w:color="auto"/>
              <w:left w:val="single" w:sz="4" w:space="0" w:color="auto"/>
              <w:bottom w:val="single" w:sz="4" w:space="0" w:color="auto"/>
              <w:right w:val="single" w:sz="4" w:space="0" w:color="auto"/>
            </w:tcBorders>
            <w:vAlign w:val="center"/>
          </w:tcPr>
          <w:p w14:paraId="38FA250F" w14:textId="77777777" w:rsidR="000F0526" w:rsidRPr="001F151E" w:rsidRDefault="000F0526" w:rsidP="000C70FA">
            <w:pPr>
              <w:pStyle w:val="EcorysBody"/>
              <w:spacing w:line="200" w:lineRule="exact"/>
              <w:jc w:val="center"/>
              <w:rPr>
                <w:rFonts w:ascii="Arial" w:hAnsi="Arial" w:cs="Arial"/>
                <w:sz w:val="16"/>
                <w:szCs w:val="16"/>
              </w:rPr>
            </w:pPr>
            <w:r w:rsidRPr="001F151E">
              <w:rPr>
                <w:rFonts w:ascii="Arial" w:hAnsi="Arial" w:cs="Arial"/>
                <w:sz w:val="16"/>
                <w:szCs w:val="16"/>
              </w:rPr>
              <w:t>100%</w:t>
            </w:r>
          </w:p>
        </w:tc>
        <w:tc>
          <w:tcPr>
            <w:tcW w:w="1180" w:type="dxa"/>
            <w:tcBorders>
              <w:top w:val="single" w:sz="4" w:space="0" w:color="auto"/>
              <w:left w:val="single" w:sz="4" w:space="0" w:color="auto"/>
              <w:bottom w:val="single" w:sz="4" w:space="0" w:color="auto"/>
              <w:right w:val="single" w:sz="4" w:space="0" w:color="auto"/>
            </w:tcBorders>
            <w:vAlign w:val="center"/>
          </w:tcPr>
          <w:p w14:paraId="6F6C9287" w14:textId="77777777" w:rsidR="000F0526" w:rsidRPr="001F151E" w:rsidRDefault="000F0526" w:rsidP="000C70FA">
            <w:pPr>
              <w:pStyle w:val="EcorysBody"/>
              <w:spacing w:line="200" w:lineRule="exact"/>
              <w:jc w:val="center"/>
              <w:rPr>
                <w:rFonts w:ascii="Arial" w:hAnsi="Arial" w:cs="Arial"/>
                <w:sz w:val="16"/>
                <w:szCs w:val="16"/>
              </w:rPr>
            </w:pPr>
            <w:r w:rsidRPr="001F151E">
              <w:rPr>
                <w:rFonts w:ascii="Arial" w:hAnsi="Arial" w:cs="Arial"/>
                <w:sz w:val="16"/>
                <w:szCs w:val="16"/>
              </w:rPr>
              <w:t>100%</w:t>
            </w:r>
          </w:p>
        </w:tc>
        <w:tc>
          <w:tcPr>
            <w:tcW w:w="1181" w:type="dxa"/>
            <w:tcBorders>
              <w:top w:val="single" w:sz="4" w:space="0" w:color="auto"/>
              <w:left w:val="single" w:sz="4" w:space="0" w:color="auto"/>
              <w:bottom w:val="single" w:sz="4" w:space="0" w:color="auto"/>
              <w:right w:val="single" w:sz="4" w:space="0" w:color="auto"/>
            </w:tcBorders>
            <w:vAlign w:val="center"/>
          </w:tcPr>
          <w:p w14:paraId="333E3C54" w14:textId="77777777" w:rsidR="000F0526" w:rsidRPr="001F151E" w:rsidRDefault="000F0526" w:rsidP="000C70FA">
            <w:pPr>
              <w:pStyle w:val="EcorysBody"/>
              <w:spacing w:line="200" w:lineRule="exact"/>
              <w:jc w:val="center"/>
              <w:rPr>
                <w:rFonts w:ascii="Arial" w:hAnsi="Arial" w:cs="Arial"/>
                <w:sz w:val="16"/>
                <w:szCs w:val="16"/>
              </w:rPr>
            </w:pPr>
            <w:r w:rsidRPr="001F151E">
              <w:rPr>
                <w:rFonts w:ascii="Arial" w:hAnsi="Arial" w:cs="Arial"/>
                <w:sz w:val="16"/>
                <w:szCs w:val="16"/>
              </w:rPr>
              <w:t>100%</w:t>
            </w:r>
          </w:p>
        </w:tc>
        <w:tc>
          <w:tcPr>
            <w:tcW w:w="1181" w:type="dxa"/>
            <w:tcBorders>
              <w:top w:val="single" w:sz="4" w:space="0" w:color="auto"/>
              <w:left w:val="single" w:sz="4" w:space="0" w:color="auto"/>
              <w:bottom w:val="single" w:sz="4" w:space="0" w:color="auto"/>
              <w:right w:val="single" w:sz="4" w:space="0" w:color="auto"/>
            </w:tcBorders>
            <w:vAlign w:val="center"/>
          </w:tcPr>
          <w:p w14:paraId="759D42F2" w14:textId="77777777" w:rsidR="000F0526" w:rsidRPr="001F151E" w:rsidRDefault="000F0526" w:rsidP="000C70FA">
            <w:pPr>
              <w:pStyle w:val="EcorysBody"/>
              <w:spacing w:line="200" w:lineRule="exact"/>
              <w:jc w:val="center"/>
              <w:rPr>
                <w:rFonts w:ascii="Arial" w:hAnsi="Arial" w:cs="Arial"/>
                <w:sz w:val="16"/>
                <w:szCs w:val="16"/>
              </w:rPr>
            </w:pPr>
            <w:r w:rsidRPr="001F151E">
              <w:rPr>
                <w:rFonts w:ascii="Arial" w:hAnsi="Arial" w:cs="Arial"/>
                <w:sz w:val="16"/>
                <w:szCs w:val="16"/>
              </w:rPr>
              <w:t>100%</w:t>
            </w:r>
          </w:p>
        </w:tc>
      </w:tr>
    </w:tbl>
    <w:p w14:paraId="7AF185D9" w14:textId="77777777" w:rsidR="000F0526" w:rsidRPr="001F151E" w:rsidRDefault="000F0526" w:rsidP="000F0526">
      <w:pPr>
        <w:ind w:left="360" w:hanging="360"/>
        <w:rPr>
          <w:lang w:val="en-GB"/>
        </w:rPr>
      </w:pPr>
    </w:p>
    <w:p w14:paraId="1EA8D2F7" w14:textId="77777777" w:rsidR="000F0526" w:rsidRPr="001F151E" w:rsidRDefault="000F0526" w:rsidP="000F0526">
      <w:pPr>
        <w:rPr>
          <w:lang w:val="en-GB"/>
        </w:rPr>
      </w:pPr>
    </w:p>
    <w:p w14:paraId="4DB20E65" w14:textId="77777777" w:rsidR="000F0526" w:rsidRPr="009D660E" w:rsidRDefault="000F0526" w:rsidP="000F0526">
      <w:pPr>
        <w:pStyle w:val="Heading2"/>
        <w:rPr>
          <w:lang w:val="it-IT"/>
        </w:rPr>
      </w:pPr>
      <w:bookmarkStart w:id="55" w:name="_Toc150931564"/>
      <w:bookmarkStart w:id="56" w:name="_Toc161748835"/>
      <w:bookmarkStart w:id="57" w:name="_Toc150931565"/>
      <w:r w:rsidRPr="009D660E">
        <w:rPr>
          <w:lang w:val="it-IT"/>
        </w:rPr>
        <w:t xml:space="preserve">Komponenti 5.3 </w:t>
      </w:r>
      <w:bookmarkEnd w:id="55"/>
      <w:r w:rsidRPr="009D660E">
        <w:rPr>
          <w:lang w:val="it-IT"/>
        </w:rPr>
        <w:t>Inspektimi Financiar Publik dhe Shërbimet e Koordinimit kundër Mashtrimit</w:t>
      </w:r>
      <w:bookmarkEnd w:id="56"/>
      <w:r w:rsidRPr="009D660E">
        <w:rPr>
          <w:lang w:val="it-IT"/>
        </w:rPr>
        <w:t xml:space="preserve">  </w:t>
      </w:r>
    </w:p>
    <w:p w14:paraId="42DF092A" w14:textId="77777777" w:rsidR="000F0526" w:rsidRPr="009D660E" w:rsidRDefault="000F0526" w:rsidP="000F0526">
      <w:pPr>
        <w:rPr>
          <w:lang w:val="it-IT"/>
        </w:rPr>
      </w:pPr>
    </w:p>
    <w:p w14:paraId="016F6D3F" w14:textId="77777777" w:rsidR="000F0526" w:rsidRPr="009D660E" w:rsidRDefault="000F0526" w:rsidP="000F0526">
      <w:pPr>
        <w:pStyle w:val="H5"/>
        <w:rPr>
          <w:rFonts w:ascii="Calibri" w:hAnsi="Calibri" w:cs="Times New Roman"/>
          <w:sz w:val="21"/>
          <w:szCs w:val="21"/>
          <w:lang w:val="it-IT"/>
        </w:rPr>
      </w:pPr>
      <w:r w:rsidRPr="009D660E">
        <w:rPr>
          <w:lang w:val="it-IT"/>
        </w:rPr>
        <w:t>Objektivi</w:t>
      </w:r>
    </w:p>
    <w:p w14:paraId="2ABECD53" w14:textId="77777777" w:rsidR="000F0526" w:rsidRPr="009D660E" w:rsidRDefault="000F0526" w:rsidP="000F0526">
      <w:pPr>
        <w:spacing w:line="276" w:lineRule="auto"/>
        <w:jc w:val="both"/>
        <w:rPr>
          <w:rStyle w:val="rynqvb"/>
          <w:lang w:val="it-IT"/>
        </w:rPr>
      </w:pPr>
      <w:r w:rsidRPr="009D660E">
        <w:rPr>
          <w:rStyle w:val="rynqvb"/>
          <w:lang w:val="it-IT"/>
        </w:rPr>
        <w:t>Synimi për vitin 2030 është që të ketë një Inspektim Financiar Publik efektiv në mënyrë që (i) të garantojë respektimin e ligjit në përdorimin e fondeve publike dhe të ofrojë ndihmë në përmirësimin e menaxhimit të financave publike në përputhje me standardet profesionale dhe (ii) të koordinojë</w:t>
      </w:r>
      <w:r w:rsidRPr="009D660E">
        <w:rPr>
          <w:rStyle w:val="hwtze"/>
          <w:lang w:val="it-IT"/>
        </w:rPr>
        <w:t xml:space="preserve"> </w:t>
      </w:r>
      <w:r w:rsidRPr="009D660E">
        <w:rPr>
          <w:rStyle w:val="rynqvb"/>
          <w:lang w:val="it-IT"/>
        </w:rPr>
        <w:t>hartimin, miratimin dhe zbatimin e Strategjisë Kombëtare Kundër Mashtrimit për të mbrojtur më mirë interesat financiare të BE-së dhe për të monitoruar dhe forcuar më tej rolin koordinues të ShKKM.</w:t>
      </w:r>
    </w:p>
    <w:p w14:paraId="74D7AEE9" w14:textId="77777777" w:rsidR="000F0526" w:rsidRPr="009D660E" w:rsidRDefault="000F0526" w:rsidP="000F0526">
      <w:pPr>
        <w:spacing w:line="276" w:lineRule="auto"/>
        <w:jc w:val="both"/>
        <w:rPr>
          <w:lang w:val="it-IT"/>
        </w:rPr>
      </w:pPr>
    </w:p>
    <w:p w14:paraId="115E0A1C" w14:textId="77777777" w:rsidR="000F0526" w:rsidRPr="009D660E" w:rsidRDefault="000F0526" w:rsidP="000F0526">
      <w:pPr>
        <w:pStyle w:val="H5"/>
        <w:spacing w:line="276" w:lineRule="auto"/>
        <w:jc w:val="both"/>
        <w:rPr>
          <w:lang w:val="it-IT"/>
        </w:rPr>
      </w:pPr>
      <w:r w:rsidRPr="009D660E">
        <w:rPr>
          <w:lang w:val="it-IT"/>
        </w:rPr>
        <w:t xml:space="preserve">Konteksti </w:t>
      </w:r>
    </w:p>
    <w:p w14:paraId="5FB68DCA" w14:textId="4E71DF13" w:rsidR="000F0526" w:rsidRPr="009D660E" w:rsidRDefault="000F0526" w:rsidP="000F0526">
      <w:pPr>
        <w:spacing w:line="276" w:lineRule="auto"/>
        <w:jc w:val="both"/>
        <w:rPr>
          <w:rStyle w:val="rynqvb"/>
          <w:lang w:val="it-IT"/>
        </w:rPr>
      </w:pPr>
      <w:r w:rsidRPr="009D660E">
        <w:rPr>
          <w:rStyle w:val="rynqvb"/>
          <w:lang w:val="it-IT"/>
        </w:rPr>
        <w:t>Qeveria është e vendosur të sigurojë një sistem kontrolli që do të parandalojë mashtrimet, parregullsitë dhe llojet e tjera të keqmenaxhimit financiar të fondeve publike në njësitë e sektorit publik.</w:t>
      </w:r>
      <w:r w:rsidRPr="009D660E">
        <w:rPr>
          <w:rStyle w:val="hwtze"/>
          <w:lang w:val="it-IT"/>
        </w:rPr>
        <w:t xml:space="preserve"> </w:t>
      </w:r>
      <w:r w:rsidRPr="009D660E">
        <w:rPr>
          <w:rStyle w:val="rynqvb"/>
          <w:lang w:val="it-IT"/>
        </w:rPr>
        <w:t>Që nga viti 2015, u prezantua Ligji i ri për Inspektimin Financiar Publik</w:t>
      </w:r>
      <w:r w:rsidRPr="001F151E">
        <w:rPr>
          <w:rStyle w:val="FootnoteReference"/>
          <w:lang w:val="en-GB"/>
        </w:rPr>
        <w:footnoteReference w:id="75"/>
      </w:r>
      <w:r w:rsidRPr="009D660E">
        <w:rPr>
          <w:rStyle w:val="rynqvb"/>
          <w:lang w:val="it-IT"/>
        </w:rPr>
        <w:t xml:space="preserve"> dhe disa akte nënligjore, rregullore, udhëzime dhe manuale.</w:t>
      </w:r>
      <w:r w:rsidRPr="009D660E">
        <w:rPr>
          <w:rStyle w:val="hwtze"/>
          <w:lang w:val="it-IT"/>
        </w:rPr>
        <w:t xml:space="preserve"> </w:t>
      </w:r>
      <w:r w:rsidRPr="009D660E">
        <w:rPr>
          <w:rStyle w:val="rynqvb"/>
          <w:lang w:val="it-IT"/>
        </w:rPr>
        <w:t>Këto ndryshime legjislative u shoqëruan me ndryshime organizative si krijimi i Drejtorisë së Inspektimit Financiar Publik (DIFP) si funksion i pavarur brenda MF-së.</w:t>
      </w:r>
      <w:r w:rsidRPr="009D660E">
        <w:rPr>
          <w:lang w:val="it-IT"/>
        </w:rPr>
        <w:t xml:space="preserve"> IFP</w:t>
      </w:r>
      <w:r w:rsidRPr="009D660E">
        <w:rPr>
          <w:rStyle w:val="rynqvb"/>
          <w:lang w:val="it-IT"/>
        </w:rPr>
        <w:t xml:space="preserve"> është një aktivitet ex-post mbi rregullsinë e transaksioneve dhe veprimtarive të tjera të menaxhimit të financave publike, i kryer nën përgjegjësinë e njësive publike dhe individëve, me qëllim (i) përcaktimin e shkeljeve të akteve normative dhe verifikimin e dyshimeve për ndonjë mashtrim të kryer;</w:t>
      </w:r>
      <w:r w:rsidRPr="009D660E">
        <w:rPr>
          <w:rStyle w:val="hwtze"/>
          <w:lang w:val="it-IT"/>
        </w:rPr>
        <w:t xml:space="preserve"> </w:t>
      </w:r>
      <w:r w:rsidRPr="009D660E">
        <w:rPr>
          <w:rStyle w:val="rynqvb"/>
          <w:lang w:val="it-IT"/>
        </w:rPr>
        <w:t>(ii) zbulon parregullsitë dhe dëmet e shkaktuara në pronën e njësive publike;</w:t>
      </w:r>
      <w:r w:rsidRPr="009D660E">
        <w:rPr>
          <w:rStyle w:val="hwtze"/>
          <w:lang w:val="it-IT"/>
        </w:rPr>
        <w:t xml:space="preserve"> </w:t>
      </w:r>
      <w:r w:rsidRPr="009D660E">
        <w:rPr>
          <w:rStyle w:val="rynqvb"/>
          <w:lang w:val="it-IT"/>
        </w:rPr>
        <w:t>dhe (iii) të identifikojë personat përgjegjës për shkeljet e kryera dhe të kërkojë marrjen e masave zhdëmtuese, disiplinore ose administrative, sipas nivelit ose llojit të përgjegjësisë.</w:t>
      </w:r>
      <w:r w:rsidRPr="009D660E">
        <w:rPr>
          <w:rStyle w:val="hwtze"/>
          <w:lang w:val="it-IT"/>
        </w:rPr>
        <w:t xml:space="preserve"> </w:t>
      </w:r>
      <w:r w:rsidRPr="009D660E">
        <w:rPr>
          <w:rStyle w:val="rynqvb"/>
          <w:lang w:val="it-IT"/>
        </w:rPr>
        <w:t>Aktivitete të shumta për ngritjen e kapaciteteve, duke përfshirë trajnime, mentorime dhe vizita studimore kanë kontribuar në rritjen e profesionalizmit të stafit të drejtorisë.</w:t>
      </w:r>
      <w:r w:rsidRPr="009D660E">
        <w:rPr>
          <w:rStyle w:val="hwtze"/>
          <w:lang w:val="it-IT"/>
        </w:rPr>
        <w:t xml:space="preserve"> </w:t>
      </w:r>
      <w:r w:rsidRPr="009D660E">
        <w:rPr>
          <w:rStyle w:val="rynqvb"/>
          <w:lang w:val="it-IT"/>
        </w:rPr>
        <w:t>Pas rekomandimeve dhe kërkesave rregullatore të BE-së, do të zhvillohet, miratohet, zbatohet dhe monitorohet Strategjia Kombëtare Kundër Mashtrimit për mbrojtjen e interesave financiare të BE-së.</w:t>
      </w:r>
    </w:p>
    <w:p w14:paraId="796A725E" w14:textId="77777777" w:rsidR="000F0526" w:rsidRPr="009D660E" w:rsidRDefault="000F0526" w:rsidP="000F0526">
      <w:pPr>
        <w:spacing w:line="276" w:lineRule="auto"/>
        <w:jc w:val="both"/>
        <w:rPr>
          <w:lang w:val="it-IT"/>
        </w:rPr>
      </w:pPr>
    </w:p>
    <w:p w14:paraId="03B28740" w14:textId="77777777" w:rsidR="000F0526" w:rsidRPr="001F151E" w:rsidRDefault="000F0526" w:rsidP="000F0526">
      <w:pPr>
        <w:pStyle w:val="H5"/>
        <w:spacing w:line="276" w:lineRule="auto"/>
        <w:jc w:val="both"/>
        <w:rPr>
          <w:lang w:val="en-GB"/>
        </w:rPr>
      </w:pPr>
      <w:r w:rsidRPr="001F151E">
        <w:rPr>
          <w:lang w:val="en-GB"/>
        </w:rPr>
        <w:t>Priorit</w:t>
      </w:r>
      <w:r>
        <w:rPr>
          <w:lang w:val="en-GB"/>
        </w:rPr>
        <w:t>etet</w:t>
      </w:r>
    </w:p>
    <w:p w14:paraId="72FB428B" w14:textId="77777777" w:rsidR="000F0526" w:rsidRPr="000170B3" w:rsidRDefault="000F0526" w:rsidP="000F0526">
      <w:pPr>
        <w:spacing w:line="276" w:lineRule="auto"/>
        <w:jc w:val="both"/>
        <w:rPr>
          <w:lang w:val="en-GB"/>
        </w:rPr>
      </w:pPr>
      <w:r w:rsidRPr="000170B3">
        <w:rPr>
          <w:lang w:val="en-GB"/>
        </w:rPr>
        <w:t>Prioritetet për periudhën 2023-2026 janë:</w:t>
      </w:r>
    </w:p>
    <w:p w14:paraId="2C34B35A" w14:textId="77777777" w:rsidR="000F0526" w:rsidRPr="000170B3" w:rsidRDefault="000F0526" w:rsidP="000F0526">
      <w:pPr>
        <w:pStyle w:val="ListParagraph"/>
        <w:numPr>
          <w:ilvl w:val="0"/>
          <w:numId w:val="2"/>
        </w:numPr>
        <w:spacing w:line="276" w:lineRule="auto"/>
        <w:jc w:val="both"/>
        <w:rPr>
          <w:lang w:val="en-GB"/>
        </w:rPr>
      </w:pPr>
      <w:r w:rsidRPr="000170B3">
        <w:rPr>
          <w:lang w:val="en-GB"/>
        </w:rPr>
        <w:t>Rritja e bashkëpunimit me Auditimin e Brendshëm dhe KLSH.</w:t>
      </w:r>
    </w:p>
    <w:p w14:paraId="7CD14A0D" w14:textId="10B548A4" w:rsidR="000F0526" w:rsidRPr="001F151E" w:rsidRDefault="000F0526" w:rsidP="000F0526">
      <w:pPr>
        <w:pStyle w:val="ListParagraph"/>
        <w:numPr>
          <w:ilvl w:val="0"/>
          <w:numId w:val="2"/>
        </w:numPr>
        <w:spacing w:line="276" w:lineRule="auto"/>
        <w:jc w:val="both"/>
        <w:rPr>
          <w:lang w:val="en-GB"/>
        </w:rPr>
      </w:pPr>
      <w:r w:rsidRPr="000170B3">
        <w:rPr>
          <w:lang w:val="en-GB"/>
        </w:rPr>
        <w:t xml:space="preserve">Forcimi i rolit koordinues në hartimin dhe </w:t>
      </w:r>
      <w:r w:rsidR="002E0A13">
        <w:rPr>
          <w:lang w:val="en-GB"/>
        </w:rPr>
        <w:t>monitorimin</w:t>
      </w:r>
      <w:r w:rsidRPr="000170B3">
        <w:rPr>
          <w:lang w:val="en-GB"/>
        </w:rPr>
        <w:t xml:space="preserve"> e një Strategjie Kombëtare Kundër Mashtrimit për mbrojtjen e interesave financiare të BE-së.</w:t>
      </w:r>
    </w:p>
    <w:p w14:paraId="0412C412" w14:textId="77777777" w:rsidR="000F0526" w:rsidRPr="001F151E" w:rsidRDefault="000F0526" w:rsidP="000F0526">
      <w:pPr>
        <w:rPr>
          <w:lang w:val="en-GB"/>
        </w:rPr>
      </w:pPr>
    </w:p>
    <w:p w14:paraId="5EF89704" w14:textId="77777777" w:rsidR="000F0526" w:rsidRPr="001F151E" w:rsidRDefault="000F0526" w:rsidP="000F0526">
      <w:pPr>
        <w:pStyle w:val="H5"/>
        <w:rPr>
          <w:lang w:val="en-GB"/>
        </w:rPr>
      </w:pPr>
      <w:r>
        <w:rPr>
          <w:rStyle w:val="rynqv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80"/>
        <w:gridCol w:w="3659"/>
        <w:gridCol w:w="798"/>
        <w:gridCol w:w="798"/>
        <w:gridCol w:w="1781"/>
      </w:tblGrid>
      <w:tr w:rsidR="000F0526" w:rsidRPr="001F151E" w14:paraId="268448E5" w14:textId="77777777" w:rsidTr="000C70FA">
        <w:trPr>
          <w:cantSplit/>
          <w:trHeight w:val="20"/>
          <w:tblHeader/>
        </w:trPr>
        <w:tc>
          <w:tcPr>
            <w:tcW w:w="1980" w:type="dxa"/>
            <w:shd w:val="clear" w:color="auto" w:fill="D9D9D9" w:themeFill="background1" w:themeFillShade="D9"/>
          </w:tcPr>
          <w:p w14:paraId="01C6624D" w14:textId="77777777" w:rsidR="000F0526" w:rsidRPr="001F151E" w:rsidRDefault="000F0526" w:rsidP="000C70FA">
            <w:pPr>
              <w:pStyle w:val="T-bold"/>
            </w:pPr>
            <w:r>
              <w:t>Masa</w:t>
            </w:r>
          </w:p>
        </w:tc>
        <w:tc>
          <w:tcPr>
            <w:tcW w:w="3659" w:type="dxa"/>
            <w:shd w:val="clear" w:color="auto" w:fill="D9D9D9" w:themeFill="background1" w:themeFillShade="D9"/>
          </w:tcPr>
          <w:p w14:paraId="32B5E264" w14:textId="77777777" w:rsidR="000F0526" w:rsidRPr="001F151E" w:rsidRDefault="000F0526" w:rsidP="000C70FA">
            <w:pPr>
              <w:pStyle w:val="T-bold"/>
            </w:pPr>
            <w:r w:rsidRPr="001F151E">
              <w:t>A</w:t>
            </w:r>
            <w:r>
              <w:t>ktiviteti</w:t>
            </w:r>
          </w:p>
        </w:tc>
        <w:tc>
          <w:tcPr>
            <w:tcW w:w="798" w:type="dxa"/>
            <w:shd w:val="clear" w:color="auto" w:fill="D9D9D9" w:themeFill="background1" w:themeFillShade="D9"/>
          </w:tcPr>
          <w:p w14:paraId="06BAD593" w14:textId="77777777" w:rsidR="000F0526" w:rsidRPr="001F151E" w:rsidRDefault="000F0526" w:rsidP="000C70FA">
            <w:pPr>
              <w:pStyle w:val="T-bold"/>
              <w:jc w:val="center"/>
            </w:pPr>
            <w:r>
              <w:t>Fillimi</w:t>
            </w:r>
          </w:p>
        </w:tc>
        <w:tc>
          <w:tcPr>
            <w:tcW w:w="798" w:type="dxa"/>
            <w:shd w:val="clear" w:color="auto" w:fill="D9D9D9" w:themeFill="background1" w:themeFillShade="D9"/>
          </w:tcPr>
          <w:p w14:paraId="48A01835" w14:textId="77777777" w:rsidR="000F0526" w:rsidRPr="001F151E" w:rsidRDefault="000F0526" w:rsidP="000C70FA">
            <w:pPr>
              <w:pStyle w:val="T-bold"/>
              <w:jc w:val="center"/>
            </w:pPr>
            <w:r>
              <w:t>Mbarimi</w:t>
            </w:r>
          </w:p>
        </w:tc>
        <w:tc>
          <w:tcPr>
            <w:tcW w:w="1781" w:type="dxa"/>
            <w:shd w:val="clear" w:color="auto" w:fill="D9D9D9" w:themeFill="background1" w:themeFillShade="D9"/>
          </w:tcPr>
          <w:p w14:paraId="40CD7EBF" w14:textId="77777777" w:rsidR="000F0526" w:rsidRPr="001F151E" w:rsidRDefault="000F0526" w:rsidP="000C70FA">
            <w:pPr>
              <w:pStyle w:val="T-bold"/>
            </w:pPr>
            <w:r>
              <w:rPr>
                <w:rStyle w:val="rynqvb"/>
              </w:rPr>
              <w:t>Grupet e interesit</w:t>
            </w:r>
          </w:p>
        </w:tc>
      </w:tr>
      <w:tr w:rsidR="000F0526" w:rsidRPr="001F151E" w14:paraId="20FE8D32" w14:textId="77777777" w:rsidTr="000C70FA">
        <w:trPr>
          <w:trHeight w:val="20"/>
        </w:trPr>
        <w:tc>
          <w:tcPr>
            <w:tcW w:w="1980" w:type="dxa"/>
            <w:shd w:val="clear" w:color="auto" w:fill="auto"/>
            <w:vAlign w:val="center"/>
          </w:tcPr>
          <w:p w14:paraId="3BED350F" w14:textId="77777777" w:rsidR="000F0526" w:rsidRPr="009D660E" w:rsidRDefault="000F0526" w:rsidP="000C70FA">
            <w:pPr>
              <w:pStyle w:val="T-bold"/>
              <w:rPr>
                <w:lang w:val="it-IT"/>
              </w:rPr>
            </w:pPr>
            <w:r w:rsidRPr="009D660E">
              <w:rPr>
                <w:lang w:val="it-IT"/>
              </w:rPr>
              <w:t xml:space="preserve">Masa 5.3.1 </w:t>
            </w:r>
            <w:r w:rsidRPr="009D660E">
              <w:rPr>
                <w:rStyle w:val="rynqvb"/>
                <w:lang w:val="it-IT"/>
              </w:rPr>
              <w:t>Rritja e bashkëpunimit me Auditimin e Brendshëm dhe KLSH</w:t>
            </w:r>
          </w:p>
        </w:tc>
        <w:tc>
          <w:tcPr>
            <w:tcW w:w="3659" w:type="dxa"/>
            <w:vAlign w:val="center"/>
          </w:tcPr>
          <w:p w14:paraId="16195F50" w14:textId="58D408E7" w:rsidR="000F0526" w:rsidRPr="00DC0AEC" w:rsidRDefault="000F0526" w:rsidP="00CD7428">
            <w:pPr>
              <w:pStyle w:val="T-number"/>
              <w:numPr>
                <w:ilvl w:val="0"/>
                <w:numId w:val="96"/>
              </w:numPr>
              <w:jc w:val="both"/>
            </w:pPr>
            <w:r w:rsidRPr="000170B3">
              <w:t>Zbatimi i MM ndërmjet Inspektimit Financiar, KLSH-së dhe auditimit të brendshëm</w:t>
            </w:r>
          </w:p>
        </w:tc>
        <w:tc>
          <w:tcPr>
            <w:tcW w:w="798" w:type="dxa"/>
            <w:vAlign w:val="center"/>
          </w:tcPr>
          <w:p w14:paraId="666A31E3" w14:textId="77777777" w:rsidR="000F0526" w:rsidRPr="001F151E" w:rsidRDefault="000F0526" w:rsidP="000C70FA">
            <w:pPr>
              <w:jc w:val="center"/>
              <w:rPr>
                <w:sz w:val="16"/>
                <w:szCs w:val="16"/>
              </w:rPr>
            </w:pPr>
            <w:r>
              <w:rPr>
                <w:sz w:val="16"/>
                <w:szCs w:val="16"/>
              </w:rPr>
              <w:t>T</w:t>
            </w:r>
            <w:r w:rsidRPr="001F151E">
              <w:rPr>
                <w:sz w:val="16"/>
                <w:szCs w:val="16"/>
              </w:rPr>
              <w:t>1 2024</w:t>
            </w:r>
          </w:p>
        </w:tc>
        <w:tc>
          <w:tcPr>
            <w:tcW w:w="798" w:type="dxa"/>
            <w:vAlign w:val="center"/>
          </w:tcPr>
          <w:p w14:paraId="1308C9A7" w14:textId="77777777" w:rsidR="000F0526" w:rsidRPr="001F151E" w:rsidRDefault="000F0526" w:rsidP="000C70FA">
            <w:pPr>
              <w:jc w:val="center"/>
              <w:rPr>
                <w:sz w:val="16"/>
                <w:szCs w:val="16"/>
              </w:rPr>
            </w:pPr>
            <w:r>
              <w:rPr>
                <w:sz w:val="16"/>
                <w:szCs w:val="16"/>
              </w:rPr>
              <w:t>T</w:t>
            </w:r>
            <w:r w:rsidRPr="001F151E">
              <w:rPr>
                <w:sz w:val="16"/>
                <w:szCs w:val="16"/>
              </w:rPr>
              <w:t>4 202</w:t>
            </w:r>
            <w:r>
              <w:rPr>
                <w:sz w:val="16"/>
                <w:szCs w:val="16"/>
              </w:rPr>
              <w:t>6</w:t>
            </w:r>
          </w:p>
        </w:tc>
        <w:tc>
          <w:tcPr>
            <w:tcW w:w="1781" w:type="dxa"/>
          </w:tcPr>
          <w:p w14:paraId="532CCCA1" w14:textId="77777777" w:rsidR="000F0526" w:rsidRPr="001F151E" w:rsidRDefault="000F0526" w:rsidP="000C70FA">
            <w:pPr>
              <w:rPr>
                <w:b/>
                <w:bCs/>
                <w:sz w:val="16"/>
                <w:szCs w:val="16"/>
              </w:rPr>
            </w:pPr>
            <w:r>
              <w:rPr>
                <w:b/>
                <w:bCs/>
                <w:sz w:val="16"/>
                <w:szCs w:val="16"/>
              </w:rPr>
              <w:t>Njësitë përgjegjëse</w:t>
            </w:r>
            <w:r w:rsidRPr="001F151E">
              <w:rPr>
                <w:b/>
                <w:bCs/>
                <w:sz w:val="16"/>
                <w:szCs w:val="16"/>
              </w:rPr>
              <w:t>:</w:t>
            </w:r>
          </w:p>
          <w:p w14:paraId="78B328D5" w14:textId="77777777" w:rsidR="000F0526" w:rsidRPr="001F151E" w:rsidRDefault="000F0526" w:rsidP="000C70FA">
            <w:pPr>
              <w:pStyle w:val="EcorysBody"/>
              <w:rPr>
                <w:rFonts w:ascii="Arial" w:hAnsi="Arial" w:cs="Arial"/>
                <w:sz w:val="16"/>
                <w:szCs w:val="16"/>
              </w:rPr>
            </w:pPr>
            <w:r w:rsidRPr="001F151E">
              <w:rPr>
                <w:rFonts w:ascii="Arial" w:hAnsi="Arial" w:cs="Arial"/>
                <w:sz w:val="16"/>
                <w:szCs w:val="16"/>
              </w:rPr>
              <w:t>D</w:t>
            </w:r>
            <w:r>
              <w:rPr>
                <w:rFonts w:ascii="Arial" w:hAnsi="Arial" w:cs="Arial"/>
                <w:sz w:val="16"/>
                <w:szCs w:val="16"/>
              </w:rPr>
              <w:t>IFP</w:t>
            </w:r>
            <w:r w:rsidRPr="001F151E">
              <w:rPr>
                <w:rFonts w:ascii="Arial" w:hAnsi="Arial" w:cs="Arial"/>
                <w:sz w:val="16"/>
                <w:szCs w:val="16"/>
              </w:rPr>
              <w:t xml:space="preserve"> (l</w:t>
            </w:r>
            <w:r>
              <w:rPr>
                <w:rFonts w:ascii="Arial" w:hAnsi="Arial" w:cs="Arial"/>
                <w:sz w:val="16"/>
                <w:szCs w:val="16"/>
              </w:rPr>
              <w:t>ider</w:t>
            </w:r>
            <w:r w:rsidRPr="001F151E">
              <w:rPr>
                <w:rFonts w:ascii="Arial" w:hAnsi="Arial" w:cs="Arial"/>
                <w:sz w:val="16"/>
                <w:szCs w:val="16"/>
              </w:rPr>
              <w:t>).</w:t>
            </w:r>
          </w:p>
          <w:p w14:paraId="0C32663F" w14:textId="77777777" w:rsidR="000F0526" w:rsidRPr="001F151E" w:rsidRDefault="000F0526" w:rsidP="000C70FA">
            <w:pPr>
              <w:pStyle w:val="EcorysBody"/>
              <w:rPr>
                <w:rFonts w:ascii="Arial" w:hAnsi="Arial" w:cs="Arial"/>
                <w:b/>
                <w:bCs/>
                <w:sz w:val="8"/>
                <w:szCs w:val="8"/>
              </w:rPr>
            </w:pPr>
          </w:p>
          <w:p w14:paraId="048943E6" w14:textId="77777777" w:rsidR="000F0526" w:rsidRPr="001F151E" w:rsidRDefault="000F0526" w:rsidP="000C70FA">
            <w:pPr>
              <w:pStyle w:val="EcorysBody"/>
              <w:rPr>
                <w:sz w:val="16"/>
                <w:szCs w:val="16"/>
              </w:rPr>
            </w:pPr>
          </w:p>
        </w:tc>
      </w:tr>
      <w:tr w:rsidR="000F0526" w:rsidRPr="001F151E" w14:paraId="315EF7C7" w14:textId="77777777" w:rsidTr="000C70FA">
        <w:trPr>
          <w:trHeight w:val="20"/>
        </w:trPr>
        <w:tc>
          <w:tcPr>
            <w:tcW w:w="1980" w:type="dxa"/>
            <w:vMerge w:val="restart"/>
            <w:shd w:val="clear" w:color="auto" w:fill="auto"/>
          </w:tcPr>
          <w:p w14:paraId="607B8B4F" w14:textId="545062C9" w:rsidR="000F0526" w:rsidRPr="009D660E" w:rsidRDefault="000F0526" w:rsidP="000C70FA">
            <w:pPr>
              <w:pStyle w:val="T-bold"/>
              <w:rPr>
                <w:lang w:val="it-IT"/>
              </w:rPr>
            </w:pPr>
            <w:r w:rsidRPr="009D660E">
              <w:rPr>
                <w:lang w:val="it-IT"/>
              </w:rPr>
              <w:t xml:space="preserve">Masa 5.3.2 </w:t>
            </w:r>
            <w:r w:rsidRPr="009D660E">
              <w:rPr>
                <w:rStyle w:val="rynqvb"/>
                <w:lang w:val="it-IT"/>
              </w:rPr>
              <w:t xml:space="preserve">Koordinimi i hartimit dhe </w:t>
            </w:r>
            <w:r w:rsidR="002E0A13" w:rsidRPr="009D660E">
              <w:rPr>
                <w:rStyle w:val="rynqvb"/>
                <w:lang w:val="it-IT"/>
              </w:rPr>
              <w:t>monitorimit</w:t>
            </w:r>
            <w:r w:rsidRPr="009D660E">
              <w:rPr>
                <w:rStyle w:val="rynqvb"/>
                <w:lang w:val="it-IT"/>
              </w:rPr>
              <w:t xml:space="preserve"> të Strategjisë Kombëtare Kundër Mashtrimit për mbrojtjen e interesave financiare të BE-së</w:t>
            </w:r>
          </w:p>
        </w:tc>
        <w:tc>
          <w:tcPr>
            <w:tcW w:w="3659" w:type="dxa"/>
          </w:tcPr>
          <w:p w14:paraId="7E9C2EDC" w14:textId="15B063BE" w:rsidR="000F0526" w:rsidRPr="009D660E" w:rsidRDefault="000F0526" w:rsidP="00CD7428">
            <w:pPr>
              <w:pStyle w:val="T-number"/>
              <w:numPr>
                <w:ilvl w:val="0"/>
                <w:numId w:val="97"/>
              </w:numPr>
              <w:jc w:val="both"/>
              <w:rPr>
                <w:lang w:val="it-IT"/>
              </w:rPr>
            </w:pPr>
            <w:r w:rsidRPr="009D660E">
              <w:rPr>
                <w:lang w:val="it-IT"/>
              </w:rPr>
              <w:t>Koordinimi i hartimit të Strategjisë Kombëtare Kundër Mashtrimit për mbrojtjen e interesave financiare të BE-së.</w:t>
            </w:r>
          </w:p>
        </w:tc>
        <w:tc>
          <w:tcPr>
            <w:tcW w:w="798" w:type="dxa"/>
            <w:vAlign w:val="center"/>
          </w:tcPr>
          <w:p w14:paraId="48BEB3F8" w14:textId="77777777" w:rsidR="000F0526" w:rsidRPr="001F151E" w:rsidRDefault="000F0526" w:rsidP="000C70FA">
            <w:pPr>
              <w:jc w:val="center"/>
              <w:rPr>
                <w:sz w:val="16"/>
                <w:szCs w:val="16"/>
              </w:rPr>
            </w:pPr>
            <w:r>
              <w:rPr>
                <w:sz w:val="16"/>
                <w:szCs w:val="16"/>
              </w:rPr>
              <w:t>T</w:t>
            </w:r>
            <w:r w:rsidRPr="001F151E">
              <w:rPr>
                <w:sz w:val="16"/>
                <w:szCs w:val="16"/>
              </w:rPr>
              <w:t>4 2023</w:t>
            </w:r>
          </w:p>
        </w:tc>
        <w:tc>
          <w:tcPr>
            <w:tcW w:w="798" w:type="dxa"/>
            <w:vAlign w:val="center"/>
          </w:tcPr>
          <w:p w14:paraId="570B0949" w14:textId="35429F60" w:rsidR="000F0526" w:rsidRPr="001F151E" w:rsidRDefault="000F0526" w:rsidP="000C70FA">
            <w:pPr>
              <w:jc w:val="center"/>
              <w:rPr>
                <w:sz w:val="16"/>
                <w:szCs w:val="16"/>
              </w:rPr>
            </w:pPr>
            <w:r>
              <w:rPr>
                <w:sz w:val="16"/>
                <w:szCs w:val="16"/>
              </w:rPr>
              <w:t>T</w:t>
            </w:r>
            <w:r w:rsidR="002E0A13">
              <w:rPr>
                <w:sz w:val="16"/>
                <w:szCs w:val="16"/>
              </w:rPr>
              <w:t>4</w:t>
            </w:r>
            <w:r w:rsidRPr="001F151E">
              <w:rPr>
                <w:sz w:val="16"/>
                <w:szCs w:val="16"/>
              </w:rPr>
              <w:t xml:space="preserve"> 2024</w:t>
            </w:r>
          </w:p>
        </w:tc>
        <w:tc>
          <w:tcPr>
            <w:tcW w:w="1781" w:type="dxa"/>
            <w:vMerge w:val="restart"/>
          </w:tcPr>
          <w:p w14:paraId="5D700757" w14:textId="77777777" w:rsidR="000F0526" w:rsidRPr="001F151E" w:rsidRDefault="000F0526" w:rsidP="000C70FA">
            <w:pPr>
              <w:rPr>
                <w:b/>
                <w:bCs/>
                <w:sz w:val="16"/>
                <w:szCs w:val="16"/>
              </w:rPr>
            </w:pPr>
            <w:r>
              <w:rPr>
                <w:b/>
                <w:bCs/>
                <w:sz w:val="16"/>
                <w:szCs w:val="16"/>
              </w:rPr>
              <w:t>Njësitë përgjegjëse</w:t>
            </w:r>
            <w:r w:rsidRPr="001F151E">
              <w:rPr>
                <w:b/>
                <w:bCs/>
                <w:sz w:val="16"/>
                <w:szCs w:val="16"/>
              </w:rPr>
              <w:t>:</w:t>
            </w:r>
          </w:p>
          <w:p w14:paraId="2DD67BEF" w14:textId="77777777" w:rsidR="000F0526" w:rsidRPr="001F151E" w:rsidRDefault="000F0526" w:rsidP="000C70FA">
            <w:pPr>
              <w:pStyle w:val="EcorysBody"/>
              <w:rPr>
                <w:rFonts w:ascii="Arial" w:hAnsi="Arial" w:cs="Arial"/>
                <w:sz w:val="16"/>
                <w:szCs w:val="16"/>
              </w:rPr>
            </w:pPr>
            <w:r w:rsidRPr="001F151E">
              <w:rPr>
                <w:rFonts w:ascii="Arial" w:hAnsi="Arial" w:cs="Arial"/>
                <w:sz w:val="16"/>
                <w:szCs w:val="16"/>
              </w:rPr>
              <w:t>D</w:t>
            </w:r>
            <w:r>
              <w:rPr>
                <w:rFonts w:ascii="Arial" w:hAnsi="Arial" w:cs="Arial"/>
                <w:sz w:val="16"/>
                <w:szCs w:val="16"/>
              </w:rPr>
              <w:t>IFP</w:t>
            </w:r>
            <w:r w:rsidRPr="001F151E">
              <w:rPr>
                <w:rFonts w:ascii="Arial" w:hAnsi="Arial" w:cs="Arial"/>
                <w:sz w:val="16"/>
                <w:szCs w:val="16"/>
              </w:rPr>
              <w:t xml:space="preserve"> (l</w:t>
            </w:r>
            <w:r>
              <w:rPr>
                <w:rFonts w:ascii="Arial" w:hAnsi="Arial" w:cs="Arial"/>
                <w:sz w:val="16"/>
                <w:szCs w:val="16"/>
              </w:rPr>
              <w:t>ider</w:t>
            </w:r>
            <w:r w:rsidRPr="001F151E">
              <w:rPr>
                <w:rFonts w:ascii="Arial" w:hAnsi="Arial" w:cs="Arial"/>
                <w:sz w:val="16"/>
                <w:szCs w:val="16"/>
              </w:rPr>
              <w:t>).</w:t>
            </w:r>
          </w:p>
          <w:p w14:paraId="185D45CF" w14:textId="77777777" w:rsidR="000F0526" w:rsidRPr="001F151E" w:rsidRDefault="000F0526" w:rsidP="000C70FA">
            <w:pPr>
              <w:pStyle w:val="EcorysBody"/>
              <w:rPr>
                <w:rFonts w:ascii="Arial" w:hAnsi="Arial" w:cs="Arial"/>
                <w:b/>
                <w:bCs/>
                <w:sz w:val="8"/>
                <w:szCs w:val="8"/>
              </w:rPr>
            </w:pPr>
          </w:p>
          <w:p w14:paraId="4D4BE2B3" w14:textId="77777777" w:rsidR="000F0526" w:rsidRPr="001F151E" w:rsidRDefault="000F0526" w:rsidP="000C70FA">
            <w:pPr>
              <w:pStyle w:val="EcorysBody"/>
              <w:rPr>
                <w:rFonts w:ascii="Arial" w:hAnsi="Arial" w:cs="Arial"/>
                <w:b/>
                <w:bCs/>
                <w:sz w:val="16"/>
                <w:szCs w:val="16"/>
              </w:rPr>
            </w:pPr>
            <w:r w:rsidRPr="001F151E">
              <w:rPr>
                <w:rFonts w:ascii="Arial" w:hAnsi="Arial" w:cs="Arial"/>
                <w:b/>
                <w:bCs/>
                <w:sz w:val="16"/>
                <w:szCs w:val="16"/>
              </w:rPr>
              <w:t>Partne</w:t>
            </w:r>
            <w:r>
              <w:rPr>
                <w:rFonts w:ascii="Arial" w:hAnsi="Arial" w:cs="Arial"/>
                <w:b/>
                <w:bCs/>
                <w:sz w:val="16"/>
                <w:szCs w:val="16"/>
              </w:rPr>
              <w:t>rët</w:t>
            </w:r>
            <w:r w:rsidRPr="001F151E">
              <w:rPr>
                <w:rFonts w:ascii="Arial" w:hAnsi="Arial" w:cs="Arial"/>
                <w:b/>
                <w:bCs/>
                <w:sz w:val="16"/>
                <w:szCs w:val="16"/>
              </w:rPr>
              <w:t>:</w:t>
            </w:r>
          </w:p>
          <w:p w14:paraId="7344D852" w14:textId="77777777" w:rsidR="000F0526" w:rsidRPr="001F151E" w:rsidRDefault="000F0526" w:rsidP="000C70FA">
            <w:pPr>
              <w:pStyle w:val="EcorysBody"/>
              <w:rPr>
                <w:rFonts w:ascii="Arial" w:hAnsi="Arial" w:cs="Arial"/>
                <w:sz w:val="16"/>
                <w:szCs w:val="16"/>
              </w:rPr>
            </w:pPr>
            <w:r>
              <w:rPr>
                <w:rFonts w:ascii="Arial" w:hAnsi="Arial" w:cs="Arial"/>
                <w:sz w:val="16"/>
                <w:szCs w:val="16"/>
              </w:rPr>
              <w:t>BE</w:t>
            </w:r>
            <w:r w:rsidRPr="001F151E">
              <w:rPr>
                <w:rFonts w:ascii="Arial" w:hAnsi="Arial" w:cs="Arial"/>
                <w:sz w:val="16"/>
                <w:szCs w:val="16"/>
              </w:rPr>
              <w:t>, SIGMA.</w:t>
            </w:r>
            <w:r w:rsidRPr="001F151E">
              <w:rPr>
                <w:rStyle w:val="FootnoteReference"/>
                <w:sz w:val="16"/>
                <w:szCs w:val="16"/>
              </w:rPr>
              <w:footnoteReference w:id="76"/>
            </w:r>
          </w:p>
          <w:p w14:paraId="332BC630" w14:textId="77777777" w:rsidR="000F0526" w:rsidRPr="001F151E" w:rsidRDefault="000F0526" w:rsidP="000C70FA">
            <w:pPr>
              <w:rPr>
                <w:sz w:val="16"/>
                <w:szCs w:val="16"/>
              </w:rPr>
            </w:pPr>
          </w:p>
        </w:tc>
      </w:tr>
      <w:tr w:rsidR="000F0526" w:rsidRPr="001F151E" w14:paraId="20E70D18" w14:textId="77777777" w:rsidTr="000C70FA">
        <w:trPr>
          <w:trHeight w:val="566"/>
        </w:trPr>
        <w:tc>
          <w:tcPr>
            <w:tcW w:w="1980" w:type="dxa"/>
            <w:vMerge/>
            <w:shd w:val="clear" w:color="auto" w:fill="auto"/>
          </w:tcPr>
          <w:p w14:paraId="23546D0E" w14:textId="77777777" w:rsidR="000F0526" w:rsidRPr="001F151E" w:rsidRDefault="000F0526" w:rsidP="000C70FA">
            <w:pPr>
              <w:pStyle w:val="T-bold"/>
            </w:pPr>
          </w:p>
        </w:tc>
        <w:tc>
          <w:tcPr>
            <w:tcW w:w="3659" w:type="dxa"/>
          </w:tcPr>
          <w:p w14:paraId="78E86ACE" w14:textId="79659278" w:rsidR="000F0526" w:rsidRPr="009D660E" w:rsidRDefault="000F0526" w:rsidP="00CD7428">
            <w:pPr>
              <w:pStyle w:val="T-number"/>
              <w:numPr>
                <w:ilvl w:val="0"/>
                <w:numId w:val="97"/>
              </w:numPr>
              <w:jc w:val="both"/>
              <w:rPr>
                <w:lang w:val="it-IT"/>
              </w:rPr>
            </w:pPr>
            <w:r w:rsidRPr="009D660E">
              <w:rPr>
                <w:lang w:val="it-IT"/>
              </w:rPr>
              <w:t>Monitorimi dhe raportimi i zbatimit të Strategjisë Kombëtare Kundër Mashtrimit.</w:t>
            </w:r>
          </w:p>
        </w:tc>
        <w:tc>
          <w:tcPr>
            <w:tcW w:w="798" w:type="dxa"/>
            <w:vAlign w:val="center"/>
          </w:tcPr>
          <w:p w14:paraId="07564DEF" w14:textId="21EE9269" w:rsidR="000F0526" w:rsidRPr="001F151E" w:rsidRDefault="000F0526" w:rsidP="000C70FA">
            <w:pPr>
              <w:jc w:val="center"/>
              <w:rPr>
                <w:sz w:val="16"/>
                <w:szCs w:val="16"/>
              </w:rPr>
            </w:pPr>
            <w:r>
              <w:rPr>
                <w:sz w:val="16"/>
                <w:szCs w:val="16"/>
              </w:rPr>
              <w:t>T</w:t>
            </w:r>
            <w:r w:rsidRPr="001F151E">
              <w:rPr>
                <w:sz w:val="16"/>
                <w:szCs w:val="16"/>
              </w:rPr>
              <w:t>1 202</w:t>
            </w:r>
            <w:r w:rsidR="002E0A13">
              <w:rPr>
                <w:sz w:val="16"/>
                <w:szCs w:val="16"/>
              </w:rPr>
              <w:t>5</w:t>
            </w:r>
            <w:r w:rsidRPr="001F151E">
              <w:rPr>
                <w:sz w:val="16"/>
                <w:szCs w:val="16"/>
              </w:rPr>
              <w:t xml:space="preserve"> </w:t>
            </w:r>
          </w:p>
        </w:tc>
        <w:tc>
          <w:tcPr>
            <w:tcW w:w="798" w:type="dxa"/>
            <w:vAlign w:val="center"/>
          </w:tcPr>
          <w:p w14:paraId="14F88F49" w14:textId="77777777" w:rsidR="000F0526" w:rsidRPr="001F151E" w:rsidRDefault="000F0526" w:rsidP="000C70FA">
            <w:pPr>
              <w:jc w:val="center"/>
              <w:rPr>
                <w:sz w:val="16"/>
                <w:szCs w:val="16"/>
              </w:rPr>
            </w:pPr>
            <w:r>
              <w:rPr>
                <w:sz w:val="16"/>
                <w:szCs w:val="16"/>
              </w:rPr>
              <w:t>T</w:t>
            </w:r>
            <w:r w:rsidRPr="001F151E">
              <w:rPr>
                <w:sz w:val="16"/>
                <w:szCs w:val="16"/>
              </w:rPr>
              <w:t>4 2026</w:t>
            </w:r>
          </w:p>
        </w:tc>
        <w:tc>
          <w:tcPr>
            <w:tcW w:w="1781" w:type="dxa"/>
            <w:vMerge/>
          </w:tcPr>
          <w:p w14:paraId="1E9DA59C" w14:textId="77777777" w:rsidR="000F0526" w:rsidRPr="001F151E" w:rsidRDefault="000F0526" w:rsidP="000C70FA">
            <w:pPr>
              <w:rPr>
                <w:sz w:val="16"/>
                <w:szCs w:val="16"/>
              </w:rPr>
            </w:pPr>
          </w:p>
        </w:tc>
      </w:tr>
    </w:tbl>
    <w:p w14:paraId="5AEE06C4" w14:textId="77777777" w:rsidR="000F0526" w:rsidRPr="001F151E" w:rsidRDefault="000F0526" w:rsidP="000F0526">
      <w:pPr>
        <w:pStyle w:val="H5"/>
        <w:rPr>
          <w:lang w:val="en-GB"/>
        </w:rPr>
      </w:pPr>
    </w:p>
    <w:p w14:paraId="78867E1E" w14:textId="77777777" w:rsidR="000F0526" w:rsidRPr="009D660E" w:rsidRDefault="000F0526" w:rsidP="000F0526">
      <w:pPr>
        <w:pStyle w:val="H5"/>
        <w:rPr>
          <w:lang w:val="it-IT"/>
        </w:rPr>
      </w:pPr>
      <w:r w:rsidRPr="009D660E">
        <w:rPr>
          <w:lang w:val="it-IT"/>
        </w:rPr>
        <w:t>Treguesit e performancës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0F0526" w:rsidRPr="001F151E" w14:paraId="5E73CD42" w14:textId="77777777" w:rsidTr="000C70FA">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3AD6" w14:textId="5CB9EA61" w:rsidR="000F0526" w:rsidRPr="001F151E" w:rsidRDefault="001C655A" w:rsidP="000C70FA">
            <w:pPr>
              <w:pStyle w:val="T-bold"/>
              <w:spacing w:line="200" w:lineRule="exact"/>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5AF9FB" w14:textId="19F54949" w:rsidR="000F0526" w:rsidRPr="001F151E" w:rsidRDefault="001C655A" w:rsidP="001C655A">
            <w:pPr>
              <w:pStyle w:val="T-bold"/>
              <w:spacing w:line="200" w:lineRule="exact"/>
              <w:jc w:val="center"/>
            </w:pPr>
            <w:r>
              <w:t>V</w:t>
            </w:r>
            <w:r w:rsidR="007B1673">
              <w:t>lera</w:t>
            </w:r>
            <w:r>
              <w:t xml:space="preserve"> bazë</w:t>
            </w:r>
            <w:r w:rsidR="000F0526" w:rsidRPr="001F151E">
              <w:t xml:space="preserve"> (</w:t>
            </w:r>
            <w:r>
              <w:t>viti</w:t>
            </w:r>
            <w:r w:rsidR="000F0526"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51503" w14:textId="2F8E0766" w:rsidR="000F0526" w:rsidRPr="001F151E" w:rsidRDefault="001C655A" w:rsidP="000C70FA">
            <w:pPr>
              <w:pStyle w:val="T-bold"/>
              <w:spacing w:line="200" w:lineRule="exact"/>
              <w:jc w:val="center"/>
            </w:pPr>
            <w:r>
              <w:t>Vlerat e synuara</w:t>
            </w:r>
          </w:p>
        </w:tc>
      </w:tr>
      <w:tr w:rsidR="000F0526" w:rsidRPr="001F151E" w14:paraId="1E2CA175" w14:textId="77777777" w:rsidTr="000C70FA">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B964D85" w14:textId="77777777" w:rsidR="000F0526" w:rsidRPr="001F151E" w:rsidRDefault="000F0526" w:rsidP="000C70FA">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028BA69" w14:textId="77777777" w:rsidR="000F0526" w:rsidRPr="001F151E" w:rsidRDefault="000F0526" w:rsidP="000C70FA">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438D7" w14:textId="77777777" w:rsidR="000F0526" w:rsidRPr="001F151E" w:rsidRDefault="000F0526" w:rsidP="000C70FA">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85831F" w14:textId="77777777" w:rsidR="000F0526" w:rsidRPr="001F151E" w:rsidRDefault="000F0526" w:rsidP="000C70FA">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40F22" w14:textId="77777777" w:rsidR="000F0526" w:rsidRPr="001F151E" w:rsidRDefault="000F0526" w:rsidP="000C70FA">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C56125" w14:textId="77777777" w:rsidR="000F0526" w:rsidRPr="001F151E" w:rsidRDefault="000F0526" w:rsidP="000C70FA">
            <w:pPr>
              <w:pStyle w:val="T-bold"/>
              <w:spacing w:line="200" w:lineRule="exact"/>
              <w:jc w:val="center"/>
            </w:pPr>
            <w:r w:rsidRPr="001F151E">
              <w:t>2026</w:t>
            </w:r>
          </w:p>
        </w:tc>
      </w:tr>
      <w:tr w:rsidR="000F0526" w:rsidRPr="001F151E" w14:paraId="3E875F4D" w14:textId="77777777" w:rsidTr="000C70FA">
        <w:tc>
          <w:tcPr>
            <w:tcW w:w="3114" w:type="dxa"/>
            <w:tcBorders>
              <w:top w:val="single" w:sz="4" w:space="0" w:color="auto"/>
              <w:left w:val="single" w:sz="4" w:space="0" w:color="auto"/>
              <w:bottom w:val="single" w:sz="4" w:space="0" w:color="auto"/>
              <w:right w:val="single" w:sz="4" w:space="0" w:color="auto"/>
            </w:tcBorders>
          </w:tcPr>
          <w:p w14:paraId="313AD740" w14:textId="0AE8F53B" w:rsidR="000F0526" w:rsidRPr="001F151E" w:rsidRDefault="000F0526" w:rsidP="00CD7428">
            <w:pPr>
              <w:pStyle w:val="ListParagraph"/>
              <w:numPr>
                <w:ilvl w:val="0"/>
                <w:numId w:val="43"/>
              </w:numPr>
              <w:spacing w:line="200" w:lineRule="exact"/>
              <w:rPr>
                <w:sz w:val="16"/>
                <w:szCs w:val="16"/>
              </w:rPr>
            </w:pPr>
            <w:r w:rsidRPr="00D34E2E">
              <w:rPr>
                <w:sz w:val="16"/>
                <w:szCs w:val="16"/>
              </w:rPr>
              <w:t>Strategjia Kombëtare Kundër Mashtrimit (</w:t>
            </w:r>
            <w:r>
              <w:rPr>
                <w:sz w:val="16"/>
                <w:szCs w:val="16"/>
              </w:rPr>
              <w:t>SKKM</w:t>
            </w:r>
            <w:r w:rsidRPr="00D34E2E">
              <w:rPr>
                <w:sz w:val="16"/>
                <w:szCs w:val="16"/>
              </w:rPr>
              <w:t>) për mbrojtjen e interesave financiare të BE-së</w:t>
            </w:r>
            <w:r>
              <w:rPr>
                <w:sz w:val="16"/>
                <w:szCs w:val="16"/>
              </w:rPr>
              <w:t xml:space="preserve"> është miratuar</w:t>
            </w:r>
            <w:r w:rsidR="002E0A13">
              <w:rPr>
                <w:sz w:val="16"/>
                <w:szCs w:val="16"/>
              </w:rPr>
              <w:t xml:space="preserve"> dhe monitoruar</w:t>
            </w:r>
            <w:r w:rsidRPr="001F151E">
              <w:rPr>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3960929C" w14:textId="77777777" w:rsidR="000F0526" w:rsidRPr="001F151E" w:rsidRDefault="000F0526" w:rsidP="000C70F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48E534C7" w14:textId="77777777" w:rsidR="000F0526" w:rsidRPr="001F151E" w:rsidRDefault="000F0526" w:rsidP="000C70FA">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1C26826C" w14:textId="77777777" w:rsidR="000F0526" w:rsidRDefault="000F0526" w:rsidP="000C70FA">
            <w:pPr>
              <w:pStyle w:val="T-normal"/>
              <w:jc w:val="center"/>
            </w:pPr>
            <w:r>
              <w:t>SKKM</w:t>
            </w:r>
          </w:p>
          <w:p w14:paraId="0C6631B2" w14:textId="77777777" w:rsidR="000F0526" w:rsidRPr="001F151E" w:rsidRDefault="000F0526" w:rsidP="000C70FA">
            <w:pPr>
              <w:pStyle w:val="T-normal"/>
              <w:jc w:val="center"/>
            </w:pPr>
            <w:r>
              <w:t>Përgatitur/ miratuar</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78D1F94" w14:textId="77777777" w:rsidR="000F0526" w:rsidRDefault="000F0526" w:rsidP="000C70FA">
            <w:pPr>
              <w:pStyle w:val="T-normal"/>
              <w:jc w:val="center"/>
            </w:pPr>
            <w:r>
              <w:t>SKKM</w:t>
            </w:r>
          </w:p>
          <w:p w14:paraId="0C014729" w14:textId="3B20B6B8" w:rsidR="000F0526" w:rsidRPr="001F151E" w:rsidRDefault="002E0A13" w:rsidP="000C70FA">
            <w:pPr>
              <w:pStyle w:val="T-normal"/>
              <w:jc w:val="center"/>
            </w:pPr>
            <w:r>
              <w:t>raportuar dhe monitoruar</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2813B3EE" w14:textId="77777777" w:rsidR="000F0526" w:rsidRDefault="000F0526" w:rsidP="000C70FA">
            <w:pPr>
              <w:pStyle w:val="T-normal"/>
              <w:jc w:val="center"/>
            </w:pPr>
            <w:r>
              <w:t>SKKM</w:t>
            </w:r>
          </w:p>
          <w:p w14:paraId="16EA889B" w14:textId="63D7F01D" w:rsidR="000F0526" w:rsidRPr="001F151E" w:rsidRDefault="000F0526" w:rsidP="000C70FA">
            <w:pPr>
              <w:pStyle w:val="T-normal"/>
              <w:jc w:val="center"/>
            </w:pPr>
            <w:r w:rsidRPr="008B2197">
              <w:t xml:space="preserve"> </w:t>
            </w:r>
            <w:r w:rsidR="002E0A13">
              <w:t>raportuar dhe monitoruar</w:t>
            </w:r>
          </w:p>
        </w:tc>
      </w:tr>
    </w:tbl>
    <w:p w14:paraId="6A5FE144" w14:textId="77777777" w:rsidR="000F0526" w:rsidRDefault="000F0526" w:rsidP="000F0526">
      <w:pPr>
        <w:spacing w:after="160" w:line="259" w:lineRule="auto"/>
        <w:rPr>
          <w:rFonts w:cstheme="majorBidi"/>
          <w:iCs/>
          <w:color w:val="0070C0"/>
          <w:sz w:val="22"/>
          <w:szCs w:val="22"/>
          <w:lang w:val="en-GB"/>
        </w:rPr>
      </w:pPr>
    </w:p>
    <w:p w14:paraId="7B51D4CD" w14:textId="77777777" w:rsidR="000F0526" w:rsidRPr="001F151E" w:rsidRDefault="000F0526" w:rsidP="000F0526">
      <w:pPr>
        <w:pStyle w:val="Heading2"/>
        <w:rPr>
          <w:rFonts w:eastAsiaTheme="minorHAnsi"/>
          <w:lang w:val="en-GB"/>
        </w:rPr>
      </w:pPr>
      <w:bookmarkStart w:id="58" w:name="_Toc161748836"/>
      <w:r>
        <w:rPr>
          <w:rFonts w:eastAsiaTheme="minorHAnsi"/>
          <w:lang w:val="en-GB"/>
        </w:rPr>
        <w:t>K</w:t>
      </w:r>
      <w:r w:rsidRPr="001F151E">
        <w:rPr>
          <w:rFonts w:eastAsiaTheme="minorHAnsi"/>
          <w:lang w:val="en-GB"/>
        </w:rPr>
        <w:t xml:space="preserve">omponent 5.4 </w:t>
      </w:r>
      <w:bookmarkEnd w:id="57"/>
      <w:r>
        <w:rPr>
          <w:rFonts w:eastAsiaTheme="minorHAnsi"/>
          <w:lang w:val="en-GB"/>
        </w:rPr>
        <w:t>Menaxhimi i fondeve të BE-së</w:t>
      </w:r>
      <w:bookmarkEnd w:id="58"/>
    </w:p>
    <w:p w14:paraId="0D5DBA48" w14:textId="77777777" w:rsidR="000F0526" w:rsidRPr="001F151E" w:rsidRDefault="000F0526" w:rsidP="000F0526">
      <w:pPr>
        <w:rPr>
          <w:lang w:val="en-GB"/>
        </w:rPr>
      </w:pPr>
    </w:p>
    <w:p w14:paraId="5FC00EBB" w14:textId="77777777" w:rsidR="000F0526" w:rsidRPr="001F151E" w:rsidRDefault="000F0526" w:rsidP="000F0526">
      <w:pPr>
        <w:pStyle w:val="H5"/>
        <w:spacing w:line="276" w:lineRule="auto"/>
        <w:jc w:val="both"/>
        <w:rPr>
          <w:lang w:val="en-GB"/>
        </w:rPr>
      </w:pPr>
      <w:r w:rsidRPr="001F151E">
        <w:rPr>
          <w:lang w:val="en-GB"/>
        </w:rPr>
        <w:t>Obje</w:t>
      </w:r>
      <w:r>
        <w:rPr>
          <w:lang w:val="en-GB"/>
        </w:rPr>
        <w:t>ktivi</w:t>
      </w:r>
    </w:p>
    <w:p w14:paraId="66020D13" w14:textId="77777777" w:rsidR="000F0526" w:rsidRPr="001F151E" w:rsidRDefault="000F0526" w:rsidP="000F0526">
      <w:pPr>
        <w:pStyle w:val="NormalPFM1"/>
        <w:spacing w:line="276" w:lineRule="auto"/>
        <w:rPr>
          <w:rFonts w:ascii="Arial" w:hAnsi="Arial" w:cs="Arial"/>
          <w:sz w:val="18"/>
          <w:szCs w:val="18"/>
        </w:rPr>
      </w:pPr>
      <w:r w:rsidRPr="00F664B4">
        <w:rPr>
          <w:rFonts w:ascii="Arial" w:hAnsi="Arial" w:cs="Arial"/>
          <w:sz w:val="18"/>
          <w:szCs w:val="18"/>
        </w:rPr>
        <w:t xml:space="preserve">Synimi për vitin 2030 është që të ketë sisteme </w:t>
      </w:r>
      <w:r>
        <w:rPr>
          <w:rFonts w:ascii="Arial" w:hAnsi="Arial" w:cs="Arial"/>
          <w:sz w:val="18"/>
          <w:szCs w:val="18"/>
        </w:rPr>
        <w:t>të përshtatshme të</w:t>
      </w:r>
      <w:r w:rsidRPr="00F664B4">
        <w:rPr>
          <w:rFonts w:ascii="Arial" w:hAnsi="Arial" w:cs="Arial"/>
          <w:sz w:val="18"/>
          <w:szCs w:val="18"/>
        </w:rPr>
        <w:t xml:space="preserve"> MFP në përputhje me kërkesat e BE-së për menaxhim të shëndoshë financiar, në mënyrë që të </w:t>
      </w:r>
      <w:r>
        <w:rPr>
          <w:rFonts w:ascii="Arial" w:hAnsi="Arial" w:cs="Arial"/>
          <w:sz w:val="18"/>
          <w:szCs w:val="18"/>
        </w:rPr>
        <w:t>përthithen</w:t>
      </w:r>
      <w:r w:rsidRPr="00F664B4">
        <w:rPr>
          <w:rFonts w:ascii="Arial" w:hAnsi="Arial" w:cs="Arial"/>
          <w:sz w:val="18"/>
          <w:szCs w:val="18"/>
        </w:rPr>
        <w:t xml:space="preserve"> në mënyrë efektive fondet e BE-së</w:t>
      </w:r>
      <w:r w:rsidRPr="001F151E">
        <w:rPr>
          <w:rFonts w:ascii="Arial" w:hAnsi="Arial" w:cs="Arial"/>
          <w:sz w:val="18"/>
          <w:szCs w:val="18"/>
        </w:rPr>
        <w:t xml:space="preserve">. </w:t>
      </w:r>
    </w:p>
    <w:p w14:paraId="77BC7661" w14:textId="77777777" w:rsidR="000F0526" w:rsidRPr="001F151E" w:rsidRDefault="000F0526" w:rsidP="000F0526">
      <w:pPr>
        <w:pStyle w:val="NormalPFM1"/>
        <w:spacing w:line="276" w:lineRule="auto"/>
        <w:rPr>
          <w:rFonts w:ascii="Arial" w:hAnsi="Arial" w:cs="Arial"/>
          <w:sz w:val="18"/>
          <w:szCs w:val="18"/>
        </w:rPr>
      </w:pPr>
    </w:p>
    <w:p w14:paraId="14165756" w14:textId="77777777" w:rsidR="000F0526" w:rsidRPr="001F151E" w:rsidRDefault="000F0526" w:rsidP="000F0526">
      <w:pPr>
        <w:pStyle w:val="H5"/>
        <w:spacing w:line="276" w:lineRule="auto"/>
        <w:jc w:val="both"/>
        <w:rPr>
          <w:lang w:val="en-GB"/>
        </w:rPr>
      </w:pPr>
      <w:r>
        <w:rPr>
          <w:lang w:val="en-GB"/>
        </w:rPr>
        <w:t>Konteksti</w:t>
      </w:r>
    </w:p>
    <w:p w14:paraId="38212787" w14:textId="30A8E0D0" w:rsidR="000F0526" w:rsidRPr="001F151E" w:rsidRDefault="000F0526" w:rsidP="000F0526">
      <w:pPr>
        <w:spacing w:line="276" w:lineRule="auto"/>
        <w:jc w:val="both"/>
        <w:rPr>
          <w:lang w:val="en-GB"/>
        </w:rPr>
      </w:pPr>
      <w:r>
        <w:rPr>
          <w:rStyle w:val="rynqvb"/>
        </w:rPr>
        <w:t>Konferenca e parë Ndërqeveritare për negociatat e anëtarësimit me Shqipërinë u zhvillua më 19 korrik 2022 dhe ‘shqyrtimi’ nisi në të njëjtën datë.</w:t>
      </w:r>
      <w:r>
        <w:rPr>
          <w:rStyle w:val="hwtze"/>
        </w:rPr>
        <w:t xml:space="preserve"> </w:t>
      </w:r>
      <w:r>
        <w:rPr>
          <w:rStyle w:val="rynqvb"/>
        </w:rPr>
        <w:t>Shqipëria po merr ndihmë financiare në kuadër të IPA III, ku objektivi kryesor është të mbështesë përfituesit në miratimin dhe zbatimin e reformave politike, institucionale, ligjore, administrative, sociale dhe ekonomike që kërkohen për të përmbushur vlerat e Bashkimit.</w:t>
      </w:r>
      <w:r>
        <w:rPr>
          <w:rStyle w:val="hwtze"/>
        </w:rPr>
        <w:t xml:space="preserve"> </w:t>
      </w:r>
      <w:r>
        <w:rPr>
          <w:rStyle w:val="rynqvb"/>
        </w:rPr>
        <w:t>Shumë etapa të rëndësishme janë përfunduar deri më tani, si ratifikimi i “Marrëveshjes Kornizë Financiare të Partneritetit ndërmjet Komisionit Europian dhe Republikës së Shqipërisë”, për IPA III”</w:t>
      </w:r>
      <w:r w:rsidRPr="00A862AF">
        <w:rPr>
          <w:rStyle w:val="FootnoteReference"/>
        </w:rPr>
        <w:t xml:space="preserve"> </w:t>
      </w:r>
      <w:r>
        <w:rPr>
          <w:rStyle w:val="FootnoteReference"/>
        </w:rPr>
        <w:footnoteReference w:id="77"/>
      </w:r>
      <w:r>
        <w:rPr>
          <w:rStyle w:val="rynqvb"/>
        </w:rPr>
        <w:t xml:space="preserve"> dhe manualet e procedurave që do t’i dorëzohen së shpejti Komisionit Europian.</w:t>
      </w:r>
      <w:r w:rsidRPr="001F151E">
        <w:rPr>
          <w:lang w:val="en-GB"/>
        </w:rPr>
        <w:t xml:space="preserve"> </w:t>
      </w:r>
      <w:r w:rsidRPr="0005699D">
        <w:rPr>
          <w:lang w:val="en-GB"/>
        </w:rPr>
        <w:t xml:space="preserve">Meqenëse asistenca IPA III zbatohet nëpërmjet metodave të ndryshme si menaxhimi i drejtpërdrejtë, menaxhimi indirekt dhe menaxhimi i përbashkët, Shqipëria do të duhet të përgatitet të </w:t>
      </w:r>
      <w:r>
        <w:rPr>
          <w:lang w:val="en-GB"/>
        </w:rPr>
        <w:t>për</w:t>
      </w:r>
      <w:r w:rsidRPr="0005699D">
        <w:rPr>
          <w:lang w:val="en-GB"/>
        </w:rPr>
        <w:t xml:space="preserve">thithë financimin e marrë duke krijuar dhe forcuar kapacitetet administrative dhe institucionale. </w:t>
      </w:r>
      <w:r>
        <w:rPr>
          <w:lang w:val="en-GB"/>
        </w:rPr>
        <w:t>Rritja e</w:t>
      </w:r>
      <w:r w:rsidRPr="0005699D">
        <w:rPr>
          <w:lang w:val="en-GB"/>
        </w:rPr>
        <w:t xml:space="preserve"> burimeve shtesë aty ku nevojiten dhe ngritja e kapaciteteve të stafit do të jetë një nga prioritetet e strukturave të përfshira në trajtimin e IPA III. </w:t>
      </w:r>
    </w:p>
    <w:p w14:paraId="6AF6431A" w14:textId="77777777" w:rsidR="000F0526" w:rsidRPr="001F151E" w:rsidRDefault="000F0526" w:rsidP="000F0526">
      <w:pPr>
        <w:spacing w:line="276" w:lineRule="auto"/>
        <w:jc w:val="both"/>
        <w:rPr>
          <w:highlight w:val="yellow"/>
          <w:lang w:val="en-GB"/>
        </w:rPr>
      </w:pPr>
    </w:p>
    <w:p w14:paraId="04792D37" w14:textId="77777777" w:rsidR="000F0526" w:rsidRPr="001F151E" w:rsidRDefault="000F0526" w:rsidP="000F0526">
      <w:pPr>
        <w:pStyle w:val="H5"/>
        <w:spacing w:line="276" w:lineRule="auto"/>
        <w:jc w:val="both"/>
        <w:rPr>
          <w:lang w:val="en-GB"/>
        </w:rPr>
      </w:pPr>
      <w:r w:rsidRPr="001F151E">
        <w:rPr>
          <w:lang w:val="en-GB"/>
        </w:rPr>
        <w:t>Priorit</w:t>
      </w:r>
      <w:r>
        <w:rPr>
          <w:lang w:val="en-GB"/>
        </w:rPr>
        <w:t>etet</w:t>
      </w:r>
    </w:p>
    <w:p w14:paraId="37C858B2" w14:textId="77777777" w:rsidR="000F0526" w:rsidRPr="0005699D" w:rsidRDefault="000F0526" w:rsidP="000F0526">
      <w:pPr>
        <w:spacing w:line="276" w:lineRule="auto"/>
        <w:jc w:val="both"/>
        <w:rPr>
          <w:lang w:val="en-GB"/>
        </w:rPr>
      </w:pPr>
      <w:r w:rsidRPr="0005699D">
        <w:rPr>
          <w:lang w:val="en-GB"/>
        </w:rPr>
        <w:t>Prioritetet për periudhën 2023-2026 janë:</w:t>
      </w:r>
    </w:p>
    <w:p w14:paraId="1BFF639B" w14:textId="77777777" w:rsidR="000F0526" w:rsidRPr="0005699D" w:rsidRDefault="000F0526" w:rsidP="000F0526">
      <w:pPr>
        <w:pStyle w:val="ListParagraph"/>
        <w:numPr>
          <w:ilvl w:val="0"/>
          <w:numId w:val="2"/>
        </w:numPr>
        <w:spacing w:line="276" w:lineRule="auto"/>
        <w:jc w:val="both"/>
        <w:rPr>
          <w:lang w:val="en-GB"/>
        </w:rPr>
      </w:pPr>
      <w:r w:rsidRPr="0005699D">
        <w:rPr>
          <w:lang w:val="en-GB"/>
        </w:rPr>
        <w:t>Zhvillimi dhe krijimi i kuadrit institucional dhe rregullator IPA III dhe rritja e kapaciteteve të burimeve njerëzore për të zbatuar IPA III.</w:t>
      </w:r>
    </w:p>
    <w:p w14:paraId="2F9CFAF7" w14:textId="77777777" w:rsidR="000F0526" w:rsidRPr="001F151E" w:rsidRDefault="000F0526" w:rsidP="000F0526">
      <w:pPr>
        <w:pStyle w:val="ListParagraph"/>
        <w:numPr>
          <w:ilvl w:val="0"/>
          <w:numId w:val="2"/>
        </w:numPr>
        <w:spacing w:line="276" w:lineRule="auto"/>
        <w:jc w:val="both"/>
        <w:rPr>
          <w:lang w:val="en-GB"/>
        </w:rPr>
      </w:pPr>
      <w:r w:rsidRPr="0005699D">
        <w:rPr>
          <w:lang w:val="en-GB"/>
        </w:rPr>
        <w:t xml:space="preserve">Përgatitja për përthithjen e fondeve të ardhshme të BE-së duke identifikuar </w:t>
      </w:r>
      <w:r>
        <w:rPr>
          <w:lang w:val="en-GB"/>
        </w:rPr>
        <w:t>alternativat</w:t>
      </w:r>
      <w:r w:rsidRPr="0005699D">
        <w:rPr>
          <w:lang w:val="en-GB"/>
        </w:rPr>
        <w:t xml:space="preserve"> e menaxhimit dhe duke i bërë sistemet e menaxhimit të fondeve të përshtatshme për qëllimin</w:t>
      </w:r>
      <w:r>
        <w:rPr>
          <w:lang w:val="en-GB"/>
        </w:rPr>
        <w:t>.</w:t>
      </w:r>
    </w:p>
    <w:p w14:paraId="34549E69" w14:textId="77777777" w:rsidR="000F0526" w:rsidRPr="001F151E" w:rsidRDefault="000F0526" w:rsidP="000F0526">
      <w:pPr>
        <w:pStyle w:val="EcorysBody"/>
        <w:rPr>
          <w:rFonts w:ascii="Arial" w:hAnsi="Arial" w:cs="Arial"/>
          <w:color w:val="FF0000"/>
          <w:lang w:val="en-GB"/>
        </w:rPr>
      </w:pPr>
    </w:p>
    <w:p w14:paraId="2D4E0354" w14:textId="77777777" w:rsidR="000F0526" w:rsidRPr="001F151E" w:rsidRDefault="000F0526" w:rsidP="000F0526">
      <w:pPr>
        <w:pStyle w:val="H5"/>
        <w:rPr>
          <w:lang w:val="en-GB"/>
        </w:rPr>
      </w:pPr>
      <w:r>
        <w:rPr>
          <w:rStyle w:val="rynqv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80"/>
        <w:gridCol w:w="3659"/>
        <w:gridCol w:w="798"/>
        <w:gridCol w:w="798"/>
        <w:gridCol w:w="1781"/>
      </w:tblGrid>
      <w:tr w:rsidR="000F0526" w:rsidRPr="001F151E" w14:paraId="4D0AF2FE" w14:textId="77777777" w:rsidTr="000C70FA">
        <w:trPr>
          <w:cantSplit/>
          <w:trHeight w:val="20"/>
          <w:tblHeader/>
        </w:trPr>
        <w:tc>
          <w:tcPr>
            <w:tcW w:w="1980" w:type="dxa"/>
            <w:shd w:val="clear" w:color="auto" w:fill="D9D9D9" w:themeFill="background1" w:themeFillShade="D9"/>
          </w:tcPr>
          <w:p w14:paraId="24E2778C" w14:textId="77777777" w:rsidR="000F0526" w:rsidRPr="001F151E" w:rsidRDefault="000F0526" w:rsidP="000C70FA">
            <w:pPr>
              <w:pStyle w:val="T-bold"/>
            </w:pPr>
            <w:r>
              <w:t>Masa</w:t>
            </w:r>
          </w:p>
        </w:tc>
        <w:tc>
          <w:tcPr>
            <w:tcW w:w="3659" w:type="dxa"/>
            <w:shd w:val="clear" w:color="auto" w:fill="D9D9D9" w:themeFill="background1" w:themeFillShade="D9"/>
          </w:tcPr>
          <w:p w14:paraId="1F10FB05" w14:textId="77777777" w:rsidR="000F0526" w:rsidRPr="001F151E" w:rsidRDefault="000F0526" w:rsidP="000C70FA">
            <w:pPr>
              <w:pStyle w:val="T-bold"/>
            </w:pPr>
            <w:r w:rsidRPr="001F151E">
              <w:t>A</w:t>
            </w:r>
            <w:r>
              <w:t>ktiviteti</w:t>
            </w:r>
          </w:p>
        </w:tc>
        <w:tc>
          <w:tcPr>
            <w:tcW w:w="798" w:type="dxa"/>
            <w:shd w:val="clear" w:color="auto" w:fill="D9D9D9" w:themeFill="background1" w:themeFillShade="D9"/>
          </w:tcPr>
          <w:p w14:paraId="697ABB64" w14:textId="77777777" w:rsidR="000F0526" w:rsidRPr="001F151E" w:rsidRDefault="000F0526" w:rsidP="000C70FA">
            <w:pPr>
              <w:pStyle w:val="T-bold"/>
              <w:jc w:val="center"/>
            </w:pPr>
            <w:r>
              <w:t>Fillimi</w:t>
            </w:r>
          </w:p>
        </w:tc>
        <w:tc>
          <w:tcPr>
            <w:tcW w:w="798" w:type="dxa"/>
            <w:shd w:val="clear" w:color="auto" w:fill="D9D9D9" w:themeFill="background1" w:themeFillShade="D9"/>
          </w:tcPr>
          <w:p w14:paraId="2473DD99" w14:textId="77777777" w:rsidR="000F0526" w:rsidRPr="001F151E" w:rsidRDefault="000F0526" w:rsidP="000C70FA">
            <w:pPr>
              <w:pStyle w:val="T-bold"/>
              <w:jc w:val="center"/>
            </w:pPr>
            <w:r>
              <w:t>Mbarimi</w:t>
            </w:r>
          </w:p>
        </w:tc>
        <w:tc>
          <w:tcPr>
            <w:tcW w:w="1781" w:type="dxa"/>
            <w:shd w:val="clear" w:color="auto" w:fill="D9D9D9" w:themeFill="background1" w:themeFillShade="D9"/>
          </w:tcPr>
          <w:p w14:paraId="0C08EA23" w14:textId="77777777" w:rsidR="000F0526" w:rsidRPr="001F151E" w:rsidRDefault="000F0526" w:rsidP="000C70FA">
            <w:pPr>
              <w:pStyle w:val="T-bold"/>
            </w:pPr>
            <w:r>
              <w:rPr>
                <w:rStyle w:val="rynqvb"/>
              </w:rPr>
              <w:t>Grupet e interesit</w:t>
            </w:r>
          </w:p>
        </w:tc>
      </w:tr>
      <w:tr w:rsidR="000F0526" w:rsidRPr="001F151E" w14:paraId="2B79061F" w14:textId="77777777" w:rsidTr="000C70FA">
        <w:trPr>
          <w:trHeight w:val="464"/>
        </w:trPr>
        <w:tc>
          <w:tcPr>
            <w:tcW w:w="1980" w:type="dxa"/>
            <w:shd w:val="clear" w:color="auto" w:fill="auto"/>
          </w:tcPr>
          <w:p w14:paraId="3818CF8B" w14:textId="77777777" w:rsidR="000F0526" w:rsidRPr="001F151E" w:rsidRDefault="000F0526" w:rsidP="000C70FA">
            <w:pPr>
              <w:pStyle w:val="T-bold"/>
            </w:pPr>
            <w:r w:rsidRPr="006D4509">
              <w:t>Masa</w:t>
            </w:r>
            <w:r w:rsidRPr="001F151E">
              <w:t xml:space="preserve"> 5.4.1 </w:t>
            </w:r>
            <w:r>
              <w:rPr>
                <w:rStyle w:val="rynqvb"/>
              </w:rPr>
              <w:t>Krijimi i kuadrit ligjor IPA III</w:t>
            </w:r>
          </w:p>
        </w:tc>
        <w:tc>
          <w:tcPr>
            <w:tcW w:w="3659" w:type="dxa"/>
          </w:tcPr>
          <w:p w14:paraId="2ADED619" w14:textId="4D225B43" w:rsidR="000F0526" w:rsidRPr="00187239" w:rsidRDefault="000F0526" w:rsidP="00CD7428">
            <w:pPr>
              <w:pStyle w:val="T-number"/>
              <w:numPr>
                <w:ilvl w:val="0"/>
                <w:numId w:val="98"/>
              </w:numPr>
              <w:jc w:val="both"/>
            </w:pPr>
            <w:r w:rsidRPr="00187239">
              <w:t>Përgatitja dhe miratimi i Vendimit të Këshillit të Ministrave për përcaktimin e funksioneve, përgjegjësive dhe marrëdhënieve ndërmjet autoriteteve dhe strukturave për menaxhimin indirekt të asistencës financiare të BE-së në kuadër të Instrumentit të Asistencës së Para-Aderimit 2021 – 2027 (IPA III).</w:t>
            </w:r>
          </w:p>
        </w:tc>
        <w:tc>
          <w:tcPr>
            <w:tcW w:w="798" w:type="dxa"/>
            <w:vAlign w:val="center"/>
          </w:tcPr>
          <w:p w14:paraId="41C84550" w14:textId="77777777" w:rsidR="000F0526" w:rsidRPr="001F151E" w:rsidRDefault="000F0526" w:rsidP="000C70FA">
            <w:pPr>
              <w:jc w:val="center"/>
              <w:rPr>
                <w:sz w:val="16"/>
                <w:szCs w:val="16"/>
              </w:rPr>
            </w:pPr>
            <w:r>
              <w:rPr>
                <w:sz w:val="16"/>
                <w:szCs w:val="16"/>
              </w:rPr>
              <w:t>T</w:t>
            </w:r>
            <w:r w:rsidRPr="001F151E">
              <w:rPr>
                <w:sz w:val="16"/>
                <w:szCs w:val="16"/>
              </w:rPr>
              <w:t>1 2023</w:t>
            </w:r>
          </w:p>
        </w:tc>
        <w:tc>
          <w:tcPr>
            <w:tcW w:w="798" w:type="dxa"/>
            <w:vAlign w:val="center"/>
          </w:tcPr>
          <w:p w14:paraId="3B17EBCC" w14:textId="77777777" w:rsidR="000F0526" w:rsidRPr="001F151E" w:rsidRDefault="000F0526" w:rsidP="000C70FA">
            <w:pPr>
              <w:jc w:val="center"/>
              <w:rPr>
                <w:sz w:val="16"/>
                <w:szCs w:val="16"/>
              </w:rPr>
            </w:pPr>
            <w:r>
              <w:rPr>
                <w:sz w:val="16"/>
                <w:szCs w:val="16"/>
              </w:rPr>
              <w:t>T</w:t>
            </w:r>
            <w:r w:rsidRPr="001F151E">
              <w:rPr>
                <w:sz w:val="16"/>
                <w:szCs w:val="16"/>
              </w:rPr>
              <w:t>4 2023</w:t>
            </w:r>
          </w:p>
        </w:tc>
        <w:tc>
          <w:tcPr>
            <w:tcW w:w="1781" w:type="dxa"/>
          </w:tcPr>
          <w:p w14:paraId="1FBDD3DE" w14:textId="77777777" w:rsidR="000F0526" w:rsidRPr="00187239" w:rsidRDefault="000F0526" w:rsidP="000C70FA">
            <w:pPr>
              <w:rPr>
                <w:b/>
                <w:bCs/>
                <w:sz w:val="16"/>
                <w:szCs w:val="16"/>
              </w:rPr>
            </w:pPr>
            <w:r w:rsidRPr="00187239">
              <w:rPr>
                <w:b/>
                <w:bCs/>
                <w:sz w:val="16"/>
                <w:szCs w:val="16"/>
              </w:rPr>
              <w:t>Njësitë përgjegjëse:</w:t>
            </w:r>
          </w:p>
          <w:p w14:paraId="5075AE8F" w14:textId="77777777" w:rsidR="000F0526" w:rsidRPr="00187239" w:rsidRDefault="000F0526" w:rsidP="000C70FA">
            <w:pPr>
              <w:pStyle w:val="EcorysBody"/>
              <w:rPr>
                <w:rFonts w:ascii="Arial" w:hAnsi="Arial" w:cs="Arial"/>
                <w:sz w:val="16"/>
                <w:szCs w:val="16"/>
              </w:rPr>
            </w:pPr>
            <w:r w:rsidRPr="00187239">
              <w:rPr>
                <w:rFonts w:ascii="Arial" w:hAnsi="Arial" w:cs="Arial"/>
                <w:sz w:val="16"/>
                <w:szCs w:val="16"/>
              </w:rPr>
              <w:t>SASPAC (lider),</w:t>
            </w:r>
          </w:p>
          <w:p w14:paraId="6E325279" w14:textId="648EBBF8" w:rsidR="000F0526" w:rsidRPr="00187239" w:rsidRDefault="000F0526" w:rsidP="000C70FA">
            <w:pPr>
              <w:pStyle w:val="EcorysBody"/>
              <w:rPr>
                <w:rFonts w:ascii="Arial" w:hAnsi="Arial" w:cs="Arial"/>
                <w:sz w:val="16"/>
                <w:szCs w:val="16"/>
              </w:rPr>
            </w:pPr>
            <w:r w:rsidRPr="00187239">
              <w:rPr>
                <w:rFonts w:ascii="Arial" w:hAnsi="Arial" w:cs="Arial"/>
                <w:sz w:val="16"/>
                <w:szCs w:val="16"/>
              </w:rPr>
              <w:t xml:space="preserve">Zyra Mbështetëse e ZKA, </w:t>
            </w:r>
            <w:r w:rsidR="00187239">
              <w:rPr>
                <w:rFonts w:ascii="Arial" w:hAnsi="Arial" w:cs="Arial"/>
                <w:sz w:val="16"/>
                <w:szCs w:val="16"/>
              </w:rPr>
              <w:t>DPFK (CFCU)</w:t>
            </w:r>
            <w:r w:rsidR="00E24A29">
              <w:rPr>
                <w:rFonts w:ascii="Arial" w:hAnsi="Arial" w:cs="Arial"/>
                <w:sz w:val="16"/>
                <w:szCs w:val="16"/>
              </w:rPr>
              <w:t>.</w:t>
            </w:r>
            <w:r w:rsidRPr="00187239">
              <w:rPr>
                <w:rFonts w:ascii="Arial" w:hAnsi="Arial" w:cs="Arial"/>
                <w:sz w:val="16"/>
                <w:szCs w:val="16"/>
              </w:rPr>
              <w:t xml:space="preserve">  </w:t>
            </w:r>
          </w:p>
          <w:p w14:paraId="1B92E0FF" w14:textId="77777777" w:rsidR="000F0526" w:rsidRPr="00187239" w:rsidRDefault="000F0526" w:rsidP="000C70FA">
            <w:pPr>
              <w:pStyle w:val="EcorysBody"/>
              <w:rPr>
                <w:rFonts w:ascii="Arial" w:hAnsi="Arial" w:cs="Arial"/>
                <w:sz w:val="16"/>
                <w:szCs w:val="16"/>
              </w:rPr>
            </w:pPr>
          </w:p>
          <w:p w14:paraId="6CCE65FC" w14:textId="77777777" w:rsidR="000F0526" w:rsidRPr="00187239" w:rsidRDefault="000F0526" w:rsidP="000C70FA">
            <w:pPr>
              <w:pStyle w:val="EcorysBody"/>
              <w:rPr>
                <w:rFonts w:ascii="Arial" w:hAnsi="Arial" w:cs="Arial"/>
                <w:b/>
                <w:bCs/>
                <w:sz w:val="16"/>
                <w:szCs w:val="16"/>
              </w:rPr>
            </w:pPr>
            <w:r w:rsidRPr="00187239">
              <w:rPr>
                <w:rFonts w:ascii="Arial" w:hAnsi="Arial" w:cs="Arial"/>
                <w:b/>
                <w:bCs/>
                <w:sz w:val="16"/>
                <w:szCs w:val="16"/>
              </w:rPr>
              <w:t>Partnerët:</w:t>
            </w:r>
          </w:p>
          <w:p w14:paraId="452B5C19" w14:textId="77777777" w:rsidR="000F0526" w:rsidRPr="00187239" w:rsidRDefault="000F0526" w:rsidP="000C70FA">
            <w:pPr>
              <w:rPr>
                <w:sz w:val="16"/>
                <w:szCs w:val="16"/>
              </w:rPr>
            </w:pPr>
            <w:r w:rsidRPr="00187239">
              <w:rPr>
                <w:sz w:val="16"/>
                <w:szCs w:val="16"/>
              </w:rPr>
              <w:t>DBE</w:t>
            </w:r>
          </w:p>
        </w:tc>
      </w:tr>
      <w:tr w:rsidR="000F0526" w:rsidRPr="001F151E" w14:paraId="462F90E8" w14:textId="77777777" w:rsidTr="000C70FA">
        <w:trPr>
          <w:trHeight w:val="1037"/>
        </w:trPr>
        <w:tc>
          <w:tcPr>
            <w:tcW w:w="1980" w:type="dxa"/>
            <w:vMerge w:val="restart"/>
            <w:shd w:val="clear" w:color="auto" w:fill="auto"/>
          </w:tcPr>
          <w:p w14:paraId="5CECA156" w14:textId="77777777" w:rsidR="000F0526" w:rsidRPr="009D660E" w:rsidRDefault="000F0526" w:rsidP="000C70FA">
            <w:pPr>
              <w:pStyle w:val="T-bold"/>
              <w:rPr>
                <w:lang w:val="it-IT"/>
              </w:rPr>
            </w:pPr>
            <w:r w:rsidRPr="009D660E">
              <w:rPr>
                <w:lang w:val="it-IT"/>
              </w:rPr>
              <w:t>Masa 5.4.2 Zhvillimi dhe zbatimi i rregulloreve, procedurave për menaxhimin e IPA III dhe rritja e kapaciteteve të strukturave të IPA III</w:t>
            </w:r>
          </w:p>
        </w:tc>
        <w:tc>
          <w:tcPr>
            <w:tcW w:w="3659" w:type="dxa"/>
          </w:tcPr>
          <w:p w14:paraId="7CF6446B" w14:textId="5461F2D2" w:rsidR="000F0526" w:rsidRPr="009D660E" w:rsidRDefault="000F0526" w:rsidP="00CD7428">
            <w:pPr>
              <w:pStyle w:val="T-number"/>
              <w:numPr>
                <w:ilvl w:val="0"/>
                <w:numId w:val="99"/>
              </w:numPr>
              <w:jc w:val="both"/>
              <w:rPr>
                <w:lang w:val="it-IT"/>
              </w:rPr>
            </w:pPr>
            <w:r w:rsidRPr="009D660E">
              <w:rPr>
                <w:lang w:val="it-IT"/>
              </w:rPr>
              <w:t>Miratimi dhe krijimi i strukturave menaxheriale përgjegjëse për zbatimin e IPA III dhe përgatitja e manualeve dhe udhëzimeve për të drejtuar zbatimin e IPA III.</w:t>
            </w:r>
            <w:r w:rsidRPr="00187239">
              <w:rPr>
                <w:rStyle w:val="FootnoteReference"/>
                <w:sz w:val="16"/>
                <w:szCs w:val="16"/>
              </w:rPr>
              <w:footnoteReference w:id="78"/>
            </w:r>
          </w:p>
        </w:tc>
        <w:tc>
          <w:tcPr>
            <w:tcW w:w="798" w:type="dxa"/>
            <w:vAlign w:val="center"/>
          </w:tcPr>
          <w:p w14:paraId="0EABB775" w14:textId="77777777" w:rsidR="000F0526" w:rsidRPr="001F151E" w:rsidRDefault="000F0526" w:rsidP="000C70FA">
            <w:pPr>
              <w:jc w:val="center"/>
              <w:rPr>
                <w:sz w:val="16"/>
                <w:szCs w:val="16"/>
              </w:rPr>
            </w:pPr>
            <w:r>
              <w:rPr>
                <w:sz w:val="16"/>
                <w:szCs w:val="16"/>
              </w:rPr>
              <w:t>T</w:t>
            </w:r>
            <w:r w:rsidRPr="001F151E">
              <w:rPr>
                <w:sz w:val="16"/>
                <w:szCs w:val="16"/>
              </w:rPr>
              <w:t>1 2023</w:t>
            </w:r>
          </w:p>
        </w:tc>
        <w:tc>
          <w:tcPr>
            <w:tcW w:w="798" w:type="dxa"/>
            <w:vAlign w:val="center"/>
          </w:tcPr>
          <w:p w14:paraId="6CA9BD45" w14:textId="77777777" w:rsidR="000F0526" w:rsidRPr="001F151E" w:rsidRDefault="000F0526" w:rsidP="000C70FA">
            <w:pPr>
              <w:jc w:val="center"/>
              <w:rPr>
                <w:sz w:val="16"/>
                <w:szCs w:val="16"/>
              </w:rPr>
            </w:pPr>
            <w:r>
              <w:rPr>
                <w:sz w:val="16"/>
                <w:szCs w:val="16"/>
              </w:rPr>
              <w:t>T</w:t>
            </w:r>
            <w:r w:rsidRPr="001F151E">
              <w:rPr>
                <w:sz w:val="16"/>
                <w:szCs w:val="16"/>
              </w:rPr>
              <w:t>4 2024</w:t>
            </w:r>
          </w:p>
        </w:tc>
        <w:tc>
          <w:tcPr>
            <w:tcW w:w="1781" w:type="dxa"/>
            <w:vMerge w:val="restart"/>
          </w:tcPr>
          <w:p w14:paraId="46CF01FE" w14:textId="77777777" w:rsidR="000F0526" w:rsidRPr="00187239" w:rsidRDefault="000F0526" w:rsidP="000C70FA">
            <w:pPr>
              <w:rPr>
                <w:b/>
                <w:bCs/>
                <w:sz w:val="16"/>
                <w:szCs w:val="16"/>
              </w:rPr>
            </w:pPr>
            <w:r w:rsidRPr="00187239">
              <w:rPr>
                <w:b/>
                <w:bCs/>
                <w:sz w:val="16"/>
                <w:szCs w:val="16"/>
              </w:rPr>
              <w:t>Njësitë përgjegjëse:</w:t>
            </w:r>
          </w:p>
          <w:p w14:paraId="0E8C45EB" w14:textId="4309B555" w:rsidR="000F0526" w:rsidRPr="00187239" w:rsidRDefault="000F0526" w:rsidP="000C70FA">
            <w:pPr>
              <w:pStyle w:val="EcorysBody"/>
              <w:rPr>
                <w:rFonts w:ascii="Arial" w:hAnsi="Arial" w:cs="Arial"/>
                <w:sz w:val="16"/>
                <w:szCs w:val="16"/>
              </w:rPr>
            </w:pPr>
            <w:r w:rsidRPr="00187239">
              <w:rPr>
                <w:rFonts w:ascii="Arial" w:hAnsi="Arial" w:cs="Arial"/>
                <w:sz w:val="16"/>
                <w:szCs w:val="16"/>
              </w:rPr>
              <w:t xml:space="preserve">Zyra Mbështetëse e ZKA (lider), </w:t>
            </w:r>
            <w:r w:rsidR="00187239">
              <w:rPr>
                <w:rFonts w:ascii="Arial" w:hAnsi="Arial" w:cs="Arial"/>
                <w:sz w:val="16"/>
                <w:szCs w:val="16"/>
              </w:rPr>
              <w:t>DPFK (CFCU)</w:t>
            </w:r>
            <w:r w:rsidR="00E24A29">
              <w:rPr>
                <w:rFonts w:ascii="Arial" w:hAnsi="Arial" w:cs="Arial"/>
                <w:sz w:val="16"/>
                <w:szCs w:val="16"/>
              </w:rPr>
              <w:t>,</w:t>
            </w:r>
          </w:p>
          <w:p w14:paraId="0DB52D65" w14:textId="77777777" w:rsidR="000F0526" w:rsidRPr="00187239" w:rsidRDefault="000F0526" w:rsidP="000C70FA">
            <w:pPr>
              <w:pStyle w:val="EcorysBody"/>
              <w:rPr>
                <w:rFonts w:ascii="Arial" w:hAnsi="Arial" w:cs="Arial"/>
                <w:sz w:val="16"/>
                <w:szCs w:val="16"/>
              </w:rPr>
            </w:pPr>
            <w:r w:rsidRPr="00187239">
              <w:rPr>
                <w:rFonts w:ascii="Arial" w:hAnsi="Arial" w:cs="Arial"/>
                <w:sz w:val="16"/>
                <w:szCs w:val="16"/>
              </w:rPr>
              <w:t>SASPAC</w:t>
            </w:r>
          </w:p>
          <w:p w14:paraId="7A9B43EB" w14:textId="77777777" w:rsidR="000F0526" w:rsidRPr="00187239" w:rsidRDefault="000F0526" w:rsidP="000C70FA">
            <w:pPr>
              <w:pStyle w:val="EcorysBody"/>
              <w:rPr>
                <w:rFonts w:ascii="Arial" w:hAnsi="Arial" w:cs="Arial"/>
                <w:sz w:val="16"/>
                <w:szCs w:val="16"/>
              </w:rPr>
            </w:pPr>
          </w:p>
          <w:p w14:paraId="31899279" w14:textId="77777777" w:rsidR="000F0526" w:rsidRPr="00187239" w:rsidRDefault="000F0526" w:rsidP="000C70FA">
            <w:pPr>
              <w:pStyle w:val="EcorysBody"/>
              <w:rPr>
                <w:rFonts w:ascii="Arial" w:hAnsi="Arial" w:cs="Arial"/>
                <w:b/>
                <w:bCs/>
                <w:sz w:val="16"/>
                <w:szCs w:val="16"/>
              </w:rPr>
            </w:pPr>
            <w:r w:rsidRPr="00187239">
              <w:rPr>
                <w:rFonts w:ascii="Arial" w:hAnsi="Arial" w:cs="Arial"/>
                <w:b/>
                <w:bCs/>
                <w:sz w:val="16"/>
                <w:szCs w:val="16"/>
              </w:rPr>
              <w:t>Partnerët:</w:t>
            </w:r>
          </w:p>
          <w:p w14:paraId="05C4E86E" w14:textId="77777777" w:rsidR="000F0526" w:rsidRPr="00187239" w:rsidRDefault="000F0526" w:rsidP="000C70FA">
            <w:pPr>
              <w:pStyle w:val="EcorysBody"/>
              <w:rPr>
                <w:rFonts w:ascii="Arial" w:hAnsi="Arial" w:cs="Arial"/>
                <w:sz w:val="16"/>
                <w:szCs w:val="16"/>
              </w:rPr>
            </w:pPr>
            <w:r w:rsidRPr="00187239">
              <w:rPr>
                <w:rFonts w:ascii="Arial" w:hAnsi="Arial" w:cs="Arial"/>
                <w:sz w:val="16"/>
                <w:szCs w:val="16"/>
              </w:rPr>
              <w:t>DBE</w:t>
            </w:r>
          </w:p>
          <w:p w14:paraId="6E156779" w14:textId="77777777" w:rsidR="000F0526" w:rsidRPr="00187239" w:rsidRDefault="000F0526" w:rsidP="000C70FA">
            <w:pPr>
              <w:pStyle w:val="EcorysBody"/>
              <w:rPr>
                <w:rFonts w:ascii="Arial" w:hAnsi="Arial" w:cs="Arial"/>
                <w:sz w:val="16"/>
                <w:szCs w:val="16"/>
              </w:rPr>
            </w:pPr>
          </w:p>
        </w:tc>
      </w:tr>
      <w:tr w:rsidR="000F0526" w:rsidRPr="001F151E" w14:paraId="7DE9EBF3" w14:textId="77777777" w:rsidTr="000C70FA">
        <w:trPr>
          <w:trHeight w:val="270"/>
        </w:trPr>
        <w:tc>
          <w:tcPr>
            <w:tcW w:w="1980" w:type="dxa"/>
            <w:vMerge/>
          </w:tcPr>
          <w:p w14:paraId="29D6E92D" w14:textId="77777777" w:rsidR="000F0526" w:rsidRPr="001F151E" w:rsidRDefault="000F0526" w:rsidP="000C70FA">
            <w:pPr>
              <w:pStyle w:val="T-bold"/>
            </w:pPr>
          </w:p>
        </w:tc>
        <w:tc>
          <w:tcPr>
            <w:tcW w:w="3659" w:type="dxa"/>
          </w:tcPr>
          <w:p w14:paraId="34BC3578" w14:textId="36DE8BE5" w:rsidR="000F0526" w:rsidRPr="00187239" w:rsidRDefault="000F0526" w:rsidP="00CD7428">
            <w:pPr>
              <w:pStyle w:val="T-number"/>
              <w:numPr>
                <w:ilvl w:val="0"/>
                <w:numId w:val="99"/>
              </w:numPr>
              <w:jc w:val="both"/>
            </w:pPr>
            <w:r w:rsidRPr="00187239">
              <w:t xml:space="preserve">Vlerësimi i kapaciteteve ekzistuese të burimeve njerëzore dhe boshllëqeve e aftësive, </w:t>
            </w:r>
            <w:r w:rsidR="00ED064F">
              <w:t>hartimi</w:t>
            </w:r>
            <w:r w:rsidRPr="00187239">
              <w:t xml:space="preserve"> i një plani për zhvillimin e kapaciteteve të burimeve njerëzore, planifikimi i programeve të trajnimit të synuara në përputhje me qëllimet e IPA III dhe nxitja e të mësuarit nga kolegët ndërkombëtar përmes partneriteteve dhe nismave bashkëpunuese.</w:t>
            </w:r>
          </w:p>
        </w:tc>
        <w:tc>
          <w:tcPr>
            <w:tcW w:w="798" w:type="dxa"/>
            <w:vAlign w:val="center"/>
          </w:tcPr>
          <w:p w14:paraId="335C196E" w14:textId="77777777" w:rsidR="000F0526" w:rsidRPr="001F151E" w:rsidRDefault="000F0526" w:rsidP="000C70FA">
            <w:pPr>
              <w:jc w:val="center"/>
              <w:rPr>
                <w:sz w:val="16"/>
                <w:szCs w:val="16"/>
              </w:rPr>
            </w:pPr>
            <w:r>
              <w:rPr>
                <w:sz w:val="16"/>
                <w:szCs w:val="16"/>
              </w:rPr>
              <w:t>T</w:t>
            </w:r>
            <w:r w:rsidRPr="001F151E">
              <w:rPr>
                <w:sz w:val="16"/>
                <w:szCs w:val="16"/>
              </w:rPr>
              <w:t>1 2023</w:t>
            </w:r>
          </w:p>
        </w:tc>
        <w:tc>
          <w:tcPr>
            <w:tcW w:w="798" w:type="dxa"/>
            <w:vAlign w:val="center"/>
          </w:tcPr>
          <w:p w14:paraId="6F486CD2" w14:textId="77777777" w:rsidR="000F0526" w:rsidRPr="001F151E" w:rsidRDefault="000F0526" w:rsidP="000C70FA">
            <w:pPr>
              <w:jc w:val="center"/>
              <w:rPr>
                <w:sz w:val="16"/>
                <w:szCs w:val="16"/>
              </w:rPr>
            </w:pPr>
            <w:r>
              <w:rPr>
                <w:sz w:val="16"/>
                <w:szCs w:val="16"/>
              </w:rPr>
              <w:t>T</w:t>
            </w:r>
            <w:r w:rsidRPr="001F151E">
              <w:rPr>
                <w:sz w:val="16"/>
                <w:szCs w:val="16"/>
              </w:rPr>
              <w:t>4 2026</w:t>
            </w:r>
          </w:p>
        </w:tc>
        <w:tc>
          <w:tcPr>
            <w:tcW w:w="1781" w:type="dxa"/>
            <w:vMerge/>
          </w:tcPr>
          <w:p w14:paraId="4883A8A7" w14:textId="77777777" w:rsidR="000F0526" w:rsidRPr="001F151E" w:rsidRDefault="000F0526" w:rsidP="000C70FA">
            <w:pPr>
              <w:rPr>
                <w:sz w:val="16"/>
                <w:szCs w:val="16"/>
                <w:highlight w:val="yellow"/>
              </w:rPr>
            </w:pPr>
          </w:p>
        </w:tc>
      </w:tr>
      <w:tr w:rsidR="000F0526" w:rsidRPr="001F151E" w14:paraId="0FB3EC63" w14:textId="77777777" w:rsidTr="000C70FA">
        <w:trPr>
          <w:trHeight w:val="270"/>
        </w:trPr>
        <w:tc>
          <w:tcPr>
            <w:tcW w:w="1980" w:type="dxa"/>
            <w:vMerge w:val="restart"/>
            <w:shd w:val="clear" w:color="auto" w:fill="auto"/>
          </w:tcPr>
          <w:p w14:paraId="120DCEF4" w14:textId="77777777" w:rsidR="000F0526" w:rsidRPr="001F151E" w:rsidRDefault="000F0526" w:rsidP="000C70FA">
            <w:pPr>
              <w:pStyle w:val="T-bold"/>
            </w:pPr>
            <w:r w:rsidRPr="006D4509">
              <w:t>Masa</w:t>
            </w:r>
            <w:r w:rsidRPr="001F151E">
              <w:t xml:space="preserve"> 5.4.</w:t>
            </w:r>
            <w:r>
              <w:t>3</w:t>
            </w:r>
            <w:r w:rsidRPr="001F151E">
              <w:t xml:space="preserve"> </w:t>
            </w:r>
            <w:r w:rsidRPr="00435701">
              <w:t>Përmirësimi i procedurave të rregullimit financiar dhe/ose rikuperimit për fondet e BE-së në përputhje me kërkesat ligjore kombëtare dhe IPA III</w:t>
            </w:r>
          </w:p>
        </w:tc>
        <w:tc>
          <w:tcPr>
            <w:tcW w:w="3659" w:type="dxa"/>
          </w:tcPr>
          <w:p w14:paraId="36C91BEA" w14:textId="19806FBA" w:rsidR="000F0526" w:rsidRPr="00187239" w:rsidRDefault="000F0526" w:rsidP="00CD7428">
            <w:pPr>
              <w:pStyle w:val="T-number"/>
              <w:numPr>
                <w:ilvl w:val="0"/>
                <w:numId w:val="100"/>
              </w:numPr>
              <w:jc w:val="both"/>
            </w:pPr>
            <w:r w:rsidRPr="00187239">
              <w:t>Ndërmarrja e një rishikimi gjithëpërfshirës të bazës ligjore kombëtare dhe IPA III, vlerësimi i procedurave ekzistuese të rregullimit financiar dhe rikuperimit dhe identifikimi I dobësive dhe fushave për përmirësim në përputhje me dispozitat ligjore IPA III.</w:t>
            </w:r>
          </w:p>
        </w:tc>
        <w:tc>
          <w:tcPr>
            <w:tcW w:w="798" w:type="dxa"/>
            <w:vAlign w:val="center"/>
          </w:tcPr>
          <w:p w14:paraId="5C40BF77" w14:textId="77777777" w:rsidR="000F0526" w:rsidRPr="001F151E" w:rsidRDefault="000F0526" w:rsidP="000C70FA">
            <w:pPr>
              <w:jc w:val="center"/>
              <w:rPr>
                <w:sz w:val="16"/>
                <w:szCs w:val="16"/>
              </w:rPr>
            </w:pPr>
            <w:r>
              <w:rPr>
                <w:sz w:val="16"/>
                <w:szCs w:val="16"/>
              </w:rPr>
              <w:t>T</w:t>
            </w:r>
            <w:r w:rsidRPr="001F151E">
              <w:rPr>
                <w:sz w:val="16"/>
                <w:szCs w:val="16"/>
              </w:rPr>
              <w:t>1 2023</w:t>
            </w:r>
          </w:p>
        </w:tc>
        <w:tc>
          <w:tcPr>
            <w:tcW w:w="798" w:type="dxa"/>
            <w:vAlign w:val="center"/>
          </w:tcPr>
          <w:p w14:paraId="3AFE21CE" w14:textId="77777777" w:rsidR="000F0526" w:rsidRPr="001F151E" w:rsidRDefault="000F0526" w:rsidP="000C70FA">
            <w:pPr>
              <w:jc w:val="center"/>
              <w:rPr>
                <w:sz w:val="16"/>
                <w:szCs w:val="16"/>
              </w:rPr>
            </w:pPr>
            <w:r>
              <w:rPr>
                <w:sz w:val="16"/>
                <w:szCs w:val="16"/>
              </w:rPr>
              <w:t>T</w:t>
            </w:r>
            <w:r w:rsidRPr="001F151E">
              <w:rPr>
                <w:sz w:val="16"/>
                <w:szCs w:val="16"/>
              </w:rPr>
              <w:t>4 2024</w:t>
            </w:r>
          </w:p>
        </w:tc>
        <w:tc>
          <w:tcPr>
            <w:tcW w:w="1781" w:type="dxa"/>
            <w:vMerge w:val="restart"/>
          </w:tcPr>
          <w:p w14:paraId="4263B30D" w14:textId="77777777" w:rsidR="000F0526" w:rsidRPr="001F151E" w:rsidRDefault="000F0526" w:rsidP="000C70FA">
            <w:pPr>
              <w:rPr>
                <w:b/>
                <w:bCs/>
                <w:sz w:val="16"/>
                <w:szCs w:val="16"/>
              </w:rPr>
            </w:pPr>
            <w:r>
              <w:rPr>
                <w:b/>
                <w:bCs/>
                <w:sz w:val="16"/>
                <w:szCs w:val="16"/>
              </w:rPr>
              <w:t>Njësitë përgjegjëse</w:t>
            </w:r>
            <w:r w:rsidRPr="001F151E">
              <w:rPr>
                <w:b/>
                <w:bCs/>
                <w:sz w:val="16"/>
                <w:szCs w:val="16"/>
              </w:rPr>
              <w:t>:</w:t>
            </w:r>
          </w:p>
          <w:p w14:paraId="05D8E40D" w14:textId="303313A3" w:rsidR="000F0526" w:rsidRPr="001F151E" w:rsidRDefault="00187239" w:rsidP="000C70FA">
            <w:pPr>
              <w:rPr>
                <w:sz w:val="16"/>
                <w:szCs w:val="16"/>
              </w:rPr>
            </w:pPr>
            <w:r>
              <w:rPr>
                <w:sz w:val="16"/>
                <w:szCs w:val="16"/>
              </w:rPr>
              <w:t>DPFK (CFCU)</w:t>
            </w:r>
            <w:r w:rsidR="000F0526" w:rsidRPr="001F151E">
              <w:rPr>
                <w:sz w:val="16"/>
                <w:szCs w:val="16"/>
              </w:rPr>
              <w:t xml:space="preserve"> (l</w:t>
            </w:r>
            <w:r w:rsidR="000F0526">
              <w:rPr>
                <w:sz w:val="16"/>
                <w:szCs w:val="16"/>
              </w:rPr>
              <w:t>ider</w:t>
            </w:r>
            <w:r w:rsidR="000F0526" w:rsidRPr="001F151E">
              <w:rPr>
                <w:sz w:val="16"/>
                <w:szCs w:val="16"/>
              </w:rPr>
              <w:t xml:space="preserve">), </w:t>
            </w:r>
            <w:r w:rsidR="000F0526">
              <w:rPr>
                <w:sz w:val="16"/>
                <w:szCs w:val="16"/>
              </w:rPr>
              <w:t>Zyra Mbështetëse e ZKA</w:t>
            </w:r>
            <w:r w:rsidR="000F0526" w:rsidRPr="001F151E">
              <w:rPr>
                <w:sz w:val="16"/>
                <w:szCs w:val="16"/>
              </w:rPr>
              <w:t xml:space="preserve"> </w:t>
            </w:r>
          </w:p>
          <w:p w14:paraId="6CB17088" w14:textId="77777777" w:rsidR="000F0526" w:rsidRPr="001F151E" w:rsidRDefault="000F0526" w:rsidP="000C70FA">
            <w:pPr>
              <w:rPr>
                <w:sz w:val="16"/>
                <w:szCs w:val="16"/>
              </w:rPr>
            </w:pPr>
          </w:p>
          <w:p w14:paraId="6E36F8E1" w14:textId="77777777" w:rsidR="000F0526" w:rsidRPr="001F151E" w:rsidRDefault="000F0526" w:rsidP="000C70FA">
            <w:pPr>
              <w:rPr>
                <w:b/>
                <w:bCs/>
                <w:sz w:val="16"/>
                <w:szCs w:val="16"/>
              </w:rPr>
            </w:pPr>
            <w:r w:rsidRPr="001F151E">
              <w:rPr>
                <w:b/>
                <w:bCs/>
                <w:sz w:val="16"/>
                <w:szCs w:val="16"/>
              </w:rPr>
              <w:t>Partne</w:t>
            </w:r>
            <w:r>
              <w:rPr>
                <w:b/>
                <w:bCs/>
                <w:sz w:val="16"/>
                <w:szCs w:val="16"/>
              </w:rPr>
              <w:t>rët</w:t>
            </w:r>
            <w:r w:rsidRPr="001F151E">
              <w:rPr>
                <w:b/>
                <w:bCs/>
                <w:sz w:val="16"/>
                <w:szCs w:val="16"/>
              </w:rPr>
              <w:t>:</w:t>
            </w:r>
          </w:p>
          <w:p w14:paraId="4DF6CA18" w14:textId="77777777" w:rsidR="000F0526" w:rsidRPr="001F151E" w:rsidRDefault="000F0526" w:rsidP="000C70FA">
            <w:pPr>
              <w:rPr>
                <w:sz w:val="16"/>
                <w:szCs w:val="16"/>
                <w:highlight w:val="yellow"/>
              </w:rPr>
            </w:pPr>
            <w:r w:rsidRPr="00B0532C">
              <w:rPr>
                <w:sz w:val="16"/>
                <w:szCs w:val="16"/>
              </w:rPr>
              <w:t>DBE</w:t>
            </w:r>
          </w:p>
        </w:tc>
      </w:tr>
      <w:tr w:rsidR="000F0526" w:rsidRPr="001F151E" w14:paraId="1728AB55" w14:textId="77777777" w:rsidTr="000C70FA">
        <w:trPr>
          <w:trHeight w:val="270"/>
        </w:trPr>
        <w:tc>
          <w:tcPr>
            <w:tcW w:w="1980" w:type="dxa"/>
            <w:vMerge/>
            <w:shd w:val="clear" w:color="auto" w:fill="auto"/>
          </w:tcPr>
          <w:p w14:paraId="04805A80" w14:textId="77777777" w:rsidR="000F0526" w:rsidRPr="001F151E" w:rsidRDefault="000F0526" w:rsidP="000C70FA">
            <w:pPr>
              <w:pStyle w:val="T-bold"/>
            </w:pPr>
          </w:p>
        </w:tc>
        <w:tc>
          <w:tcPr>
            <w:tcW w:w="3659" w:type="dxa"/>
          </w:tcPr>
          <w:p w14:paraId="4B1C8D62" w14:textId="4DEAB3E7" w:rsidR="000F0526" w:rsidRPr="00187239" w:rsidRDefault="000F0526" w:rsidP="00CD7428">
            <w:pPr>
              <w:pStyle w:val="T-number"/>
              <w:numPr>
                <w:ilvl w:val="0"/>
                <w:numId w:val="100"/>
              </w:numPr>
              <w:jc w:val="both"/>
            </w:pPr>
            <w:r w:rsidRPr="00187239">
              <w:t>Zhvillimi dhe miratimi i një udhëzuesi gjithëpërfshirës që përshkruan hapat vijues për rregullimet financiare dhe rimëkëmbjen.</w:t>
            </w:r>
          </w:p>
        </w:tc>
        <w:tc>
          <w:tcPr>
            <w:tcW w:w="798" w:type="dxa"/>
            <w:vAlign w:val="center"/>
          </w:tcPr>
          <w:p w14:paraId="2168BAE0" w14:textId="77777777" w:rsidR="000F0526" w:rsidRPr="001F151E" w:rsidRDefault="000F0526" w:rsidP="000C70FA">
            <w:pPr>
              <w:jc w:val="center"/>
              <w:rPr>
                <w:sz w:val="16"/>
                <w:szCs w:val="16"/>
              </w:rPr>
            </w:pPr>
            <w:r>
              <w:rPr>
                <w:sz w:val="16"/>
                <w:szCs w:val="16"/>
              </w:rPr>
              <w:t>T</w:t>
            </w:r>
            <w:r w:rsidRPr="001F151E">
              <w:rPr>
                <w:sz w:val="16"/>
                <w:szCs w:val="16"/>
              </w:rPr>
              <w:t>1 2023</w:t>
            </w:r>
          </w:p>
        </w:tc>
        <w:tc>
          <w:tcPr>
            <w:tcW w:w="798" w:type="dxa"/>
            <w:vAlign w:val="center"/>
          </w:tcPr>
          <w:p w14:paraId="49D5E7C9" w14:textId="77777777" w:rsidR="000F0526" w:rsidRPr="001F151E" w:rsidRDefault="000F0526" w:rsidP="000C70FA">
            <w:pPr>
              <w:jc w:val="center"/>
              <w:rPr>
                <w:sz w:val="16"/>
                <w:szCs w:val="16"/>
              </w:rPr>
            </w:pPr>
            <w:r>
              <w:rPr>
                <w:sz w:val="16"/>
                <w:szCs w:val="16"/>
              </w:rPr>
              <w:t>T</w:t>
            </w:r>
            <w:r w:rsidRPr="001F151E">
              <w:rPr>
                <w:sz w:val="16"/>
                <w:szCs w:val="16"/>
              </w:rPr>
              <w:t>4 2024</w:t>
            </w:r>
          </w:p>
        </w:tc>
        <w:tc>
          <w:tcPr>
            <w:tcW w:w="1781" w:type="dxa"/>
            <w:vMerge/>
          </w:tcPr>
          <w:p w14:paraId="2E29DDA4" w14:textId="77777777" w:rsidR="000F0526" w:rsidRPr="001F151E" w:rsidRDefault="000F0526" w:rsidP="000C70FA">
            <w:pPr>
              <w:rPr>
                <w:sz w:val="16"/>
                <w:szCs w:val="16"/>
                <w:highlight w:val="yellow"/>
              </w:rPr>
            </w:pPr>
          </w:p>
        </w:tc>
      </w:tr>
      <w:tr w:rsidR="000F0526" w:rsidRPr="001F151E" w14:paraId="649BB1D5" w14:textId="77777777" w:rsidTr="000C70FA">
        <w:trPr>
          <w:trHeight w:val="20"/>
        </w:trPr>
        <w:tc>
          <w:tcPr>
            <w:tcW w:w="1980" w:type="dxa"/>
            <w:vMerge/>
            <w:shd w:val="clear" w:color="auto" w:fill="auto"/>
          </w:tcPr>
          <w:p w14:paraId="0E418BB0" w14:textId="77777777" w:rsidR="000F0526" w:rsidRPr="001F151E" w:rsidRDefault="000F0526" w:rsidP="000C70FA">
            <w:pPr>
              <w:pStyle w:val="T-bold"/>
            </w:pPr>
          </w:p>
        </w:tc>
        <w:tc>
          <w:tcPr>
            <w:tcW w:w="3659" w:type="dxa"/>
          </w:tcPr>
          <w:p w14:paraId="03988E12" w14:textId="77777777" w:rsidR="000F0526" w:rsidRPr="009D660E" w:rsidRDefault="000F0526" w:rsidP="00CD7428">
            <w:pPr>
              <w:pStyle w:val="T-number"/>
              <w:numPr>
                <w:ilvl w:val="0"/>
                <w:numId w:val="100"/>
              </w:numPr>
              <w:jc w:val="both"/>
              <w:rPr>
                <w:lang w:val="it-IT"/>
              </w:rPr>
            </w:pPr>
            <w:r w:rsidRPr="009D660E">
              <w:rPr>
                <w:lang w:val="it-IT"/>
              </w:rPr>
              <w:t>Zhvillimi i moduleve të trajnimit për stafin e përfshirë në ekzekutimin e procedurave.</w:t>
            </w:r>
          </w:p>
        </w:tc>
        <w:tc>
          <w:tcPr>
            <w:tcW w:w="798" w:type="dxa"/>
            <w:vAlign w:val="center"/>
          </w:tcPr>
          <w:p w14:paraId="0E8F05AF" w14:textId="77777777" w:rsidR="000F0526" w:rsidRPr="001F151E" w:rsidRDefault="000F0526" w:rsidP="000C70FA">
            <w:pPr>
              <w:jc w:val="center"/>
              <w:rPr>
                <w:sz w:val="16"/>
                <w:szCs w:val="16"/>
              </w:rPr>
            </w:pPr>
            <w:r>
              <w:rPr>
                <w:sz w:val="16"/>
                <w:szCs w:val="16"/>
              </w:rPr>
              <w:t>T</w:t>
            </w:r>
            <w:r w:rsidRPr="001F151E">
              <w:rPr>
                <w:sz w:val="16"/>
                <w:szCs w:val="16"/>
              </w:rPr>
              <w:t>1 2023</w:t>
            </w:r>
          </w:p>
        </w:tc>
        <w:tc>
          <w:tcPr>
            <w:tcW w:w="798" w:type="dxa"/>
            <w:vAlign w:val="center"/>
          </w:tcPr>
          <w:p w14:paraId="1FD9C672" w14:textId="77777777" w:rsidR="000F0526" w:rsidRPr="001F151E" w:rsidRDefault="000F0526" w:rsidP="000C70FA">
            <w:pPr>
              <w:rPr>
                <w:sz w:val="16"/>
                <w:szCs w:val="16"/>
              </w:rPr>
            </w:pPr>
            <w:r>
              <w:rPr>
                <w:sz w:val="16"/>
                <w:szCs w:val="16"/>
              </w:rPr>
              <w:t>T</w:t>
            </w:r>
            <w:r w:rsidRPr="001F151E">
              <w:rPr>
                <w:sz w:val="16"/>
                <w:szCs w:val="16"/>
              </w:rPr>
              <w:t>4 2025</w:t>
            </w:r>
          </w:p>
        </w:tc>
        <w:tc>
          <w:tcPr>
            <w:tcW w:w="1781" w:type="dxa"/>
            <w:vMerge/>
          </w:tcPr>
          <w:p w14:paraId="009EBBEA" w14:textId="77777777" w:rsidR="000F0526" w:rsidRPr="001F151E" w:rsidRDefault="000F0526" w:rsidP="000C70FA">
            <w:pPr>
              <w:rPr>
                <w:sz w:val="16"/>
                <w:szCs w:val="16"/>
                <w:highlight w:val="yellow"/>
              </w:rPr>
            </w:pPr>
          </w:p>
        </w:tc>
      </w:tr>
      <w:tr w:rsidR="000F0526" w:rsidRPr="001F151E" w14:paraId="40E0B7AB" w14:textId="77777777" w:rsidTr="000C70FA">
        <w:trPr>
          <w:trHeight w:val="270"/>
        </w:trPr>
        <w:tc>
          <w:tcPr>
            <w:tcW w:w="1980" w:type="dxa"/>
            <w:vMerge w:val="restart"/>
            <w:shd w:val="clear" w:color="auto" w:fill="auto"/>
          </w:tcPr>
          <w:p w14:paraId="44023091" w14:textId="706093DD" w:rsidR="000F0526" w:rsidRPr="001F151E" w:rsidRDefault="000F0526" w:rsidP="00A07E1E">
            <w:pPr>
              <w:pStyle w:val="T-bold"/>
            </w:pPr>
            <w:r w:rsidRPr="006D4509">
              <w:t>Masa</w:t>
            </w:r>
            <w:r w:rsidRPr="001F151E">
              <w:t xml:space="preserve"> 5.4.</w:t>
            </w:r>
            <w:r>
              <w:t>4</w:t>
            </w:r>
            <w:r w:rsidRPr="001F151E">
              <w:t xml:space="preserve"> </w:t>
            </w:r>
            <w:r w:rsidRPr="00EF75D8">
              <w:t>M</w:t>
            </w:r>
            <w:r>
              <w:t xml:space="preserve">arrja </w:t>
            </w:r>
            <w:r w:rsidRPr="00EF75D8">
              <w:t xml:space="preserve">parasysh </w:t>
            </w:r>
            <w:r>
              <w:t xml:space="preserve">e </w:t>
            </w:r>
            <w:r w:rsidRPr="00EF75D8">
              <w:t>kërkesa</w:t>
            </w:r>
            <w:r>
              <w:t>ve</w:t>
            </w:r>
            <w:r w:rsidRPr="00EF75D8">
              <w:t xml:space="preserve"> </w:t>
            </w:r>
            <w:r>
              <w:t>të</w:t>
            </w:r>
            <w:r w:rsidRPr="00EF75D8">
              <w:t xml:space="preserve"> ardhshme për menaxhimin e fondeve të BE-së pas anëtarësimit dhe zhvil</w:t>
            </w:r>
            <w:r>
              <w:t>limi i</w:t>
            </w:r>
            <w:r w:rsidRPr="00EF75D8">
              <w:t xml:space="preserve"> një plan</w:t>
            </w:r>
            <w:r>
              <w:t>i</w:t>
            </w:r>
            <w:r w:rsidR="00A07E1E">
              <w:t xml:space="preserve"> veprimi, në kuadër të kapitullit 22, i cili do të përcaktojë nevojat për përmirësimin e kuadrit ligjor të menaxhimit të fondeve</w:t>
            </w:r>
          </w:p>
        </w:tc>
        <w:tc>
          <w:tcPr>
            <w:tcW w:w="3659" w:type="dxa"/>
          </w:tcPr>
          <w:p w14:paraId="230DF71B" w14:textId="77777777" w:rsidR="000F0526" w:rsidRPr="00187239" w:rsidRDefault="000F0526" w:rsidP="00CD7428">
            <w:pPr>
              <w:pStyle w:val="T-number"/>
              <w:numPr>
                <w:ilvl w:val="0"/>
                <w:numId w:val="110"/>
              </w:numPr>
              <w:jc w:val="both"/>
            </w:pPr>
            <w:r w:rsidRPr="00187239">
              <w:t>Inventarizimi i modaliteteve dhe sistemeve të menaxhimit të fondeve të BE-së bazuar në shembuj nga shtetet e tjera anëtare të BE-së.</w:t>
            </w:r>
          </w:p>
        </w:tc>
        <w:tc>
          <w:tcPr>
            <w:tcW w:w="798" w:type="dxa"/>
            <w:vAlign w:val="center"/>
          </w:tcPr>
          <w:p w14:paraId="69CD84C6" w14:textId="77777777" w:rsidR="000F0526" w:rsidRPr="001F151E" w:rsidRDefault="000F0526" w:rsidP="000C70FA">
            <w:pPr>
              <w:jc w:val="center"/>
              <w:rPr>
                <w:sz w:val="16"/>
                <w:szCs w:val="16"/>
              </w:rPr>
            </w:pPr>
            <w:r>
              <w:rPr>
                <w:sz w:val="16"/>
                <w:szCs w:val="16"/>
              </w:rPr>
              <w:t>T</w:t>
            </w:r>
            <w:r w:rsidRPr="001F151E">
              <w:rPr>
                <w:sz w:val="16"/>
                <w:szCs w:val="16"/>
              </w:rPr>
              <w:t>1 2025</w:t>
            </w:r>
          </w:p>
        </w:tc>
        <w:tc>
          <w:tcPr>
            <w:tcW w:w="798" w:type="dxa"/>
            <w:vAlign w:val="center"/>
          </w:tcPr>
          <w:p w14:paraId="0C6B8217" w14:textId="77777777" w:rsidR="000F0526" w:rsidRPr="001F151E" w:rsidRDefault="000F0526" w:rsidP="000C70FA">
            <w:pPr>
              <w:jc w:val="center"/>
              <w:rPr>
                <w:sz w:val="16"/>
                <w:szCs w:val="16"/>
              </w:rPr>
            </w:pPr>
            <w:r>
              <w:rPr>
                <w:sz w:val="16"/>
                <w:szCs w:val="16"/>
              </w:rPr>
              <w:t>T</w:t>
            </w:r>
            <w:r w:rsidRPr="001F151E">
              <w:rPr>
                <w:sz w:val="16"/>
                <w:szCs w:val="16"/>
              </w:rPr>
              <w:t>4 2026</w:t>
            </w:r>
          </w:p>
        </w:tc>
        <w:tc>
          <w:tcPr>
            <w:tcW w:w="1781" w:type="dxa"/>
            <w:vMerge w:val="restart"/>
          </w:tcPr>
          <w:p w14:paraId="136A5DE3" w14:textId="77777777" w:rsidR="000F0526" w:rsidRPr="001F151E" w:rsidRDefault="000F0526" w:rsidP="000C70FA">
            <w:pPr>
              <w:rPr>
                <w:b/>
                <w:bCs/>
                <w:sz w:val="16"/>
                <w:szCs w:val="16"/>
              </w:rPr>
            </w:pPr>
            <w:r>
              <w:rPr>
                <w:b/>
                <w:bCs/>
                <w:sz w:val="16"/>
                <w:szCs w:val="16"/>
              </w:rPr>
              <w:t>Njësitë përgjegjëse</w:t>
            </w:r>
            <w:r w:rsidRPr="001F151E">
              <w:rPr>
                <w:b/>
                <w:bCs/>
                <w:sz w:val="16"/>
                <w:szCs w:val="16"/>
              </w:rPr>
              <w:t>:</w:t>
            </w:r>
          </w:p>
          <w:p w14:paraId="72A08369" w14:textId="77777777" w:rsidR="000F0526" w:rsidRPr="00454DA5" w:rsidRDefault="000F0526" w:rsidP="000C70FA">
            <w:pPr>
              <w:pStyle w:val="EcorysBody"/>
              <w:rPr>
                <w:rFonts w:ascii="Arial" w:hAnsi="Arial" w:cs="Arial"/>
                <w:sz w:val="16"/>
                <w:szCs w:val="16"/>
              </w:rPr>
            </w:pPr>
            <w:r>
              <w:rPr>
                <w:rFonts w:ascii="Arial" w:hAnsi="Arial" w:cs="Arial"/>
                <w:sz w:val="16"/>
                <w:szCs w:val="16"/>
              </w:rPr>
              <w:t>SASPAC</w:t>
            </w:r>
            <w:r w:rsidRPr="00454DA5">
              <w:rPr>
                <w:rFonts w:ascii="Arial" w:hAnsi="Arial" w:cs="Arial"/>
                <w:sz w:val="16"/>
                <w:szCs w:val="16"/>
              </w:rPr>
              <w:t xml:space="preserve"> (l</w:t>
            </w:r>
            <w:r>
              <w:rPr>
                <w:rFonts w:ascii="Arial" w:hAnsi="Arial" w:cs="Arial"/>
                <w:sz w:val="16"/>
                <w:szCs w:val="16"/>
              </w:rPr>
              <w:t>ider</w:t>
            </w:r>
            <w:r w:rsidRPr="00454DA5">
              <w:rPr>
                <w:rFonts w:ascii="Arial" w:hAnsi="Arial" w:cs="Arial"/>
                <w:sz w:val="16"/>
                <w:szCs w:val="16"/>
              </w:rPr>
              <w:t>)</w:t>
            </w:r>
          </w:p>
          <w:p w14:paraId="12DE4AF5" w14:textId="77777777" w:rsidR="000F0526" w:rsidRPr="001F151E" w:rsidRDefault="000F0526" w:rsidP="000C70FA">
            <w:pPr>
              <w:pStyle w:val="EcorysBody"/>
              <w:rPr>
                <w:rFonts w:ascii="Arial" w:hAnsi="Arial" w:cs="Arial"/>
                <w:b/>
                <w:bCs/>
                <w:sz w:val="8"/>
                <w:szCs w:val="8"/>
              </w:rPr>
            </w:pPr>
          </w:p>
          <w:p w14:paraId="74EE5D8F" w14:textId="77777777" w:rsidR="000F0526" w:rsidRPr="001F151E" w:rsidRDefault="000F0526" w:rsidP="000C70FA">
            <w:pPr>
              <w:pStyle w:val="EcorysBody"/>
              <w:rPr>
                <w:rFonts w:ascii="Arial" w:hAnsi="Arial" w:cs="Arial"/>
                <w:b/>
                <w:bCs/>
                <w:sz w:val="16"/>
                <w:szCs w:val="16"/>
              </w:rPr>
            </w:pPr>
            <w:r w:rsidRPr="001F151E">
              <w:rPr>
                <w:rFonts w:ascii="Arial" w:hAnsi="Arial" w:cs="Arial"/>
                <w:b/>
                <w:bCs/>
                <w:sz w:val="16"/>
                <w:szCs w:val="16"/>
              </w:rPr>
              <w:t>Partne</w:t>
            </w:r>
            <w:r>
              <w:rPr>
                <w:rFonts w:ascii="Arial" w:hAnsi="Arial" w:cs="Arial"/>
                <w:b/>
                <w:bCs/>
                <w:sz w:val="16"/>
                <w:szCs w:val="16"/>
              </w:rPr>
              <w:t>rët</w:t>
            </w:r>
            <w:r w:rsidRPr="001F151E">
              <w:rPr>
                <w:rFonts w:ascii="Arial" w:hAnsi="Arial" w:cs="Arial"/>
                <w:b/>
                <w:bCs/>
                <w:sz w:val="16"/>
                <w:szCs w:val="16"/>
              </w:rPr>
              <w:t>:</w:t>
            </w:r>
          </w:p>
          <w:p w14:paraId="77883EDE" w14:textId="77777777" w:rsidR="000F0526" w:rsidRPr="001F151E" w:rsidRDefault="000F0526" w:rsidP="000C70FA">
            <w:pPr>
              <w:rPr>
                <w:sz w:val="16"/>
                <w:szCs w:val="16"/>
                <w:highlight w:val="yellow"/>
              </w:rPr>
            </w:pPr>
            <w:r w:rsidRPr="00B0532C">
              <w:rPr>
                <w:sz w:val="16"/>
                <w:szCs w:val="16"/>
              </w:rPr>
              <w:t>DBE</w:t>
            </w:r>
          </w:p>
        </w:tc>
      </w:tr>
      <w:tr w:rsidR="000F0526" w:rsidRPr="001F151E" w14:paraId="758012E6" w14:textId="77777777" w:rsidTr="000C70FA">
        <w:trPr>
          <w:trHeight w:val="1012"/>
        </w:trPr>
        <w:tc>
          <w:tcPr>
            <w:tcW w:w="1980" w:type="dxa"/>
            <w:vMerge/>
          </w:tcPr>
          <w:p w14:paraId="07F3000E" w14:textId="77777777" w:rsidR="000F0526" w:rsidRPr="001F151E" w:rsidRDefault="000F0526" w:rsidP="000C70FA">
            <w:pPr>
              <w:pStyle w:val="T-bold"/>
            </w:pPr>
          </w:p>
        </w:tc>
        <w:tc>
          <w:tcPr>
            <w:tcW w:w="3659" w:type="dxa"/>
          </w:tcPr>
          <w:p w14:paraId="1055BFE7" w14:textId="1CD34913" w:rsidR="000F0526" w:rsidRPr="00187239" w:rsidRDefault="000F0526" w:rsidP="00187239">
            <w:pPr>
              <w:pStyle w:val="T-number"/>
              <w:jc w:val="both"/>
            </w:pPr>
            <w:r w:rsidRPr="00187239">
              <w:rPr>
                <w:rStyle w:val="rynqvb"/>
              </w:rPr>
              <w:t>Zbatimi i një analize të mangësive dhe zhvillimi i një plani veprimi për përgatitjen (të përshpejtuar) dhe zbatimin e modaliteteve të menaxhimit të fondeve dhe përshtatjen e nevojshme të sistemeve MFP</w:t>
            </w:r>
            <w:r w:rsidRPr="00187239">
              <w:t>.</w:t>
            </w:r>
          </w:p>
        </w:tc>
        <w:tc>
          <w:tcPr>
            <w:tcW w:w="798" w:type="dxa"/>
            <w:vAlign w:val="center"/>
          </w:tcPr>
          <w:p w14:paraId="44AFB7D7" w14:textId="77777777" w:rsidR="000F0526" w:rsidRPr="001F151E" w:rsidRDefault="000F0526" w:rsidP="000C70FA">
            <w:pPr>
              <w:jc w:val="center"/>
              <w:rPr>
                <w:sz w:val="16"/>
                <w:szCs w:val="16"/>
              </w:rPr>
            </w:pPr>
            <w:r>
              <w:rPr>
                <w:sz w:val="16"/>
                <w:szCs w:val="16"/>
              </w:rPr>
              <w:t>T</w:t>
            </w:r>
            <w:r w:rsidRPr="001F151E">
              <w:rPr>
                <w:sz w:val="16"/>
                <w:szCs w:val="16"/>
              </w:rPr>
              <w:t>1 2025</w:t>
            </w:r>
          </w:p>
        </w:tc>
        <w:tc>
          <w:tcPr>
            <w:tcW w:w="798" w:type="dxa"/>
            <w:vAlign w:val="center"/>
          </w:tcPr>
          <w:p w14:paraId="242C926B" w14:textId="77777777" w:rsidR="000F0526" w:rsidRPr="001F151E" w:rsidRDefault="000F0526" w:rsidP="000C70FA">
            <w:pPr>
              <w:jc w:val="center"/>
              <w:rPr>
                <w:sz w:val="16"/>
                <w:szCs w:val="16"/>
              </w:rPr>
            </w:pPr>
            <w:r>
              <w:rPr>
                <w:sz w:val="16"/>
                <w:szCs w:val="16"/>
              </w:rPr>
              <w:t>T</w:t>
            </w:r>
            <w:r w:rsidRPr="001F151E">
              <w:rPr>
                <w:sz w:val="16"/>
                <w:szCs w:val="16"/>
              </w:rPr>
              <w:t>4 2026</w:t>
            </w:r>
          </w:p>
        </w:tc>
        <w:tc>
          <w:tcPr>
            <w:tcW w:w="1781" w:type="dxa"/>
            <w:vMerge/>
          </w:tcPr>
          <w:p w14:paraId="5CF9C825" w14:textId="77777777" w:rsidR="000F0526" w:rsidRPr="001F151E" w:rsidRDefault="000F0526" w:rsidP="000C70FA">
            <w:pPr>
              <w:rPr>
                <w:sz w:val="16"/>
                <w:szCs w:val="16"/>
                <w:highlight w:val="yellow"/>
              </w:rPr>
            </w:pPr>
          </w:p>
        </w:tc>
      </w:tr>
      <w:tr w:rsidR="00ED064F" w:rsidRPr="001F151E" w14:paraId="5AE6B28E" w14:textId="77777777" w:rsidTr="000C70FA">
        <w:trPr>
          <w:trHeight w:val="1012"/>
        </w:trPr>
        <w:tc>
          <w:tcPr>
            <w:tcW w:w="1980" w:type="dxa"/>
          </w:tcPr>
          <w:p w14:paraId="3C24624D" w14:textId="0C5044D9" w:rsidR="00ED064F" w:rsidRPr="009D660E" w:rsidRDefault="00A07E1E" w:rsidP="000C70FA">
            <w:pPr>
              <w:pStyle w:val="T-bold"/>
              <w:rPr>
                <w:lang w:val="it-IT"/>
              </w:rPr>
            </w:pPr>
            <w:r w:rsidRPr="009D660E">
              <w:rPr>
                <w:lang w:val="it-IT"/>
              </w:rPr>
              <w:t xml:space="preserve">Masa 5.4.5. Zhvillimi i opsioneve të thjeshtuara të kostos (SCO)   </w:t>
            </w:r>
          </w:p>
        </w:tc>
        <w:tc>
          <w:tcPr>
            <w:tcW w:w="3659" w:type="dxa"/>
          </w:tcPr>
          <w:p w14:paraId="5ADBE948" w14:textId="0ABB5C4C" w:rsidR="00ED064F" w:rsidRPr="009D660E" w:rsidRDefault="00A07E1E" w:rsidP="00CD7428">
            <w:pPr>
              <w:pStyle w:val="T-number"/>
              <w:numPr>
                <w:ilvl w:val="0"/>
                <w:numId w:val="111"/>
              </w:numPr>
              <w:jc w:val="both"/>
              <w:rPr>
                <w:rStyle w:val="rynqvb"/>
                <w:lang w:val="it-IT"/>
              </w:rPr>
            </w:pPr>
            <w:r w:rsidRPr="009D660E">
              <w:rPr>
                <w:rStyle w:val="rynqvb"/>
                <w:lang w:val="it-IT"/>
              </w:rPr>
              <w:t xml:space="preserve">Përcaktimi i rregullave për zhvillimin dhe zbatimin e opsioneve të kostos së thjeshtuar, duke përfshirë legjislacionin, SCO-të standarde për sektorë të veçantë, etj. </w:t>
            </w:r>
          </w:p>
        </w:tc>
        <w:tc>
          <w:tcPr>
            <w:tcW w:w="798" w:type="dxa"/>
            <w:vAlign w:val="center"/>
          </w:tcPr>
          <w:p w14:paraId="419149AB" w14:textId="6BF0E143" w:rsidR="00ED064F" w:rsidRDefault="00A07E1E" w:rsidP="000C70FA">
            <w:pPr>
              <w:jc w:val="center"/>
              <w:rPr>
                <w:sz w:val="16"/>
                <w:szCs w:val="16"/>
              </w:rPr>
            </w:pPr>
            <w:r>
              <w:rPr>
                <w:sz w:val="16"/>
                <w:szCs w:val="16"/>
              </w:rPr>
              <w:t>T2 2024</w:t>
            </w:r>
          </w:p>
        </w:tc>
        <w:tc>
          <w:tcPr>
            <w:tcW w:w="798" w:type="dxa"/>
            <w:vAlign w:val="center"/>
          </w:tcPr>
          <w:p w14:paraId="7DC40F24" w14:textId="5281F985" w:rsidR="00ED064F" w:rsidRDefault="00A07E1E" w:rsidP="000C70FA">
            <w:pPr>
              <w:jc w:val="center"/>
              <w:rPr>
                <w:sz w:val="16"/>
                <w:szCs w:val="16"/>
              </w:rPr>
            </w:pPr>
            <w:r>
              <w:rPr>
                <w:sz w:val="16"/>
                <w:szCs w:val="16"/>
              </w:rPr>
              <w:t>T4 2025</w:t>
            </w:r>
          </w:p>
        </w:tc>
        <w:tc>
          <w:tcPr>
            <w:tcW w:w="1781" w:type="dxa"/>
          </w:tcPr>
          <w:p w14:paraId="7B42ADD6" w14:textId="77777777" w:rsidR="00A07E1E" w:rsidRPr="001F151E" w:rsidRDefault="00A07E1E" w:rsidP="00A07E1E">
            <w:pPr>
              <w:rPr>
                <w:b/>
                <w:bCs/>
                <w:sz w:val="16"/>
                <w:szCs w:val="16"/>
              </w:rPr>
            </w:pPr>
            <w:r>
              <w:rPr>
                <w:b/>
                <w:bCs/>
                <w:sz w:val="16"/>
                <w:szCs w:val="16"/>
              </w:rPr>
              <w:t>Njësitë përgjegjëse</w:t>
            </w:r>
            <w:r w:rsidRPr="001F151E">
              <w:rPr>
                <w:b/>
                <w:bCs/>
                <w:sz w:val="16"/>
                <w:szCs w:val="16"/>
              </w:rPr>
              <w:t>:</w:t>
            </w:r>
          </w:p>
          <w:p w14:paraId="4813F5E2" w14:textId="77777777" w:rsidR="00A07E1E" w:rsidRPr="00454DA5" w:rsidRDefault="00A07E1E" w:rsidP="00A07E1E">
            <w:pPr>
              <w:pStyle w:val="EcorysBody"/>
              <w:rPr>
                <w:rFonts w:ascii="Arial" w:hAnsi="Arial" w:cs="Arial"/>
                <w:sz w:val="16"/>
                <w:szCs w:val="16"/>
              </w:rPr>
            </w:pPr>
            <w:r>
              <w:rPr>
                <w:rFonts w:ascii="Arial" w:hAnsi="Arial" w:cs="Arial"/>
                <w:sz w:val="16"/>
                <w:szCs w:val="16"/>
              </w:rPr>
              <w:t>SASPAC</w:t>
            </w:r>
            <w:r w:rsidRPr="00454DA5">
              <w:rPr>
                <w:rFonts w:ascii="Arial" w:hAnsi="Arial" w:cs="Arial"/>
                <w:sz w:val="16"/>
                <w:szCs w:val="16"/>
              </w:rPr>
              <w:t xml:space="preserve"> (l</w:t>
            </w:r>
            <w:r>
              <w:rPr>
                <w:rFonts w:ascii="Arial" w:hAnsi="Arial" w:cs="Arial"/>
                <w:sz w:val="16"/>
                <w:szCs w:val="16"/>
              </w:rPr>
              <w:t>ider</w:t>
            </w:r>
            <w:r w:rsidRPr="00454DA5">
              <w:rPr>
                <w:rFonts w:ascii="Arial" w:hAnsi="Arial" w:cs="Arial"/>
                <w:sz w:val="16"/>
                <w:szCs w:val="16"/>
              </w:rPr>
              <w:t>)</w:t>
            </w:r>
          </w:p>
          <w:p w14:paraId="6585D91A" w14:textId="45C993F0" w:rsidR="00ED064F" w:rsidRPr="001F151E" w:rsidRDefault="00A07E1E" w:rsidP="000C70FA">
            <w:pPr>
              <w:rPr>
                <w:sz w:val="16"/>
                <w:szCs w:val="16"/>
                <w:highlight w:val="yellow"/>
              </w:rPr>
            </w:pPr>
            <w:r w:rsidRPr="00A07E1E">
              <w:rPr>
                <w:sz w:val="16"/>
                <w:szCs w:val="16"/>
              </w:rPr>
              <w:t xml:space="preserve">CFCU, </w:t>
            </w:r>
            <w:r>
              <w:rPr>
                <w:sz w:val="16"/>
                <w:szCs w:val="16"/>
              </w:rPr>
              <w:t>Autoritetet Menaxhuese për Programet Operative IPA III.</w:t>
            </w:r>
          </w:p>
        </w:tc>
      </w:tr>
    </w:tbl>
    <w:p w14:paraId="4D61EB21" w14:textId="77777777" w:rsidR="000F0526" w:rsidRPr="001F151E" w:rsidRDefault="000F0526" w:rsidP="000F0526">
      <w:pPr>
        <w:pStyle w:val="H5"/>
        <w:rPr>
          <w:highlight w:val="yellow"/>
          <w:lang w:val="en-GB"/>
        </w:rPr>
      </w:pPr>
    </w:p>
    <w:p w14:paraId="40862848" w14:textId="77777777" w:rsidR="000F0526" w:rsidRPr="009D660E" w:rsidRDefault="000F0526" w:rsidP="000F0526">
      <w:pPr>
        <w:pStyle w:val="H5"/>
        <w:rPr>
          <w:lang w:val="it-IT"/>
        </w:rPr>
      </w:pPr>
      <w:r w:rsidRPr="009D660E">
        <w:rPr>
          <w:lang w:val="it-IT"/>
        </w:rPr>
        <w:t>Treguesit e performancës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0F0526" w:rsidRPr="001F151E" w14:paraId="0C3ED72E" w14:textId="77777777" w:rsidTr="000C70FA">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41D15" w14:textId="77777777" w:rsidR="000F0526" w:rsidRPr="001F151E" w:rsidRDefault="000F0526" w:rsidP="000C70FA">
            <w:pPr>
              <w:pStyle w:val="T-bold"/>
              <w:spacing w:line="200" w:lineRule="exact"/>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9CA10A" w14:textId="77777777" w:rsidR="000F0526" w:rsidRPr="001F151E" w:rsidRDefault="000F0526" w:rsidP="000C70FA">
            <w:pPr>
              <w:pStyle w:val="T-bold"/>
              <w:spacing w:line="200" w:lineRule="exact"/>
              <w:jc w:val="center"/>
            </w:pPr>
            <w:r>
              <w:t>Vlera bazë</w:t>
            </w:r>
            <w:r w:rsidRPr="001F151E">
              <w:t xml:space="preserve"> (</w:t>
            </w:r>
            <w:r>
              <w:t>viti</w:t>
            </w:r>
            <w:r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DB0AEC" w14:textId="77777777" w:rsidR="000F0526" w:rsidRPr="001F151E" w:rsidRDefault="000F0526" w:rsidP="000C70FA">
            <w:pPr>
              <w:pStyle w:val="T-bold"/>
              <w:spacing w:line="200" w:lineRule="exact"/>
              <w:jc w:val="center"/>
            </w:pPr>
            <w:r>
              <w:t>Vlera e synuar</w:t>
            </w:r>
          </w:p>
        </w:tc>
      </w:tr>
      <w:tr w:rsidR="000F0526" w:rsidRPr="001F151E" w14:paraId="210D2FD1" w14:textId="77777777" w:rsidTr="000C70FA">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61D1B236" w14:textId="77777777" w:rsidR="000F0526" w:rsidRPr="001F151E" w:rsidRDefault="000F0526" w:rsidP="000C70FA">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4AEABCA" w14:textId="77777777" w:rsidR="000F0526" w:rsidRPr="001F151E" w:rsidRDefault="000F0526" w:rsidP="000C70FA">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14CFB" w14:textId="77777777" w:rsidR="000F0526" w:rsidRPr="001F151E" w:rsidRDefault="000F0526" w:rsidP="000C70FA">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328E7" w14:textId="77777777" w:rsidR="000F0526" w:rsidRPr="001F151E" w:rsidRDefault="000F0526" w:rsidP="000C70FA">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74F92B" w14:textId="77777777" w:rsidR="000F0526" w:rsidRPr="001F151E" w:rsidRDefault="000F0526" w:rsidP="000C70FA">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879288" w14:textId="77777777" w:rsidR="000F0526" w:rsidRPr="001F151E" w:rsidRDefault="000F0526" w:rsidP="000C70FA">
            <w:pPr>
              <w:pStyle w:val="T-bold"/>
              <w:spacing w:line="200" w:lineRule="exact"/>
              <w:jc w:val="center"/>
            </w:pPr>
            <w:r w:rsidRPr="001F151E">
              <w:t>2026</w:t>
            </w:r>
          </w:p>
        </w:tc>
      </w:tr>
      <w:tr w:rsidR="000F0526" w:rsidRPr="001F151E" w14:paraId="03621C92" w14:textId="77777777" w:rsidTr="000C70FA">
        <w:trPr>
          <w:trHeight w:val="21"/>
        </w:trPr>
        <w:tc>
          <w:tcPr>
            <w:tcW w:w="3114" w:type="dxa"/>
            <w:tcBorders>
              <w:top w:val="single" w:sz="4" w:space="0" w:color="auto"/>
              <w:left w:val="single" w:sz="4" w:space="0" w:color="auto"/>
              <w:bottom w:val="single" w:sz="4" w:space="0" w:color="auto"/>
              <w:right w:val="single" w:sz="4" w:space="0" w:color="auto"/>
            </w:tcBorders>
          </w:tcPr>
          <w:p w14:paraId="11F0388D" w14:textId="77777777" w:rsidR="000F0526" w:rsidRPr="001F151E" w:rsidRDefault="000F0526" w:rsidP="000F0526">
            <w:pPr>
              <w:pStyle w:val="T-number"/>
              <w:numPr>
                <w:ilvl w:val="0"/>
                <w:numId w:val="29"/>
              </w:numPr>
            </w:pPr>
            <w:r>
              <w:t>Hartohet dhe miratohet p</w:t>
            </w:r>
            <w:r w:rsidRPr="00EF75D8">
              <w:t xml:space="preserve">aketa </w:t>
            </w:r>
            <w:r>
              <w:t>për marrjen e</w:t>
            </w:r>
            <w:r w:rsidRPr="00EF75D8">
              <w:t xml:space="preserve"> besimit IPA-III</w:t>
            </w:r>
            <w:r>
              <w:t>.</w:t>
            </w:r>
          </w:p>
        </w:tc>
        <w:tc>
          <w:tcPr>
            <w:tcW w:w="1180" w:type="dxa"/>
            <w:tcBorders>
              <w:top w:val="single" w:sz="4" w:space="0" w:color="auto"/>
              <w:left w:val="single" w:sz="4" w:space="0" w:color="auto"/>
              <w:bottom w:val="single" w:sz="4" w:space="0" w:color="auto"/>
              <w:right w:val="single" w:sz="4" w:space="0" w:color="auto"/>
            </w:tcBorders>
            <w:vAlign w:val="center"/>
          </w:tcPr>
          <w:p w14:paraId="47B6219C" w14:textId="77777777" w:rsidR="000F0526" w:rsidRPr="001F151E" w:rsidRDefault="000F0526" w:rsidP="000C70F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313433D7" w14:textId="77777777" w:rsidR="000F0526" w:rsidRPr="001F151E" w:rsidRDefault="000F0526" w:rsidP="000C70FA">
            <w:pPr>
              <w:pStyle w:val="T-normal"/>
              <w:jc w:val="center"/>
            </w:pPr>
            <w:r>
              <w:t>Hartohet p</w:t>
            </w:r>
            <w:r w:rsidRPr="00EF75D8">
              <w:t xml:space="preserve">aketa </w:t>
            </w:r>
            <w:r>
              <w:t>për marrjen e</w:t>
            </w:r>
            <w:r w:rsidRPr="00EF75D8">
              <w:t xml:space="preserve"> besimit IPA-III</w:t>
            </w:r>
          </w:p>
        </w:tc>
        <w:tc>
          <w:tcPr>
            <w:tcW w:w="1180" w:type="dxa"/>
            <w:tcBorders>
              <w:top w:val="single" w:sz="4" w:space="0" w:color="auto"/>
              <w:left w:val="single" w:sz="4" w:space="0" w:color="auto"/>
              <w:bottom w:val="single" w:sz="4" w:space="0" w:color="auto"/>
              <w:right w:val="single" w:sz="4" w:space="0" w:color="auto"/>
            </w:tcBorders>
            <w:vAlign w:val="center"/>
          </w:tcPr>
          <w:p w14:paraId="3AB59499" w14:textId="09364D2E" w:rsidR="000F0526" w:rsidRPr="009D660E" w:rsidRDefault="00E24A29" w:rsidP="000C70FA">
            <w:pPr>
              <w:pStyle w:val="T-normal"/>
              <w:jc w:val="center"/>
              <w:rPr>
                <w:lang w:val="it-IT"/>
              </w:rPr>
            </w:pPr>
            <w:r w:rsidRPr="009D660E">
              <w:rPr>
                <w:lang w:val="it-IT"/>
              </w:rPr>
              <w:t>Miratohet</w:t>
            </w:r>
            <w:r w:rsidR="000F0526" w:rsidRPr="009D660E">
              <w:rPr>
                <w:lang w:val="it-IT"/>
              </w:rPr>
              <w:t xml:space="preserve"> paketa për marrjen e besimit IPA-III</w:t>
            </w:r>
          </w:p>
        </w:tc>
        <w:tc>
          <w:tcPr>
            <w:tcW w:w="1181" w:type="dxa"/>
            <w:tcBorders>
              <w:top w:val="single" w:sz="4" w:space="0" w:color="auto"/>
              <w:left w:val="single" w:sz="4" w:space="0" w:color="auto"/>
              <w:bottom w:val="single" w:sz="4" w:space="0" w:color="auto"/>
              <w:right w:val="single" w:sz="4" w:space="0" w:color="auto"/>
            </w:tcBorders>
            <w:vAlign w:val="center"/>
          </w:tcPr>
          <w:p w14:paraId="63129516" w14:textId="77777777" w:rsidR="000F0526" w:rsidRPr="001F151E" w:rsidRDefault="000F0526" w:rsidP="000C70FA">
            <w:pPr>
              <w:pStyle w:val="T-normal"/>
              <w:jc w:val="center"/>
            </w:pPr>
            <w:r>
              <w:t>Zbatohet p</w:t>
            </w:r>
            <w:r w:rsidRPr="00EF75D8">
              <w:t xml:space="preserve">aketa </w:t>
            </w:r>
            <w:r>
              <w:t>për marrjen e</w:t>
            </w:r>
            <w:r w:rsidRPr="00EF75D8">
              <w:t xml:space="preserve"> besimit IPA-III</w:t>
            </w:r>
          </w:p>
        </w:tc>
        <w:tc>
          <w:tcPr>
            <w:tcW w:w="1181" w:type="dxa"/>
            <w:tcBorders>
              <w:top w:val="single" w:sz="4" w:space="0" w:color="auto"/>
              <w:left w:val="single" w:sz="4" w:space="0" w:color="auto"/>
              <w:bottom w:val="single" w:sz="4" w:space="0" w:color="auto"/>
              <w:right w:val="single" w:sz="4" w:space="0" w:color="auto"/>
            </w:tcBorders>
            <w:vAlign w:val="center"/>
          </w:tcPr>
          <w:p w14:paraId="5AEE4F39" w14:textId="77777777" w:rsidR="000F0526" w:rsidRPr="001F151E" w:rsidRDefault="000F0526" w:rsidP="000C70FA">
            <w:pPr>
              <w:pStyle w:val="T-normal"/>
              <w:jc w:val="center"/>
            </w:pPr>
            <w:r>
              <w:t>Zbatohet p</w:t>
            </w:r>
            <w:r w:rsidRPr="00EF75D8">
              <w:t xml:space="preserve">aketa </w:t>
            </w:r>
            <w:r>
              <w:t>për marrjen e</w:t>
            </w:r>
            <w:r w:rsidRPr="00EF75D8">
              <w:t xml:space="preserve"> besimit IPA-III</w:t>
            </w:r>
          </w:p>
        </w:tc>
      </w:tr>
      <w:tr w:rsidR="000F0526" w:rsidRPr="001F151E" w14:paraId="44DC41D1" w14:textId="77777777" w:rsidTr="000C70FA">
        <w:tc>
          <w:tcPr>
            <w:tcW w:w="3114" w:type="dxa"/>
            <w:tcBorders>
              <w:top w:val="single" w:sz="4" w:space="0" w:color="auto"/>
              <w:left w:val="single" w:sz="4" w:space="0" w:color="auto"/>
              <w:bottom w:val="single" w:sz="4" w:space="0" w:color="auto"/>
              <w:right w:val="single" w:sz="4" w:space="0" w:color="auto"/>
            </w:tcBorders>
          </w:tcPr>
          <w:p w14:paraId="65EEBEDD" w14:textId="77777777" w:rsidR="000F0526" w:rsidRPr="001F151E" w:rsidRDefault="000F0526" w:rsidP="00187239">
            <w:pPr>
              <w:pStyle w:val="T-number"/>
            </w:pPr>
            <w:r>
              <w:rPr>
                <w:rStyle w:val="rynqvb"/>
              </w:rPr>
              <w:t>Prezantohet Udhëzuesi për përshtatjen dhe rikuperimin (UPR) të fondeve të BE-së</w:t>
            </w:r>
          </w:p>
        </w:tc>
        <w:tc>
          <w:tcPr>
            <w:tcW w:w="1180" w:type="dxa"/>
            <w:tcBorders>
              <w:top w:val="single" w:sz="4" w:space="0" w:color="auto"/>
              <w:left w:val="single" w:sz="4" w:space="0" w:color="auto"/>
              <w:bottom w:val="single" w:sz="4" w:space="0" w:color="auto"/>
              <w:right w:val="single" w:sz="4" w:space="0" w:color="auto"/>
            </w:tcBorders>
            <w:vAlign w:val="center"/>
          </w:tcPr>
          <w:p w14:paraId="131D1C79" w14:textId="77777777" w:rsidR="000F0526" w:rsidRPr="001F151E" w:rsidRDefault="000F0526" w:rsidP="000C70F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5EDA0EEB" w14:textId="77777777" w:rsidR="000F0526" w:rsidRPr="001F151E" w:rsidRDefault="000F0526" w:rsidP="000C70FA">
            <w:pPr>
              <w:pStyle w:val="T-normal"/>
              <w:jc w:val="center"/>
              <w:rPr>
                <w:rFonts w:ascii="Arial Narrow" w:hAnsi="Arial Narrow"/>
                <w:sz w:val="15"/>
                <w:szCs w:val="15"/>
              </w:rPr>
            </w:pPr>
            <w:r w:rsidRPr="001F151E">
              <w:rPr>
                <w:rFonts w:ascii="Arial Narrow" w:hAnsi="Arial Narrow"/>
                <w:sz w:val="15"/>
                <w:szCs w:val="15"/>
              </w:rPr>
              <w:t>-</w:t>
            </w:r>
          </w:p>
        </w:tc>
        <w:tc>
          <w:tcPr>
            <w:tcW w:w="1180" w:type="dxa"/>
            <w:tcBorders>
              <w:top w:val="single" w:sz="4" w:space="0" w:color="auto"/>
              <w:left w:val="single" w:sz="4" w:space="0" w:color="auto"/>
              <w:bottom w:val="single" w:sz="4" w:space="0" w:color="auto"/>
              <w:right w:val="single" w:sz="4" w:space="0" w:color="auto"/>
            </w:tcBorders>
            <w:vAlign w:val="center"/>
          </w:tcPr>
          <w:p w14:paraId="6E7B39B7" w14:textId="77777777" w:rsidR="000F0526" w:rsidRPr="001F151E" w:rsidRDefault="000F0526" w:rsidP="000C70FA">
            <w:pPr>
              <w:pStyle w:val="T-normal"/>
              <w:jc w:val="center"/>
            </w:pPr>
            <w:r>
              <w:t>UPR</w:t>
            </w:r>
            <w:r w:rsidRPr="001F151E">
              <w:t xml:space="preserve"> </w:t>
            </w:r>
          </w:p>
          <w:p w14:paraId="08621459" w14:textId="77777777" w:rsidR="000F0526" w:rsidRPr="001F151E" w:rsidRDefault="000F0526" w:rsidP="000C70FA">
            <w:pPr>
              <w:pStyle w:val="T-normal"/>
              <w:jc w:val="center"/>
              <w:rPr>
                <w:rFonts w:ascii="Arial Narrow" w:hAnsi="Arial Narrow"/>
                <w:sz w:val="15"/>
                <w:szCs w:val="15"/>
              </w:rPr>
            </w:pPr>
            <w:r>
              <w:t>miratohet</w:t>
            </w:r>
          </w:p>
        </w:tc>
        <w:tc>
          <w:tcPr>
            <w:tcW w:w="1181" w:type="dxa"/>
            <w:tcBorders>
              <w:top w:val="single" w:sz="4" w:space="0" w:color="auto"/>
              <w:left w:val="single" w:sz="4" w:space="0" w:color="auto"/>
              <w:bottom w:val="single" w:sz="4" w:space="0" w:color="auto"/>
              <w:right w:val="single" w:sz="4" w:space="0" w:color="auto"/>
            </w:tcBorders>
            <w:vAlign w:val="center"/>
          </w:tcPr>
          <w:p w14:paraId="35B35F58" w14:textId="77777777" w:rsidR="000F0526" w:rsidRPr="001F151E" w:rsidRDefault="000F0526" w:rsidP="000C70FA">
            <w:pPr>
              <w:pStyle w:val="T-normal"/>
              <w:jc w:val="center"/>
              <w:rPr>
                <w:rFonts w:ascii="Arial Narrow" w:hAnsi="Arial Narrow"/>
                <w:sz w:val="15"/>
                <w:szCs w:val="15"/>
              </w:rPr>
            </w:pPr>
            <w:r>
              <w:t>UPR</w:t>
            </w:r>
            <w:r w:rsidRPr="001F151E">
              <w:t xml:space="preserve"> </w:t>
            </w:r>
            <w:r>
              <w:t>zbatohet</w:t>
            </w:r>
          </w:p>
        </w:tc>
        <w:tc>
          <w:tcPr>
            <w:tcW w:w="1181" w:type="dxa"/>
            <w:tcBorders>
              <w:top w:val="single" w:sz="4" w:space="0" w:color="auto"/>
              <w:left w:val="single" w:sz="4" w:space="0" w:color="auto"/>
              <w:bottom w:val="single" w:sz="4" w:space="0" w:color="auto"/>
              <w:right w:val="single" w:sz="4" w:space="0" w:color="auto"/>
            </w:tcBorders>
            <w:vAlign w:val="center"/>
          </w:tcPr>
          <w:p w14:paraId="3D5D719C" w14:textId="77777777" w:rsidR="000F0526" w:rsidRPr="001F151E" w:rsidRDefault="000F0526" w:rsidP="000C70FA">
            <w:pPr>
              <w:pStyle w:val="T-normal"/>
              <w:jc w:val="center"/>
            </w:pPr>
            <w:r>
              <w:t>UPR</w:t>
            </w:r>
            <w:r w:rsidRPr="001F151E">
              <w:t xml:space="preserve"> </w:t>
            </w:r>
            <w:r>
              <w:t>zbatohet</w:t>
            </w:r>
          </w:p>
        </w:tc>
      </w:tr>
    </w:tbl>
    <w:p w14:paraId="12F9AE55" w14:textId="77777777" w:rsidR="00FA16E5" w:rsidRDefault="00FA16E5" w:rsidP="00FA16E5">
      <w:pPr>
        <w:pStyle w:val="Heading1"/>
        <w:numPr>
          <w:ilvl w:val="0"/>
          <w:numId w:val="0"/>
        </w:numPr>
        <w:ind w:left="432"/>
        <w:rPr>
          <w:lang w:val="en-GB"/>
        </w:rPr>
      </w:pPr>
    </w:p>
    <w:p w14:paraId="0FA1A04A" w14:textId="77777777" w:rsidR="00FA16E5" w:rsidRPr="00FA16E5" w:rsidRDefault="00FA16E5" w:rsidP="00FA16E5">
      <w:pPr>
        <w:rPr>
          <w:lang w:val="en-GB"/>
        </w:rPr>
      </w:pPr>
    </w:p>
    <w:p w14:paraId="60AA29BF" w14:textId="77777777" w:rsidR="000F0526" w:rsidRPr="001F151E" w:rsidRDefault="000F0526" w:rsidP="000F0526">
      <w:pPr>
        <w:pStyle w:val="Heading1"/>
        <w:rPr>
          <w:lang w:val="en-GB"/>
        </w:rPr>
      </w:pPr>
      <w:bookmarkStart w:id="59" w:name="_Toc161748837"/>
      <w:r>
        <w:rPr>
          <w:lang w:val="en-GB"/>
        </w:rPr>
        <w:t>Shtylla</w:t>
      </w:r>
      <w:r w:rsidRPr="001F151E">
        <w:rPr>
          <w:lang w:val="en-GB"/>
        </w:rPr>
        <w:t xml:space="preserve"> 6 </w:t>
      </w:r>
      <w:r>
        <w:rPr>
          <w:rStyle w:val="rynqvb"/>
        </w:rPr>
        <w:t>Mbikëqyrja e Jashtme</w:t>
      </w:r>
      <w:bookmarkEnd w:id="59"/>
    </w:p>
    <w:p w14:paraId="7B10759A" w14:textId="77777777" w:rsidR="000F0526" w:rsidRPr="001F151E" w:rsidRDefault="000F0526" w:rsidP="000F0526">
      <w:pPr>
        <w:rPr>
          <w:lang w:val="en-GB"/>
        </w:rPr>
      </w:pPr>
    </w:p>
    <w:p w14:paraId="417C8065" w14:textId="77777777" w:rsidR="000F0526" w:rsidRPr="001F151E" w:rsidRDefault="000F0526" w:rsidP="000F0526">
      <w:pPr>
        <w:rPr>
          <w:lang w:val="en-GB"/>
        </w:rPr>
      </w:pPr>
    </w:p>
    <w:p w14:paraId="60566873" w14:textId="77777777" w:rsidR="000F0526" w:rsidRPr="001F151E" w:rsidRDefault="000F0526" w:rsidP="000F0526">
      <w:pPr>
        <w:pStyle w:val="Heading2"/>
        <w:rPr>
          <w:lang w:val="en-GB"/>
        </w:rPr>
      </w:pPr>
      <w:bookmarkStart w:id="60" w:name="_Toc161748838"/>
      <w:r>
        <w:rPr>
          <w:lang w:val="en-GB"/>
        </w:rPr>
        <w:t>Hyrje</w:t>
      </w:r>
      <w:bookmarkEnd w:id="60"/>
    </w:p>
    <w:p w14:paraId="6DF1E1BC" w14:textId="77777777" w:rsidR="000F0526" w:rsidRPr="001F151E" w:rsidRDefault="000F0526" w:rsidP="000F0526">
      <w:pPr>
        <w:rPr>
          <w:lang w:val="en-GB"/>
        </w:rPr>
      </w:pPr>
    </w:p>
    <w:p w14:paraId="736DE0F4" w14:textId="77777777" w:rsidR="000F0526" w:rsidRPr="001F151E" w:rsidRDefault="000F0526" w:rsidP="000F0526">
      <w:pPr>
        <w:spacing w:line="276" w:lineRule="auto"/>
        <w:jc w:val="both"/>
        <w:rPr>
          <w:lang w:val="en-GB"/>
        </w:rPr>
      </w:pPr>
      <w:r>
        <w:rPr>
          <w:rStyle w:val="rynqvb"/>
        </w:rPr>
        <w:t>Objektivi specifik i Shtyllës 6 është “Forcimi i mekanizmave të mbikëqyrjes së jashtme” dhe mbulon auditimin e jashtëm dhe mbikëqyrjen parlamentare.</w:t>
      </w:r>
      <w:r w:rsidRPr="001F151E">
        <w:rPr>
          <w:lang w:val="en-GB"/>
        </w:rPr>
        <w:t xml:space="preserve">  </w:t>
      </w:r>
    </w:p>
    <w:p w14:paraId="595BF3FD" w14:textId="77777777" w:rsidR="000F0526" w:rsidRPr="001F151E" w:rsidRDefault="000F0526" w:rsidP="000F0526">
      <w:pPr>
        <w:spacing w:line="276" w:lineRule="auto"/>
        <w:jc w:val="both"/>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9026"/>
      </w:tblGrid>
      <w:tr w:rsidR="000F0526" w:rsidRPr="0059094E" w14:paraId="2FBA9DE2" w14:textId="77777777" w:rsidTr="000C70FA">
        <w:trPr>
          <w:trHeight w:val="2111"/>
        </w:trPr>
        <w:tc>
          <w:tcPr>
            <w:tcW w:w="9016" w:type="dxa"/>
            <w:shd w:val="clear" w:color="auto" w:fill="F2F2F2" w:themeFill="background1" w:themeFillShade="F2"/>
          </w:tcPr>
          <w:p w14:paraId="37AC1AC9" w14:textId="77777777" w:rsidR="000F0526" w:rsidRPr="001F151E" w:rsidRDefault="000F0526" w:rsidP="000C70FA">
            <w:pPr>
              <w:pStyle w:val="T-bold"/>
              <w:spacing w:after="60" w:line="276" w:lineRule="auto"/>
              <w:jc w:val="both"/>
              <w:rPr>
                <w:rStyle w:val="IntenseReference"/>
                <w:i w:val="0"/>
                <w:color w:val="auto"/>
                <w:sz w:val="16"/>
                <w:szCs w:val="16"/>
              </w:rPr>
            </w:pPr>
            <w:r>
              <w:rPr>
                <w:rStyle w:val="IntenseReference"/>
                <w:i w:val="0"/>
                <w:color w:val="auto"/>
                <w:sz w:val="16"/>
                <w:szCs w:val="16"/>
              </w:rPr>
              <w:t>K</w:t>
            </w:r>
            <w:r w:rsidRPr="001F151E">
              <w:rPr>
                <w:rStyle w:val="IntenseReference"/>
                <w:i w:val="0"/>
                <w:color w:val="auto"/>
                <w:sz w:val="16"/>
                <w:szCs w:val="16"/>
              </w:rPr>
              <w:t>omponent</w:t>
            </w:r>
            <w:r>
              <w:rPr>
                <w:rStyle w:val="IntenseReference"/>
                <w:i w:val="0"/>
                <w:color w:val="auto"/>
                <w:sz w:val="16"/>
                <w:szCs w:val="16"/>
              </w:rPr>
              <w:t>i</w:t>
            </w:r>
            <w:r w:rsidRPr="001F151E">
              <w:rPr>
                <w:rStyle w:val="IntenseReference"/>
                <w:i w:val="0"/>
                <w:color w:val="auto"/>
                <w:sz w:val="16"/>
                <w:szCs w:val="16"/>
              </w:rPr>
              <w:t xml:space="preserve"> 6.1 </w:t>
            </w:r>
            <w:r>
              <w:rPr>
                <w:rStyle w:val="IntenseReference"/>
                <w:i w:val="0"/>
                <w:color w:val="auto"/>
                <w:sz w:val="16"/>
                <w:szCs w:val="16"/>
              </w:rPr>
              <w:t>Auditimi i Jashtëm</w:t>
            </w:r>
          </w:p>
          <w:p w14:paraId="608C5DBF" w14:textId="77777777" w:rsidR="000F0526" w:rsidRPr="001F151E" w:rsidRDefault="000F0526" w:rsidP="000C70FA">
            <w:pPr>
              <w:pStyle w:val="T-normal"/>
              <w:spacing w:after="60" w:line="276" w:lineRule="auto"/>
              <w:jc w:val="both"/>
            </w:pPr>
            <w:r>
              <w:t>Synimi</w:t>
            </w:r>
            <w:r w:rsidRPr="001F151E">
              <w:t xml:space="preserve"> 2030: </w:t>
            </w:r>
            <w:r w:rsidRPr="002036DB">
              <w:t xml:space="preserve">të sigurohet që funksioni i Kontrollit të Lartë të funksionojë bazuar në parimet e </w:t>
            </w:r>
            <w:r>
              <w:rPr>
                <w:rStyle w:val="rynqvb"/>
              </w:rPr>
              <w:t>Organizatës Ndërkombëtare të Institucioneve Supreme të Auditimit</w:t>
            </w:r>
            <w:r w:rsidRPr="002036DB">
              <w:t xml:space="preserve"> </w:t>
            </w:r>
            <w:r>
              <w:t xml:space="preserve">(ONISA) </w:t>
            </w:r>
            <w:r w:rsidRPr="002036DB">
              <w:t>dhe në përputhje të plotë me Standardet Ndërkombëtare për Institucionet Supreme të Auditimit (</w:t>
            </w:r>
            <w:r>
              <w:t>SNISA</w:t>
            </w:r>
            <w:r w:rsidRPr="002036DB">
              <w:t xml:space="preserve">) nëpërmjet përmirësimit të mëtejshëm të kuadrit ligjor, rregullator dhe metodologjik dhe vendosjes së mjeteve </w:t>
            </w:r>
            <w:r>
              <w:t>dhe</w:t>
            </w:r>
            <w:r w:rsidRPr="002036DB">
              <w:t xml:space="preserve"> kapaciteteve të mjaftueshme </w:t>
            </w:r>
            <w:r>
              <w:t xml:space="preserve">të audituesve </w:t>
            </w:r>
            <w:r w:rsidRPr="002036DB">
              <w:t>dhe stafi</w:t>
            </w:r>
            <w:r>
              <w:t>t</w:t>
            </w:r>
            <w:r w:rsidRPr="002036DB">
              <w:t xml:space="preserve"> mbështetës</w:t>
            </w:r>
            <w:r w:rsidRPr="001F151E">
              <w:t>.</w:t>
            </w:r>
          </w:p>
          <w:p w14:paraId="03F5423B" w14:textId="77777777" w:rsidR="000F0526" w:rsidRPr="001F151E" w:rsidRDefault="000F0526" w:rsidP="000C70FA">
            <w:pPr>
              <w:pStyle w:val="T-normal"/>
              <w:spacing w:line="276" w:lineRule="auto"/>
              <w:jc w:val="both"/>
            </w:pPr>
            <w:r w:rsidRPr="001F151E">
              <w:t>M</w:t>
            </w:r>
            <w:r>
              <w:t>asat për vitet</w:t>
            </w:r>
            <w:r w:rsidRPr="001F151E">
              <w:t xml:space="preserve"> 2023-2026:</w:t>
            </w:r>
          </w:p>
          <w:p w14:paraId="72FA7CBD" w14:textId="7F0B0C9F" w:rsidR="000F0526" w:rsidRPr="001F151E" w:rsidRDefault="000F0526" w:rsidP="000C70FA">
            <w:pPr>
              <w:pStyle w:val="T-Bullet"/>
              <w:spacing w:line="276" w:lineRule="auto"/>
              <w:jc w:val="both"/>
            </w:pPr>
            <w:r>
              <w:t>Masa</w:t>
            </w:r>
            <w:r w:rsidRPr="001F151E">
              <w:t xml:space="preserve"> 6.1.1 </w:t>
            </w:r>
            <w:r w:rsidRPr="006D1264">
              <w:t>Përmirësimi i mëtejsh</w:t>
            </w:r>
            <w:r>
              <w:t>ë</w:t>
            </w:r>
            <w:r w:rsidRPr="006D1264">
              <w:t xml:space="preserve">m i kuadrit metodologjik ligjor, rregullator dhe </w:t>
            </w:r>
            <w:r w:rsidR="007903FE">
              <w:t>fleksibël</w:t>
            </w:r>
            <w:r w:rsidRPr="006D1264">
              <w:t xml:space="preserve"> dhe zgjerimi i përdorimit t</w:t>
            </w:r>
            <w:r>
              <w:t>ë</w:t>
            </w:r>
            <w:r w:rsidRPr="006D1264">
              <w:t xml:space="preserve"> mjeteve të auditimit</w:t>
            </w:r>
            <w:r w:rsidRPr="001F151E">
              <w:t>;</w:t>
            </w:r>
          </w:p>
          <w:p w14:paraId="0E905E6B" w14:textId="77777777" w:rsidR="000F0526" w:rsidRPr="009D660E" w:rsidRDefault="000F0526" w:rsidP="000C70FA">
            <w:pPr>
              <w:pStyle w:val="T-Bullet"/>
              <w:spacing w:line="276" w:lineRule="auto"/>
              <w:jc w:val="both"/>
              <w:rPr>
                <w:lang w:val="it-IT"/>
              </w:rPr>
            </w:pPr>
            <w:r w:rsidRPr="009D660E">
              <w:rPr>
                <w:lang w:val="it-IT"/>
              </w:rPr>
              <w:t>Masa 6.1.2 Profesionalizimi i raportimit dhe komunikimit në përputhje me strategjinë e komunikimit dhe parimet dhe standardet përkatëse.</w:t>
            </w:r>
          </w:p>
          <w:p w14:paraId="5382D6CF" w14:textId="77777777" w:rsidR="000F0526" w:rsidRPr="009D660E" w:rsidRDefault="000F0526" w:rsidP="000C70FA">
            <w:pPr>
              <w:pStyle w:val="T-Bullet"/>
              <w:numPr>
                <w:ilvl w:val="0"/>
                <w:numId w:val="0"/>
              </w:numPr>
              <w:spacing w:line="276" w:lineRule="auto"/>
              <w:jc w:val="both"/>
              <w:rPr>
                <w:rStyle w:val="IntenseReference"/>
                <w:i w:val="0"/>
                <w:color w:val="auto"/>
                <w:sz w:val="16"/>
                <w:szCs w:val="16"/>
                <w:lang w:val="it-IT"/>
              </w:rPr>
            </w:pPr>
          </w:p>
          <w:p w14:paraId="5D7795EB" w14:textId="77777777" w:rsidR="000F0526" w:rsidRPr="009D660E" w:rsidRDefault="000F0526" w:rsidP="000C70FA">
            <w:pPr>
              <w:pStyle w:val="T-bold"/>
              <w:spacing w:after="60" w:line="276" w:lineRule="auto"/>
              <w:jc w:val="both"/>
              <w:rPr>
                <w:rStyle w:val="IntenseReference"/>
                <w:i w:val="0"/>
                <w:color w:val="auto"/>
                <w:sz w:val="16"/>
                <w:szCs w:val="16"/>
                <w:lang w:val="it-IT"/>
              </w:rPr>
            </w:pPr>
            <w:r w:rsidRPr="009D660E">
              <w:rPr>
                <w:rStyle w:val="IntenseReference"/>
                <w:i w:val="0"/>
                <w:color w:val="auto"/>
                <w:sz w:val="16"/>
                <w:szCs w:val="16"/>
                <w:lang w:val="it-IT"/>
              </w:rPr>
              <w:t>Komponenti 6.2 Mbikëqyrja Parlamentare</w:t>
            </w:r>
          </w:p>
          <w:p w14:paraId="4FBF4697" w14:textId="77777777" w:rsidR="000F0526" w:rsidRPr="009D660E" w:rsidRDefault="000F0526" w:rsidP="000C70FA">
            <w:pPr>
              <w:pStyle w:val="T-normal"/>
              <w:spacing w:after="60" w:line="276" w:lineRule="auto"/>
              <w:jc w:val="both"/>
              <w:rPr>
                <w:iCs/>
                <w:lang w:val="it-IT"/>
              </w:rPr>
            </w:pPr>
            <w:r w:rsidRPr="009D660E">
              <w:rPr>
                <w:iCs/>
                <w:lang w:val="it-IT"/>
              </w:rPr>
              <w:t>Synimi 2030: të sigurohet që mjedisi mundësues dhe struktura mbështetëse për Komisionin për Ekonominë dhe Financat të jetë e profesionalizuar duke ndjekur praktikat e mira të BE/OECD, të cilat i lejojnë parlamentit të zbatojë më mirë mandatin e tij të kontrollit dhe mbikëqyrjes.</w:t>
            </w:r>
          </w:p>
          <w:p w14:paraId="7803F01C" w14:textId="77777777" w:rsidR="000F0526" w:rsidRPr="001F151E" w:rsidRDefault="000F0526" w:rsidP="000C70FA">
            <w:pPr>
              <w:pStyle w:val="T-normal"/>
              <w:spacing w:line="276" w:lineRule="auto"/>
              <w:jc w:val="both"/>
            </w:pPr>
            <w:r>
              <w:t>Masat për vitet</w:t>
            </w:r>
            <w:r w:rsidRPr="001F151E">
              <w:t xml:space="preserve"> 2023-2026:</w:t>
            </w:r>
          </w:p>
          <w:p w14:paraId="4A1F5988" w14:textId="77777777" w:rsidR="000F0526" w:rsidRPr="009D660E" w:rsidRDefault="000F0526" w:rsidP="000C70FA">
            <w:pPr>
              <w:pStyle w:val="T-Bullet"/>
              <w:spacing w:line="276" w:lineRule="auto"/>
              <w:jc w:val="both"/>
              <w:rPr>
                <w:lang w:val="it-IT"/>
              </w:rPr>
            </w:pPr>
            <w:r w:rsidRPr="009D660E">
              <w:rPr>
                <w:lang w:val="it-IT"/>
              </w:rPr>
              <w:t>Masa 6.2.1 Profesionalizimi i mëtejshëm i strukturave mbështetëse të Komisionit Parlamentar për Ekonominë dhe Financat.</w:t>
            </w:r>
          </w:p>
        </w:tc>
      </w:tr>
    </w:tbl>
    <w:p w14:paraId="2547BB06" w14:textId="77777777" w:rsidR="000F0526" w:rsidRPr="009D660E" w:rsidRDefault="000F0526" w:rsidP="000F0526">
      <w:pPr>
        <w:rPr>
          <w:rStyle w:val="IntenseReference"/>
          <w:rFonts w:eastAsiaTheme="majorEastAsia" w:cstheme="majorBidi"/>
          <w:i w:val="0"/>
          <w:sz w:val="22"/>
          <w:szCs w:val="22"/>
          <w:lang w:val="it-IT"/>
        </w:rPr>
      </w:pPr>
    </w:p>
    <w:p w14:paraId="4BDE9970" w14:textId="77777777" w:rsidR="000F0526" w:rsidRPr="009D660E" w:rsidRDefault="000F0526" w:rsidP="000F0526">
      <w:pPr>
        <w:rPr>
          <w:rStyle w:val="IntenseReference"/>
          <w:rFonts w:eastAsiaTheme="majorEastAsia" w:cstheme="majorBidi"/>
          <w:i w:val="0"/>
          <w:sz w:val="22"/>
          <w:szCs w:val="22"/>
          <w:lang w:val="it-IT"/>
        </w:rPr>
      </w:pPr>
    </w:p>
    <w:p w14:paraId="35B149BC" w14:textId="77777777" w:rsidR="000F0526" w:rsidRPr="001F151E" w:rsidRDefault="000F0526" w:rsidP="000F0526">
      <w:pPr>
        <w:pStyle w:val="Heading2"/>
        <w:rPr>
          <w:rStyle w:val="IntenseReference"/>
          <w:rFonts w:eastAsiaTheme="majorEastAsia" w:cstheme="majorBidi"/>
          <w:i w:val="0"/>
          <w:sz w:val="22"/>
          <w:szCs w:val="22"/>
          <w:lang w:val="en-GB"/>
        </w:rPr>
      </w:pPr>
      <w:bookmarkStart w:id="61" w:name="_Toc161748839"/>
      <w:r>
        <w:rPr>
          <w:rStyle w:val="IntenseReference"/>
          <w:rFonts w:eastAsiaTheme="majorEastAsia" w:cstheme="majorBidi"/>
          <w:i w:val="0"/>
          <w:sz w:val="22"/>
          <w:szCs w:val="22"/>
          <w:lang w:val="en-GB"/>
        </w:rPr>
        <w:t>K</w:t>
      </w:r>
      <w:r w:rsidRPr="001F151E">
        <w:rPr>
          <w:rStyle w:val="IntenseReference"/>
          <w:rFonts w:eastAsiaTheme="majorEastAsia" w:cstheme="majorBidi"/>
          <w:i w:val="0"/>
          <w:sz w:val="22"/>
          <w:szCs w:val="22"/>
          <w:lang w:val="en-GB"/>
        </w:rPr>
        <w:t>omponent</w:t>
      </w:r>
      <w:r>
        <w:rPr>
          <w:rStyle w:val="IntenseReference"/>
          <w:rFonts w:eastAsiaTheme="majorEastAsia" w:cstheme="majorBidi"/>
          <w:i w:val="0"/>
          <w:sz w:val="22"/>
          <w:szCs w:val="22"/>
          <w:lang w:val="en-GB"/>
        </w:rPr>
        <w:t>i</w:t>
      </w:r>
      <w:r w:rsidRPr="001F151E">
        <w:rPr>
          <w:rStyle w:val="IntenseReference"/>
          <w:rFonts w:eastAsiaTheme="majorEastAsia" w:cstheme="majorBidi"/>
          <w:i w:val="0"/>
          <w:sz w:val="22"/>
          <w:szCs w:val="22"/>
          <w:lang w:val="en-GB"/>
        </w:rPr>
        <w:t xml:space="preserve"> 6.1 </w:t>
      </w:r>
      <w:r>
        <w:rPr>
          <w:rStyle w:val="IntenseReference"/>
          <w:rFonts w:eastAsiaTheme="majorEastAsia" w:cstheme="majorBidi"/>
          <w:i w:val="0"/>
          <w:sz w:val="22"/>
          <w:szCs w:val="22"/>
          <w:lang w:val="en-GB"/>
        </w:rPr>
        <w:t>Auditimi i Jashtën</w:t>
      </w:r>
      <w:bookmarkEnd w:id="61"/>
    </w:p>
    <w:p w14:paraId="6D668849" w14:textId="77777777" w:rsidR="000F0526" w:rsidRPr="001F151E" w:rsidRDefault="000F0526" w:rsidP="000F0526">
      <w:pPr>
        <w:rPr>
          <w:lang w:val="en-GB"/>
        </w:rPr>
      </w:pPr>
    </w:p>
    <w:p w14:paraId="1187544E" w14:textId="77777777" w:rsidR="000F0526" w:rsidRPr="001F151E" w:rsidRDefault="000F0526" w:rsidP="000F0526">
      <w:pPr>
        <w:pStyle w:val="H5"/>
        <w:spacing w:line="276" w:lineRule="auto"/>
        <w:jc w:val="both"/>
        <w:rPr>
          <w:rStyle w:val="Strong"/>
          <w:b/>
          <w:lang w:val="en-GB"/>
        </w:rPr>
      </w:pPr>
      <w:r w:rsidRPr="001F151E">
        <w:rPr>
          <w:rStyle w:val="Strong"/>
          <w:lang w:val="en-GB"/>
        </w:rPr>
        <w:t>Obje</w:t>
      </w:r>
      <w:r>
        <w:rPr>
          <w:rStyle w:val="Strong"/>
          <w:lang w:val="en-GB"/>
        </w:rPr>
        <w:t>ktivi</w:t>
      </w:r>
    </w:p>
    <w:p w14:paraId="0FB9EA83" w14:textId="77777777" w:rsidR="000F0526" w:rsidRPr="001F151E" w:rsidRDefault="000F0526" w:rsidP="000F0526">
      <w:pPr>
        <w:spacing w:line="276" w:lineRule="auto"/>
        <w:jc w:val="both"/>
        <w:rPr>
          <w:lang w:val="en-GB"/>
        </w:rPr>
      </w:pPr>
      <w:r w:rsidRPr="002036DB">
        <w:rPr>
          <w:lang w:val="en-GB"/>
        </w:rPr>
        <w:t xml:space="preserve">Synimi për vitin 2030 është të sigurohet që funksioni i Kontrollit të Lartë të funksionojë bazuar në parimet e </w:t>
      </w:r>
      <w:r>
        <w:rPr>
          <w:rStyle w:val="rynqvb"/>
        </w:rPr>
        <w:t>Organizatës Ndërkombëtare të Institucioneve Supreme të Auditimit</w:t>
      </w:r>
      <w:r w:rsidRPr="002036DB">
        <w:rPr>
          <w:lang w:val="en-GB"/>
        </w:rPr>
        <w:t xml:space="preserve"> </w:t>
      </w:r>
      <w:r>
        <w:rPr>
          <w:lang w:val="en-GB"/>
        </w:rPr>
        <w:t xml:space="preserve">(ONISA) </w:t>
      </w:r>
      <w:r w:rsidRPr="002036DB">
        <w:rPr>
          <w:lang w:val="en-GB"/>
        </w:rPr>
        <w:t>dhe në përputhje të plotë me Standardet Ndërkombëtare për Institucionet Supreme të Auditimit (</w:t>
      </w:r>
      <w:r>
        <w:rPr>
          <w:lang w:val="en-GB"/>
        </w:rPr>
        <w:t>SNISA</w:t>
      </w:r>
      <w:r w:rsidRPr="002036DB">
        <w:rPr>
          <w:lang w:val="en-GB"/>
        </w:rPr>
        <w:t xml:space="preserve">) nëpërmjet përmirësimit të mëtejshëm të kuadrit ligjor, rregullator dhe metodologjik dhe vendosjes së mjeteve </w:t>
      </w:r>
      <w:r>
        <w:rPr>
          <w:lang w:val="en-GB"/>
        </w:rPr>
        <w:t>dhe</w:t>
      </w:r>
      <w:r w:rsidRPr="002036DB">
        <w:rPr>
          <w:lang w:val="en-GB"/>
        </w:rPr>
        <w:t xml:space="preserve"> kapaciteteve të mjaftueshme </w:t>
      </w:r>
      <w:r>
        <w:rPr>
          <w:lang w:val="en-GB"/>
        </w:rPr>
        <w:t xml:space="preserve">të audituesve </w:t>
      </w:r>
      <w:r w:rsidRPr="002036DB">
        <w:rPr>
          <w:lang w:val="en-GB"/>
        </w:rPr>
        <w:t>dhe stafi</w:t>
      </w:r>
      <w:r>
        <w:rPr>
          <w:lang w:val="en-GB"/>
        </w:rPr>
        <w:t>t</w:t>
      </w:r>
      <w:r w:rsidRPr="002036DB">
        <w:rPr>
          <w:lang w:val="en-GB"/>
        </w:rPr>
        <w:t xml:space="preserve"> mbështetës.</w:t>
      </w:r>
    </w:p>
    <w:p w14:paraId="6A666394" w14:textId="77777777" w:rsidR="000F0526" w:rsidRPr="001F151E" w:rsidRDefault="000F0526" w:rsidP="000F0526">
      <w:pPr>
        <w:pStyle w:val="H5"/>
        <w:spacing w:line="276" w:lineRule="auto"/>
        <w:jc w:val="both"/>
        <w:rPr>
          <w:rStyle w:val="Strong"/>
          <w:b/>
          <w:lang w:val="en-GB"/>
        </w:rPr>
      </w:pPr>
    </w:p>
    <w:p w14:paraId="7507033F" w14:textId="77777777" w:rsidR="000F0526" w:rsidRPr="001F151E" w:rsidRDefault="000F0526" w:rsidP="000F0526">
      <w:pPr>
        <w:pStyle w:val="H5"/>
        <w:spacing w:line="276" w:lineRule="auto"/>
        <w:jc w:val="both"/>
        <w:rPr>
          <w:lang w:val="en-GB"/>
        </w:rPr>
      </w:pPr>
      <w:r>
        <w:rPr>
          <w:lang w:val="en-GB"/>
        </w:rPr>
        <w:t>K</w:t>
      </w:r>
      <w:r w:rsidRPr="001F151E">
        <w:rPr>
          <w:lang w:val="en-GB"/>
        </w:rPr>
        <w:t>onte</w:t>
      </w:r>
      <w:r>
        <w:rPr>
          <w:lang w:val="en-GB"/>
        </w:rPr>
        <w:t>ksti</w:t>
      </w:r>
    </w:p>
    <w:p w14:paraId="291489F7" w14:textId="77777777" w:rsidR="000F0526" w:rsidRPr="001F151E" w:rsidRDefault="000F0526" w:rsidP="000F0526">
      <w:pPr>
        <w:spacing w:line="276" w:lineRule="auto"/>
        <w:jc w:val="both"/>
        <w:rPr>
          <w:lang w:val="en-GB"/>
        </w:rPr>
      </w:pPr>
      <w:r>
        <w:rPr>
          <w:rStyle w:val="rynqvb"/>
        </w:rPr>
        <w:t>Pavarësia dhe mandati i KLSH-së sigurohet me ligj</w:t>
      </w:r>
      <w:r w:rsidRPr="001F151E">
        <w:rPr>
          <w:rStyle w:val="FootnoteReference"/>
          <w:lang w:val="en-GB"/>
        </w:rPr>
        <w:footnoteReference w:id="79"/>
      </w:r>
      <w:r>
        <w:rPr>
          <w:rStyle w:val="rynqvb"/>
        </w:rPr>
        <w:t xml:space="preserve"> dhe me kalimin e viteve janë miratuar Standardet Ndërkombëtare për Institucionet Supreme të Auditimit (ISSAI) dhe kuadri rregullator është përshtatur me këto standarte.</w:t>
      </w:r>
      <w:r>
        <w:rPr>
          <w:rStyle w:val="hwtze"/>
        </w:rPr>
        <w:t xml:space="preserve"> </w:t>
      </w:r>
      <w:r>
        <w:rPr>
          <w:rStyle w:val="rynqvb"/>
        </w:rPr>
        <w:t>KLSH auditon çdo vit në përputhje me planin e saj vjetor të auditimit bazuar në risqet e përzgjedhura nga institucionet e qeverisjes qendrore, Ndërmarrjet Shtetërore, Partneritetet Publike Private dhe që nga viti 2021 të gjitha 61 NJQV-të në përputhje me ligjin për qeverisjen vendore.</w:t>
      </w:r>
      <w:r>
        <w:rPr>
          <w:rStyle w:val="hwtze"/>
        </w:rPr>
        <w:t xml:space="preserve"> Në vitin 2018 është future n</w:t>
      </w:r>
      <w:r>
        <w:rPr>
          <w:rStyle w:val="rynqvb"/>
        </w:rPr>
        <w:t>jë kod i ri etikës. KLSH ka krijuar bashkëpunim me Iniciativës Zhvillimore të ONISA, Organizatën Evropiane të Institucioneve Supreme të Auditimit (OEISA), Gjykatën Evropiane të Auditimit (programet e praktikës), CEF Slloveni (trajnim</w:t>
      </w:r>
      <w:r>
        <w:rPr>
          <w:rStyle w:val="hwtze"/>
        </w:rPr>
        <w:t xml:space="preserve"> </w:t>
      </w:r>
      <w:r>
        <w:rPr>
          <w:rStyle w:val="rynqvb"/>
        </w:rPr>
        <w:t>programet), SIGMA, trajnime të auditimit të brendshëm dhe angazhime dypalëshe me ISA të tjera, për zhvillimin e kapaciteteve të KLSH si institucion dhe stafit të tij auditues.</w:t>
      </w:r>
      <w:r w:rsidRPr="001F151E">
        <w:rPr>
          <w:lang w:val="en-GB"/>
        </w:rPr>
        <w:t xml:space="preserve"> </w:t>
      </w:r>
      <w:r>
        <w:rPr>
          <w:rStyle w:val="rynqvb"/>
        </w:rPr>
        <w:t>KLSH ka zgjeruar fushën e përgjegjësisë edhe me auditimin e barazisë gjinore dhe arritjen e OZhQ-ve. KLSH vendosi bashkëpunim me partnerët e zhvillimit për pilotimin e auditimit të jashtëm të PPP-ve dhe kontratave koncesionare dhe për futjen e teknikave të auditimit të mbështetur nga TI-së, për përmirësimin e praktikave të auditimit.</w:t>
      </w:r>
      <w:r>
        <w:rPr>
          <w:rStyle w:val="hwtze"/>
        </w:rPr>
        <w:t xml:space="preserve"> </w:t>
      </w:r>
      <w:r>
        <w:rPr>
          <w:rStyle w:val="rynqvb"/>
        </w:rPr>
        <w:t>Gjithashtu, komunikimi dhe angazhimi me Parlamentin, Qeverinë, median dhe qytetarët është rritur dhe pritet të përmirësohet më tej me zhvillimin e Strategjisë së re të Komunikimit 2022-2025.</w:t>
      </w:r>
      <w:r>
        <w:rPr>
          <w:rStyle w:val="hwtze"/>
        </w:rPr>
        <w:t xml:space="preserve"> </w:t>
      </w:r>
      <w:r>
        <w:rPr>
          <w:rStyle w:val="rynqvb"/>
        </w:rPr>
        <w:t>Hapat për përmirësimin e ndjekjes adekuate të rekomandimeve të auditimit të KLSH-së – që ka qenë një çështje kyçe – janë bërë nëpërmjet një rregulloreje parlamentare që synon të sigurojë një mekanizëm më efektiv për monitorimin e ndjekjes së gjetjeve të auditimit.</w:t>
      </w:r>
      <w:r>
        <w:rPr>
          <w:rStyle w:val="hwtze"/>
        </w:rPr>
        <w:t xml:space="preserve"> </w:t>
      </w:r>
      <w:r>
        <w:rPr>
          <w:rStyle w:val="rynqvb"/>
        </w:rPr>
        <w:t>Parashikohet më shumë punë në këtë fushë.</w:t>
      </w:r>
    </w:p>
    <w:p w14:paraId="13FD88CC" w14:textId="79B68A03" w:rsidR="000F0526" w:rsidRPr="001F151E" w:rsidRDefault="000F0526" w:rsidP="000F0526">
      <w:pPr>
        <w:spacing w:line="276" w:lineRule="auto"/>
        <w:jc w:val="both"/>
        <w:rPr>
          <w:lang w:val="en-GB"/>
        </w:rPr>
      </w:pPr>
      <w:r>
        <w:rPr>
          <w:lang w:val="en-GB"/>
        </w:rPr>
        <w:t>Në vijim të vlerësimit</w:t>
      </w:r>
      <w:r w:rsidRPr="001F151E">
        <w:rPr>
          <w:rStyle w:val="FootnoteReference"/>
          <w:lang w:val="en-GB"/>
        </w:rPr>
        <w:footnoteReference w:id="80"/>
      </w:r>
      <w:r>
        <w:rPr>
          <w:lang w:val="en-GB"/>
        </w:rPr>
        <w:t xml:space="preserve"> të</w:t>
      </w:r>
      <w:r w:rsidRPr="00C80E01">
        <w:rPr>
          <w:lang w:val="en-GB"/>
        </w:rPr>
        <w:t xml:space="preserve"> </w:t>
      </w:r>
      <w:r>
        <w:rPr>
          <w:rStyle w:val="rynqvb"/>
        </w:rPr>
        <w:t>Kuadrit për Matjen e Performancës së Institucioneve Supreme të Auditimit</w:t>
      </w:r>
      <w:r w:rsidRPr="00C80E01">
        <w:rPr>
          <w:lang w:val="en-GB"/>
        </w:rPr>
        <w:t xml:space="preserve"> </w:t>
      </w:r>
      <w:r>
        <w:rPr>
          <w:lang w:val="en-GB"/>
        </w:rPr>
        <w:t>(KMP-ISA)</w:t>
      </w:r>
      <w:r w:rsidRPr="00C80E01">
        <w:rPr>
          <w:lang w:val="en-GB"/>
        </w:rPr>
        <w:t xml:space="preserve"> të zbatuar në vitin 2022, KLSH ka zhvilluar dhe miratuar Strategjinë e saj të Zhvillimit për 2023-2027. Disa pika kryesore të strategjisë përfshijnë futjen e auditimeve të specializuara dhe qasjeve </w:t>
      </w:r>
      <w:r w:rsidR="00245705">
        <w:rPr>
          <w:lang w:val="en-GB"/>
        </w:rPr>
        <w:t>fleksibile</w:t>
      </w:r>
      <w:r w:rsidRPr="00C80E01">
        <w:rPr>
          <w:lang w:val="en-GB"/>
        </w:rPr>
        <w:t xml:space="preserve"> të auditimit, përmirësimin e komunikimit të KLSH me Parlamentin dhe qytetarët dhe vazhdimin e zgjerimit dhe trajnimit të kuadrit të auditimit.</w:t>
      </w:r>
    </w:p>
    <w:p w14:paraId="0075B934" w14:textId="77777777" w:rsidR="000F0526" w:rsidRPr="001F151E" w:rsidRDefault="000F0526" w:rsidP="000F0526">
      <w:pPr>
        <w:spacing w:line="276" w:lineRule="auto"/>
        <w:jc w:val="both"/>
        <w:rPr>
          <w:lang w:val="en-GB"/>
        </w:rPr>
      </w:pPr>
    </w:p>
    <w:p w14:paraId="3F4EB11E" w14:textId="77777777" w:rsidR="000F0526" w:rsidRPr="001F151E" w:rsidRDefault="000F0526" w:rsidP="000F0526">
      <w:pPr>
        <w:pStyle w:val="H5"/>
        <w:spacing w:line="276" w:lineRule="auto"/>
        <w:jc w:val="both"/>
        <w:rPr>
          <w:lang w:val="en-GB"/>
        </w:rPr>
      </w:pPr>
      <w:r w:rsidRPr="001F151E">
        <w:rPr>
          <w:lang w:val="en-GB"/>
        </w:rPr>
        <w:t>Priorit</w:t>
      </w:r>
      <w:r>
        <w:rPr>
          <w:lang w:val="en-GB"/>
        </w:rPr>
        <w:t>etet</w:t>
      </w:r>
    </w:p>
    <w:p w14:paraId="48EDB2B3" w14:textId="77777777" w:rsidR="000F0526" w:rsidRPr="00B96E0B" w:rsidRDefault="000F0526" w:rsidP="000F0526">
      <w:pPr>
        <w:pStyle w:val="N-Bullet"/>
        <w:numPr>
          <w:ilvl w:val="0"/>
          <w:numId w:val="0"/>
        </w:numPr>
        <w:spacing w:line="276" w:lineRule="auto"/>
        <w:ind w:left="360" w:hanging="360"/>
        <w:jc w:val="both"/>
        <w:rPr>
          <w:lang w:val="en-GB"/>
        </w:rPr>
      </w:pPr>
      <w:r w:rsidRPr="00B96E0B">
        <w:rPr>
          <w:lang w:val="en-GB"/>
        </w:rPr>
        <w:t>Në përputhje me Strategjinë e Zhvillimit të KLSH për 2023-2027</w:t>
      </w:r>
      <w:r>
        <w:rPr>
          <w:lang w:val="en-GB"/>
        </w:rPr>
        <w:t>,</w:t>
      </w:r>
      <w:r w:rsidRPr="00B96E0B">
        <w:rPr>
          <w:lang w:val="en-GB"/>
        </w:rPr>
        <w:t xml:space="preserve"> prioritetet për 2023-2026 janë:</w:t>
      </w:r>
    </w:p>
    <w:p w14:paraId="61ED6A6C" w14:textId="77777777" w:rsidR="000F0526" w:rsidRPr="00B96E0B" w:rsidRDefault="000F0526" w:rsidP="000F0526">
      <w:pPr>
        <w:pStyle w:val="N-Bullet"/>
        <w:spacing w:line="276" w:lineRule="auto"/>
        <w:jc w:val="both"/>
        <w:rPr>
          <w:lang w:val="en-GB"/>
        </w:rPr>
      </w:pPr>
      <w:r w:rsidRPr="00B96E0B">
        <w:rPr>
          <w:lang w:val="en-GB"/>
        </w:rPr>
        <w:t xml:space="preserve">Rritja dhe përmirësimi i rolit të KLSH-së si mbështetëse e Kuvendit për llogaridhënie efektive dhe ekzaminim të kujdesshëm e të thelluar të </w:t>
      </w:r>
      <w:r>
        <w:rPr>
          <w:lang w:val="en-GB"/>
        </w:rPr>
        <w:t>njësive</w:t>
      </w:r>
      <w:r w:rsidRPr="00B96E0B">
        <w:rPr>
          <w:lang w:val="en-GB"/>
        </w:rPr>
        <w:t xml:space="preserve"> që përdorin fondet publike;</w:t>
      </w:r>
    </w:p>
    <w:p w14:paraId="6C189290" w14:textId="77777777" w:rsidR="000F0526" w:rsidRPr="00B96E0B" w:rsidRDefault="000F0526" w:rsidP="000F0526">
      <w:pPr>
        <w:pStyle w:val="N-Bullet"/>
        <w:spacing w:line="276" w:lineRule="auto"/>
        <w:jc w:val="both"/>
        <w:rPr>
          <w:lang w:val="en-GB"/>
        </w:rPr>
      </w:pPr>
      <w:r w:rsidRPr="00B96E0B">
        <w:rPr>
          <w:lang w:val="en-GB"/>
        </w:rPr>
        <w:t>Rritja e ndikimit të punës së auditimit në qeverisjen e mirë, përmes përmirësimit të nivelit të zbatimit të rekomandimeve;</w:t>
      </w:r>
    </w:p>
    <w:p w14:paraId="05BB9CA5" w14:textId="77777777" w:rsidR="000F0526" w:rsidRPr="009D660E" w:rsidRDefault="000F0526" w:rsidP="000F0526">
      <w:pPr>
        <w:pStyle w:val="N-Bullet"/>
        <w:spacing w:line="276" w:lineRule="auto"/>
        <w:jc w:val="both"/>
        <w:rPr>
          <w:rFonts w:eastAsia="Times New Roman"/>
          <w:lang w:val="it-IT"/>
        </w:rPr>
      </w:pPr>
      <w:r w:rsidRPr="009D660E">
        <w:rPr>
          <w:lang w:val="it-IT"/>
        </w:rPr>
        <w:t>Optimizimi i kapaciteteve profesionale për marrjen e njohurive novatore në punën e auditimit.</w:t>
      </w:r>
      <w:r w:rsidRPr="009D660E">
        <w:rPr>
          <w:rFonts w:eastAsia="Times New Roman"/>
          <w:lang w:val="it-IT"/>
        </w:rPr>
        <w:t xml:space="preserve"> </w:t>
      </w:r>
    </w:p>
    <w:p w14:paraId="09752303" w14:textId="77777777" w:rsidR="000F0526" w:rsidRPr="009D660E" w:rsidRDefault="000F0526" w:rsidP="000F0526">
      <w:pPr>
        <w:rPr>
          <w:lang w:val="it-IT"/>
        </w:rPr>
      </w:pPr>
    </w:p>
    <w:p w14:paraId="6DCCDEFD" w14:textId="77777777" w:rsidR="000F0526" w:rsidRPr="001F151E" w:rsidRDefault="000F0526" w:rsidP="000F0526">
      <w:pPr>
        <w:pStyle w:val="H5"/>
        <w:rPr>
          <w:lang w:val="en-GB"/>
        </w:rPr>
      </w:pPr>
      <w:r>
        <w:rPr>
          <w:rStyle w:val="rynqv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93"/>
        <w:gridCol w:w="3634"/>
        <w:gridCol w:w="800"/>
        <w:gridCol w:w="800"/>
        <w:gridCol w:w="1789"/>
      </w:tblGrid>
      <w:tr w:rsidR="000F0526" w:rsidRPr="001F151E" w14:paraId="2A5A95B6" w14:textId="77777777" w:rsidTr="000C70FA">
        <w:trPr>
          <w:trHeight w:val="20"/>
          <w:tblHeader/>
        </w:trPr>
        <w:tc>
          <w:tcPr>
            <w:tcW w:w="1993" w:type="dxa"/>
            <w:shd w:val="clear" w:color="auto" w:fill="D9D9D9" w:themeFill="background1" w:themeFillShade="D9"/>
          </w:tcPr>
          <w:p w14:paraId="679372E3" w14:textId="77777777" w:rsidR="000F0526" w:rsidRPr="001F151E" w:rsidRDefault="000F0526" w:rsidP="000C70FA">
            <w:pPr>
              <w:pStyle w:val="T-bold"/>
            </w:pPr>
            <w:r>
              <w:t>Masa</w:t>
            </w:r>
          </w:p>
        </w:tc>
        <w:tc>
          <w:tcPr>
            <w:tcW w:w="3634" w:type="dxa"/>
            <w:shd w:val="clear" w:color="auto" w:fill="D9D9D9" w:themeFill="background1" w:themeFillShade="D9"/>
          </w:tcPr>
          <w:p w14:paraId="1EAB6CB9" w14:textId="77777777" w:rsidR="000F0526" w:rsidRPr="001F151E" w:rsidRDefault="000F0526" w:rsidP="000C70FA">
            <w:pPr>
              <w:pStyle w:val="T-bold"/>
            </w:pPr>
            <w:r w:rsidRPr="001F151E">
              <w:t>A</w:t>
            </w:r>
            <w:r>
              <w:t>ktiviteti</w:t>
            </w:r>
          </w:p>
        </w:tc>
        <w:tc>
          <w:tcPr>
            <w:tcW w:w="800" w:type="dxa"/>
            <w:shd w:val="clear" w:color="auto" w:fill="D9D9D9" w:themeFill="background1" w:themeFillShade="D9"/>
          </w:tcPr>
          <w:p w14:paraId="3176AB28" w14:textId="77777777" w:rsidR="000F0526" w:rsidRPr="001F151E" w:rsidRDefault="000F0526" w:rsidP="000C70FA">
            <w:pPr>
              <w:pStyle w:val="T-bold"/>
              <w:jc w:val="center"/>
            </w:pPr>
            <w:r>
              <w:t>Fillimi</w:t>
            </w:r>
          </w:p>
        </w:tc>
        <w:tc>
          <w:tcPr>
            <w:tcW w:w="800" w:type="dxa"/>
            <w:shd w:val="clear" w:color="auto" w:fill="D9D9D9" w:themeFill="background1" w:themeFillShade="D9"/>
          </w:tcPr>
          <w:p w14:paraId="3090EEFB" w14:textId="77777777" w:rsidR="000F0526" w:rsidRPr="001F151E" w:rsidRDefault="000F0526" w:rsidP="000C70FA">
            <w:pPr>
              <w:pStyle w:val="T-bold"/>
              <w:jc w:val="center"/>
            </w:pPr>
            <w:r>
              <w:t>Mbarimi</w:t>
            </w:r>
          </w:p>
        </w:tc>
        <w:tc>
          <w:tcPr>
            <w:tcW w:w="1789" w:type="dxa"/>
            <w:shd w:val="clear" w:color="auto" w:fill="D9D9D9" w:themeFill="background1" w:themeFillShade="D9"/>
          </w:tcPr>
          <w:p w14:paraId="432CD7AB" w14:textId="77777777" w:rsidR="000F0526" w:rsidRPr="001F151E" w:rsidRDefault="000F0526" w:rsidP="000C70FA">
            <w:pPr>
              <w:pStyle w:val="T-bold"/>
            </w:pPr>
            <w:r>
              <w:rPr>
                <w:rStyle w:val="rynqvb"/>
              </w:rPr>
              <w:t>Grupet e interesit</w:t>
            </w:r>
          </w:p>
        </w:tc>
      </w:tr>
      <w:tr w:rsidR="000F0526" w:rsidRPr="001F151E" w14:paraId="56510CB8" w14:textId="77777777" w:rsidTr="000C70FA">
        <w:trPr>
          <w:trHeight w:val="20"/>
        </w:trPr>
        <w:tc>
          <w:tcPr>
            <w:tcW w:w="1993" w:type="dxa"/>
            <w:vMerge w:val="restart"/>
            <w:shd w:val="clear" w:color="auto" w:fill="auto"/>
          </w:tcPr>
          <w:p w14:paraId="702E31BE" w14:textId="436FFB3B" w:rsidR="000F0526" w:rsidRPr="001F151E" w:rsidRDefault="000F0526" w:rsidP="000C70FA">
            <w:pPr>
              <w:pStyle w:val="EcorysBody"/>
              <w:rPr>
                <w:rFonts w:ascii="Arial" w:hAnsi="Arial" w:cs="Arial"/>
                <w:b/>
                <w:bCs/>
                <w:sz w:val="16"/>
                <w:szCs w:val="16"/>
              </w:rPr>
            </w:pPr>
            <w:r>
              <w:rPr>
                <w:rFonts w:ascii="Arial" w:hAnsi="Arial" w:cs="Arial"/>
                <w:b/>
                <w:bCs/>
                <w:sz w:val="16"/>
                <w:szCs w:val="16"/>
              </w:rPr>
              <w:t>Masa</w:t>
            </w:r>
            <w:r w:rsidRPr="001F151E">
              <w:rPr>
                <w:rFonts w:ascii="Arial" w:hAnsi="Arial" w:cs="Arial"/>
                <w:b/>
                <w:bCs/>
                <w:sz w:val="16"/>
                <w:szCs w:val="16"/>
              </w:rPr>
              <w:t xml:space="preserve"> 6.1.1 </w:t>
            </w:r>
            <w:r>
              <w:rPr>
                <w:rFonts w:ascii="Arial" w:hAnsi="Arial" w:cs="Arial"/>
                <w:b/>
                <w:bCs/>
                <w:sz w:val="16"/>
                <w:szCs w:val="16"/>
              </w:rPr>
              <w:t>P</w:t>
            </w:r>
            <w:r w:rsidRPr="006F7CF2">
              <w:rPr>
                <w:rFonts w:ascii="Arial" w:hAnsi="Arial" w:cs="Arial"/>
                <w:b/>
                <w:bCs/>
                <w:sz w:val="16"/>
                <w:szCs w:val="16"/>
              </w:rPr>
              <w:t>ërmirës</w:t>
            </w:r>
            <w:r>
              <w:rPr>
                <w:rFonts w:ascii="Arial" w:hAnsi="Arial" w:cs="Arial"/>
                <w:b/>
                <w:bCs/>
                <w:sz w:val="16"/>
                <w:szCs w:val="16"/>
              </w:rPr>
              <w:t>imi i</w:t>
            </w:r>
            <w:r w:rsidRPr="006F7CF2">
              <w:rPr>
                <w:rFonts w:ascii="Arial" w:hAnsi="Arial" w:cs="Arial"/>
                <w:b/>
                <w:bCs/>
                <w:sz w:val="16"/>
                <w:szCs w:val="16"/>
              </w:rPr>
              <w:t xml:space="preserve"> mëtej</w:t>
            </w:r>
            <w:r>
              <w:rPr>
                <w:rFonts w:ascii="Arial" w:hAnsi="Arial" w:cs="Arial"/>
                <w:b/>
                <w:bCs/>
                <w:sz w:val="16"/>
                <w:szCs w:val="16"/>
              </w:rPr>
              <w:t>shëm i</w:t>
            </w:r>
            <w:r w:rsidRPr="006F7CF2">
              <w:rPr>
                <w:rFonts w:ascii="Arial" w:hAnsi="Arial" w:cs="Arial"/>
                <w:b/>
                <w:bCs/>
                <w:sz w:val="16"/>
                <w:szCs w:val="16"/>
              </w:rPr>
              <w:t xml:space="preserve"> kuadri</w:t>
            </w:r>
            <w:r>
              <w:rPr>
                <w:rFonts w:ascii="Arial" w:hAnsi="Arial" w:cs="Arial"/>
                <w:b/>
                <w:bCs/>
                <w:sz w:val="16"/>
                <w:szCs w:val="16"/>
              </w:rPr>
              <w:t>t</w:t>
            </w:r>
            <w:r w:rsidRPr="006F7CF2">
              <w:rPr>
                <w:rFonts w:ascii="Arial" w:hAnsi="Arial" w:cs="Arial"/>
                <w:b/>
                <w:bCs/>
                <w:sz w:val="16"/>
                <w:szCs w:val="16"/>
              </w:rPr>
              <w:t xml:space="preserve"> metodologjik ligjor, rregullator dhe </w:t>
            </w:r>
            <w:r w:rsidR="0065371C">
              <w:rPr>
                <w:rFonts w:ascii="Arial" w:hAnsi="Arial" w:cs="Arial"/>
                <w:b/>
                <w:bCs/>
                <w:sz w:val="16"/>
                <w:szCs w:val="16"/>
              </w:rPr>
              <w:t>f</w:t>
            </w:r>
            <w:r w:rsidR="0065371C">
              <w:rPr>
                <w:b/>
                <w:bCs/>
                <w:sz w:val="16"/>
                <w:szCs w:val="16"/>
              </w:rPr>
              <w:t>leksibël</w:t>
            </w:r>
            <w:r w:rsidRPr="006F7CF2">
              <w:rPr>
                <w:rFonts w:ascii="Arial" w:hAnsi="Arial" w:cs="Arial"/>
                <w:b/>
                <w:bCs/>
                <w:sz w:val="16"/>
                <w:szCs w:val="16"/>
              </w:rPr>
              <w:t xml:space="preserve"> dhe </w:t>
            </w:r>
            <w:r>
              <w:rPr>
                <w:rFonts w:ascii="Arial" w:hAnsi="Arial" w:cs="Arial"/>
                <w:b/>
                <w:bCs/>
                <w:sz w:val="16"/>
                <w:szCs w:val="16"/>
              </w:rPr>
              <w:t>zgjerimi i</w:t>
            </w:r>
            <w:r w:rsidRPr="006F7CF2">
              <w:rPr>
                <w:rFonts w:ascii="Arial" w:hAnsi="Arial" w:cs="Arial"/>
                <w:b/>
                <w:bCs/>
                <w:sz w:val="16"/>
                <w:szCs w:val="16"/>
              </w:rPr>
              <w:t xml:space="preserve"> përdorimi</w:t>
            </w:r>
            <w:r>
              <w:rPr>
                <w:rFonts w:ascii="Arial" w:hAnsi="Arial" w:cs="Arial"/>
                <w:b/>
                <w:bCs/>
                <w:sz w:val="16"/>
                <w:szCs w:val="16"/>
              </w:rPr>
              <w:t>t të</w:t>
            </w:r>
            <w:r w:rsidRPr="006F7CF2">
              <w:rPr>
                <w:rFonts w:ascii="Arial" w:hAnsi="Arial" w:cs="Arial"/>
                <w:b/>
                <w:bCs/>
                <w:sz w:val="16"/>
                <w:szCs w:val="16"/>
              </w:rPr>
              <w:t xml:space="preserve"> mjeteve të auditimit</w:t>
            </w:r>
          </w:p>
        </w:tc>
        <w:tc>
          <w:tcPr>
            <w:tcW w:w="3634" w:type="dxa"/>
          </w:tcPr>
          <w:p w14:paraId="373742EE" w14:textId="77777777" w:rsidR="000F0526" w:rsidRPr="001F151E" w:rsidRDefault="000F0526" w:rsidP="007C5F11">
            <w:pPr>
              <w:pStyle w:val="EcorysBody"/>
              <w:numPr>
                <w:ilvl w:val="0"/>
                <w:numId w:val="9"/>
              </w:numPr>
              <w:jc w:val="both"/>
              <w:rPr>
                <w:rFonts w:ascii="Arial" w:hAnsi="Arial" w:cs="Arial"/>
                <w:sz w:val="16"/>
                <w:szCs w:val="16"/>
              </w:rPr>
            </w:pPr>
            <w:r w:rsidRPr="00A3011B">
              <w:rPr>
                <w:rFonts w:ascii="Arial" w:hAnsi="Arial" w:cs="Arial"/>
                <w:sz w:val="16"/>
                <w:szCs w:val="16"/>
              </w:rPr>
              <w:t>Vazhd</w:t>
            </w:r>
            <w:r>
              <w:rPr>
                <w:rFonts w:ascii="Arial" w:hAnsi="Arial" w:cs="Arial"/>
                <w:sz w:val="16"/>
                <w:szCs w:val="16"/>
              </w:rPr>
              <w:t>imi i</w:t>
            </w:r>
            <w:r w:rsidRPr="00A3011B">
              <w:rPr>
                <w:rFonts w:ascii="Arial" w:hAnsi="Arial" w:cs="Arial"/>
                <w:sz w:val="16"/>
                <w:szCs w:val="16"/>
              </w:rPr>
              <w:t xml:space="preserve"> rishikime</w:t>
            </w:r>
            <w:r>
              <w:rPr>
                <w:rFonts w:ascii="Arial" w:hAnsi="Arial" w:cs="Arial"/>
                <w:sz w:val="16"/>
                <w:szCs w:val="16"/>
              </w:rPr>
              <w:t>ve të</w:t>
            </w:r>
            <w:r w:rsidRPr="00A3011B">
              <w:rPr>
                <w:rFonts w:ascii="Arial" w:hAnsi="Arial" w:cs="Arial"/>
                <w:sz w:val="16"/>
                <w:szCs w:val="16"/>
              </w:rPr>
              <w:t xml:space="preserve"> rregullta nga kolegët </w:t>
            </w:r>
            <w:r>
              <w:rPr>
                <w:rFonts w:ascii="Arial" w:hAnsi="Arial" w:cs="Arial"/>
                <w:sz w:val="16"/>
                <w:szCs w:val="16"/>
              </w:rPr>
              <w:t>i</w:t>
            </w:r>
            <w:r w:rsidRPr="00A3011B">
              <w:rPr>
                <w:rFonts w:ascii="Arial" w:hAnsi="Arial" w:cs="Arial"/>
                <w:sz w:val="16"/>
                <w:szCs w:val="16"/>
              </w:rPr>
              <w:t xml:space="preserve"> funksionimit të KLSH-së dhe mbi bazën e këtij përditësimi dhe zbat</w:t>
            </w:r>
            <w:r>
              <w:rPr>
                <w:rFonts w:ascii="Arial" w:hAnsi="Arial" w:cs="Arial"/>
                <w:sz w:val="16"/>
                <w:szCs w:val="16"/>
              </w:rPr>
              <w:t>imi i</w:t>
            </w:r>
            <w:r w:rsidRPr="00A3011B">
              <w:rPr>
                <w:rFonts w:ascii="Arial" w:hAnsi="Arial" w:cs="Arial"/>
                <w:sz w:val="16"/>
                <w:szCs w:val="16"/>
              </w:rPr>
              <w:t xml:space="preserve"> plani</w:t>
            </w:r>
            <w:r>
              <w:rPr>
                <w:rFonts w:ascii="Arial" w:hAnsi="Arial" w:cs="Arial"/>
                <w:sz w:val="16"/>
                <w:szCs w:val="16"/>
              </w:rPr>
              <w:t>t</w:t>
            </w:r>
            <w:r w:rsidRPr="00A3011B">
              <w:rPr>
                <w:rFonts w:ascii="Arial" w:hAnsi="Arial" w:cs="Arial"/>
                <w:sz w:val="16"/>
                <w:szCs w:val="16"/>
              </w:rPr>
              <w:t xml:space="preserve"> strategjik të zhvillimit të KLSH-së</w:t>
            </w:r>
            <w:r w:rsidRPr="001F151E">
              <w:rPr>
                <w:rFonts w:ascii="Arial" w:hAnsi="Arial" w:cs="Arial"/>
                <w:sz w:val="16"/>
                <w:szCs w:val="16"/>
              </w:rPr>
              <w:t xml:space="preserve">. </w:t>
            </w:r>
          </w:p>
        </w:tc>
        <w:tc>
          <w:tcPr>
            <w:tcW w:w="800" w:type="dxa"/>
            <w:vAlign w:val="center"/>
          </w:tcPr>
          <w:p w14:paraId="5E0F7682" w14:textId="77777777" w:rsidR="000F0526" w:rsidRPr="001F151E" w:rsidRDefault="000F0526" w:rsidP="000C70FA">
            <w:pPr>
              <w:jc w:val="center"/>
              <w:rPr>
                <w:sz w:val="16"/>
                <w:szCs w:val="16"/>
              </w:rPr>
            </w:pPr>
            <w:r>
              <w:rPr>
                <w:sz w:val="16"/>
                <w:szCs w:val="16"/>
              </w:rPr>
              <w:t>T</w:t>
            </w:r>
            <w:r w:rsidRPr="001F151E">
              <w:rPr>
                <w:sz w:val="16"/>
                <w:szCs w:val="16"/>
              </w:rPr>
              <w:t xml:space="preserve">1 2024 </w:t>
            </w:r>
          </w:p>
        </w:tc>
        <w:tc>
          <w:tcPr>
            <w:tcW w:w="800" w:type="dxa"/>
            <w:vAlign w:val="center"/>
          </w:tcPr>
          <w:p w14:paraId="12422F19" w14:textId="77777777" w:rsidR="000F0526" w:rsidRPr="001F151E" w:rsidRDefault="000F0526" w:rsidP="000C70FA">
            <w:pPr>
              <w:jc w:val="center"/>
              <w:rPr>
                <w:sz w:val="16"/>
                <w:szCs w:val="16"/>
              </w:rPr>
            </w:pPr>
            <w:r>
              <w:rPr>
                <w:sz w:val="16"/>
                <w:szCs w:val="16"/>
              </w:rPr>
              <w:t>T</w:t>
            </w:r>
            <w:r w:rsidRPr="001F151E">
              <w:rPr>
                <w:sz w:val="16"/>
                <w:szCs w:val="16"/>
              </w:rPr>
              <w:t>4 2026</w:t>
            </w:r>
          </w:p>
        </w:tc>
        <w:tc>
          <w:tcPr>
            <w:tcW w:w="1789" w:type="dxa"/>
            <w:vMerge w:val="restart"/>
          </w:tcPr>
          <w:p w14:paraId="10158BB5" w14:textId="77777777" w:rsidR="000F0526" w:rsidRPr="001F151E" w:rsidRDefault="000F0526" w:rsidP="000C70FA">
            <w:pPr>
              <w:rPr>
                <w:b/>
                <w:bCs/>
                <w:sz w:val="16"/>
                <w:szCs w:val="16"/>
              </w:rPr>
            </w:pPr>
            <w:r>
              <w:rPr>
                <w:b/>
                <w:bCs/>
                <w:sz w:val="16"/>
                <w:szCs w:val="16"/>
              </w:rPr>
              <w:t>Njësitë përgjegjëse</w:t>
            </w:r>
            <w:r w:rsidRPr="001F151E">
              <w:rPr>
                <w:b/>
                <w:bCs/>
                <w:sz w:val="16"/>
                <w:szCs w:val="16"/>
              </w:rPr>
              <w:t>:</w:t>
            </w:r>
          </w:p>
          <w:p w14:paraId="259D4605" w14:textId="77777777" w:rsidR="000F0526" w:rsidRPr="001F151E" w:rsidRDefault="000F0526" w:rsidP="000C70FA">
            <w:pPr>
              <w:pStyle w:val="EcorysBody"/>
              <w:rPr>
                <w:rFonts w:ascii="Arial" w:hAnsi="Arial" w:cs="Arial"/>
                <w:sz w:val="16"/>
                <w:szCs w:val="16"/>
              </w:rPr>
            </w:pPr>
            <w:r>
              <w:rPr>
                <w:rFonts w:ascii="Arial" w:hAnsi="Arial" w:cs="Arial"/>
                <w:sz w:val="16"/>
                <w:szCs w:val="16"/>
              </w:rPr>
              <w:t>KLSH</w:t>
            </w:r>
            <w:r w:rsidRPr="001F151E">
              <w:rPr>
                <w:rFonts w:ascii="Arial" w:hAnsi="Arial" w:cs="Arial"/>
                <w:sz w:val="16"/>
                <w:szCs w:val="16"/>
              </w:rPr>
              <w:t xml:space="preserve"> (l</w:t>
            </w:r>
            <w:r>
              <w:rPr>
                <w:rFonts w:ascii="Arial" w:hAnsi="Arial" w:cs="Arial"/>
                <w:sz w:val="16"/>
                <w:szCs w:val="16"/>
              </w:rPr>
              <w:t>ider</w:t>
            </w:r>
            <w:r w:rsidRPr="001F151E">
              <w:rPr>
                <w:rFonts w:ascii="Arial" w:hAnsi="Arial" w:cs="Arial"/>
                <w:sz w:val="16"/>
                <w:szCs w:val="16"/>
              </w:rPr>
              <w:t>)</w:t>
            </w:r>
          </w:p>
          <w:p w14:paraId="1D93E830" w14:textId="77777777" w:rsidR="000F0526" w:rsidRPr="001F151E" w:rsidRDefault="000F0526" w:rsidP="000C70FA">
            <w:pPr>
              <w:pStyle w:val="EcorysBody"/>
              <w:rPr>
                <w:rFonts w:ascii="Arial" w:hAnsi="Arial" w:cs="Arial"/>
                <w:b/>
                <w:bCs/>
                <w:sz w:val="16"/>
                <w:szCs w:val="16"/>
              </w:rPr>
            </w:pPr>
          </w:p>
          <w:p w14:paraId="4E3F4005" w14:textId="77777777" w:rsidR="000F0526" w:rsidRPr="001F151E" w:rsidRDefault="000F0526" w:rsidP="000C70FA">
            <w:pPr>
              <w:pStyle w:val="EcorysBody"/>
              <w:rPr>
                <w:rFonts w:ascii="Arial" w:hAnsi="Arial" w:cs="Arial"/>
                <w:b/>
                <w:bCs/>
                <w:sz w:val="16"/>
                <w:szCs w:val="16"/>
              </w:rPr>
            </w:pPr>
            <w:r w:rsidRPr="001F151E">
              <w:rPr>
                <w:rFonts w:ascii="Arial" w:hAnsi="Arial" w:cs="Arial"/>
                <w:b/>
                <w:bCs/>
                <w:sz w:val="16"/>
                <w:szCs w:val="16"/>
              </w:rPr>
              <w:t>Partne</w:t>
            </w:r>
            <w:r>
              <w:rPr>
                <w:rFonts w:ascii="Arial" w:hAnsi="Arial" w:cs="Arial"/>
                <w:b/>
                <w:bCs/>
                <w:sz w:val="16"/>
                <w:szCs w:val="16"/>
              </w:rPr>
              <w:t>rët</w:t>
            </w:r>
            <w:r w:rsidRPr="001F151E">
              <w:rPr>
                <w:rFonts w:ascii="Arial" w:hAnsi="Arial" w:cs="Arial"/>
                <w:b/>
                <w:bCs/>
                <w:sz w:val="16"/>
                <w:szCs w:val="16"/>
              </w:rPr>
              <w:t>:</w:t>
            </w:r>
          </w:p>
          <w:p w14:paraId="6B87DDB3" w14:textId="6B82D88F" w:rsidR="000F0526" w:rsidRPr="001F151E" w:rsidRDefault="000F0526" w:rsidP="00CE5850">
            <w:pPr>
              <w:pStyle w:val="EcorysBody"/>
              <w:rPr>
                <w:rFonts w:ascii="Arial" w:hAnsi="Arial" w:cs="Arial"/>
                <w:sz w:val="16"/>
                <w:szCs w:val="16"/>
              </w:rPr>
            </w:pPr>
            <w:r>
              <w:rPr>
                <w:rFonts w:ascii="Arial" w:hAnsi="Arial" w:cs="Arial"/>
                <w:sz w:val="16"/>
                <w:szCs w:val="16"/>
              </w:rPr>
              <w:t>IZh-ONISA</w:t>
            </w:r>
          </w:p>
        </w:tc>
      </w:tr>
      <w:tr w:rsidR="000F0526" w:rsidRPr="001F151E" w14:paraId="3026FA71" w14:textId="77777777" w:rsidTr="000C70FA">
        <w:trPr>
          <w:trHeight w:val="607"/>
        </w:trPr>
        <w:tc>
          <w:tcPr>
            <w:tcW w:w="1993" w:type="dxa"/>
            <w:vMerge/>
            <w:shd w:val="clear" w:color="auto" w:fill="auto"/>
          </w:tcPr>
          <w:p w14:paraId="7E61CFDF" w14:textId="77777777" w:rsidR="000F0526" w:rsidRPr="001F151E" w:rsidRDefault="000F0526" w:rsidP="000C70FA">
            <w:pPr>
              <w:pStyle w:val="EcorysBody"/>
              <w:numPr>
                <w:ilvl w:val="0"/>
                <w:numId w:val="9"/>
              </w:numPr>
              <w:rPr>
                <w:rFonts w:ascii="Arial" w:hAnsi="Arial" w:cs="Arial"/>
                <w:sz w:val="16"/>
                <w:szCs w:val="16"/>
              </w:rPr>
            </w:pPr>
          </w:p>
        </w:tc>
        <w:tc>
          <w:tcPr>
            <w:tcW w:w="3634" w:type="dxa"/>
          </w:tcPr>
          <w:p w14:paraId="0970A6D6" w14:textId="4D56DDD5" w:rsidR="000F0526" w:rsidRPr="001F151E" w:rsidRDefault="000F0526" w:rsidP="002C3D98">
            <w:pPr>
              <w:pStyle w:val="EcorysBody"/>
              <w:numPr>
                <w:ilvl w:val="0"/>
                <w:numId w:val="9"/>
              </w:numPr>
              <w:jc w:val="both"/>
              <w:rPr>
                <w:rFonts w:ascii="Arial" w:hAnsi="Arial" w:cs="Arial"/>
                <w:sz w:val="16"/>
                <w:szCs w:val="16"/>
              </w:rPr>
            </w:pPr>
            <w:r>
              <w:rPr>
                <w:rFonts w:ascii="Arial" w:hAnsi="Arial" w:cs="Arial"/>
                <w:sz w:val="16"/>
                <w:szCs w:val="16"/>
              </w:rPr>
              <w:t>P</w:t>
            </w:r>
            <w:r w:rsidR="00203791">
              <w:rPr>
                <w:rFonts w:ascii="Arial" w:hAnsi="Arial" w:cs="Arial"/>
                <w:sz w:val="16"/>
                <w:szCs w:val="16"/>
              </w:rPr>
              <w:t>ërcaktimi</w:t>
            </w:r>
            <w:r>
              <w:rPr>
                <w:rFonts w:ascii="Arial" w:hAnsi="Arial" w:cs="Arial"/>
                <w:sz w:val="16"/>
                <w:szCs w:val="16"/>
              </w:rPr>
              <w:t xml:space="preserve"> i</w:t>
            </w:r>
            <w:r w:rsidRPr="00A3011B">
              <w:rPr>
                <w:rFonts w:ascii="Arial" w:hAnsi="Arial" w:cs="Arial"/>
                <w:sz w:val="16"/>
                <w:szCs w:val="16"/>
              </w:rPr>
              <w:t xml:space="preserve"> ndryshime</w:t>
            </w:r>
            <w:r>
              <w:rPr>
                <w:rFonts w:ascii="Arial" w:hAnsi="Arial" w:cs="Arial"/>
                <w:sz w:val="16"/>
                <w:szCs w:val="16"/>
              </w:rPr>
              <w:t>ve</w:t>
            </w:r>
            <w:r w:rsidRPr="00A3011B">
              <w:rPr>
                <w:rFonts w:ascii="Arial" w:hAnsi="Arial" w:cs="Arial"/>
                <w:sz w:val="16"/>
                <w:szCs w:val="16"/>
              </w:rPr>
              <w:t xml:space="preserve"> në </w:t>
            </w:r>
            <w:r w:rsidR="002C3D98">
              <w:rPr>
                <w:rFonts w:ascii="Arial" w:hAnsi="Arial" w:cs="Arial"/>
                <w:sz w:val="16"/>
                <w:szCs w:val="16"/>
              </w:rPr>
              <w:t>Ligjin Organik të KLSH-së</w:t>
            </w:r>
            <w:r w:rsidRPr="00A3011B">
              <w:rPr>
                <w:rFonts w:ascii="Arial" w:hAnsi="Arial" w:cs="Arial"/>
                <w:sz w:val="16"/>
                <w:szCs w:val="16"/>
              </w:rPr>
              <w:t xml:space="preserve"> për të forcuar më tej pavarësinë dhe mandatin kushtetues të KLSH.</w:t>
            </w:r>
          </w:p>
        </w:tc>
        <w:tc>
          <w:tcPr>
            <w:tcW w:w="800" w:type="dxa"/>
            <w:vAlign w:val="center"/>
          </w:tcPr>
          <w:p w14:paraId="41BD06EE" w14:textId="3C504C9C" w:rsidR="000F0526" w:rsidRPr="001F151E" w:rsidRDefault="000F0526" w:rsidP="000C70FA">
            <w:pPr>
              <w:jc w:val="center"/>
              <w:rPr>
                <w:color w:val="FF0000"/>
                <w:sz w:val="16"/>
                <w:szCs w:val="16"/>
              </w:rPr>
            </w:pPr>
            <w:r>
              <w:rPr>
                <w:sz w:val="16"/>
                <w:szCs w:val="16"/>
              </w:rPr>
              <w:t>T</w:t>
            </w:r>
            <w:r w:rsidR="00CE5850">
              <w:rPr>
                <w:sz w:val="16"/>
                <w:szCs w:val="16"/>
              </w:rPr>
              <w:t>4</w:t>
            </w:r>
            <w:r w:rsidRPr="001F151E">
              <w:rPr>
                <w:sz w:val="16"/>
                <w:szCs w:val="16"/>
              </w:rPr>
              <w:t xml:space="preserve"> 2023</w:t>
            </w:r>
          </w:p>
        </w:tc>
        <w:tc>
          <w:tcPr>
            <w:tcW w:w="800" w:type="dxa"/>
            <w:vAlign w:val="center"/>
          </w:tcPr>
          <w:p w14:paraId="0BBFB23B" w14:textId="2B5B7BD0" w:rsidR="000F0526" w:rsidRPr="001F151E" w:rsidRDefault="000F0526" w:rsidP="00CE5850">
            <w:pPr>
              <w:jc w:val="center"/>
              <w:rPr>
                <w:color w:val="FF0000"/>
                <w:sz w:val="16"/>
                <w:szCs w:val="16"/>
              </w:rPr>
            </w:pPr>
            <w:r>
              <w:rPr>
                <w:sz w:val="16"/>
                <w:szCs w:val="16"/>
              </w:rPr>
              <w:t>T</w:t>
            </w:r>
            <w:r w:rsidR="00CE5850">
              <w:rPr>
                <w:sz w:val="16"/>
                <w:szCs w:val="16"/>
              </w:rPr>
              <w:t>4</w:t>
            </w:r>
            <w:r w:rsidRPr="001F151E">
              <w:rPr>
                <w:sz w:val="16"/>
                <w:szCs w:val="16"/>
              </w:rPr>
              <w:t xml:space="preserve"> 2024</w:t>
            </w:r>
          </w:p>
        </w:tc>
        <w:tc>
          <w:tcPr>
            <w:tcW w:w="1789" w:type="dxa"/>
            <w:vMerge/>
          </w:tcPr>
          <w:p w14:paraId="542525C6" w14:textId="77777777" w:rsidR="000F0526" w:rsidRPr="001F151E" w:rsidRDefault="000F0526" w:rsidP="000C70FA">
            <w:pPr>
              <w:rPr>
                <w:sz w:val="16"/>
                <w:szCs w:val="16"/>
              </w:rPr>
            </w:pPr>
          </w:p>
        </w:tc>
      </w:tr>
      <w:tr w:rsidR="000F0526" w:rsidRPr="001F151E" w14:paraId="35BC42D1" w14:textId="77777777" w:rsidTr="000C70FA">
        <w:trPr>
          <w:trHeight w:val="910"/>
        </w:trPr>
        <w:tc>
          <w:tcPr>
            <w:tcW w:w="1993" w:type="dxa"/>
            <w:vMerge/>
            <w:shd w:val="clear" w:color="auto" w:fill="auto"/>
          </w:tcPr>
          <w:p w14:paraId="62628EE6" w14:textId="77777777" w:rsidR="000F0526" w:rsidRPr="001F151E" w:rsidRDefault="000F0526" w:rsidP="000C70FA">
            <w:pPr>
              <w:pStyle w:val="EcorysBody"/>
              <w:numPr>
                <w:ilvl w:val="0"/>
                <w:numId w:val="9"/>
              </w:numPr>
              <w:rPr>
                <w:rFonts w:ascii="Arial" w:hAnsi="Arial" w:cs="Arial"/>
                <w:sz w:val="16"/>
                <w:szCs w:val="16"/>
              </w:rPr>
            </w:pPr>
          </w:p>
        </w:tc>
        <w:tc>
          <w:tcPr>
            <w:tcW w:w="3634" w:type="dxa"/>
          </w:tcPr>
          <w:p w14:paraId="7A110330" w14:textId="77777777" w:rsidR="000F0526" w:rsidRPr="001F151E" w:rsidRDefault="000F0526" w:rsidP="007C5F11">
            <w:pPr>
              <w:pStyle w:val="EcorysBody"/>
              <w:numPr>
                <w:ilvl w:val="0"/>
                <w:numId w:val="9"/>
              </w:numPr>
              <w:jc w:val="both"/>
              <w:rPr>
                <w:rFonts w:ascii="Arial" w:hAnsi="Arial" w:cs="Arial"/>
                <w:sz w:val="16"/>
                <w:szCs w:val="16"/>
              </w:rPr>
            </w:pPr>
            <w:r w:rsidRPr="00A3011B">
              <w:rPr>
                <w:rFonts w:ascii="Arial" w:hAnsi="Arial" w:cs="Arial"/>
                <w:sz w:val="16"/>
                <w:szCs w:val="16"/>
              </w:rPr>
              <w:t>Zhvillimi/prezantimi i aplikacioneve të TI-së për përdorimin e teknikave të auditimit me ndihmën e kompjuterit në disa lloje auditimi (përputhshmëri</w:t>
            </w:r>
            <w:r>
              <w:rPr>
                <w:rFonts w:ascii="Arial" w:hAnsi="Arial" w:cs="Arial"/>
                <w:sz w:val="16"/>
                <w:szCs w:val="16"/>
              </w:rPr>
              <w:t>e</w:t>
            </w:r>
            <w:r w:rsidRPr="00A3011B">
              <w:rPr>
                <w:rFonts w:ascii="Arial" w:hAnsi="Arial" w:cs="Arial"/>
                <w:sz w:val="16"/>
                <w:szCs w:val="16"/>
              </w:rPr>
              <w:t>, financiare dhe performanc</w:t>
            </w:r>
            <w:r>
              <w:rPr>
                <w:rFonts w:ascii="Arial" w:hAnsi="Arial" w:cs="Arial"/>
                <w:sz w:val="16"/>
                <w:szCs w:val="16"/>
              </w:rPr>
              <w:t>e</w:t>
            </w:r>
            <w:r w:rsidRPr="00A3011B">
              <w:rPr>
                <w:rFonts w:ascii="Arial" w:hAnsi="Arial" w:cs="Arial"/>
                <w:sz w:val="16"/>
                <w:szCs w:val="16"/>
              </w:rPr>
              <w:t>)</w:t>
            </w:r>
            <w:r w:rsidRPr="001F151E">
              <w:rPr>
                <w:rFonts w:ascii="Arial" w:hAnsi="Arial" w:cs="Arial"/>
                <w:sz w:val="16"/>
                <w:szCs w:val="16"/>
              </w:rPr>
              <w:t>.</w:t>
            </w:r>
          </w:p>
        </w:tc>
        <w:tc>
          <w:tcPr>
            <w:tcW w:w="800" w:type="dxa"/>
            <w:vAlign w:val="center"/>
          </w:tcPr>
          <w:p w14:paraId="79B44F61" w14:textId="77777777" w:rsidR="000F0526" w:rsidRPr="001F151E" w:rsidRDefault="000F0526" w:rsidP="000C70FA">
            <w:pPr>
              <w:jc w:val="center"/>
              <w:rPr>
                <w:sz w:val="16"/>
                <w:szCs w:val="16"/>
              </w:rPr>
            </w:pPr>
            <w:r>
              <w:rPr>
                <w:sz w:val="16"/>
                <w:szCs w:val="16"/>
              </w:rPr>
              <w:t>T</w:t>
            </w:r>
            <w:r w:rsidRPr="001F151E">
              <w:rPr>
                <w:sz w:val="16"/>
                <w:szCs w:val="16"/>
              </w:rPr>
              <w:t>1 2024</w:t>
            </w:r>
          </w:p>
        </w:tc>
        <w:tc>
          <w:tcPr>
            <w:tcW w:w="800" w:type="dxa"/>
            <w:vAlign w:val="center"/>
          </w:tcPr>
          <w:p w14:paraId="155641B0" w14:textId="77777777" w:rsidR="000F0526" w:rsidRPr="001F151E" w:rsidRDefault="000F0526" w:rsidP="000C70FA">
            <w:pPr>
              <w:jc w:val="center"/>
              <w:rPr>
                <w:sz w:val="16"/>
                <w:szCs w:val="16"/>
              </w:rPr>
            </w:pPr>
            <w:r>
              <w:rPr>
                <w:sz w:val="16"/>
                <w:szCs w:val="16"/>
              </w:rPr>
              <w:t>T</w:t>
            </w:r>
            <w:r w:rsidRPr="001F151E">
              <w:rPr>
                <w:sz w:val="16"/>
                <w:szCs w:val="16"/>
              </w:rPr>
              <w:t>4 2026</w:t>
            </w:r>
          </w:p>
        </w:tc>
        <w:tc>
          <w:tcPr>
            <w:tcW w:w="1789" w:type="dxa"/>
            <w:vMerge/>
          </w:tcPr>
          <w:p w14:paraId="2922C3BF" w14:textId="77777777" w:rsidR="000F0526" w:rsidRPr="001F151E" w:rsidRDefault="000F0526" w:rsidP="000C70FA">
            <w:pPr>
              <w:rPr>
                <w:sz w:val="16"/>
                <w:szCs w:val="16"/>
              </w:rPr>
            </w:pPr>
          </w:p>
        </w:tc>
      </w:tr>
      <w:tr w:rsidR="000F0526" w:rsidRPr="001F151E" w14:paraId="78683ACD" w14:textId="77777777" w:rsidTr="000C70FA">
        <w:trPr>
          <w:trHeight w:val="20"/>
        </w:trPr>
        <w:tc>
          <w:tcPr>
            <w:tcW w:w="1993" w:type="dxa"/>
            <w:vMerge w:val="restart"/>
            <w:shd w:val="clear" w:color="auto" w:fill="auto"/>
          </w:tcPr>
          <w:p w14:paraId="125C09E5" w14:textId="77777777" w:rsidR="000F0526" w:rsidRPr="009D660E" w:rsidRDefault="000F0526" w:rsidP="000C70FA">
            <w:pPr>
              <w:pStyle w:val="EcorysBody"/>
              <w:rPr>
                <w:rFonts w:ascii="Arial" w:hAnsi="Arial" w:cs="Arial"/>
                <w:b/>
                <w:bCs/>
                <w:sz w:val="16"/>
                <w:szCs w:val="16"/>
                <w:lang w:val="it-IT"/>
              </w:rPr>
            </w:pPr>
            <w:r w:rsidRPr="009D660E">
              <w:rPr>
                <w:rFonts w:ascii="Arial" w:hAnsi="Arial" w:cs="Arial"/>
                <w:b/>
                <w:bCs/>
                <w:sz w:val="16"/>
                <w:szCs w:val="16"/>
                <w:lang w:val="it-IT"/>
              </w:rPr>
              <w:t>Masa 6.1.2 Profesionalizimi i raportimit dhe komunikimit në përputhje me strategjinë e komunikimit dhe parimet dhe standardet përkatëse.</w:t>
            </w:r>
          </w:p>
        </w:tc>
        <w:tc>
          <w:tcPr>
            <w:tcW w:w="3634" w:type="dxa"/>
          </w:tcPr>
          <w:p w14:paraId="6FF451FB" w14:textId="77777777" w:rsidR="000F0526" w:rsidRPr="009D660E" w:rsidRDefault="000F0526" w:rsidP="007C5F11">
            <w:pPr>
              <w:pStyle w:val="EcorysBody"/>
              <w:numPr>
                <w:ilvl w:val="0"/>
                <w:numId w:val="10"/>
              </w:numPr>
              <w:jc w:val="both"/>
              <w:rPr>
                <w:rFonts w:ascii="Arial" w:hAnsi="Arial" w:cs="Arial"/>
                <w:sz w:val="16"/>
                <w:szCs w:val="16"/>
                <w:lang w:val="it-IT"/>
              </w:rPr>
            </w:pPr>
            <w:r w:rsidRPr="009D660E">
              <w:rPr>
                <w:rFonts w:ascii="Arial" w:hAnsi="Arial" w:cs="Arial"/>
                <w:sz w:val="16"/>
                <w:szCs w:val="16"/>
                <w:lang w:val="it-IT"/>
              </w:rPr>
              <w:t>Të përmirësojë cilësinë e raporteve të auditimit të përshtatur me kërkesat e lexuesve të tij dhe të zgjerojë përdorimin e të gjitha mjeteve të komunikimit për të promovuar vazhdimisht rolin e KLSH-së.</w:t>
            </w:r>
          </w:p>
        </w:tc>
        <w:tc>
          <w:tcPr>
            <w:tcW w:w="800" w:type="dxa"/>
            <w:vAlign w:val="center"/>
          </w:tcPr>
          <w:p w14:paraId="0AFA0871" w14:textId="77777777" w:rsidR="000F0526" w:rsidRPr="001F151E" w:rsidRDefault="000F0526" w:rsidP="000C70FA">
            <w:pPr>
              <w:jc w:val="center"/>
              <w:rPr>
                <w:sz w:val="16"/>
                <w:szCs w:val="16"/>
              </w:rPr>
            </w:pPr>
            <w:r>
              <w:rPr>
                <w:sz w:val="16"/>
                <w:szCs w:val="16"/>
              </w:rPr>
              <w:t>T</w:t>
            </w:r>
            <w:r w:rsidRPr="001F151E">
              <w:rPr>
                <w:sz w:val="16"/>
                <w:szCs w:val="16"/>
              </w:rPr>
              <w:t>1 2023</w:t>
            </w:r>
          </w:p>
        </w:tc>
        <w:tc>
          <w:tcPr>
            <w:tcW w:w="800" w:type="dxa"/>
            <w:vAlign w:val="center"/>
          </w:tcPr>
          <w:p w14:paraId="35228D13" w14:textId="77777777" w:rsidR="000F0526" w:rsidRPr="001F151E" w:rsidRDefault="000F0526" w:rsidP="000C70FA">
            <w:pPr>
              <w:jc w:val="center"/>
              <w:rPr>
                <w:sz w:val="16"/>
                <w:szCs w:val="16"/>
              </w:rPr>
            </w:pPr>
            <w:r>
              <w:rPr>
                <w:sz w:val="16"/>
                <w:szCs w:val="16"/>
              </w:rPr>
              <w:t>T</w:t>
            </w:r>
            <w:r w:rsidRPr="001F151E">
              <w:rPr>
                <w:sz w:val="16"/>
                <w:szCs w:val="16"/>
              </w:rPr>
              <w:t>4 2024</w:t>
            </w:r>
          </w:p>
        </w:tc>
        <w:tc>
          <w:tcPr>
            <w:tcW w:w="1789" w:type="dxa"/>
            <w:vMerge w:val="restart"/>
          </w:tcPr>
          <w:p w14:paraId="098AEA52" w14:textId="77777777" w:rsidR="000F0526" w:rsidRPr="001F151E" w:rsidRDefault="000F0526" w:rsidP="000C70FA">
            <w:pPr>
              <w:rPr>
                <w:b/>
                <w:bCs/>
                <w:sz w:val="16"/>
                <w:szCs w:val="16"/>
              </w:rPr>
            </w:pPr>
            <w:r>
              <w:rPr>
                <w:b/>
                <w:bCs/>
                <w:sz w:val="16"/>
                <w:szCs w:val="16"/>
              </w:rPr>
              <w:t>Njësitë përgjegjëse</w:t>
            </w:r>
            <w:r w:rsidRPr="001F151E">
              <w:rPr>
                <w:b/>
                <w:bCs/>
                <w:sz w:val="16"/>
                <w:szCs w:val="16"/>
              </w:rPr>
              <w:t xml:space="preserve">: </w:t>
            </w:r>
          </w:p>
          <w:p w14:paraId="314C0C27" w14:textId="77777777" w:rsidR="000F0526" w:rsidRPr="001F151E" w:rsidRDefault="000F0526" w:rsidP="000C70FA">
            <w:pPr>
              <w:rPr>
                <w:sz w:val="16"/>
                <w:szCs w:val="16"/>
              </w:rPr>
            </w:pPr>
            <w:r>
              <w:rPr>
                <w:sz w:val="16"/>
                <w:szCs w:val="16"/>
              </w:rPr>
              <w:t>KLSH</w:t>
            </w:r>
            <w:r w:rsidRPr="001F151E">
              <w:rPr>
                <w:sz w:val="16"/>
                <w:szCs w:val="16"/>
              </w:rPr>
              <w:t xml:space="preserve"> (l</w:t>
            </w:r>
            <w:r>
              <w:rPr>
                <w:sz w:val="16"/>
                <w:szCs w:val="16"/>
              </w:rPr>
              <w:t>ider</w:t>
            </w:r>
            <w:r w:rsidRPr="001F151E">
              <w:rPr>
                <w:sz w:val="16"/>
                <w:szCs w:val="16"/>
              </w:rPr>
              <w:t>)</w:t>
            </w:r>
          </w:p>
          <w:p w14:paraId="4D7B0F21" w14:textId="77777777" w:rsidR="000F0526" w:rsidRPr="001F151E" w:rsidRDefault="000F0526" w:rsidP="000C70FA">
            <w:pPr>
              <w:pStyle w:val="EcorysBody"/>
              <w:rPr>
                <w:rFonts w:ascii="Arial" w:hAnsi="Arial" w:cs="Arial"/>
                <w:b/>
                <w:bCs/>
                <w:sz w:val="16"/>
                <w:szCs w:val="16"/>
              </w:rPr>
            </w:pPr>
          </w:p>
          <w:p w14:paraId="05005276" w14:textId="77777777" w:rsidR="000F0526" w:rsidRPr="001F151E" w:rsidRDefault="000F0526" w:rsidP="000C70FA">
            <w:pPr>
              <w:pStyle w:val="EcorysBody"/>
              <w:rPr>
                <w:sz w:val="16"/>
                <w:szCs w:val="16"/>
              </w:rPr>
            </w:pPr>
          </w:p>
        </w:tc>
      </w:tr>
      <w:tr w:rsidR="000F0526" w:rsidRPr="001F151E" w14:paraId="0D049206" w14:textId="77777777" w:rsidTr="000C70FA">
        <w:trPr>
          <w:trHeight w:val="20"/>
        </w:trPr>
        <w:tc>
          <w:tcPr>
            <w:tcW w:w="1993" w:type="dxa"/>
            <w:vMerge/>
            <w:shd w:val="clear" w:color="auto" w:fill="auto"/>
          </w:tcPr>
          <w:p w14:paraId="51A4C4AE" w14:textId="77777777" w:rsidR="000F0526" w:rsidRPr="001F151E" w:rsidRDefault="000F0526" w:rsidP="000C70FA">
            <w:pPr>
              <w:pStyle w:val="EcorysBody"/>
              <w:numPr>
                <w:ilvl w:val="0"/>
                <w:numId w:val="10"/>
              </w:numPr>
              <w:rPr>
                <w:rFonts w:ascii="Arial" w:hAnsi="Arial" w:cs="Arial"/>
                <w:sz w:val="16"/>
                <w:szCs w:val="16"/>
              </w:rPr>
            </w:pPr>
          </w:p>
        </w:tc>
        <w:tc>
          <w:tcPr>
            <w:tcW w:w="3634" w:type="dxa"/>
          </w:tcPr>
          <w:p w14:paraId="391A2AF1" w14:textId="77777777" w:rsidR="000F0526" w:rsidRPr="001F151E" w:rsidRDefault="000F0526" w:rsidP="007C5F11">
            <w:pPr>
              <w:pStyle w:val="EcorysBody"/>
              <w:numPr>
                <w:ilvl w:val="0"/>
                <w:numId w:val="10"/>
              </w:numPr>
              <w:jc w:val="both"/>
              <w:rPr>
                <w:rFonts w:ascii="Arial" w:hAnsi="Arial" w:cs="Arial"/>
                <w:sz w:val="16"/>
                <w:szCs w:val="16"/>
              </w:rPr>
            </w:pPr>
            <w:r w:rsidRPr="002B4085">
              <w:rPr>
                <w:rFonts w:ascii="Arial" w:hAnsi="Arial" w:cs="Arial"/>
                <w:sz w:val="16"/>
                <w:szCs w:val="16"/>
              </w:rPr>
              <w:t>Zgjerimi i monitorimit, raportimit dhe komunikimit për ndjekjen e rekomandimeve të auditimit nga të audituarit</w:t>
            </w:r>
            <w:r w:rsidRPr="001F151E">
              <w:rPr>
                <w:rFonts w:ascii="Arial" w:hAnsi="Arial" w:cs="Arial"/>
                <w:sz w:val="16"/>
                <w:szCs w:val="16"/>
              </w:rPr>
              <w:t>.</w:t>
            </w:r>
          </w:p>
        </w:tc>
        <w:tc>
          <w:tcPr>
            <w:tcW w:w="800" w:type="dxa"/>
            <w:vAlign w:val="center"/>
          </w:tcPr>
          <w:p w14:paraId="3BEE3053" w14:textId="77777777" w:rsidR="000F0526" w:rsidRPr="001F151E" w:rsidRDefault="000F0526" w:rsidP="000C70FA">
            <w:pPr>
              <w:jc w:val="center"/>
              <w:rPr>
                <w:sz w:val="16"/>
                <w:szCs w:val="16"/>
              </w:rPr>
            </w:pPr>
            <w:r>
              <w:rPr>
                <w:sz w:val="16"/>
                <w:szCs w:val="16"/>
              </w:rPr>
              <w:t>T</w:t>
            </w:r>
            <w:r w:rsidRPr="001F151E">
              <w:rPr>
                <w:sz w:val="16"/>
                <w:szCs w:val="16"/>
              </w:rPr>
              <w:t>1 2023</w:t>
            </w:r>
          </w:p>
        </w:tc>
        <w:tc>
          <w:tcPr>
            <w:tcW w:w="800" w:type="dxa"/>
            <w:vAlign w:val="center"/>
          </w:tcPr>
          <w:p w14:paraId="3BC0B2A6" w14:textId="77777777" w:rsidR="000F0526" w:rsidRPr="001F151E" w:rsidRDefault="000F0526" w:rsidP="000C70FA">
            <w:pPr>
              <w:jc w:val="center"/>
              <w:rPr>
                <w:sz w:val="16"/>
                <w:szCs w:val="16"/>
              </w:rPr>
            </w:pPr>
            <w:r>
              <w:rPr>
                <w:sz w:val="16"/>
                <w:szCs w:val="16"/>
              </w:rPr>
              <w:t>T</w:t>
            </w:r>
            <w:r w:rsidRPr="001F151E">
              <w:rPr>
                <w:sz w:val="16"/>
                <w:szCs w:val="16"/>
              </w:rPr>
              <w:t>4 2026</w:t>
            </w:r>
          </w:p>
        </w:tc>
        <w:tc>
          <w:tcPr>
            <w:tcW w:w="1789" w:type="dxa"/>
            <w:vMerge/>
          </w:tcPr>
          <w:p w14:paraId="6A92639E" w14:textId="77777777" w:rsidR="000F0526" w:rsidRPr="001F151E" w:rsidRDefault="000F0526" w:rsidP="000C70FA">
            <w:pPr>
              <w:rPr>
                <w:sz w:val="16"/>
                <w:szCs w:val="16"/>
              </w:rPr>
            </w:pPr>
          </w:p>
        </w:tc>
      </w:tr>
    </w:tbl>
    <w:p w14:paraId="036299B2" w14:textId="77777777" w:rsidR="000F0526" w:rsidRDefault="000F0526" w:rsidP="000F0526">
      <w:pPr>
        <w:spacing w:after="160" w:line="259" w:lineRule="auto"/>
        <w:rPr>
          <w:rStyle w:val="IntenseReference"/>
          <w:b/>
          <w:bCs/>
          <w:i w:val="0"/>
          <w:lang w:val="en-GB"/>
        </w:rPr>
      </w:pPr>
    </w:p>
    <w:p w14:paraId="468EED35" w14:textId="77777777" w:rsidR="00FA16E5" w:rsidRDefault="00FA16E5" w:rsidP="000F0526">
      <w:pPr>
        <w:spacing w:after="160" w:line="259" w:lineRule="auto"/>
        <w:rPr>
          <w:rStyle w:val="IntenseReference"/>
          <w:b/>
          <w:bCs/>
          <w:i w:val="0"/>
          <w:lang w:val="en-GB"/>
        </w:rPr>
      </w:pPr>
    </w:p>
    <w:p w14:paraId="742ED82D" w14:textId="77777777" w:rsidR="00FA16E5" w:rsidRDefault="00FA16E5" w:rsidP="000F0526">
      <w:pPr>
        <w:spacing w:after="160" w:line="259" w:lineRule="auto"/>
        <w:rPr>
          <w:rStyle w:val="IntenseReference"/>
          <w:b/>
          <w:bCs/>
          <w:i w:val="0"/>
          <w:lang w:val="en-GB"/>
        </w:rPr>
      </w:pPr>
    </w:p>
    <w:p w14:paraId="442832F4" w14:textId="77777777" w:rsidR="00FA16E5" w:rsidRPr="001F151E" w:rsidRDefault="00FA16E5" w:rsidP="000F0526">
      <w:pPr>
        <w:spacing w:after="160" w:line="259" w:lineRule="auto"/>
        <w:rPr>
          <w:rStyle w:val="IntenseReference"/>
          <w:b/>
          <w:bCs/>
          <w:i w:val="0"/>
          <w:lang w:val="en-GB"/>
        </w:rPr>
      </w:pPr>
    </w:p>
    <w:p w14:paraId="78AEE6E6" w14:textId="77777777" w:rsidR="000F0526" w:rsidRPr="009D660E" w:rsidRDefault="000F0526" w:rsidP="000F0526">
      <w:pPr>
        <w:pStyle w:val="H5"/>
        <w:rPr>
          <w:rStyle w:val="IntenseReference"/>
          <w:i w:val="0"/>
          <w:lang w:val="it-IT"/>
        </w:rPr>
      </w:pPr>
      <w:r w:rsidRPr="009D660E">
        <w:rPr>
          <w:lang w:val="it-IT"/>
        </w:rPr>
        <w:t>Treguesit e performancës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0F0526" w:rsidRPr="001F151E" w14:paraId="36EC14FB" w14:textId="77777777" w:rsidTr="000C70FA">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DD1052" w14:textId="77777777" w:rsidR="000F0526" w:rsidRPr="001F151E" w:rsidRDefault="000F0526" w:rsidP="000C70FA">
            <w:pPr>
              <w:pStyle w:val="T-bold"/>
              <w:spacing w:line="200" w:lineRule="exact"/>
            </w:pPr>
            <w:r>
              <w:t>Treguesi</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C802EB" w14:textId="77777777" w:rsidR="000F0526" w:rsidRPr="001F151E" w:rsidRDefault="000F0526" w:rsidP="000C70FA">
            <w:pPr>
              <w:pStyle w:val="T-bold"/>
              <w:spacing w:line="200" w:lineRule="exact"/>
              <w:jc w:val="center"/>
            </w:pPr>
            <w:r>
              <w:t>Vlera bazë</w:t>
            </w:r>
            <w:r w:rsidRPr="001F151E">
              <w:t xml:space="preserve"> (</w:t>
            </w:r>
            <w:r>
              <w:t>viti</w:t>
            </w:r>
            <w:r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49EC7" w14:textId="77777777" w:rsidR="000F0526" w:rsidRPr="001F151E" w:rsidRDefault="000F0526" w:rsidP="000C70FA">
            <w:pPr>
              <w:pStyle w:val="T-bold"/>
              <w:spacing w:line="200" w:lineRule="exact"/>
              <w:jc w:val="center"/>
            </w:pPr>
            <w:r>
              <w:t>Vlera e synuar</w:t>
            </w:r>
          </w:p>
        </w:tc>
      </w:tr>
      <w:tr w:rsidR="000F0526" w:rsidRPr="001F151E" w14:paraId="5C39D345" w14:textId="77777777" w:rsidTr="000C70FA">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9EDAF1D" w14:textId="77777777" w:rsidR="000F0526" w:rsidRPr="001F151E" w:rsidRDefault="000F0526" w:rsidP="000C70FA">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E639B6A" w14:textId="77777777" w:rsidR="000F0526" w:rsidRPr="001F151E" w:rsidRDefault="000F0526" w:rsidP="000C70FA">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E0DF8" w14:textId="77777777" w:rsidR="000F0526" w:rsidRPr="001F151E" w:rsidRDefault="000F0526" w:rsidP="000C70FA">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AC27A" w14:textId="77777777" w:rsidR="000F0526" w:rsidRPr="001F151E" w:rsidRDefault="000F0526" w:rsidP="000C70FA">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83A4ED" w14:textId="77777777" w:rsidR="000F0526" w:rsidRPr="001F151E" w:rsidRDefault="000F0526" w:rsidP="000C70FA">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AF370" w14:textId="77777777" w:rsidR="000F0526" w:rsidRPr="001F151E" w:rsidRDefault="000F0526" w:rsidP="000C70FA">
            <w:pPr>
              <w:pStyle w:val="T-bold"/>
              <w:spacing w:line="200" w:lineRule="exact"/>
              <w:jc w:val="center"/>
            </w:pPr>
            <w:r w:rsidRPr="001F151E">
              <w:t>2026</w:t>
            </w:r>
          </w:p>
        </w:tc>
      </w:tr>
      <w:tr w:rsidR="000F0526" w:rsidRPr="001F151E" w14:paraId="1A5DB086" w14:textId="77777777" w:rsidTr="000C70FA">
        <w:trPr>
          <w:trHeight w:val="21"/>
        </w:trPr>
        <w:tc>
          <w:tcPr>
            <w:tcW w:w="3114" w:type="dxa"/>
            <w:tcBorders>
              <w:top w:val="single" w:sz="4" w:space="0" w:color="auto"/>
              <w:left w:val="single" w:sz="4" w:space="0" w:color="auto"/>
              <w:bottom w:val="single" w:sz="4" w:space="0" w:color="auto"/>
              <w:right w:val="single" w:sz="4" w:space="0" w:color="auto"/>
            </w:tcBorders>
          </w:tcPr>
          <w:p w14:paraId="316AF820" w14:textId="218E6929" w:rsidR="000F0526" w:rsidRPr="009D660E" w:rsidRDefault="000F0526" w:rsidP="00CD7428">
            <w:pPr>
              <w:pStyle w:val="T-number"/>
              <w:numPr>
                <w:ilvl w:val="0"/>
                <w:numId w:val="101"/>
              </w:numPr>
              <w:rPr>
                <w:lang w:val="it-IT"/>
              </w:rPr>
            </w:pPr>
            <w:r w:rsidRPr="009D660E">
              <w:rPr>
                <w:rStyle w:val="rynqvb"/>
                <w:lang w:val="it-IT"/>
              </w:rPr>
              <w:t>Treguesi PEFA 30.1 Mbulimi dhe standardet e auditimit</w:t>
            </w:r>
          </w:p>
        </w:tc>
        <w:tc>
          <w:tcPr>
            <w:tcW w:w="1180" w:type="dxa"/>
            <w:tcBorders>
              <w:top w:val="single" w:sz="4" w:space="0" w:color="auto"/>
              <w:left w:val="single" w:sz="4" w:space="0" w:color="auto"/>
              <w:bottom w:val="single" w:sz="4" w:space="0" w:color="auto"/>
              <w:right w:val="single" w:sz="4" w:space="0" w:color="auto"/>
            </w:tcBorders>
            <w:vAlign w:val="center"/>
          </w:tcPr>
          <w:p w14:paraId="6FBDB957" w14:textId="77777777" w:rsidR="000F0526" w:rsidRPr="001F151E" w:rsidRDefault="000F0526" w:rsidP="000C70FA">
            <w:pPr>
              <w:pStyle w:val="T-normal"/>
              <w:jc w:val="center"/>
            </w:pPr>
            <w:r w:rsidRPr="001F151E">
              <w:rPr>
                <w:rFonts w:ascii="Arial Narrow" w:hAnsi="Arial Narrow"/>
              </w:rPr>
              <w:t>B (2017)</w:t>
            </w:r>
          </w:p>
        </w:tc>
        <w:tc>
          <w:tcPr>
            <w:tcW w:w="1181" w:type="dxa"/>
            <w:tcBorders>
              <w:top w:val="single" w:sz="4" w:space="0" w:color="auto"/>
              <w:left w:val="single" w:sz="4" w:space="0" w:color="auto"/>
              <w:bottom w:val="single" w:sz="4" w:space="0" w:color="auto"/>
              <w:right w:val="single" w:sz="4" w:space="0" w:color="auto"/>
            </w:tcBorders>
            <w:vAlign w:val="center"/>
          </w:tcPr>
          <w:p w14:paraId="5C7C3704" w14:textId="77777777" w:rsidR="000F0526" w:rsidRPr="001F151E" w:rsidRDefault="000F0526" w:rsidP="000C70FA">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24576A66" w14:textId="77777777" w:rsidR="000F0526" w:rsidRPr="001F151E" w:rsidRDefault="000F0526" w:rsidP="000C70F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48998BA5" w14:textId="77777777" w:rsidR="000F0526" w:rsidRPr="001F151E" w:rsidRDefault="000F0526" w:rsidP="000C70FA">
            <w:pPr>
              <w:pStyle w:val="T-normal"/>
              <w:jc w:val="center"/>
            </w:pPr>
            <w:r w:rsidRPr="001F151E">
              <w:t>A</w:t>
            </w:r>
          </w:p>
        </w:tc>
        <w:tc>
          <w:tcPr>
            <w:tcW w:w="1181" w:type="dxa"/>
            <w:tcBorders>
              <w:top w:val="single" w:sz="4" w:space="0" w:color="auto"/>
              <w:left w:val="single" w:sz="4" w:space="0" w:color="auto"/>
              <w:bottom w:val="single" w:sz="4" w:space="0" w:color="auto"/>
              <w:right w:val="single" w:sz="4" w:space="0" w:color="auto"/>
            </w:tcBorders>
            <w:vAlign w:val="center"/>
          </w:tcPr>
          <w:p w14:paraId="458F0272" w14:textId="77777777" w:rsidR="000F0526" w:rsidRPr="001F151E" w:rsidRDefault="000F0526" w:rsidP="000C70FA">
            <w:pPr>
              <w:pStyle w:val="T-normal"/>
              <w:jc w:val="center"/>
            </w:pPr>
            <w:r w:rsidRPr="001F151E">
              <w:t>-</w:t>
            </w:r>
          </w:p>
        </w:tc>
      </w:tr>
      <w:tr w:rsidR="000F0526" w:rsidRPr="001F151E" w14:paraId="654AA447" w14:textId="77777777" w:rsidTr="000C70FA">
        <w:tc>
          <w:tcPr>
            <w:tcW w:w="3114" w:type="dxa"/>
            <w:tcBorders>
              <w:top w:val="single" w:sz="4" w:space="0" w:color="auto"/>
              <w:left w:val="single" w:sz="4" w:space="0" w:color="auto"/>
              <w:bottom w:val="single" w:sz="4" w:space="0" w:color="auto"/>
              <w:right w:val="single" w:sz="4" w:space="0" w:color="auto"/>
            </w:tcBorders>
          </w:tcPr>
          <w:p w14:paraId="1749C7BE" w14:textId="77777777" w:rsidR="000F0526" w:rsidRPr="009D660E" w:rsidRDefault="000F0526" w:rsidP="00CD7428">
            <w:pPr>
              <w:pStyle w:val="T-number"/>
              <w:numPr>
                <w:ilvl w:val="0"/>
                <w:numId w:val="101"/>
              </w:numPr>
              <w:rPr>
                <w:lang w:val="it-IT"/>
              </w:rPr>
            </w:pPr>
            <w:r w:rsidRPr="009D660E">
              <w:rPr>
                <w:rStyle w:val="rynqvb"/>
                <w:lang w:val="it-IT"/>
              </w:rPr>
              <w:t>Treguesi PEFA 30.3 Ndjekja e auditimit të jashtëm</w:t>
            </w:r>
            <w:r w:rsidRPr="009D660E">
              <w:rPr>
                <w:lang w:val="it-IT"/>
              </w:rPr>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14:paraId="04808D4F" w14:textId="77777777" w:rsidR="000F0526" w:rsidRPr="001F151E" w:rsidRDefault="000F0526" w:rsidP="000C70FA">
            <w:pPr>
              <w:pStyle w:val="T-normal"/>
              <w:jc w:val="center"/>
            </w:pPr>
            <w:r w:rsidRPr="001F151E">
              <w:rPr>
                <w:rFonts w:ascii="Arial Narrow" w:hAnsi="Arial Narrow"/>
              </w:rPr>
              <w:t>C (2017)</w:t>
            </w:r>
          </w:p>
        </w:tc>
        <w:tc>
          <w:tcPr>
            <w:tcW w:w="1181" w:type="dxa"/>
            <w:tcBorders>
              <w:top w:val="single" w:sz="4" w:space="0" w:color="auto"/>
              <w:left w:val="single" w:sz="4" w:space="0" w:color="auto"/>
              <w:bottom w:val="single" w:sz="4" w:space="0" w:color="auto"/>
              <w:right w:val="single" w:sz="4" w:space="0" w:color="auto"/>
            </w:tcBorders>
            <w:vAlign w:val="center"/>
          </w:tcPr>
          <w:p w14:paraId="52B9B58A" w14:textId="77777777" w:rsidR="000F0526" w:rsidRPr="001F151E" w:rsidRDefault="000F0526" w:rsidP="000C70FA">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39763E8F" w14:textId="77777777" w:rsidR="000F0526" w:rsidRPr="001F151E" w:rsidRDefault="000F0526" w:rsidP="000C70F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084ABC1C" w14:textId="77777777" w:rsidR="000F0526" w:rsidRPr="001F151E" w:rsidRDefault="000F0526" w:rsidP="000C70FA">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361F2E94" w14:textId="77777777" w:rsidR="000F0526" w:rsidRPr="001F151E" w:rsidRDefault="000F0526" w:rsidP="000C70FA">
            <w:pPr>
              <w:pStyle w:val="T-normal"/>
              <w:jc w:val="center"/>
            </w:pPr>
            <w:r w:rsidRPr="001F151E">
              <w:t>A</w:t>
            </w:r>
          </w:p>
        </w:tc>
      </w:tr>
      <w:tr w:rsidR="000F0526" w:rsidRPr="001F151E" w14:paraId="494F67AF" w14:textId="77777777" w:rsidTr="000C70FA">
        <w:tc>
          <w:tcPr>
            <w:tcW w:w="3114" w:type="dxa"/>
            <w:tcBorders>
              <w:top w:val="single" w:sz="4" w:space="0" w:color="auto"/>
              <w:left w:val="single" w:sz="4" w:space="0" w:color="auto"/>
              <w:bottom w:val="single" w:sz="4" w:space="0" w:color="auto"/>
              <w:right w:val="single" w:sz="4" w:space="0" w:color="auto"/>
            </w:tcBorders>
          </w:tcPr>
          <w:p w14:paraId="7B8D20B0" w14:textId="77777777" w:rsidR="000F0526" w:rsidRPr="009D660E" w:rsidRDefault="000F0526" w:rsidP="00CD7428">
            <w:pPr>
              <w:pStyle w:val="T-number"/>
              <w:numPr>
                <w:ilvl w:val="0"/>
                <w:numId w:val="101"/>
              </w:numPr>
              <w:rPr>
                <w:lang w:val="it-IT"/>
              </w:rPr>
            </w:pPr>
            <w:r w:rsidRPr="009D660E">
              <w:rPr>
                <w:rStyle w:val="rynqvb"/>
                <w:lang w:val="it-IT"/>
              </w:rPr>
              <w:t>SIGMA Treguesi 4.3.1.5: Efektiviteti i kontrollit të autoriteteve publike nga institucionet e pavarura mbikëqyrëse (Zbatimi i rekomandimeve të ISA)</w:t>
            </w:r>
            <w:r w:rsidRPr="009D660E">
              <w:rPr>
                <w:lang w:val="it-IT"/>
              </w:rPr>
              <w:t>.</w:t>
            </w:r>
          </w:p>
        </w:tc>
        <w:tc>
          <w:tcPr>
            <w:tcW w:w="1180" w:type="dxa"/>
            <w:tcBorders>
              <w:top w:val="single" w:sz="4" w:space="0" w:color="auto"/>
              <w:left w:val="single" w:sz="4" w:space="0" w:color="auto"/>
              <w:bottom w:val="single" w:sz="4" w:space="0" w:color="auto"/>
              <w:right w:val="single" w:sz="4" w:space="0" w:color="auto"/>
            </w:tcBorders>
            <w:vAlign w:val="center"/>
          </w:tcPr>
          <w:p w14:paraId="702C0B87" w14:textId="77777777" w:rsidR="000F0526" w:rsidRPr="001F151E" w:rsidRDefault="000F0526" w:rsidP="000C70FA">
            <w:pPr>
              <w:pStyle w:val="T-normal"/>
              <w:jc w:val="center"/>
              <w:rPr>
                <w:rFonts w:ascii="Arial Narrow" w:hAnsi="Arial Narrow"/>
              </w:rPr>
            </w:pPr>
            <w:r w:rsidRPr="001F151E">
              <w:rPr>
                <w:rFonts w:ascii="Arial Narrow" w:hAnsi="Arial Narrow"/>
              </w:rPr>
              <w:t>4/8</w:t>
            </w:r>
          </w:p>
        </w:tc>
        <w:tc>
          <w:tcPr>
            <w:tcW w:w="1181" w:type="dxa"/>
            <w:tcBorders>
              <w:top w:val="single" w:sz="4" w:space="0" w:color="auto"/>
              <w:left w:val="single" w:sz="4" w:space="0" w:color="auto"/>
              <w:bottom w:val="single" w:sz="4" w:space="0" w:color="auto"/>
              <w:right w:val="single" w:sz="4" w:space="0" w:color="auto"/>
            </w:tcBorders>
            <w:vAlign w:val="center"/>
          </w:tcPr>
          <w:p w14:paraId="64C3232A" w14:textId="77777777" w:rsidR="000F0526" w:rsidRPr="001F151E" w:rsidRDefault="000F0526" w:rsidP="000C70FA">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2D28FC78" w14:textId="77777777" w:rsidR="000F0526" w:rsidRPr="001F151E" w:rsidRDefault="000F0526" w:rsidP="000C70F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186A44E3" w14:textId="77777777" w:rsidR="000F0526" w:rsidRPr="001F151E" w:rsidRDefault="000F0526" w:rsidP="000C70FA">
            <w:pPr>
              <w:pStyle w:val="T-normal"/>
              <w:jc w:val="center"/>
            </w:pPr>
            <w:r w:rsidRPr="001F151E">
              <w:t>5/8</w:t>
            </w:r>
          </w:p>
        </w:tc>
        <w:tc>
          <w:tcPr>
            <w:tcW w:w="1181" w:type="dxa"/>
            <w:tcBorders>
              <w:top w:val="single" w:sz="4" w:space="0" w:color="auto"/>
              <w:left w:val="single" w:sz="4" w:space="0" w:color="auto"/>
              <w:bottom w:val="single" w:sz="4" w:space="0" w:color="auto"/>
              <w:right w:val="single" w:sz="4" w:space="0" w:color="auto"/>
            </w:tcBorders>
            <w:vAlign w:val="center"/>
          </w:tcPr>
          <w:p w14:paraId="3FE18245" w14:textId="77777777" w:rsidR="000F0526" w:rsidRPr="001F151E" w:rsidRDefault="000F0526" w:rsidP="000C70FA">
            <w:pPr>
              <w:pStyle w:val="T-normal"/>
              <w:jc w:val="center"/>
            </w:pPr>
            <w:r w:rsidRPr="001F151E">
              <w:t>7/8</w:t>
            </w:r>
          </w:p>
        </w:tc>
      </w:tr>
      <w:tr w:rsidR="000F0526" w:rsidRPr="001F151E" w14:paraId="5FCF7EE4" w14:textId="77777777" w:rsidTr="000C70FA">
        <w:tc>
          <w:tcPr>
            <w:tcW w:w="3114" w:type="dxa"/>
            <w:tcBorders>
              <w:top w:val="single" w:sz="4" w:space="0" w:color="auto"/>
              <w:left w:val="single" w:sz="4" w:space="0" w:color="auto"/>
              <w:bottom w:val="single" w:sz="4" w:space="0" w:color="auto"/>
              <w:right w:val="single" w:sz="4" w:space="0" w:color="auto"/>
            </w:tcBorders>
          </w:tcPr>
          <w:p w14:paraId="06497D85" w14:textId="77777777" w:rsidR="000F0526" w:rsidRPr="007C5F11" w:rsidRDefault="000F0526" w:rsidP="00CD7428">
            <w:pPr>
              <w:pStyle w:val="T-number"/>
              <w:numPr>
                <w:ilvl w:val="0"/>
                <w:numId w:val="101"/>
              </w:numPr>
            </w:pPr>
            <w:r w:rsidRPr="007C5F11">
              <w:rPr>
                <w:rStyle w:val="rynqvb"/>
              </w:rPr>
              <w:t>Përgatitet dhe zbatohet Udhëzimi për auditimin e institucioneve buxhetore.</w:t>
            </w:r>
          </w:p>
        </w:tc>
        <w:tc>
          <w:tcPr>
            <w:tcW w:w="1180" w:type="dxa"/>
            <w:tcBorders>
              <w:top w:val="single" w:sz="4" w:space="0" w:color="auto"/>
              <w:left w:val="single" w:sz="4" w:space="0" w:color="auto"/>
              <w:bottom w:val="single" w:sz="4" w:space="0" w:color="auto"/>
              <w:right w:val="single" w:sz="4" w:space="0" w:color="auto"/>
            </w:tcBorders>
            <w:vAlign w:val="center"/>
          </w:tcPr>
          <w:p w14:paraId="4C60FBBB" w14:textId="77777777" w:rsidR="000F0526" w:rsidRPr="007C5F11" w:rsidRDefault="000F0526" w:rsidP="000C70FA">
            <w:pPr>
              <w:pStyle w:val="T-normal"/>
              <w:jc w:val="center"/>
            </w:pPr>
            <w:r w:rsidRPr="007C5F11">
              <w:t>-</w:t>
            </w:r>
          </w:p>
        </w:tc>
        <w:tc>
          <w:tcPr>
            <w:tcW w:w="1181" w:type="dxa"/>
            <w:tcBorders>
              <w:top w:val="single" w:sz="4" w:space="0" w:color="auto"/>
              <w:left w:val="single" w:sz="4" w:space="0" w:color="auto"/>
              <w:bottom w:val="single" w:sz="4" w:space="0" w:color="auto"/>
              <w:right w:val="single" w:sz="4" w:space="0" w:color="auto"/>
            </w:tcBorders>
            <w:vAlign w:val="center"/>
          </w:tcPr>
          <w:p w14:paraId="3FA6196A" w14:textId="77777777" w:rsidR="000F0526" w:rsidRPr="007C5F11" w:rsidRDefault="000F0526" w:rsidP="000C70FA">
            <w:pPr>
              <w:pStyle w:val="T-normal"/>
              <w:jc w:val="center"/>
            </w:pPr>
            <w:r w:rsidRPr="007C5F11">
              <w:t>-</w:t>
            </w:r>
          </w:p>
        </w:tc>
        <w:tc>
          <w:tcPr>
            <w:tcW w:w="1180" w:type="dxa"/>
            <w:tcBorders>
              <w:top w:val="single" w:sz="4" w:space="0" w:color="auto"/>
              <w:left w:val="single" w:sz="4" w:space="0" w:color="auto"/>
              <w:bottom w:val="single" w:sz="4" w:space="0" w:color="auto"/>
              <w:right w:val="single" w:sz="4" w:space="0" w:color="auto"/>
            </w:tcBorders>
            <w:vAlign w:val="center"/>
          </w:tcPr>
          <w:p w14:paraId="6229C13C" w14:textId="77777777" w:rsidR="000F0526" w:rsidRPr="007C5F11" w:rsidRDefault="000F0526" w:rsidP="000C70FA">
            <w:pPr>
              <w:pStyle w:val="T-normal"/>
              <w:jc w:val="center"/>
            </w:pPr>
            <w:r w:rsidRPr="007C5F11">
              <w:t>Udhëzimi miratohet</w:t>
            </w:r>
          </w:p>
        </w:tc>
        <w:tc>
          <w:tcPr>
            <w:tcW w:w="1181" w:type="dxa"/>
            <w:tcBorders>
              <w:top w:val="single" w:sz="4" w:space="0" w:color="auto"/>
              <w:left w:val="single" w:sz="4" w:space="0" w:color="auto"/>
              <w:bottom w:val="single" w:sz="4" w:space="0" w:color="auto"/>
              <w:right w:val="single" w:sz="4" w:space="0" w:color="auto"/>
            </w:tcBorders>
            <w:vAlign w:val="center"/>
          </w:tcPr>
          <w:p w14:paraId="76E710CE" w14:textId="77777777" w:rsidR="000F0526" w:rsidRPr="007C5F11" w:rsidRDefault="000F0526" w:rsidP="000C70FA">
            <w:pPr>
              <w:pStyle w:val="T-normal"/>
              <w:jc w:val="center"/>
              <w:rPr>
                <w:highlight w:val="yellow"/>
              </w:rPr>
            </w:pPr>
            <w:r w:rsidRPr="007C5F11">
              <w:t>Udhëzimi zbatohet</w:t>
            </w:r>
          </w:p>
        </w:tc>
        <w:tc>
          <w:tcPr>
            <w:tcW w:w="1181" w:type="dxa"/>
            <w:tcBorders>
              <w:top w:val="single" w:sz="4" w:space="0" w:color="auto"/>
              <w:left w:val="single" w:sz="4" w:space="0" w:color="auto"/>
              <w:bottom w:val="single" w:sz="4" w:space="0" w:color="auto"/>
              <w:right w:val="single" w:sz="4" w:space="0" w:color="auto"/>
            </w:tcBorders>
            <w:vAlign w:val="center"/>
          </w:tcPr>
          <w:p w14:paraId="197CB243" w14:textId="77777777" w:rsidR="000F0526" w:rsidRPr="007C5F11" w:rsidRDefault="000F0526" w:rsidP="000C70FA">
            <w:pPr>
              <w:pStyle w:val="T-normal"/>
              <w:jc w:val="center"/>
              <w:rPr>
                <w:highlight w:val="yellow"/>
              </w:rPr>
            </w:pPr>
            <w:r w:rsidRPr="007C5F11">
              <w:t>-</w:t>
            </w:r>
          </w:p>
        </w:tc>
      </w:tr>
      <w:tr w:rsidR="000F0526" w:rsidRPr="001F151E" w14:paraId="67593CDD" w14:textId="77777777" w:rsidTr="000C70FA">
        <w:tc>
          <w:tcPr>
            <w:tcW w:w="3114" w:type="dxa"/>
            <w:tcBorders>
              <w:top w:val="single" w:sz="4" w:space="0" w:color="auto"/>
              <w:left w:val="single" w:sz="4" w:space="0" w:color="auto"/>
              <w:bottom w:val="single" w:sz="4" w:space="0" w:color="auto"/>
              <w:right w:val="single" w:sz="4" w:space="0" w:color="auto"/>
            </w:tcBorders>
          </w:tcPr>
          <w:p w14:paraId="3643E6C4" w14:textId="77777777" w:rsidR="000F0526" w:rsidRPr="007C5F11" w:rsidRDefault="000F0526" w:rsidP="00CD7428">
            <w:pPr>
              <w:pStyle w:val="T-number"/>
              <w:numPr>
                <w:ilvl w:val="0"/>
                <w:numId w:val="101"/>
              </w:numPr>
            </w:pPr>
            <w:r w:rsidRPr="007C5F11">
              <w:rPr>
                <w:rStyle w:val="rynqvb"/>
              </w:rPr>
              <w:t>Mjet i auditimit me ndihmën e kompjuterit (softuer) është në përdorim</w:t>
            </w:r>
            <w:r w:rsidRPr="007C5F11">
              <w:t>.</w:t>
            </w:r>
          </w:p>
        </w:tc>
        <w:tc>
          <w:tcPr>
            <w:tcW w:w="1180" w:type="dxa"/>
            <w:tcBorders>
              <w:top w:val="single" w:sz="4" w:space="0" w:color="auto"/>
              <w:left w:val="single" w:sz="4" w:space="0" w:color="auto"/>
              <w:bottom w:val="single" w:sz="4" w:space="0" w:color="auto"/>
              <w:right w:val="single" w:sz="4" w:space="0" w:color="auto"/>
            </w:tcBorders>
            <w:vAlign w:val="center"/>
          </w:tcPr>
          <w:p w14:paraId="65F8C34B" w14:textId="77777777" w:rsidR="000F0526" w:rsidRPr="007C5F11" w:rsidRDefault="000F0526" w:rsidP="000C70FA">
            <w:pPr>
              <w:pStyle w:val="T-normal"/>
              <w:jc w:val="center"/>
            </w:pPr>
            <w:r w:rsidRPr="007C5F11">
              <w:t>-</w:t>
            </w:r>
          </w:p>
        </w:tc>
        <w:tc>
          <w:tcPr>
            <w:tcW w:w="1181" w:type="dxa"/>
            <w:tcBorders>
              <w:top w:val="single" w:sz="4" w:space="0" w:color="auto"/>
              <w:left w:val="single" w:sz="4" w:space="0" w:color="auto"/>
              <w:bottom w:val="single" w:sz="4" w:space="0" w:color="auto"/>
              <w:right w:val="single" w:sz="4" w:space="0" w:color="auto"/>
            </w:tcBorders>
            <w:vAlign w:val="center"/>
          </w:tcPr>
          <w:p w14:paraId="13690923" w14:textId="77777777" w:rsidR="000F0526" w:rsidRPr="007C5F11" w:rsidRDefault="000F0526" w:rsidP="000C70FA">
            <w:pPr>
              <w:pStyle w:val="T-normal"/>
              <w:jc w:val="center"/>
            </w:pPr>
            <w:r w:rsidRPr="007C5F11">
              <w:t>-</w:t>
            </w:r>
          </w:p>
        </w:tc>
        <w:tc>
          <w:tcPr>
            <w:tcW w:w="1180" w:type="dxa"/>
            <w:tcBorders>
              <w:top w:val="single" w:sz="4" w:space="0" w:color="auto"/>
              <w:left w:val="single" w:sz="4" w:space="0" w:color="auto"/>
              <w:bottom w:val="single" w:sz="4" w:space="0" w:color="auto"/>
              <w:right w:val="single" w:sz="4" w:space="0" w:color="auto"/>
            </w:tcBorders>
            <w:vAlign w:val="center"/>
          </w:tcPr>
          <w:p w14:paraId="3F9044FA" w14:textId="77777777" w:rsidR="000F0526" w:rsidRPr="007C5F11" w:rsidRDefault="000F0526" w:rsidP="000C70FA">
            <w:pPr>
              <w:pStyle w:val="T-normal"/>
              <w:jc w:val="center"/>
            </w:pPr>
            <w:r w:rsidRPr="007C5F11">
              <w:t>-</w:t>
            </w:r>
          </w:p>
        </w:tc>
        <w:tc>
          <w:tcPr>
            <w:tcW w:w="1181" w:type="dxa"/>
            <w:tcBorders>
              <w:top w:val="single" w:sz="4" w:space="0" w:color="auto"/>
              <w:left w:val="single" w:sz="4" w:space="0" w:color="auto"/>
              <w:bottom w:val="single" w:sz="4" w:space="0" w:color="auto"/>
              <w:right w:val="single" w:sz="4" w:space="0" w:color="auto"/>
            </w:tcBorders>
            <w:vAlign w:val="center"/>
          </w:tcPr>
          <w:p w14:paraId="1CB30CAE" w14:textId="77777777" w:rsidR="000F0526" w:rsidRPr="007C5F11" w:rsidRDefault="000F0526" w:rsidP="000C70FA">
            <w:pPr>
              <w:pStyle w:val="T-normal"/>
              <w:jc w:val="center"/>
            </w:pPr>
            <w:r w:rsidRPr="007C5F11">
              <w:rPr>
                <w:rStyle w:val="rynqvb"/>
              </w:rPr>
              <w:t>Trajnimi i ofruar</w:t>
            </w:r>
          </w:p>
        </w:tc>
        <w:tc>
          <w:tcPr>
            <w:tcW w:w="1181" w:type="dxa"/>
            <w:tcBorders>
              <w:top w:val="single" w:sz="4" w:space="0" w:color="auto"/>
              <w:left w:val="single" w:sz="4" w:space="0" w:color="auto"/>
              <w:bottom w:val="single" w:sz="4" w:space="0" w:color="auto"/>
              <w:right w:val="single" w:sz="4" w:space="0" w:color="auto"/>
            </w:tcBorders>
            <w:vAlign w:val="center"/>
          </w:tcPr>
          <w:p w14:paraId="1BFA2B3B" w14:textId="77777777" w:rsidR="000F0526" w:rsidRPr="007C5F11" w:rsidRDefault="000F0526" w:rsidP="000C70FA">
            <w:pPr>
              <w:pStyle w:val="T-normal"/>
              <w:jc w:val="center"/>
            </w:pPr>
            <w:r w:rsidRPr="007C5F11">
              <w:t>Softueri në përdorim</w:t>
            </w:r>
          </w:p>
        </w:tc>
      </w:tr>
      <w:tr w:rsidR="000F0526" w:rsidRPr="001F151E" w14:paraId="4C3049EF" w14:textId="77777777" w:rsidTr="000C70FA">
        <w:tc>
          <w:tcPr>
            <w:tcW w:w="3114" w:type="dxa"/>
            <w:tcBorders>
              <w:top w:val="single" w:sz="4" w:space="0" w:color="auto"/>
              <w:left w:val="single" w:sz="4" w:space="0" w:color="auto"/>
              <w:bottom w:val="single" w:sz="4" w:space="0" w:color="auto"/>
              <w:right w:val="single" w:sz="4" w:space="0" w:color="auto"/>
            </w:tcBorders>
          </w:tcPr>
          <w:p w14:paraId="6580E098" w14:textId="2F8D0E6F" w:rsidR="000F0526" w:rsidRPr="009D660E" w:rsidRDefault="000F0526" w:rsidP="00CD7428">
            <w:pPr>
              <w:pStyle w:val="T-number"/>
              <w:numPr>
                <w:ilvl w:val="0"/>
                <w:numId w:val="101"/>
              </w:numPr>
              <w:rPr>
                <w:lang w:val="it-IT"/>
              </w:rPr>
            </w:pPr>
            <w:r w:rsidRPr="009D660E">
              <w:rPr>
                <w:rStyle w:val="rynqvb"/>
                <w:lang w:val="it-IT"/>
              </w:rPr>
              <w:t>Metodologjia e auditimit të PPP-ve dhe koncesion</w:t>
            </w:r>
            <w:r w:rsidR="007C5F11" w:rsidRPr="009D660E">
              <w:rPr>
                <w:rStyle w:val="rynqvb"/>
                <w:lang w:val="it-IT"/>
              </w:rPr>
              <w:t>eve</w:t>
            </w:r>
            <w:r w:rsidRPr="009D660E">
              <w:rPr>
                <w:rStyle w:val="rynqvb"/>
                <w:lang w:val="it-IT"/>
              </w:rPr>
              <w:t xml:space="preserve"> e institucionalizuar</w:t>
            </w:r>
            <w:r w:rsidR="007C5F11" w:rsidRPr="009D660E">
              <w:rPr>
                <w:rStyle w:val="rynqvb"/>
                <w:lang w:val="it-IT"/>
              </w:rPr>
              <w:t>.</w:t>
            </w:r>
          </w:p>
        </w:tc>
        <w:tc>
          <w:tcPr>
            <w:tcW w:w="1180" w:type="dxa"/>
            <w:tcBorders>
              <w:top w:val="single" w:sz="4" w:space="0" w:color="auto"/>
              <w:left w:val="single" w:sz="4" w:space="0" w:color="auto"/>
              <w:bottom w:val="single" w:sz="4" w:space="0" w:color="auto"/>
              <w:right w:val="single" w:sz="4" w:space="0" w:color="auto"/>
            </w:tcBorders>
            <w:vAlign w:val="center"/>
          </w:tcPr>
          <w:p w14:paraId="1C352028" w14:textId="77777777" w:rsidR="000F0526" w:rsidRPr="007C5F11" w:rsidRDefault="000F0526" w:rsidP="000C70FA">
            <w:pPr>
              <w:pStyle w:val="T-normal"/>
              <w:jc w:val="center"/>
            </w:pPr>
            <w:r w:rsidRPr="007C5F11">
              <w:t>-</w:t>
            </w:r>
          </w:p>
        </w:tc>
        <w:tc>
          <w:tcPr>
            <w:tcW w:w="1181" w:type="dxa"/>
            <w:tcBorders>
              <w:top w:val="single" w:sz="4" w:space="0" w:color="auto"/>
              <w:left w:val="single" w:sz="4" w:space="0" w:color="auto"/>
              <w:bottom w:val="single" w:sz="4" w:space="0" w:color="auto"/>
              <w:right w:val="single" w:sz="4" w:space="0" w:color="auto"/>
            </w:tcBorders>
            <w:vAlign w:val="center"/>
          </w:tcPr>
          <w:p w14:paraId="3D1F5874" w14:textId="77777777" w:rsidR="000F0526" w:rsidRPr="007C5F11" w:rsidRDefault="000F0526" w:rsidP="000C70FA">
            <w:pPr>
              <w:pStyle w:val="T-normal"/>
              <w:jc w:val="center"/>
            </w:pPr>
            <w:r w:rsidRPr="007C5F11">
              <w:t>-</w:t>
            </w:r>
          </w:p>
        </w:tc>
        <w:tc>
          <w:tcPr>
            <w:tcW w:w="1180" w:type="dxa"/>
            <w:tcBorders>
              <w:top w:val="single" w:sz="4" w:space="0" w:color="auto"/>
              <w:left w:val="single" w:sz="4" w:space="0" w:color="auto"/>
              <w:bottom w:val="single" w:sz="4" w:space="0" w:color="auto"/>
              <w:right w:val="single" w:sz="4" w:space="0" w:color="auto"/>
            </w:tcBorders>
            <w:vAlign w:val="center"/>
          </w:tcPr>
          <w:p w14:paraId="76911D46" w14:textId="77777777" w:rsidR="000F0526" w:rsidRPr="007C5F11" w:rsidRDefault="000F0526" w:rsidP="000C70FA">
            <w:pPr>
              <w:pStyle w:val="T-normal"/>
              <w:jc w:val="center"/>
            </w:pPr>
            <w:r w:rsidRPr="007C5F11">
              <w:t>Metodologjia finalizohet</w:t>
            </w:r>
          </w:p>
        </w:tc>
        <w:tc>
          <w:tcPr>
            <w:tcW w:w="1181" w:type="dxa"/>
            <w:tcBorders>
              <w:top w:val="single" w:sz="4" w:space="0" w:color="auto"/>
              <w:left w:val="single" w:sz="4" w:space="0" w:color="auto"/>
              <w:bottom w:val="single" w:sz="4" w:space="0" w:color="auto"/>
              <w:right w:val="single" w:sz="4" w:space="0" w:color="auto"/>
            </w:tcBorders>
            <w:vAlign w:val="center"/>
          </w:tcPr>
          <w:p w14:paraId="381CFD0B" w14:textId="77777777" w:rsidR="000F0526" w:rsidRPr="007C5F11" w:rsidRDefault="000F0526" w:rsidP="000C70FA">
            <w:pPr>
              <w:pStyle w:val="T-normal"/>
              <w:jc w:val="center"/>
            </w:pPr>
            <w:r w:rsidRPr="007C5F11">
              <w:t>Metodologjia zbatohet</w:t>
            </w:r>
          </w:p>
        </w:tc>
        <w:tc>
          <w:tcPr>
            <w:tcW w:w="1181" w:type="dxa"/>
            <w:tcBorders>
              <w:top w:val="single" w:sz="4" w:space="0" w:color="auto"/>
              <w:left w:val="single" w:sz="4" w:space="0" w:color="auto"/>
              <w:bottom w:val="single" w:sz="4" w:space="0" w:color="auto"/>
              <w:right w:val="single" w:sz="4" w:space="0" w:color="auto"/>
            </w:tcBorders>
            <w:vAlign w:val="center"/>
          </w:tcPr>
          <w:p w14:paraId="4B245727" w14:textId="77777777" w:rsidR="000F0526" w:rsidRPr="007C5F11" w:rsidRDefault="000F0526" w:rsidP="000C70FA">
            <w:pPr>
              <w:pStyle w:val="T-normal"/>
              <w:jc w:val="center"/>
            </w:pPr>
            <w:r w:rsidRPr="007C5F11">
              <w:t>-</w:t>
            </w:r>
          </w:p>
        </w:tc>
      </w:tr>
    </w:tbl>
    <w:p w14:paraId="73913CB3" w14:textId="77777777" w:rsidR="000F0526" w:rsidRPr="001F151E" w:rsidRDefault="000F0526" w:rsidP="000F0526">
      <w:pPr>
        <w:rPr>
          <w:rStyle w:val="IntenseReference"/>
          <w:rFonts w:eastAsiaTheme="majorEastAsia" w:cstheme="majorBidi"/>
          <w:i w:val="0"/>
          <w:iCs/>
          <w:sz w:val="22"/>
          <w:szCs w:val="22"/>
          <w:lang w:val="en-GB"/>
        </w:rPr>
      </w:pPr>
    </w:p>
    <w:p w14:paraId="25D287EE" w14:textId="77777777" w:rsidR="000F0526" w:rsidRPr="001F151E" w:rsidRDefault="000F0526" w:rsidP="000F0526">
      <w:pPr>
        <w:rPr>
          <w:rStyle w:val="IntenseReference"/>
          <w:rFonts w:eastAsiaTheme="majorEastAsia" w:cstheme="majorBidi"/>
          <w:i w:val="0"/>
          <w:iCs/>
          <w:sz w:val="22"/>
          <w:szCs w:val="22"/>
          <w:lang w:val="en-GB"/>
        </w:rPr>
      </w:pPr>
    </w:p>
    <w:p w14:paraId="18B57454" w14:textId="77777777" w:rsidR="000F0526" w:rsidRPr="001F151E" w:rsidRDefault="000F0526" w:rsidP="000F0526">
      <w:pPr>
        <w:pStyle w:val="Heading2"/>
        <w:rPr>
          <w:rStyle w:val="IntenseReference"/>
          <w:rFonts w:eastAsiaTheme="majorEastAsia" w:cstheme="majorBidi"/>
          <w:i w:val="0"/>
          <w:sz w:val="22"/>
          <w:szCs w:val="22"/>
          <w:lang w:val="en-GB"/>
        </w:rPr>
      </w:pPr>
      <w:bookmarkStart w:id="62" w:name="_Toc161748840"/>
      <w:r>
        <w:rPr>
          <w:rStyle w:val="IntenseReference"/>
          <w:rFonts w:eastAsiaTheme="majorEastAsia" w:cstheme="majorBidi"/>
          <w:i w:val="0"/>
          <w:sz w:val="22"/>
          <w:szCs w:val="22"/>
          <w:lang w:val="en-GB"/>
        </w:rPr>
        <w:t>K</w:t>
      </w:r>
      <w:r w:rsidRPr="001F151E">
        <w:rPr>
          <w:rStyle w:val="IntenseReference"/>
          <w:rFonts w:eastAsiaTheme="majorEastAsia" w:cstheme="majorBidi"/>
          <w:i w:val="0"/>
          <w:sz w:val="22"/>
          <w:szCs w:val="22"/>
          <w:lang w:val="en-GB"/>
        </w:rPr>
        <w:t>omponent</w:t>
      </w:r>
      <w:r>
        <w:rPr>
          <w:rStyle w:val="IntenseReference"/>
          <w:rFonts w:eastAsiaTheme="majorEastAsia" w:cstheme="majorBidi"/>
          <w:i w:val="0"/>
          <w:sz w:val="22"/>
          <w:szCs w:val="22"/>
          <w:lang w:val="en-GB"/>
        </w:rPr>
        <w:t>i</w:t>
      </w:r>
      <w:r w:rsidRPr="001F151E">
        <w:rPr>
          <w:rStyle w:val="IntenseReference"/>
          <w:rFonts w:eastAsiaTheme="majorEastAsia" w:cstheme="majorBidi"/>
          <w:i w:val="0"/>
          <w:sz w:val="22"/>
          <w:szCs w:val="22"/>
          <w:lang w:val="en-GB"/>
        </w:rPr>
        <w:t xml:space="preserve"> 6.2 </w:t>
      </w:r>
      <w:r>
        <w:rPr>
          <w:rStyle w:val="rynqvb"/>
        </w:rPr>
        <w:t>Mbikëqyrja Parlamentare</w:t>
      </w:r>
      <w:bookmarkEnd w:id="62"/>
    </w:p>
    <w:p w14:paraId="043C7D35" w14:textId="77777777" w:rsidR="000F0526" w:rsidRPr="001F151E" w:rsidRDefault="000F0526" w:rsidP="000F0526">
      <w:pPr>
        <w:rPr>
          <w:lang w:val="en-GB"/>
        </w:rPr>
      </w:pPr>
    </w:p>
    <w:p w14:paraId="1F9C00B2" w14:textId="77777777" w:rsidR="000F0526" w:rsidRPr="001F151E" w:rsidRDefault="000F0526" w:rsidP="000F0526">
      <w:pPr>
        <w:pStyle w:val="H5"/>
        <w:spacing w:line="276" w:lineRule="auto"/>
        <w:jc w:val="both"/>
        <w:rPr>
          <w:rStyle w:val="Strong"/>
          <w:b/>
          <w:lang w:val="en-GB"/>
        </w:rPr>
      </w:pPr>
      <w:r w:rsidRPr="001F151E">
        <w:rPr>
          <w:rStyle w:val="Strong"/>
          <w:b/>
          <w:lang w:val="en-GB"/>
        </w:rPr>
        <w:t>Obje</w:t>
      </w:r>
      <w:r>
        <w:rPr>
          <w:rStyle w:val="Strong"/>
          <w:b/>
          <w:lang w:val="en-GB"/>
        </w:rPr>
        <w:t>ktivi</w:t>
      </w:r>
    </w:p>
    <w:p w14:paraId="3ED3671C" w14:textId="77777777" w:rsidR="000F0526" w:rsidRPr="001F151E" w:rsidRDefault="000F0526" w:rsidP="000F0526">
      <w:pPr>
        <w:spacing w:line="276" w:lineRule="auto"/>
        <w:jc w:val="both"/>
        <w:rPr>
          <w:lang w:val="en-GB"/>
        </w:rPr>
      </w:pPr>
      <w:r w:rsidRPr="00D56422">
        <w:rPr>
          <w:lang w:val="en-GB"/>
        </w:rPr>
        <w:t>Synimi për vitin 2030 është të sigurohet që mjedisi mundësues dhe struktura mbështetëse për Komisionin për Ekonominë dhe Financat të jetë e profesionalizuar duke ndjekur praktikat e mira të BE/OECD, të cilat i lejojnë parlamentit të zbatojë më mirë mandatin e tij të kontrollit dhe mbikëqyrjes</w:t>
      </w:r>
      <w:r w:rsidRPr="001F151E">
        <w:rPr>
          <w:lang w:val="en-GB"/>
        </w:rPr>
        <w:t>.</w:t>
      </w:r>
    </w:p>
    <w:p w14:paraId="4F276AB9" w14:textId="77777777" w:rsidR="000F0526" w:rsidRPr="001F151E" w:rsidRDefault="000F0526" w:rsidP="000F0526">
      <w:pPr>
        <w:spacing w:line="276" w:lineRule="auto"/>
        <w:jc w:val="both"/>
        <w:rPr>
          <w:rStyle w:val="Strong"/>
          <w:lang w:val="en-GB"/>
        </w:rPr>
      </w:pPr>
    </w:p>
    <w:p w14:paraId="363614F9" w14:textId="77777777" w:rsidR="000F0526" w:rsidRPr="001F151E" w:rsidRDefault="000F0526" w:rsidP="000F0526">
      <w:pPr>
        <w:spacing w:line="276" w:lineRule="auto"/>
        <w:jc w:val="both"/>
        <w:rPr>
          <w:rStyle w:val="Strong"/>
          <w:lang w:val="en-GB"/>
        </w:rPr>
      </w:pPr>
      <w:r>
        <w:rPr>
          <w:rStyle w:val="Strong"/>
          <w:lang w:val="en-GB"/>
        </w:rPr>
        <w:t>Konteksti</w:t>
      </w:r>
    </w:p>
    <w:p w14:paraId="53CF5F29" w14:textId="77777777" w:rsidR="000F0526" w:rsidRPr="001F151E" w:rsidRDefault="000F0526" w:rsidP="000F0526">
      <w:pPr>
        <w:spacing w:line="276" w:lineRule="auto"/>
        <w:jc w:val="both"/>
        <w:rPr>
          <w:lang w:val="en-GB"/>
        </w:rPr>
      </w:pPr>
      <w:r>
        <w:rPr>
          <w:rStyle w:val="rynqvb"/>
        </w:rPr>
        <w:t>Mandati i Parlamentit në sistemin e qeverisjes është i përcaktuar qartë dhe fushat e përgjegjësisë së Komisionit për Ekonominë dhe Financat në sistemin e MFP-së përfshijnë: politikat ekonomike, buxhetin e shtetit dhe mbikëqyrjen e zbatimit të tij, privatizimet dhe sistemin bankar</w:t>
      </w:r>
      <w:r w:rsidRPr="001F151E">
        <w:rPr>
          <w:rStyle w:val="FootnoteReference"/>
          <w:lang w:val="en-GB"/>
        </w:rPr>
        <w:footnoteReference w:id="81"/>
      </w:r>
      <w:r>
        <w:rPr>
          <w:rStyle w:val="rynqvb"/>
        </w:rPr>
        <w:t>.</w:t>
      </w:r>
      <w:r>
        <w:rPr>
          <w:rStyle w:val="hwtze"/>
        </w:rPr>
        <w:t xml:space="preserve"> </w:t>
      </w:r>
      <w:r>
        <w:rPr>
          <w:rStyle w:val="rynqvb"/>
        </w:rPr>
        <w:t>Vlerësimet e fundit të PEFA dhe SIGMA arrijnë në përfundimin se Parlamenti – përfshirë Komisionin për Ekonominë dhe Financat – tregojnë një performancë relativisht solide, por gjithashtu identifikojnë hapësirë për përmirësim</w:t>
      </w:r>
      <w:r w:rsidRPr="001F151E">
        <w:rPr>
          <w:rStyle w:val="FootnoteReference"/>
          <w:lang w:val="en-GB"/>
        </w:rPr>
        <w:footnoteReference w:id="82"/>
      </w:r>
      <w:r>
        <w:rPr>
          <w:rStyle w:val="rynqvb"/>
        </w:rPr>
        <w:t>.</w:t>
      </w:r>
      <w:r>
        <w:rPr>
          <w:rStyle w:val="hwtze"/>
        </w:rPr>
        <w:t xml:space="preserve"> </w:t>
      </w:r>
      <w:r>
        <w:rPr>
          <w:rStyle w:val="rynqvb"/>
        </w:rPr>
        <w:t>Si vazhdim i këtyre vlerësimeve, janë dhënë disa rekomandime, duke përfshirë krijimin e nënkomisioneve.</w:t>
      </w:r>
      <w:r>
        <w:rPr>
          <w:rStyle w:val="hwtze"/>
        </w:rPr>
        <w:t xml:space="preserve"> </w:t>
      </w:r>
      <w:r>
        <w:rPr>
          <w:rStyle w:val="rynqvb"/>
        </w:rPr>
        <w:t>Zhvillimet ndërkombëtare sugjerojnë se angazhimi më i fortë i Parlamentit përgjatë ciklit buxhetor (politika dhe qëndrueshmëria fiskale, shqyrtimi i buxhetit dhe propozimet buxhetore suplementare, shqyrtimi i ekzekutimit të buxhetit, raportet financiare dhe të auditimit si dhe mbikëqyrja e institucioneve financiare) kontribuojnë në përmirësimin e MFP-së</w:t>
      </w:r>
      <w:r w:rsidRPr="001F151E">
        <w:rPr>
          <w:rStyle w:val="FootnoteReference"/>
          <w:lang w:val="en-GB"/>
        </w:rPr>
        <w:footnoteReference w:id="83"/>
      </w:r>
      <w:r>
        <w:rPr>
          <w:rStyle w:val="rynqvb"/>
        </w:rPr>
        <w:t>.</w:t>
      </w:r>
      <w:r>
        <w:rPr>
          <w:rStyle w:val="hwtze"/>
        </w:rPr>
        <w:t xml:space="preserve"> </w:t>
      </w:r>
      <w:r>
        <w:rPr>
          <w:rStyle w:val="rynqvb"/>
        </w:rPr>
        <w:t>Në këtë kontekst, Komisioni Parlamentar për Ekonominë dhe Financat ka shprehur interesim të madh për të zhvilluar më tej rolin e tij në sistemin e përgjithshëm të qeverisjes së mirë dhe MFP</w:t>
      </w:r>
      <w:r w:rsidRPr="001F151E">
        <w:rPr>
          <w:lang w:val="en-GB"/>
        </w:rPr>
        <w:t>.</w:t>
      </w:r>
    </w:p>
    <w:p w14:paraId="55828567" w14:textId="77777777" w:rsidR="000F0526" w:rsidRDefault="000F0526" w:rsidP="000F0526">
      <w:pPr>
        <w:pStyle w:val="H5"/>
        <w:spacing w:line="276" w:lineRule="auto"/>
        <w:jc w:val="both"/>
        <w:rPr>
          <w:lang w:val="en-GB"/>
        </w:rPr>
      </w:pPr>
    </w:p>
    <w:p w14:paraId="0B44B4A3" w14:textId="77777777" w:rsidR="000F0526" w:rsidRPr="002A75EC" w:rsidRDefault="000F0526" w:rsidP="000F0526">
      <w:pPr>
        <w:spacing w:line="276" w:lineRule="auto"/>
        <w:jc w:val="both"/>
        <w:rPr>
          <w:rStyle w:val="Strong"/>
        </w:rPr>
      </w:pPr>
      <w:r w:rsidRPr="002A75EC">
        <w:rPr>
          <w:rStyle w:val="Strong"/>
        </w:rPr>
        <w:t>Priorit</w:t>
      </w:r>
      <w:r>
        <w:rPr>
          <w:rStyle w:val="Strong"/>
        </w:rPr>
        <w:t>etet</w:t>
      </w:r>
    </w:p>
    <w:p w14:paraId="65D27A20" w14:textId="77777777" w:rsidR="000F0526" w:rsidRPr="0070061A" w:rsidRDefault="000F0526" w:rsidP="000F0526">
      <w:pPr>
        <w:pStyle w:val="N-Bullet"/>
        <w:numPr>
          <w:ilvl w:val="0"/>
          <w:numId w:val="0"/>
        </w:numPr>
        <w:ind w:left="360" w:hanging="360"/>
        <w:rPr>
          <w:lang w:val="en-GB"/>
        </w:rPr>
      </w:pPr>
      <w:r w:rsidRPr="0070061A">
        <w:rPr>
          <w:lang w:val="en-GB"/>
        </w:rPr>
        <w:t>Prioriteti për 2023-2026 është:</w:t>
      </w:r>
    </w:p>
    <w:p w14:paraId="56A3FE35" w14:textId="77777777" w:rsidR="000F0526" w:rsidRPr="001F151E" w:rsidRDefault="000F0526" w:rsidP="000F0526">
      <w:pPr>
        <w:pStyle w:val="N-Bullet"/>
        <w:rPr>
          <w:lang w:val="en-GB"/>
        </w:rPr>
      </w:pPr>
      <w:r w:rsidRPr="0070061A">
        <w:rPr>
          <w:lang w:val="en-GB"/>
        </w:rPr>
        <w:t>Profesionalizimi i strukturave mbështetëse të Komisionit për Ekonominë dhe Financat duke përgatitur dhe nisur zbatimin e një plani zhvillimi</w:t>
      </w:r>
      <w:r w:rsidRPr="001F151E">
        <w:rPr>
          <w:lang w:val="en-GB"/>
        </w:rPr>
        <w:t>.</w:t>
      </w:r>
    </w:p>
    <w:p w14:paraId="6C5C1643" w14:textId="77777777" w:rsidR="000F0526" w:rsidRPr="001F151E" w:rsidRDefault="000F0526" w:rsidP="000F0526">
      <w:pPr>
        <w:rPr>
          <w:lang w:val="en-GB"/>
        </w:rPr>
      </w:pPr>
    </w:p>
    <w:p w14:paraId="23CEEE78" w14:textId="77777777" w:rsidR="000F0526" w:rsidRPr="001F151E" w:rsidRDefault="000F0526" w:rsidP="000F0526">
      <w:pPr>
        <w:pStyle w:val="H5"/>
        <w:rPr>
          <w:rStyle w:val="Strong"/>
          <w:b/>
          <w:lang w:val="en-GB"/>
        </w:rPr>
      </w:pPr>
      <w:r>
        <w:rPr>
          <w:rStyle w:val="rynqvb"/>
        </w:rPr>
        <w:t>Masat dhe aktivitetet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80"/>
        <w:gridCol w:w="3659"/>
        <w:gridCol w:w="798"/>
        <w:gridCol w:w="798"/>
        <w:gridCol w:w="1781"/>
      </w:tblGrid>
      <w:tr w:rsidR="000F0526" w:rsidRPr="001F151E" w14:paraId="7CAA44DD" w14:textId="77777777" w:rsidTr="000C70FA">
        <w:trPr>
          <w:trHeight w:val="182"/>
          <w:tblHeader/>
        </w:trPr>
        <w:tc>
          <w:tcPr>
            <w:tcW w:w="1980" w:type="dxa"/>
            <w:shd w:val="clear" w:color="auto" w:fill="D9D9D9" w:themeFill="background1" w:themeFillShade="D9"/>
          </w:tcPr>
          <w:p w14:paraId="549F3B3F" w14:textId="77777777" w:rsidR="000F0526" w:rsidRPr="001F151E" w:rsidRDefault="000F0526" w:rsidP="000C70FA">
            <w:pPr>
              <w:pStyle w:val="T-bold"/>
            </w:pPr>
            <w:r>
              <w:t>Masa</w:t>
            </w:r>
          </w:p>
        </w:tc>
        <w:tc>
          <w:tcPr>
            <w:tcW w:w="3659" w:type="dxa"/>
            <w:shd w:val="clear" w:color="auto" w:fill="D9D9D9" w:themeFill="background1" w:themeFillShade="D9"/>
          </w:tcPr>
          <w:p w14:paraId="7BB0CEED" w14:textId="77777777" w:rsidR="000F0526" w:rsidRPr="001F151E" w:rsidRDefault="000F0526" w:rsidP="000C70FA">
            <w:pPr>
              <w:pStyle w:val="T-bold"/>
            </w:pPr>
            <w:r w:rsidRPr="001F151E">
              <w:t>A</w:t>
            </w:r>
            <w:r>
              <w:t>ktiviteti</w:t>
            </w:r>
          </w:p>
        </w:tc>
        <w:tc>
          <w:tcPr>
            <w:tcW w:w="798" w:type="dxa"/>
            <w:shd w:val="clear" w:color="auto" w:fill="D9D9D9" w:themeFill="background1" w:themeFillShade="D9"/>
          </w:tcPr>
          <w:p w14:paraId="48FF61A5" w14:textId="77777777" w:rsidR="000F0526" w:rsidRPr="001F151E" w:rsidRDefault="000F0526" w:rsidP="000C70FA">
            <w:pPr>
              <w:pStyle w:val="T-bold"/>
              <w:jc w:val="center"/>
            </w:pPr>
            <w:r>
              <w:t>Fillimi</w:t>
            </w:r>
          </w:p>
        </w:tc>
        <w:tc>
          <w:tcPr>
            <w:tcW w:w="798" w:type="dxa"/>
            <w:shd w:val="clear" w:color="auto" w:fill="D9D9D9" w:themeFill="background1" w:themeFillShade="D9"/>
          </w:tcPr>
          <w:p w14:paraId="0851C10D" w14:textId="77777777" w:rsidR="000F0526" w:rsidRPr="001F151E" w:rsidRDefault="000F0526" w:rsidP="000C70FA">
            <w:pPr>
              <w:pStyle w:val="T-bold"/>
              <w:jc w:val="center"/>
            </w:pPr>
            <w:r>
              <w:t>Mbarimi</w:t>
            </w:r>
          </w:p>
        </w:tc>
        <w:tc>
          <w:tcPr>
            <w:tcW w:w="1781" w:type="dxa"/>
            <w:shd w:val="clear" w:color="auto" w:fill="D9D9D9" w:themeFill="background1" w:themeFillShade="D9"/>
          </w:tcPr>
          <w:p w14:paraId="4367B57D" w14:textId="77777777" w:rsidR="000F0526" w:rsidRPr="001F151E" w:rsidRDefault="000F0526" w:rsidP="000C70FA">
            <w:pPr>
              <w:pStyle w:val="T-bold"/>
            </w:pPr>
            <w:r>
              <w:rPr>
                <w:rStyle w:val="rynqvb"/>
              </w:rPr>
              <w:t>Grupet e interesit</w:t>
            </w:r>
          </w:p>
        </w:tc>
      </w:tr>
      <w:tr w:rsidR="000F0526" w:rsidRPr="001F151E" w14:paraId="72298607" w14:textId="77777777" w:rsidTr="000C70FA">
        <w:trPr>
          <w:trHeight w:val="20"/>
        </w:trPr>
        <w:tc>
          <w:tcPr>
            <w:tcW w:w="1980" w:type="dxa"/>
            <w:vMerge w:val="restart"/>
            <w:shd w:val="clear" w:color="auto" w:fill="auto"/>
          </w:tcPr>
          <w:p w14:paraId="2B20C4ED" w14:textId="77777777" w:rsidR="000F0526" w:rsidRPr="009D660E" w:rsidRDefault="000F0526" w:rsidP="000C70FA">
            <w:pPr>
              <w:pStyle w:val="EcorysBody"/>
              <w:rPr>
                <w:rFonts w:ascii="Arial" w:hAnsi="Arial" w:cs="Arial"/>
                <w:b/>
                <w:bCs/>
                <w:sz w:val="16"/>
                <w:szCs w:val="16"/>
                <w:lang w:val="it-IT"/>
              </w:rPr>
            </w:pPr>
            <w:r w:rsidRPr="009D660E">
              <w:rPr>
                <w:rFonts w:ascii="Arial" w:hAnsi="Arial" w:cs="Arial"/>
                <w:b/>
                <w:bCs/>
                <w:sz w:val="16"/>
                <w:szCs w:val="16"/>
                <w:lang w:val="it-IT"/>
              </w:rPr>
              <w:t xml:space="preserve">Masa 6.2.1 Profesionalizimi i mëtejshëm i strukturave mbështetëse të Komisionit Parlamentar për Ekonominë dhe Financat </w:t>
            </w:r>
          </w:p>
        </w:tc>
        <w:tc>
          <w:tcPr>
            <w:tcW w:w="3659" w:type="dxa"/>
            <w:vAlign w:val="center"/>
          </w:tcPr>
          <w:p w14:paraId="232F8EA4" w14:textId="77777777" w:rsidR="000F0526" w:rsidRPr="009D660E" w:rsidRDefault="000F0526" w:rsidP="007C5F11">
            <w:pPr>
              <w:pStyle w:val="EcorysBody"/>
              <w:numPr>
                <w:ilvl w:val="0"/>
                <w:numId w:val="11"/>
              </w:numPr>
              <w:jc w:val="both"/>
              <w:rPr>
                <w:rFonts w:ascii="Arial" w:hAnsi="Arial" w:cs="Arial"/>
                <w:sz w:val="16"/>
                <w:szCs w:val="16"/>
                <w:lang w:val="it-IT"/>
              </w:rPr>
            </w:pPr>
            <w:r w:rsidRPr="009D660E">
              <w:rPr>
                <w:rFonts w:ascii="Arial" w:hAnsi="Arial" w:cs="Arial"/>
                <w:sz w:val="16"/>
                <w:szCs w:val="16"/>
                <w:lang w:val="it-IT"/>
              </w:rPr>
              <w:t>Ndërmarrja e një rishikimi institucional të Komisionit Parlamentar për Ekonominë dhe Financat dhe strukturën e tij mbështetëse bazuar në praktikat e mira të BE/OECD.</w:t>
            </w:r>
          </w:p>
        </w:tc>
        <w:tc>
          <w:tcPr>
            <w:tcW w:w="798" w:type="dxa"/>
            <w:vAlign w:val="center"/>
          </w:tcPr>
          <w:p w14:paraId="727FFB8C" w14:textId="77777777" w:rsidR="000F0526" w:rsidRPr="001F151E" w:rsidRDefault="000F0526" w:rsidP="000C70FA">
            <w:pPr>
              <w:jc w:val="center"/>
              <w:rPr>
                <w:sz w:val="16"/>
                <w:szCs w:val="16"/>
              </w:rPr>
            </w:pPr>
            <w:r>
              <w:rPr>
                <w:sz w:val="16"/>
                <w:szCs w:val="16"/>
              </w:rPr>
              <w:t>T</w:t>
            </w:r>
            <w:r w:rsidRPr="001F151E">
              <w:rPr>
                <w:sz w:val="16"/>
                <w:szCs w:val="16"/>
              </w:rPr>
              <w:t>1 2024</w:t>
            </w:r>
          </w:p>
        </w:tc>
        <w:tc>
          <w:tcPr>
            <w:tcW w:w="798" w:type="dxa"/>
            <w:vAlign w:val="center"/>
          </w:tcPr>
          <w:p w14:paraId="32E21F20" w14:textId="77777777" w:rsidR="000F0526" w:rsidRPr="001F151E" w:rsidRDefault="000F0526" w:rsidP="000C70FA">
            <w:pPr>
              <w:jc w:val="center"/>
              <w:rPr>
                <w:sz w:val="16"/>
                <w:szCs w:val="16"/>
              </w:rPr>
            </w:pPr>
            <w:r>
              <w:rPr>
                <w:sz w:val="16"/>
                <w:szCs w:val="16"/>
              </w:rPr>
              <w:t>T</w:t>
            </w:r>
            <w:r w:rsidRPr="001F151E">
              <w:rPr>
                <w:sz w:val="16"/>
                <w:szCs w:val="16"/>
              </w:rPr>
              <w:t>2 2024</w:t>
            </w:r>
          </w:p>
        </w:tc>
        <w:tc>
          <w:tcPr>
            <w:tcW w:w="1781" w:type="dxa"/>
            <w:vMerge w:val="restart"/>
          </w:tcPr>
          <w:p w14:paraId="27D0CC71" w14:textId="77777777" w:rsidR="000F0526" w:rsidRPr="009D660E" w:rsidRDefault="000F0526" w:rsidP="000C70FA">
            <w:pPr>
              <w:rPr>
                <w:b/>
                <w:bCs/>
                <w:sz w:val="16"/>
                <w:szCs w:val="16"/>
                <w:lang w:val="it-IT"/>
              </w:rPr>
            </w:pPr>
            <w:r w:rsidRPr="009D660E">
              <w:rPr>
                <w:b/>
                <w:bCs/>
                <w:sz w:val="16"/>
                <w:szCs w:val="16"/>
                <w:lang w:val="it-IT"/>
              </w:rPr>
              <w:t>Njësitë përgjegjëse:</w:t>
            </w:r>
          </w:p>
          <w:p w14:paraId="103FDF46" w14:textId="77777777" w:rsidR="000F0526" w:rsidRPr="009D660E" w:rsidRDefault="000F0526" w:rsidP="000C70FA">
            <w:pPr>
              <w:pStyle w:val="EcorysBody"/>
              <w:rPr>
                <w:rFonts w:ascii="Arial" w:hAnsi="Arial" w:cs="Arial"/>
                <w:sz w:val="16"/>
                <w:szCs w:val="16"/>
                <w:lang w:val="it-IT"/>
              </w:rPr>
            </w:pPr>
            <w:r w:rsidRPr="009D660E">
              <w:rPr>
                <w:rFonts w:ascii="Arial" w:hAnsi="Arial" w:cs="Arial"/>
                <w:sz w:val="16"/>
                <w:szCs w:val="16"/>
                <w:lang w:val="it-IT"/>
              </w:rPr>
              <w:t>Komisioni Parlamentar për Ekonominë dhe Financat</w:t>
            </w:r>
          </w:p>
          <w:p w14:paraId="7D653A32" w14:textId="77777777" w:rsidR="000F0526" w:rsidRPr="009D660E" w:rsidRDefault="000F0526" w:rsidP="000C70FA">
            <w:pPr>
              <w:pStyle w:val="EcorysBody"/>
              <w:rPr>
                <w:rFonts w:ascii="Arial" w:hAnsi="Arial" w:cs="Arial"/>
                <w:b/>
                <w:bCs/>
                <w:sz w:val="16"/>
                <w:szCs w:val="16"/>
                <w:lang w:val="it-IT"/>
              </w:rPr>
            </w:pPr>
          </w:p>
          <w:p w14:paraId="2F769217" w14:textId="77777777" w:rsidR="000F0526" w:rsidRPr="001F151E" w:rsidRDefault="000F0526" w:rsidP="000C70FA">
            <w:pPr>
              <w:pStyle w:val="EcorysBody"/>
              <w:rPr>
                <w:rFonts w:ascii="Arial" w:hAnsi="Arial" w:cs="Arial"/>
                <w:b/>
                <w:bCs/>
                <w:sz w:val="16"/>
                <w:szCs w:val="16"/>
              </w:rPr>
            </w:pPr>
            <w:r w:rsidRPr="001F151E">
              <w:rPr>
                <w:rFonts w:ascii="Arial" w:hAnsi="Arial" w:cs="Arial"/>
                <w:b/>
                <w:bCs/>
                <w:sz w:val="16"/>
                <w:szCs w:val="16"/>
              </w:rPr>
              <w:t>Partne</w:t>
            </w:r>
            <w:r>
              <w:rPr>
                <w:rFonts w:ascii="Arial" w:hAnsi="Arial" w:cs="Arial"/>
                <w:b/>
                <w:bCs/>
                <w:sz w:val="16"/>
                <w:szCs w:val="16"/>
              </w:rPr>
              <w:t>rët</w:t>
            </w:r>
            <w:r w:rsidRPr="001F151E">
              <w:rPr>
                <w:rFonts w:ascii="Arial" w:hAnsi="Arial" w:cs="Arial"/>
                <w:b/>
                <w:bCs/>
                <w:sz w:val="16"/>
                <w:szCs w:val="16"/>
              </w:rPr>
              <w:t>:</w:t>
            </w:r>
          </w:p>
          <w:p w14:paraId="72CF54FE" w14:textId="4C011C72" w:rsidR="000F0526" w:rsidRPr="001F151E" w:rsidRDefault="000F0526" w:rsidP="000C70FA">
            <w:pPr>
              <w:pStyle w:val="EcorysBody"/>
              <w:rPr>
                <w:rFonts w:ascii="Arial" w:hAnsi="Arial" w:cs="Arial"/>
                <w:sz w:val="16"/>
                <w:szCs w:val="16"/>
              </w:rPr>
            </w:pPr>
            <w:r w:rsidRPr="000424A2">
              <w:rPr>
                <w:rFonts w:ascii="Arial" w:hAnsi="Arial" w:cs="Arial"/>
                <w:sz w:val="16"/>
                <w:szCs w:val="16"/>
              </w:rPr>
              <w:t xml:space="preserve">Instituti Kombëtar Demokratik, Fondacioni </w:t>
            </w:r>
            <w:r w:rsidR="009C7B21">
              <w:rPr>
                <w:rFonts w:ascii="Arial" w:hAnsi="Arial" w:cs="Arial"/>
                <w:sz w:val="16"/>
                <w:szCs w:val="16"/>
              </w:rPr>
              <w:t>W</w:t>
            </w:r>
            <w:r w:rsidRPr="000424A2">
              <w:rPr>
                <w:rFonts w:ascii="Arial" w:hAnsi="Arial" w:cs="Arial"/>
                <w:sz w:val="16"/>
                <w:szCs w:val="16"/>
              </w:rPr>
              <w:t>estminster</w:t>
            </w:r>
            <w:r w:rsidRPr="001F151E">
              <w:rPr>
                <w:rFonts w:ascii="Arial" w:hAnsi="Arial" w:cs="Arial"/>
                <w:sz w:val="16"/>
                <w:szCs w:val="16"/>
              </w:rPr>
              <w:t xml:space="preserve">, </w:t>
            </w:r>
            <w:r>
              <w:rPr>
                <w:rFonts w:ascii="Arial" w:hAnsi="Arial" w:cs="Arial"/>
                <w:sz w:val="16"/>
                <w:szCs w:val="16"/>
              </w:rPr>
              <w:t>DBE</w:t>
            </w:r>
            <w:r w:rsidRPr="001F151E">
              <w:rPr>
                <w:rFonts w:ascii="Arial" w:hAnsi="Arial" w:cs="Arial"/>
                <w:sz w:val="16"/>
                <w:szCs w:val="16"/>
              </w:rPr>
              <w:t>.</w:t>
            </w:r>
          </w:p>
          <w:p w14:paraId="16FC8FE8" w14:textId="77777777" w:rsidR="000F0526" w:rsidRPr="001F151E" w:rsidRDefault="000F0526" w:rsidP="000C70FA">
            <w:pPr>
              <w:pStyle w:val="EcorysBody"/>
              <w:rPr>
                <w:rFonts w:ascii="Arial" w:hAnsi="Arial" w:cs="Arial"/>
                <w:sz w:val="16"/>
                <w:szCs w:val="16"/>
              </w:rPr>
            </w:pPr>
          </w:p>
        </w:tc>
      </w:tr>
      <w:tr w:rsidR="000F0526" w:rsidRPr="001F151E" w14:paraId="1628FC27" w14:textId="77777777" w:rsidTr="000C70FA">
        <w:trPr>
          <w:trHeight w:val="20"/>
        </w:trPr>
        <w:tc>
          <w:tcPr>
            <w:tcW w:w="1980" w:type="dxa"/>
            <w:vMerge/>
            <w:shd w:val="clear" w:color="auto" w:fill="auto"/>
          </w:tcPr>
          <w:p w14:paraId="3E07B713" w14:textId="77777777" w:rsidR="000F0526" w:rsidRPr="001F151E" w:rsidRDefault="000F0526" w:rsidP="000C70FA">
            <w:pPr>
              <w:pStyle w:val="EcorysBody"/>
              <w:numPr>
                <w:ilvl w:val="0"/>
                <w:numId w:val="11"/>
              </w:numPr>
              <w:rPr>
                <w:rFonts w:ascii="Arial" w:hAnsi="Arial" w:cs="Arial"/>
                <w:sz w:val="16"/>
                <w:szCs w:val="16"/>
              </w:rPr>
            </w:pPr>
          </w:p>
        </w:tc>
        <w:tc>
          <w:tcPr>
            <w:tcW w:w="3659" w:type="dxa"/>
            <w:vAlign w:val="center"/>
          </w:tcPr>
          <w:p w14:paraId="4907298C" w14:textId="77777777" w:rsidR="000F0526" w:rsidRPr="0070061A" w:rsidRDefault="000F0526" w:rsidP="007C5F11">
            <w:pPr>
              <w:pStyle w:val="EcorysBody"/>
              <w:numPr>
                <w:ilvl w:val="0"/>
                <w:numId w:val="11"/>
              </w:numPr>
              <w:jc w:val="both"/>
              <w:rPr>
                <w:rFonts w:ascii="Arial" w:hAnsi="Arial" w:cs="Arial"/>
                <w:sz w:val="16"/>
                <w:szCs w:val="16"/>
              </w:rPr>
            </w:pPr>
            <w:r>
              <w:rPr>
                <w:rFonts w:ascii="Arial" w:hAnsi="Arial" w:cs="Arial"/>
                <w:sz w:val="16"/>
                <w:szCs w:val="16"/>
              </w:rPr>
              <w:t>Forcimi i</w:t>
            </w:r>
            <w:r w:rsidRPr="0070061A">
              <w:rPr>
                <w:rFonts w:ascii="Arial" w:hAnsi="Arial" w:cs="Arial"/>
                <w:sz w:val="16"/>
                <w:szCs w:val="16"/>
              </w:rPr>
              <w:t xml:space="preserve"> mëtej</w:t>
            </w:r>
            <w:r>
              <w:rPr>
                <w:rFonts w:ascii="Arial" w:hAnsi="Arial" w:cs="Arial"/>
                <w:sz w:val="16"/>
                <w:szCs w:val="16"/>
              </w:rPr>
              <w:t>shëm i</w:t>
            </w:r>
            <w:r w:rsidRPr="0070061A">
              <w:rPr>
                <w:rFonts w:ascii="Arial" w:hAnsi="Arial" w:cs="Arial"/>
                <w:sz w:val="16"/>
                <w:szCs w:val="16"/>
              </w:rPr>
              <w:t xml:space="preserve"> bashkëpunimi</w:t>
            </w:r>
            <w:r>
              <w:rPr>
                <w:rFonts w:ascii="Arial" w:hAnsi="Arial" w:cs="Arial"/>
                <w:sz w:val="16"/>
                <w:szCs w:val="16"/>
              </w:rPr>
              <w:t>t</w:t>
            </w:r>
            <w:r w:rsidRPr="0070061A">
              <w:rPr>
                <w:rFonts w:ascii="Arial" w:hAnsi="Arial" w:cs="Arial"/>
                <w:sz w:val="16"/>
                <w:szCs w:val="16"/>
              </w:rPr>
              <w:t xml:space="preserve"> dhe shkëmbim</w:t>
            </w:r>
            <w:r>
              <w:rPr>
                <w:rFonts w:ascii="Arial" w:hAnsi="Arial" w:cs="Arial"/>
                <w:sz w:val="16"/>
                <w:szCs w:val="16"/>
              </w:rPr>
              <w:t xml:space="preserve">eve me kolegët </w:t>
            </w:r>
            <w:r w:rsidRPr="0070061A">
              <w:rPr>
                <w:rFonts w:ascii="Arial" w:hAnsi="Arial" w:cs="Arial"/>
                <w:sz w:val="16"/>
                <w:szCs w:val="16"/>
              </w:rPr>
              <w:t>ndërkombëtar</w:t>
            </w:r>
            <w:r>
              <w:rPr>
                <w:rFonts w:ascii="Arial" w:hAnsi="Arial" w:cs="Arial"/>
                <w:sz w:val="16"/>
                <w:szCs w:val="16"/>
              </w:rPr>
              <w:t xml:space="preserve">ë </w:t>
            </w:r>
            <w:r w:rsidRPr="0070061A">
              <w:rPr>
                <w:rFonts w:ascii="Arial" w:hAnsi="Arial" w:cs="Arial"/>
                <w:sz w:val="16"/>
                <w:szCs w:val="16"/>
              </w:rPr>
              <w:t>me parlamentet dhe Komisionet e tyre të Llogarive Publike në BE dhe rajon</w:t>
            </w:r>
            <w:r>
              <w:rPr>
                <w:rFonts w:ascii="Arial" w:hAnsi="Arial" w:cs="Arial"/>
                <w:sz w:val="16"/>
                <w:szCs w:val="16"/>
              </w:rPr>
              <w:t>.</w:t>
            </w:r>
          </w:p>
        </w:tc>
        <w:tc>
          <w:tcPr>
            <w:tcW w:w="798" w:type="dxa"/>
            <w:vAlign w:val="center"/>
          </w:tcPr>
          <w:p w14:paraId="32D1AAF0" w14:textId="77777777" w:rsidR="000F0526" w:rsidRPr="001F151E" w:rsidRDefault="000F0526" w:rsidP="000C70FA">
            <w:pPr>
              <w:jc w:val="center"/>
              <w:rPr>
                <w:sz w:val="16"/>
                <w:szCs w:val="16"/>
              </w:rPr>
            </w:pPr>
            <w:r>
              <w:rPr>
                <w:sz w:val="16"/>
                <w:szCs w:val="16"/>
              </w:rPr>
              <w:t>T</w:t>
            </w:r>
            <w:r w:rsidRPr="001F151E">
              <w:rPr>
                <w:sz w:val="16"/>
                <w:szCs w:val="16"/>
              </w:rPr>
              <w:t>4 2023</w:t>
            </w:r>
          </w:p>
        </w:tc>
        <w:tc>
          <w:tcPr>
            <w:tcW w:w="798" w:type="dxa"/>
            <w:vAlign w:val="center"/>
          </w:tcPr>
          <w:p w14:paraId="3097932D" w14:textId="77777777" w:rsidR="000F0526" w:rsidRPr="001F151E" w:rsidRDefault="000F0526" w:rsidP="000C70FA">
            <w:pPr>
              <w:jc w:val="center"/>
              <w:rPr>
                <w:sz w:val="16"/>
                <w:szCs w:val="16"/>
              </w:rPr>
            </w:pPr>
            <w:r>
              <w:rPr>
                <w:sz w:val="16"/>
                <w:szCs w:val="16"/>
              </w:rPr>
              <w:t>T</w:t>
            </w:r>
            <w:r w:rsidRPr="001F151E">
              <w:rPr>
                <w:sz w:val="16"/>
                <w:szCs w:val="16"/>
              </w:rPr>
              <w:t>4 2024</w:t>
            </w:r>
          </w:p>
        </w:tc>
        <w:tc>
          <w:tcPr>
            <w:tcW w:w="1781" w:type="dxa"/>
            <w:vMerge/>
          </w:tcPr>
          <w:p w14:paraId="41F604F5" w14:textId="77777777" w:rsidR="000F0526" w:rsidRPr="001F151E" w:rsidRDefault="000F0526" w:rsidP="000C70FA">
            <w:pPr>
              <w:rPr>
                <w:sz w:val="16"/>
                <w:szCs w:val="16"/>
              </w:rPr>
            </w:pPr>
          </w:p>
        </w:tc>
      </w:tr>
      <w:tr w:rsidR="000F0526" w:rsidRPr="001F151E" w14:paraId="0897CF5F" w14:textId="77777777" w:rsidTr="000C70FA">
        <w:trPr>
          <w:trHeight w:val="20"/>
        </w:trPr>
        <w:tc>
          <w:tcPr>
            <w:tcW w:w="1980" w:type="dxa"/>
            <w:vMerge/>
            <w:shd w:val="clear" w:color="auto" w:fill="auto"/>
          </w:tcPr>
          <w:p w14:paraId="3D5E3325" w14:textId="77777777" w:rsidR="000F0526" w:rsidRPr="001F151E" w:rsidRDefault="000F0526" w:rsidP="000C70FA">
            <w:pPr>
              <w:pStyle w:val="EcorysBody"/>
              <w:numPr>
                <w:ilvl w:val="0"/>
                <w:numId w:val="11"/>
              </w:numPr>
              <w:rPr>
                <w:rFonts w:ascii="Arial" w:hAnsi="Arial" w:cs="Arial"/>
                <w:sz w:val="16"/>
                <w:szCs w:val="16"/>
              </w:rPr>
            </w:pPr>
          </w:p>
        </w:tc>
        <w:tc>
          <w:tcPr>
            <w:tcW w:w="3659" w:type="dxa"/>
            <w:vAlign w:val="center"/>
          </w:tcPr>
          <w:p w14:paraId="61DCD726" w14:textId="77777777" w:rsidR="000F0526" w:rsidRPr="001F151E" w:rsidRDefault="000F0526" w:rsidP="007C5F11">
            <w:pPr>
              <w:pStyle w:val="EcorysBody"/>
              <w:numPr>
                <w:ilvl w:val="0"/>
                <w:numId w:val="11"/>
              </w:numPr>
              <w:jc w:val="both"/>
              <w:rPr>
                <w:rFonts w:ascii="Arial" w:hAnsi="Arial" w:cs="Arial"/>
                <w:sz w:val="16"/>
                <w:szCs w:val="16"/>
              </w:rPr>
            </w:pPr>
            <w:r w:rsidRPr="0070061A">
              <w:rPr>
                <w:rFonts w:ascii="Arial" w:hAnsi="Arial" w:cs="Arial"/>
                <w:sz w:val="16"/>
                <w:szCs w:val="16"/>
              </w:rPr>
              <w:t xml:space="preserve">Përgatitja dhe miratimi i një plani zhvillimi për Komisionin </w:t>
            </w:r>
            <w:r>
              <w:rPr>
                <w:rFonts w:ascii="Arial" w:hAnsi="Arial" w:cs="Arial"/>
                <w:sz w:val="16"/>
                <w:szCs w:val="16"/>
              </w:rPr>
              <w:t xml:space="preserve">Parlamentar </w:t>
            </w:r>
            <w:r w:rsidRPr="0070061A">
              <w:rPr>
                <w:rFonts w:ascii="Arial" w:hAnsi="Arial" w:cs="Arial"/>
                <w:sz w:val="16"/>
                <w:szCs w:val="16"/>
              </w:rPr>
              <w:t xml:space="preserve">për Ekonominë dhe Financat dhe strukturën </w:t>
            </w:r>
            <w:r>
              <w:rPr>
                <w:rFonts w:ascii="Arial" w:hAnsi="Arial" w:cs="Arial"/>
                <w:sz w:val="16"/>
                <w:szCs w:val="16"/>
              </w:rPr>
              <w:t xml:space="preserve">e tij </w:t>
            </w:r>
            <w:r w:rsidRPr="0070061A">
              <w:rPr>
                <w:rFonts w:ascii="Arial" w:hAnsi="Arial" w:cs="Arial"/>
                <w:sz w:val="16"/>
                <w:szCs w:val="16"/>
              </w:rPr>
              <w:t>mbështetëse</w:t>
            </w:r>
            <w:r w:rsidRPr="001F151E">
              <w:rPr>
                <w:rFonts w:ascii="Arial" w:hAnsi="Arial" w:cs="Arial"/>
                <w:sz w:val="16"/>
                <w:szCs w:val="16"/>
                <w:vertAlign w:val="superscript"/>
              </w:rPr>
              <w:footnoteReference w:id="84"/>
            </w:r>
            <w:r>
              <w:rPr>
                <w:rFonts w:ascii="Arial" w:hAnsi="Arial" w:cs="Arial"/>
                <w:sz w:val="16"/>
                <w:szCs w:val="16"/>
              </w:rPr>
              <w:t>.</w:t>
            </w:r>
            <w:r w:rsidRPr="001F151E">
              <w:rPr>
                <w:rFonts w:ascii="Arial" w:hAnsi="Arial" w:cs="Arial"/>
                <w:sz w:val="16"/>
                <w:szCs w:val="16"/>
              </w:rPr>
              <w:t xml:space="preserve"> </w:t>
            </w:r>
          </w:p>
        </w:tc>
        <w:tc>
          <w:tcPr>
            <w:tcW w:w="798" w:type="dxa"/>
            <w:vAlign w:val="center"/>
          </w:tcPr>
          <w:p w14:paraId="7036BC4C" w14:textId="77777777" w:rsidR="000F0526" w:rsidRPr="001F151E" w:rsidRDefault="000F0526" w:rsidP="000C70FA">
            <w:pPr>
              <w:jc w:val="center"/>
              <w:rPr>
                <w:sz w:val="16"/>
                <w:szCs w:val="16"/>
              </w:rPr>
            </w:pPr>
            <w:r>
              <w:rPr>
                <w:sz w:val="16"/>
                <w:szCs w:val="16"/>
              </w:rPr>
              <w:t>T</w:t>
            </w:r>
            <w:r w:rsidRPr="001F151E">
              <w:rPr>
                <w:sz w:val="16"/>
                <w:szCs w:val="16"/>
              </w:rPr>
              <w:t>3 2024</w:t>
            </w:r>
          </w:p>
        </w:tc>
        <w:tc>
          <w:tcPr>
            <w:tcW w:w="798" w:type="dxa"/>
            <w:vAlign w:val="center"/>
          </w:tcPr>
          <w:p w14:paraId="7EE2943C" w14:textId="77777777" w:rsidR="000F0526" w:rsidRPr="001F151E" w:rsidRDefault="000F0526" w:rsidP="000C70FA">
            <w:pPr>
              <w:jc w:val="center"/>
              <w:rPr>
                <w:sz w:val="16"/>
                <w:szCs w:val="16"/>
              </w:rPr>
            </w:pPr>
            <w:r>
              <w:rPr>
                <w:sz w:val="16"/>
                <w:szCs w:val="16"/>
              </w:rPr>
              <w:t>T</w:t>
            </w:r>
            <w:r w:rsidRPr="001F151E">
              <w:rPr>
                <w:sz w:val="16"/>
                <w:szCs w:val="16"/>
              </w:rPr>
              <w:t>2 2025</w:t>
            </w:r>
          </w:p>
        </w:tc>
        <w:tc>
          <w:tcPr>
            <w:tcW w:w="1781" w:type="dxa"/>
            <w:vMerge/>
          </w:tcPr>
          <w:p w14:paraId="555DBFE6" w14:textId="77777777" w:rsidR="000F0526" w:rsidRPr="001F151E" w:rsidRDefault="000F0526" w:rsidP="000C70FA">
            <w:pPr>
              <w:rPr>
                <w:sz w:val="16"/>
                <w:szCs w:val="16"/>
              </w:rPr>
            </w:pPr>
          </w:p>
        </w:tc>
      </w:tr>
      <w:tr w:rsidR="000F0526" w:rsidRPr="001F151E" w14:paraId="0EDCEDB7" w14:textId="77777777" w:rsidTr="000C70FA">
        <w:trPr>
          <w:trHeight w:val="20"/>
        </w:trPr>
        <w:tc>
          <w:tcPr>
            <w:tcW w:w="1980" w:type="dxa"/>
            <w:vMerge/>
            <w:shd w:val="clear" w:color="auto" w:fill="auto"/>
          </w:tcPr>
          <w:p w14:paraId="42FB29CE" w14:textId="77777777" w:rsidR="000F0526" w:rsidRPr="001F151E" w:rsidRDefault="000F0526" w:rsidP="000C70FA">
            <w:pPr>
              <w:pStyle w:val="EcorysBody"/>
              <w:numPr>
                <w:ilvl w:val="0"/>
                <w:numId w:val="11"/>
              </w:numPr>
              <w:rPr>
                <w:rFonts w:ascii="Arial" w:hAnsi="Arial" w:cs="Arial"/>
                <w:sz w:val="16"/>
                <w:szCs w:val="16"/>
              </w:rPr>
            </w:pPr>
          </w:p>
        </w:tc>
        <w:tc>
          <w:tcPr>
            <w:tcW w:w="3659" w:type="dxa"/>
            <w:vAlign w:val="center"/>
          </w:tcPr>
          <w:p w14:paraId="387FA9D0" w14:textId="77777777" w:rsidR="000F0526" w:rsidRPr="009D660E" w:rsidRDefault="000F0526" w:rsidP="007C5F11">
            <w:pPr>
              <w:pStyle w:val="EcorysBody"/>
              <w:numPr>
                <w:ilvl w:val="0"/>
                <w:numId w:val="11"/>
              </w:numPr>
              <w:jc w:val="both"/>
              <w:rPr>
                <w:rFonts w:ascii="Arial" w:hAnsi="Arial" w:cs="Arial"/>
                <w:sz w:val="16"/>
                <w:szCs w:val="16"/>
                <w:lang w:val="it-IT"/>
              </w:rPr>
            </w:pPr>
            <w:r w:rsidRPr="009D660E">
              <w:rPr>
                <w:rFonts w:ascii="Arial" w:hAnsi="Arial" w:cs="Arial"/>
                <w:sz w:val="16"/>
                <w:szCs w:val="16"/>
                <w:lang w:val="it-IT"/>
              </w:rPr>
              <w:t>Zbatimi dhe monitorimi i planit të zhvillimit.</w:t>
            </w:r>
          </w:p>
        </w:tc>
        <w:tc>
          <w:tcPr>
            <w:tcW w:w="798" w:type="dxa"/>
            <w:vAlign w:val="center"/>
          </w:tcPr>
          <w:p w14:paraId="14A27292" w14:textId="77777777" w:rsidR="000F0526" w:rsidRPr="001F151E" w:rsidRDefault="000F0526" w:rsidP="000C70FA">
            <w:pPr>
              <w:jc w:val="center"/>
              <w:rPr>
                <w:sz w:val="16"/>
                <w:szCs w:val="16"/>
              </w:rPr>
            </w:pPr>
            <w:r>
              <w:rPr>
                <w:sz w:val="16"/>
                <w:szCs w:val="16"/>
              </w:rPr>
              <w:t>T3 202</w:t>
            </w:r>
            <w:r w:rsidRPr="001F151E">
              <w:rPr>
                <w:sz w:val="16"/>
                <w:szCs w:val="16"/>
              </w:rPr>
              <w:t>5</w:t>
            </w:r>
          </w:p>
        </w:tc>
        <w:tc>
          <w:tcPr>
            <w:tcW w:w="798" w:type="dxa"/>
            <w:vAlign w:val="center"/>
          </w:tcPr>
          <w:p w14:paraId="371214FF" w14:textId="77777777" w:rsidR="000F0526" w:rsidRPr="001F151E" w:rsidRDefault="000F0526" w:rsidP="000C70FA">
            <w:pPr>
              <w:jc w:val="center"/>
              <w:rPr>
                <w:sz w:val="16"/>
                <w:szCs w:val="16"/>
              </w:rPr>
            </w:pPr>
            <w:r>
              <w:rPr>
                <w:sz w:val="16"/>
                <w:szCs w:val="16"/>
              </w:rPr>
              <w:t>T</w:t>
            </w:r>
            <w:r w:rsidRPr="001F151E">
              <w:rPr>
                <w:sz w:val="16"/>
                <w:szCs w:val="16"/>
              </w:rPr>
              <w:t>4 2026</w:t>
            </w:r>
          </w:p>
        </w:tc>
        <w:tc>
          <w:tcPr>
            <w:tcW w:w="1781" w:type="dxa"/>
            <w:vMerge/>
          </w:tcPr>
          <w:p w14:paraId="4BBC38D4" w14:textId="77777777" w:rsidR="000F0526" w:rsidRPr="001F151E" w:rsidRDefault="000F0526" w:rsidP="000C70FA">
            <w:pPr>
              <w:rPr>
                <w:sz w:val="16"/>
                <w:szCs w:val="16"/>
              </w:rPr>
            </w:pPr>
          </w:p>
        </w:tc>
      </w:tr>
      <w:tr w:rsidR="000F0526" w:rsidRPr="001F151E" w14:paraId="43DC80CA" w14:textId="77777777" w:rsidTr="000C70FA">
        <w:trPr>
          <w:trHeight w:val="20"/>
        </w:trPr>
        <w:tc>
          <w:tcPr>
            <w:tcW w:w="1980" w:type="dxa"/>
            <w:vMerge/>
            <w:shd w:val="clear" w:color="auto" w:fill="auto"/>
          </w:tcPr>
          <w:p w14:paraId="4C985102" w14:textId="77777777" w:rsidR="000F0526" w:rsidRPr="001F151E" w:rsidRDefault="000F0526" w:rsidP="000C70FA">
            <w:pPr>
              <w:pStyle w:val="EcorysBody"/>
              <w:numPr>
                <w:ilvl w:val="0"/>
                <w:numId w:val="11"/>
              </w:numPr>
              <w:rPr>
                <w:rFonts w:ascii="Arial" w:hAnsi="Arial" w:cs="Arial"/>
                <w:sz w:val="16"/>
                <w:szCs w:val="16"/>
              </w:rPr>
            </w:pPr>
          </w:p>
        </w:tc>
        <w:tc>
          <w:tcPr>
            <w:tcW w:w="3659" w:type="dxa"/>
            <w:vAlign w:val="center"/>
          </w:tcPr>
          <w:p w14:paraId="0A68972A" w14:textId="3326131E" w:rsidR="000F0526" w:rsidRPr="009D660E" w:rsidRDefault="000F0526" w:rsidP="007C5F11">
            <w:pPr>
              <w:pStyle w:val="EcorysBody"/>
              <w:numPr>
                <w:ilvl w:val="0"/>
                <w:numId w:val="11"/>
              </w:numPr>
              <w:jc w:val="both"/>
              <w:rPr>
                <w:rFonts w:ascii="Arial" w:hAnsi="Arial" w:cs="Arial"/>
                <w:sz w:val="16"/>
                <w:szCs w:val="16"/>
                <w:lang w:val="it-IT"/>
              </w:rPr>
            </w:pPr>
            <w:r w:rsidRPr="009D660E">
              <w:rPr>
                <w:rFonts w:ascii="Arial" w:hAnsi="Arial" w:cs="Arial"/>
                <w:sz w:val="16"/>
                <w:szCs w:val="16"/>
                <w:lang w:val="it-IT"/>
              </w:rPr>
              <w:t>Krijimi i një nënkomisioni të posaçëm parlamentar për auditimin e sektorit publi</w:t>
            </w:r>
            <w:r w:rsidR="00CB0316" w:rsidRPr="009D660E">
              <w:rPr>
                <w:rFonts w:ascii="Arial" w:hAnsi="Arial" w:cs="Arial"/>
                <w:sz w:val="16"/>
                <w:szCs w:val="16"/>
                <w:lang w:val="it-IT"/>
              </w:rPr>
              <w:t>k</w:t>
            </w:r>
            <w:r w:rsidRPr="009D660E">
              <w:rPr>
                <w:rFonts w:ascii="Arial" w:hAnsi="Arial" w:cs="Arial"/>
                <w:sz w:val="16"/>
                <w:szCs w:val="16"/>
                <w:lang w:val="it-IT"/>
              </w:rPr>
              <w:t>.</w:t>
            </w:r>
          </w:p>
        </w:tc>
        <w:tc>
          <w:tcPr>
            <w:tcW w:w="798" w:type="dxa"/>
            <w:vAlign w:val="center"/>
          </w:tcPr>
          <w:p w14:paraId="697BED23" w14:textId="77777777" w:rsidR="000F0526" w:rsidRPr="001F151E" w:rsidRDefault="000F0526" w:rsidP="000C70FA">
            <w:pPr>
              <w:jc w:val="center"/>
              <w:rPr>
                <w:color w:val="FF0000"/>
                <w:sz w:val="16"/>
                <w:szCs w:val="16"/>
              </w:rPr>
            </w:pPr>
            <w:r>
              <w:rPr>
                <w:sz w:val="16"/>
                <w:szCs w:val="16"/>
              </w:rPr>
              <w:t>T1 2024</w:t>
            </w:r>
          </w:p>
        </w:tc>
        <w:tc>
          <w:tcPr>
            <w:tcW w:w="798" w:type="dxa"/>
            <w:vAlign w:val="center"/>
          </w:tcPr>
          <w:p w14:paraId="52455179" w14:textId="77777777" w:rsidR="000F0526" w:rsidRPr="001F151E" w:rsidRDefault="000F0526" w:rsidP="000C70FA">
            <w:pPr>
              <w:jc w:val="center"/>
              <w:rPr>
                <w:color w:val="FF0000"/>
                <w:sz w:val="16"/>
                <w:szCs w:val="16"/>
              </w:rPr>
            </w:pPr>
            <w:r>
              <w:rPr>
                <w:sz w:val="16"/>
                <w:szCs w:val="16"/>
              </w:rPr>
              <w:t>T2 2024</w:t>
            </w:r>
          </w:p>
        </w:tc>
        <w:tc>
          <w:tcPr>
            <w:tcW w:w="1781" w:type="dxa"/>
            <w:vMerge/>
          </w:tcPr>
          <w:p w14:paraId="48536F2A" w14:textId="77777777" w:rsidR="000F0526" w:rsidRPr="001F151E" w:rsidRDefault="000F0526" w:rsidP="000C70FA">
            <w:pPr>
              <w:rPr>
                <w:sz w:val="16"/>
                <w:szCs w:val="16"/>
              </w:rPr>
            </w:pPr>
          </w:p>
        </w:tc>
      </w:tr>
    </w:tbl>
    <w:p w14:paraId="7D4599C0" w14:textId="77777777" w:rsidR="000F0526" w:rsidRPr="001F151E" w:rsidRDefault="000F0526" w:rsidP="000F0526">
      <w:pPr>
        <w:pStyle w:val="H5"/>
        <w:rPr>
          <w:rStyle w:val="Strong"/>
          <w:b/>
          <w:bCs w:val="0"/>
          <w:lang w:val="en-GB"/>
        </w:rPr>
      </w:pPr>
    </w:p>
    <w:p w14:paraId="722848D1" w14:textId="77777777" w:rsidR="000F0526" w:rsidRPr="009D660E" w:rsidRDefault="000F0526" w:rsidP="000F0526">
      <w:pPr>
        <w:pStyle w:val="H5"/>
        <w:rPr>
          <w:lang w:val="it-IT"/>
        </w:rPr>
      </w:pPr>
      <w:r w:rsidRPr="009D660E">
        <w:rPr>
          <w:lang w:val="it-IT"/>
        </w:rPr>
        <w:t>Treguesit e performancës dhe vlerat e synuara</w:t>
      </w:r>
    </w:p>
    <w:tbl>
      <w:tblPr>
        <w:tblStyle w:val="TableGrid"/>
        <w:tblW w:w="5000" w:type="pct"/>
        <w:tblInd w:w="-1" w:type="dxa"/>
        <w:tblLayout w:type="fixed"/>
        <w:tblCellMar>
          <w:top w:w="57" w:type="dxa"/>
          <w:left w:w="28" w:type="dxa"/>
          <w:bottom w:w="57" w:type="dxa"/>
          <w:right w:w="28" w:type="dxa"/>
        </w:tblCellMar>
        <w:tblLook w:val="04A0" w:firstRow="1" w:lastRow="0" w:firstColumn="1" w:lastColumn="0" w:noHBand="0" w:noVBand="1"/>
      </w:tblPr>
      <w:tblGrid>
        <w:gridCol w:w="3540"/>
        <w:gridCol w:w="1134"/>
        <w:gridCol w:w="1085"/>
        <w:gridCol w:w="1086"/>
        <w:gridCol w:w="1085"/>
        <w:gridCol w:w="1086"/>
      </w:tblGrid>
      <w:tr w:rsidR="000F0526" w:rsidRPr="001F151E" w14:paraId="75E5DEB2" w14:textId="77777777" w:rsidTr="000C70FA">
        <w:trPr>
          <w:trHeight w:val="274"/>
        </w:trPr>
        <w:tc>
          <w:tcPr>
            <w:tcW w:w="3540" w:type="dxa"/>
            <w:vMerge w:val="restart"/>
            <w:shd w:val="clear" w:color="auto" w:fill="D9D9D9" w:themeFill="background1" w:themeFillShade="D9"/>
          </w:tcPr>
          <w:p w14:paraId="0E7E73B0" w14:textId="77777777" w:rsidR="000F0526" w:rsidRPr="001F151E" w:rsidRDefault="000F0526" w:rsidP="000C70FA">
            <w:pPr>
              <w:pStyle w:val="T-bold"/>
            </w:pPr>
            <w:r>
              <w:t>Treguesi</w:t>
            </w:r>
          </w:p>
        </w:tc>
        <w:tc>
          <w:tcPr>
            <w:tcW w:w="1134" w:type="dxa"/>
            <w:vMerge w:val="restart"/>
            <w:shd w:val="clear" w:color="auto" w:fill="D9D9D9" w:themeFill="background1" w:themeFillShade="D9"/>
          </w:tcPr>
          <w:p w14:paraId="2428E0DC" w14:textId="77777777" w:rsidR="000F0526" w:rsidRPr="001F151E" w:rsidRDefault="000F0526" w:rsidP="000C70FA">
            <w:pPr>
              <w:pStyle w:val="T-bold"/>
              <w:jc w:val="center"/>
            </w:pPr>
            <w:r>
              <w:t>Vlera bazë</w:t>
            </w:r>
            <w:r w:rsidRPr="001F151E">
              <w:t xml:space="preserve"> (</w:t>
            </w:r>
            <w:r>
              <w:t>viti</w:t>
            </w:r>
            <w:r w:rsidRPr="001F151E">
              <w:t>)</w:t>
            </w:r>
          </w:p>
        </w:tc>
        <w:tc>
          <w:tcPr>
            <w:tcW w:w="4342" w:type="dxa"/>
            <w:gridSpan w:val="4"/>
            <w:shd w:val="clear" w:color="auto" w:fill="D9D9D9" w:themeFill="background1" w:themeFillShade="D9"/>
            <w:vAlign w:val="center"/>
          </w:tcPr>
          <w:p w14:paraId="4F471B0F" w14:textId="77777777" w:rsidR="000F0526" w:rsidRPr="001F151E" w:rsidRDefault="000F0526" w:rsidP="000C70FA">
            <w:pPr>
              <w:pStyle w:val="T-bold"/>
              <w:jc w:val="center"/>
            </w:pPr>
            <w:r>
              <w:t>Vlera e synuar</w:t>
            </w:r>
          </w:p>
        </w:tc>
      </w:tr>
      <w:tr w:rsidR="000F0526" w:rsidRPr="001F151E" w14:paraId="00712123" w14:textId="77777777" w:rsidTr="000C70FA">
        <w:trPr>
          <w:trHeight w:val="274"/>
        </w:trPr>
        <w:tc>
          <w:tcPr>
            <w:tcW w:w="3540" w:type="dxa"/>
            <w:vMerge/>
            <w:shd w:val="clear" w:color="auto" w:fill="D9D9D9" w:themeFill="background1" w:themeFillShade="D9"/>
          </w:tcPr>
          <w:p w14:paraId="0E9D411D" w14:textId="77777777" w:rsidR="000F0526" w:rsidRPr="001F151E" w:rsidRDefault="000F0526" w:rsidP="000C70FA">
            <w:pPr>
              <w:pStyle w:val="T-bold"/>
            </w:pPr>
          </w:p>
        </w:tc>
        <w:tc>
          <w:tcPr>
            <w:tcW w:w="1134" w:type="dxa"/>
            <w:vMerge/>
            <w:shd w:val="clear" w:color="auto" w:fill="D9D9D9" w:themeFill="background1" w:themeFillShade="D9"/>
          </w:tcPr>
          <w:p w14:paraId="41D79F1F" w14:textId="77777777" w:rsidR="000F0526" w:rsidRPr="001F151E" w:rsidRDefault="000F0526" w:rsidP="000C70FA">
            <w:pPr>
              <w:pStyle w:val="T-bold"/>
              <w:jc w:val="center"/>
            </w:pPr>
          </w:p>
        </w:tc>
        <w:tc>
          <w:tcPr>
            <w:tcW w:w="1085" w:type="dxa"/>
            <w:shd w:val="clear" w:color="auto" w:fill="D9D9D9" w:themeFill="background1" w:themeFillShade="D9"/>
            <w:vAlign w:val="center"/>
          </w:tcPr>
          <w:p w14:paraId="08003AD6" w14:textId="77777777" w:rsidR="000F0526" w:rsidRPr="001F151E" w:rsidRDefault="000F0526" w:rsidP="000C70FA">
            <w:pPr>
              <w:pStyle w:val="T-bold"/>
              <w:jc w:val="center"/>
            </w:pPr>
            <w:r w:rsidRPr="001F151E">
              <w:t>2023</w:t>
            </w:r>
          </w:p>
        </w:tc>
        <w:tc>
          <w:tcPr>
            <w:tcW w:w="1086" w:type="dxa"/>
            <w:shd w:val="clear" w:color="auto" w:fill="D9D9D9" w:themeFill="background1" w:themeFillShade="D9"/>
            <w:vAlign w:val="center"/>
          </w:tcPr>
          <w:p w14:paraId="0BDDDDAA" w14:textId="77777777" w:rsidR="000F0526" w:rsidRPr="001F151E" w:rsidRDefault="000F0526" w:rsidP="000C70FA">
            <w:pPr>
              <w:pStyle w:val="T-bold"/>
              <w:jc w:val="center"/>
            </w:pPr>
            <w:r w:rsidRPr="001F151E">
              <w:t>2024</w:t>
            </w:r>
          </w:p>
        </w:tc>
        <w:tc>
          <w:tcPr>
            <w:tcW w:w="1085" w:type="dxa"/>
            <w:shd w:val="clear" w:color="auto" w:fill="D9D9D9" w:themeFill="background1" w:themeFillShade="D9"/>
            <w:vAlign w:val="center"/>
          </w:tcPr>
          <w:p w14:paraId="598D85E4" w14:textId="77777777" w:rsidR="000F0526" w:rsidRPr="001F151E" w:rsidRDefault="000F0526" w:rsidP="000C70FA">
            <w:pPr>
              <w:pStyle w:val="T-bold"/>
              <w:jc w:val="center"/>
            </w:pPr>
            <w:r w:rsidRPr="001F151E">
              <w:t>2025</w:t>
            </w:r>
          </w:p>
        </w:tc>
        <w:tc>
          <w:tcPr>
            <w:tcW w:w="1086" w:type="dxa"/>
            <w:shd w:val="clear" w:color="auto" w:fill="D9D9D9" w:themeFill="background1" w:themeFillShade="D9"/>
            <w:vAlign w:val="center"/>
          </w:tcPr>
          <w:p w14:paraId="25567271" w14:textId="77777777" w:rsidR="000F0526" w:rsidRPr="001F151E" w:rsidRDefault="000F0526" w:rsidP="000C70FA">
            <w:pPr>
              <w:pStyle w:val="T-bold"/>
              <w:jc w:val="center"/>
            </w:pPr>
            <w:r w:rsidRPr="001F151E">
              <w:t>2026</w:t>
            </w:r>
          </w:p>
        </w:tc>
      </w:tr>
      <w:tr w:rsidR="000F0526" w:rsidRPr="001F151E" w14:paraId="1F1D3DA4" w14:textId="77777777" w:rsidTr="000C70FA">
        <w:tc>
          <w:tcPr>
            <w:tcW w:w="3540" w:type="dxa"/>
          </w:tcPr>
          <w:p w14:paraId="0F10E527" w14:textId="77777777" w:rsidR="000F0526" w:rsidRPr="009D660E" w:rsidRDefault="000F0526" w:rsidP="000C70FA">
            <w:pPr>
              <w:pStyle w:val="T-number"/>
              <w:numPr>
                <w:ilvl w:val="0"/>
                <w:numId w:val="29"/>
              </w:numPr>
              <w:rPr>
                <w:lang w:val="it-IT"/>
              </w:rPr>
            </w:pPr>
            <w:r w:rsidRPr="009D660E">
              <w:rPr>
                <w:lang w:val="it-IT"/>
              </w:rPr>
              <w:t>Treguesi PEFA-31 Shqyrtimi legjislativ i raporteve të auditimit.</w:t>
            </w:r>
            <w:r w:rsidRPr="001F151E">
              <w:rPr>
                <w:rStyle w:val="FootnoteReference"/>
              </w:rPr>
              <w:footnoteReference w:id="85"/>
            </w:r>
          </w:p>
        </w:tc>
        <w:tc>
          <w:tcPr>
            <w:tcW w:w="1134" w:type="dxa"/>
            <w:vAlign w:val="center"/>
          </w:tcPr>
          <w:p w14:paraId="1633CDCE" w14:textId="77777777" w:rsidR="000F0526" w:rsidRPr="001F151E" w:rsidRDefault="000F0526" w:rsidP="000C70FA">
            <w:pPr>
              <w:pStyle w:val="T-normal"/>
              <w:jc w:val="center"/>
            </w:pPr>
            <w:r w:rsidRPr="001F151E">
              <w:t>B</w:t>
            </w:r>
          </w:p>
          <w:p w14:paraId="5C6B257F" w14:textId="77777777" w:rsidR="000F0526" w:rsidRPr="001F151E" w:rsidRDefault="000F0526" w:rsidP="000C70FA">
            <w:pPr>
              <w:pStyle w:val="T-normal"/>
              <w:jc w:val="center"/>
            </w:pPr>
            <w:r w:rsidRPr="001F151E">
              <w:t>(2017)</w:t>
            </w:r>
          </w:p>
        </w:tc>
        <w:tc>
          <w:tcPr>
            <w:tcW w:w="1085" w:type="dxa"/>
            <w:vAlign w:val="center"/>
          </w:tcPr>
          <w:p w14:paraId="158A708A" w14:textId="77777777" w:rsidR="000F0526" w:rsidRPr="001F151E" w:rsidRDefault="000F0526" w:rsidP="000C70FA">
            <w:pPr>
              <w:pStyle w:val="T-normal"/>
              <w:jc w:val="center"/>
            </w:pPr>
            <w:r w:rsidRPr="001F151E">
              <w:t>-</w:t>
            </w:r>
          </w:p>
        </w:tc>
        <w:tc>
          <w:tcPr>
            <w:tcW w:w="1086" w:type="dxa"/>
            <w:vAlign w:val="center"/>
          </w:tcPr>
          <w:p w14:paraId="7B0C0F6F" w14:textId="77777777" w:rsidR="000F0526" w:rsidRPr="001F151E" w:rsidRDefault="000F0526" w:rsidP="000C70FA">
            <w:pPr>
              <w:pStyle w:val="T-normal"/>
              <w:jc w:val="center"/>
            </w:pPr>
            <w:r w:rsidRPr="001F151E">
              <w:t>-</w:t>
            </w:r>
          </w:p>
        </w:tc>
        <w:tc>
          <w:tcPr>
            <w:tcW w:w="1085" w:type="dxa"/>
            <w:vAlign w:val="center"/>
          </w:tcPr>
          <w:p w14:paraId="18B90319" w14:textId="77777777" w:rsidR="000F0526" w:rsidRPr="001F151E" w:rsidRDefault="000F0526" w:rsidP="000C70FA">
            <w:pPr>
              <w:pStyle w:val="T-normal"/>
              <w:jc w:val="center"/>
            </w:pPr>
            <w:r w:rsidRPr="001F151E">
              <w:t>-</w:t>
            </w:r>
          </w:p>
        </w:tc>
        <w:tc>
          <w:tcPr>
            <w:tcW w:w="1086" w:type="dxa"/>
            <w:vAlign w:val="center"/>
          </w:tcPr>
          <w:p w14:paraId="0CB88D9B" w14:textId="77777777" w:rsidR="000F0526" w:rsidRPr="001F151E" w:rsidRDefault="000F0526" w:rsidP="000C70FA">
            <w:pPr>
              <w:pStyle w:val="T-normal"/>
              <w:jc w:val="center"/>
            </w:pPr>
            <w:r w:rsidRPr="001F151E">
              <w:t>&gt; B</w:t>
            </w:r>
          </w:p>
        </w:tc>
      </w:tr>
      <w:tr w:rsidR="000F0526" w:rsidRPr="001F151E" w14:paraId="69796870" w14:textId="77777777" w:rsidTr="000C70FA">
        <w:tc>
          <w:tcPr>
            <w:tcW w:w="3540" w:type="dxa"/>
          </w:tcPr>
          <w:p w14:paraId="3FD2773F" w14:textId="77777777" w:rsidR="000F0526" w:rsidRPr="001F151E" w:rsidRDefault="000F0526" w:rsidP="00187239">
            <w:pPr>
              <w:pStyle w:val="T-number"/>
            </w:pPr>
            <w:r>
              <w:rPr>
                <w:rStyle w:val="rynqvb"/>
              </w:rPr>
              <w:t>Plani zhvillimor i përgatitur dhe zbatuar.</w:t>
            </w:r>
          </w:p>
        </w:tc>
        <w:tc>
          <w:tcPr>
            <w:tcW w:w="1134" w:type="dxa"/>
            <w:vAlign w:val="center"/>
          </w:tcPr>
          <w:p w14:paraId="08358E59" w14:textId="77777777" w:rsidR="000F0526" w:rsidRPr="001F151E" w:rsidRDefault="000F0526" w:rsidP="000C70FA">
            <w:pPr>
              <w:pStyle w:val="T-normal"/>
              <w:jc w:val="center"/>
            </w:pPr>
            <w:r w:rsidRPr="001F151E">
              <w:t>-</w:t>
            </w:r>
          </w:p>
        </w:tc>
        <w:tc>
          <w:tcPr>
            <w:tcW w:w="1085" w:type="dxa"/>
            <w:vAlign w:val="center"/>
          </w:tcPr>
          <w:p w14:paraId="09A29360" w14:textId="77777777" w:rsidR="000F0526" w:rsidRPr="001F151E" w:rsidRDefault="000F0526" w:rsidP="000C70FA">
            <w:pPr>
              <w:pStyle w:val="T-normal"/>
              <w:jc w:val="center"/>
            </w:pPr>
            <w:r w:rsidRPr="001F151E">
              <w:t>-</w:t>
            </w:r>
          </w:p>
        </w:tc>
        <w:tc>
          <w:tcPr>
            <w:tcW w:w="1086" w:type="dxa"/>
            <w:vAlign w:val="center"/>
          </w:tcPr>
          <w:p w14:paraId="3CFC6F57" w14:textId="77777777" w:rsidR="000F0526" w:rsidRPr="001F151E" w:rsidRDefault="000F0526" w:rsidP="000C70FA">
            <w:pPr>
              <w:pStyle w:val="T-normal"/>
              <w:jc w:val="center"/>
            </w:pPr>
            <w:r w:rsidRPr="001F151E">
              <w:t>-</w:t>
            </w:r>
          </w:p>
        </w:tc>
        <w:tc>
          <w:tcPr>
            <w:tcW w:w="1085" w:type="dxa"/>
            <w:vAlign w:val="center"/>
          </w:tcPr>
          <w:p w14:paraId="3B482F8D" w14:textId="77777777" w:rsidR="000F0526" w:rsidRPr="001F151E" w:rsidRDefault="000F0526" w:rsidP="000C70FA">
            <w:pPr>
              <w:pStyle w:val="T-normal"/>
              <w:jc w:val="center"/>
            </w:pPr>
            <w:r>
              <w:t>Miratuar</w:t>
            </w:r>
          </w:p>
        </w:tc>
        <w:tc>
          <w:tcPr>
            <w:tcW w:w="1086" w:type="dxa"/>
            <w:vAlign w:val="center"/>
          </w:tcPr>
          <w:p w14:paraId="5B5510FC" w14:textId="77777777" w:rsidR="000F0526" w:rsidRPr="001F151E" w:rsidRDefault="000F0526" w:rsidP="000C70FA">
            <w:pPr>
              <w:pStyle w:val="T-normal"/>
              <w:jc w:val="center"/>
            </w:pPr>
            <w:r>
              <w:t>Zbatuar</w:t>
            </w:r>
          </w:p>
        </w:tc>
      </w:tr>
    </w:tbl>
    <w:p w14:paraId="71A8892B" w14:textId="77777777" w:rsidR="000F0526" w:rsidRPr="001F151E" w:rsidRDefault="000F0526" w:rsidP="000F0526">
      <w:pPr>
        <w:rPr>
          <w:lang w:val="en-GB"/>
        </w:rPr>
      </w:pPr>
    </w:p>
    <w:p w14:paraId="69A339D1" w14:textId="77777777" w:rsidR="000F0526" w:rsidRPr="001F151E" w:rsidRDefault="000F0526" w:rsidP="000F0526">
      <w:pPr>
        <w:rPr>
          <w:lang w:val="en-GB"/>
        </w:rPr>
      </w:pPr>
    </w:p>
    <w:p w14:paraId="35EE093A" w14:textId="77777777" w:rsidR="000F0526" w:rsidRPr="001F151E" w:rsidRDefault="000F0526" w:rsidP="000F0526">
      <w:pPr>
        <w:rPr>
          <w:lang w:val="en-GB"/>
        </w:rPr>
      </w:pPr>
    </w:p>
    <w:p w14:paraId="6F4E17B8" w14:textId="550B273B" w:rsidR="000F0526" w:rsidRPr="001F151E" w:rsidRDefault="000F0526" w:rsidP="000F0526">
      <w:pPr>
        <w:spacing w:after="160" w:line="259" w:lineRule="auto"/>
        <w:rPr>
          <w:rFonts w:eastAsiaTheme="majorEastAsia" w:cstheme="majorBidi"/>
          <w:b/>
          <w:bCs/>
          <w:iCs/>
          <w:color w:val="0070C0"/>
          <w:sz w:val="26"/>
          <w:szCs w:val="26"/>
          <w:lang w:val="en-GB"/>
        </w:rPr>
      </w:pPr>
      <w:r w:rsidRPr="001F151E">
        <w:rPr>
          <w:lang w:val="en-GB"/>
        </w:rPr>
        <w:br w:type="page"/>
      </w:r>
    </w:p>
    <w:p w14:paraId="21F0ECED" w14:textId="77777777" w:rsidR="000F0526" w:rsidRPr="009D660E" w:rsidRDefault="000F0526" w:rsidP="000F0526">
      <w:pPr>
        <w:pStyle w:val="Heading1"/>
        <w:rPr>
          <w:lang w:val="it-IT"/>
        </w:rPr>
      </w:pPr>
      <w:bookmarkStart w:id="63" w:name="_Toc161748841"/>
      <w:r w:rsidRPr="009D660E">
        <w:rPr>
          <w:rStyle w:val="rynqvb"/>
          <w:lang w:val="it-IT"/>
        </w:rPr>
        <w:t>Kuadri institucional për monitorimin dhe raportimin</w:t>
      </w:r>
      <w:bookmarkEnd w:id="63"/>
      <w:r w:rsidRPr="009D660E">
        <w:rPr>
          <w:lang w:val="it-IT"/>
        </w:rPr>
        <w:t xml:space="preserve"> </w:t>
      </w:r>
    </w:p>
    <w:p w14:paraId="32BDF5F9" w14:textId="77777777" w:rsidR="000F0526" w:rsidRPr="009D660E" w:rsidRDefault="000F0526" w:rsidP="000F0526">
      <w:pPr>
        <w:rPr>
          <w:lang w:val="it-IT"/>
        </w:rPr>
      </w:pPr>
    </w:p>
    <w:p w14:paraId="3C921BF0" w14:textId="3B260247" w:rsidR="000F0526" w:rsidRPr="009D660E" w:rsidRDefault="000F0526" w:rsidP="000F0526">
      <w:pPr>
        <w:spacing w:line="276" w:lineRule="auto"/>
        <w:jc w:val="both"/>
        <w:rPr>
          <w:lang w:val="it-IT"/>
        </w:rPr>
      </w:pPr>
      <w:r w:rsidRPr="009D660E">
        <w:rPr>
          <w:lang w:val="it-IT"/>
        </w:rPr>
        <w:t xml:space="preserve">Kuadri institucional për menaxhimin e reformave të MFP-së </w:t>
      </w:r>
      <w:r w:rsidR="00592D34">
        <w:rPr>
          <w:lang w:val="it-IT"/>
        </w:rPr>
        <w:t>b</w:t>
      </w:r>
      <w:r w:rsidR="00D15A1C" w:rsidRPr="009D660E">
        <w:rPr>
          <w:lang w:val="it-IT"/>
        </w:rPr>
        <w:t xml:space="preserve">renda MF-së </w:t>
      </w:r>
      <w:r w:rsidRPr="009D660E">
        <w:rPr>
          <w:lang w:val="it-IT"/>
        </w:rPr>
        <w:t>përbëhet nga një komite</w:t>
      </w:r>
      <w:r w:rsidR="0057580C" w:rsidRPr="009D660E">
        <w:rPr>
          <w:lang w:val="it-IT"/>
        </w:rPr>
        <w:t xml:space="preserve">t drejtues, një komitet teknik </w:t>
      </w:r>
      <w:r w:rsidRPr="009D660E">
        <w:rPr>
          <w:lang w:val="it-IT"/>
        </w:rPr>
        <w:t>dhe drejtoria për reformën e MFP.</w:t>
      </w:r>
      <w:r w:rsidR="00D15A1C" w:rsidRPr="009D660E">
        <w:rPr>
          <w:lang w:val="it-IT"/>
        </w:rPr>
        <w:t xml:space="preserve"> Komiteti Drejtues i MFP-së është pjesë e GMIP 1 “Demokracia, Sundimi i Ligjit dhe Qeverisja e Mirë”. </w:t>
      </w:r>
    </w:p>
    <w:p w14:paraId="4C468ECB" w14:textId="77777777" w:rsidR="000F0526" w:rsidRPr="009D660E" w:rsidRDefault="000F0526" w:rsidP="000F0526">
      <w:pPr>
        <w:spacing w:line="276" w:lineRule="auto"/>
        <w:jc w:val="both"/>
        <w:rPr>
          <w:lang w:val="it-IT"/>
        </w:rPr>
      </w:pPr>
    </w:p>
    <w:p w14:paraId="49E0DBF6" w14:textId="77777777" w:rsidR="000F0526" w:rsidRPr="009D660E" w:rsidRDefault="000F0526" w:rsidP="000F0526">
      <w:pPr>
        <w:spacing w:line="276" w:lineRule="auto"/>
        <w:jc w:val="both"/>
        <w:rPr>
          <w:b/>
          <w:bCs/>
          <w:lang w:val="it-IT"/>
        </w:rPr>
      </w:pPr>
      <w:r w:rsidRPr="009D660E">
        <w:rPr>
          <w:b/>
          <w:bCs/>
          <w:lang w:val="it-IT"/>
        </w:rPr>
        <w:t>Komiteti Drejtues i MFP-së</w:t>
      </w:r>
    </w:p>
    <w:p w14:paraId="4C25C60A" w14:textId="77777777" w:rsidR="007C5F11" w:rsidRPr="009D660E" w:rsidRDefault="007C5F11" w:rsidP="000F0526">
      <w:pPr>
        <w:spacing w:line="276" w:lineRule="auto"/>
        <w:jc w:val="both"/>
        <w:rPr>
          <w:lang w:val="it-IT"/>
        </w:rPr>
      </w:pPr>
    </w:p>
    <w:p w14:paraId="52633A84" w14:textId="37763040" w:rsidR="000F0526" w:rsidRPr="009D660E" w:rsidRDefault="000F0526" w:rsidP="000F0526">
      <w:pPr>
        <w:spacing w:line="276" w:lineRule="auto"/>
        <w:jc w:val="both"/>
        <w:rPr>
          <w:lang w:val="it-IT"/>
        </w:rPr>
      </w:pPr>
      <w:r w:rsidRPr="009D660E">
        <w:rPr>
          <w:lang w:val="it-IT"/>
        </w:rPr>
        <w:t>Komiteti Drejtues i Reformës së MFP-së (KD)</w:t>
      </w:r>
      <w:r w:rsidRPr="001F151E">
        <w:rPr>
          <w:vertAlign w:val="superscript"/>
          <w:lang w:val="en-GB"/>
        </w:rPr>
        <w:footnoteReference w:id="86"/>
      </w:r>
      <w:r w:rsidRPr="009D660E">
        <w:rPr>
          <w:lang w:val="it-IT"/>
        </w:rPr>
        <w:t xml:space="preserve"> do të vazhdojë të jetë organi mbikëqyrës përgjegjës për drejtimin dhe monitorimin e aktiviteteve të reformës së MFP-së, duke përfshirë angazhimin e Partnerëve për Zhvillim dhe Shoqërinë Civile. KD-ja kryesohet nga Ministri i Financave dhe anëtarët e tij janë si më poshtë:</w:t>
      </w:r>
    </w:p>
    <w:p w14:paraId="43C8C51A" w14:textId="77777777" w:rsidR="000F0526" w:rsidRPr="007C162B" w:rsidRDefault="000F0526" w:rsidP="000F0526">
      <w:pPr>
        <w:pStyle w:val="N-Bullet"/>
        <w:rPr>
          <w:lang w:val="it-IT"/>
        </w:rPr>
      </w:pPr>
      <w:r w:rsidRPr="007C162B">
        <w:rPr>
          <w:lang w:val="it-IT"/>
        </w:rPr>
        <w:t>Zëvendësministrat për Financa</w:t>
      </w:r>
      <w:r>
        <w:rPr>
          <w:lang w:val="it-IT"/>
        </w:rPr>
        <w:t>t</w:t>
      </w:r>
      <w:r w:rsidRPr="007C162B">
        <w:rPr>
          <w:lang w:val="it-IT"/>
        </w:rPr>
        <w:t>;</w:t>
      </w:r>
    </w:p>
    <w:p w14:paraId="083E468C" w14:textId="77777777" w:rsidR="000F0526" w:rsidRPr="007C162B" w:rsidRDefault="000F0526" w:rsidP="000F0526">
      <w:pPr>
        <w:pStyle w:val="N-Bullet"/>
        <w:rPr>
          <w:lang w:val="it-IT"/>
        </w:rPr>
      </w:pPr>
      <w:r w:rsidRPr="007C162B">
        <w:rPr>
          <w:lang w:val="it-IT"/>
        </w:rPr>
        <w:t>Sekretari i Përgjithshëm i Ministrisë së Financave;</w:t>
      </w:r>
    </w:p>
    <w:p w14:paraId="58252301" w14:textId="79959553" w:rsidR="000F0526" w:rsidRPr="007C162B" w:rsidRDefault="00197BC7" w:rsidP="000F0526">
      <w:pPr>
        <w:pStyle w:val="N-Bullet"/>
        <w:rPr>
          <w:lang w:val="it-IT"/>
        </w:rPr>
      </w:pPr>
      <w:r>
        <w:rPr>
          <w:lang w:val="it-IT"/>
        </w:rPr>
        <w:t>Ministri i Shtetit dhe Kryenegociatorit</w:t>
      </w:r>
      <w:r w:rsidR="000F0526" w:rsidRPr="007C162B">
        <w:rPr>
          <w:lang w:val="it-IT"/>
        </w:rPr>
        <w:t>;</w:t>
      </w:r>
    </w:p>
    <w:p w14:paraId="23BCB568" w14:textId="77777777" w:rsidR="000F0526" w:rsidRPr="007C162B" w:rsidRDefault="000F0526" w:rsidP="000F0526">
      <w:pPr>
        <w:pStyle w:val="N-Bullet"/>
        <w:rPr>
          <w:lang w:val="it-IT"/>
        </w:rPr>
      </w:pPr>
      <w:r w:rsidRPr="007C162B">
        <w:rPr>
          <w:lang w:val="it-IT"/>
        </w:rPr>
        <w:t>Një përfaqësues nga Zyra e Kryeministrit;</w:t>
      </w:r>
    </w:p>
    <w:p w14:paraId="19881AAB" w14:textId="77777777" w:rsidR="000F0526" w:rsidRPr="002D50DA" w:rsidRDefault="000F0526" w:rsidP="000F0526">
      <w:pPr>
        <w:pStyle w:val="N-Bullet"/>
        <w:rPr>
          <w:lang w:val="it-IT"/>
        </w:rPr>
      </w:pPr>
      <w:r w:rsidRPr="007C162B">
        <w:rPr>
          <w:lang w:val="it-IT"/>
        </w:rPr>
        <w:t xml:space="preserve">Sekretari i Përgjithshëm </w:t>
      </w:r>
      <w:r>
        <w:rPr>
          <w:lang w:val="it-IT"/>
        </w:rPr>
        <w:t xml:space="preserve">i </w:t>
      </w:r>
      <w:r w:rsidRPr="002D50DA">
        <w:rPr>
          <w:lang w:val="it-IT"/>
        </w:rPr>
        <w:t>KLSH-së;</w:t>
      </w:r>
    </w:p>
    <w:p w14:paraId="1573DB54" w14:textId="77777777" w:rsidR="000F0526" w:rsidRPr="007C162B" w:rsidRDefault="000F0526" w:rsidP="000F0526">
      <w:pPr>
        <w:pStyle w:val="N-Bullet"/>
        <w:rPr>
          <w:lang w:val="it-IT"/>
        </w:rPr>
      </w:pPr>
      <w:r w:rsidRPr="007C162B">
        <w:rPr>
          <w:lang w:val="it-IT"/>
        </w:rPr>
        <w:t>Një përfaqësues nga Komisioni Parlamentar për Ekonomi</w:t>
      </w:r>
      <w:r>
        <w:rPr>
          <w:lang w:val="it-IT"/>
        </w:rPr>
        <w:t>në</w:t>
      </w:r>
      <w:r w:rsidRPr="007C162B">
        <w:rPr>
          <w:lang w:val="it-IT"/>
        </w:rPr>
        <w:t xml:space="preserve"> dhe Financa</w:t>
      </w:r>
      <w:r>
        <w:rPr>
          <w:lang w:val="it-IT"/>
        </w:rPr>
        <w:t>t</w:t>
      </w:r>
      <w:r w:rsidRPr="007C162B">
        <w:rPr>
          <w:lang w:val="it-IT"/>
        </w:rPr>
        <w:t>;</w:t>
      </w:r>
    </w:p>
    <w:p w14:paraId="18B1EAC1" w14:textId="77777777" w:rsidR="000F0526" w:rsidRPr="001F151E" w:rsidRDefault="000F0526" w:rsidP="000F0526">
      <w:pPr>
        <w:pStyle w:val="N-Bullet"/>
        <w:rPr>
          <w:lang w:val="en-GB"/>
        </w:rPr>
      </w:pPr>
      <w:r>
        <w:rPr>
          <w:lang w:val="en-GB"/>
        </w:rPr>
        <w:t xml:space="preserve">Kryetari </w:t>
      </w:r>
      <w:r w:rsidRPr="00726FF9">
        <w:rPr>
          <w:lang w:val="en-GB"/>
        </w:rPr>
        <w:t>i Departamentit të Administratës Publike;</w:t>
      </w:r>
    </w:p>
    <w:p w14:paraId="7C879B4B" w14:textId="3B1CED5A" w:rsidR="000F0526" w:rsidRPr="001F151E" w:rsidRDefault="00BC063C" w:rsidP="000F0526">
      <w:pPr>
        <w:pStyle w:val="N-Bullet"/>
        <w:rPr>
          <w:lang w:val="en-GB"/>
        </w:rPr>
      </w:pPr>
      <w:r>
        <w:rPr>
          <w:lang w:val="en-GB"/>
        </w:rPr>
        <w:t>Drejtor</w:t>
      </w:r>
      <w:r w:rsidR="000F0526" w:rsidRPr="00726FF9">
        <w:rPr>
          <w:lang w:val="en-GB"/>
        </w:rPr>
        <w:t>i</w:t>
      </w:r>
      <w:r>
        <w:rPr>
          <w:lang w:val="en-GB"/>
        </w:rPr>
        <w:t xml:space="preserve"> i Përgjithshëm</w:t>
      </w:r>
      <w:r w:rsidR="000F0526" w:rsidRPr="00726FF9">
        <w:rPr>
          <w:lang w:val="en-GB"/>
        </w:rPr>
        <w:t xml:space="preserve"> </w:t>
      </w:r>
      <w:r w:rsidR="007376BF">
        <w:rPr>
          <w:lang w:val="en-GB"/>
        </w:rPr>
        <w:t>i</w:t>
      </w:r>
      <w:r>
        <w:rPr>
          <w:lang w:val="en-GB"/>
        </w:rPr>
        <w:t xml:space="preserve"> </w:t>
      </w:r>
      <w:r w:rsidR="000F0526" w:rsidRPr="00726FF9">
        <w:rPr>
          <w:lang w:val="en-GB"/>
        </w:rPr>
        <w:t>Agjencisë së Prokurimit Publik;</w:t>
      </w:r>
    </w:p>
    <w:p w14:paraId="795D7A63" w14:textId="77777777" w:rsidR="000F0526" w:rsidRPr="001F151E" w:rsidRDefault="000F0526" w:rsidP="000F0526">
      <w:pPr>
        <w:pStyle w:val="N-Bullet"/>
        <w:rPr>
          <w:lang w:val="en-GB"/>
        </w:rPr>
      </w:pPr>
      <w:r w:rsidRPr="00726FF9">
        <w:rPr>
          <w:lang w:val="en-GB"/>
        </w:rPr>
        <w:t>Kryetari i Komisionit të Prokurimit Publik;</w:t>
      </w:r>
    </w:p>
    <w:p w14:paraId="122D28C5" w14:textId="77777777" w:rsidR="000F0526" w:rsidRPr="007C162B" w:rsidRDefault="000F0526" w:rsidP="000F0526">
      <w:pPr>
        <w:pStyle w:val="N-Bullet"/>
        <w:rPr>
          <w:lang w:val="it-IT"/>
        </w:rPr>
      </w:pPr>
      <w:r w:rsidRPr="007C162B">
        <w:rPr>
          <w:lang w:val="it-IT"/>
        </w:rPr>
        <w:t>Drejtori i Përgjithshëm i Tatimeve;</w:t>
      </w:r>
    </w:p>
    <w:p w14:paraId="6981CA55" w14:textId="77777777" w:rsidR="000F0526" w:rsidRDefault="000F0526" w:rsidP="000F0526">
      <w:pPr>
        <w:pStyle w:val="N-Bullet"/>
        <w:rPr>
          <w:lang w:val="it-IT"/>
        </w:rPr>
      </w:pPr>
      <w:r w:rsidRPr="007C162B">
        <w:rPr>
          <w:lang w:val="it-IT"/>
        </w:rPr>
        <w:t>Drejtori i Përgjithshëm i Doganave;</w:t>
      </w:r>
    </w:p>
    <w:p w14:paraId="2FD0DC09" w14:textId="65987A45" w:rsidR="00D15A1C" w:rsidRDefault="00D15A1C" w:rsidP="000F0526">
      <w:pPr>
        <w:pStyle w:val="N-Bullet"/>
        <w:rPr>
          <w:lang w:val="it-IT"/>
        </w:rPr>
      </w:pPr>
      <w:r>
        <w:rPr>
          <w:lang w:val="it-IT"/>
        </w:rPr>
        <w:t>Drejtori i Përgjithshëm i Agjencisë Shtetërore të Programimit Strategjik dhe Koordinimit të Ndihmës</w:t>
      </w:r>
    </w:p>
    <w:p w14:paraId="333C04A2" w14:textId="77777777" w:rsidR="000F0526" w:rsidRPr="00C710AE" w:rsidRDefault="000F0526" w:rsidP="000F0526">
      <w:pPr>
        <w:pStyle w:val="N-Bullet"/>
        <w:rPr>
          <w:lang w:val="it-IT"/>
        </w:rPr>
      </w:pPr>
      <w:r>
        <w:rPr>
          <w:lang w:val="it-IT"/>
        </w:rPr>
        <w:t>Kryetari i INSTAT;</w:t>
      </w:r>
    </w:p>
    <w:p w14:paraId="208A87F4" w14:textId="77777777" w:rsidR="000F0526" w:rsidRPr="007C162B" w:rsidRDefault="000F0526" w:rsidP="000F0526">
      <w:pPr>
        <w:pStyle w:val="N-Bullet"/>
        <w:rPr>
          <w:lang w:val="it-IT"/>
        </w:rPr>
      </w:pPr>
      <w:r w:rsidRPr="007C162B">
        <w:rPr>
          <w:lang w:val="it-IT"/>
        </w:rPr>
        <w:t xml:space="preserve">Të ftuar përfaqësues nga </w:t>
      </w:r>
      <w:r>
        <w:rPr>
          <w:lang w:val="it-IT"/>
        </w:rPr>
        <w:t>PZhI</w:t>
      </w:r>
      <w:r w:rsidRPr="007C162B">
        <w:rPr>
          <w:lang w:val="it-IT"/>
        </w:rPr>
        <w:t xml:space="preserve">. </w:t>
      </w:r>
    </w:p>
    <w:p w14:paraId="7D8E71F4" w14:textId="77777777" w:rsidR="000F0526" w:rsidRPr="007C162B" w:rsidRDefault="000F0526" w:rsidP="000F0526">
      <w:pPr>
        <w:spacing w:line="276" w:lineRule="auto"/>
        <w:jc w:val="both"/>
        <w:rPr>
          <w:lang w:val="it-IT"/>
        </w:rPr>
      </w:pPr>
      <w:bookmarkStart w:id="64" w:name="_Toc407032646"/>
    </w:p>
    <w:p w14:paraId="5CB6A76F" w14:textId="77777777" w:rsidR="000F0526" w:rsidRPr="009D660E" w:rsidRDefault="000F0526" w:rsidP="000F0526">
      <w:pPr>
        <w:spacing w:line="276" w:lineRule="auto"/>
        <w:jc w:val="both"/>
        <w:rPr>
          <w:lang w:val="it-IT"/>
        </w:rPr>
      </w:pPr>
      <w:r w:rsidRPr="007C162B">
        <w:rPr>
          <w:lang w:val="it-IT"/>
        </w:rPr>
        <w:t>Sekretari i Përgjithshëm i MF</w:t>
      </w:r>
      <w:r>
        <w:rPr>
          <w:lang w:val="it-IT"/>
        </w:rPr>
        <w:t>-së</w:t>
      </w:r>
      <w:r w:rsidRPr="007C162B">
        <w:rPr>
          <w:lang w:val="it-IT"/>
        </w:rPr>
        <w:t xml:space="preserve"> do të shërbejë si Sekretar i </w:t>
      </w:r>
      <w:r>
        <w:rPr>
          <w:lang w:val="it-IT"/>
        </w:rPr>
        <w:t>KD</w:t>
      </w:r>
      <w:r w:rsidRPr="007C162B">
        <w:rPr>
          <w:lang w:val="it-IT"/>
        </w:rPr>
        <w:t xml:space="preserve">. Komiteti do të mblidhet </w:t>
      </w:r>
      <w:r>
        <w:rPr>
          <w:lang w:val="it-IT"/>
        </w:rPr>
        <w:t>të paktën 1 herë në vit dhe sa herë të jetë e nevojshme</w:t>
      </w:r>
      <w:r w:rsidRPr="007C162B">
        <w:rPr>
          <w:lang w:val="it-IT"/>
        </w:rPr>
        <w:t xml:space="preserve"> për të shqyrtuar ecurinë e reformave, për të shqyrtuar r</w:t>
      </w:r>
      <w:r>
        <w:rPr>
          <w:lang w:val="it-IT"/>
        </w:rPr>
        <w:t>isqet</w:t>
      </w:r>
      <w:r w:rsidRPr="007C162B">
        <w:rPr>
          <w:lang w:val="it-IT"/>
        </w:rPr>
        <w:t xml:space="preserve"> dhe për të miratuar </w:t>
      </w:r>
      <w:r>
        <w:rPr>
          <w:lang w:val="it-IT"/>
        </w:rPr>
        <w:t>masat zbutëse</w:t>
      </w:r>
      <w:r w:rsidRPr="007C162B">
        <w:rPr>
          <w:lang w:val="it-IT"/>
        </w:rPr>
        <w:t xml:space="preserve">. </w:t>
      </w:r>
      <w:r w:rsidRPr="009D660E">
        <w:rPr>
          <w:lang w:val="it-IT"/>
        </w:rPr>
        <w:t>Sekretari i Përgjithshëm mund të ftojë çdo person tjetër në KD herë pas here.</w:t>
      </w:r>
    </w:p>
    <w:p w14:paraId="664228A9" w14:textId="77777777" w:rsidR="000F0526" w:rsidRPr="009D660E" w:rsidRDefault="000F0526" w:rsidP="000F0526">
      <w:pPr>
        <w:spacing w:line="276" w:lineRule="auto"/>
        <w:jc w:val="both"/>
        <w:rPr>
          <w:lang w:val="it-IT"/>
        </w:rPr>
      </w:pPr>
    </w:p>
    <w:p w14:paraId="131EC559" w14:textId="77777777" w:rsidR="000F0526" w:rsidRPr="009D660E" w:rsidRDefault="000F0526" w:rsidP="000F0526">
      <w:pPr>
        <w:spacing w:line="276" w:lineRule="auto"/>
        <w:jc w:val="both"/>
        <w:rPr>
          <w:b/>
          <w:bCs/>
          <w:lang w:val="it-IT"/>
        </w:rPr>
      </w:pPr>
      <w:r w:rsidRPr="009D660E">
        <w:rPr>
          <w:b/>
          <w:bCs/>
          <w:lang w:val="it-IT"/>
        </w:rPr>
        <w:t>Komiteti Teknik i MFP-së</w:t>
      </w:r>
    </w:p>
    <w:bookmarkEnd w:id="64"/>
    <w:p w14:paraId="1E8594AB" w14:textId="77777777" w:rsidR="000F0526" w:rsidRPr="009D660E" w:rsidRDefault="000F0526" w:rsidP="000F0526">
      <w:pPr>
        <w:spacing w:before="120" w:after="120" w:line="276" w:lineRule="auto"/>
        <w:jc w:val="both"/>
        <w:rPr>
          <w:lang w:val="it-IT"/>
        </w:rPr>
      </w:pPr>
      <w:r w:rsidRPr="009D660E">
        <w:rPr>
          <w:lang w:val="it-IT"/>
        </w:rPr>
        <w:t xml:space="preserve">Një Komitet Teknik (KT) që u krijua në 2017 do të vazhdojë të ketë mandatin për të katalizuar aktivitetet e reformës dhe për të koordinuar dhe monitoruar zbatimin e Produkteve sipas Komponentëve të ndryshëm të Shtyllave përkatëse. Është e rëndësishme që KT të identifikojë risqet, të planifikojë zbutjen e tyre dhe të informojë KD për këto çështje sipas rrethanave. KT kryesohet nga Sekretari i Përgjithshëm i MF-së. Komiteti mblidhet </w:t>
      </w:r>
      <w:r>
        <w:rPr>
          <w:lang w:val="it-IT"/>
        </w:rPr>
        <w:t>të paktën 1 herë në vit dhe sa herë të jetë e nevojshme</w:t>
      </w:r>
      <w:r w:rsidRPr="009D660E">
        <w:rPr>
          <w:lang w:val="it-IT"/>
        </w:rPr>
        <w:t>.</w:t>
      </w:r>
    </w:p>
    <w:p w14:paraId="05A5137B" w14:textId="77777777" w:rsidR="000F0526" w:rsidRPr="009D660E" w:rsidRDefault="000F0526" w:rsidP="000F0526">
      <w:pPr>
        <w:spacing w:line="276" w:lineRule="auto"/>
        <w:jc w:val="both"/>
        <w:rPr>
          <w:lang w:val="it-IT"/>
        </w:rPr>
      </w:pPr>
      <w:r w:rsidRPr="009D660E">
        <w:rPr>
          <w:lang w:val="it-IT"/>
        </w:rPr>
        <w:t xml:space="preserve">KD dhe KT do të mbështeten nga </w:t>
      </w:r>
      <w:r w:rsidRPr="009D660E">
        <w:rPr>
          <w:b/>
          <w:lang w:val="it-IT"/>
        </w:rPr>
        <w:t>Drejtoria përgjegjëse për Menaxhimin e Reformave të MFP-së</w:t>
      </w:r>
      <w:r w:rsidRPr="009D660E">
        <w:rPr>
          <w:lang w:val="it-IT"/>
        </w:rPr>
        <w:t>. Drejtoria do të vazhdojë të jetë përgjegjëse për monitorimin dhe raportimin mbi reformat e MFP-së:</w:t>
      </w:r>
    </w:p>
    <w:p w14:paraId="28E9015E" w14:textId="77777777" w:rsidR="000F0526" w:rsidRPr="009D660E" w:rsidRDefault="000F0526" w:rsidP="000F0526">
      <w:pPr>
        <w:pStyle w:val="N-Bullet"/>
        <w:rPr>
          <w:lang w:val="it-IT"/>
        </w:rPr>
      </w:pPr>
      <w:r w:rsidRPr="009D660E">
        <w:rPr>
          <w:lang w:val="it-IT"/>
        </w:rPr>
        <w:t>Rishikimin e raporteve të progresit të Shtyllave;</w:t>
      </w:r>
    </w:p>
    <w:p w14:paraId="0DE64905" w14:textId="77777777" w:rsidR="000F0526" w:rsidRPr="009D660E" w:rsidRDefault="000F0526" w:rsidP="000F0526">
      <w:pPr>
        <w:pStyle w:val="N-Bullet"/>
        <w:rPr>
          <w:lang w:val="it-IT"/>
        </w:rPr>
      </w:pPr>
      <w:r w:rsidRPr="009D660E">
        <w:rPr>
          <w:lang w:val="it-IT"/>
        </w:rPr>
        <w:t>Raportimin shkurt mbi progresin e MFP: arritjet; ku progresi nuk është në rrugën e duhur; sfidat dhe risqet për KT dhe KD, në bashkëpunim me Koordinatorët e Shtyllave;</w:t>
      </w:r>
    </w:p>
    <w:p w14:paraId="568BFE6F" w14:textId="77777777" w:rsidR="000F0526" w:rsidRPr="007C162B" w:rsidRDefault="000F0526" w:rsidP="000F0526">
      <w:pPr>
        <w:pStyle w:val="N-Bullet"/>
        <w:rPr>
          <w:lang w:val="it-IT"/>
        </w:rPr>
      </w:pPr>
      <w:r w:rsidRPr="007C162B">
        <w:rPr>
          <w:lang w:val="it-IT"/>
        </w:rPr>
        <w:t>Përgatitja e një Raporti Vjetor Monitorues për progresin e Strategjisë së MFP; dhe</w:t>
      </w:r>
    </w:p>
    <w:p w14:paraId="53ACDC50" w14:textId="77777777" w:rsidR="000F0526" w:rsidRPr="007C162B" w:rsidRDefault="000F0526" w:rsidP="000F0526">
      <w:pPr>
        <w:pStyle w:val="N-Bullet"/>
        <w:rPr>
          <w:lang w:val="it-IT"/>
        </w:rPr>
      </w:pPr>
      <w:r w:rsidRPr="007C162B">
        <w:rPr>
          <w:lang w:val="it-IT"/>
        </w:rPr>
        <w:t xml:space="preserve">Drejtori do të </w:t>
      </w:r>
      <w:r w:rsidRPr="00A97F35">
        <w:rPr>
          <w:lang w:val="it-IT"/>
        </w:rPr>
        <w:t>mbështesë KD-në për</w:t>
      </w:r>
      <w:r w:rsidRPr="007C162B">
        <w:rPr>
          <w:lang w:val="it-IT"/>
        </w:rPr>
        <w:t xml:space="preserve"> të siguruar që rreziqet për zbatimin e Planit të Veprimit janë identifikuar dhe rekomandimet e </w:t>
      </w:r>
      <w:r>
        <w:rPr>
          <w:lang w:val="it-IT"/>
        </w:rPr>
        <w:t>KT dhe KD</w:t>
      </w:r>
      <w:r w:rsidRPr="007C162B">
        <w:rPr>
          <w:lang w:val="it-IT"/>
        </w:rPr>
        <w:t xml:space="preserve"> janë zbatuar.</w:t>
      </w:r>
    </w:p>
    <w:p w14:paraId="298CC9CC" w14:textId="77777777" w:rsidR="000F0526" w:rsidRPr="007C162B" w:rsidRDefault="000F0526" w:rsidP="000F0526">
      <w:pPr>
        <w:spacing w:line="276" w:lineRule="auto"/>
        <w:jc w:val="both"/>
        <w:rPr>
          <w:lang w:val="it-IT"/>
        </w:rPr>
      </w:pPr>
    </w:p>
    <w:p w14:paraId="19265DB2" w14:textId="77777777" w:rsidR="000F0526" w:rsidRPr="009D660E" w:rsidRDefault="000F0526" w:rsidP="000F0526">
      <w:pPr>
        <w:spacing w:line="276" w:lineRule="auto"/>
        <w:jc w:val="both"/>
        <w:rPr>
          <w:lang w:val="it-IT"/>
        </w:rPr>
      </w:pPr>
      <w:r w:rsidRPr="00A97F35">
        <w:rPr>
          <w:lang w:val="it-IT"/>
        </w:rPr>
        <w:t>KD i MFP-së</w:t>
      </w:r>
      <w:r w:rsidRPr="007C162B">
        <w:rPr>
          <w:lang w:val="it-IT"/>
        </w:rPr>
        <w:t xml:space="preserve"> do të përdoret si një forum për dialog dhe reagime nga partnerët e jashtëm të Shqipërisë mbi Strategjinë e MFP-së dhe zbatimin e saj. Takimet </w:t>
      </w:r>
      <w:r>
        <w:rPr>
          <w:lang w:val="it-IT"/>
        </w:rPr>
        <w:t>dedikuar</w:t>
      </w:r>
      <w:r w:rsidRPr="007C162B">
        <w:rPr>
          <w:lang w:val="it-IT"/>
        </w:rPr>
        <w:t xml:space="preserve"> reformave të MFP-së do të mbahen të paktën në baza vjetore.</w:t>
      </w:r>
      <w:r w:rsidRPr="009D660E">
        <w:rPr>
          <w:lang w:val="it-IT"/>
        </w:rPr>
        <w:t xml:space="preserve"> </w:t>
      </w:r>
    </w:p>
    <w:p w14:paraId="7AC5D792" w14:textId="77777777" w:rsidR="007C5F11" w:rsidRPr="009D660E" w:rsidRDefault="007C5F11" w:rsidP="000F0526">
      <w:pPr>
        <w:spacing w:line="276" w:lineRule="auto"/>
        <w:jc w:val="both"/>
        <w:rPr>
          <w:lang w:val="it-IT"/>
        </w:rPr>
      </w:pPr>
    </w:p>
    <w:p w14:paraId="6FE52D2F" w14:textId="77777777" w:rsidR="000F0526" w:rsidRPr="009D660E" w:rsidRDefault="000F0526" w:rsidP="000F0526">
      <w:pPr>
        <w:spacing w:line="276" w:lineRule="auto"/>
        <w:jc w:val="both"/>
        <w:rPr>
          <w:lang w:val="it-IT"/>
        </w:rPr>
      </w:pPr>
    </w:p>
    <w:p w14:paraId="4B8856F6" w14:textId="77777777" w:rsidR="00D757FD" w:rsidRPr="009D660E" w:rsidRDefault="00D757FD" w:rsidP="000F0526">
      <w:pPr>
        <w:spacing w:line="276" w:lineRule="auto"/>
        <w:jc w:val="both"/>
        <w:rPr>
          <w:lang w:val="it-IT"/>
        </w:rPr>
      </w:pPr>
    </w:p>
    <w:p w14:paraId="487CF787" w14:textId="77777777" w:rsidR="00D757FD" w:rsidRPr="009D660E" w:rsidRDefault="00D757FD" w:rsidP="000F0526">
      <w:pPr>
        <w:spacing w:line="276" w:lineRule="auto"/>
        <w:jc w:val="both"/>
        <w:rPr>
          <w:lang w:val="it-IT"/>
        </w:rPr>
      </w:pPr>
    </w:p>
    <w:p w14:paraId="460354C4" w14:textId="40831080" w:rsidR="000F0526" w:rsidRPr="001F151E" w:rsidRDefault="000F0526" w:rsidP="000F0526">
      <w:pPr>
        <w:pStyle w:val="Heading1"/>
        <w:spacing w:line="276" w:lineRule="auto"/>
        <w:jc w:val="both"/>
        <w:rPr>
          <w:lang w:val="en-GB"/>
        </w:rPr>
      </w:pPr>
      <w:bookmarkStart w:id="65" w:name="_Toc161748842"/>
      <w:r>
        <w:rPr>
          <w:rStyle w:val="rynqvb"/>
        </w:rPr>
        <w:t xml:space="preserve">Risqet dhe </w:t>
      </w:r>
      <w:r w:rsidR="00B57EF8">
        <w:rPr>
          <w:rStyle w:val="rynqvb"/>
        </w:rPr>
        <w:t>masat zbutëse</w:t>
      </w:r>
      <w:bookmarkEnd w:id="65"/>
    </w:p>
    <w:p w14:paraId="08D7C43D" w14:textId="77777777" w:rsidR="000F0526" w:rsidRPr="001F151E" w:rsidRDefault="000F0526" w:rsidP="000F0526">
      <w:pPr>
        <w:spacing w:line="276" w:lineRule="auto"/>
        <w:jc w:val="both"/>
        <w:rPr>
          <w:lang w:val="en-GB"/>
        </w:rPr>
      </w:pPr>
    </w:p>
    <w:p w14:paraId="58901440" w14:textId="77777777" w:rsidR="000F0526" w:rsidRPr="001F151E" w:rsidRDefault="000F0526" w:rsidP="000F0526">
      <w:pPr>
        <w:spacing w:line="276" w:lineRule="auto"/>
        <w:jc w:val="both"/>
        <w:rPr>
          <w:lang w:val="en-GB"/>
        </w:rPr>
      </w:pPr>
      <w:r w:rsidRPr="00C34628">
        <w:rPr>
          <w:lang w:val="en-GB"/>
        </w:rPr>
        <w:t>Për të siguruar menaxhimin efektiv të reformave, duke u mbështetur nga përvoja e fituar midis 2014 dhe 2022, është e domosdoshme një qasje më proaktive për menaxhimin e ri</w:t>
      </w:r>
      <w:r>
        <w:rPr>
          <w:lang w:val="en-GB"/>
        </w:rPr>
        <w:t>s</w:t>
      </w:r>
      <w:r w:rsidRPr="00C34628">
        <w:rPr>
          <w:lang w:val="en-GB"/>
        </w:rPr>
        <w:t xml:space="preserve">kut. Kjo përfshin jo vetëm adresimin e </w:t>
      </w:r>
      <w:r>
        <w:rPr>
          <w:lang w:val="en-GB"/>
        </w:rPr>
        <w:t>risqeve</w:t>
      </w:r>
      <w:r w:rsidRPr="00C34628">
        <w:rPr>
          <w:lang w:val="en-GB"/>
        </w:rPr>
        <w:t xml:space="preserve"> që lidhen me zbatimin e aktiviteteve, por edhe marrjen parasysh të </w:t>
      </w:r>
      <w:r>
        <w:rPr>
          <w:lang w:val="en-GB"/>
        </w:rPr>
        <w:t>ris</w:t>
      </w:r>
      <w:r w:rsidRPr="00C34628">
        <w:rPr>
          <w:lang w:val="en-GB"/>
        </w:rPr>
        <w:t xml:space="preserve">qeve të mundshme për objektivat kryesore të </w:t>
      </w:r>
      <w:r>
        <w:rPr>
          <w:lang w:val="en-GB"/>
        </w:rPr>
        <w:t>Shtyllave</w:t>
      </w:r>
      <w:r w:rsidRPr="00C34628">
        <w:rPr>
          <w:lang w:val="en-GB"/>
        </w:rPr>
        <w:t xml:space="preserve"> dhe komponentëve të tyre përkatës. Kështu, vëmendja e shtuar do t'i drejtohet </w:t>
      </w:r>
      <w:r>
        <w:rPr>
          <w:lang w:val="en-GB"/>
        </w:rPr>
        <w:t xml:space="preserve">Risqeved he Planit të </w:t>
      </w:r>
      <w:r w:rsidRPr="00C34628">
        <w:rPr>
          <w:lang w:val="en-GB"/>
        </w:rPr>
        <w:t xml:space="preserve">Zbutjes, i cili do të jetë një dokument dinamik që do të jetë një pjesë integrale e </w:t>
      </w:r>
      <w:r>
        <w:rPr>
          <w:lang w:val="en-GB"/>
        </w:rPr>
        <w:t>kuadrit</w:t>
      </w:r>
      <w:r w:rsidRPr="00C34628">
        <w:rPr>
          <w:lang w:val="en-GB"/>
        </w:rPr>
        <w:t xml:space="preserve"> të raportimit </w:t>
      </w:r>
      <w:r>
        <w:rPr>
          <w:lang w:val="en-GB"/>
        </w:rPr>
        <w:t xml:space="preserve">të rregullt </w:t>
      </w:r>
      <w:r w:rsidRPr="00C34628">
        <w:rPr>
          <w:lang w:val="en-GB"/>
        </w:rPr>
        <w:t>të përshkruar në aranzhimet e qeverisjes të përmendura më herët.</w:t>
      </w:r>
    </w:p>
    <w:p w14:paraId="2A65CF04" w14:textId="77777777" w:rsidR="000F0526" w:rsidRPr="001F151E" w:rsidRDefault="000F0526" w:rsidP="000F0526">
      <w:pPr>
        <w:spacing w:line="276" w:lineRule="auto"/>
        <w:jc w:val="both"/>
        <w:rPr>
          <w:lang w:val="en-GB"/>
        </w:rPr>
      </w:pPr>
    </w:p>
    <w:p w14:paraId="1EC39848" w14:textId="77777777" w:rsidR="000F0526" w:rsidRPr="001F151E" w:rsidRDefault="000F0526" w:rsidP="000F0526">
      <w:pPr>
        <w:spacing w:line="276" w:lineRule="auto"/>
        <w:jc w:val="both"/>
        <w:rPr>
          <w:lang w:val="en-GB"/>
        </w:rPr>
      </w:pPr>
      <w:r w:rsidRPr="00795F6F">
        <w:rPr>
          <w:lang w:val="en-GB"/>
        </w:rPr>
        <w:t xml:space="preserve">Drejtuesit e </w:t>
      </w:r>
      <w:r>
        <w:rPr>
          <w:lang w:val="en-GB"/>
        </w:rPr>
        <w:t>Shtyllave</w:t>
      </w:r>
      <w:r w:rsidRPr="00795F6F">
        <w:rPr>
          <w:lang w:val="en-GB"/>
        </w:rPr>
        <w:t>/</w:t>
      </w:r>
      <w:r>
        <w:rPr>
          <w:lang w:val="en-GB"/>
        </w:rPr>
        <w:t>K</w:t>
      </w:r>
      <w:r w:rsidRPr="00795F6F">
        <w:rPr>
          <w:lang w:val="en-GB"/>
        </w:rPr>
        <w:t xml:space="preserve">omponentëve kanë për detyrë monitorimin e vazhdueshëm të zbatimit të Planit të Veprimit të Strategjisë, me fokus të veçantë në propozimin e </w:t>
      </w:r>
      <w:r>
        <w:rPr>
          <w:lang w:val="en-GB"/>
        </w:rPr>
        <w:t>masave</w:t>
      </w:r>
      <w:r w:rsidRPr="00795F6F">
        <w:rPr>
          <w:lang w:val="en-GB"/>
        </w:rPr>
        <w:t xml:space="preserve"> zbutëse sa herë që materializohen </w:t>
      </w:r>
      <w:r>
        <w:rPr>
          <w:lang w:val="en-GB"/>
        </w:rPr>
        <w:t>risqet</w:t>
      </w:r>
      <w:r w:rsidRPr="00795F6F">
        <w:rPr>
          <w:lang w:val="en-GB"/>
        </w:rPr>
        <w:t xml:space="preserve"> e identifikuara. Paragrafët e mëposhtëm theksojnë r</w:t>
      </w:r>
      <w:r>
        <w:rPr>
          <w:lang w:val="en-GB"/>
        </w:rPr>
        <w:t>is</w:t>
      </w:r>
      <w:r w:rsidRPr="00795F6F">
        <w:rPr>
          <w:lang w:val="en-GB"/>
        </w:rPr>
        <w:t>qet kryesore që lidhen me zbatimin e Strategjisë së MFP-së, të shoqëruara me</w:t>
      </w:r>
      <w:r>
        <w:rPr>
          <w:lang w:val="en-GB"/>
        </w:rPr>
        <w:t xml:space="preserve"> informacion</w:t>
      </w:r>
      <w:r w:rsidRPr="00795F6F">
        <w:rPr>
          <w:lang w:val="en-GB"/>
        </w:rPr>
        <w:t xml:space="preserve"> se si këto sfida mund të zbuten në mënyrë efektive.</w:t>
      </w:r>
    </w:p>
    <w:p w14:paraId="50B5D51A" w14:textId="77777777" w:rsidR="000F0526" w:rsidRDefault="000F0526" w:rsidP="000F0526">
      <w:pPr>
        <w:spacing w:line="276" w:lineRule="auto"/>
        <w:jc w:val="both"/>
        <w:rPr>
          <w:bCs/>
          <w:lang w:val="en-GB"/>
        </w:rPr>
      </w:pPr>
    </w:p>
    <w:p w14:paraId="6ABD2334" w14:textId="77777777" w:rsidR="000F0526" w:rsidRPr="001F151E" w:rsidRDefault="000F0526" w:rsidP="000F0526">
      <w:pPr>
        <w:spacing w:line="276" w:lineRule="auto"/>
        <w:jc w:val="both"/>
        <w:rPr>
          <w:lang w:val="en-GB"/>
        </w:rPr>
      </w:pPr>
      <w:r w:rsidRPr="007C5F11">
        <w:rPr>
          <w:b/>
          <w:bCs/>
          <w:lang w:val="en-GB"/>
        </w:rPr>
        <w:t>Risku politik</w:t>
      </w:r>
      <w:r w:rsidRPr="00CF3DAD">
        <w:rPr>
          <w:lang w:val="en-GB"/>
        </w:rPr>
        <w:t xml:space="preserve"> -</w:t>
      </w:r>
      <w:r w:rsidRPr="00795F6F">
        <w:rPr>
          <w:lang w:val="en-GB"/>
        </w:rPr>
        <w:t xml:space="preserve"> Tranzicionet politike, ndryshimet në udhëheqje ose ndryshimi i prioriteteve mund të rezultojnë në një angazhim të lëkundur ndaj axhendës së reformës. Për të zbutur këtë </w:t>
      </w:r>
      <w:r>
        <w:rPr>
          <w:lang w:val="en-GB"/>
        </w:rPr>
        <w:t>ris</w:t>
      </w:r>
      <w:r w:rsidRPr="00795F6F">
        <w:rPr>
          <w:lang w:val="en-GB"/>
        </w:rPr>
        <w:t>k:</w:t>
      </w:r>
    </w:p>
    <w:p w14:paraId="74FC7D25" w14:textId="77777777" w:rsidR="000F0526" w:rsidRPr="001F151E" w:rsidRDefault="000F0526" w:rsidP="000F0526">
      <w:pPr>
        <w:pStyle w:val="N-Bullet"/>
        <w:spacing w:line="276" w:lineRule="auto"/>
        <w:jc w:val="both"/>
        <w:rPr>
          <w:lang w:val="en-GB"/>
        </w:rPr>
      </w:pPr>
      <w:r w:rsidRPr="00795F6F">
        <w:rPr>
          <w:lang w:val="en-GB"/>
        </w:rPr>
        <w:t>Rritja e ndërgjegjësimit midis liderëve politikë dhe vendimmarrësve kryesorë në lidhje me rëndësinë dhe përfitimet e reformave të MFP;</w:t>
      </w:r>
    </w:p>
    <w:p w14:paraId="1559ECEE" w14:textId="77777777" w:rsidR="000F0526" w:rsidRPr="001F151E" w:rsidRDefault="000F0526" w:rsidP="000F0526">
      <w:pPr>
        <w:pStyle w:val="N-Bullet"/>
        <w:spacing w:line="276" w:lineRule="auto"/>
        <w:jc w:val="both"/>
        <w:rPr>
          <w:lang w:val="en-GB"/>
        </w:rPr>
      </w:pPr>
      <w:r w:rsidRPr="00795F6F">
        <w:rPr>
          <w:lang w:val="en-GB"/>
        </w:rPr>
        <w:t>Sigurimi i integrimit të reformave të MFP-së në planet dhe strategjitë më të gjera të qeverisë;</w:t>
      </w:r>
    </w:p>
    <w:p w14:paraId="35E31CEF" w14:textId="77777777" w:rsidR="000F0526" w:rsidRPr="001F151E" w:rsidRDefault="000F0526" w:rsidP="000F0526">
      <w:pPr>
        <w:pStyle w:val="N-Bullet"/>
        <w:spacing w:line="276" w:lineRule="auto"/>
        <w:jc w:val="both"/>
        <w:rPr>
          <w:lang w:val="en-GB"/>
        </w:rPr>
      </w:pPr>
      <w:r w:rsidRPr="00795F6F">
        <w:rPr>
          <w:lang w:val="en-GB"/>
        </w:rPr>
        <w:t xml:space="preserve">Kryerja e fushatave të ndërgjegjësimit të publikut për të </w:t>
      </w:r>
      <w:r>
        <w:rPr>
          <w:lang w:val="en-GB"/>
        </w:rPr>
        <w:t>informuar</w:t>
      </w:r>
      <w:r w:rsidRPr="00795F6F">
        <w:rPr>
          <w:lang w:val="en-GB"/>
        </w:rPr>
        <w:t xml:space="preserve"> qytetarët mbi rëndësinë e reformave të MFP-së, duke shfrytëzuar mbështetjen publike për të ndikuar në prioritizimin dhe qëndrueshmërinë politike.</w:t>
      </w:r>
    </w:p>
    <w:p w14:paraId="64D9D8AF" w14:textId="77777777" w:rsidR="000F0526" w:rsidRPr="001F151E" w:rsidRDefault="000F0526" w:rsidP="000F0526">
      <w:pPr>
        <w:spacing w:line="276" w:lineRule="auto"/>
        <w:jc w:val="both"/>
        <w:rPr>
          <w:bCs/>
          <w:lang w:val="en-GB"/>
        </w:rPr>
      </w:pPr>
    </w:p>
    <w:p w14:paraId="145AA5F1" w14:textId="77777777" w:rsidR="000F0526" w:rsidRPr="001F151E" w:rsidRDefault="000F0526" w:rsidP="000F0526">
      <w:pPr>
        <w:spacing w:line="276" w:lineRule="auto"/>
        <w:jc w:val="both"/>
        <w:rPr>
          <w:lang w:val="en-GB"/>
        </w:rPr>
      </w:pPr>
      <w:r w:rsidRPr="007C5F11">
        <w:rPr>
          <w:b/>
          <w:bCs/>
          <w:lang w:val="en-GB"/>
        </w:rPr>
        <w:t>Risqet institucionale</w:t>
      </w:r>
      <w:r w:rsidRPr="00752C4F">
        <w:rPr>
          <w:lang w:val="en-GB"/>
        </w:rPr>
        <w:t xml:space="preserve"> - Kapaciteti dhe aftësitë e pamjaftueshme brenda institucioneve qeveritare paraqesin </w:t>
      </w:r>
      <w:r>
        <w:rPr>
          <w:lang w:val="en-GB"/>
        </w:rPr>
        <w:t>risq</w:t>
      </w:r>
      <w:r w:rsidRPr="00752C4F">
        <w:rPr>
          <w:lang w:val="en-GB"/>
        </w:rPr>
        <w:t>e të konsiderueshme për reformat e MFP</w:t>
      </w:r>
      <w:r>
        <w:rPr>
          <w:lang w:val="en-GB"/>
        </w:rPr>
        <w:t>-së</w:t>
      </w:r>
      <w:r w:rsidRPr="00752C4F">
        <w:rPr>
          <w:lang w:val="en-GB"/>
        </w:rPr>
        <w:t xml:space="preserve">. Për të zbutur </w:t>
      </w:r>
      <w:r w:rsidRPr="00AE4F17">
        <w:rPr>
          <w:lang w:val="en-GB"/>
        </w:rPr>
        <w:t>kët</w:t>
      </w:r>
      <w:r>
        <w:rPr>
          <w:lang w:val="en-GB"/>
        </w:rPr>
        <w:t>o</w:t>
      </w:r>
      <w:r w:rsidRPr="00AE4F17">
        <w:rPr>
          <w:lang w:val="en-GB"/>
        </w:rPr>
        <w:t xml:space="preserve"> ris</w:t>
      </w:r>
      <w:r>
        <w:rPr>
          <w:lang w:val="en-GB"/>
        </w:rPr>
        <w:t>qe</w:t>
      </w:r>
      <w:r w:rsidRPr="00AE4F17">
        <w:rPr>
          <w:lang w:val="en-GB"/>
        </w:rPr>
        <w:t>:</w:t>
      </w:r>
    </w:p>
    <w:p w14:paraId="749CC565" w14:textId="77777777" w:rsidR="000F0526" w:rsidRPr="001F151E" w:rsidRDefault="000F0526" w:rsidP="000F0526">
      <w:pPr>
        <w:pStyle w:val="N-Bullet"/>
        <w:spacing w:line="276" w:lineRule="auto"/>
        <w:jc w:val="both"/>
        <w:rPr>
          <w:lang w:val="en-GB"/>
        </w:rPr>
      </w:pPr>
      <w:r w:rsidRPr="00752C4F">
        <w:rPr>
          <w:lang w:val="en-GB"/>
        </w:rPr>
        <w:t xml:space="preserve">MF-ja dhe institucionet e tjera të përfshira janë të përkushtuara për të investuar në një vlerësim gjithëpërfshirës të nevojave për trajnim dhe zhvillimin e </w:t>
      </w:r>
      <w:r w:rsidRPr="00AE4F17">
        <w:rPr>
          <w:lang w:val="en-GB"/>
        </w:rPr>
        <w:t>programeve të përshtatura të trajnimit;</w:t>
      </w:r>
    </w:p>
    <w:p w14:paraId="3D4DB265" w14:textId="77777777" w:rsidR="000F0526" w:rsidRPr="001F151E" w:rsidRDefault="000F0526" w:rsidP="000F0526">
      <w:pPr>
        <w:pStyle w:val="N-Bullet"/>
        <w:spacing w:line="276" w:lineRule="auto"/>
        <w:jc w:val="both"/>
        <w:rPr>
          <w:lang w:val="en-GB"/>
        </w:rPr>
      </w:pPr>
      <w:r w:rsidRPr="00752C4F">
        <w:rPr>
          <w:lang w:val="en-GB"/>
        </w:rPr>
        <w:t xml:space="preserve">Forcimi i bashkëpunimit me </w:t>
      </w:r>
      <w:r>
        <w:rPr>
          <w:lang w:val="en-GB"/>
        </w:rPr>
        <w:t>ShShAP</w:t>
      </w:r>
      <w:r w:rsidRPr="00752C4F">
        <w:rPr>
          <w:lang w:val="en-GB"/>
        </w:rPr>
        <w:t xml:space="preserve"> dhe organizatat ndërkombëtare për mbështetje shtesë;</w:t>
      </w:r>
    </w:p>
    <w:p w14:paraId="68C1AC86" w14:textId="77777777" w:rsidR="000F0526" w:rsidRPr="001F151E" w:rsidRDefault="000F0526" w:rsidP="000F0526">
      <w:pPr>
        <w:pStyle w:val="N-Bullet"/>
        <w:spacing w:line="276" w:lineRule="auto"/>
        <w:jc w:val="both"/>
        <w:rPr>
          <w:lang w:val="en-GB"/>
        </w:rPr>
      </w:pPr>
      <w:r w:rsidRPr="008B049E">
        <w:rPr>
          <w:lang w:val="en-GB"/>
        </w:rPr>
        <w:t>Mbajtja e angazhimit të vazhdueshëm në investimet e kapitalit njerëzor, duke e njohur atë si thelbësore për ruajtjen e rezultateve pozitive.</w:t>
      </w:r>
    </w:p>
    <w:p w14:paraId="690476BB" w14:textId="77777777" w:rsidR="000F0526" w:rsidRPr="001F151E" w:rsidRDefault="000F0526" w:rsidP="000F0526">
      <w:pPr>
        <w:spacing w:line="276" w:lineRule="auto"/>
        <w:jc w:val="both"/>
        <w:rPr>
          <w:rFonts w:eastAsia="Times New Roman"/>
          <w:lang w:val="en-GB"/>
        </w:rPr>
      </w:pPr>
    </w:p>
    <w:p w14:paraId="6B4BCCE8" w14:textId="77777777" w:rsidR="000F0526" w:rsidRPr="001F151E" w:rsidRDefault="000F0526" w:rsidP="000F0526">
      <w:pPr>
        <w:spacing w:line="276" w:lineRule="auto"/>
        <w:jc w:val="both"/>
        <w:rPr>
          <w:rFonts w:eastAsia="Times New Roman"/>
          <w:lang w:val="en-GB"/>
        </w:rPr>
      </w:pPr>
      <w:r w:rsidRPr="007C5F11">
        <w:rPr>
          <w:rFonts w:eastAsia="Times New Roman"/>
          <w:b/>
          <w:bCs/>
          <w:lang w:val="en-GB"/>
        </w:rPr>
        <w:t>Risku ligjor</w:t>
      </w:r>
      <w:r w:rsidRPr="008B049E">
        <w:rPr>
          <w:rFonts w:eastAsia="Times New Roman"/>
          <w:lang w:val="en-GB"/>
        </w:rPr>
        <w:t xml:space="preserve"> – ndryshimet rregullatore të planifikuara vonohen. Për të zbutur këtë r</w:t>
      </w:r>
      <w:r>
        <w:rPr>
          <w:rFonts w:eastAsia="Times New Roman"/>
          <w:lang w:val="en-GB"/>
        </w:rPr>
        <w:t>isk</w:t>
      </w:r>
      <w:r w:rsidRPr="008B049E">
        <w:rPr>
          <w:rFonts w:eastAsia="Times New Roman"/>
          <w:lang w:val="en-GB"/>
        </w:rPr>
        <w:t>:</w:t>
      </w:r>
    </w:p>
    <w:p w14:paraId="5600CC7A" w14:textId="77777777" w:rsidR="000F0526" w:rsidRPr="001F151E" w:rsidRDefault="000F0526" w:rsidP="000F0526">
      <w:pPr>
        <w:pStyle w:val="N-Bullet"/>
        <w:rPr>
          <w:lang w:val="en-GB"/>
        </w:rPr>
      </w:pPr>
      <w:r w:rsidRPr="008B049E">
        <w:rPr>
          <w:lang w:val="en-GB"/>
        </w:rPr>
        <w:t>Krijimi i kanaleve të rregullta të komunikimit me organet përkatëse rregullatore të përfshira në reformën e MFP;</w:t>
      </w:r>
    </w:p>
    <w:p w14:paraId="77B1493F" w14:textId="77777777" w:rsidR="000F0526" w:rsidRPr="001F151E" w:rsidRDefault="000F0526" w:rsidP="000F0526">
      <w:pPr>
        <w:pStyle w:val="N-Bullet"/>
        <w:rPr>
          <w:lang w:val="en-GB"/>
        </w:rPr>
      </w:pPr>
      <w:r w:rsidRPr="000A5F5B">
        <w:rPr>
          <w:lang w:val="en-GB"/>
        </w:rPr>
        <w:t>Kërk</w:t>
      </w:r>
      <w:r>
        <w:rPr>
          <w:lang w:val="en-GB"/>
        </w:rPr>
        <w:t>imi i</w:t>
      </w:r>
      <w:r w:rsidRPr="000A5F5B">
        <w:rPr>
          <w:lang w:val="en-GB"/>
        </w:rPr>
        <w:t xml:space="preserve"> mbështetje</w:t>
      </w:r>
      <w:r>
        <w:rPr>
          <w:lang w:val="en-GB"/>
        </w:rPr>
        <w:t>s</w:t>
      </w:r>
      <w:r w:rsidRPr="000A5F5B">
        <w:rPr>
          <w:lang w:val="en-GB"/>
        </w:rPr>
        <w:t xml:space="preserve"> nga liderët politikë dhe institucionet kyçe për të dhënë prioritet dhe për të lehtësuar zbatimin e ndryshimeve rregullatore;</w:t>
      </w:r>
    </w:p>
    <w:p w14:paraId="6753E96D" w14:textId="77777777" w:rsidR="000F0526" w:rsidRPr="001F151E" w:rsidRDefault="000F0526" w:rsidP="000F0526">
      <w:pPr>
        <w:pStyle w:val="N-Bullet"/>
        <w:rPr>
          <w:lang w:val="en-GB"/>
        </w:rPr>
      </w:pPr>
      <w:r w:rsidRPr="000A5F5B">
        <w:rPr>
          <w:lang w:val="en-GB"/>
        </w:rPr>
        <w:t>Avok</w:t>
      </w:r>
      <w:r>
        <w:rPr>
          <w:lang w:val="en-GB"/>
        </w:rPr>
        <w:t>imi</w:t>
      </w:r>
      <w:r w:rsidRPr="000A5F5B">
        <w:rPr>
          <w:lang w:val="en-GB"/>
        </w:rPr>
        <w:t xml:space="preserve"> për rëndësinë e reformave rregullatore në kohë për të arritur objektivat më të gjera të reformës së MFP.</w:t>
      </w:r>
    </w:p>
    <w:p w14:paraId="192ED809" w14:textId="77777777" w:rsidR="000F0526" w:rsidRPr="001F151E" w:rsidRDefault="000F0526" w:rsidP="000F0526">
      <w:pPr>
        <w:spacing w:line="276" w:lineRule="auto"/>
        <w:jc w:val="both"/>
        <w:rPr>
          <w:bCs/>
          <w:lang w:val="en-GB"/>
        </w:rPr>
      </w:pPr>
    </w:p>
    <w:p w14:paraId="35229827" w14:textId="77777777" w:rsidR="000F0526" w:rsidRPr="001F151E" w:rsidRDefault="000F0526" w:rsidP="000F0526">
      <w:pPr>
        <w:spacing w:line="276" w:lineRule="auto"/>
        <w:jc w:val="both"/>
        <w:rPr>
          <w:lang w:val="en-GB"/>
        </w:rPr>
      </w:pPr>
      <w:r w:rsidRPr="007C5F11">
        <w:rPr>
          <w:b/>
          <w:bCs/>
          <w:lang w:val="en-GB"/>
        </w:rPr>
        <w:t>Risqet financiare</w:t>
      </w:r>
      <w:r w:rsidRPr="000A5F5B">
        <w:rPr>
          <w:lang w:val="en-GB"/>
        </w:rPr>
        <w:t xml:space="preserve"> - Burimet e kufizuara financiare mund të pengojnë zbatimin e reformave gjithëpërfshirëse të MFP. Për të zbutur kët</w:t>
      </w:r>
      <w:r>
        <w:rPr>
          <w:lang w:val="en-GB"/>
        </w:rPr>
        <w:t>o risqe</w:t>
      </w:r>
      <w:r w:rsidRPr="000A5F5B">
        <w:rPr>
          <w:lang w:val="en-GB"/>
        </w:rPr>
        <w:t>:</w:t>
      </w:r>
    </w:p>
    <w:p w14:paraId="0B33E391" w14:textId="77777777" w:rsidR="000F0526" w:rsidRPr="001F151E" w:rsidRDefault="000F0526" w:rsidP="000F0526">
      <w:pPr>
        <w:pStyle w:val="N-Bullet"/>
        <w:rPr>
          <w:lang w:val="en-GB"/>
        </w:rPr>
      </w:pPr>
      <w:r w:rsidRPr="001E2DFA">
        <w:rPr>
          <w:lang w:val="en-GB"/>
        </w:rPr>
        <w:t>Kryerja e një rishikimi të plotë të burimeve të nevojshme për zbatimin e tij;</w:t>
      </w:r>
    </w:p>
    <w:p w14:paraId="60ADEB85" w14:textId="77777777" w:rsidR="000F0526" w:rsidRPr="001F151E" w:rsidRDefault="000F0526" w:rsidP="000F0526">
      <w:pPr>
        <w:pStyle w:val="N-Bullet"/>
        <w:rPr>
          <w:lang w:val="en-GB"/>
        </w:rPr>
      </w:pPr>
      <w:r>
        <w:rPr>
          <w:lang w:val="en-GB"/>
        </w:rPr>
        <w:t>Marrja në konsideratë e</w:t>
      </w:r>
      <w:r w:rsidRPr="001E2DFA">
        <w:rPr>
          <w:lang w:val="en-GB"/>
        </w:rPr>
        <w:t xml:space="preserve"> një qasje</w:t>
      </w:r>
      <w:r>
        <w:rPr>
          <w:lang w:val="en-GB"/>
        </w:rPr>
        <w:t>je</w:t>
      </w:r>
      <w:r w:rsidRPr="001E2DFA">
        <w:rPr>
          <w:lang w:val="en-GB"/>
        </w:rPr>
        <w:t xml:space="preserve"> të zbatimit me faza nëse është e nevojshme;</w:t>
      </w:r>
    </w:p>
    <w:p w14:paraId="0B312FDA" w14:textId="77777777" w:rsidR="000F0526" w:rsidRPr="009D660E" w:rsidRDefault="000F0526" w:rsidP="000F0526">
      <w:pPr>
        <w:pStyle w:val="N-Bullet"/>
        <w:rPr>
          <w:lang w:val="it-IT"/>
        </w:rPr>
      </w:pPr>
      <w:r w:rsidRPr="009D660E">
        <w:rPr>
          <w:lang w:val="it-IT"/>
        </w:rPr>
        <w:t>Eksplorimi i burimeve alternative të financimit, duke përfshirë financimin e donatorëve ndërkombëtarë.</w:t>
      </w:r>
    </w:p>
    <w:p w14:paraId="79056C33" w14:textId="77777777" w:rsidR="000F0526" w:rsidRPr="009D660E" w:rsidRDefault="000F0526" w:rsidP="000F0526">
      <w:pPr>
        <w:spacing w:line="276" w:lineRule="auto"/>
        <w:jc w:val="both"/>
        <w:rPr>
          <w:bCs/>
          <w:lang w:val="it-IT"/>
        </w:rPr>
      </w:pPr>
    </w:p>
    <w:p w14:paraId="6014CE98" w14:textId="77777777" w:rsidR="000F0526" w:rsidRPr="001F151E" w:rsidRDefault="000F0526" w:rsidP="000F0526">
      <w:pPr>
        <w:spacing w:line="276" w:lineRule="auto"/>
        <w:jc w:val="both"/>
        <w:rPr>
          <w:lang w:val="en-GB"/>
        </w:rPr>
      </w:pPr>
      <w:r w:rsidRPr="009D660E">
        <w:rPr>
          <w:b/>
          <w:bCs/>
          <w:lang w:val="it-IT"/>
        </w:rPr>
        <w:t>Risku teknologjik</w:t>
      </w:r>
      <w:r w:rsidRPr="009D660E">
        <w:rPr>
          <w:lang w:val="it-IT"/>
        </w:rPr>
        <w:t xml:space="preserve"> - Ndërsa reformat e MFP-së mbështeten gjithnjë e më shumë në teknologji, risku i kërcënimeve të sigurisë kibernetike rritet. </w:t>
      </w:r>
      <w:r w:rsidRPr="001E2DFA">
        <w:rPr>
          <w:lang w:val="en-GB"/>
        </w:rPr>
        <w:t xml:space="preserve">Për të zbutur këtë </w:t>
      </w:r>
      <w:r>
        <w:rPr>
          <w:lang w:val="en-GB"/>
        </w:rPr>
        <w:t>risk</w:t>
      </w:r>
      <w:r w:rsidRPr="001E2DFA">
        <w:rPr>
          <w:lang w:val="en-GB"/>
        </w:rPr>
        <w:t>:</w:t>
      </w:r>
    </w:p>
    <w:p w14:paraId="194696FB" w14:textId="77777777" w:rsidR="000F0526" w:rsidRPr="001F151E" w:rsidRDefault="000F0526" w:rsidP="000F0526">
      <w:pPr>
        <w:pStyle w:val="N-Bullet"/>
        <w:rPr>
          <w:rFonts w:eastAsia="Times New Roman"/>
          <w:lang w:val="en-GB"/>
        </w:rPr>
      </w:pPr>
      <w:r w:rsidRPr="001E2DFA">
        <w:rPr>
          <w:lang w:val="en-GB"/>
        </w:rPr>
        <w:t>Formul</w:t>
      </w:r>
      <w:r>
        <w:rPr>
          <w:lang w:val="en-GB"/>
        </w:rPr>
        <w:t>imi i</w:t>
      </w:r>
      <w:r w:rsidRPr="001E2DFA">
        <w:rPr>
          <w:lang w:val="en-GB"/>
        </w:rPr>
        <w:t xml:space="preserve"> një politik</w:t>
      </w:r>
      <w:r>
        <w:rPr>
          <w:lang w:val="en-GB"/>
        </w:rPr>
        <w:t>e</w:t>
      </w:r>
      <w:r w:rsidRPr="001E2DFA">
        <w:rPr>
          <w:lang w:val="en-GB"/>
        </w:rPr>
        <w:t xml:space="preserve"> gjithëpërfshirëse të sigurisë kibernetike që përshkruan standardet, protokollet dhe udhëzimet për mbrojtjen e sistemeve të informacionit;</w:t>
      </w:r>
    </w:p>
    <w:p w14:paraId="441AD507" w14:textId="77777777" w:rsidR="000F0526" w:rsidRPr="005F11D1" w:rsidRDefault="000F0526" w:rsidP="000F0526">
      <w:pPr>
        <w:pStyle w:val="N-Bullet"/>
        <w:rPr>
          <w:lang w:val="sq-AL" w:eastAsia="sq-AL"/>
        </w:rPr>
      </w:pPr>
      <w:r>
        <w:rPr>
          <w:lang w:val="sq-AL" w:eastAsia="sq-AL"/>
        </w:rPr>
        <w:t xml:space="preserve">Theksimi i </w:t>
      </w:r>
      <w:r w:rsidRPr="005F11D1">
        <w:rPr>
          <w:lang w:val="sq-AL" w:eastAsia="sq-AL"/>
        </w:rPr>
        <w:t>monitorimi</w:t>
      </w:r>
      <w:r>
        <w:rPr>
          <w:lang w:val="sq-AL" w:eastAsia="sq-AL"/>
        </w:rPr>
        <w:t>t të</w:t>
      </w:r>
      <w:r w:rsidRPr="005F11D1">
        <w:rPr>
          <w:lang w:val="sq-AL" w:eastAsia="sq-AL"/>
        </w:rPr>
        <w:t xml:space="preserve"> vazhdueshëm dhe përshtatshmërinë ndaj kërcënimeve në zhvillim si komponentë thelbësorë të një plani të suksesshëm të sigurisë kibernetike.</w:t>
      </w:r>
    </w:p>
    <w:p w14:paraId="546B5013" w14:textId="77777777" w:rsidR="000F0526" w:rsidRPr="001F151E" w:rsidRDefault="000F0526" w:rsidP="000F0526">
      <w:pPr>
        <w:spacing w:line="276" w:lineRule="auto"/>
        <w:jc w:val="both"/>
        <w:rPr>
          <w:bCs/>
          <w:lang w:val="en-GB"/>
        </w:rPr>
      </w:pPr>
    </w:p>
    <w:p w14:paraId="33EBBD46" w14:textId="77777777" w:rsidR="000F0526" w:rsidRPr="001F151E" w:rsidRDefault="000F0526" w:rsidP="000F0526">
      <w:pPr>
        <w:spacing w:line="276" w:lineRule="auto"/>
        <w:jc w:val="both"/>
        <w:rPr>
          <w:lang w:val="en-GB"/>
        </w:rPr>
      </w:pPr>
      <w:r w:rsidRPr="007C5F11">
        <w:rPr>
          <w:b/>
          <w:bCs/>
          <w:lang w:val="en-GB"/>
        </w:rPr>
        <w:t>Risqet sociale</w:t>
      </w:r>
      <w:r w:rsidRPr="001E2DFA">
        <w:rPr>
          <w:lang w:val="en-GB"/>
        </w:rPr>
        <w:t xml:space="preserve"> - Konsultimi dhe komunikimi i pamjaftueshëm me palët kryesore të interesit mund të çojë në rezistencë sociale ose keqkuptime. Për të zbutur këtë r</w:t>
      </w:r>
      <w:r>
        <w:rPr>
          <w:lang w:val="en-GB"/>
        </w:rPr>
        <w:t>isk</w:t>
      </w:r>
      <w:r w:rsidRPr="001E2DFA">
        <w:rPr>
          <w:lang w:val="en-GB"/>
        </w:rPr>
        <w:t>:</w:t>
      </w:r>
    </w:p>
    <w:p w14:paraId="75C8EE22" w14:textId="77777777" w:rsidR="000F0526" w:rsidRPr="001F151E" w:rsidRDefault="000F0526" w:rsidP="000F0526">
      <w:pPr>
        <w:pStyle w:val="N-Bullet"/>
        <w:rPr>
          <w:lang w:val="en-GB"/>
        </w:rPr>
      </w:pPr>
      <w:r w:rsidRPr="001E2DFA">
        <w:rPr>
          <w:lang w:val="en-GB"/>
        </w:rPr>
        <w:t>Angaz</w:t>
      </w:r>
      <w:r>
        <w:rPr>
          <w:lang w:val="en-GB"/>
        </w:rPr>
        <w:t>himi</w:t>
      </w:r>
      <w:r w:rsidRPr="001E2DFA">
        <w:rPr>
          <w:lang w:val="en-GB"/>
        </w:rPr>
        <w:t xml:space="preserve"> gjerësisht </w:t>
      </w:r>
      <w:r>
        <w:rPr>
          <w:lang w:val="en-GB"/>
        </w:rPr>
        <w:t xml:space="preserve">i </w:t>
      </w:r>
      <w:r w:rsidRPr="001E2DFA">
        <w:rPr>
          <w:lang w:val="en-GB"/>
        </w:rPr>
        <w:t>palë</w:t>
      </w:r>
      <w:r>
        <w:rPr>
          <w:lang w:val="en-GB"/>
        </w:rPr>
        <w:t>ve të</w:t>
      </w:r>
      <w:r w:rsidRPr="001E2DFA">
        <w:rPr>
          <w:lang w:val="en-GB"/>
        </w:rPr>
        <w:t xml:space="preserve"> interesuara gjatë procesit të përgatitjes së Strategjisë </w:t>
      </w:r>
      <w:r>
        <w:rPr>
          <w:lang w:val="en-GB"/>
        </w:rPr>
        <w:t xml:space="preserve">së </w:t>
      </w:r>
      <w:r w:rsidRPr="001E2DFA">
        <w:rPr>
          <w:lang w:val="en-GB"/>
        </w:rPr>
        <w:t>MFP</w:t>
      </w:r>
      <w:r>
        <w:rPr>
          <w:lang w:val="en-GB"/>
        </w:rPr>
        <w:t>-së</w:t>
      </w:r>
      <w:r w:rsidRPr="001E2DFA">
        <w:rPr>
          <w:lang w:val="en-GB"/>
        </w:rPr>
        <w:t xml:space="preserve"> dhe monitorimit të saj.</w:t>
      </w:r>
    </w:p>
    <w:p w14:paraId="38648809" w14:textId="77777777" w:rsidR="000F0526" w:rsidRPr="005F11D1" w:rsidRDefault="000F0526" w:rsidP="000F0526">
      <w:pPr>
        <w:pStyle w:val="N-Bullet"/>
        <w:rPr>
          <w:lang w:val="sq-AL" w:eastAsia="sq-AL"/>
        </w:rPr>
      </w:pPr>
      <w:r>
        <w:rPr>
          <w:lang w:val="sq-AL" w:eastAsia="sq-AL"/>
        </w:rPr>
        <w:t>V</w:t>
      </w:r>
      <w:r w:rsidRPr="005F11D1">
        <w:rPr>
          <w:lang w:val="sq-AL" w:eastAsia="sq-AL"/>
        </w:rPr>
        <w:t>ën</w:t>
      </w:r>
      <w:r>
        <w:rPr>
          <w:lang w:val="sq-AL" w:eastAsia="sq-AL"/>
        </w:rPr>
        <w:t>ia</w:t>
      </w:r>
      <w:r w:rsidRPr="005F11D1">
        <w:rPr>
          <w:lang w:val="sq-AL" w:eastAsia="sq-AL"/>
        </w:rPr>
        <w:t xml:space="preserve"> në dispozicion </w:t>
      </w:r>
      <w:r>
        <w:rPr>
          <w:lang w:val="sq-AL" w:eastAsia="sq-AL"/>
        </w:rPr>
        <w:t>për</w:t>
      </w:r>
      <w:r w:rsidRPr="005F11D1">
        <w:rPr>
          <w:lang w:val="sq-AL" w:eastAsia="sq-AL"/>
        </w:rPr>
        <w:t xml:space="preserve"> publikut të gjitha raportet e monitorimit për të garantuar transparencë dhe për të nxitur besimin.</w:t>
      </w:r>
    </w:p>
    <w:p w14:paraId="020B53E2" w14:textId="77777777" w:rsidR="000F0526" w:rsidRPr="001F151E" w:rsidRDefault="000F0526" w:rsidP="000F0526">
      <w:pPr>
        <w:spacing w:after="120" w:line="276" w:lineRule="auto"/>
        <w:jc w:val="both"/>
        <w:rPr>
          <w:lang w:val="en-GB"/>
        </w:rPr>
      </w:pPr>
    </w:p>
    <w:p w14:paraId="079DB2BD" w14:textId="77777777" w:rsidR="000F0526" w:rsidRPr="001F151E" w:rsidRDefault="000F0526" w:rsidP="000F0526">
      <w:pPr>
        <w:spacing w:line="276" w:lineRule="auto"/>
        <w:jc w:val="both"/>
        <w:rPr>
          <w:lang w:val="en-GB"/>
        </w:rPr>
      </w:pPr>
      <w:r w:rsidRPr="007A5F41">
        <w:rPr>
          <w:lang w:val="en-GB"/>
        </w:rPr>
        <w:t xml:space="preserve">Tabela e mëposhtme </w:t>
      </w:r>
      <w:r w:rsidRPr="00935702">
        <w:rPr>
          <w:lang w:val="en-GB"/>
        </w:rPr>
        <w:t>thekson risqet</w:t>
      </w:r>
      <w:r w:rsidRPr="007A5F41">
        <w:rPr>
          <w:lang w:val="en-GB"/>
        </w:rPr>
        <w:t xml:space="preserve"> e mundshme të parashikuara në fazën e përgatitjes së Strategjisë dhe do të përbëjë bazën për monitorimin e </w:t>
      </w:r>
      <w:r>
        <w:rPr>
          <w:lang w:val="en-GB"/>
        </w:rPr>
        <w:t>risqeve</w:t>
      </w:r>
      <w:r w:rsidRPr="007A5F41">
        <w:rPr>
          <w:lang w:val="en-GB"/>
        </w:rPr>
        <w:t xml:space="preserve">. </w:t>
      </w:r>
      <w:r>
        <w:rPr>
          <w:lang w:val="en-GB"/>
        </w:rPr>
        <w:t>Liderat e Shtyllave do të mbështesin KD</w:t>
      </w:r>
      <w:r w:rsidRPr="007A5F41">
        <w:rPr>
          <w:lang w:val="en-GB"/>
        </w:rPr>
        <w:t>-në për të siguruar që r</w:t>
      </w:r>
      <w:r>
        <w:rPr>
          <w:lang w:val="en-GB"/>
        </w:rPr>
        <w:t>isqet</w:t>
      </w:r>
      <w:r w:rsidRPr="007A5F41">
        <w:rPr>
          <w:lang w:val="en-GB"/>
        </w:rPr>
        <w:t xml:space="preserve"> monitorohen </w:t>
      </w:r>
      <w:r>
        <w:rPr>
          <w:lang w:val="en-GB"/>
        </w:rPr>
        <w:t xml:space="preserve">dhe masat zbutëse </w:t>
      </w:r>
      <w:r w:rsidRPr="007A5F41">
        <w:rPr>
          <w:lang w:val="en-GB"/>
        </w:rPr>
        <w:t>raportohen.</w:t>
      </w:r>
    </w:p>
    <w:p w14:paraId="47DEA187" w14:textId="77777777" w:rsidR="000F0526" w:rsidRPr="001F151E" w:rsidRDefault="000F0526" w:rsidP="000F0526">
      <w:pPr>
        <w:rPr>
          <w:lang w:val="en-GB"/>
        </w:rPr>
      </w:pPr>
    </w:p>
    <w:p w14:paraId="42E79099" w14:textId="77777777" w:rsidR="000F0526" w:rsidRPr="00EA458F" w:rsidRDefault="000F0526" w:rsidP="000F0526">
      <w:pPr>
        <w:pStyle w:val="T-normal"/>
        <w:rPr>
          <w:i/>
          <w:iCs/>
          <w:lang w:val="it-IT"/>
        </w:rPr>
      </w:pPr>
      <w:r w:rsidRPr="00EA458F">
        <w:rPr>
          <w:i/>
          <w:iCs/>
          <w:lang w:val="it-IT"/>
        </w:rPr>
        <w:t>Tabela 3: Risqet kryesore të mundshme</w:t>
      </w:r>
    </w:p>
    <w:tbl>
      <w:tblPr>
        <w:tblStyle w:val="TableGrid"/>
        <w:tblW w:w="5000" w:type="pct"/>
        <w:jc w:val="center"/>
        <w:tblLayout w:type="fixed"/>
        <w:tblCellMar>
          <w:top w:w="28" w:type="dxa"/>
          <w:left w:w="85" w:type="dxa"/>
          <w:bottom w:w="28" w:type="dxa"/>
          <w:right w:w="85" w:type="dxa"/>
        </w:tblCellMar>
        <w:tblLook w:val="04A0" w:firstRow="1" w:lastRow="0" w:firstColumn="1" w:lastColumn="0" w:noHBand="0" w:noVBand="1"/>
      </w:tblPr>
      <w:tblGrid>
        <w:gridCol w:w="4673"/>
        <w:gridCol w:w="620"/>
        <w:gridCol w:w="620"/>
        <w:gridCol w:w="742"/>
        <w:gridCol w:w="720"/>
        <w:gridCol w:w="540"/>
        <w:gridCol w:w="540"/>
        <w:gridCol w:w="561"/>
      </w:tblGrid>
      <w:tr w:rsidR="000F0526" w:rsidRPr="007C162B" w14:paraId="0C5FA995" w14:textId="77777777" w:rsidTr="000C70FA">
        <w:trPr>
          <w:cantSplit/>
          <w:trHeight w:val="53"/>
          <w:tblHeader/>
          <w:jc w:val="center"/>
        </w:trPr>
        <w:tc>
          <w:tcPr>
            <w:tcW w:w="4673" w:type="dxa"/>
            <w:vMerge w:val="restart"/>
            <w:tcBorders>
              <w:top w:val="single" w:sz="4" w:space="0" w:color="auto"/>
              <w:left w:val="single" w:sz="4" w:space="0" w:color="auto"/>
              <w:bottom w:val="single" w:sz="4" w:space="0" w:color="auto"/>
              <w:right w:val="single" w:sz="4" w:space="0" w:color="auto"/>
            </w:tcBorders>
            <w:vAlign w:val="center"/>
          </w:tcPr>
          <w:p w14:paraId="48A322F6" w14:textId="77777777" w:rsidR="000F0526" w:rsidRPr="007C162B" w:rsidRDefault="000F0526" w:rsidP="000C70FA">
            <w:pPr>
              <w:pStyle w:val="T-normal"/>
              <w:rPr>
                <w:lang w:val="it-IT"/>
              </w:rPr>
            </w:pPr>
            <w:r w:rsidRPr="007C162B">
              <w:rPr>
                <w:lang w:val="it-IT"/>
              </w:rPr>
              <w:t>Vlerësimi i r</w:t>
            </w:r>
            <w:r>
              <w:rPr>
                <w:lang w:val="it-IT"/>
              </w:rPr>
              <w:t>iskut</w:t>
            </w:r>
            <w:r w:rsidRPr="007C162B">
              <w:rPr>
                <w:lang w:val="it-IT"/>
              </w:rPr>
              <w:t xml:space="preserve"> (probabiliteti dhe ndikimi):</w:t>
            </w:r>
          </w:p>
          <w:p w14:paraId="358107FE" w14:textId="77777777" w:rsidR="000F0526" w:rsidRPr="007C162B" w:rsidRDefault="000F0526" w:rsidP="000C70FA">
            <w:pPr>
              <w:pStyle w:val="T-normal"/>
              <w:rPr>
                <w:lang w:val="it-IT"/>
              </w:rPr>
            </w:pPr>
          </w:p>
          <w:p w14:paraId="321C5FD6" w14:textId="62DD1F3F" w:rsidR="000F0526" w:rsidRPr="007C162B" w:rsidRDefault="000F0526" w:rsidP="000C70FA">
            <w:pPr>
              <w:pStyle w:val="T-normal"/>
              <w:rPr>
                <w:lang w:val="it-IT"/>
              </w:rPr>
            </w:pPr>
            <w:r>
              <w:rPr>
                <w:lang w:val="it-IT"/>
              </w:rPr>
              <w:t>L</w:t>
            </w:r>
            <w:r w:rsidRPr="007C162B">
              <w:rPr>
                <w:lang w:val="it-IT"/>
              </w:rPr>
              <w:t xml:space="preserve"> = Lartë</w:t>
            </w:r>
          </w:p>
          <w:p w14:paraId="05954FF0" w14:textId="77777777" w:rsidR="000F0526" w:rsidRPr="007C162B" w:rsidRDefault="000F0526" w:rsidP="000C70FA">
            <w:pPr>
              <w:pStyle w:val="T-normal"/>
              <w:rPr>
                <w:lang w:val="it-IT"/>
              </w:rPr>
            </w:pPr>
            <w:r w:rsidRPr="007C162B">
              <w:rPr>
                <w:lang w:val="it-IT"/>
              </w:rPr>
              <w:t xml:space="preserve">M = </w:t>
            </w:r>
            <w:r>
              <w:rPr>
                <w:lang w:val="it-IT"/>
              </w:rPr>
              <w:t>M</w:t>
            </w:r>
            <w:r w:rsidRPr="007C162B">
              <w:rPr>
                <w:lang w:val="it-IT"/>
              </w:rPr>
              <w:t>oderuar</w:t>
            </w:r>
          </w:p>
          <w:p w14:paraId="4C2870B2" w14:textId="77777777" w:rsidR="000F0526" w:rsidRPr="007C162B" w:rsidRDefault="000F0526" w:rsidP="000C70FA">
            <w:pPr>
              <w:pStyle w:val="T-normal"/>
              <w:rPr>
                <w:lang w:val="it-IT"/>
              </w:rPr>
            </w:pPr>
            <w:r>
              <w:rPr>
                <w:lang w:val="it-IT"/>
              </w:rPr>
              <w:t>U</w:t>
            </w:r>
            <w:r w:rsidRPr="007C162B">
              <w:rPr>
                <w:lang w:val="it-IT"/>
              </w:rPr>
              <w:t xml:space="preserve"> = </w:t>
            </w:r>
            <w:r>
              <w:rPr>
                <w:lang w:val="it-IT"/>
              </w:rPr>
              <w:t>U</w:t>
            </w:r>
            <w:r w:rsidRPr="007C162B">
              <w:rPr>
                <w:lang w:val="it-IT"/>
              </w:rPr>
              <w:t>lët</w:t>
            </w:r>
          </w:p>
        </w:tc>
        <w:tc>
          <w:tcPr>
            <w:tcW w:w="4343" w:type="dxa"/>
            <w:gridSpan w:val="7"/>
            <w:tcBorders>
              <w:top w:val="single" w:sz="4" w:space="0" w:color="auto"/>
              <w:left w:val="single" w:sz="4" w:space="0" w:color="auto"/>
              <w:bottom w:val="single" w:sz="4" w:space="0" w:color="auto"/>
              <w:right w:val="single" w:sz="4" w:space="0" w:color="auto"/>
            </w:tcBorders>
            <w:vAlign w:val="center"/>
          </w:tcPr>
          <w:p w14:paraId="46783395" w14:textId="77777777" w:rsidR="000F0526" w:rsidRPr="007C162B" w:rsidRDefault="000F0526" w:rsidP="000C70FA">
            <w:pPr>
              <w:pStyle w:val="T-normal"/>
              <w:jc w:val="center"/>
              <w:rPr>
                <w:lang w:val="it-IT"/>
              </w:rPr>
            </w:pPr>
            <w:r w:rsidRPr="007C162B">
              <w:rPr>
                <w:lang w:val="it-IT"/>
              </w:rPr>
              <w:t xml:space="preserve">Faktorët kryesorë të </w:t>
            </w:r>
            <w:r>
              <w:rPr>
                <w:lang w:val="it-IT"/>
              </w:rPr>
              <w:t>riskut</w:t>
            </w:r>
          </w:p>
        </w:tc>
      </w:tr>
      <w:tr w:rsidR="000F0526" w:rsidRPr="001F151E" w14:paraId="7A738981" w14:textId="77777777" w:rsidTr="000C70FA">
        <w:trPr>
          <w:cantSplit/>
          <w:trHeight w:val="1982"/>
          <w:tblHeader/>
          <w:jc w:val="center"/>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4CF9736C" w14:textId="77777777" w:rsidR="000F0526" w:rsidRPr="007C162B" w:rsidRDefault="000F0526" w:rsidP="000C70FA">
            <w:pPr>
              <w:pStyle w:val="T-normal"/>
              <w:rPr>
                <w:lang w:val="it-IT"/>
              </w:rPr>
            </w:pPr>
          </w:p>
        </w:tc>
        <w:tc>
          <w:tcPr>
            <w:tcW w:w="620" w:type="dxa"/>
            <w:tcBorders>
              <w:top w:val="single" w:sz="4" w:space="0" w:color="auto"/>
              <w:left w:val="single" w:sz="4" w:space="0" w:color="auto"/>
              <w:bottom w:val="single" w:sz="4" w:space="0" w:color="auto"/>
              <w:right w:val="single" w:sz="4" w:space="0" w:color="auto"/>
            </w:tcBorders>
            <w:textDirection w:val="btLr"/>
            <w:vAlign w:val="center"/>
            <w:hideMark/>
          </w:tcPr>
          <w:p w14:paraId="18CDDC37" w14:textId="77777777" w:rsidR="000F0526" w:rsidRPr="001F151E" w:rsidRDefault="000F0526" w:rsidP="000C70FA">
            <w:pPr>
              <w:pStyle w:val="T-normal"/>
              <w:rPr>
                <w:rFonts w:ascii="Arial Narrow" w:hAnsi="Arial Narrow"/>
              </w:rPr>
            </w:pPr>
            <w:r w:rsidRPr="007C162B">
              <w:rPr>
                <w:rFonts w:ascii="Arial Narrow" w:hAnsi="Arial Narrow"/>
              </w:rPr>
              <w:t>Ndryshime të vonuara ligjore/rregullative</w:t>
            </w:r>
          </w:p>
        </w:tc>
        <w:tc>
          <w:tcPr>
            <w:tcW w:w="620" w:type="dxa"/>
            <w:tcBorders>
              <w:top w:val="single" w:sz="4" w:space="0" w:color="auto"/>
              <w:left w:val="single" w:sz="4" w:space="0" w:color="auto"/>
              <w:bottom w:val="single" w:sz="4" w:space="0" w:color="auto"/>
              <w:right w:val="single" w:sz="4" w:space="0" w:color="auto"/>
            </w:tcBorders>
            <w:textDirection w:val="btLr"/>
            <w:vAlign w:val="center"/>
            <w:hideMark/>
          </w:tcPr>
          <w:p w14:paraId="2C85E5A0" w14:textId="77777777" w:rsidR="000F0526" w:rsidRPr="001F151E" w:rsidRDefault="000F0526" w:rsidP="000C70FA">
            <w:pPr>
              <w:pStyle w:val="T-normal"/>
              <w:rPr>
                <w:rFonts w:ascii="Arial Narrow" w:hAnsi="Arial Narrow"/>
              </w:rPr>
            </w:pPr>
            <w:r w:rsidRPr="007C162B">
              <w:rPr>
                <w:rFonts w:ascii="Arial Narrow" w:hAnsi="Arial Narrow"/>
              </w:rPr>
              <w:t>Sigurimi i pamjaftueshëm financiar</w:t>
            </w:r>
          </w:p>
        </w:tc>
        <w:tc>
          <w:tcPr>
            <w:tcW w:w="742" w:type="dxa"/>
            <w:tcBorders>
              <w:top w:val="single" w:sz="4" w:space="0" w:color="auto"/>
              <w:left w:val="single" w:sz="4" w:space="0" w:color="auto"/>
              <w:bottom w:val="single" w:sz="4" w:space="0" w:color="auto"/>
              <w:right w:val="single" w:sz="4" w:space="0" w:color="auto"/>
            </w:tcBorders>
            <w:textDirection w:val="btLr"/>
            <w:vAlign w:val="center"/>
            <w:hideMark/>
          </w:tcPr>
          <w:p w14:paraId="27C6F515" w14:textId="77777777" w:rsidR="000F0526" w:rsidRPr="001F151E" w:rsidRDefault="000F0526" w:rsidP="000C70FA">
            <w:pPr>
              <w:pStyle w:val="T-normal"/>
              <w:rPr>
                <w:rFonts w:ascii="Arial Narrow" w:hAnsi="Arial Narrow"/>
              </w:rPr>
            </w:pPr>
            <w:r w:rsidRPr="007C162B">
              <w:rPr>
                <w:rFonts w:ascii="Arial Narrow" w:hAnsi="Arial Narrow"/>
              </w:rPr>
              <w:t>Zhvillimi jo i qëndrueshëm i kapaciteteve të burimeve njerëzore</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16B4E4D2" w14:textId="77777777" w:rsidR="000F0526" w:rsidRPr="007C162B" w:rsidRDefault="000F0526" w:rsidP="000C70FA">
            <w:pPr>
              <w:pStyle w:val="T-normal"/>
              <w:rPr>
                <w:rFonts w:ascii="Arial Narrow" w:hAnsi="Arial Narrow"/>
                <w:lang w:val="it-IT"/>
              </w:rPr>
            </w:pPr>
            <w:r w:rsidRPr="007C162B">
              <w:rPr>
                <w:rFonts w:ascii="Arial Narrow" w:hAnsi="Arial Narrow"/>
                <w:lang w:val="it-IT"/>
              </w:rPr>
              <w:t>Disponueshmëria e pamjaftueshme e Burimeve Njerëzore</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14:paraId="34BB1CFD" w14:textId="77777777" w:rsidR="000F0526" w:rsidRPr="00251A3D" w:rsidRDefault="000F0526" w:rsidP="000C70FA">
            <w:pPr>
              <w:pStyle w:val="T-normal"/>
              <w:rPr>
                <w:rFonts w:ascii="Arial Narrow" w:hAnsi="Arial Narrow"/>
                <w:lang w:val="it-IT"/>
              </w:rPr>
            </w:pPr>
            <w:r w:rsidRPr="00251A3D">
              <w:rPr>
                <w:rFonts w:ascii="Arial Narrow" w:hAnsi="Arial Narrow"/>
                <w:lang w:val="it-IT"/>
              </w:rPr>
              <w:t>Sfidat e zhvillimit të TI-së ose prokurimit</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14:paraId="0953E171" w14:textId="77777777" w:rsidR="000F0526" w:rsidRPr="00251A3D" w:rsidRDefault="000F0526" w:rsidP="000C70FA">
            <w:pPr>
              <w:pStyle w:val="T-normal"/>
              <w:rPr>
                <w:rFonts w:ascii="Arial Narrow" w:hAnsi="Arial Narrow"/>
                <w:lang w:val="it-IT"/>
              </w:rPr>
            </w:pPr>
            <w:r w:rsidRPr="00251A3D">
              <w:rPr>
                <w:rFonts w:ascii="Arial Narrow" w:hAnsi="Arial Narrow"/>
                <w:lang w:val="it-IT"/>
              </w:rPr>
              <w:t xml:space="preserve">Disponueshmëria në kohë e </w:t>
            </w:r>
            <w:r>
              <w:rPr>
                <w:rFonts w:ascii="Arial Narrow" w:hAnsi="Arial Narrow"/>
                <w:lang w:val="it-IT"/>
              </w:rPr>
              <w:t>AT</w:t>
            </w:r>
            <w:r w:rsidRPr="00251A3D">
              <w:rPr>
                <w:rFonts w:ascii="Arial Narrow" w:hAnsi="Arial Narrow"/>
                <w:lang w:val="it-IT"/>
              </w:rPr>
              <w:t xml:space="preserve"> / mbështetjes</w:t>
            </w:r>
          </w:p>
        </w:tc>
        <w:tc>
          <w:tcPr>
            <w:tcW w:w="561" w:type="dxa"/>
            <w:tcBorders>
              <w:top w:val="single" w:sz="4" w:space="0" w:color="auto"/>
              <w:left w:val="single" w:sz="4" w:space="0" w:color="auto"/>
              <w:bottom w:val="single" w:sz="4" w:space="0" w:color="auto"/>
              <w:right w:val="single" w:sz="4" w:space="0" w:color="auto"/>
            </w:tcBorders>
            <w:textDirection w:val="btLr"/>
            <w:vAlign w:val="center"/>
            <w:hideMark/>
          </w:tcPr>
          <w:p w14:paraId="71FC631F" w14:textId="77777777" w:rsidR="000F0526" w:rsidRPr="001F151E" w:rsidRDefault="000F0526" w:rsidP="000C70FA">
            <w:pPr>
              <w:pStyle w:val="T-normal"/>
              <w:rPr>
                <w:rFonts w:ascii="Arial Narrow" w:hAnsi="Arial Narrow"/>
              </w:rPr>
            </w:pPr>
            <w:r w:rsidRPr="00251A3D">
              <w:rPr>
                <w:rFonts w:ascii="Arial Narrow" w:hAnsi="Arial Narrow"/>
              </w:rPr>
              <w:t xml:space="preserve">Koordinim </w:t>
            </w:r>
            <w:r>
              <w:rPr>
                <w:rFonts w:ascii="Arial Narrow" w:hAnsi="Arial Narrow"/>
              </w:rPr>
              <w:t>I papërshtatshëm</w:t>
            </w:r>
          </w:p>
        </w:tc>
      </w:tr>
      <w:tr w:rsidR="000F0526" w:rsidRPr="0059094E" w14:paraId="69565AC9" w14:textId="77777777" w:rsidTr="000C70FA">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6F13C6" w14:textId="5BAB4C87" w:rsidR="000F0526" w:rsidRPr="008F1FD6" w:rsidRDefault="000F0526" w:rsidP="000C70FA">
            <w:pPr>
              <w:pStyle w:val="T-normal"/>
              <w:rPr>
                <w:lang w:val="it-IT"/>
              </w:rPr>
            </w:pPr>
            <w:r w:rsidRPr="008F1FD6">
              <w:rPr>
                <w:lang w:val="it-IT"/>
              </w:rPr>
              <w:t xml:space="preserve">Shtylla 1 </w:t>
            </w:r>
            <w:r w:rsidR="00A55715">
              <w:rPr>
                <w:lang w:val="it-IT"/>
              </w:rPr>
              <w:t>Programimi Makroekonomik dhe Monitorimi i Riskut</w:t>
            </w:r>
          </w:p>
        </w:tc>
      </w:tr>
      <w:tr w:rsidR="000F0526" w:rsidRPr="001F151E" w14:paraId="5B5420A8"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30E5B247" w14:textId="745B4CC1" w:rsidR="000F0526" w:rsidRPr="008F1FD6" w:rsidRDefault="000F0526" w:rsidP="000C70FA">
            <w:pPr>
              <w:pStyle w:val="T-normal"/>
              <w:rPr>
                <w:lang w:val="it-IT"/>
              </w:rPr>
            </w:pPr>
            <w:r w:rsidRPr="008F1FD6">
              <w:rPr>
                <w:lang w:val="it-IT"/>
              </w:rPr>
              <w:t>1.1 P</w:t>
            </w:r>
            <w:r w:rsidR="00251144">
              <w:rPr>
                <w:lang w:val="it-IT"/>
              </w:rPr>
              <w:t>rogramimi</w:t>
            </w:r>
            <w:r w:rsidRPr="008F1FD6">
              <w:rPr>
                <w:lang w:val="it-IT"/>
              </w:rPr>
              <w:t xml:space="preserve"> makroekonomik i matur dhe realist</w:t>
            </w:r>
          </w:p>
        </w:tc>
        <w:tc>
          <w:tcPr>
            <w:tcW w:w="620" w:type="dxa"/>
            <w:tcBorders>
              <w:top w:val="single" w:sz="4" w:space="0" w:color="auto"/>
              <w:left w:val="single" w:sz="4" w:space="0" w:color="auto"/>
              <w:bottom w:val="single" w:sz="4" w:space="0" w:color="auto"/>
              <w:right w:val="single" w:sz="4" w:space="0" w:color="auto"/>
            </w:tcBorders>
          </w:tcPr>
          <w:p w14:paraId="76F51ECA"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tcPr>
          <w:p w14:paraId="34AB12C9" w14:textId="77777777" w:rsidR="000F0526" w:rsidRPr="001F151E" w:rsidRDefault="000F0526" w:rsidP="000C70FA">
            <w:pPr>
              <w:pStyle w:val="T-normal"/>
              <w:jc w:val="center"/>
            </w:pPr>
            <w:r>
              <w:t>U</w:t>
            </w:r>
          </w:p>
        </w:tc>
        <w:tc>
          <w:tcPr>
            <w:tcW w:w="742" w:type="dxa"/>
            <w:tcBorders>
              <w:top w:val="single" w:sz="4" w:space="0" w:color="auto"/>
              <w:left w:val="single" w:sz="4" w:space="0" w:color="auto"/>
              <w:bottom w:val="single" w:sz="4" w:space="0" w:color="auto"/>
              <w:right w:val="single" w:sz="4" w:space="0" w:color="auto"/>
            </w:tcBorders>
          </w:tcPr>
          <w:p w14:paraId="21FC75F9"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hideMark/>
          </w:tcPr>
          <w:p w14:paraId="6D4699D6" w14:textId="77777777" w:rsidR="000F0526" w:rsidRPr="001F151E" w:rsidRDefault="000F0526" w:rsidP="000C70FA">
            <w:pPr>
              <w:pStyle w:val="T-normal"/>
              <w:jc w:val="center"/>
            </w:pPr>
            <w:r>
              <w:t>M</w:t>
            </w:r>
          </w:p>
        </w:tc>
        <w:tc>
          <w:tcPr>
            <w:tcW w:w="540" w:type="dxa"/>
            <w:tcBorders>
              <w:top w:val="single" w:sz="4" w:space="0" w:color="auto"/>
              <w:left w:val="single" w:sz="4" w:space="0" w:color="auto"/>
              <w:bottom w:val="single" w:sz="4" w:space="0" w:color="auto"/>
              <w:right w:val="single" w:sz="4" w:space="0" w:color="auto"/>
            </w:tcBorders>
            <w:hideMark/>
          </w:tcPr>
          <w:p w14:paraId="4888926A" w14:textId="77777777" w:rsidR="000F0526" w:rsidRPr="001F151E" w:rsidRDefault="000F0526" w:rsidP="000C70FA">
            <w:pPr>
              <w:pStyle w:val="T-normal"/>
              <w:jc w:val="center"/>
            </w:pPr>
            <w:r>
              <w:t>U</w:t>
            </w:r>
          </w:p>
        </w:tc>
        <w:tc>
          <w:tcPr>
            <w:tcW w:w="540" w:type="dxa"/>
            <w:tcBorders>
              <w:top w:val="single" w:sz="4" w:space="0" w:color="auto"/>
              <w:left w:val="single" w:sz="4" w:space="0" w:color="auto"/>
              <w:bottom w:val="single" w:sz="4" w:space="0" w:color="auto"/>
              <w:right w:val="single" w:sz="4" w:space="0" w:color="auto"/>
            </w:tcBorders>
          </w:tcPr>
          <w:p w14:paraId="3A65C719"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tcPr>
          <w:p w14:paraId="6D93D4B5" w14:textId="77777777" w:rsidR="000F0526" w:rsidRPr="001F151E" w:rsidRDefault="000F0526" w:rsidP="000C70FA">
            <w:pPr>
              <w:pStyle w:val="T-normal"/>
              <w:jc w:val="center"/>
            </w:pPr>
            <w:r>
              <w:t>U</w:t>
            </w:r>
          </w:p>
        </w:tc>
      </w:tr>
      <w:tr w:rsidR="000F0526" w:rsidRPr="001F151E" w14:paraId="16F9CFD7"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tcPr>
          <w:p w14:paraId="4575C571" w14:textId="61B24171" w:rsidR="000F0526" w:rsidRPr="001F151E" w:rsidRDefault="000F0526" w:rsidP="000C70FA">
            <w:pPr>
              <w:pStyle w:val="T-normal"/>
            </w:pPr>
            <w:r>
              <w:t xml:space="preserve">1.2 </w:t>
            </w:r>
            <w:r w:rsidR="00A55715">
              <w:t>Krijimi i nj</w:t>
            </w:r>
            <w:r w:rsidR="00EB65F3">
              <w:t>ë</w:t>
            </w:r>
            <w:r w:rsidR="00A55715">
              <w:t xml:space="preserve"> Analize Gjith</w:t>
            </w:r>
            <w:r w:rsidR="00EB65F3">
              <w:t>ë</w:t>
            </w:r>
            <w:r w:rsidR="00A55715">
              <w:t>p</w:t>
            </w:r>
            <w:r w:rsidR="00EB65F3">
              <w:t>ë</w:t>
            </w:r>
            <w:r w:rsidR="00A55715">
              <w:t>rfshir</w:t>
            </w:r>
            <w:r w:rsidR="00EB65F3">
              <w:t>ë</w:t>
            </w:r>
            <w:r w:rsidR="00A55715">
              <w:t>se t</w:t>
            </w:r>
            <w:r w:rsidR="00EB65F3">
              <w:t>ë</w:t>
            </w:r>
            <w:r w:rsidR="00A55715">
              <w:t xml:space="preserve"> Q</w:t>
            </w:r>
            <w:r w:rsidR="00EB65F3">
              <w:t>ë</w:t>
            </w:r>
            <w:r w:rsidR="00A55715">
              <w:t>ndrueshm</w:t>
            </w:r>
            <w:r w:rsidR="00EB65F3">
              <w:t>ë</w:t>
            </w:r>
            <w:r w:rsidR="00A55715">
              <w:t>ris</w:t>
            </w:r>
            <w:r w:rsidR="00EB65F3">
              <w:t>ë</w:t>
            </w:r>
            <w:r w:rsidR="00A55715">
              <w:t xml:space="preserve"> s</w:t>
            </w:r>
            <w:r w:rsidR="00EB65F3">
              <w:t>ë</w:t>
            </w:r>
            <w:r w:rsidR="00A55715">
              <w:t xml:space="preserve"> Borxhit </w:t>
            </w:r>
          </w:p>
        </w:tc>
        <w:tc>
          <w:tcPr>
            <w:tcW w:w="620" w:type="dxa"/>
            <w:tcBorders>
              <w:top w:val="single" w:sz="4" w:space="0" w:color="auto"/>
              <w:left w:val="single" w:sz="4" w:space="0" w:color="auto"/>
              <w:bottom w:val="single" w:sz="4" w:space="0" w:color="auto"/>
              <w:right w:val="single" w:sz="4" w:space="0" w:color="auto"/>
            </w:tcBorders>
          </w:tcPr>
          <w:p w14:paraId="522455EB"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tcPr>
          <w:p w14:paraId="5700F85A" w14:textId="77777777" w:rsidR="000F0526" w:rsidRPr="001F151E" w:rsidRDefault="000F0526" w:rsidP="000C70FA">
            <w:pPr>
              <w:pStyle w:val="T-normal"/>
              <w:jc w:val="center"/>
            </w:pPr>
            <w:r>
              <w:t>M</w:t>
            </w:r>
          </w:p>
        </w:tc>
        <w:tc>
          <w:tcPr>
            <w:tcW w:w="742" w:type="dxa"/>
            <w:tcBorders>
              <w:top w:val="single" w:sz="4" w:space="0" w:color="auto"/>
              <w:left w:val="single" w:sz="4" w:space="0" w:color="auto"/>
              <w:bottom w:val="single" w:sz="4" w:space="0" w:color="auto"/>
              <w:right w:val="single" w:sz="4" w:space="0" w:color="auto"/>
            </w:tcBorders>
          </w:tcPr>
          <w:p w14:paraId="5B4488AF" w14:textId="77777777" w:rsidR="000F0526" w:rsidRPr="001F151E" w:rsidRDefault="000F0526" w:rsidP="000C70FA">
            <w:pPr>
              <w:pStyle w:val="T-normal"/>
              <w:jc w:val="center"/>
            </w:pPr>
            <w:r>
              <w:t>M</w:t>
            </w:r>
          </w:p>
        </w:tc>
        <w:tc>
          <w:tcPr>
            <w:tcW w:w="720" w:type="dxa"/>
            <w:tcBorders>
              <w:top w:val="single" w:sz="4" w:space="0" w:color="auto"/>
              <w:left w:val="single" w:sz="4" w:space="0" w:color="auto"/>
              <w:bottom w:val="single" w:sz="4" w:space="0" w:color="auto"/>
              <w:right w:val="single" w:sz="4" w:space="0" w:color="auto"/>
            </w:tcBorders>
          </w:tcPr>
          <w:p w14:paraId="6F3C824E" w14:textId="77777777" w:rsidR="000F0526" w:rsidRPr="001F151E" w:rsidRDefault="000F0526" w:rsidP="000C70FA">
            <w:pPr>
              <w:pStyle w:val="T-normal"/>
              <w:jc w:val="center"/>
            </w:pPr>
            <w:r>
              <w:t>M</w:t>
            </w:r>
          </w:p>
        </w:tc>
        <w:tc>
          <w:tcPr>
            <w:tcW w:w="540" w:type="dxa"/>
            <w:tcBorders>
              <w:top w:val="single" w:sz="4" w:space="0" w:color="auto"/>
              <w:left w:val="single" w:sz="4" w:space="0" w:color="auto"/>
              <w:bottom w:val="single" w:sz="4" w:space="0" w:color="auto"/>
              <w:right w:val="single" w:sz="4" w:space="0" w:color="auto"/>
            </w:tcBorders>
          </w:tcPr>
          <w:p w14:paraId="7F5FD747" w14:textId="77777777" w:rsidR="000F0526" w:rsidRPr="001F151E" w:rsidRDefault="000F0526" w:rsidP="000C70FA">
            <w:pPr>
              <w:pStyle w:val="T-normal"/>
              <w:jc w:val="center"/>
            </w:pPr>
            <w:r>
              <w:t>U</w:t>
            </w:r>
          </w:p>
        </w:tc>
        <w:tc>
          <w:tcPr>
            <w:tcW w:w="540" w:type="dxa"/>
            <w:tcBorders>
              <w:top w:val="single" w:sz="4" w:space="0" w:color="auto"/>
              <w:left w:val="single" w:sz="4" w:space="0" w:color="auto"/>
              <w:bottom w:val="single" w:sz="4" w:space="0" w:color="auto"/>
              <w:right w:val="single" w:sz="4" w:space="0" w:color="auto"/>
            </w:tcBorders>
          </w:tcPr>
          <w:p w14:paraId="1AD2C332" w14:textId="77777777" w:rsidR="000F0526" w:rsidRPr="001F151E" w:rsidRDefault="000F0526" w:rsidP="000C70FA">
            <w:pPr>
              <w:pStyle w:val="T-normal"/>
              <w:jc w:val="center"/>
            </w:pPr>
            <w:r>
              <w:t>U</w:t>
            </w:r>
          </w:p>
        </w:tc>
        <w:tc>
          <w:tcPr>
            <w:tcW w:w="561" w:type="dxa"/>
            <w:tcBorders>
              <w:top w:val="single" w:sz="4" w:space="0" w:color="auto"/>
              <w:left w:val="single" w:sz="4" w:space="0" w:color="auto"/>
              <w:bottom w:val="single" w:sz="4" w:space="0" w:color="auto"/>
              <w:right w:val="single" w:sz="4" w:space="0" w:color="auto"/>
            </w:tcBorders>
          </w:tcPr>
          <w:p w14:paraId="22970725" w14:textId="77777777" w:rsidR="000F0526" w:rsidRPr="001F151E" w:rsidRDefault="000F0526" w:rsidP="000C70FA">
            <w:pPr>
              <w:pStyle w:val="T-normal"/>
              <w:jc w:val="center"/>
            </w:pPr>
            <w:r>
              <w:t>U</w:t>
            </w:r>
          </w:p>
        </w:tc>
      </w:tr>
      <w:tr w:rsidR="000F0526" w:rsidRPr="001F151E" w14:paraId="37268DFB"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tcPr>
          <w:p w14:paraId="08A723D4" w14:textId="3DB0DCF5" w:rsidR="000F0526" w:rsidRPr="001F151E" w:rsidRDefault="000F0526" w:rsidP="000C70FA">
            <w:pPr>
              <w:pStyle w:val="T-normal"/>
            </w:pPr>
            <w:r w:rsidRPr="001F151E">
              <w:t>1.</w:t>
            </w:r>
            <w:r>
              <w:t>3</w:t>
            </w:r>
            <w:r w:rsidRPr="001F151E">
              <w:t xml:space="preserve"> </w:t>
            </w:r>
            <w:r w:rsidRPr="008906C8">
              <w:t>Menaxhimi i Ris</w:t>
            </w:r>
            <w:r w:rsidR="00A55715">
              <w:t>qeve</w:t>
            </w:r>
            <w:r w:rsidRPr="008906C8">
              <w:t xml:space="preserve"> Fiskal</w:t>
            </w:r>
            <w:r w:rsidR="00A55715">
              <w:t>e</w:t>
            </w:r>
          </w:p>
        </w:tc>
        <w:tc>
          <w:tcPr>
            <w:tcW w:w="620" w:type="dxa"/>
            <w:tcBorders>
              <w:top w:val="single" w:sz="4" w:space="0" w:color="auto"/>
              <w:left w:val="single" w:sz="4" w:space="0" w:color="auto"/>
              <w:bottom w:val="single" w:sz="4" w:space="0" w:color="auto"/>
              <w:right w:val="single" w:sz="4" w:space="0" w:color="auto"/>
            </w:tcBorders>
          </w:tcPr>
          <w:p w14:paraId="0F1642C0" w14:textId="14EB24A5" w:rsidR="000F0526" w:rsidRPr="001F151E" w:rsidRDefault="00F24803"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tcPr>
          <w:p w14:paraId="640B8535" w14:textId="77777777" w:rsidR="000F0526" w:rsidRPr="001F151E" w:rsidRDefault="000F0526" w:rsidP="000C70FA">
            <w:pPr>
              <w:pStyle w:val="T-normal"/>
              <w:jc w:val="center"/>
            </w:pPr>
            <w:r>
              <w:t>U</w:t>
            </w:r>
          </w:p>
        </w:tc>
        <w:tc>
          <w:tcPr>
            <w:tcW w:w="742" w:type="dxa"/>
            <w:tcBorders>
              <w:top w:val="single" w:sz="4" w:space="0" w:color="auto"/>
              <w:left w:val="single" w:sz="4" w:space="0" w:color="auto"/>
              <w:bottom w:val="single" w:sz="4" w:space="0" w:color="auto"/>
              <w:right w:val="single" w:sz="4" w:space="0" w:color="auto"/>
            </w:tcBorders>
          </w:tcPr>
          <w:p w14:paraId="29022AB5"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532D1D2C"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04C4FC67" w14:textId="77777777" w:rsidR="000F0526" w:rsidRPr="001F151E" w:rsidRDefault="000F0526" w:rsidP="000C70FA">
            <w:pPr>
              <w:pStyle w:val="T-normal"/>
              <w:jc w:val="center"/>
            </w:pPr>
            <w:r>
              <w:t>U</w:t>
            </w:r>
          </w:p>
        </w:tc>
        <w:tc>
          <w:tcPr>
            <w:tcW w:w="540" w:type="dxa"/>
            <w:tcBorders>
              <w:top w:val="single" w:sz="4" w:space="0" w:color="auto"/>
              <w:left w:val="single" w:sz="4" w:space="0" w:color="auto"/>
              <w:bottom w:val="single" w:sz="4" w:space="0" w:color="auto"/>
              <w:right w:val="single" w:sz="4" w:space="0" w:color="auto"/>
            </w:tcBorders>
          </w:tcPr>
          <w:p w14:paraId="14139F9D" w14:textId="77777777" w:rsidR="000F0526" w:rsidRPr="001F151E" w:rsidRDefault="000F0526" w:rsidP="000C70FA">
            <w:pPr>
              <w:pStyle w:val="T-normal"/>
              <w:jc w:val="center"/>
            </w:pPr>
            <w:r>
              <w:t>U</w:t>
            </w:r>
          </w:p>
        </w:tc>
        <w:tc>
          <w:tcPr>
            <w:tcW w:w="561" w:type="dxa"/>
            <w:tcBorders>
              <w:top w:val="single" w:sz="4" w:space="0" w:color="auto"/>
              <w:left w:val="single" w:sz="4" w:space="0" w:color="auto"/>
              <w:bottom w:val="single" w:sz="4" w:space="0" w:color="auto"/>
              <w:right w:val="single" w:sz="4" w:space="0" w:color="auto"/>
            </w:tcBorders>
          </w:tcPr>
          <w:p w14:paraId="4FDEF33F" w14:textId="77777777" w:rsidR="000F0526" w:rsidRPr="001F151E" w:rsidRDefault="000F0526" w:rsidP="000C70FA">
            <w:pPr>
              <w:pStyle w:val="T-normal"/>
              <w:jc w:val="center"/>
            </w:pPr>
            <w:r w:rsidRPr="001F151E">
              <w:t>M</w:t>
            </w:r>
          </w:p>
        </w:tc>
      </w:tr>
      <w:tr w:rsidR="000F0526" w:rsidRPr="001F151E" w14:paraId="0AD6828B"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tcPr>
          <w:p w14:paraId="5D21A4B5" w14:textId="77777777" w:rsidR="000F0526" w:rsidRPr="001F151E" w:rsidRDefault="000F0526" w:rsidP="000C70FA">
            <w:pPr>
              <w:pStyle w:val="T-normal"/>
            </w:pPr>
            <w:r w:rsidRPr="001F151E">
              <w:t>1.</w:t>
            </w:r>
            <w:r>
              <w:t>4</w:t>
            </w:r>
            <w:r w:rsidRPr="001F151E">
              <w:t xml:space="preserve"> </w:t>
            </w:r>
            <w:r w:rsidRPr="008906C8">
              <w:t>Këshilli Fiskal</w:t>
            </w:r>
          </w:p>
        </w:tc>
        <w:tc>
          <w:tcPr>
            <w:tcW w:w="620" w:type="dxa"/>
            <w:tcBorders>
              <w:top w:val="single" w:sz="4" w:space="0" w:color="auto"/>
              <w:left w:val="single" w:sz="4" w:space="0" w:color="auto"/>
              <w:bottom w:val="single" w:sz="4" w:space="0" w:color="auto"/>
              <w:right w:val="single" w:sz="4" w:space="0" w:color="auto"/>
            </w:tcBorders>
          </w:tcPr>
          <w:p w14:paraId="6EB89B61" w14:textId="77777777" w:rsidR="000F0526" w:rsidRPr="001F151E" w:rsidRDefault="000F0526" w:rsidP="000C70FA">
            <w:pPr>
              <w:pStyle w:val="T-normal"/>
              <w:jc w:val="center"/>
            </w:pPr>
            <w:r>
              <w:t>L</w:t>
            </w:r>
          </w:p>
        </w:tc>
        <w:tc>
          <w:tcPr>
            <w:tcW w:w="620" w:type="dxa"/>
            <w:tcBorders>
              <w:top w:val="single" w:sz="4" w:space="0" w:color="auto"/>
              <w:left w:val="single" w:sz="4" w:space="0" w:color="auto"/>
              <w:bottom w:val="single" w:sz="4" w:space="0" w:color="auto"/>
              <w:right w:val="single" w:sz="4" w:space="0" w:color="auto"/>
            </w:tcBorders>
          </w:tcPr>
          <w:p w14:paraId="3B2DBA18"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tcPr>
          <w:p w14:paraId="64490D3F"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618E249E" w14:textId="77777777" w:rsidR="000F0526" w:rsidRPr="001F151E" w:rsidRDefault="000F0526" w:rsidP="000C70FA">
            <w:pPr>
              <w:pStyle w:val="T-normal"/>
              <w:jc w:val="center"/>
            </w:pPr>
            <w:r>
              <w:t>L</w:t>
            </w:r>
          </w:p>
        </w:tc>
        <w:tc>
          <w:tcPr>
            <w:tcW w:w="540" w:type="dxa"/>
            <w:tcBorders>
              <w:top w:val="single" w:sz="4" w:space="0" w:color="auto"/>
              <w:left w:val="single" w:sz="4" w:space="0" w:color="auto"/>
              <w:bottom w:val="single" w:sz="4" w:space="0" w:color="auto"/>
              <w:right w:val="single" w:sz="4" w:space="0" w:color="auto"/>
            </w:tcBorders>
          </w:tcPr>
          <w:p w14:paraId="251FAF78" w14:textId="77777777" w:rsidR="000F0526" w:rsidRPr="001F151E" w:rsidRDefault="000F0526" w:rsidP="000C70FA">
            <w:pPr>
              <w:pStyle w:val="T-normal"/>
              <w:jc w:val="center"/>
            </w:pPr>
            <w:r>
              <w:t>U</w:t>
            </w:r>
          </w:p>
        </w:tc>
        <w:tc>
          <w:tcPr>
            <w:tcW w:w="540" w:type="dxa"/>
            <w:tcBorders>
              <w:top w:val="single" w:sz="4" w:space="0" w:color="auto"/>
              <w:left w:val="single" w:sz="4" w:space="0" w:color="auto"/>
              <w:bottom w:val="single" w:sz="4" w:space="0" w:color="auto"/>
              <w:right w:val="single" w:sz="4" w:space="0" w:color="auto"/>
            </w:tcBorders>
          </w:tcPr>
          <w:p w14:paraId="4B9B61EA"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tcPr>
          <w:p w14:paraId="23082740" w14:textId="77777777" w:rsidR="000F0526" w:rsidRPr="001F151E" w:rsidRDefault="000F0526" w:rsidP="000C70FA">
            <w:pPr>
              <w:pStyle w:val="T-normal"/>
              <w:jc w:val="center"/>
            </w:pPr>
            <w:r w:rsidRPr="001F151E">
              <w:t>M</w:t>
            </w:r>
          </w:p>
        </w:tc>
      </w:tr>
      <w:tr w:rsidR="000F0526" w:rsidRPr="0059094E" w14:paraId="4DF00937" w14:textId="77777777" w:rsidTr="000C70FA">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5ABC20" w14:textId="4176032D" w:rsidR="000F0526" w:rsidRPr="008906C8" w:rsidRDefault="000F0526" w:rsidP="000C70FA">
            <w:pPr>
              <w:pStyle w:val="T-normal"/>
              <w:rPr>
                <w:lang w:val="it-IT"/>
              </w:rPr>
            </w:pPr>
            <w:r w:rsidRPr="008906C8">
              <w:rPr>
                <w:lang w:val="it-IT"/>
              </w:rPr>
              <w:t xml:space="preserve">Shtylla 2: Planifikimi </w:t>
            </w:r>
            <w:r w:rsidR="00A55715">
              <w:rPr>
                <w:lang w:val="it-IT"/>
              </w:rPr>
              <w:t xml:space="preserve">i Integruar Strategjik dhe buxhetor, </w:t>
            </w:r>
            <w:r w:rsidRPr="008906C8">
              <w:rPr>
                <w:lang w:val="it-IT"/>
              </w:rPr>
              <w:t xml:space="preserve">Monitorimi </w:t>
            </w:r>
            <w:r w:rsidR="00A55715">
              <w:rPr>
                <w:lang w:val="it-IT"/>
              </w:rPr>
              <w:t>dhe Raportimi Transparent</w:t>
            </w:r>
          </w:p>
        </w:tc>
      </w:tr>
      <w:tr w:rsidR="000F0526" w:rsidRPr="001F151E" w14:paraId="1331F65C"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0C9E6AE9" w14:textId="77777777" w:rsidR="000F0526" w:rsidRPr="001F151E" w:rsidRDefault="000F0526" w:rsidP="000C70FA">
            <w:pPr>
              <w:pStyle w:val="T-normal"/>
            </w:pPr>
            <w:r w:rsidRPr="001F151E">
              <w:t xml:space="preserve">2.1 </w:t>
            </w:r>
            <w:r w:rsidRPr="008906C8">
              <w:t>Planifikimi Strategjik i Integruar</w:t>
            </w:r>
          </w:p>
        </w:tc>
        <w:tc>
          <w:tcPr>
            <w:tcW w:w="620" w:type="dxa"/>
            <w:tcBorders>
              <w:top w:val="single" w:sz="4" w:space="0" w:color="auto"/>
              <w:left w:val="single" w:sz="4" w:space="0" w:color="auto"/>
              <w:bottom w:val="single" w:sz="4" w:space="0" w:color="auto"/>
              <w:right w:val="single" w:sz="4" w:space="0" w:color="auto"/>
            </w:tcBorders>
            <w:hideMark/>
          </w:tcPr>
          <w:p w14:paraId="34781DA6" w14:textId="77777777" w:rsidR="000F0526" w:rsidRPr="001F151E" w:rsidRDefault="000F0526" w:rsidP="000C70FA">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7F163B33" w14:textId="77777777" w:rsidR="000F0526" w:rsidRPr="001F151E" w:rsidRDefault="000F0526" w:rsidP="000C70FA">
            <w:pPr>
              <w:pStyle w:val="T-normal"/>
              <w:jc w:val="center"/>
            </w:pPr>
            <w:r>
              <w:t>U</w:t>
            </w:r>
          </w:p>
        </w:tc>
        <w:tc>
          <w:tcPr>
            <w:tcW w:w="742" w:type="dxa"/>
            <w:tcBorders>
              <w:top w:val="single" w:sz="4" w:space="0" w:color="auto"/>
              <w:left w:val="single" w:sz="4" w:space="0" w:color="auto"/>
              <w:bottom w:val="single" w:sz="4" w:space="0" w:color="auto"/>
              <w:right w:val="single" w:sz="4" w:space="0" w:color="auto"/>
            </w:tcBorders>
          </w:tcPr>
          <w:p w14:paraId="12EA01D3"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3654BD84"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hideMark/>
          </w:tcPr>
          <w:p w14:paraId="6BF73DD4" w14:textId="77777777" w:rsidR="000F0526" w:rsidRPr="001F151E" w:rsidRDefault="000F0526" w:rsidP="000C70FA">
            <w:pPr>
              <w:pStyle w:val="T-normal"/>
              <w:jc w:val="center"/>
            </w:pPr>
            <w:r>
              <w:t>L</w:t>
            </w:r>
          </w:p>
        </w:tc>
        <w:tc>
          <w:tcPr>
            <w:tcW w:w="540" w:type="dxa"/>
            <w:tcBorders>
              <w:top w:val="single" w:sz="4" w:space="0" w:color="auto"/>
              <w:left w:val="single" w:sz="4" w:space="0" w:color="auto"/>
              <w:bottom w:val="single" w:sz="4" w:space="0" w:color="auto"/>
              <w:right w:val="single" w:sz="4" w:space="0" w:color="auto"/>
            </w:tcBorders>
          </w:tcPr>
          <w:p w14:paraId="070BD5CC" w14:textId="77777777" w:rsidR="000F0526" w:rsidRPr="001F151E" w:rsidRDefault="000F0526" w:rsidP="000C70FA">
            <w:pPr>
              <w:pStyle w:val="T-normal"/>
              <w:jc w:val="center"/>
            </w:pPr>
            <w:r>
              <w:t>U</w:t>
            </w:r>
          </w:p>
        </w:tc>
        <w:tc>
          <w:tcPr>
            <w:tcW w:w="561" w:type="dxa"/>
            <w:tcBorders>
              <w:top w:val="single" w:sz="4" w:space="0" w:color="auto"/>
              <w:left w:val="single" w:sz="4" w:space="0" w:color="auto"/>
              <w:bottom w:val="single" w:sz="4" w:space="0" w:color="auto"/>
              <w:right w:val="single" w:sz="4" w:space="0" w:color="auto"/>
            </w:tcBorders>
            <w:hideMark/>
          </w:tcPr>
          <w:p w14:paraId="6C159640" w14:textId="77777777" w:rsidR="000F0526" w:rsidRPr="001F151E" w:rsidRDefault="000F0526" w:rsidP="000C70FA">
            <w:pPr>
              <w:pStyle w:val="T-normal"/>
              <w:jc w:val="center"/>
            </w:pPr>
            <w:r>
              <w:t>L</w:t>
            </w:r>
          </w:p>
        </w:tc>
      </w:tr>
      <w:tr w:rsidR="000F0526" w:rsidRPr="001F151E" w14:paraId="67B76F6C"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7EC4EA7B" w14:textId="77777777" w:rsidR="000F0526" w:rsidRPr="001F151E" w:rsidRDefault="000F0526" w:rsidP="000C70FA">
            <w:pPr>
              <w:pStyle w:val="T-normal"/>
            </w:pPr>
            <w:r w:rsidRPr="001F151E">
              <w:t xml:space="preserve">2.2 </w:t>
            </w:r>
            <w:r w:rsidRPr="008906C8">
              <w:t>Planifikimi Buxhetor Afatmesëm</w:t>
            </w:r>
          </w:p>
        </w:tc>
        <w:tc>
          <w:tcPr>
            <w:tcW w:w="620" w:type="dxa"/>
            <w:tcBorders>
              <w:top w:val="single" w:sz="4" w:space="0" w:color="auto"/>
              <w:left w:val="single" w:sz="4" w:space="0" w:color="auto"/>
              <w:bottom w:val="single" w:sz="4" w:space="0" w:color="auto"/>
              <w:right w:val="single" w:sz="4" w:space="0" w:color="auto"/>
            </w:tcBorders>
          </w:tcPr>
          <w:p w14:paraId="63646053"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tcPr>
          <w:p w14:paraId="1CD042DF"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tcPr>
          <w:p w14:paraId="7CA21C01"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72195F00"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hideMark/>
          </w:tcPr>
          <w:p w14:paraId="525E80F4" w14:textId="77777777" w:rsidR="000F0526" w:rsidRPr="001F151E" w:rsidRDefault="000F0526" w:rsidP="000C70FA">
            <w:pPr>
              <w:pStyle w:val="T-normal"/>
              <w:jc w:val="center"/>
            </w:pPr>
            <w:r>
              <w:t>U</w:t>
            </w:r>
          </w:p>
        </w:tc>
        <w:tc>
          <w:tcPr>
            <w:tcW w:w="540" w:type="dxa"/>
            <w:tcBorders>
              <w:top w:val="single" w:sz="4" w:space="0" w:color="auto"/>
              <w:left w:val="single" w:sz="4" w:space="0" w:color="auto"/>
              <w:bottom w:val="single" w:sz="4" w:space="0" w:color="auto"/>
              <w:right w:val="single" w:sz="4" w:space="0" w:color="auto"/>
            </w:tcBorders>
            <w:hideMark/>
          </w:tcPr>
          <w:p w14:paraId="0E85F785" w14:textId="77777777" w:rsidR="000F0526" w:rsidRPr="001F151E" w:rsidRDefault="000F0526" w:rsidP="000C70FA">
            <w:pPr>
              <w:pStyle w:val="T-normal"/>
              <w:jc w:val="center"/>
            </w:pPr>
            <w:r>
              <w:t>U</w:t>
            </w:r>
          </w:p>
        </w:tc>
        <w:tc>
          <w:tcPr>
            <w:tcW w:w="561" w:type="dxa"/>
            <w:tcBorders>
              <w:top w:val="single" w:sz="4" w:space="0" w:color="auto"/>
              <w:left w:val="single" w:sz="4" w:space="0" w:color="auto"/>
              <w:bottom w:val="single" w:sz="4" w:space="0" w:color="auto"/>
              <w:right w:val="single" w:sz="4" w:space="0" w:color="auto"/>
            </w:tcBorders>
          </w:tcPr>
          <w:p w14:paraId="44756BDA" w14:textId="77777777" w:rsidR="000F0526" w:rsidRPr="001F151E" w:rsidRDefault="000F0526" w:rsidP="000C70FA">
            <w:pPr>
              <w:pStyle w:val="T-normal"/>
              <w:jc w:val="center"/>
            </w:pPr>
            <w:r w:rsidRPr="001F151E">
              <w:t>M</w:t>
            </w:r>
          </w:p>
        </w:tc>
      </w:tr>
      <w:tr w:rsidR="000F0526" w:rsidRPr="001F151E" w14:paraId="765D43E2"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033A6B4A" w14:textId="43B09F58" w:rsidR="000F0526" w:rsidRPr="008906C8" w:rsidRDefault="000F0526" w:rsidP="000C70FA">
            <w:pPr>
              <w:pStyle w:val="T-normal"/>
              <w:rPr>
                <w:lang w:val="it-IT"/>
              </w:rPr>
            </w:pPr>
            <w:r w:rsidRPr="008906C8">
              <w:rPr>
                <w:lang w:val="it-IT"/>
              </w:rPr>
              <w:t xml:space="preserve">2.3 </w:t>
            </w:r>
            <w:r w:rsidR="00A55715">
              <w:rPr>
                <w:lang w:val="it-IT"/>
              </w:rPr>
              <w:t>Menaxhimi i</w:t>
            </w:r>
            <w:r w:rsidRPr="008906C8">
              <w:rPr>
                <w:lang w:val="it-IT"/>
              </w:rPr>
              <w:t xml:space="preserve"> Investimeve Publike</w:t>
            </w:r>
          </w:p>
        </w:tc>
        <w:tc>
          <w:tcPr>
            <w:tcW w:w="620" w:type="dxa"/>
            <w:tcBorders>
              <w:top w:val="single" w:sz="4" w:space="0" w:color="auto"/>
              <w:left w:val="single" w:sz="4" w:space="0" w:color="auto"/>
              <w:bottom w:val="single" w:sz="4" w:space="0" w:color="auto"/>
              <w:right w:val="single" w:sz="4" w:space="0" w:color="auto"/>
            </w:tcBorders>
            <w:hideMark/>
          </w:tcPr>
          <w:p w14:paraId="73329C51" w14:textId="77777777" w:rsidR="000F0526" w:rsidRPr="001F151E" w:rsidRDefault="000F0526" w:rsidP="000C70FA">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77A3D698" w14:textId="77777777" w:rsidR="000F0526" w:rsidRPr="001F151E" w:rsidRDefault="000F0526" w:rsidP="000C70FA">
            <w:pPr>
              <w:pStyle w:val="T-normal"/>
              <w:jc w:val="center"/>
            </w:pPr>
            <w:r>
              <w:t>L</w:t>
            </w:r>
          </w:p>
        </w:tc>
        <w:tc>
          <w:tcPr>
            <w:tcW w:w="742" w:type="dxa"/>
            <w:tcBorders>
              <w:top w:val="single" w:sz="4" w:space="0" w:color="auto"/>
              <w:left w:val="single" w:sz="4" w:space="0" w:color="auto"/>
              <w:bottom w:val="single" w:sz="4" w:space="0" w:color="auto"/>
              <w:right w:val="single" w:sz="4" w:space="0" w:color="auto"/>
            </w:tcBorders>
          </w:tcPr>
          <w:p w14:paraId="636C9035" w14:textId="77777777" w:rsidR="000F0526" w:rsidRPr="001F151E" w:rsidRDefault="000F0526" w:rsidP="000C70FA">
            <w:pPr>
              <w:pStyle w:val="T-normal"/>
              <w:jc w:val="center"/>
            </w:pPr>
            <w:r>
              <w:t>L</w:t>
            </w:r>
          </w:p>
        </w:tc>
        <w:tc>
          <w:tcPr>
            <w:tcW w:w="720" w:type="dxa"/>
            <w:tcBorders>
              <w:top w:val="single" w:sz="4" w:space="0" w:color="auto"/>
              <w:left w:val="single" w:sz="4" w:space="0" w:color="auto"/>
              <w:bottom w:val="single" w:sz="4" w:space="0" w:color="auto"/>
              <w:right w:val="single" w:sz="4" w:space="0" w:color="auto"/>
            </w:tcBorders>
          </w:tcPr>
          <w:p w14:paraId="56E53F5B" w14:textId="17CC0C62" w:rsidR="000F0526" w:rsidRPr="001F151E" w:rsidRDefault="005C272B" w:rsidP="000C70FA">
            <w:pPr>
              <w:pStyle w:val="T-normal"/>
              <w:jc w:val="center"/>
            </w:pPr>
            <w:r>
              <w:t>M</w:t>
            </w:r>
          </w:p>
        </w:tc>
        <w:tc>
          <w:tcPr>
            <w:tcW w:w="540" w:type="dxa"/>
            <w:tcBorders>
              <w:top w:val="single" w:sz="4" w:space="0" w:color="auto"/>
              <w:left w:val="single" w:sz="4" w:space="0" w:color="auto"/>
              <w:bottom w:val="single" w:sz="4" w:space="0" w:color="auto"/>
              <w:right w:val="single" w:sz="4" w:space="0" w:color="auto"/>
            </w:tcBorders>
          </w:tcPr>
          <w:p w14:paraId="33BC7ACC" w14:textId="77777777" w:rsidR="000F0526" w:rsidRPr="001F151E" w:rsidRDefault="000F0526" w:rsidP="000C70FA">
            <w:pPr>
              <w:pStyle w:val="T-normal"/>
              <w:jc w:val="center"/>
            </w:pPr>
            <w:r>
              <w:t>U</w:t>
            </w:r>
          </w:p>
        </w:tc>
        <w:tc>
          <w:tcPr>
            <w:tcW w:w="540" w:type="dxa"/>
            <w:tcBorders>
              <w:top w:val="single" w:sz="4" w:space="0" w:color="auto"/>
              <w:left w:val="single" w:sz="4" w:space="0" w:color="auto"/>
              <w:bottom w:val="single" w:sz="4" w:space="0" w:color="auto"/>
              <w:right w:val="single" w:sz="4" w:space="0" w:color="auto"/>
            </w:tcBorders>
          </w:tcPr>
          <w:p w14:paraId="60BFBDCC"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tcPr>
          <w:p w14:paraId="36E12535" w14:textId="4CC633F0" w:rsidR="000F0526" w:rsidRPr="001F151E" w:rsidRDefault="005C272B" w:rsidP="000C70FA">
            <w:pPr>
              <w:pStyle w:val="T-normal"/>
              <w:jc w:val="center"/>
            </w:pPr>
            <w:r>
              <w:t>M</w:t>
            </w:r>
          </w:p>
        </w:tc>
      </w:tr>
      <w:tr w:rsidR="000F0526" w:rsidRPr="001F151E" w14:paraId="041BC694"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730228F0" w14:textId="383BF4CF" w:rsidR="000F0526" w:rsidRPr="001F151E" w:rsidRDefault="000F0526" w:rsidP="000C70FA">
            <w:pPr>
              <w:pStyle w:val="T-normal"/>
            </w:pPr>
            <w:r w:rsidRPr="001F151E">
              <w:t xml:space="preserve">2.4 </w:t>
            </w:r>
            <w:r w:rsidRPr="00C8301A">
              <w:t xml:space="preserve">Financat </w:t>
            </w:r>
            <w:r w:rsidR="00A55715">
              <w:t>Vendore</w:t>
            </w:r>
          </w:p>
        </w:tc>
        <w:tc>
          <w:tcPr>
            <w:tcW w:w="620" w:type="dxa"/>
            <w:tcBorders>
              <w:top w:val="single" w:sz="4" w:space="0" w:color="auto"/>
              <w:left w:val="single" w:sz="4" w:space="0" w:color="auto"/>
              <w:bottom w:val="single" w:sz="4" w:space="0" w:color="auto"/>
              <w:right w:val="single" w:sz="4" w:space="0" w:color="auto"/>
            </w:tcBorders>
          </w:tcPr>
          <w:p w14:paraId="34E9787F"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tcPr>
          <w:p w14:paraId="7BC07CF8"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tcPr>
          <w:p w14:paraId="22873852" w14:textId="77777777" w:rsidR="000F0526" w:rsidRPr="001F151E" w:rsidRDefault="000F0526" w:rsidP="000C70FA">
            <w:pPr>
              <w:pStyle w:val="T-normal"/>
              <w:jc w:val="center"/>
            </w:pPr>
            <w:r>
              <w:t>L</w:t>
            </w:r>
          </w:p>
        </w:tc>
        <w:tc>
          <w:tcPr>
            <w:tcW w:w="720" w:type="dxa"/>
            <w:tcBorders>
              <w:top w:val="single" w:sz="4" w:space="0" w:color="auto"/>
              <w:left w:val="single" w:sz="4" w:space="0" w:color="auto"/>
              <w:bottom w:val="single" w:sz="4" w:space="0" w:color="auto"/>
              <w:right w:val="single" w:sz="4" w:space="0" w:color="auto"/>
            </w:tcBorders>
          </w:tcPr>
          <w:p w14:paraId="38886FF1" w14:textId="77777777" w:rsidR="000F0526" w:rsidRPr="001F151E" w:rsidRDefault="000F0526" w:rsidP="000C70FA">
            <w:pPr>
              <w:pStyle w:val="T-normal"/>
              <w:jc w:val="center"/>
            </w:pPr>
            <w:r>
              <w:t>M</w:t>
            </w:r>
          </w:p>
        </w:tc>
        <w:tc>
          <w:tcPr>
            <w:tcW w:w="540" w:type="dxa"/>
            <w:tcBorders>
              <w:top w:val="single" w:sz="4" w:space="0" w:color="auto"/>
              <w:left w:val="single" w:sz="4" w:space="0" w:color="auto"/>
              <w:bottom w:val="single" w:sz="4" w:space="0" w:color="auto"/>
              <w:right w:val="single" w:sz="4" w:space="0" w:color="auto"/>
            </w:tcBorders>
            <w:hideMark/>
          </w:tcPr>
          <w:p w14:paraId="653B3555"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2B79F458"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tcPr>
          <w:p w14:paraId="009F8E1E" w14:textId="77777777" w:rsidR="000F0526" w:rsidRPr="001F151E" w:rsidRDefault="000F0526" w:rsidP="000C70FA">
            <w:pPr>
              <w:pStyle w:val="T-normal"/>
              <w:jc w:val="center"/>
            </w:pPr>
            <w:r>
              <w:t>L</w:t>
            </w:r>
          </w:p>
        </w:tc>
      </w:tr>
      <w:tr w:rsidR="000F0526" w:rsidRPr="001F151E" w14:paraId="68798872"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tcPr>
          <w:p w14:paraId="389DDFA7" w14:textId="3B4F9A06" w:rsidR="000F0526" w:rsidRPr="00C8301A" w:rsidRDefault="000F0526" w:rsidP="000C70FA">
            <w:pPr>
              <w:pStyle w:val="T-normal"/>
              <w:rPr>
                <w:lang w:val="it-IT"/>
              </w:rPr>
            </w:pPr>
            <w:r w:rsidRPr="00C8301A">
              <w:rPr>
                <w:lang w:val="it-IT"/>
              </w:rPr>
              <w:t xml:space="preserve">2.5 </w:t>
            </w:r>
            <w:r w:rsidR="00A55715">
              <w:rPr>
                <w:lang w:val="it-IT"/>
              </w:rPr>
              <w:t xml:space="preserve">Raportimi dhe </w:t>
            </w:r>
            <w:r w:rsidRPr="00C8301A">
              <w:rPr>
                <w:lang w:val="it-IT"/>
              </w:rPr>
              <w:t xml:space="preserve">Monitorimi </w:t>
            </w:r>
            <w:r w:rsidR="00A55715">
              <w:rPr>
                <w:lang w:val="it-IT"/>
              </w:rPr>
              <w:t>i Zbatimit</w:t>
            </w:r>
            <w:r w:rsidRPr="00C8301A">
              <w:rPr>
                <w:lang w:val="it-IT"/>
              </w:rPr>
              <w:t xml:space="preserve"> të </w:t>
            </w:r>
            <w:r w:rsidR="00A55715">
              <w:rPr>
                <w:lang w:val="it-IT"/>
              </w:rPr>
              <w:t>B</w:t>
            </w:r>
            <w:r w:rsidRPr="00C8301A">
              <w:rPr>
                <w:lang w:val="it-IT"/>
              </w:rPr>
              <w:t>uxhetit</w:t>
            </w:r>
          </w:p>
        </w:tc>
        <w:tc>
          <w:tcPr>
            <w:tcW w:w="620" w:type="dxa"/>
            <w:tcBorders>
              <w:top w:val="single" w:sz="4" w:space="0" w:color="auto"/>
              <w:left w:val="single" w:sz="4" w:space="0" w:color="auto"/>
              <w:bottom w:val="single" w:sz="4" w:space="0" w:color="auto"/>
              <w:right w:val="single" w:sz="4" w:space="0" w:color="auto"/>
            </w:tcBorders>
          </w:tcPr>
          <w:p w14:paraId="1B99DE5F"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tcPr>
          <w:p w14:paraId="78F4AEC9"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tcPr>
          <w:p w14:paraId="5DE251C6" w14:textId="77777777" w:rsidR="000F0526" w:rsidRPr="001F151E" w:rsidRDefault="000F0526" w:rsidP="000C70FA">
            <w:pPr>
              <w:pStyle w:val="T-normal"/>
              <w:jc w:val="center"/>
            </w:pPr>
            <w:r>
              <w:t>L</w:t>
            </w:r>
          </w:p>
        </w:tc>
        <w:tc>
          <w:tcPr>
            <w:tcW w:w="720" w:type="dxa"/>
            <w:tcBorders>
              <w:top w:val="single" w:sz="4" w:space="0" w:color="auto"/>
              <w:left w:val="single" w:sz="4" w:space="0" w:color="auto"/>
              <w:bottom w:val="single" w:sz="4" w:space="0" w:color="auto"/>
              <w:right w:val="single" w:sz="4" w:space="0" w:color="auto"/>
            </w:tcBorders>
          </w:tcPr>
          <w:p w14:paraId="4E680367" w14:textId="77777777" w:rsidR="000F0526" w:rsidRPr="001F151E" w:rsidRDefault="000F0526" w:rsidP="000C70FA">
            <w:pPr>
              <w:pStyle w:val="T-normal"/>
              <w:jc w:val="center"/>
            </w:pPr>
            <w:r>
              <w:t>M</w:t>
            </w:r>
          </w:p>
        </w:tc>
        <w:tc>
          <w:tcPr>
            <w:tcW w:w="540" w:type="dxa"/>
            <w:tcBorders>
              <w:top w:val="single" w:sz="4" w:space="0" w:color="auto"/>
              <w:left w:val="single" w:sz="4" w:space="0" w:color="auto"/>
              <w:bottom w:val="single" w:sz="4" w:space="0" w:color="auto"/>
              <w:right w:val="single" w:sz="4" w:space="0" w:color="auto"/>
            </w:tcBorders>
          </w:tcPr>
          <w:p w14:paraId="07576488"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3EB86E47" w14:textId="77777777" w:rsidR="000F0526" w:rsidRPr="001F151E" w:rsidRDefault="000F0526" w:rsidP="000C70FA">
            <w:pPr>
              <w:pStyle w:val="T-normal"/>
              <w:jc w:val="center"/>
            </w:pPr>
            <w:r>
              <w:t>U</w:t>
            </w:r>
          </w:p>
        </w:tc>
        <w:tc>
          <w:tcPr>
            <w:tcW w:w="561" w:type="dxa"/>
            <w:tcBorders>
              <w:top w:val="single" w:sz="4" w:space="0" w:color="auto"/>
              <w:left w:val="single" w:sz="4" w:space="0" w:color="auto"/>
              <w:bottom w:val="single" w:sz="4" w:space="0" w:color="auto"/>
              <w:right w:val="single" w:sz="4" w:space="0" w:color="auto"/>
            </w:tcBorders>
          </w:tcPr>
          <w:p w14:paraId="446B6E76" w14:textId="77777777" w:rsidR="000F0526" w:rsidRPr="001F151E" w:rsidRDefault="000F0526" w:rsidP="000C70FA">
            <w:pPr>
              <w:pStyle w:val="T-normal"/>
              <w:jc w:val="center"/>
            </w:pPr>
            <w:r w:rsidRPr="001F151E">
              <w:t>M</w:t>
            </w:r>
          </w:p>
        </w:tc>
      </w:tr>
      <w:tr w:rsidR="000F0526" w:rsidRPr="0059094E" w14:paraId="21916FC7" w14:textId="77777777" w:rsidTr="000C70FA">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974669E" w14:textId="1F6992DF" w:rsidR="000F0526" w:rsidRPr="00C8301A" w:rsidRDefault="000F0526" w:rsidP="000C70FA">
            <w:pPr>
              <w:pStyle w:val="T-normal"/>
              <w:rPr>
                <w:lang w:val="it-IT"/>
              </w:rPr>
            </w:pPr>
            <w:r w:rsidRPr="00C8301A">
              <w:rPr>
                <w:lang w:val="it-IT"/>
              </w:rPr>
              <w:t xml:space="preserve">Shtylla 3: </w:t>
            </w:r>
            <w:r w:rsidR="00156757" w:rsidRPr="00156757">
              <w:rPr>
                <w:lang w:val="it-IT"/>
              </w:rPr>
              <w:t xml:space="preserve">Menaxhimi dhe </w:t>
            </w:r>
            <w:r w:rsidR="00A55715">
              <w:rPr>
                <w:lang w:val="it-IT"/>
              </w:rPr>
              <w:t>M</w:t>
            </w:r>
            <w:r w:rsidR="00156757" w:rsidRPr="00156757">
              <w:rPr>
                <w:lang w:val="it-IT"/>
              </w:rPr>
              <w:t xml:space="preserve">obilizimi i të </w:t>
            </w:r>
            <w:r w:rsidR="00A55715">
              <w:rPr>
                <w:lang w:val="it-IT"/>
              </w:rPr>
              <w:t>A</w:t>
            </w:r>
            <w:r w:rsidR="00156757" w:rsidRPr="00156757">
              <w:rPr>
                <w:lang w:val="it-IT"/>
              </w:rPr>
              <w:t>rdhurave</w:t>
            </w:r>
          </w:p>
        </w:tc>
      </w:tr>
      <w:tr w:rsidR="000F0526" w:rsidRPr="001F151E" w14:paraId="65E40DC1"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6379D77E" w14:textId="0AADBE27" w:rsidR="000F0526" w:rsidRPr="001F151E" w:rsidRDefault="000F0526" w:rsidP="000C70FA">
            <w:pPr>
              <w:pStyle w:val="T-normal"/>
            </w:pPr>
            <w:r w:rsidRPr="001F151E">
              <w:t xml:space="preserve">3.1 </w:t>
            </w:r>
            <w:r w:rsidRPr="00C8301A">
              <w:t xml:space="preserve">Menaxhimi i </w:t>
            </w:r>
            <w:r w:rsidR="00A55715">
              <w:t>T</w:t>
            </w:r>
            <w:r w:rsidRPr="00C8301A">
              <w:t>aksave</w:t>
            </w:r>
          </w:p>
        </w:tc>
        <w:tc>
          <w:tcPr>
            <w:tcW w:w="620" w:type="dxa"/>
            <w:tcBorders>
              <w:top w:val="single" w:sz="4" w:space="0" w:color="auto"/>
              <w:left w:val="single" w:sz="4" w:space="0" w:color="auto"/>
              <w:bottom w:val="single" w:sz="4" w:space="0" w:color="auto"/>
              <w:right w:val="single" w:sz="4" w:space="0" w:color="auto"/>
            </w:tcBorders>
            <w:vAlign w:val="center"/>
          </w:tcPr>
          <w:p w14:paraId="544CF170" w14:textId="77777777" w:rsidR="000F0526" w:rsidRPr="001F151E" w:rsidRDefault="000F0526" w:rsidP="000C70FA">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vAlign w:val="center"/>
          </w:tcPr>
          <w:p w14:paraId="26D72869" w14:textId="77777777" w:rsidR="000F0526" w:rsidRPr="001F151E" w:rsidRDefault="000F0526" w:rsidP="000C70FA">
            <w:pPr>
              <w:pStyle w:val="T-normal"/>
              <w:jc w:val="center"/>
            </w:pPr>
            <w:r>
              <w:t>L</w:t>
            </w:r>
          </w:p>
        </w:tc>
        <w:tc>
          <w:tcPr>
            <w:tcW w:w="742" w:type="dxa"/>
            <w:tcBorders>
              <w:top w:val="single" w:sz="4" w:space="0" w:color="auto"/>
              <w:left w:val="single" w:sz="4" w:space="0" w:color="auto"/>
              <w:bottom w:val="single" w:sz="4" w:space="0" w:color="auto"/>
              <w:right w:val="single" w:sz="4" w:space="0" w:color="auto"/>
            </w:tcBorders>
            <w:vAlign w:val="center"/>
          </w:tcPr>
          <w:p w14:paraId="27360C01"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vAlign w:val="center"/>
          </w:tcPr>
          <w:p w14:paraId="5F773D41" w14:textId="77777777" w:rsidR="000F0526" w:rsidRPr="001F151E" w:rsidRDefault="000F0526" w:rsidP="000C70FA">
            <w:pPr>
              <w:pStyle w:val="T-normal"/>
              <w:jc w:val="center"/>
            </w:pPr>
            <w:r>
              <w:t>L</w:t>
            </w:r>
          </w:p>
        </w:tc>
        <w:tc>
          <w:tcPr>
            <w:tcW w:w="540" w:type="dxa"/>
            <w:tcBorders>
              <w:top w:val="single" w:sz="4" w:space="0" w:color="auto"/>
              <w:left w:val="single" w:sz="4" w:space="0" w:color="auto"/>
              <w:bottom w:val="single" w:sz="4" w:space="0" w:color="auto"/>
              <w:right w:val="single" w:sz="4" w:space="0" w:color="auto"/>
            </w:tcBorders>
            <w:vAlign w:val="center"/>
          </w:tcPr>
          <w:p w14:paraId="7C75DDF8" w14:textId="77777777" w:rsidR="000F0526" w:rsidRPr="001F151E" w:rsidRDefault="000F0526" w:rsidP="000C70FA">
            <w:pPr>
              <w:pStyle w:val="T-normal"/>
              <w:jc w:val="center"/>
            </w:pPr>
            <w:r>
              <w:t>L</w:t>
            </w:r>
          </w:p>
        </w:tc>
        <w:tc>
          <w:tcPr>
            <w:tcW w:w="540" w:type="dxa"/>
            <w:tcBorders>
              <w:top w:val="single" w:sz="4" w:space="0" w:color="auto"/>
              <w:left w:val="single" w:sz="4" w:space="0" w:color="auto"/>
              <w:bottom w:val="single" w:sz="4" w:space="0" w:color="auto"/>
              <w:right w:val="single" w:sz="4" w:space="0" w:color="auto"/>
            </w:tcBorders>
            <w:vAlign w:val="center"/>
          </w:tcPr>
          <w:p w14:paraId="50D180DB"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vAlign w:val="center"/>
          </w:tcPr>
          <w:p w14:paraId="104944E0" w14:textId="77777777" w:rsidR="000F0526" w:rsidRPr="001F151E" w:rsidRDefault="000F0526" w:rsidP="000C70FA">
            <w:pPr>
              <w:pStyle w:val="T-normal"/>
              <w:jc w:val="center"/>
            </w:pPr>
            <w:r w:rsidRPr="001F151E">
              <w:t>M</w:t>
            </w:r>
          </w:p>
        </w:tc>
      </w:tr>
      <w:tr w:rsidR="000F0526" w:rsidRPr="001F151E" w14:paraId="410C980F"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78F090C8" w14:textId="66EA5299" w:rsidR="000F0526" w:rsidRPr="00043EBC" w:rsidRDefault="000F0526" w:rsidP="000C70FA">
            <w:pPr>
              <w:pStyle w:val="T-normal"/>
              <w:rPr>
                <w:lang w:val="it-IT"/>
              </w:rPr>
            </w:pPr>
            <w:r w:rsidRPr="00043EBC">
              <w:rPr>
                <w:lang w:val="it-IT"/>
              </w:rPr>
              <w:t xml:space="preserve">3.2 Menaxhimi i </w:t>
            </w:r>
            <w:r w:rsidR="00A55715">
              <w:rPr>
                <w:lang w:val="it-IT"/>
              </w:rPr>
              <w:t>Taks</w:t>
            </w:r>
            <w:r w:rsidR="00EB65F3">
              <w:rPr>
                <w:lang w:val="it-IT"/>
              </w:rPr>
              <w:t>ë</w:t>
            </w:r>
            <w:r w:rsidR="00A55715">
              <w:rPr>
                <w:lang w:val="it-IT"/>
              </w:rPr>
              <w:t>s s</w:t>
            </w:r>
            <w:r w:rsidR="00EB65F3">
              <w:rPr>
                <w:lang w:val="it-IT"/>
              </w:rPr>
              <w:t>ë</w:t>
            </w:r>
            <w:r w:rsidR="00A55715">
              <w:rPr>
                <w:lang w:val="it-IT"/>
              </w:rPr>
              <w:t xml:space="preserve"> Pasuris</w:t>
            </w:r>
            <w:r w:rsidR="00EB65F3">
              <w:rPr>
                <w:lang w:val="it-IT"/>
              </w:rPr>
              <w:t>ë</w:t>
            </w:r>
          </w:p>
        </w:tc>
        <w:tc>
          <w:tcPr>
            <w:tcW w:w="620" w:type="dxa"/>
            <w:tcBorders>
              <w:top w:val="single" w:sz="4" w:space="0" w:color="auto"/>
              <w:left w:val="single" w:sz="4" w:space="0" w:color="auto"/>
              <w:bottom w:val="single" w:sz="4" w:space="0" w:color="auto"/>
              <w:right w:val="single" w:sz="4" w:space="0" w:color="auto"/>
            </w:tcBorders>
            <w:vAlign w:val="center"/>
          </w:tcPr>
          <w:p w14:paraId="3FEF4989" w14:textId="77777777" w:rsidR="000F0526" w:rsidRPr="001F151E" w:rsidRDefault="000F0526" w:rsidP="000C70FA">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vAlign w:val="center"/>
          </w:tcPr>
          <w:p w14:paraId="59E4D06E" w14:textId="77777777" w:rsidR="000F0526" w:rsidRPr="001F151E" w:rsidRDefault="000F0526" w:rsidP="000C70FA">
            <w:pPr>
              <w:pStyle w:val="T-normal"/>
              <w:jc w:val="center"/>
            </w:pPr>
            <w:r>
              <w:t>L</w:t>
            </w:r>
          </w:p>
        </w:tc>
        <w:tc>
          <w:tcPr>
            <w:tcW w:w="742" w:type="dxa"/>
            <w:tcBorders>
              <w:top w:val="single" w:sz="4" w:space="0" w:color="auto"/>
              <w:left w:val="single" w:sz="4" w:space="0" w:color="auto"/>
              <w:bottom w:val="single" w:sz="4" w:space="0" w:color="auto"/>
              <w:right w:val="single" w:sz="4" w:space="0" w:color="auto"/>
            </w:tcBorders>
            <w:vAlign w:val="center"/>
          </w:tcPr>
          <w:p w14:paraId="3A1CE6A0"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vAlign w:val="center"/>
          </w:tcPr>
          <w:p w14:paraId="01C859BA" w14:textId="77777777" w:rsidR="000F0526" w:rsidRPr="001F151E" w:rsidRDefault="000F0526" w:rsidP="000C70FA">
            <w:pPr>
              <w:pStyle w:val="T-normal"/>
              <w:jc w:val="center"/>
            </w:pPr>
            <w:r>
              <w:t>L</w:t>
            </w:r>
          </w:p>
        </w:tc>
        <w:tc>
          <w:tcPr>
            <w:tcW w:w="540" w:type="dxa"/>
            <w:tcBorders>
              <w:top w:val="single" w:sz="4" w:space="0" w:color="auto"/>
              <w:left w:val="single" w:sz="4" w:space="0" w:color="auto"/>
              <w:bottom w:val="single" w:sz="4" w:space="0" w:color="auto"/>
              <w:right w:val="single" w:sz="4" w:space="0" w:color="auto"/>
            </w:tcBorders>
            <w:vAlign w:val="center"/>
          </w:tcPr>
          <w:p w14:paraId="7E26E0A0" w14:textId="77777777" w:rsidR="000F0526" w:rsidRPr="001F151E" w:rsidRDefault="000F0526" w:rsidP="000C70FA">
            <w:pPr>
              <w:pStyle w:val="T-normal"/>
              <w:jc w:val="center"/>
            </w:pPr>
            <w:r>
              <w:t>L</w:t>
            </w:r>
          </w:p>
        </w:tc>
        <w:tc>
          <w:tcPr>
            <w:tcW w:w="540" w:type="dxa"/>
            <w:tcBorders>
              <w:top w:val="single" w:sz="4" w:space="0" w:color="auto"/>
              <w:left w:val="single" w:sz="4" w:space="0" w:color="auto"/>
              <w:bottom w:val="single" w:sz="4" w:space="0" w:color="auto"/>
              <w:right w:val="single" w:sz="4" w:space="0" w:color="auto"/>
            </w:tcBorders>
            <w:vAlign w:val="center"/>
          </w:tcPr>
          <w:p w14:paraId="348452D6"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vAlign w:val="center"/>
          </w:tcPr>
          <w:p w14:paraId="536ABE1F" w14:textId="77777777" w:rsidR="000F0526" w:rsidRPr="001F151E" w:rsidRDefault="000F0526" w:rsidP="000C70FA">
            <w:pPr>
              <w:pStyle w:val="T-normal"/>
              <w:jc w:val="center"/>
            </w:pPr>
            <w:r>
              <w:t>L</w:t>
            </w:r>
          </w:p>
        </w:tc>
      </w:tr>
      <w:tr w:rsidR="000F0526" w:rsidRPr="001F151E" w14:paraId="6E8019A1"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1B324766" w14:textId="48397AF1" w:rsidR="000F0526" w:rsidRPr="001F151E" w:rsidRDefault="000F0526" w:rsidP="000C70FA">
            <w:pPr>
              <w:pStyle w:val="T-normal"/>
            </w:pPr>
            <w:r w:rsidRPr="001F151E">
              <w:t xml:space="preserve">3.3 </w:t>
            </w:r>
            <w:r w:rsidRPr="00043EBC">
              <w:t xml:space="preserve">Menaxhimi </w:t>
            </w:r>
            <w:r w:rsidR="00A55715">
              <w:t>D</w:t>
            </w:r>
            <w:r w:rsidRPr="00043EBC">
              <w:t>ogan</w:t>
            </w:r>
            <w:r w:rsidR="00A55715">
              <w:t>or</w:t>
            </w:r>
          </w:p>
        </w:tc>
        <w:tc>
          <w:tcPr>
            <w:tcW w:w="620" w:type="dxa"/>
            <w:tcBorders>
              <w:top w:val="single" w:sz="4" w:space="0" w:color="auto"/>
              <w:left w:val="single" w:sz="4" w:space="0" w:color="auto"/>
              <w:bottom w:val="single" w:sz="4" w:space="0" w:color="auto"/>
              <w:right w:val="single" w:sz="4" w:space="0" w:color="auto"/>
            </w:tcBorders>
            <w:vAlign w:val="center"/>
          </w:tcPr>
          <w:p w14:paraId="72E9E69F" w14:textId="77777777" w:rsidR="000F0526" w:rsidRPr="001F151E" w:rsidRDefault="000F0526" w:rsidP="000C70FA">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vAlign w:val="center"/>
          </w:tcPr>
          <w:p w14:paraId="12416869" w14:textId="77777777" w:rsidR="000F0526" w:rsidRPr="001F151E" w:rsidRDefault="000F0526" w:rsidP="000C70FA">
            <w:pPr>
              <w:pStyle w:val="T-normal"/>
              <w:jc w:val="center"/>
            </w:pPr>
            <w:r>
              <w:t>L</w:t>
            </w:r>
          </w:p>
        </w:tc>
        <w:tc>
          <w:tcPr>
            <w:tcW w:w="742" w:type="dxa"/>
            <w:tcBorders>
              <w:top w:val="single" w:sz="4" w:space="0" w:color="auto"/>
              <w:left w:val="single" w:sz="4" w:space="0" w:color="auto"/>
              <w:bottom w:val="single" w:sz="4" w:space="0" w:color="auto"/>
              <w:right w:val="single" w:sz="4" w:space="0" w:color="auto"/>
            </w:tcBorders>
            <w:vAlign w:val="center"/>
          </w:tcPr>
          <w:p w14:paraId="724F475A"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vAlign w:val="center"/>
          </w:tcPr>
          <w:p w14:paraId="66714546" w14:textId="77777777" w:rsidR="000F0526" w:rsidRPr="001F151E" w:rsidRDefault="000F0526" w:rsidP="000C70FA">
            <w:pPr>
              <w:pStyle w:val="T-normal"/>
              <w:jc w:val="center"/>
            </w:pPr>
            <w:r>
              <w:t>L</w:t>
            </w:r>
          </w:p>
        </w:tc>
        <w:tc>
          <w:tcPr>
            <w:tcW w:w="540" w:type="dxa"/>
            <w:tcBorders>
              <w:top w:val="single" w:sz="4" w:space="0" w:color="auto"/>
              <w:left w:val="single" w:sz="4" w:space="0" w:color="auto"/>
              <w:bottom w:val="single" w:sz="4" w:space="0" w:color="auto"/>
              <w:right w:val="single" w:sz="4" w:space="0" w:color="auto"/>
            </w:tcBorders>
            <w:vAlign w:val="center"/>
          </w:tcPr>
          <w:p w14:paraId="227B78C1" w14:textId="77777777" w:rsidR="000F0526" w:rsidRPr="001F151E" w:rsidRDefault="000F0526" w:rsidP="000C70FA">
            <w:pPr>
              <w:pStyle w:val="T-normal"/>
              <w:jc w:val="center"/>
            </w:pPr>
            <w:r>
              <w:t>L</w:t>
            </w:r>
          </w:p>
        </w:tc>
        <w:tc>
          <w:tcPr>
            <w:tcW w:w="540" w:type="dxa"/>
            <w:tcBorders>
              <w:top w:val="single" w:sz="4" w:space="0" w:color="auto"/>
              <w:left w:val="single" w:sz="4" w:space="0" w:color="auto"/>
              <w:bottom w:val="single" w:sz="4" w:space="0" w:color="auto"/>
              <w:right w:val="single" w:sz="4" w:space="0" w:color="auto"/>
            </w:tcBorders>
            <w:vAlign w:val="center"/>
          </w:tcPr>
          <w:p w14:paraId="75D45449"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vAlign w:val="center"/>
          </w:tcPr>
          <w:p w14:paraId="6DB25BFE" w14:textId="77777777" w:rsidR="000F0526" w:rsidRPr="001F151E" w:rsidRDefault="000F0526" w:rsidP="000C70FA">
            <w:pPr>
              <w:pStyle w:val="T-normal"/>
              <w:jc w:val="center"/>
            </w:pPr>
            <w:r w:rsidRPr="001F151E">
              <w:t>M</w:t>
            </w:r>
          </w:p>
        </w:tc>
      </w:tr>
      <w:tr w:rsidR="000F0526" w:rsidRPr="0059094E" w14:paraId="743EF222" w14:textId="77777777" w:rsidTr="000C70FA">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3642728" w14:textId="73F78FE2" w:rsidR="000F0526" w:rsidRPr="00043EBC" w:rsidRDefault="000F0526" w:rsidP="000C70FA">
            <w:pPr>
              <w:pStyle w:val="T-normal"/>
              <w:rPr>
                <w:lang w:val="it-IT"/>
              </w:rPr>
            </w:pPr>
            <w:r w:rsidRPr="00043EBC">
              <w:rPr>
                <w:lang w:val="it-IT"/>
              </w:rPr>
              <w:t xml:space="preserve">Shtylla 4: </w:t>
            </w:r>
            <w:r w:rsidR="00156757" w:rsidRPr="00156757">
              <w:rPr>
                <w:lang w:val="it-IT"/>
              </w:rPr>
              <w:t>Kontabiliteti dhe Menaxhimi i Zbatimit të Buxhetit</w:t>
            </w:r>
          </w:p>
        </w:tc>
      </w:tr>
      <w:tr w:rsidR="000F0526" w:rsidRPr="001F151E" w14:paraId="0E2992AE"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tcPr>
          <w:p w14:paraId="2DDC02EE" w14:textId="77777777" w:rsidR="000F0526" w:rsidRPr="001F151E" w:rsidRDefault="000F0526" w:rsidP="000C70FA">
            <w:pPr>
              <w:pStyle w:val="T-normal"/>
            </w:pPr>
            <w:r>
              <w:t>4.1</w:t>
            </w:r>
            <w:r w:rsidRPr="001F151E">
              <w:t xml:space="preserve"> </w:t>
            </w:r>
            <w:r w:rsidRPr="00043EBC">
              <w:t xml:space="preserve">Llogaritë Kombëtare </w:t>
            </w:r>
            <w:r>
              <w:t>të</w:t>
            </w:r>
            <w:r w:rsidRPr="00043EBC">
              <w:t xml:space="preserve"> Qeverisë </w:t>
            </w:r>
          </w:p>
        </w:tc>
        <w:tc>
          <w:tcPr>
            <w:tcW w:w="620" w:type="dxa"/>
            <w:tcBorders>
              <w:top w:val="single" w:sz="4" w:space="0" w:color="auto"/>
              <w:left w:val="single" w:sz="4" w:space="0" w:color="auto"/>
              <w:bottom w:val="single" w:sz="4" w:space="0" w:color="auto"/>
              <w:right w:val="single" w:sz="4" w:space="0" w:color="auto"/>
            </w:tcBorders>
          </w:tcPr>
          <w:p w14:paraId="6C69329C"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tcPr>
          <w:p w14:paraId="1AC775D2" w14:textId="77777777" w:rsidR="000F0526" w:rsidRPr="001F151E" w:rsidRDefault="000F0526" w:rsidP="000C70FA">
            <w:pPr>
              <w:pStyle w:val="T-normal"/>
              <w:jc w:val="center"/>
            </w:pPr>
            <w:r>
              <w:t>U</w:t>
            </w:r>
          </w:p>
        </w:tc>
        <w:tc>
          <w:tcPr>
            <w:tcW w:w="742" w:type="dxa"/>
            <w:tcBorders>
              <w:top w:val="single" w:sz="4" w:space="0" w:color="auto"/>
              <w:left w:val="single" w:sz="4" w:space="0" w:color="auto"/>
              <w:bottom w:val="single" w:sz="4" w:space="0" w:color="auto"/>
              <w:right w:val="single" w:sz="4" w:space="0" w:color="auto"/>
            </w:tcBorders>
          </w:tcPr>
          <w:p w14:paraId="70FFC989"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1FE37B37"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74FABCED" w14:textId="77777777" w:rsidR="000F0526" w:rsidRPr="001F151E" w:rsidRDefault="000F0526" w:rsidP="000C70FA">
            <w:pPr>
              <w:pStyle w:val="T-normal"/>
              <w:jc w:val="center"/>
            </w:pPr>
            <w:r>
              <w:t>U</w:t>
            </w:r>
          </w:p>
        </w:tc>
        <w:tc>
          <w:tcPr>
            <w:tcW w:w="540" w:type="dxa"/>
            <w:tcBorders>
              <w:top w:val="single" w:sz="4" w:space="0" w:color="auto"/>
              <w:left w:val="single" w:sz="4" w:space="0" w:color="auto"/>
              <w:bottom w:val="single" w:sz="4" w:space="0" w:color="auto"/>
              <w:right w:val="single" w:sz="4" w:space="0" w:color="auto"/>
            </w:tcBorders>
          </w:tcPr>
          <w:p w14:paraId="522EC908" w14:textId="77777777" w:rsidR="000F0526" w:rsidRPr="001F151E" w:rsidRDefault="000F0526" w:rsidP="000C70FA">
            <w:pPr>
              <w:pStyle w:val="T-normal"/>
              <w:jc w:val="center"/>
            </w:pPr>
            <w:r>
              <w:t>U</w:t>
            </w:r>
          </w:p>
        </w:tc>
        <w:tc>
          <w:tcPr>
            <w:tcW w:w="561" w:type="dxa"/>
            <w:tcBorders>
              <w:top w:val="single" w:sz="4" w:space="0" w:color="auto"/>
              <w:left w:val="single" w:sz="4" w:space="0" w:color="auto"/>
              <w:bottom w:val="single" w:sz="4" w:space="0" w:color="auto"/>
              <w:right w:val="single" w:sz="4" w:space="0" w:color="auto"/>
            </w:tcBorders>
          </w:tcPr>
          <w:p w14:paraId="67E31856" w14:textId="77777777" w:rsidR="000F0526" w:rsidRPr="001F151E" w:rsidRDefault="000F0526" w:rsidP="000C70FA">
            <w:pPr>
              <w:pStyle w:val="T-normal"/>
              <w:jc w:val="center"/>
            </w:pPr>
            <w:r w:rsidRPr="001F151E">
              <w:t>M</w:t>
            </w:r>
          </w:p>
        </w:tc>
      </w:tr>
      <w:tr w:rsidR="000F0526" w:rsidRPr="001F151E" w14:paraId="5712BA9F"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6BECE537" w14:textId="77777777" w:rsidR="000F0526" w:rsidRPr="001F151E" w:rsidRDefault="000F0526" w:rsidP="000C70FA">
            <w:pPr>
              <w:pStyle w:val="T-normal"/>
            </w:pPr>
            <w:r w:rsidRPr="001F151E">
              <w:t>4.</w:t>
            </w:r>
            <w:r>
              <w:t>2</w:t>
            </w:r>
            <w:r w:rsidRPr="001F151E">
              <w:t xml:space="preserve"> </w:t>
            </w:r>
            <w:r w:rsidRPr="00043EBC">
              <w:t>Kontabiliteti</w:t>
            </w:r>
          </w:p>
        </w:tc>
        <w:tc>
          <w:tcPr>
            <w:tcW w:w="620" w:type="dxa"/>
            <w:tcBorders>
              <w:top w:val="single" w:sz="4" w:space="0" w:color="auto"/>
              <w:left w:val="single" w:sz="4" w:space="0" w:color="auto"/>
              <w:bottom w:val="single" w:sz="4" w:space="0" w:color="auto"/>
              <w:right w:val="single" w:sz="4" w:space="0" w:color="auto"/>
            </w:tcBorders>
          </w:tcPr>
          <w:p w14:paraId="7A225E2C" w14:textId="77777777" w:rsidR="000F0526" w:rsidRPr="001F151E" w:rsidRDefault="000F0526" w:rsidP="000C70FA">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1383AD1B"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tcPr>
          <w:p w14:paraId="3D94A6AC"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0ACAE15D"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24346E33" w14:textId="77777777" w:rsidR="000F0526" w:rsidRPr="001F151E" w:rsidRDefault="000F0526" w:rsidP="000C70FA">
            <w:pPr>
              <w:pStyle w:val="T-normal"/>
              <w:jc w:val="center"/>
            </w:pPr>
            <w:r>
              <w:t>L</w:t>
            </w:r>
          </w:p>
        </w:tc>
        <w:tc>
          <w:tcPr>
            <w:tcW w:w="540" w:type="dxa"/>
            <w:tcBorders>
              <w:top w:val="single" w:sz="4" w:space="0" w:color="auto"/>
              <w:left w:val="single" w:sz="4" w:space="0" w:color="auto"/>
              <w:bottom w:val="single" w:sz="4" w:space="0" w:color="auto"/>
              <w:right w:val="single" w:sz="4" w:space="0" w:color="auto"/>
            </w:tcBorders>
          </w:tcPr>
          <w:p w14:paraId="0A7463F6"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tcPr>
          <w:p w14:paraId="2E2B8825" w14:textId="77777777" w:rsidR="000F0526" w:rsidRPr="001F151E" w:rsidRDefault="000F0526" w:rsidP="000C70FA">
            <w:pPr>
              <w:pStyle w:val="T-normal"/>
              <w:jc w:val="center"/>
            </w:pPr>
            <w:r>
              <w:t>U</w:t>
            </w:r>
          </w:p>
        </w:tc>
      </w:tr>
      <w:tr w:rsidR="000F0526" w:rsidRPr="001F151E" w14:paraId="4B7D6E9B"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048E5509" w14:textId="77777777" w:rsidR="000F0526" w:rsidRPr="001F151E" w:rsidRDefault="000F0526" w:rsidP="000C70FA">
            <w:pPr>
              <w:pStyle w:val="T-normal"/>
            </w:pPr>
            <w:r w:rsidRPr="001F151E">
              <w:t>4.</w:t>
            </w:r>
            <w:r>
              <w:t>3</w:t>
            </w:r>
            <w:r w:rsidRPr="001F151E">
              <w:t xml:space="preserve"> </w:t>
            </w:r>
            <w:r w:rsidRPr="00CD43E3">
              <w:t>Prokurimi Publik</w:t>
            </w:r>
          </w:p>
        </w:tc>
        <w:tc>
          <w:tcPr>
            <w:tcW w:w="620" w:type="dxa"/>
            <w:tcBorders>
              <w:top w:val="single" w:sz="4" w:space="0" w:color="auto"/>
              <w:left w:val="single" w:sz="4" w:space="0" w:color="auto"/>
              <w:bottom w:val="single" w:sz="4" w:space="0" w:color="auto"/>
              <w:right w:val="single" w:sz="4" w:space="0" w:color="auto"/>
            </w:tcBorders>
          </w:tcPr>
          <w:p w14:paraId="6360E3A1" w14:textId="4960D4F7" w:rsidR="000F0526" w:rsidRPr="001F151E" w:rsidRDefault="00C26FFD" w:rsidP="000C70FA">
            <w:pPr>
              <w:pStyle w:val="T-normal"/>
              <w:jc w:val="center"/>
            </w:pPr>
            <w:r>
              <w:t>M</w:t>
            </w:r>
          </w:p>
        </w:tc>
        <w:tc>
          <w:tcPr>
            <w:tcW w:w="620" w:type="dxa"/>
            <w:tcBorders>
              <w:top w:val="single" w:sz="4" w:space="0" w:color="auto"/>
              <w:left w:val="single" w:sz="4" w:space="0" w:color="auto"/>
              <w:bottom w:val="single" w:sz="4" w:space="0" w:color="auto"/>
              <w:right w:val="single" w:sz="4" w:space="0" w:color="auto"/>
            </w:tcBorders>
          </w:tcPr>
          <w:p w14:paraId="17097B85"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tcPr>
          <w:p w14:paraId="61D46399"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2BFDCCF5"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42ACADD1"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75950A75"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tcPr>
          <w:p w14:paraId="71BF1B0B" w14:textId="77777777" w:rsidR="000F0526" w:rsidRPr="001F151E" w:rsidRDefault="000F0526" w:rsidP="000C70FA">
            <w:pPr>
              <w:pStyle w:val="T-normal"/>
              <w:jc w:val="center"/>
            </w:pPr>
            <w:r w:rsidRPr="001F151E">
              <w:t>M</w:t>
            </w:r>
          </w:p>
        </w:tc>
      </w:tr>
      <w:tr w:rsidR="000F0526" w:rsidRPr="001F151E" w14:paraId="1A88827D"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260902A8" w14:textId="77777777" w:rsidR="000F0526" w:rsidRPr="001F151E" w:rsidRDefault="000F0526" w:rsidP="000C70FA">
            <w:pPr>
              <w:pStyle w:val="T-normal"/>
            </w:pPr>
            <w:r w:rsidRPr="001F151E">
              <w:t>4.</w:t>
            </w:r>
            <w:r>
              <w:t>4</w:t>
            </w:r>
            <w:r w:rsidRPr="001F151E">
              <w:t xml:space="preserve"> </w:t>
            </w:r>
            <w:r w:rsidRPr="00CD43E3">
              <w:t>Menaxhimi i Borxhit</w:t>
            </w:r>
          </w:p>
        </w:tc>
        <w:tc>
          <w:tcPr>
            <w:tcW w:w="620" w:type="dxa"/>
            <w:tcBorders>
              <w:top w:val="single" w:sz="4" w:space="0" w:color="auto"/>
              <w:left w:val="single" w:sz="4" w:space="0" w:color="auto"/>
              <w:bottom w:val="single" w:sz="4" w:space="0" w:color="auto"/>
              <w:right w:val="single" w:sz="4" w:space="0" w:color="auto"/>
            </w:tcBorders>
          </w:tcPr>
          <w:p w14:paraId="42B7B269"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tcPr>
          <w:p w14:paraId="1C4435A5"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tcPr>
          <w:p w14:paraId="7FCACA10"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21B6C0D3"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7B101F9D"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3499B662"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tcPr>
          <w:p w14:paraId="07F69A42" w14:textId="77777777" w:rsidR="000F0526" w:rsidRPr="001F151E" w:rsidRDefault="000F0526" w:rsidP="000C70FA">
            <w:pPr>
              <w:pStyle w:val="T-normal"/>
              <w:jc w:val="center"/>
            </w:pPr>
            <w:r>
              <w:t>U</w:t>
            </w:r>
          </w:p>
        </w:tc>
      </w:tr>
      <w:tr w:rsidR="000F0526" w:rsidRPr="001F151E" w14:paraId="532B4661"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0202A4D8" w14:textId="0C27460A" w:rsidR="000F0526" w:rsidRPr="001F151E" w:rsidRDefault="000F0526" w:rsidP="000C70FA">
            <w:pPr>
              <w:pStyle w:val="T-normal"/>
            </w:pPr>
            <w:r w:rsidRPr="001F151E">
              <w:t>4.</w:t>
            </w:r>
            <w:r>
              <w:t>5</w:t>
            </w:r>
            <w:r w:rsidRPr="001F151E">
              <w:t xml:space="preserve"> </w:t>
            </w:r>
            <w:r w:rsidRPr="008672A1">
              <w:t xml:space="preserve">Menaxhimi i </w:t>
            </w:r>
            <w:r w:rsidR="00A55715">
              <w:t>Likuiditetit</w:t>
            </w:r>
          </w:p>
        </w:tc>
        <w:tc>
          <w:tcPr>
            <w:tcW w:w="620" w:type="dxa"/>
            <w:tcBorders>
              <w:top w:val="single" w:sz="4" w:space="0" w:color="auto"/>
              <w:left w:val="single" w:sz="4" w:space="0" w:color="auto"/>
              <w:bottom w:val="single" w:sz="4" w:space="0" w:color="auto"/>
              <w:right w:val="single" w:sz="4" w:space="0" w:color="auto"/>
            </w:tcBorders>
          </w:tcPr>
          <w:p w14:paraId="3A7AA51F"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tcPr>
          <w:p w14:paraId="0E1D6804"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tcPr>
          <w:p w14:paraId="192C0C17"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49D88F65"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1401E2A5"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27609C53"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tcPr>
          <w:p w14:paraId="4059E176" w14:textId="77777777" w:rsidR="000F0526" w:rsidRPr="001F151E" w:rsidRDefault="000F0526" w:rsidP="000C70FA">
            <w:pPr>
              <w:pStyle w:val="T-normal"/>
              <w:jc w:val="center"/>
            </w:pPr>
            <w:r>
              <w:t>U</w:t>
            </w:r>
          </w:p>
        </w:tc>
      </w:tr>
      <w:tr w:rsidR="000F0526" w:rsidRPr="001F151E" w14:paraId="4804BDCA"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hideMark/>
          </w:tcPr>
          <w:p w14:paraId="3E37E143" w14:textId="77777777" w:rsidR="000F0526" w:rsidRPr="001F151E" w:rsidRDefault="000F0526" w:rsidP="000C70FA">
            <w:pPr>
              <w:pStyle w:val="T-normal"/>
            </w:pPr>
            <w:r w:rsidRPr="001F151E">
              <w:t>4.</w:t>
            </w:r>
            <w:r>
              <w:t>6</w:t>
            </w:r>
            <w:r w:rsidRPr="001F151E">
              <w:t xml:space="preserve"> </w:t>
            </w:r>
            <w:r w:rsidRPr="00CD43E3">
              <w:t>Menaxhimi i Aseteve</w:t>
            </w:r>
          </w:p>
        </w:tc>
        <w:tc>
          <w:tcPr>
            <w:tcW w:w="620" w:type="dxa"/>
            <w:tcBorders>
              <w:top w:val="single" w:sz="4" w:space="0" w:color="auto"/>
              <w:left w:val="single" w:sz="4" w:space="0" w:color="auto"/>
              <w:bottom w:val="single" w:sz="4" w:space="0" w:color="auto"/>
              <w:right w:val="single" w:sz="4" w:space="0" w:color="auto"/>
            </w:tcBorders>
          </w:tcPr>
          <w:p w14:paraId="00C9A202" w14:textId="77777777" w:rsidR="000F0526" w:rsidRPr="001F151E" w:rsidRDefault="000F0526" w:rsidP="000C70FA">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5258D1F6"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tcPr>
          <w:p w14:paraId="347B9CCA"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053ACF32"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3C2B7486"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6A221DD5"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tcPr>
          <w:p w14:paraId="39DF5676" w14:textId="77777777" w:rsidR="000F0526" w:rsidRPr="001F151E" w:rsidRDefault="000F0526" w:rsidP="000C70FA">
            <w:pPr>
              <w:pStyle w:val="T-normal"/>
              <w:jc w:val="center"/>
            </w:pPr>
            <w:r>
              <w:t>U</w:t>
            </w:r>
          </w:p>
        </w:tc>
      </w:tr>
      <w:tr w:rsidR="000F0526" w:rsidRPr="0059094E" w14:paraId="6F97F8FF" w14:textId="77777777" w:rsidTr="000C70FA">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8F1CED0" w14:textId="77777777" w:rsidR="000F0526" w:rsidRPr="00CD43E3" w:rsidRDefault="000F0526" w:rsidP="000C70FA">
            <w:pPr>
              <w:pStyle w:val="T-normal"/>
              <w:rPr>
                <w:lang w:val="it-IT"/>
              </w:rPr>
            </w:pPr>
            <w:r w:rsidRPr="00CD43E3">
              <w:rPr>
                <w:lang w:val="it-IT"/>
              </w:rPr>
              <w:t>Shtylla 5: Kontrolli i Brendshëm Financiar Publik</w:t>
            </w:r>
          </w:p>
        </w:tc>
      </w:tr>
      <w:tr w:rsidR="000F0526" w:rsidRPr="001F151E" w14:paraId="1FF11C17"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tcPr>
          <w:p w14:paraId="34383D28" w14:textId="77777777" w:rsidR="000F0526" w:rsidRPr="001F151E" w:rsidRDefault="000F0526" w:rsidP="000C70FA">
            <w:pPr>
              <w:pStyle w:val="T-normal"/>
            </w:pPr>
            <w:r w:rsidRPr="001F151E">
              <w:t xml:space="preserve">5.1 </w:t>
            </w:r>
            <w:r w:rsidRPr="00CD43E3">
              <w:t>Menaxhimi Financiar dhe Kontrolli</w:t>
            </w:r>
          </w:p>
        </w:tc>
        <w:tc>
          <w:tcPr>
            <w:tcW w:w="620" w:type="dxa"/>
            <w:tcBorders>
              <w:top w:val="single" w:sz="4" w:space="0" w:color="auto"/>
              <w:left w:val="single" w:sz="4" w:space="0" w:color="auto"/>
              <w:bottom w:val="single" w:sz="4" w:space="0" w:color="auto"/>
              <w:right w:val="single" w:sz="4" w:space="0" w:color="auto"/>
            </w:tcBorders>
          </w:tcPr>
          <w:p w14:paraId="6C8EFE5F"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tcPr>
          <w:p w14:paraId="44C1705B"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tcPr>
          <w:p w14:paraId="4C0037FD"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3F70B216"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616CD347" w14:textId="77777777" w:rsidR="000F0526" w:rsidRPr="001F151E" w:rsidRDefault="000F0526" w:rsidP="000C70FA">
            <w:pPr>
              <w:pStyle w:val="T-normal"/>
              <w:jc w:val="center"/>
            </w:pPr>
            <w:r>
              <w:t>U</w:t>
            </w:r>
          </w:p>
        </w:tc>
        <w:tc>
          <w:tcPr>
            <w:tcW w:w="540" w:type="dxa"/>
            <w:tcBorders>
              <w:top w:val="single" w:sz="4" w:space="0" w:color="auto"/>
              <w:left w:val="single" w:sz="4" w:space="0" w:color="auto"/>
              <w:bottom w:val="single" w:sz="4" w:space="0" w:color="auto"/>
              <w:right w:val="single" w:sz="4" w:space="0" w:color="auto"/>
            </w:tcBorders>
          </w:tcPr>
          <w:p w14:paraId="26F22A1B" w14:textId="77777777" w:rsidR="000F0526" w:rsidRPr="001F151E" w:rsidRDefault="000F0526" w:rsidP="000C70FA">
            <w:pPr>
              <w:pStyle w:val="T-normal"/>
              <w:jc w:val="center"/>
            </w:pPr>
            <w:r>
              <w:t>U</w:t>
            </w:r>
          </w:p>
        </w:tc>
        <w:tc>
          <w:tcPr>
            <w:tcW w:w="561" w:type="dxa"/>
            <w:tcBorders>
              <w:top w:val="single" w:sz="4" w:space="0" w:color="auto"/>
              <w:left w:val="single" w:sz="4" w:space="0" w:color="auto"/>
              <w:bottom w:val="single" w:sz="4" w:space="0" w:color="auto"/>
              <w:right w:val="single" w:sz="4" w:space="0" w:color="auto"/>
            </w:tcBorders>
          </w:tcPr>
          <w:p w14:paraId="33460315" w14:textId="77777777" w:rsidR="000F0526" w:rsidRPr="001F151E" w:rsidRDefault="000F0526" w:rsidP="000C70FA">
            <w:pPr>
              <w:pStyle w:val="T-normal"/>
              <w:jc w:val="center"/>
            </w:pPr>
            <w:r w:rsidRPr="001F151E">
              <w:t>M</w:t>
            </w:r>
          </w:p>
        </w:tc>
      </w:tr>
      <w:tr w:rsidR="000F0526" w:rsidRPr="001F151E" w14:paraId="758EDDC1"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tcPr>
          <w:p w14:paraId="7FCF6190" w14:textId="4FC80FE7" w:rsidR="000F0526" w:rsidRPr="001F151E" w:rsidRDefault="000F0526" w:rsidP="000C70FA">
            <w:pPr>
              <w:pStyle w:val="T-normal"/>
            </w:pPr>
            <w:r w:rsidRPr="001F151E">
              <w:t xml:space="preserve">5.2 </w:t>
            </w:r>
            <w:r w:rsidRPr="00CD43E3">
              <w:t xml:space="preserve">Auditimi i </w:t>
            </w:r>
            <w:r w:rsidR="00A55715">
              <w:t>B</w:t>
            </w:r>
            <w:r w:rsidRPr="00CD43E3">
              <w:t>rendshëm</w:t>
            </w:r>
          </w:p>
        </w:tc>
        <w:tc>
          <w:tcPr>
            <w:tcW w:w="620" w:type="dxa"/>
            <w:tcBorders>
              <w:top w:val="single" w:sz="4" w:space="0" w:color="auto"/>
              <w:left w:val="single" w:sz="4" w:space="0" w:color="auto"/>
              <w:bottom w:val="single" w:sz="4" w:space="0" w:color="auto"/>
              <w:right w:val="single" w:sz="4" w:space="0" w:color="auto"/>
            </w:tcBorders>
          </w:tcPr>
          <w:p w14:paraId="51DECEE4"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tcPr>
          <w:p w14:paraId="6BB3EB26"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tcPr>
          <w:p w14:paraId="70510757"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6F937C3B" w14:textId="77777777" w:rsidR="000F0526" w:rsidRPr="001F151E" w:rsidRDefault="000F0526" w:rsidP="000C70FA">
            <w:pPr>
              <w:pStyle w:val="T-normal"/>
              <w:jc w:val="center"/>
            </w:pPr>
            <w:r>
              <w:t>L</w:t>
            </w:r>
          </w:p>
        </w:tc>
        <w:tc>
          <w:tcPr>
            <w:tcW w:w="540" w:type="dxa"/>
            <w:tcBorders>
              <w:top w:val="single" w:sz="4" w:space="0" w:color="auto"/>
              <w:left w:val="single" w:sz="4" w:space="0" w:color="auto"/>
              <w:bottom w:val="single" w:sz="4" w:space="0" w:color="auto"/>
              <w:right w:val="single" w:sz="4" w:space="0" w:color="auto"/>
            </w:tcBorders>
          </w:tcPr>
          <w:p w14:paraId="0811C55E" w14:textId="77777777" w:rsidR="000F0526" w:rsidRPr="001F151E" w:rsidRDefault="000F0526" w:rsidP="000C70FA">
            <w:pPr>
              <w:pStyle w:val="T-normal"/>
              <w:jc w:val="center"/>
            </w:pPr>
            <w:r>
              <w:t>U</w:t>
            </w:r>
          </w:p>
        </w:tc>
        <w:tc>
          <w:tcPr>
            <w:tcW w:w="540" w:type="dxa"/>
            <w:tcBorders>
              <w:top w:val="single" w:sz="4" w:space="0" w:color="auto"/>
              <w:left w:val="single" w:sz="4" w:space="0" w:color="auto"/>
              <w:bottom w:val="single" w:sz="4" w:space="0" w:color="auto"/>
              <w:right w:val="single" w:sz="4" w:space="0" w:color="auto"/>
            </w:tcBorders>
          </w:tcPr>
          <w:p w14:paraId="2CCD6A36" w14:textId="77777777" w:rsidR="000F0526" w:rsidRPr="001F151E" w:rsidRDefault="000F0526" w:rsidP="000C70FA">
            <w:pPr>
              <w:pStyle w:val="T-normal"/>
              <w:jc w:val="center"/>
            </w:pPr>
            <w:r>
              <w:t>U</w:t>
            </w:r>
          </w:p>
        </w:tc>
        <w:tc>
          <w:tcPr>
            <w:tcW w:w="561" w:type="dxa"/>
            <w:tcBorders>
              <w:top w:val="single" w:sz="4" w:space="0" w:color="auto"/>
              <w:left w:val="single" w:sz="4" w:space="0" w:color="auto"/>
              <w:bottom w:val="single" w:sz="4" w:space="0" w:color="auto"/>
              <w:right w:val="single" w:sz="4" w:space="0" w:color="auto"/>
            </w:tcBorders>
          </w:tcPr>
          <w:p w14:paraId="5F7062E5" w14:textId="77777777" w:rsidR="000F0526" w:rsidRPr="001F151E" w:rsidRDefault="000F0526" w:rsidP="000C70FA">
            <w:pPr>
              <w:pStyle w:val="T-normal"/>
              <w:jc w:val="center"/>
            </w:pPr>
            <w:r w:rsidRPr="001F151E">
              <w:t>M</w:t>
            </w:r>
          </w:p>
        </w:tc>
      </w:tr>
      <w:tr w:rsidR="000F0526" w:rsidRPr="001F151E" w14:paraId="187EDE78"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tcPr>
          <w:p w14:paraId="04DE2AE8" w14:textId="320DF055" w:rsidR="000F0526" w:rsidRPr="001F151E" w:rsidRDefault="000F0526" w:rsidP="000C70FA">
            <w:pPr>
              <w:pStyle w:val="T-normal"/>
            </w:pPr>
            <w:r w:rsidRPr="001F151E">
              <w:t xml:space="preserve">5.3 </w:t>
            </w:r>
            <w:r w:rsidRPr="00CD43E3">
              <w:t>Inspektimi Financiar Publik</w:t>
            </w:r>
            <w:r w:rsidR="00A55715">
              <w:t xml:space="preserve"> dhe Sh</w:t>
            </w:r>
            <w:r w:rsidR="00EB65F3">
              <w:t>ë</w:t>
            </w:r>
            <w:r w:rsidR="00A55715">
              <w:t>rbimet e Koordinimit kund</w:t>
            </w:r>
            <w:r w:rsidR="00EB65F3">
              <w:t>ë</w:t>
            </w:r>
            <w:r w:rsidR="00A55715">
              <w:t>r Mashtrimit</w:t>
            </w:r>
          </w:p>
        </w:tc>
        <w:tc>
          <w:tcPr>
            <w:tcW w:w="620" w:type="dxa"/>
            <w:tcBorders>
              <w:top w:val="single" w:sz="4" w:space="0" w:color="auto"/>
              <w:left w:val="single" w:sz="4" w:space="0" w:color="auto"/>
              <w:bottom w:val="single" w:sz="4" w:space="0" w:color="auto"/>
              <w:right w:val="single" w:sz="4" w:space="0" w:color="auto"/>
            </w:tcBorders>
          </w:tcPr>
          <w:p w14:paraId="5A20A813"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tcPr>
          <w:p w14:paraId="31DCB7AC"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tcPr>
          <w:p w14:paraId="7B7F01FF"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tcPr>
          <w:p w14:paraId="527C7C89"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tcPr>
          <w:p w14:paraId="0CC27900" w14:textId="77777777" w:rsidR="000F0526" w:rsidRPr="001F151E" w:rsidRDefault="000F0526" w:rsidP="000C70FA">
            <w:pPr>
              <w:pStyle w:val="T-normal"/>
              <w:jc w:val="center"/>
            </w:pPr>
            <w:r>
              <w:t>U</w:t>
            </w:r>
          </w:p>
        </w:tc>
        <w:tc>
          <w:tcPr>
            <w:tcW w:w="540" w:type="dxa"/>
            <w:tcBorders>
              <w:top w:val="single" w:sz="4" w:space="0" w:color="auto"/>
              <w:left w:val="single" w:sz="4" w:space="0" w:color="auto"/>
              <w:bottom w:val="single" w:sz="4" w:space="0" w:color="auto"/>
              <w:right w:val="single" w:sz="4" w:space="0" w:color="auto"/>
            </w:tcBorders>
          </w:tcPr>
          <w:p w14:paraId="1BA8B7B0" w14:textId="77777777" w:rsidR="000F0526" w:rsidRPr="001F151E" w:rsidRDefault="000F0526" w:rsidP="000C70FA">
            <w:pPr>
              <w:pStyle w:val="T-normal"/>
              <w:jc w:val="center"/>
            </w:pPr>
            <w:r>
              <w:t>U</w:t>
            </w:r>
          </w:p>
        </w:tc>
        <w:tc>
          <w:tcPr>
            <w:tcW w:w="561" w:type="dxa"/>
            <w:tcBorders>
              <w:top w:val="single" w:sz="4" w:space="0" w:color="auto"/>
              <w:left w:val="single" w:sz="4" w:space="0" w:color="auto"/>
              <w:bottom w:val="single" w:sz="4" w:space="0" w:color="auto"/>
              <w:right w:val="single" w:sz="4" w:space="0" w:color="auto"/>
            </w:tcBorders>
          </w:tcPr>
          <w:p w14:paraId="329BA7BD" w14:textId="77777777" w:rsidR="000F0526" w:rsidRPr="001F151E" w:rsidRDefault="000F0526" w:rsidP="000C70FA">
            <w:pPr>
              <w:pStyle w:val="T-normal"/>
              <w:jc w:val="center"/>
            </w:pPr>
            <w:r w:rsidRPr="001F151E">
              <w:t>M</w:t>
            </w:r>
          </w:p>
        </w:tc>
      </w:tr>
      <w:tr w:rsidR="000F0526" w:rsidRPr="001F151E" w14:paraId="39E7AA2C"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56296F25" w14:textId="368F685E" w:rsidR="000F0526" w:rsidRPr="008952D4" w:rsidRDefault="000F0526" w:rsidP="000C70FA">
            <w:pPr>
              <w:pStyle w:val="T-normal"/>
              <w:rPr>
                <w:lang w:val="it-IT"/>
              </w:rPr>
            </w:pPr>
            <w:r w:rsidRPr="008952D4">
              <w:rPr>
                <w:lang w:val="it-IT"/>
              </w:rPr>
              <w:t xml:space="preserve">5.4 Menaxhimi i </w:t>
            </w:r>
            <w:r w:rsidR="00A55715">
              <w:rPr>
                <w:lang w:val="it-IT"/>
              </w:rPr>
              <w:t>F</w:t>
            </w:r>
            <w:r w:rsidRPr="008952D4">
              <w:rPr>
                <w:lang w:val="it-IT"/>
              </w:rPr>
              <w:t>ondeve të BE-së</w:t>
            </w:r>
          </w:p>
        </w:tc>
        <w:tc>
          <w:tcPr>
            <w:tcW w:w="620" w:type="dxa"/>
            <w:tcBorders>
              <w:top w:val="single" w:sz="4" w:space="0" w:color="auto"/>
              <w:left w:val="single" w:sz="4" w:space="0" w:color="auto"/>
              <w:right w:val="single" w:sz="4" w:space="0" w:color="auto"/>
            </w:tcBorders>
            <w:shd w:val="clear" w:color="auto" w:fill="auto"/>
          </w:tcPr>
          <w:p w14:paraId="0E99B835" w14:textId="77777777" w:rsidR="000F0526" w:rsidRPr="001F151E" w:rsidRDefault="000F0526" w:rsidP="000C70FA">
            <w:pPr>
              <w:pStyle w:val="T-normal"/>
              <w:jc w:val="center"/>
            </w:pPr>
            <w:r w:rsidRPr="001F151E">
              <w:t>M</w:t>
            </w:r>
          </w:p>
        </w:tc>
        <w:tc>
          <w:tcPr>
            <w:tcW w:w="620" w:type="dxa"/>
            <w:tcBorders>
              <w:top w:val="single" w:sz="4" w:space="0" w:color="auto"/>
              <w:left w:val="single" w:sz="4" w:space="0" w:color="auto"/>
              <w:right w:val="single" w:sz="4" w:space="0" w:color="auto"/>
            </w:tcBorders>
            <w:shd w:val="clear" w:color="auto" w:fill="auto"/>
          </w:tcPr>
          <w:p w14:paraId="3A3C93F5"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right w:val="single" w:sz="4" w:space="0" w:color="auto"/>
            </w:tcBorders>
            <w:shd w:val="clear" w:color="auto" w:fill="auto"/>
          </w:tcPr>
          <w:p w14:paraId="4104FB84"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right w:val="single" w:sz="4" w:space="0" w:color="auto"/>
            </w:tcBorders>
            <w:shd w:val="clear" w:color="auto" w:fill="auto"/>
          </w:tcPr>
          <w:p w14:paraId="7731C4CD"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right w:val="single" w:sz="4" w:space="0" w:color="auto"/>
            </w:tcBorders>
            <w:shd w:val="clear" w:color="auto" w:fill="auto"/>
          </w:tcPr>
          <w:p w14:paraId="4B57E21C"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right w:val="single" w:sz="4" w:space="0" w:color="auto"/>
            </w:tcBorders>
            <w:shd w:val="clear" w:color="auto" w:fill="auto"/>
          </w:tcPr>
          <w:p w14:paraId="058A2CE8" w14:textId="77777777" w:rsidR="000F0526" w:rsidRPr="001F151E" w:rsidRDefault="000F0526" w:rsidP="000C70FA">
            <w:pPr>
              <w:pStyle w:val="T-normal"/>
              <w:jc w:val="center"/>
            </w:pPr>
            <w:r>
              <w:t>U</w:t>
            </w:r>
          </w:p>
        </w:tc>
        <w:tc>
          <w:tcPr>
            <w:tcW w:w="561" w:type="dxa"/>
            <w:tcBorders>
              <w:top w:val="single" w:sz="4" w:space="0" w:color="auto"/>
              <w:left w:val="single" w:sz="4" w:space="0" w:color="auto"/>
              <w:right w:val="single" w:sz="4" w:space="0" w:color="auto"/>
            </w:tcBorders>
            <w:shd w:val="clear" w:color="auto" w:fill="auto"/>
          </w:tcPr>
          <w:p w14:paraId="20E986DE" w14:textId="77777777" w:rsidR="000F0526" w:rsidRPr="001F151E" w:rsidRDefault="000F0526" w:rsidP="000C70FA">
            <w:pPr>
              <w:pStyle w:val="T-normal"/>
              <w:jc w:val="center"/>
            </w:pPr>
            <w:r w:rsidRPr="001F151E">
              <w:t>M</w:t>
            </w:r>
          </w:p>
        </w:tc>
      </w:tr>
      <w:tr w:rsidR="000F0526" w:rsidRPr="001F151E" w14:paraId="2715F219" w14:textId="77777777" w:rsidTr="000C70FA">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82451" w14:textId="77777777" w:rsidR="000F0526" w:rsidRPr="001F151E" w:rsidRDefault="000F0526" w:rsidP="000C70FA">
            <w:pPr>
              <w:pStyle w:val="T-normal"/>
            </w:pPr>
            <w:r w:rsidRPr="008952D4">
              <w:t>Shtylla 6: Mbikëqyrja e jashtme</w:t>
            </w:r>
          </w:p>
        </w:tc>
      </w:tr>
      <w:tr w:rsidR="000F0526" w:rsidRPr="001F151E" w14:paraId="6DE4DD1B"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FF5652E" w14:textId="77777777" w:rsidR="000F0526" w:rsidRPr="001F151E" w:rsidRDefault="000F0526" w:rsidP="000C70FA">
            <w:pPr>
              <w:pStyle w:val="T-normal"/>
            </w:pPr>
            <w:r w:rsidRPr="001F151E">
              <w:t xml:space="preserve">6.1 </w:t>
            </w:r>
            <w:r w:rsidRPr="008952D4">
              <w:t>Auditimi i Jashtëm</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4373CBF"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6225D93" w14:textId="77777777" w:rsidR="000F0526" w:rsidRPr="001F151E" w:rsidRDefault="000F0526" w:rsidP="000C70FA">
            <w:pPr>
              <w:pStyle w:val="T-normal"/>
              <w:jc w:val="center"/>
            </w:pPr>
            <w:r>
              <w:t>U</w:t>
            </w:r>
          </w:p>
        </w:tc>
        <w:tc>
          <w:tcPr>
            <w:tcW w:w="742" w:type="dxa"/>
            <w:tcBorders>
              <w:top w:val="single" w:sz="4" w:space="0" w:color="auto"/>
              <w:left w:val="single" w:sz="4" w:space="0" w:color="auto"/>
              <w:bottom w:val="single" w:sz="4" w:space="0" w:color="auto"/>
              <w:right w:val="single" w:sz="4" w:space="0" w:color="auto"/>
            </w:tcBorders>
            <w:shd w:val="clear" w:color="auto" w:fill="auto"/>
          </w:tcPr>
          <w:p w14:paraId="4F6CC9B6"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B8327E2" w14:textId="77777777" w:rsidR="000F0526" w:rsidRPr="001F151E" w:rsidRDefault="000F0526" w:rsidP="000C70FA">
            <w:pPr>
              <w:pStyle w:val="T-normal"/>
              <w:jc w:val="center"/>
            </w:pPr>
            <w:r w:rsidRPr="001F151E">
              <w:t>M</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19DB7A3" w14:textId="79FCC5F9" w:rsidR="000F0526" w:rsidRPr="001F151E" w:rsidRDefault="002C3D98" w:rsidP="000C70FA">
            <w:pPr>
              <w:pStyle w:val="T-normal"/>
              <w:jc w:val="center"/>
            </w:pPr>
            <w:r>
              <w:t>M</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A9A93F8" w14:textId="77777777" w:rsidR="000F0526" w:rsidRPr="001F151E" w:rsidRDefault="000F0526" w:rsidP="000C70FA">
            <w:pPr>
              <w:pStyle w:val="T-normal"/>
              <w:jc w:val="center"/>
            </w:pPr>
            <w:r>
              <w:t>U</w:t>
            </w:r>
          </w:p>
        </w:tc>
        <w:tc>
          <w:tcPr>
            <w:tcW w:w="561" w:type="dxa"/>
            <w:tcBorders>
              <w:top w:val="single" w:sz="4" w:space="0" w:color="auto"/>
              <w:left w:val="single" w:sz="4" w:space="0" w:color="auto"/>
              <w:bottom w:val="single" w:sz="4" w:space="0" w:color="auto"/>
              <w:right w:val="single" w:sz="4" w:space="0" w:color="auto"/>
            </w:tcBorders>
            <w:shd w:val="clear" w:color="auto" w:fill="auto"/>
          </w:tcPr>
          <w:p w14:paraId="472B944B" w14:textId="77777777" w:rsidR="000F0526" w:rsidRPr="001F151E" w:rsidRDefault="000F0526" w:rsidP="000C70FA">
            <w:pPr>
              <w:pStyle w:val="T-normal"/>
              <w:jc w:val="center"/>
            </w:pPr>
            <w:r>
              <w:t>U</w:t>
            </w:r>
          </w:p>
        </w:tc>
      </w:tr>
      <w:tr w:rsidR="000F0526" w:rsidRPr="001F151E" w14:paraId="170568BC" w14:textId="77777777" w:rsidTr="000C70FA">
        <w:trPr>
          <w:jc w:val="center"/>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003492D" w14:textId="77777777" w:rsidR="000F0526" w:rsidRPr="001F151E" w:rsidRDefault="000F0526" w:rsidP="000C70FA">
            <w:pPr>
              <w:pStyle w:val="T-normal"/>
            </w:pPr>
            <w:r w:rsidRPr="001F151E">
              <w:t xml:space="preserve">6.2 </w:t>
            </w:r>
            <w:r w:rsidRPr="008952D4">
              <w:t>Mbikëqyrja Parlamentare</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91AFA46" w14:textId="77777777" w:rsidR="000F0526" w:rsidRPr="001F151E" w:rsidRDefault="000F0526" w:rsidP="000C70FA">
            <w:pPr>
              <w:pStyle w:val="T-normal"/>
              <w:jc w:val="center"/>
            </w:pPr>
            <w:r>
              <w:t>U</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B000861" w14:textId="77777777" w:rsidR="000F0526" w:rsidRPr="001F151E" w:rsidRDefault="000F0526" w:rsidP="000C70FA">
            <w:pPr>
              <w:pStyle w:val="T-normal"/>
              <w:jc w:val="center"/>
            </w:pPr>
            <w:r w:rsidRPr="001F151E">
              <w:t>M</w:t>
            </w:r>
          </w:p>
        </w:tc>
        <w:tc>
          <w:tcPr>
            <w:tcW w:w="742" w:type="dxa"/>
            <w:tcBorders>
              <w:top w:val="single" w:sz="4" w:space="0" w:color="auto"/>
              <w:left w:val="single" w:sz="4" w:space="0" w:color="auto"/>
              <w:bottom w:val="single" w:sz="4" w:space="0" w:color="auto"/>
              <w:right w:val="single" w:sz="4" w:space="0" w:color="auto"/>
            </w:tcBorders>
            <w:shd w:val="clear" w:color="auto" w:fill="auto"/>
          </w:tcPr>
          <w:p w14:paraId="0B4E3457" w14:textId="77777777" w:rsidR="000F0526" w:rsidRPr="001F151E" w:rsidRDefault="000F0526" w:rsidP="000C70FA">
            <w:pPr>
              <w:pStyle w:val="T-normal"/>
              <w:jc w:val="center"/>
            </w:pPr>
            <w:r w:rsidRPr="001F151E">
              <w:t>M</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23AA726" w14:textId="77777777" w:rsidR="000F0526" w:rsidRPr="001F151E" w:rsidRDefault="000F0526" w:rsidP="000C70FA">
            <w:pPr>
              <w:pStyle w:val="T-normal"/>
              <w:jc w:val="center"/>
            </w:pPr>
            <w:r>
              <w:t>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F2B49D4" w14:textId="77777777" w:rsidR="000F0526" w:rsidRPr="001F151E" w:rsidRDefault="000F0526" w:rsidP="000C70FA">
            <w:pPr>
              <w:pStyle w:val="T-normal"/>
              <w:jc w:val="center"/>
            </w:pPr>
            <w:r>
              <w:t>U</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ABC0882" w14:textId="77777777" w:rsidR="000F0526" w:rsidRPr="001F151E" w:rsidRDefault="000F0526" w:rsidP="000C70FA">
            <w:pPr>
              <w:pStyle w:val="T-normal"/>
              <w:jc w:val="center"/>
            </w:pPr>
            <w:r w:rsidRPr="001F151E">
              <w:t>M</w:t>
            </w:r>
          </w:p>
        </w:tc>
        <w:tc>
          <w:tcPr>
            <w:tcW w:w="561" w:type="dxa"/>
            <w:tcBorders>
              <w:top w:val="single" w:sz="4" w:space="0" w:color="auto"/>
              <w:left w:val="single" w:sz="4" w:space="0" w:color="auto"/>
              <w:bottom w:val="single" w:sz="4" w:space="0" w:color="auto"/>
              <w:right w:val="single" w:sz="4" w:space="0" w:color="auto"/>
            </w:tcBorders>
            <w:shd w:val="clear" w:color="auto" w:fill="auto"/>
          </w:tcPr>
          <w:p w14:paraId="0A9F2970" w14:textId="77777777" w:rsidR="000F0526" w:rsidRPr="001F151E" w:rsidRDefault="000F0526" w:rsidP="000C70FA">
            <w:pPr>
              <w:pStyle w:val="T-normal"/>
              <w:jc w:val="center"/>
            </w:pPr>
            <w:r>
              <w:t>U</w:t>
            </w:r>
          </w:p>
        </w:tc>
      </w:tr>
    </w:tbl>
    <w:p w14:paraId="162DAA53" w14:textId="77777777" w:rsidR="000F0526" w:rsidRDefault="000F0526" w:rsidP="000F0526">
      <w:pPr>
        <w:rPr>
          <w:lang w:val="en-GB"/>
        </w:rPr>
      </w:pPr>
    </w:p>
    <w:p w14:paraId="70EBDD88" w14:textId="77777777" w:rsidR="000F0526" w:rsidRDefault="000F0526" w:rsidP="000F0526">
      <w:pPr>
        <w:rPr>
          <w:lang w:val="en-GB"/>
        </w:rPr>
      </w:pPr>
    </w:p>
    <w:p w14:paraId="0952E0A5" w14:textId="77777777" w:rsidR="00EF73E8" w:rsidRDefault="00EF73E8" w:rsidP="000F0526">
      <w:pPr>
        <w:rPr>
          <w:lang w:val="en-GB"/>
        </w:rPr>
      </w:pPr>
    </w:p>
    <w:p w14:paraId="4B80C16E" w14:textId="77777777" w:rsidR="00EF73E8" w:rsidRDefault="00EF73E8" w:rsidP="000F0526">
      <w:pPr>
        <w:rPr>
          <w:lang w:val="en-GB"/>
        </w:rPr>
      </w:pPr>
    </w:p>
    <w:p w14:paraId="2589683D" w14:textId="77777777" w:rsidR="00EF73E8" w:rsidRDefault="00EF73E8" w:rsidP="000F0526">
      <w:pPr>
        <w:rPr>
          <w:lang w:val="en-GB"/>
        </w:rPr>
      </w:pPr>
    </w:p>
    <w:p w14:paraId="7DBA672C" w14:textId="77777777" w:rsidR="00EF73E8" w:rsidRDefault="00EF73E8" w:rsidP="000F0526">
      <w:pPr>
        <w:rPr>
          <w:lang w:val="en-GB"/>
        </w:rPr>
      </w:pPr>
    </w:p>
    <w:p w14:paraId="3940D054" w14:textId="77777777" w:rsidR="00EF73E8" w:rsidRDefault="00EF73E8" w:rsidP="000F0526">
      <w:pPr>
        <w:rPr>
          <w:lang w:val="en-GB"/>
        </w:rPr>
      </w:pPr>
    </w:p>
    <w:p w14:paraId="0684FEC9" w14:textId="77777777" w:rsidR="00EF73E8" w:rsidRDefault="00EF73E8" w:rsidP="000F0526">
      <w:pPr>
        <w:rPr>
          <w:lang w:val="en-GB"/>
        </w:rPr>
      </w:pPr>
    </w:p>
    <w:p w14:paraId="372F1772" w14:textId="77777777" w:rsidR="00EF73E8" w:rsidRDefault="00EF73E8" w:rsidP="000F0526">
      <w:pPr>
        <w:rPr>
          <w:lang w:val="en-GB"/>
        </w:rPr>
      </w:pPr>
    </w:p>
    <w:p w14:paraId="24A3539F" w14:textId="77777777" w:rsidR="00EF73E8" w:rsidRDefault="00EF73E8" w:rsidP="000F0526">
      <w:pPr>
        <w:rPr>
          <w:lang w:val="en-GB"/>
        </w:rPr>
      </w:pPr>
    </w:p>
    <w:p w14:paraId="28CBC11F" w14:textId="77777777" w:rsidR="00EF73E8" w:rsidRDefault="00EF73E8" w:rsidP="000F0526">
      <w:pPr>
        <w:rPr>
          <w:lang w:val="en-GB"/>
        </w:rPr>
      </w:pPr>
    </w:p>
    <w:p w14:paraId="2BBC8B3E" w14:textId="77777777" w:rsidR="00EF73E8" w:rsidRDefault="00EF73E8" w:rsidP="000F0526">
      <w:pPr>
        <w:rPr>
          <w:lang w:val="en-GB"/>
        </w:rPr>
      </w:pPr>
    </w:p>
    <w:p w14:paraId="7B36A036" w14:textId="77777777" w:rsidR="00EF73E8" w:rsidRDefault="00EF73E8" w:rsidP="000F0526">
      <w:pPr>
        <w:rPr>
          <w:lang w:val="en-GB"/>
        </w:rPr>
      </w:pPr>
    </w:p>
    <w:p w14:paraId="79AD3DE3" w14:textId="77777777" w:rsidR="00EF73E8" w:rsidRDefault="00EF73E8" w:rsidP="000F0526">
      <w:pPr>
        <w:rPr>
          <w:lang w:val="en-GB"/>
        </w:rPr>
      </w:pPr>
    </w:p>
    <w:p w14:paraId="062C1A7D" w14:textId="77777777" w:rsidR="00EF73E8" w:rsidRDefault="00EF73E8" w:rsidP="000F0526">
      <w:pPr>
        <w:rPr>
          <w:lang w:val="en-GB"/>
        </w:rPr>
      </w:pPr>
    </w:p>
    <w:p w14:paraId="6500EBF9" w14:textId="77777777" w:rsidR="00EF73E8" w:rsidRDefault="00EF73E8" w:rsidP="000F0526">
      <w:pPr>
        <w:rPr>
          <w:lang w:val="en-GB"/>
        </w:rPr>
      </w:pPr>
    </w:p>
    <w:p w14:paraId="6F69A2FE" w14:textId="77777777" w:rsidR="00EF73E8" w:rsidRDefault="00EF73E8" w:rsidP="000F0526">
      <w:pPr>
        <w:rPr>
          <w:lang w:val="en-GB"/>
        </w:rPr>
      </w:pPr>
    </w:p>
    <w:p w14:paraId="429EEDEC" w14:textId="77777777" w:rsidR="00EF73E8" w:rsidRDefault="00EF73E8" w:rsidP="000F0526">
      <w:pPr>
        <w:rPr>
          <w:lang w:val="en-GB"/>
        </w:rPr>
      </w:pPr>
    </w:p>
    <w:p w14:paraId="661A561E" w14:textId="77777777" w:rsidR="00EF73E8" w:rsidRDefault="00EF73E8" w:rsidP="000F0526">
      <w:pPr>
        <w:rPr>
          <w:lang w:val="en-GB"/>
        </w:rPr>
      </w:pPr>
    </w:p>
    <w:p w14:paraId="1B669F82" w14:textId="77777777" w:rsidR="00EF73E8" w:rsidRDefault="00EF73E8" w:rsidP="000F0526">
      <w:pPr>
        <w:rPr>
          <w:lang w:val="en-GB"/>
        </w:rPr>
      </w:pPr>
    </w:p>
    <w:p w14:paraId="4B01F333" w14:textId="77777777" w:rsidR="00EF73E8" w:rsidRDefault="00EF73E8" w:rsidP="000F0526">
      <w:pPr>
        <w:rPr>
          <w:lang w:val="en-GB"/>
        </w:rPr>
      </w:pPr>
    </w:p>
    <w:p w14:paraId="24DBD57A" w14:textId="77777777" w:rsidR="00EF73E8" w:rsidRDefault="00EF73E8" w:rsidP="000F0526">
      <w:pPr>
        <w:rPr>
          <w:lang w:val="en-GB"/>
        </w:rPr>
      </w:pPr>
    </w:p>
    <w:p w14:paraId="20997D04" w14:textId="77777777" w:rsidR="00EF73E8" w:rsidRDefault="00EF73E8" w:rsidP="000F0526">
      <w:pPr>
        <w:rPr>
          <w:lang w:val="en-GB"/>
        </w:rPr>
      </w:pPr>
    </w:p>
    <w:p w14:paraId="3B5DD82C" w14:textId="77777777" w:rsidR="00EF73E8" w:rsidRDefault="00EF73E8" w:rsidP="000F0526">
      <w:pPr>
        <w:rPr>
          <w:lang w:val="en-GB"/>
        </w:rPr>
      </w:pPr>
    </w:p>
    <w:p w14:paraId="1A3AE209" w14:textId="77777777" w:rsidR="00EF73E8" w:rsidRDefault="00EF73E8" w:rsidP="000F0526">
      <w:pPr>
        <w:rPr>
          <w:lang w:val="en-GB"/>
        </w:rPr>
      </w:pPr>
    </w:p>
    <w:p w14:paraId="5FFE22C6" w14:textId="77777777" w:rsidR="00EF73E8" w:rsidRDefault="00EF73E8" w:rsidP="000F0526">
      <w:pPr>
        <w:rPr>
          <w:lang w:val="en-GB"/>
        </w:rPr>
      </w:pPr>
    </w:p>
    <w:p w14:paraId="3388E5EA" w14:textId="77777777" w:rsidR="00EF73E8" w:rsidRDefault="00EF73E8" w:rsidP="000F0526">
      <w:pPr>
        <w:rPr>
          <w:lang w:val="en-GB"/>
        </w:rPr>
      </w:pPr>
    </w:p>
    <w:p w14:paraId="25E90FA3" w14:textId="77777777" w:rsidR="00EF73E8" w:rsidRDefault="00EF73E8" w:rsidP="000F0526">
      <w:pPr>
        <w:rPr>
          <w:lang w:val="en-GB"/>
        </w:rPr>
      </w:pPr>
    </w:p>
    <w:p w14:paraId="79099A95" w14:textId="77777777" w:rsidR="00EF73E8" w:rsidRDefault="00EF73E8" w:rsidP="000F0526">
      <w:pPr>
        <w:rPr>
          <w:lang w:val="en-GB"/>
        </w:rPr>
      </w:pPr>
    </w:p>
    <w:p w14:paraId="007C3314" w14:textId="77777777" w:rsidR="00EF73E8" w:rsidRDefault="00EF73E8" w:rsidP="000F0526">
      <w:pPr>
        <w:rPr>
          <w:lang w:val="en-GB"/>
        </w:rPr>
      </w:pPr>
    </w:p>
    <w:p w14:paraId="37C03DF0" w14:textId="77777777" w:rsidR="00EF73E8" w:rsidRDefault="00EF73E8" w:rsidP="000F0526">
      <w:pPr>
        <w:rPr>
          <w:lang w:val="en-GB"/>
        </w:rPr>
      </w:pPr>
    </w:p>
    <w:p w14:paraId="6514F874" w14:textId="77777777" w:rsidR="00EF73E8" w:rsidRDefault="00EF73E8" w:rsidP="000F0526">
      <w:pPr>
        <w:rPr>
          <w:lang w:val="en-GB"/>
        </w:rPr>
      </w:pPr>
    </w:p>
    <w:p w14:paraId="708C5E64" w14:textId="77777777" w:rsidR="00EF73E8" w:rsidRDefault="00EF73E8" w:rsidP="000F0526">
      <w:pPr>
        <w:rPr>
          <w:lang w:val="en-GB"/>
        </w:rPr>
      </w:pPr>
    </w:p>
    <w:p w14:paraId="540E23E1" w14:textId="77777777" w:rsidR="00EF73E8" w:rsidRDefault="00EF73E8" w:rsidP="000F0526">
      <w:pPr>
        <w:rPr>
          <w:lang w:val="en-GB"/>
        </w:rPr>
      </w:pPr>
    </w:p>
    <w:p w14:paraId="3D834AD3" w14:textId="77777777" w:rsidR="00EF73E8" w:rsidRDefault="00EF73E8" w:rsidP="000F0526">
      <w:pPr>
        <w:rPr>
          <w:lang w:val="en-GB"/>
        </w:rPr>
      </w:pPr>
    </w:p>
    <w:p w14:paraId="70DA638E" w14:textId="77777777" w:rsidR="00EF73E8" w:rsidRDefault="00EF73E8" w:rsidP="000F0526">
      <w:pPr>
        <w:rPr>
          <w:lang w:val="en-GB"/>
        </w:rPr>
      </w:pPr>
    </w:p>
    <w:p w14:paraId="052A35CD" w14:textId="77777777" w:rsidR="00EF73E8" w:rsidRDefault="00EF73E8" w:rsidP="000F0526">
      <w:pPr>
        <w:rPr>
          <w:lang w:val="en-GB"/>
        </w:rPr>
      </w:pPr>
    </w:p>
    <w:p w14:paraId="3F5EACA6" w14:textId="77777777" w:rsidR="00EF73E8" w:rsidRDefault="00EF73E8" w:rsidP="000F0526">
      <w:pPr>
        <w:rPr>
          <w:lang w:val="en-GB"/>
        </w:rPr>
      </w:pPr>
    </w:p>
    <w:p w14:paraId="2E123878" w14:textId="77777777" w:rsidR="00EF73E8" w:rsidRDefault="00EF73E8" w:rsidP="000F0526">
      <w:pPr>
        <w:rPr>
          <w:lang w:val="en-GB"/>
        </w:rPr>
      </w:pPr>
    </w:p>
    <w:p w14:paraId="0C0D171C" w14:textId="77777777" w:rsidR="00EF73E8" w:rsidRDefault="00EF73E8" w:rsidP="000F0526">
      <w:pPr>
        <w:rPr>
          <w:lang w:val="en-GB"/>
        </w:rPr>
      </w:pPr>
    </w:p>
    <w:p w14:paraId="6D3C3388" w14:textId="77777777" w:rsidR="00EF73E8" w:rsidRDefault="00EF73E8" w:rsidP="000F0526">
      <w:pPr>
        <w:rPr>
          <w:lang w:val="en-GB"/>
        </w:rPr>
      </w:pPr>
    </w:p>
    <w:p w14:paraId="3991E89C" w14:textId="77777777" w:rsidR="00EF73E8" w:rsidRDefault="00EF73E8" w:rsidP="000F0526">
      <w:pPr>
        <w:rPr>
          <w:lang w:val="en-GB"/>
        </w:rPr>
      </w:pPr>
    </w:p>
    <w:p w14:paraId="2D957A6C" w14:textId="77777777" w:rsidR="00EF73E8" w:rsidRDefault="00EF73E8" w:rsidP="000F0526">
      <w:pPr>
        <w:rPr>
          <w:lang w:val="en-GB"/>
        </w:rPr>
      </w:pPr>
    </w:p>
    <w:p w14:paraId="5A863B3A" w14:textId="77777777" w:rsidR="00EF73E8" w:rsidRDefault="00EF73E8" w:rsidP="000F0526">
      <w:pPr>
        <w:rPr>
          <w:lang w:val="en-GB"/>
        </w:rPr>
      </w:pPr>
    </w:p>
    <w:p w14:paraId="6A9B1089" w14:textId="272FE007" w:rsidR="00EF73E8" w:rsidRPr="00AB4AFB" w:rsidRDefault="00AB4AFB" w:rsidP="00FC68A9">
      <w:pPr>
        <w:pStyle w:val="Heading1"/>
        <w:rPr>
          <w:rStyle w:val="rynqvb"/>
          <w:b w:val="0"/>
          <w:bCs w:val="0"/>
          <w:iCs w:val="0"/>
        </w:rPr>
      </w:pPr>
      <w:bookmarkStart w:id="66" w:name="_Toc161748843"/>
      <w:r w:rsidRPr="00AB4AFB">
        <w:rPr>
          <w:rStyle w:val="rynqvb"/>
          <w:b w:val="0"/>
          <w:bCs w:val="0"/>
          <w:iCs w:val="0"/>
        </w:rPr>
        <w:t>Vlerësimi i kostove dhe financimi</w:t>
      </w:r>
      <w:bookmarkEnd w:id="66"/>
    </w:p>
    <w:p w14:paraId="59D64A42" w14:textId="77777777" w:rsidR="00EF73E8" w:rsidRDefault="00EF73E8" w:rsidP="000F0526">
      <w:pPr>
        <w:rPr>
          <w:lang w:val="en-GB"/>
        </w:rPr>
      </w:pPr>
    </w:p>
    <w:p w14:paraId="2370A662" w14:textId="40474DEC" w:rsidR="00EF73E8" w:rsidRDefault="00FE1CF7" w:rsidP="00076EE3">
      <w:pPr>
        <w:spacing w:line="276" w:lineRule="auto"/>
        <w:jc w:val="both"/>
        <w:rPr>
          <w:lang w:val="en-GB"/>
        </w:rPr>
      </w:pPr>
      <w:r>
        <w:rPr>
          <w:lang w:val="en-GB"/>
        </w:rPr>
        <w:t>Shumica e reformave t</w:t>
      </w:r>
      <w:r w:rsidR="00822B77">
        <w:rPr>
          <w:lang w:val="en-GB"/>
        </w:rPr>
        <w:t>ë</w:t>
      </w:r>
      <w:r>
        <w:rPr>
          <w:lang w:val="en-GB"/>
        </w:rPr>
        <w:t xml:space="preserve"> p</w:t>
      </w:r>
      <w:r w:rsidR="00822B77">
        <w:rPr>
          <w:lang w:val="en-GB"/>
        </w:rPr>
        <w:t>ë</w:t>
      </w:r>
      <w:r>
        <w:rPr>
          <w:lang w:val="en-GB"/>
        </w:rPr>
        <w:t>rfshira</w:t>
      </w:r>
      <w:r w:rsidR="007769B0">
        <w:rPr>
          <w:lang w:val="en-GB"/>
        </w:rPr>
        <w:t xml:space="preserve"> n</w:t>
      </w:r>
      <w:r w:rsidR="00822B77">
        <w:rPr>
          <w:lang w:val="en-GB"/>
        </w:rPr>
        <w:t>ë</w:t>
      </w:r>
      <w:r w:rsidR="007769B0">
        <w:rPr>
          <w:lang w:val="en-GB"/>
        </w:rPr>
        <w:t xml:space="preserve"> k</w:t>
      </w:r>
      <w:r w:rsidR="00822B77">
        <w:rPr>
          <w:lang w:val="en-GB"/>
        </w:rPr>
        <w:t>ë</w:t>
      </w:r>
      <w:r w:rsidR="007769B0">
        <w:rPr>
          <w:lang w:val="en-GB"/>
        </w:rPr>
        <w:t>t</w:t>
      </w:r>
      <w:r w:rsidR="00822B77">
        <w:rPr>
          <w:lang w:val="en-GB"/>
        </w:rPr>
        <w:t>ë</w:t>
      </w:r>
      <w:r w:rsidR="007769B0">
        <w:rPr>
          <w:lang w:val="en-GB"/>
        </w:rPr>
        <w:t xml:space="preserve"> strategji jan</w:t>
      </w:r>
      <w:r w:rsidR="00822B77">
        <w:rPr>
          <w:lang w:val="en-GB"/>
        </w:rPr>
        <w:t>ë</w:t>
      </w:r>
      <w:r w:rsidR="007769B0">
        <w:rPr>
          <w:lang w:val="en-GB"/>
        </w:rPr>
        <w:t xml:space="preserve"> reforma t</w:t>
      </w:r>
      <w:r w:rsidR="00822B77">
        <w:rPr>
          <w:lang w:val="en-GB"/>
        </w:rPr>
        <w:t>ë</w:t>
      </w:r>
      <w:r w:rsidR="007769B0">
        <w:rPr>
          <w:lang w:val="en-GB"/>
        </w:rPr>
        <w:t xml:space="preserve"> politikave. Puna e formalizimit t</w:t>
      </w:r>
      <w:r w:rsidR="00822B77">
        <w:rPr>
          <w:lang w:val="en-GB"/>
        </w:rPr>
        <w:t>ë</w:t>
      </w:r>
      <w:r w:rsidR="007769B0">
        <w:rPr>
          <w:lang w:val="en-GB"/>
        </w:rPr>
        <w:t xml:space="preserve"> k</w:t>
      </w:r>
      <w:r w:rsidR="00822B77">
        <w:rPr>
          <w:lang w:val="en-GB"/>
        </w:rPr>
        <w:t>ë</w:t>
      </w:r>
      <w:r w:rsidR="007769B0">
        <w:rPr>
          <w:lang w:val="en-GB"/>
        </w:rPr>
        <w:t>tyre reformave n</w:t>
      </w:r>
      <w:r w:rsidR="00822B77">
        <w:rPr>
          <w:lang w:val="en-GB"/>
        </w:rPr>
        <w:t>ë</w:t>
      </w:r>
      <w:r w:rsidR="007769B0">
        <w:rPr>
          <w:lang w:val="en-GB"/>
        </w:rPr>
        <w:t xml:space="preserve"> form</w:t>
      </w:r>
      <w:r w:rsidR="00822B77">
        <w:rPr>
          <w:lang w:val="en-GB"/>
        </w:rPr>
        <w:t>ë</w:t>
      </w:r>
      <w:r w:rsidR="007769B0">
        <w:rPr>
          <w:lang w:val="en-GB"/>
        </w:rPr>
        <w:t>n e legjislacionit dhe rregulloreve t</w:t>
      </w:r>
      <w:r w:rsidR="00822B77">
        <w:rPr>
          <w:lang w:val="en-GB"/>
        </w:rPr>
        <w:t>ë</w:t>
      </w:r>
      <w:r w:rsidR="007769B0">
        <w:rPr>
          <w:lang w:val="en-GB"/>
        </w:rPr>
        <w:t xml:space="preserve"> reja dhe/ose t</w:t>
      </w:r>
      <w:r w:rsidR="00822B77">
        <w:rPr>
          <w:lang w:val="en-GB"/>
        </w:rPr>
        <w:t>ë</w:t>
      </w:r>
      <w:r w:rsidR="007769B0">
        <w:rPr>
          <w:lang w:val="en-GB"/>
        </w:rPr>
        <w:t xml:space="preserve"> ndryshuara nuk do t</w:t>
      </w:r>
      <w:r w:rsidR="00822B77">
        <w:rPr>
          <w:lang w:val="en-GB"/>
        </w:rPr>
        <w:t>ë</w:t>
      </w:r>
      <w:r w:rsidR="007769B0">
        <w:rPr>
          <w:lang w:val="en-GB"/>
        </w:rPr>
        <w:t xml:space="preserve"> k</w:t>
      </w:r>
      <w:r w:rsidR="00822B77">
        <w:rPr>
          <w:lang w:val="en-GB"/>
        </w:rPr>
        <w:t>ë</w:t>
      </w:r>
      <w:r w:rsidR="007769B0">
        <w:rPr>
          <w:lang w:val="en-GB"/>
        </w:rPr>
        <w:t>rkoj</w:t>
      </w:r>
      <w:r w:rsidR="00822B77">
        <w:rPr>
          <w:lang w:val="en-GB"/>
        </w:rPr>
        <w:t>ë</w:t>
      </w:r>
      <w:r w:rsidR="007769B0">
        <w:rPr>
          <w:lang w:val="en-GB"/>
        </w:rPr>
        <w:t xml:space="preserve"> burime financimi shtes</w:t>
      </w:r>
      <w:r w:rsidR="00822B77">
        <w:rPr>
          <w:lang w:val="en-GB"/>
        </w:rPr>
        <w:t>ë</w:t>
      </w:r>
      <w:r w:rsidR="007769B0">
        <w:rPr>
          <w:lang w:val="en-GB"/>
        </w:rPr>
        <w:t>. Stafi ekzistues i institucioneve t</w:t>
      </w:r>
      <w:r w:rsidR="00822B77">
        <w:rPr>
          <w:lang w:val="en-GB"/>
        </w:rPr>
        <w:t>ë</w:t>
      </w:r>
      <w:r w:rsidR="007769B0">
        <w:rPr>
          <w:lang w:val="en-GB"/>
        </w:rPr>
        <w:t xml:space="preserve"> p</w:t>
      </w:r>
      <w:r w:rsidR="00822B77">
        <w:rPr>
          <w:lang w:val="en-GB"/>
        </w:rPr>
        <w:t>ë</w:t>
      </w:r>
      <w:r w:rsidR="007769B0">
        <w:rPr>
          <w:lang w:val="en-GB"/>
        </w:rPr>
        <w:t xml:space="preserve">rfshira </w:t>
      </w:r>
      <w:r w:rsidR="00076EE3">
        <w:rPr>
          <w:lang w:val="en-GB"/>
        </w:rPr>
        <w:t>n</w:t>
      </w:r>
      <w:r w:rsidR="00822B77">
        <w:rPr>
          <w:lang w:val="en-GB"/>
        </w:rPr>
        <w:t>ë</w:t>
      </w:r>
      <w:r w:rsidR="00076EE3">
        <w:rPr>
          <w:lang w:val="en-GB"/>
        </w:rPr>
        <w:t xml:space="preserve"> zbatimin e reformave do t</w:t>
      </w:r>
      <w:r w:rsidR="00822B77">
        <w:rPr>
          <w:lang w:val="en-GB"/>
        </w:rPr>
        <w:t>ë</w:t>
      </w:r>
      <w:r w:rsidR="00076EE3">
        <w:rPr>
          <w:lang w:val="en-GB"/>
        </w:rPr>
        <w:t xml:space="preserve"> jet</w:t>
      </w:r>
      <w:r w:rsidR="00822B77">
        <w:rPr>
          <w:lang w:val="en-GB"/>
        </w:rPr>
        <w:t>ë</w:t>
      </w:r>
      <w:r w:rsidR="00076EE3">
        <w:rPr>
          <w:lang w:val="en-GB"/>
        </w:rPr>
        <w:t xml:space="preserve"> p</w:t>
      </w:r>
      <w:r w:rsidR="00822B77">
        <w:rPr>
          <w:lang w:val="en-GB"/>
        </w:rPr>
        <w:t>ë</w:t>
      </w:r>
      <w:r w:rsidR="00076EE3">
        <w:rPr>
          <w:lang w:val="en-GB"/>
        </w:rPr>
        <w:t>rgjegj</w:t>
      </w:r>
      <w:r w:rsidR="00822B77">
        <w:rPr>
          <w:lang w:val="en-GB"/>
        </w:rPr>
        <w:t>ë</w:t>
      </w:r>
      <w:r w:rsidR="00076EE3">
        <w:rPr>
          <w:lang w:val="en-GB"/>
        </w:rPr>
        <w:t>s p</w:t>
      </w:r>
      <w:r w:rsidR="00822B77">
        <w:rPr>
          <w:lang w:val="en-GB"/>
        </w:rPr>
        <w:t>ë</w:t>
      </w:r>
      <w:r w:rsidR="00076EE3">
        <w:rPr>
          <w:lang w:val="en-GB"/>
        </w:rPr>
        <w:t>r marrjen e masave t</w:t>
      </w:r>
      <w:r w:rsidR="00822B77">
        <w:rPr>
          <w:lang w:val="en-GB"/>
        </w:rPr>
        <w:t>ë</w:t>
      </w:r>
      <w:r w:rsidR="00076EE3">
        <w:rPr>
          <w:lang w:val="en-GB"/>
        </w:rPr>
        <w:t xml:space="preserve"> nevojshme p</w:t>
      </w:r>
      <w:r w:rsidR="00822B77">
        <w:rPr>
          <w:lang w:val="en-GB"/>
        </w:rPr>
        <w:t>ë</w:t>
      </w:r>
      <w:r w:rsidR="00076EE3">
        <w:rPr>
          <w:lang w:val="en-GB"/>
        </w:rPr>
        <w:t>r realizimin e masave t</w:t>
      </w:r>
      <w:r w:rsidR="00822B77">
        <w:rPr>
          <w:lang w:val="en-GB"/>
        </w:rPr>
        <w:t>ë</w:t>
      </w:r>
      <w:r w:rsidR="00076EE3">
        <w:rPr>
          <w:lang w:val="en-GB"/>
        </w:rPr>
        <w:t xml:space="preserve"> nevojshme p</w:t>
      </w:r>
      <w:r w:rsidR="00822B77">
        <w:rPr>
          <w:lang w:val="en-GB"/>
        </w:rPr>
        <w:t>ë</w:t>
      </w:r>
      <w:r w:rsidR="00076EE3">
        <w:rPr>
          <w:lang w:val="en-GB"/>
        </w:rPr>
        <w:t>r realizimin e masave t</w:t>
      </w:r>
      <w:r w:rsidR="00822B77">
        <w:rPr>
          <w:lang w:val="en-GB"/>
        </w:rPr>
        <w:t>ë</w:t>
      </w:r>
      <w:r w:rsidR="00076EE3">
        <w:rPr>
          <w:lang w:val="en-GB"/>
        </w:rPr>
        <w:t xml:space="preserve"> parashikuara n</w:t>
      </w:r>
      <w:r w:rsidR="00822B77">
        <w:rPr>
          <w:lang w:val="en-GB"/>
        </w:rPr>
        <w:t>ë</w:t>
      </w:r>
      <w:r w:rsidR="00076EE3">
        <w:rPr>
          <w:lang w:val="en-GB"/>
        </w:rPr>
        <w:t xml:space="preserve"> k</w:t>
      </w:r>
      <w:r w:rsidR="00822B77">
        <w:rPr>
          <w:lang w:val="en-GB"/>
        </w:rPr>
        <w:t>ë</w:t>
      </w:r>
      <w:r w:rsidR="00076EE3">
        <w:rPr>
          <w:lang w:val="en-GB"/>
        </w:rPr>
        <w:t>t</w:t>
      </w:r>
      <w:r w:rsidR="00822B77">
        <w:rPr>
          <w:lang w:val="en-GB"/>
        </w:rPr>
        <w:t>ë</w:t>
      </w:r>
      <w:r w:rsidR="00076EE3">
        <w:rPr>
          <w:lang w:val="en-GB"/>
        </w:rPr>
        <w:t xml:space="preserve"> dokument</w:t>
      </w:r>
      <w:r w:rsidR="007769B0">
        <w:rPr>
          <w:lang w:val="en-GB"/>
        </w:rPr>
        <w:t xml:space="preserve"> </w:t>
      </w:r>
      <w:r w:rsidR="00076EE3">
        <w:rPr>
          <w:lang w:val="en-GB"/>
        </w:rPr>
        <w:t xml:space="preserve">strategjik. </w:t>
      </w:r>
    </w:p>
    <w:p w14:paraId="77087B9C" w14:textId="77777777" w:rsidR="00076EE3" w:rsidRDefault="00076EE3" w:rsidP="00076EE3">
      <w:pPr>
        <w:spacing w:line="276" w:lineRule="auto"/>
        <w:jc w:val="both"/>
        <w:rPr>
          <w:lang w:val="en-GB"/>
        </w:rPr>
      </w:pPr>
    </w:p>
    <w:p w14:paraId="2F88CD49" w14:textId="7F783D3D" w:rsidR="00076EE3" w:rsidRDefault="00076EE3" w:rsidP="00076EE3">
      <w:pPr>
        <w:spacing w:line="276" w:lineRule="auto"/>
        <w:jc w:val="both"/>
        <w:rPr>
          <w:lang w:val="en-GB"/>
        </w:rPr>
      </w:pPr>
      <w:r>
        <w:rPr>
          <w:lang w:val="en-GB"/>
        </w:rPr>
        <w:t>Qasja e p</w:t>
      </w:r>
      <w:r w:rsidR="00822B77">
        <w:rPr>
          <w:lang w:val="en-GB"/>
        </w:rPr>
        <w:t>ë</w:t>
      </w:r>
      <w:r>
        <w:rPr>
          <w:lang w:val="en-GB"/>
        </w:rPr>
        <w:t>rdorur p</w:t>
      </w:r>
      <w:r w:rsidR="00822B77">
        <w:rPr>
          <w:lang w:val="en-GB"/>
        </w:rPr>
        <w:t>ë</w:t>
      </w:r>
      <w:r>
        <w:rPr>
          <w:lang w:val="en-GB"/>
        </w:rPr>
        <w:t>r t</w:t>
      </w:r>
      <w:r w:rsidR="00822B77">
        <w:rPr>
          <w:lang w:val="en-GB"/>
        </w:rPr>
        <w:t>ë</w:t>
      </w:r>
      <w:r>
        <w:rPr>
          <w:lang w:val="en-GB"/>
        </w:rPr>
        <w:t xml:space="preserve"> matur fush</w:t>
      </w:r>
      <w:r w:rsidR="00822B77">
        <w:rPr>
          <w:lang w:val="en-GB"/>
        </w:rPr>
        <w:t>ë</w:t>
      </w:r>
      <w:r>
        <w:rPr>
          <w:lang w:val="en-GB"/>
        </w:rPr>
        <w:t>veprimin e burimeve t</w:t>
      </w:r>
      <w:r w:rsidR="00822B77">
        <w:rPr>
          <w:lang w:val="en-GB"/>
        </w:rPr>
        <w:t>ë</w:t>
      </w:r>
      <w:r>
        <w:rPr>
          <w:lang w:val="en-GB"/>
        </w:rPr>
        <w:t xml:space="preserve"> p</w:t>
      </w:r>
      <w:r w:rsidR="00822B77">
        <w:rPr>
          <w:lang w:val="en-GB"/>
        </w:rPr>
        <w:t>ë</w:t>
      </w:r>
      <w:r>
        <w:rPr>
          <w:lang w:val="en-GB"/>
        </w:rPr>
        <w:t>rdorura p</w:t>
      </w:r>
      <w:r w:rsidR="00822B77">
        <w:rPr>
          <w:lang w:val="en-GB"/>
        </w:rPr>
        <w:t>ë</w:t>
      </w:r>
      <w:r>
        <w:rPr>
          <w:lang w:val="en-GB"/>
        </w:rPr>
        <w:t>r zbatimin e strategjis</w:t>
      </w:r>
      <w:r w:rsidR="00822B77">
        <w:rPr>
          <w:lang w:val="en-GB"/>
        </w:rPr>
        <w:t>ë</w:t>
      </w:r>
      <w:r>
        <w:rPr>
          <w:lang w:val="en-GB"/>
        </w:rPr>
        <w:t xml:space="preserve"> </w:t>
      </w:r>
      <w:r w:rsidR="00953F1C">
        <w:rPr>
          <w:lang w:val="en-GB"/>
        </w:rPr>
        <w:t>s</w:t>
      </w:r>
      <w:r w:rsidR="00822B77">
        <w:rPr>
          <w:lang w:val="en-GB"/>
        </w:rPr>
        <w:t>ë</w:t>
      </w:r>
      <w:r w:rsidR="00953F1C">
        <w:rPr>
          <w:lang w:val="en-GB"/>
        </w:rPr>
        <w:t xml:space="preserve"> MFP-s</w:t>
      </w:r>
      <w:r w:rsidR="00822B77">
        <w:rPr>
          <w:lang w:val="en-GB"/>
        </w:rPr>
        <w:t>ë</w:t>
      </w:r>
      <w:r w:rsidR="00953F1C">
        <w:rPr>
          <w:lang w:val="en-GB"/>
        </w:rPr>
        <w:t xml:space="preserve"> </w:t>
      </w:r>
      <w:r w:rsidR="00822B77">
        <w:rPr>
          <w:lang w:val="en-GB"/>
        </w:rPr>
        <w:t>ë</w:t>
      </w:r>
      <w:r w:rsidR="00953F1C">
        <w:rPr>
          <w:lang w:val="en-GB"/>
        </w:rPr>
        <w:t>sht</w:t>
      </w:r>
      <w:r w:rsidR="00822B77">
        <w:rPr>
          <w:lang w:val="en-GB"/>
        </w:rPr>
        <w:t>ë</w:t>
      </w:r>
      <w:r w:rsidR="00953F1C">
        <w:rPr>
          <w:lang w:val="en-GB"/>
        </w:rPr>
        <w:t xml:space="preserve"> vet</w:t>
      </w:r>
      <w:r w:rsidR="00822B77">
        <w:rPr>
          <w:lang w:val="en-GB"/>
        </w:rPr>
        <w:t>ë</w:t>
      </w:r>
      <w:r w:rsidR="00953F1C">
        <w:rPr>
          <w:lang w:val="en-GB"/>
        </w:rPr>
        <w:t>m kostot shtes</w:t>
      </w:r>
      <w:r w:rsidR="00822B77">
        <w:rPr>
          <w:lang w:val="en-GB"/>
        </w:rPr>
        <w:t>ë</w:t>
      </w:r>
      <w:r w:rsidR="00C96923">
        <w:rPr>
          <w:lang w:val="en-GB"/>
        </w:rPr>
        <w:t>, duke mos përfshirë kostot administrative në tabelën e kostimit</w:t>
      </w:r>
      <w:r w:rsidR="00953F1C">
        <w:rPr>
          <w:lang w:val="en-GB"/>
        </w:rPr>
        <w:t>. N</w:t>
      </w:r>
      <w:r w:rsidR="00822B77">
        <w:rPr>
          <w:lang w:val="en-GB"/>
        </w:rPr>
        <w:t>ë</w:t>
      </w:r>
      <w:r w:rsidR="00953F1C">
        <w:rPr>
          <w:lang w:val="en-GB"/>
        </w:rPr>
        <w:t xml:space="preserve"> strategjin</w:t>
      </w:r>
      <w:r w:rsidR="00822B77">
        <w:rPr>
          <w:lang w:val="en-GB"/>
        </w:rPr>
        <w:t>ë</w:t>
      </w:r>
      <w:r w:rsidR="00953F1C">
        <w:rPr>
          <w:lang w:val="en-GB"/>
        </w:rPr>
        <w:t xml:space="preserve"> e MFP-s</w:t>
      </w:r>
      <w:r w:rsidR="00822B77">
        <w:rPr>
          <w:lang w:val="en-GB"/>
        </w:rPr>
        <w:t>ë</w:t>
      </w:r>
      <w:r w:rsidR="00953F1C">
        <w:rPr>
          <w:lang w:val="en-GB"/>
        </w:rPr>
        <w:t xml:space="preserve"> jan</w:t>
      </w:r>
      <w:r w:rsidR="00822B77">
        <w:rPr>
          <w:lang w:val="en-GB"/>
        </w:rPr>
        <w:t>ë</w:t>
      </w:r>
      <w:r w:rsidR="00953F1C">
        <w:rPr>
          <w:lang w:val="en-GB"/>
        </w:rPr>
        <w:t xml:space="preserve"> t</w:t>
      </w:r>
      <w:r w:rsidR="00822B77">
        <w:rPr>
          <w:lang w:val="en-GB"/>
        </w:rPr>
        <w:t>ë</w:t>
      </w:r>
      <w:r w:rsidR="00953F1C">
        <w:rPr>
          <w:lang w:val="en-GB"/>
        </w:rPr>
        <w:t xml:space="preserve"> p</w:t>
      </w:r>
      <w:r w:rsidR="00822B77">
        <w:rPr>
          <w:lang w:val="en-GB"/>
        </w:rPr>
        <w:t>ë</w:t>
      </w:r>
      <w:r w:rsidR="00953F1C">
        <w:rPr>
          <w:lang w:val="en-GB"/>
        </w:rPr>
        <w:t>rfshira disa aktivitete p</w:t>
      </w:r>
      <w:r w:rsidR="00822B77">
        <w:rPr>
          <w:lang w:val="en-GB"/>
        </w:rPr>
        <w:t>ë</w:t>
      </w:r>
      <w:r w:rsidR="00953F1C">
        <w:rPr>
          <w:lang w:val="en-GB"/>
        </w:rPr>
        <w:t>r t</w:t>
      </w:r>
      <w:r w:rsidR="00822B77">
        <w:rPr>
          <w:lang w:val="en-GB"/>
        </w:rPr>
        <w:t>ë</w:t>
      </w:r>
      <w:r w:rsidR="00953F1C">
        <w:rPr>
          <w:lang w:val="en-GB"/>
        </w:rPr>
        <w:t xml:space="preserve"> cilat dihet burimi i financimit, por mbetet p</w:t>
      </w:r>
      <w:r w:rsidR="00822B77">
        <w:rPr>
          <w:lang w:val="en-GB"/>
        </w:rPr>
        <w:t>ë</w:t>
      </w:r>
      <w:r w:rsidR="00953F1C">
        <w:rPr>
          <w:lang w:val="en-GB"/>
        </w:rPr>
        <w:t>r t’u vendosur shuma q</w:t>
      </w:r>
      <w:r w:rsidR="00822B77">
        <w:rPr>
          <w:lang w:val="en-GB"/>
        </w:rPr>
        <w:t>ë</w:t>
      </w:r>
      <w:r w:rsidR="00953F1C">
        <w:rPr>
          <w:lang w:val="en-GB"/>
        </w:rPr>
        <w:t xml:space="preserve"> do t</w:t>
      </w:r>
      <w:r w:rsidR="00822B77">
        <w:rPr>
          <w:lang w:val="en-GB"/>
        </w:rPr>
        <w:t>ë</w:t>
      </w:r>
      <w:r w:rsidR="00953F1C">
        <w:rPr>
          <w:lang w:val="en-GB"/>
        </w:rPr>
        <w:t xml:space="preserve"> financohet p</w:t>
      </w:r>
      <w:r w:rsidR="00822B77">
        <w:rPr>
          <w:lang w:val="en-GB"/>
        </w:rPr>
        <w:t>ë</w:t>
      </w:r>
      <w:r w:rsidR="00953F1C">
        <w:rPr>
          <w:lang w:val="en-GB"/>
        </w:rPr>
        <w:t>r t</w:t>
      </w:r>
      <w:r w:rsidR="00822B77">
        <w:rPr>
          <w:lang w:val="en-GB"/>
        </w:rPr>
        <w:t>ë</w:t>
      </w:r>
      <w:r w:rsidR="00953F1C">
        <w:rPr>
          <w:lang w:val="en-GB"/>
        </w:rPr>
        <w:t xml:space="preserve"> mbuluar shpenzimet apo dhe aktivitet</w:t>
      </w:r>
      <w:r w:rsidR="00C96923">
        <w:rPr>
          <w:lang w:val="en-GB"/>
        </w:rPr>
        <w:t>et</w:t>
      </w:r>
      <w:r w:rsidR="00953F1C">
        <w:rPr>
          <w:lang w:val="en-GB"/>
        </w:rPr>
        <w:t xml:space="preserve"> p</w:t>
      </w:r>
      <w:r w:rsidR="00822B77">
        <w:rPr>
          <w:lang w:val="en-GB"/>
        </w:rPr>
        <w:t>ë</w:t>
      </w:r>
      <w:r w:rsidR="00953F1C">
        <w:rPr>
          <w:lang w:val="en-GB"/>
        </w:rPr>
        <w:t>r t</w:t>
      </w:r>
      <w:r w:rsidR="00822B77">
        <w:rPr>
          <w:lang w:val="en-GB"/>
        </w:rPr>
        <w:t>ë</w:t>
      </w:r>
      <w:r w:rsidR="00953F1C">
        <w:rPr>
          <w:lang w:val="en-GB"/>
        </w:rPr>
        <w:t xml:space="preserve"> cilat nuk </w:t>
      </w:r>
      <w:r w:rsidR="00822B77">
        <w:rPr>
          <w:lang w:val="en-GB"/>
        </w:rPr>
        <w:t>ë</w:t>
      </w:r>
      <w:r w:rsidR="00953F1C">
        <w:rPr>
          <w:lang w:val="en-GB"/>
        </w:rPr>
        <w:t>sht</w:t>
      </w:r>
      <w:r w:rsidR="00822B77">
        <w:rPr>
          <w:lang w:val="en-GB"/>
        </w:rPr>
        <w:t>ë</w:t>
      </w:r>
      <w:r w:rsidR="00953F1C">
        <w:rPr>
          <w:lang w:val="en-GB"/>
        </w:rPr>
        <w:t xml:space="preserve"> dakord</w:t>
      </w:r>
      <w:r w:rsidR="00822B77">
        <w:rPr>
          <w:lang w:val="en-GB"/>
        </w:rPr>
        <w:t>ë</w:t>
      </w:r>
      <w:r w:rsidR="00953F1C">
        <w:rPr>
          <w:lang w:val="en-GB"/>
        </w:rPr>
        <w:t xml:space="preserve">suar akoma burimi i financimit. </w:t>
      </w:r>
    </w:p>
    <w:p w14:paraId="04E0EC9E" w14:textId="77777777" w:rsidR="00953F1C" w:rsidRDefault="00953F1C" w:rsidP="00076EE3">
      <w:pPr>
        <w:spacing w:line="276" w:lineRule="auto"/>
        <w:jc w:val="both"/>
        <w:rPr>
          <w:lang w:val="en-GB"/>
        </w:rPr>
      </w:pPr>
    </w:p>
    <w:p w14:paraId="43E20B44" w14:textId="7A9D9DE7" w:rsidR="00953F1C" w:rsidRDefault="00953F1C" w:rsidP="00076EE3">
      <w:pPr>
        <w:spacing w:line="276" w:lineRule="auto"/>
        <w:jc w:val="both"/>
        <w:rPr>
          <w:lang w:val="en-GB"/>
        </w:rPr>
      </w:pPr>
      <w:r>
        <w:rPr>
          <w:lang w:val="en-GB"/>
        </w:rPr>
        <w:t>Qeveria do t</w:t>
      </w:r>
      <w:r w:rsidR="00822B77">
        <w:rPr>
          <w:lang w:val="en-GB"/>
        </w:rPr>
        <w:t>ë</w:t>
      </w:r>
      <w:r>
        <w:rPr>
          <w:lang w:val="en-GB"/>
        </w:rPr>
        <w:t xml:space="preserve"> k</w:t>
      </w:r>
      <w:r w:rsidR="00822B77">
        <w:rPr>
          <w:lang w:val="en-GB"/>
        </w:rPr>
        <w:t>ë</w:t>
      </w:r>
      <w:r>
        <w:rPr>
          <w:lang w:val="en-GB"/>
        </w:rPr>
        <w:t>rkoj</w:t>
      </w:r>
      <w:r w:rsidR="00822B77">
        <w:rPr>
          <w:lang w:val="en-GB"/>
        </w:rPr>
        <w:t>ë</w:t>
      </w:r>
      <w:r>
        <w:rPr>
          <w:lang w:val="en-GB"/>
        </w:rPr>
        <w:t xml:space="preserve"> financim nga Partner</w:t>
      </w:r>
      <w:r w:rsidR="00822B77">
        <w:rPr>
          <w:lang w:val="en-GB"/>
        </w:rPr>
        <w:t>ë</w:t>
      </w:r>
      <w:r>
        <w:rPr>
          <w:lang w:val="en-GB"/>
        </w:rPr>
        <w:t>t e Jasht</w:t>
      </w:r>
      <w:r w:rsidR="00822B77">
        <w:rPr>
          <w:lang w:val="en-GB"/>
        </w:rPr>
        <w:t>ë</w:t>
      </w:r>
      <w:r>
        <w:rPr>
          <w:lang w:val="en-GB"/>
        </w:rPr>
        <w:t>m p</w:t>
      </w:r>
      <w:r w:rsidR="00822B77">
        <w:rPr>
          <w:lang w:val="en-GB"/>
        </w:rPr>
        <w:t>ë</w:t>
      </w:r>
      <w:r>
        <w:rPr>
          <w:lang w:val="en-GB"/>
        </w:rPr>
        <w:t>r Zhvillim dhe Integrim p</w:t>
      </w:r>
      <w:r w:rsidR="00822B77">
        <w:rPr>
          <w:lang w:val="en-GB"/>
        </w:rPr>
        <w:t>ë</w:t>
      </w:r>
      <w:r>
        <w:rPr>
          <w:lang w:val="en-GB"/>
        </w:rPr>
        <w:t>r t</w:t>
      </w:r>
      <w:r w:rsidR="00822B77">
        <w:rPr>
          <w:lang w:val="en-GB"/>
        </w:rPr>
        <w:t>ë</w:t>
      </w:r>
      <w:r>
        <w:rPr>
          <w:lang w:val="en-GB"/>
        </w:rPr>
        <w:t xml:space="preserve"> financuar aktivitetet dhe p</w:t>
      </w:r>
      <w:r w:rsidR="00822B77">
        <w:rPr>
          <w:lang w:val="en-GB"/>
        </w:rPr>
        <w:t>ë</w:t>
      </w:r>
      <w:r>
        <w:rPr>
          <w:lang w:val="en-GB"/>
        </w:rPr>
        <w:t>r t</w:t>
      </w:r>
      <w:r w:rsidR="00822B77">
        <w:rPr>
          <w:lang w:val="en-GB"/>
        </w:rPr>
        <w:t>ë</w:t>
      </w:r>
      <w:r>
        <w:rPr>
          <w:lang w:val="en-GB"/>
        </w:rPr>
        <w:t xml:space="preserve"> mbuluar shpenzimet q</w:t>
      </w:r>
      <w:r w:rsidR="00822B77">
        <w:rPr>
          <w:lang w:val="en-GB"/>
        </w:rPr>
        <w:t>ë</w:t>
      </w:r>
      <w:r>
        <w:rPr>
          <w:lang w:val="en-GB"/>
        </w:rPr>
        <w:t xml:space="preserve"> lidhen me zbatimin dhe ngritjen e kapaciteteve. Gjithashtu, Qeveria mbetet e an</w:t>
      </w:r>
      <w:r w:rsidR="008004BB">
        <w:rPr>
          <w:lang w:val="en-GB"/>
        </w:rPr>
        <w:t>g</w:t>
      </w:r>
      <w:r>
        <w:rPr>
          <w:lang w:val="en-GB"/>
        </w:rPr>
        <w:t>azhuar t</w:t>
      </w:r>
      <w:r w:rsidR="00822B77">
        <w:rPr>
          <w:lang w:val="en-GB"/>
        </w:rPr>
        <w:t>ë</w:t>
      </w:r>
      <w:r>
        <w:rPr>
          <w:lang w:val="en-GB"/>
        </w:rPr>
        <w:t xml:space="preserve"> siguroj</w:t>
      </w:r>
      <w:r w:rsidR="00822B77">
        <w:rPr>
          <w:lang w:val="en-GB"/>
        </w:rPr>
        <w:t>ë</w:t>
      </w:r>
      <w:r>
        <w:rPr>
          <w:lang w:val="en-GB"/>
        </w:rPr>
        <w:t xml:space="preserve"> financimin e aktiviteteve </w:t>
      </w:r>
      <w:r w:rsidR="00822B77">
        <w:rPr>
          <w:lang w:val="en-GB"/>
        </w:rPr>
        <w:t>për të lejuar zbatimin e reformave.</w:t>
      </w:r>
    </w:p>
    <w:p w14:paraId="286C1C77" w14:textId="77777777" w:rsidR="00822B77" w:rsidRDefault="00822B77" w:rsidP="00076EE3">
      <w:pPr>
        <w:spacing w:line="276" w:lineRule="auto"/>
        <w:jc w:val="both"/>
        <w:rPr>
          <w:lang w:val="en-GB"/>
        </w:rPr>
      </w:pPr>
    </w:p>
    <w:p w14:paraId="7239302D" w14:textId="31F738E6" w:rsidR="00822B77" w:rsidRDefault="00822B77" w:rsidP="00076EE3">
      <w:pPr>
        <w:spacing w:line="276" w:lineRule="auto"/>
        <w:jc w:val="both"/>
        <w:rPr>
          <w:lang w:val="en-GB"/>
        </w:rPr>
      </w:pPr>
      <w:r>
        <w:rPr>
          <w:lang w:val="en-GB"/>
        </w:rPr>
        <w:t xml:space="preserve">Në tabelën e mëposhtme është paraqitur informacioni mbi koston </w:t>
      </w:r>
      <w:r w:rsidR="00C96923">
        <w:rPr>
          <w:lang w:val="en-GB"/>
        </w:rPr>
        <w:t>indik</w:t>
      </w:r>
      <w:r>
        <w:rPr>
          <w:lang w:val="en-GB"/>
        </w:rPr>
        <w:t xml:space="preserve">ative të strategjisë së MFP-së në nivel shtyllash. Detaje të mëtejshme mbi kostimin sipas objektivave specifik (komponentëve) gjenden në shtojcën </w:t>
      </w:r>
      <w:r w:rsidR="00FD26B0">
        <w:rPr>
          <w:lang w:val="en-GB"/>
        </w:rPr>
        <w:t>3</w:t>
      </w:r>
      <w:r>
        <w:rPr>
          <w:lang w:val="en-GB"/>
        </w:rPr>
        <w:t>.</w:t>
      </w:r>
    </w:p>
    <w:p w14:paraId="05EBF761" w14:textId="77777777" w:rsidR="00953F1C" w:rsidRDefault="00953F1C" w:rsidP="00076EE3">
      <w:pPr>
        <w:spacing w:line="276" w:lineRule="auto"/>
        <w:jc w:val="both"/>
        <w:rPr>
          <w:lang w:val="en-GB"/>
        </w:rPr>
      </w:pPr>
    </w:p>
    <w:p w14:paraId="33ABB640" w14:textId="77777777" w:rsidR="00EF73E8" w:rsidRDefault="00EF73E8" w:rsidP="000F0526">
      <w:pPr>
        <w:rPr>
          <w:lang w:val="en-GB"/>
        </w:rPr>
      </w:pPr>
    </w:p>
    <w:p w14:paraId="5D7B7503" w14:textId="77777777" w:rsidR="00EF73E8" w:rsidRDefault="00EF73E8" w:rsidP="000F0526">
      <w:pPr>
        <w:rPr>
          <w:lang w:val="en-GB"/>
        </w:rPr>
      </w:pPr>
    </w:p>
    <w:p w14:paraId="6444E408" w14:textId="5F577A48" w:rsidR="00EF73E8" w:rsidRPr="00FE1CF7" w:rsidRDefault="00FE1CF7" w:rsidP="00FE1CF7">
      <w:pPr>
        <w:jc w:val="right"/>
        <w:rPr>
          <w:i/>
          <w:lang w:val="en-GB"/>
        </w:rPr>
      </w:pPr>
      <w:r w:rsidRPr="00FE1CF7">
        <w:rPr>
          <w:i/>
          <w:lang w:val="en-GB"/>
        </w:rPr>
        <w:t>Shuma në EURO</w:t>
      </w:r>
    </w:p>
    <w:p w14:paraId="41ECEEFB" w14:textId="46303F31" w:rsidR="00EF73E8" w:rsidRDefault="00FE1CF7" w:rsidP="000F0526">
      <w:pPr>
        <w:rPr>
          <w:lang w:val="en-GB"/>
        </w:rPr>
      </w:pPr>
      <w:r w:rsidRPr="00FE1CF7">
        <w:rPr>
          <w:noProof/>
        </w:rPr>
        <w:drawing>
          <wp:inline distT="0" distB="0" distL="0" distR="0" wp14:anchorId="67F2BB42" wp14:editId="0C8B032F">
            <wp:extent cx="5731510" cy="4022036"/>
            <wp:effectExtent l="19050" t="19050" r="2159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022036"/>
                    </a:xfrm>
                    <a:prstGeom prst="rect">
                      <a:avLst/>
                    </a:prstGeom>
                    <a:noFill/>
                    <a:ln w="12700">
                      <a:solidFill>
                        <a:schemeClr val="tx1"/>
                      </a:solidFill>
                    </a:ln>
                  </pic:spPr>
                </pic:pic>
              </a:graphicData>
            </a:graphic>
          </wp:inline>
        </w:drawing>
      </w:r>
    </w:p>
    <w:p w14:paraId="3998F87D" w14:textId="77777777" w:rsidR="00EF73E8" w:rsidRDefault="00EF73E8" w:rsidP="000F0526">
      <w:pPr>
        <w:rPr>
          <w:lang w:val="en-GB"/>
        </w:rPr>
      </w:pPr>
    </w:p>
    <w:p w14:paraId="3C819D11" w14:textId="77777777" w:rsidR="00EF73E8" w:rsidRDefault="00EF73E8" w:rsidP="000F0526">
      <w:pPr>
        <w:rPr>
          <w:lang w:val="en-GB"/>
        </w:rPr>
      </w:pPr>
    </w:p>
    <w:p w14:paraId="53735DDB" w14:textId="77777777" w:rsidR="00EF73E8" w:rsidRDefault="00EF73E8" w:rsidP="000F0526">
      <w:pPr>
        <w:rPr>
          <w:lang w:val="en-GB"/>
        </w:rPr>
      </w:pPr>
    </w:p>
    <w:p w14:paraId="0BE47BBE" w14:textId="77777777" w:rsidR="00EF73E8" w:rsidRDefault="00EF73E8" w:rsidP="000F0526">
      <w:pPr>
        <w:rPr>
          <w:lang w:val="en-GB"/>
        </w:rPr>
      </w:pPr>
    </w:p>
    <w:p w14:paraId="20FCE22D" w14:textId="77777777" w:rsidR="00EF73E8" w:rsidRDefault="00EF73E8" w:rsidP="000F0526">
      <w:pPr>
        <w:rPr>
          <w:lang w:val="en-GB"/>
        </w:rPr>
      </w:pPr>
    </w:p>
    <w:p w14:paraId="0B7B2E8D" w14:textId="77777777" w:rsidR="00EF73E8" w:rsidRPr="001F151E" w:rsidRDefault="00EF73E8" w:rsidP="000F0526">
      <w:pPr>
        <w:rPr>
          <w:lang w:val="en-GB"/>
        </w:rPr>
      </w:pPr>
    </w:p>
    <w:p w14:paraId="239EB121" w14:textId="49479918" w:rsidR="000F0526" w:rsidRPr="009D660E" w:rsidRDefault="007C5F11" w:rsidP="000F0526">
      <w:pPr>
        <w:pStyle w:val="Heading1"/>
        <w:numPr>
          <w:ilvl w:val="0"/>
          <w:numId w:val="0"/>
        </w:numPr>
        <w:ind w:left="432" w:hanging="432"/>
        <w:rPr>
          <w:lang w:val="it-IT"/>
        </w:rPr>
      </w:pPr>
      <w:bookmarkStart w:id="67" w:name="_Toc161748844"/>
      <w:r w:rsidRPr="009D660E">
        <w:rPr>
          <w:rStyle w:val="rynqvb"/>
          <w:lang w:val="it-IT"/>
        </w:rPr>
        <w:t>Shtojca</w:t>
      </w:r>
      <w:r w:rsidR="000F0526" w:rsidRPr="009D660E">
        <w:rPr>
          <w:rStyle w:val="rynqvb"/>
          <w:lang w:val="it-IT"/>
        </w:rPr>
        <w:t xml:space="preserve"> 1 Palët e interesuara për reformën e MFP</w:t>
      </w:r>
      <w:bookmarkEnd w:id="67"/>
    </w:p>
    <w:p w14:paraId="19FE093F" w14:textId="77777777" w:rsidR="000F0526" w:rsidRPr="009D660E" w:rsidRDefault="000F0526" w:rsidP="000F0526">
      <w:pPr>
        <w:rPr>
          <w:lang w:val="it-IT"/>
        </w:rPr>
      </w:pPr>
    </w:p>
    <w:tbl>
      <w:tblPr>
        <w:tblStyle w:val="TableGrid"/>
        <w:tblW w:w="0" w:type="auto"/>
        <w:tblCellMar>
          <w:top w:w="28" w:type="dxa"/>
          <w:left w:w="57" w:type="dxa"/>
          <w:bottom w:w="28" w:type="dxa"/>
          <w:right w:w="57" w:type="dxa"/>
        </w:tblCellMar>
        <w:tblLook w:val="04A0" w:firstRow="1" w:lastRow="0" w:firstColumn="1" w:lastColumn="0" w:noHBand="0" w:noVBand="1"/>
      </w:tblPr>
      <w:tblGrid>
        <w:gridCol w:w="1271"/>
        <w:gridCol w:w="7745"/>
      </w:tblGrid>
      <w:tr w:rsidR="000F0526" w:rsidRPr="001F151E" w14:paraId="67A08611" w14:textId="77777777" w:rsidTr="000C70FA">
        <w:tc>
          <w:tcPr>
            <w:tcW w:w="9016" w:type="dxa"/>
            <w:gridSpan w:val="2"/>
            <w:tcBorders>
              <w:top w:val="nil"/>
              <w:left w:val="nil"/>
              <w:bottom w:val="nil"/>
              <w:right w:val="nil"/>
            </w:tcBorders>
          </w:tcPr>
          <w:p w14:paraId="41B56996" w14:textId="77777777" w:rsidR="000F0526" w:rsidRPr="001F151E" w:rsidRDefault="000F0526" w:rsidP="000C70FA">
            <w:pPr>
              <w:rPr>
                <w:b/>
                <w:bCs/>
              </w:rPr>
            </w:pPr>
            <w:r w:rsidRPr="00B373D9">
              <w:rPr>
                <w:b/>
                <w:bCs/>
              </w:rPr>
              <w:t>Ministria e Financave</w:t>
            </w:r>
          </w:p>
        </w:tc>
      </w:tr>
      <w:tr w:rsidR="000F0526" w:rsidRPr="001F151E" w14:paraId="68D644BA" w14:textId="77777777" w:rsidTr="000C70FA">
        <w:tc>
          <w:tcPr>
            <w:tcW w:w="1271" w:type="dxa"/>
            <w:tcBorders>
              <w:top w:val="nil"/>
              <w:left w:val="nil"/>
              <w:bottom w:val="nil"/>
              <w:right w:val="nil"/>
            </w:tcBorders>
          </w:tcPr>
          <w:p w14:paraId="14442D91" w14:textId="77777777" w:rsidR="000F0526" w:rsidRPr="001F151E" w:rsidRDefault="000F0526" w:rsidP="000C70FA">
            <w:r w:rsidRPr="001F151E">
              <w:t>MF</w:t>
            </w:r>
          </w:p>
        </w:tc>
        <w:tc>
          <w:tcPr>
            <w:tcW w:w="7745" w:type="dxa"/>
            <w:tcBorders>
              <w:top w:val="nil"/>
              <w:left w:val="nil"/>
              <w:bottom w:val="nil"/>
              <w:right w:val="nil"/>
            </w:tcBorders>
          </w:tcPr>
          <w:p w14:paraId="1694E307" w14:textId="77777777" w:rsidR="000F0526" w:rsidRPr="001F151E" w:rsidRDefault="000F0526" w:rsidP="000C70FA">
            <w:r w:rsidRPr="001F151E">
              <w:t>Minist</w:t>
            </w:r>
            <w:r>
              <w:t>ria e Financave</w:t>
            </w:r>
          </w:p>
        </w:tc>
      </w:tr>
      <w:tr w:rsidR="000F0526" w:rsidRPr="0059094E" w14:paraId="2E048BCE" w14:textId="77777777" w:rsidTr="000C70FA">
        <w:tc>
          <w:tcPr>
            <w:tcW w:w="1271" w:type="dxa"/>
            <w:tcBorders>
              <w:top w:val="nil"/>
              <w:left w:val="nil"/>
              <w:bottom w:val="nil"/>
              <w:right w:val="nil"/>
            </w:tcBorders>
          </w:tcPr>
          <w:p w14:paraId="7F1794D1" w14:textId="77777777" w:rsidR="000F0526" w:rsidRPr="001F151E" w:rsidRDefault="000F0526" w:rsidP="000C70FA">
            <w:r>
              <w:t>DPPF</w:t>
            </w:r>
          </w:p>
        </w:tc>
        <w:tc>
          <w:tcPr>
            <w:tcW w:w="7745" w:type="dxa"/>
            <w:tcBorders>
              <w:top w:val="nil"/>
              <w:left w:val="nil"/>
              <w:bottom w:val="nil"/>
              <w:right w:val="nil"/>
            </w:tcBorders>
          </w:tcPr>
          <w:p w14:paraId="46B522CA" w14:textId="77777777" w:rsidR="000F0526" w:rsidRPr="009D660E" w:rsidRDefault="000F0526" w:rsidP="000C70FA">
            <w:pPr>
              <w:rPr>
                <w:lang w:val="it-IT"/>
              </w:rPr>
            </w:pPr>
            <w:r w:rsidRPr="009D660E">
              <w:rPr>
                <w:rFonts w:eastAsia="Times New Roman"/>
                <w:lang w:val="it-IT"/>
              </w:rPr>
              <w:t>Drejtoria e Përgjithshme e Politikave Fiskale (në varësi të MF)</w:t>
            </w:r>
          </w:p>
        </w:tc>
      </w:tr>
      <w:tr w:rsidR="000F0526" w:rsidRPr="001F151E" w14:paraId="02E0D414" w14:textId="77777777" w:rsidTr="000C70FA">
        <w:tc>
          <w:tcPr>
            <w:tcW w:w="1271" w:type="dxa"/>
            <w:tcBorders>
              <w:top w:val="nil"/>
              <w:left w:val="nil"/>
              <w:bottom w:val="nil"/>
              <w:right w:val="nil"/>
            </w:tcBorders>
          </w:tcPr>
          <w:p w14:paraId="7F74314D" w14:textId="77777777" w:rsidR="000F0526" w:rsidRPr="001F151E" w:rsidRDefault="000F0526" w:rsidP="000C70FA">
            <w:r w:rsidRPr="001F151E">
              <w:t>D</w:t>
            </w:r>
            <w:r>
              <w:t>HF</w:t>
            </w:r>
          </w:p>
        </w:tc>
        <w:tc>
          <w:tcPr>
            <w:tcW w:w="7745" w:type="dxa"/>
            <w:tcBorders>
              <w:top w:val="nil"/>
              <w:left w:val="nil"/>
              <w:bottom w:val="nil"/>
              <w:right w:val="nil"/>
            </w:tcBorders>
          </w:tcPr>
          <w:p w14:paraId="27946484" w14:textId="77777777" w:rsidR="000F0526" w:rsidRPr="001F151E" w:rsidRDefault="000F0526" w:rsidP="000C70FA">
            <w:pPr>
              <w:rPr>
                <w:rFonts w:eastAsia="Times New Roman"/>
              </w:rPr>
            </w:pPr>
            <w:r>
              <w:rPr>
                <w:rStyle w:val="rynqvb"/>
              </w:rPr>
              <w:t>Drejtoria e Harmonizimit Fiskal (nën MF DPPF)</w:t>
            </w:r>
          </w:p>
        </w:tc>
      </w:tr>
      <w:tr w:rsidR="000F0526" w:rsidRPr="0059094E" w14:paraId="72C4BC50" w14:textId="77777777" w:rsidTr="000C70FA">
        <w:tc>
          <w:tcPr>
            <w:tcW w:w="1271" w:type="dxa"/>
            <w:tcBorders>
              <w:top w:val="nil"/>
              <w:left w:val="nil"/>
              <w:bottom w:val="nil"/>
              <w:right w:val="nil"/>
            </w:tcBorders>
          </w:tcPr>
          <w:p w14:paraId="0634B89E" w14:textId="415D6641" w:rsidR="000F0526" w:rsidRPr="001F151E" w:rsidRDefault="00D15A1C" w:rsidP="000C70FA">
            <w:r>
              <w:t>D</w:t>
            </w:r>
            <w:r w:rsidR="000F0526">
              <w:t>RF</w:t>
            </w:r>
          </w:p>
        </w:tc>
        <w:tc>
          <w:tcPr>
            <w:tcW w:w="7745" w:type="dxa"/>
            <w:tcBorders>
              <w:top w:val="nil"/>
              <w:left w:val="nil"/>
              <w:bottom w:val="nil"/>
              <w:right w:val="nil"/>
            </w:tcBorders>
          </w:tcPr>
          <w:p w14:paraId="2F9B4577" w14:textId="4A5B2BAB" w:rsidR="000F0526" w:rsidRPr="009D660E" w:rsidRDefault="00D15A1C" w:rsidP="000C70FA">
            <w:pPr>
              <w:rPr>
                <w:rFonts w:eastAsia="Times New Roman"/>
                <w:lang w:val="it-IT"/>
              </w:rPr>
            </w:pPr>
            <w:r w:rsidRPr="009D660E">
              <w:rPr>
                <w:rFonts w:eastAsia="Times New Roman"/>
                <w:lang w:val="it-IT"/>
              </w:rPr>
              <w:t>Drejtoria</w:t>
            </w:r>
            <w:r w:rsidR="000F0526" w:rsidRPr="009D660E">
              <w:rPr>
                <w:rFonts w:eastAsia="Times New Roman"/>
                <w:lang w:val="it-IT"/>
              </w:rPr>
              <w:t xml:space="preserve"> e </w:t>
            </w:r>
            <w:r w:rsidRPr="009D660E">
              <w:rPr>
                <w:rFonts w:eastAsia="Times New Roman"/>
                <w:lang w:val="it-IT"/>
              </w:rPr>
              <w:t>Risqeve Fiskale (në varësi të DP</w:t>
            </w:r>
            <w:r w:rsidR="000F0526" w:rsidRPr="009D660E">
              <w:rPr>
                <w:rFonts w:eastAsia="Times New Roman"/>
                <w:lang w:val="it-IT"/>
              </w:rPr>
              <w:t>B)</w:t>
            </w:r>
          </w:p>
        </w:tc>
      </w:tr>
      <w:tr w:rsidR="000F0526" w:rsidRPr="001F151E" w14:paraId="0964F4D6" w14:textId="77777777" w:rsidTr="000C70FA">
        <w:tc>
          <w:tcPr>
            <w:tcW w:w="1271" w:type="dxa"/>
            <w:tcBorders>
              <w:top w:val="nil"/>
              <w:left w:val="nil"/>
              <w:bottom w:val="nil"/>
              <w:right w:val="nil"/>
            </w:tcBorders>
          </w:tcPr>
          <w:p w14:paraId="00792EB5" w14:textId="77777777" w:rsidR="000F0526" w:rsidRPr="001F151E" w:rsidRDefault="000F0526" w:rsidP="000C70FA">
            <w:r>
              <w:t>DPPM</w:t>
            </w:r>
          </w:p>
        </w:tc>
        <w:tc>
          <w:tcPr>
            <w:tcW w:w="7745" w:type="dxa"/>
            <w:tcBorders>
              <w:top w:val="nil"/>
              <w:left w:val="nil"/>
              <w:bottom w:val="nil"/>
              <w:right w:val="nil"/>
            </w:tcBorders>
          </w:tcPr>
          <w:p w14:paraId="44018555" w14:textId="77777777" w:rsidR="000F0526" w:rsidRPr="001F151E" w:rsidRDefault="000F0526" w:rsidP="000C70FA">
            <w:pPr>
              <w:rPr>
                <w:rFonts w:eastAsia="Times New Roman"/>
              </w:rPr>
            </w:pPr>
            <w:r>
              <w:rPr>
                <w:rStyle w:val="rynqvb"/>
              </w:rPr>
              <w:t>Drejtoria e Përgjithshme e Programimit Makroekonomik (nën MF)</w:t>
            </w:r>
          </w:p>
        </w:tc>
      </w:tr>
      <w:tr w:rsidR="000F0526" w:rsidRPr="001F151E" w14:paraId="20159EF4" w14:textId="77777777" w:rsidTr="000C70FA">
        <w:tc>
          <w:tcPr>
            <w:tcW w:w="1271" w:type="dxa"/>
            <w:tcBorders>
              <w:top w:val="nil"/>
              <w:left w:val="nil"/>
              <w:bottom w:val="nil"/>
              <w:right w:val="nil"/>
            </w:tcBorders>
          </w:tcPr>
          <w:p w14:paraId="0111645A" w14:textId="77777777" w:rsidR="000F0526" w:rsidRPr="001F151E" w:rsidRDefault="000F0526" w:rsidP="000C70FA">
            <w:r>
              <w:t>DPHKBFP</w:t>
            </w:r>
          </w:p>
        </w:tc>
        <w:tc>
          <w:tcPr>
            <w:tcW w:w="7745" w:type="dxa"/>
            <w:tcBorders>
              <w:top w:val="nil"/>
              <w:left w:val="nil"/>
              <w:bottom w:val="nil"/>
              <w:right w:val="nil"/>
            </w:tcBorders>
          </w:tcPr>
          <w:p w14:paraId="1343836D" w14:textId="77777777" w:rsidR="000F0526" w:rsidRPr="001F151E" w:rsidRDefault="000F0526" w:rsidP="000C70FA">
            <w:pPr>
              <w:rPr>
                <w:rFonts w:eastAsia="Times New Roman"/>
              </w:rPr>
            </w:pPr>
            <w:r w:rsidRPr="002C2F8D">
              <w:rPr>
                <w:rFonts w:eastAsia="Times New Roman"/>
              </w:rPr>
              <w:t xml:space="preserve">Drejtoria e Përgjithshme e Harmonizimit të Kontrollit të Brendshëm Financiar Publik (NJQH, në </w:t>
            </w:r>
            <w:r>
              <w:rPr>
                <w:rFonts w:eastAsia="Times New Roman"/>
              </w:rPr>
              <w:t>varësi</w:t>
            </w:r>
            <w:r w:rsidRPr="002C2F8D">
              <w:rPr>
                <w:rFonts w:eastAsia="Times New Roman"/>
              </w:rPr>
              <w:t xml:space="preserve"> të MF</w:t>
            </w:r>
            <w:r w:rsidRPr="001F151E">
              <w:rPr>
                <w:rFonts w:eastAsia="Times New Roman"/>
              </w:rPr>
              <w:t>)</w:t>
            </w:r>
          </w:p>
        </w:tc>
      </w:tr>
      <w:tr w:rsidR="000F0526" w:rsidRPr="001F151E" w14:paraId="1D10FF30" w14:textId="77777777" w:rsidTr="000C70FA">
        <w:tc>
          <w:tcPr>
            <w:tcW w:w="1271" w:type="dxa"/>
            <w:tcBorders>
              <w:top w:val="nil"/>
              <w:left w:val="nil"/>
              <w:bottom w:val="nil"/>
              <w:right w:val="nil"/>
            </w:tcBorders>
          </w:tcPr>
          <w:p w14:paraId="787FB803" w14:textId="77777777" w:rsidR="000F0526" w:rsidRPr="001F151E" w:rsidRDefault="000F0526" w:rsidP="000C70FA">
            <w:r w:rsidRPr="001F151E">
              <w:t>DH</w:t>
            </w:r>
            <w:r>
              <w:t>AB</w:t>
            </w:r>
          </w:p>
        </w:tc>
        <w:tc>
          <w:tcPr>
            <w:tcW w:w="7745" w:type="dxa"/>
            <w:tcBorders>
              <w:top w:val="nil"/>
              <w:left w:val="nil"/>
              <w:bottom w:val="nil"/>
              <w:right w:val="nil"/>
            </w:tcBorders>
          </w:tcPr>
          <w:p w14:paraId="56C34A94" w14:textId="77777777" w:rsidR="000F0526" w:rsidRPr="001F151E" w:rsidRDefault="000F0526" w:rsidP="000C70FA">
            <w:pPr>
              <w:rPr>
                <w:rFonts w:eastAsia="Times New Roman"/>
              </w:rPr>
            </w:pPr>
            <w:r w:rsidRPr="00B01DD3">
              <w:rPr>
                <w:rFonts w:eastAsia="Times New Roman"/>
              </w:rPr>
              <w:t xml:space="preserve">Drejtoria e Harmonizimit të Auditimit të Brendshëm (nën MF </w:t>
            </w:r>
            <w:r>
              <w:rPr>
                <w:rFonts w:eastAsia="Times New Roman"/>
              </w:rPr>
              <w:t>DPHKBFP</w:t>
            </w:r>
            <w:r w:rsidRPr="001F151E">
              <w:rPr>
                <w:rFonts w:eastAsia="Times New Roman"/>
              </w:rPr>
              <w:t>)</w:t>
            </w:r>
          </w:p>
        </w:tc>
      </w:tr>
      <w:tr w:rsidR="000F0526" w:rsidRPr="001F151E" w14:paraId="229E1E07" w14:textId="77777777" w:rsidTr="000C70FA">
        <w:tc>
          <w:tcPr>
            <w:tcW w:w="1271" w:type="dxa"/>
            <w:tcBorders>
              <w:top w:val="nil"/>
              <w:left w:val="nil"/>
              <w:bottom w:val="nil"/>
              <w:right w:val="nil"/>
            </w:tcBorders>
          </w:tcPr>
          <w:p w14:paraId="301A8BBC" w14:textId="77777777" w:rsidR="000F0526" w:rsidRPr="001F151E" w:rsidRDefault="000F0526" w:rsidP="000C70FA">
            <w:r w:rsidRPr="001F151E">
              <w:t>DH</w:t>
            </w:r>
            <w:r>
              <w:t>MFKK</w:t>
            </w:r>
          </w:p>
        </w:tc>
        <w:tc>
          <w:tcPr>
            <w:tcW w:w="7745" w:type="dxa"/>
            <w:tcBorders>
              <w:top w:val="nil"/>
              <w:left w:val="nil"/>
              <w:bottom w:val="nil"/>
              <w:right w:val="nil"/>
            </w:tcBorders>
          </w:tcPr>
          <w:p w14:paraId="056F8717" w14:textId="77777777" w:rsidR="000F0526" w:rsidRPr="001F151E" w:rsidRDefault="000F0526" w:rsidP="000C70FA">
            <w:pPr>
              <w:rPr>
                <w:rFonts w:eastAsia="Times New Roman"/>
              </w:rPr>
            </w:pPr>
            <w:r w:rsidRPr="00621096">
              <w:rPr>
                <w:rFonts w:eastAsia="Times New Roman"/>
              </w:rPr>
              <w:t>Drejtoria e Harmonizimit të Menaxhimit Financiar, Kontrollit dhe Kontabilitetit (</w:t>
            </w:r>
            <w:r>
              <w:rPr>
                <w:rFonts w:eastAsia="Times New Roman"/>
              </w:rPr>
              <w:t>nën</w:t>
            </w:r>
            <w:r w:rsidRPr="001F151E">
              <w:rPr>
                <w:rFonts w:eastAsia="Times New Roman"/>
              </w:rPr>
              <w:t xml:space="preserve"> MF </w:t>
            </w:r>
            <w:r>
              <w:rPr>
                <w:rFonts w:eastAsia="Times New Roman"/>
              </w:rPr>
              <w:t>DPHKBFP</w:t>
            </w:r>
            <w:r w:rsidRPr="001F151E">
              <w:rPr>
                <w:rFonts w:eastAsia="Times New Roman"/>
              </w:rPr>
              <w:t>)</w:t>
            </w:r>
          </w:p>
        </w:tc>
      </w:tr>
      <w:tr w:rsidR="000F0526" w:rsidRPr="001F151E" w14:paraId="1926F4DE" w14:textId="77777777" w:rsidTr="000C70FA">
        <w:tc>
          <w:tcPr>
            <w:tcW w:w="1271" w:type="dxa"/>
            <w:tcBorders>
              <w:top w:val="nil"/>
              <w:left w:val="nil"/>
              <w:bottom w:val="nil"/>
              <w:right w:val="nil"/>
            </w:tcBorders>
          </w:tcPr>
          <w:p w14:paraId="26F2AD83" w14:textId="77777777" w:rsidR="000F0526" w:rsidRPr="001F151E" w:rsidRDefault="000F0526" w:rsidP="000C70FA">
            <w:r>
              <w:t>DPB</w:t>
            </w:r>
          </w:p>
        </w:tc>
        <w:tc>
          <w:tcPr>
            <w:tcW w:w="7745" w:type="dxa"/>
            <w:tcBorders>
              <w:top w:val="nil"/>
              <w:left w:val="nil"/>
              <w:bottom w:val="nil"/>
              <w:right w:val="nil"/>
            </w:tcBorders>
          </w:tcPr>
          <w:p w14:paraId="46F7528E" w14:textId="77777777" w:rsidR="000F0526" w:rsidRPr="001F151E" w:rsidRDefault="000F0526" w:rsidP="000C70FA">
            <w:pPr>
              <w:rPr>
                <w:rFonts w:eastAsia="Times New Roman"/>
              </w:rPr>
            </w:pPr>
            <w:r w:rsidRPr="00621096">
              <w:rPr>
                <w:rFonts w:eastAsia="Times New Roman"/>
              </w:rPr>
              <w:t>Drejtoria e Përgjithshme e Buxhetit (në varësi të MF)</w:t>
            </w:r>
          </w:p>
        </w:tc>
      </w:tr>
      <w:tr w:rsidR="000F0526" w:rsidRPr="001F151E" w14:paraId="02437648" w14:textId="77777777" w:rsidTr="000C70FA">
        <w:tc>
          <w:tcPr>
            <w:tcW w:w="1271" w:type="dxa"/>
            <w:tcBorders>
              <w:top w:val="nil"/>
              <w:left w:val="nil"/>
              <w:bottom w:val="nil"/>
              <w:right w:val="nil"/>
            </w:tcBorders>
          </w:tcPr>
          <w:p w14:paraId="068CB5FA" w14:textId="77777777" w:rsidR="000F0526" w:rsidRPr="001F151E" w:rsidRDefault="000F0526" w:rsidP="000C70FA">
            <w:r w:rsidRPr="001F151E">
              <w:t>DA</w:t>
            </w:r>
            <w:r>
              <w:t>PB</w:t>
            </w:r>
          </w:p>
        </w:tc>
        <w:tc>
          <w:tcPr>
            <w:tcW w:w="7745" w:type="dxa"/>
            <w:tcBorders>
              <w:top w:val="nil"/>
              <w:left w:val="nil"/>
              <w:bottom w:val="nil"/>
              <w:right w:val="nil"/>
            </w:tcBorders>
          </w:tcPr>
          <w:p w14:paraId="5F2DFCAE" w14:textId="77777777" w:rsidR="000F0526" w:rsidRPr="001F151E" w:rsidRDefault="000F0526" w:rsidP="000C70FA">
            <w:pPr>
              <w:rPr>
                <w:rFonts w:eastAsia="Times New Roman"/>
              </w:rPr>
            </w:pPr>
            <w:r w:rsidRPr="00621096">
              <w:rPr>
                <w:rFonts w:eastAsia="Times New Roman"/>
              </w:rPr>
              <w:t>Drejtoria e Analizës dhe Programimit Buxhet</w:t>
            </w:r>
            <w:r>
              <w:rPr>
                <w:rFonts w:eastAsia="Times New Roman"/>
              </w:rPr>
              <w:t>or</w:t>
            </w:r>
            <w:r w:rsidRPr="001F151E">
              <w:rPr>
                <w:rFonts w:eastAsia="Times New Roman"/>
              </w:rPr>
              <w:t xml:space="preserve"> (</w:t>
            </w:r>
            <w:r w:rsidRPr="001710AA">
              <w:rPr>
                <w:rFonts w:eastAsia="Times New Roman"/>
              </w:rPr>
              <w:t>nën MF DPB</w:t>
            </w:r>
            <w:r w:rsidRPr="001F151E">
              <w:rPr>
                <w:rFonts w:eastAsia="Times New Roman"/>
              </w:rPr>
              <w:t>)</w:t>
            </w:r>
          </w:p>
        </w:tc>
      </w:tr>
      <w:tr w:rsidR="000F0526" w:rsidRPr="001F151E" w14:paraId="7FC0406D" w14:textId="77777777" w:rsidTr="000C70FA">
        <w:tc>
          <w:tcPr>
            <w:tcW w:w="1271" w:type="dxa"/>
            <w:tcBorders>
              <w:top w:val="nil"/>
              <w:left w:val="nil"/>
              <w:bottom w:val="nil"/>
              <w:right w:val="nil"/>
            </w:tcBorders>
          </w:tcPr>
          <w:p w14:paraId="711D5E2D" w14:textId="77777777" w:rsidR="000F0526" w:rsidRPr="001F151E" w:rsidRDefault="000F0526" w:rsidP="000C70FA">
            <w:r w:rsidRPr="001F151E">
              <w:t>D</w:t>
            </w:r>
            <w:r>
              <w:t>MB</w:t>
            </w:r>
          </w:p>
        </w:tc>
        <w:tc>
          <w:tcPr>
            <w:tcW w:w="7745" w:type="dxa"/>
            <w:tcBorders>
              <w:top w:val="nil"/>
              <w:left w:val="nil"/>
              <w:bottom w:val="nil"/>
              <w:right w:val="nil"/>
            </w:tcBorders>
          </w:tcPr>
          <w:p w14:paraId="0EB2E322" w14:textId="77777777" w:rsidR="000F0526" w:rsidRPr="001F151E" w:rsidRDefault="000F0526" w:rsidP="000C70FA">
            <w:pPr>
              <w:rPr>
                <w:rFonts w:eastAsia="Times New Roman"/>
              </w:rPr>
            </w:pPr>
            <w:r w:rsidRPr="00621096">
              <w:rPr>
                <w:rFonts w:eastAsia="Times New Roman"/>
              </w:rPr>
              <w:t xml:space="preserve">Drejtoria e Menaxhimit të Buxhetit </w:t>
            </w:r>
            <w:r w:rsidRPr="001F151E">
              <w:rPr>
                <w:rFonts w:eastAsia="Times New Roman"/>
              </w:rPr>
              <w:t>(</w:t>
            </w:r>
            <w:r w:rsidRPr="001710AA">
              <w:rPr>
                <w:rFonts w:eastAsia="Times New Roman"/>
              </w:rPr>
              <w:t>nën MF DPB</w:t>
            </w:r>
            <w:r w:rsidRPr="001F151E">
              <w:rPr>
                <w:rFonts w:eastAsia="Times New Roman"/>
              </w:rPr>
              <w:t>)</w:t>
            </w:r>
          </w:p>
        </w:tc>
      </w:tr>
      <w:tr w:rsidR="000F0526" w:rsidRPr="001F151E" w14:paraId="245BE2FF" w14:textId="77777777" w:rsidTr="000C70FA">
        <w:tc>
          <w:tcPr>
            <w:tcW w:w="1271" w:type="dxa"/>
            <w:tcBorders>
              <w:top w:val="nil"/>
              <w:left w:val="nil"/>
              <w:bottom w:val="nil"/>
              <w:right w:val="nil"/>
            </w:tcBorders>
          </w:tcPr>
          <w:p w14:paraId="0D7494D4" w14:textId="77777777" w:rsidR="000F0526" w:rsidRPr="001F151E" w:rsidRDefault="000F0526" w:rsidP="000C70FA">
            <w:r w:rsidRPr="001F151E">
              <w:t>D</w:t>
            </w:r>
            <w:r>
              <w:t>MIP</w:t>
            </w:r>
          </w:p>
        </w:tc>
        <w:tc>
          <w:tcPr>
            <w:tcW w:w="7745" w:type="dxa"/>
            <w:tcBorders>
              <w:top w:val="nil"/>
              <w:left w:val="nil"/>
              <w:bottom w:val="nil"/>
              <w:right w:val="nil"/>
            </w:tcBorders>
          </w:tcPr>
          <w:p w14:paraId="4C7E4CFA" w14:textId="77777777" w:rsidR="000F0526" w:rsidRPr="001F151E" w:rsidRDefault="000F0526" w:rsidP="000C70FA">
            <w:pPr>
              <w:rPr>
                <w:rFonts w:eastAsia="Times New Roman"/>
              </w:rPr>
            </w:pPr>
            <w:r w:rsidRPr="007F22A2">
              <w:rPr>
                <w:rFonts w:eastAsia="Times New Roman"/>
              </w:rPr>
              <w:t xml:space="preserve">Drejtoria e Menaxhimit të Investimeve Publike </w:t>
            </w:r>
            <w:r w:rsidRPr="001F151E">
              <w:rPr>
                <w:rFonts w:eastAsia="Times New Roman"/>
              </w:rPr>
              <w:t>(</w:t>
            </w:r>
            <w:r w:rsidRPr="001710AA">
              <w:rPr>
                <w:rFonts w:eastAsia="Times New Roman"/>
              </w:rPr>
              <w:t>nën MF DPB</w:t>
            </w:r>
            <w:r w:rsidRPr="001F151E">
              <w:rPr>
                <w:rFonts w:eastAsia="Times New Roman"/>
              </w:rPr>
              <w:t>)</w:t>
            </w:r>
          </w:p>
        </w:tc>
      </w:tr>
      <w:tr w:rsidR="000F0526" w:rsidRPr="0059094E" w14:paraId="2EB378BF" w14:textId="77777777" w:rsidTr="000C70FA">
        <w:tc>
          <w:tcPr>
            <w:tcW w:w="1271" w:type="dxa"/>
            <w:tcBorders>
              <w:top w:val="nil"/>
              <w:left w:val="nil"/>
              <w:bottom w:val="nil"/>
              <w:right w:val="nil"/>
            </w:tcBorders>
          </w:tcPr>
          <w:p w14:paraId="742011BF" w14:textId="77777777" w:rsidR="000F0526" w:rsidRPr="001F151E" w:rsidRDefault="000F0526" w:rsidP="000C70FA">
            <w:r w:rsidRPr="001F151E">
              <w:t>D</w:t>
            </w:r>
            <w:r>
              <w:t>FV</w:t>
            </w:r>
          </w:p>
        </w:tc>
        <w:tc>
          <w:tcPr>
            <w:tcW w:w="7745" w:type="dxa"/>
            <w:tcBorders>
              <w:top w:val="nil"/>
              <w:left w:val="nil"/>
              <w:bottom w:val="nil"/>
              <w:right w:val="nil"/>
            </w:tcBorders>
          </w:tcPr>
          <w:p w14:paraId="0D55C6AC" w14:textId="77777777" w:rsidR="000F0526" w:rsidRPr="009D660E" w:rsidRDefault="000F0526" w:rsidP="000C70FA">
            <w:pPr>
              <w:rPr>
                <w:rFonts w:eastAsia="Times New Roman"/>
                <w:lang w:val="it-IT"/>
              </w:rPr>
            </w:pPr>
            <w:r w:rsidRPr="007F22A2">
              <w:rPr>
                <w:rFonts w:eastAsia="Times New Roman"/>
                <w:lang w:val="it-IT"/>
              </w:rPr>
              <w:t>Drejtoria e Financave Vendore (</w:t>
            </w:r>
            <w:r w:rsidRPr="00C92668">
              <w:rPr>
                <w:rFonts w:eastAsia="Times New Roman"/>
                <w:lang w:val="it-IT"/>
              </w:rPr>
              <w:t>nën MF</w:t>
            </w:r>
            <w:r>
              <w:rPr>
                <w:rFonts w:eastAsia="Times New Roman"/>
                <w:lang w:val="it-IT"/>
              </w:rPr>
              <w:t xml:space="preserve"> DPB</w:t>
            </w:r>
            <w:r w:rsidRPr="007F22A2">
              <w:rPr>
                <w:rFonts w:eastAsia="Times New Roman"/>
                <w:lang w:val="it-IT"/>
              </w:rPr>
              <w:t>)</w:t>
            </w:r>
          </w:p>
        </w:tc>
      </w:tr>
      <w:tr w:rsidR="000F0526" w:rsidRPr="001F151E" w14:paraId="036EA0D4" w14:textId="77777777" w:rsidTr="000C70FA">
        <w:tc>
          <w:tcPr>
            <w:tcW w:w="1271" w:type="dxa"/>
            <w:tcBorders>
              <w:top w:val="nil"/>
              <w:left w:val="nil"/>
              <w:bottom w:val="nil"/>
              <w:right w:val="nil"/>
            </w:tcBorders>
          </w:tcPr>
          <w:p w14:paraId="362BFD12" w14:textId="77777777" w:rsidR="000F0526" w:rsidRPr="001F151E" w:rsidRDefault="000F0526" w:rsidP="000C70FA">
            <w:r>
              <w:t>DPTH</w:t>
            </w:r>
          </w:p>
        </w:tc>
        <w:tc>
          <w:tcPr>
            <w:tcW w:w="7745" w:type="dxa"/>
            <w:tcBorders>
              <w:top w:val="nil"/>
              <w:left w:val="nil"/>
              <w:bottom w:val="nil"/>
              <w:right w:val="nil"/>
            </w:tcBorders>
          </w:tcPr>
          <w:p w14:paraId="50987288" w14:textId="77777777" w:rsidR="000F0526" w:rsidRPr="001F151E" w:rsidRDefault="000F0526" w:rsidP="000C70FA">
            <w:pPr>
              <w:rPr>
                <w:rFonts w:eastAsia="Times New Roman"/>
              </w:rPr>
            </w:pPr>
            <w:r w:rsidRPr="007F22A2">
              <w:rPr>
                <w:rFonts w:eastAsia="Times New Roman"/>
              </w:rPr>
              <w:t>Drejtoria e Përgjithshme e Thesarit</w:t>
            </w:r>
            <w:r w:rsidRPr="001F151E">
              <w:rPr>
                <w:rFonts w:eastAsia="Times New Roman"/>
              </w:rPr>
              <w:t xml:space="preserve"> (</w:t>
            </w:r>
            <w:r>
              <w:rPr>
                <w:rFonts w:eastAsia="Times New Roman"/>
              </w:rPr>
              <w:t>nën</w:t>
            </w:r>
            <w:r w:rsidRPr="001F151E">
              <w:rPr>
                <w:rFonts w:eastAsia="Times New Roman"/>
              </w:rPr>
              <w:t xml:space="preserve"> M</w:t>
            </w:r>
            <w:r>
              <w:rPr>
                <w:rFonts w:eastAsia="Times New Roman"/>
              </w:rPr>
              <w:t>F</w:t>
            </w:r>
            <w:r w:rsidRPr="001F151E">
              <w:rPr>
                <w:rFonts w:eastAsia="Times New Roman"/>
              </w:rPr>
              <w:t>)</w:t>
            </w:r>
          </w:p>
        </w:tc>
      </w:tr>
      <w:tr w:rsidR="000F0526" w:rsidRPr="001F151E" w14:paraId="3CC631DE" w14:textId="77777777" w:rsidTr="000C70FA">
        <w:tc>
          <w:tcPr>
            <w:tcW w:w="1271" w:type="dxa"/>
            <w:tcBorders>
              <w:top w:val="nil"/>
              <w:left w:val="nil"/>
              <w:bottom w:val="nil"/>
              <w:right w:val="nil"/>
            </w:tcBorders>
          </w:tcPr>
          <w:p w14:paraId="461C9B30" w14:textId="77777777" w:rsidR="000F0526" w:rsidRPr="001F151E" w:rsidRDefault="000F0526" w:rsidP="000C70FA">
            <w:r w:rsidRPr="001F151E">
              <w:t>D</w:t>
            </w:r>
            <w:r>
              <w:t>OTH</w:t>
            </w:r>
          </w:p>
        </w:tc>
        <w:tc>
          <w:tcPr>
            <w:tcW w:w="7745" w:type="dxa"/>
            <w:tcBorders>
              <w:top w:val="nil"/>
              <w:left w:val="nil"/>
              <w:bottom w:val="nil"/>
              <w:right w:val="nil"/>
            </w:tcBorders>
          </w:tcPr>
          <w:p w14:paraId="527A66CA" w14:textId="77777777" w:rsidR="000F0526" w:rsidRPr="001F151E" w:rsidRDefault="000F0526" w:rsidP="000C70FA">
            <w:pPr>
              <w:rPr>
                <w:rFonts w:eastAsia="Times New Roman"/>
              </w:rPr>
            </w:pPr>
            <w:r w:rsidRPr="00DA0FCA">
              <w:rPr>
                <w:rFonts w:eastAsia="Times New Roman"/>
              </w:rPr>
              <w:t>Drejtoria e Operacioneve të Thesarit</w:t>
            </w:r>
            <w:r w:rsidRPr="001F151E">
              <w:rPr>
                <w:rFonts w:eastAsia="Times New Roman"/>
              </w:rPr>
              <w:t xml:space="preserve"> (</w:t>
            </w:r>
            <w:r>
              <w:rPr>
                <w:rFonts w:eastAsia="Times New Roman"/>
              </w:rPr>
              <w:t>nën</w:t>
            </w:r>
            <w:r w:rsidRPr="00C92668">
              <w:rPr>
                <w:rFonts w:eastAsia="Times New Roman"/>
              </w:rPr>
              <w:t xml:space="preserve"> MF </w:t>
            </w:r>
            <w:r>
              <w:rPr>
                <w:rFonts w:eastAsia="Times New Roman"/>
              </w:rPr>
              <w:t>DPTH</w:t>
            </w:r>
            <w:r w:rsidRPr="001F151E">
              <w:rPr>
                <w:rFonts w:eastAsia="Times New Roman"/>
              </w:rPr>
              <w:t>)</w:t>
            </w:r>
          </w:p>
        </w:tc>
      </w:tr>
      <w:tr w:rsidR="000F0526" w:rsidRPr="0059094E" w14:paraId="17D7124A" w14:textId="77777777" w:rsidTr="000C70FA">
        <w:tc>
          <w:tcPr>
            <w:tcW w:w="1271" w:type="dxa"/>
            <w:tcBorders>
              <w:top w:val="nil"/>
              <w:left w:val="nil"/>
              <w:bottom w:val="nil"/>
              <w:right w:val="nil"/>
            </w:tcBorders>
          </w:tcPr>
          <w:p w14:paraId="1A73ED5D" w14:textId="77777777" w:rsidR="000F0526" w:rsidRPr="001F151E" w:rsidRDefault="000F0526" w:rsidP="000C70FA">
            <w:r w:rsidRPr="001F151E">
              <w:t>D</w:t>
            </w:r>
            <w:r>
              <w:t>PB</w:t>
            </w:r>
          </w:p>
        </w:tc>
        <w:tc>
          <w:tcPr>
            <w:tcW w:w="7745" w:type="dxa"/>
            <w:tcBorders>
              <w:top w:val="nil"/>
              <w:left w:val="nil"/>
              <w:bottom w:val="nil"/>
              <w:right w:val="nil"/>
            </w:tcBorders>
          </w:tcPr>
          <w:p w14:paraId="6C65C8D9" w14:textId="77777777" w:rsidR="000F0526" w:rsidRPr="009D660E" w:rsidRDefault="000F0526" w:rsidP="000C70FA">
            <w:pPr>
              <w:rPr>
                <w:rFonts w:eastAsia="Times New Roman"/>
                <w:lang w:val="it-IT"/>
              </w:rPr>
            </w:pPr>
            <w:r w:rsidRPr="009D660E">
              <w:rPr>
                <w:rFonts w:eastAsia="Times New Roman"/>
                <w:lang w:val="it-IT"/>
              </w:rPr>
              <w:t>Drejtoria e Procesimit të Biznesit (nën MF DPTH)</w:t>
            </w:r>
          </w:p>
        </w:tc>
      </w:tr>
      <w:tr w:rsidR="000F0526" w:rsidRPr="001F151E" w14:paraId="361C202C" w14:textId="77777777" w:rsidTr="000C70FA">
        <w:tc>
          <w:tcPr>
            <w:tcW w:w="1271" w:type="dxa"/>
            <w:tcBorders>
              <w:top w:val="nil"/>
              <w:left w:val="nil"/>
              <w:bottom w:val="nil"/>
              <w:right w:val="nil"/>
            </w:tcBorders>
          </w:tcPr>
          <w:p w14:paraId="30E55243" w14:textId="77777777" w:rsidR="000F0526" w:rsidRPr="001F151E" w:rsidRDefault="000F0526" w:rsidP="000C70FA">
            <w:r>
              <w:t>DPBSh</w:t>
            </w:r>
          </w:p>
        </w:tc>
        <w:tc>
          <w:tcPr>
            <w:tcW w:w="7745" w:type="dxa"/>
            <w:tcBorders>
              <w:top w:val="nil"/>
              <w:left w:val="nil"/>
              <w:bottom w:val="nil"/>
              <w:right w:val="nil"/>
            </w:tcBorders>
          </w:tcPr>
          <w:p w14:paraId="6891A2B6" w14:textId="77777777" w:rsidR="000F0526" w:rsidRPr="001F151E" w:rsidRDefault="000F0526" w:rsidP="000C70FA">
            <w:pPr>
              <w:rPr>
                <w:rFonts w:eastAsia="Times New Roman"/>
              </w:rPr>
            </w:pPr>
            <w:r w:rsidRPr="00DA0FCA">
              <w:rPr>
                <w:rFonts w:eastAsia="Times New Roman"/>
              </w:rPr>
              <w:t xml:space="preserve">Drejtoria e Përgjithshme e Borxhit </w:t>
            </w:r>
            <w:r>
              <w:rPr>
                <w:rFonts w:eastAsia="Times New Roman"/>
              </w:rPr>
              <w:t>Shtetëror</w:t>
            </w:r>
            <w:r w:rsidRPr="001F151E">
              <w:rPr>
                <w:rFonts w:eastAsia="Times New Roman"/>
              </w:rPr>
              <w:t xml:space="preserve"> (</w:t>
            </w:r>
            <w:r>
              <w:rPr>
                <w:rFonts w:eastAsia="Times New Roman"/>
              </w:rPr>
              <w:t>nën</w:t>
            </w:r>
            <w:r w:rsidRPr="001F151E">
              <w:rPr>
                <w:rFonts w:eastAsia="Times New Roman"/>
              </w:rPr>
              <w:t xml:space="preserve"> MF)</w:t>
            </w:r>
          </w:p>
        </w:tc>
      </w:tr>
      <w:tr w:rsidR="000F0526" w:rsidRPr="001F151E" w14:paraId="52F74CDF" w14:textId="77777777" w:rsidTr="000C70FA">
        <w:tc>
          <w:tcPr>
            <w:tcW w:w="1271" w:type="dxa"/>
            <w:tcBorders>
              <w:top w:val="nil"/>
              <w:left w:val="nil"/>
              <w:bottom w:val="nil"/>
              <w:right w:val="nil"/>
            </w:tcBorders>
          </w:tcPr>
          <w:p w14:paraId="700AFBB8" w14:textId="77777777" w:rsidR="000F0526" w:rsidRPr="001F151E" w:rsidRDefault="000F0526" w:rsidP="000C70FA">
            <w:r w:rsidRPr="001F151E">
              <w:t>D</w:t>
            </w:r>
            <w:r>
              <w:t>H</w:t>
            </w:r>
          </w:p>
        </w:tc>
        <w:tc>
          <w:tcPr>
            <w:tcW w:w="7745" w:type="dxa"/>
            <w:tcBorders>
              <w:top w:val="nil"/>
              <w:left w:val="nil"/>
              <w:bottom w:val="nil"/>
              <w:right w:val="nil"/>
            </w:tcBorders>
          </w:tcPr>
          <w:p w14:paraId="7067A379" w14:textId="77777777" w:rsidR="000F0526" w:rsidRPr="001F151E" w:rsidRDefault="000F0526" w:rsidP="000C70FA">
            <w:pPr>
              <w:rPr>
                <w:rFonts w:eastAsia="Times New Roman"/>
              </w:rPr>
            </w:pPr>
            <w:r w:rsidRPr="00DA0FCA">
              <w:rPr>
                <w:rFonts w:eastAsia="Times New Roman"/>
              </w:rPr>
              <w:t>Drejtoria e Huamarrjes</w:t>
            </w:r>
            <w:r w:rsidRPr="001F151E">
              <w:rPr>
                <w:rFonts w:eastAsia="Times New Roman"/>
              </w:rPr>
              <w:t xml:space="preserve"> (</w:t>
            </w:r>
            <w:r>
              <w:rPr>
                <w:rFonts w:eastAsia="Times New Roman"/>
              </w:rPr>
              <w:t>nën</w:t>
            </w:r>
            <w:r w:rsidRPr="001F151E">
              <w:rPr>
                <w:rFonts w:eastAsia="Times New Roman"/>
              </w:rPr>
              <w:t xml:space="preserve"> MF</w:t>
            </w:r>
            <w:r>
              <w:rPr>
                <w:rFonts w:eastAsia="Times New Roman"/>
              </w:rPr>
              <w:t xml:space="preserve"> </w:t>
            </w:r>
            <w:r>
              <w:t>DPBSh</w:t>
            </w:r>
            <w:r w:rsidRPr="001F151E">
              <w:rPr>
                <w:rFonts w:eastAsia="Times New Roman"/>
              </w:rPr>
              <w:t>)</w:t>
            </w:r>
          </w:p>
        </w:tc>
      </w:tr>
      <w:tr w:rsidR="000F0526" w:rsidRPr="001F151E" w14:paraId="6CD80A2F" w14:textId="77777777" w:rsidTr="000C70FA">
        <w:tc>
          <w:tcPr>
            <w:tcW w:w="1271" w:type="dxa"/>
            <w:tcBorders>
              <w:top w:val="nil"/>
              <w:left w:val="nil"/>
              <w:bottom w:val="nil"/>
              <w:right w:val="nil"/>
            </w:tcBorders>
          </w:tcPr>
          <w:p w14:paraId="744CE0D9" w14:textId="77777777" w:rsidR="000F0526" w:rsidRPr="001F151E" w:rsidRDefault="000F0526" w:rsidP="000C70FA">
            <w:r w:rsidRPr="001F151E">
              <w:t>DS</w:t>
            </w:r>
            <w:r>
              <w:t>MB</w:t>
            </w:r>
          </w:p>
        </w:tc>
        <w:tc>
          <w:tcPr>
            <w:tcW w:w="7745" w:type="dxa"/>
            <w:tcBorders>
              <w:top w:val="nil"/>
              <w:left w:val="nil"/>
              <w:bottom w:val="nil"/>
              <w:right w:val="nil"/>
            </w:tcBorders>
          </w:tcPr>
          <w:p w14:paraId="445ADCDE" w14:textId="77777777" w:rsidR="000F0526" w:rsidRPr="001F151E" w:rsidRDefault="000F0526" w:rsidP="000C70FA">
            <w:pPr>
              <w:rPr>
                <w:rFonts w:eastAsia="Times New Roman"/>
              </w:rPr>
            </w:pPr>
            <w:r w:rsidRPr="00AB2487">
              <w:rPr>
                <w:rFonts w:eastAsia="Times New Roman"/>
              </w:rPr>
              <w:t>Drejtoria e Strategjisë dhe Monitorimit të Borxhit (</w:t>
            </w:r>
            <w:r w:rsidRPr="00C92668">
              <w:rPr>
                <w:rFonts w:eastAsia="Times New Roman"/>
              </w:rPr>
              <w:t xml:space="preserve">nën MF </w:t>
            </w:r>
            <w:r>
              <w:t>DPBSh</w:t>
            </w:r>
            <w:r w:rsidRPr="00C92668">
              <w:rPr>
                <w:rFonts w:eastAsia="Times New Roman"/>
              </w:rPr>
              <w:t>)</w:t>
            </w:r>
          </w:p>
        </w:tc>
      </w:tr>
      <w:tr w:rsidR="000F0526" w:rsidRPr="001F151E" w14:paraId="327296F9" w14:textId="77777777" w:rsidTr="000C70FA">
        <w:tc>
          <w:tcPr>
            <w:tcW w:w="1271" w:type="dxa"/>
            <w:tcBorders>
              <w:top w:val="nil"/>
              <w:left w:val="nil"/>
              <w:bottom w:val="nil"/>
              <w:right w:val="nil"/>
            </w:tcBorders>
          </w:tcPr>
          <w:p w14:paraId="370BAF9A" w14:textId="77777777" w:rsidR="000F0526" w:rsidRPr="001F151E" w:rsidRDefault="000F0526" w:rsidP="000C70FA">
            <w:r>
              <w:t>DPTP</w:t>
            </w:r>
          </w:p>
        </w:tc>
        <w:tc>
          <w:tcPr>
            <w:tcW w:w="7745" w:type="dxa"/>
            <w:tcBorders>
              <w:top w:val="nil"/>
              <w:left w:val="nil"/>
              <w:bottom w:val="nil"/>
              <w:right w:val="nil"/>
            </w:tcBorders>
            <w:vAlign w:val="center"/>
          </w:tcPr>
          <w:p w14:paraId="565C6A9B" w14:textId="77777777" w:rsidR="000F0526" w:rsidRPr="001F151E" w:rsidRDefault="000F0526" w:rsidP="000C70FA">
            <w:pPr>
              <w:rPr>
                <w:rFonts w:eastAsia="Times New Roman"/>
              </w:rPr>
            </w:pPr>
            <w:r w:rsidRPr="009D660E">
              <w:rPr>
                <w:rFonts w:eastAsia="Times New Roman"/>
              </w:rPr>
              <w:t>Drejtoria e Përgjithshme e Taksës së Pasurisë (nën MF)</w:t>
            </w:r>
          </w:p>
        </w:tc>
      </w:tr>
      <w:tr w:rsidR="000F0526" w:rsidRPr="001F151E" w14:paraId="05514C94" w14:textId="77777777" w:rsidTr="000C70FA">
        <w:trPr>
          <w:trHeight w:val="17"/>
        </w:trPr>
        <w:tc>
          <w:tcPr>
            <w:tcW w:w="1271" w:type="dxa"/>
            <w:tcBorders>
              <w:top w:val="nil"/>
              <w:left w:val="nil"/>
              <w:bottom w:val="nil"/>
              <w:right w:val="nil"/>
            </w:tcBorders>
          </w:tcPr>
          <w:p w14:paraId="7116A00D" w14:textId="77777777" w:rsidR="000F0526" w:rsidRPr="001F151E" w:rsidRDefault="000F0526" w:rsidP="000C70FA">
            <w:r w:rsidRPr="001F151E">
              <w:t>D</w:t>
            </w:r>
            <w:r>
              <w:t>IFP</w:t>
            </w:r>
          </w:p>
        </w:tc>
        <w:tc>
          <w:tcPr>
            <w:tcW w:w="7745" w:type="dxa"/>
            <w:tcBorders>
              <w:top w:val="nil"/>
              <w:left w:val="nil"/>
              <w:bottom w:val="nil"/>
              <w:right w:val="nil"/>
            </w:tcBorders>
            <w:vAlign w:val="center"/>
          </w:tcPr>
          <w:p w14:paraId="0C070B83" w14:textId="77777777" w:rsidR="000F0526" w:rsidRPr="001F151E" w:rsidRDefault="000F0526" w:rsidP="000C70FA">
            <w:pPr>
              <w:rPr>
                <w:rFonts w:eastAsia="Times New Roman"/>
              </w:rPr>
            </w:pPr>
            <w:r w:rsidRPr="00AB2487">
              <w:rPr>
                <w:rFonts w:eastAsia="Times New Roman"/>
              </w:rPr>
              <w:t>Drejtoria e Inspektimit Financiar Publik</w:t>
            </w:r>
            <w:r w:rsidRPr="001F151E">
              <w:rPr>
                <w:rFonts w:eastAsia="Times New Roman"/>
              </w:rPr>
              <w:t xml:space="preserve"> (</w:t>
            </w:r>
            <w:r>
              <w:rPr>
                <w:rFonts w:eastAsia="Times New Roman"/>
              </w:rPr>
              <w:t>nën</w:t>
            </w:r>
            <w:r w:rsidRPr="001F151E">
              <w:rPr>
                <w:rFonts w:eastAsia="Times New Roman"/>
              </w:rPr>
              <w:t xml:space="preserve"> MF)</w:t>
            </w:r>
          </w:p>
        </w:tc>
      </w:tr>
      <w:tr w:rsidR="000F0526" w:rsidRPr="0059094E" w14:paraId="46A4D3A8" w14:textId="77777777" w:rsidTr="000C70FA">
        <w:tc>
          <w:tcPr>
            <w:tcW w:w="1271" w:type="dxa"/>
            <w:tcBorders>
              <w:top w:val="nil"/>
              <w:left w:val="nil"/>
              <w:bottom w:val="nil"/>
              <w:right w:val="nil"/>
            </w:tcBorders>
          </w:tcPr>
          <w:p w14:paraId="1AF36EC8" w14:textId="77777777" w:rsidR="000F0526" w:rsidRPr="001F151E" w:rsidRDefault="000F0526" w:rsidP="000C70FA">
            <w:r>
              <w:t>DK</w:t>
            </w:r>
          </w:p>
        </w:tc>
        <w:tc>
          <w:tcPr>
            <w:tcW w:w="7745" w:type="dxa"/>
            <w:tcBorders>
              <w:top w:val="nil"/>
              <w:left w:val="nil"/>
              <w:bottom w:val="nil"/>
              <w:right w:val="nil"/>
            </w:tcBorders>
            <w:vAlign w:val="center"/>
          </w:tcPr>
          <w:p w14:paraId="07EDBE29" w14:textId="77777777" w:rsidR="000F0526" w:rsidRPr="009D660E" w:rsidRDefault="000F0526" w:rsidP="000C70FA">
            <w:pPr>
              <w:rPr>
                <w:rFonts w:eastAsia="Times New Roman"/>
                <w:lang w:val="it-IT"/>
              </w:rPr>
            </w:pPr>
            <w:r w:rsidRPr="00AB2487">
              <w:rPr>
                <w:rFonts w:eastAsia="Times New Roman"/>
                <w:lang w:val="it-IT"/>
              </w:rPr>
              <w:t>Drejtoria e Koncesioneve (nën MF)</w:t>
            </w:r>
          </w:p>
        </w:tc>
      </w:tr>
      <w:tr w:rsidR="000F0526" w:rsidRPr="0059094E" w14:paraId="69CBFE75" w14:textId="77777777" w:rsidTr="000C70FA">
        <w:tc>
          <w:tcPr>
            <w:tcW w:w="1271" w:type="dxa"/>
            <w:tcBorders>
              <w:top w:val="nil"/>
              <w:left w:val="nil"/>
              <w:bottom w:val="nil"/>
              <w:right w:val="nil"/>
            </w:tcBorders>
          </w:tcPr>
          <w:p w14:paraId="3C58A6AD" w14:textId="77777777" w:rsidR="000F0526" w:rsidRPr="001F151E" w:rsidRDefault="000F0526" w:rsidP="000C70FA">
            <w:r>
              <w:t>DPT</w:t>
            </w:r>
          </w:p>
        </w:tc>
        <w:tc>
          <w:tcPr>
            <w:tcW w:w="7745" w:type="dxa"/>
            <w:tcBorders>
              <w:top w:val="nil"/>
              <w:left w:val="nil"/>
              <w:bottom w:val="nil"/>
              <w:right w:val="nil"/>
            </w:tcBorders>
            <w:vAlign w:val="center"/>
          </w:tcPr>
          <w:p w14:paraId="2FFF221A" w14:textId="77777777" w:rsidR="000F0526" w:rsidRPr="009D660E" w:rsidRDefault="000F0526" w:rsidP="000C70FA">
            <w:pPr>
              <w:rPr>
                <w:lang w:val="it-IT"/>
              </w:rPr>
            </w:pPr>
            <w:r w:rsidRPr="00942B29">
              <w:rPr>
                <w:lang w:val="it-IT"/>
              </w:rPr>
              <w:t xml:space="preserve">Drejtoria e Përgjithshme e Tatimeve </w:t>
            </w:r>
            <w:r w:rsidRPr="00942B29">
              <w:rPr>
                <w:rFonts w:eastAsia="Times New Roman"/>
                <w:lang w:val="it-IT"/>
              </w:rPr>
              <w:t>(nën MF)</w:t>
            </w:r>
          </w:p>
        </w:tc>
      </w:tr>
      <w:tr w:rsidR="000F0526" w:rsidRPr="0059094E" w14:paraId="015D9971" w14:textId="77777777" w:rsidTr="000C70FA">
        <w:tc>
          <w:tcPr>
            <w:tcW w:w="1271" w:type="dxa"/>
            <w:tcBorders>
              <w:top w:val="nil"/>
              <w:left w:val="nil"/>
              <w:bottom w:val="nil"/>
              <w:right w:val="nil"/>
            </w:tcBorders>
          </w:tcPr>
          <w:p w14:paraId="51EDC57D" w14:textId="77777777" w:rsidR="000F0526" w:rsidRPr="001F151E" w:rsidRDefault="000F0526" w:rsidP="000C70FA">
            <w:r>
              <w:t>DPD</w:t>
            </w:r>
          </w:p>
        </w:tc>
        <w:tc>
          <w:tcPr>
            <w:tcW w:w="7745" w:type="dxa"/>
            <w:tcBorders>
              <w:top w:val="nil"/>
              <w:left w:val="nil"/>
              <w:bottom w:val="nil"/>
              <w:right w:val="nil"/>
            </w:tcBorders>
            <w:vAlign w:val="center"/>
          </w:tcPr>
          <w:p w14:paraId="29BE3756" w14:textId="77777777" w:rsidR="000F0526" w:rsidRPr="009D660E" w:rsidRDefault="000F0526" w:rsidP="000C70FA">
            <w:pPr>
              <w:rPr>
                <w:lang w:val="it-IT"/>
              </w:rPr>
            </w:pPr>
            <w:r w:rsidRPr="00942B29">
              <w:rPr>
                <w:rFonts w:eastAsia="Times New Roman"/>
                <w:lang w:val="it-IT"/>
              </w:rPr>
              <w:t>Drejtoria e Përgjithshme e Doganave (</w:t>
            </w:r>
            <w:r>
              <w:rPr>
                <w:rFonts w:eastAsia="Times New Roman"/>
                <w:lang w:val="it-IT"/>
              </w:rPr>
              <w:t>nën</w:t>
            </w:r>
            <w:r w:rsidRPr="00942B29">
              <w:rPr>
                <w:rFonts w:eastAsia="Times New Roman"/>
                <w:lang w:val="it-IT"/>
              </w:rPr>
              <w:t xml:space="preserve"> MF)</w:t>
            </w:r>
          </w:p>
        </w:tc>
      </w:tr>
      <w:tr w:rsidR="000F0526" w:rsidRPr="001F151E" w14:paraId="0535249F" w14:textId="77777777" w:rsidTr="000C70FA">
        <w:tc>
          <w:tcPr>
            <w:tcW w:w="1271" w:type="dxa"/>
            <w:tcBorders>
              <w:top w:val="nil"/>
              <w:left w:val="nil"/>
              <w:bottom w:val="nil"/>
              <w:right w:val="nil"/>
            </w:tcBorders>
          </w:tcPr>
          <w:p w14:paraId="7ED42431" w14:textId="77777777" w:rsidR="000F0526" w:rsidRPr="001F151E" w:rsidRDefault="000F0526" w:rsidP="000C70FA">
            <w:r>
              <w:t>ZKA</w:t>
            </w:r>
          </w:p>
        </w:tc>
        <w:tc>
          <w:tcPr>
            <w:tcW w:w="7745" w:type="dxa"/>
            <w:tcBorders>
              <w:top w:val="nil"/>
              <w:left w:val="nil"/>
              <w:bottom w:val="nil"/>
              <w:right w:val="nil"/>
            </w:tcBorders>
            <w:vAlign w:val="center"/>
          </w:tcPr>
          <w:p w14:paraId="2B7D6915" w14:textId="77777777" w:rsidR="000F0526" w:rsidRPr="001F151E" w:rsidRDefault="000F0526" w:rsidP="000C70FA">
            <w:r>
              <w:t>Zyrtari</w:t>
            </w:r>
            <w:r w:rsidRPr="00942B29">
              <w:t xml:space="preserve"> Kombëtar Autorizues</w:t>
            </w:r>
            <w:r w:rsidRPr="001F151E">
              <w:t xml:space="preserve"> </w:t>
            </w:r>
            <w:r w:rsidRPr="001F151E">
              <w:rPr>
                <w:rFonts w:eastAsia="Times New Roman"/>
              </w:rPr>
              <w:t>(</w:t>
            </w:r>
            <w:r>
              <w:rPr>
                <w:rFonts w:eastAsia="Times New Roman"/>
              </w:rPr>
              <w:t>nën</w:t>
            </w:r>
            <w:r w:rsidRPr="001F151E">
              <w:rPr>
                <w:rFonts w:eastAsia="Times New Roman"/>
              </w:rPr>
              <w:t xml:space="preserve"> MF)</w:t>
            </w:r>
          </w:p>
        </w:tc>
      </w:tr>
      <w:tr w:rsidR="000F0526" w:rsidRPr="0059094E" w14:paraId="2A35525A" w14:textId="77777777" w:rsidTr="000C70FA">
        <w:tc>
          <w:tcPr>
            <w:tcW w:w="1271" w:type="dxa"/>
            <w:tcBorders>
              <w:top w:val="nil"/>
              <w:left w:val="nil"/>
              <w:bottom w:val="nil"/>
              <w:right w:val="nil"/>
            </w:tcBorders>
          </w:tcPr>
          <w:p w14:paraId="62CAA101" w14:textId="77777777" w:rsidR="000F0526" w:rsidRPr="001F151E" w:rsidRDefault="000F0526" w:rsidP="000C70FA">
            <w:r>
              <w:t>DPFK</w:t>
            </w:r>
          </w:p>
        </w:tc>
        <w:tc>
          <w:tcPr>
            <w:tcW w:w="7745" w:type="dxa"/>
            <w:tcBorders>
              <w:top w:val="nil"/>
              <w:left w:val="nil"/>
              <w:bottom w:val="nil"/>
              <w:right w:val="nil"/>
            </w:tcBorders>
            <w:vAlign w:val="center"/>
          </w:tcPr>
          <w:p w14:paraId="128F9AE1" w14:textId="77777777" w:rsidR="000F0526" w:rsidRPr="009D660E" w:rsidRDefault="000F0526" w:rsidP="000C70FA">
            <w:pPr>
              <w:rPr>
                <w:lang w:val="it-IT"/>
              </w:rPr>
            </w:pPr>
            <w:r>
              <w:rPr>
                <w:rFonts w:eastAsia="Times New Roman"/>
                <w:lang w:val="it-IT"/>
              </w:rPr>
              <w:t>Drejtoria e Përgjithshme e Financimeve dhe Kontraktimeve</w:t>
            </w:r>
            <w:r w:rsidRPr="00942B29">
              <w:rPr>
                <w:rFonts w:eastAsia="Times New Roman"/>
                <w:lang w:val="it-IT"/>
              </w:rPr>
              <w:t xml:space="preserve"> (nën MF)</w:t>
            </w:r>
          </w:p>
        </w:tc>
      </w:tr>
      <w:tr w:rsidR="000F0526" w:rsidRPr="001F151E" w14:paraId="64269845" w14:textId="77777777" w:rsidTr="000C70FA">
        <w:tc>
          <w:tcPr>
            <w:tcW w:w="1271" w:type="dxa"/>
            <w:tcBorders>
              <w:top w:val="nil"/>
              <w:left w:val="nil"/>
              <w:bottom w:val="nil"/>
              <w:right w:val="nil"/>
            </w:tcBorders>
          </w:tcPr>
          <w:p w14:paraId="5AA50B67" w14:textId="77777777" w:rsidR="000F0526" w:rsidRPr="001F151E" w:rsidRDefault="000F0526" w:rsidP="000C70FA">
            <w:r w:rsidRPr="001F151E">
              <w:t>AA</w:t>
            </w:r>
          </w:p>
        </w:tc>
        <w:tc>
          <w:tcPr>
            <w:tcW w:w="7745" w:type="dxa"/>
            <w:tcBorders>
              <w:top w:val="nil"/>
              <w:left w:val="nil"/>
              <w:bottom w:val="nil"/>
              <w:right w:val="nil"/>
            </w:tcBorders>
            <w:vAlign w:val="center"/>
          </w:tcPr>
          <w:p w14:paraId="08B35DEA" w14:textId="77777777" w:rsidR="000F0526" w:rsidRPr="001F151E" w:rsidRDefault="000F0526" w:rsidP="000C70FA">
            <w:r w:rsidRPr="00942B29">
              <w:t>Autoriteti i Auditimit</w:t>
            </w:r>
          </w:p>
        </w:tc>
      </w:tr>
      <w:tr w:rsidR="00094093" w:rsidRPr="0059094E" w14:paraId="4E69699E" w14:textId="77777777" w:rsidTr="005B64DA">
        <w:tc>
          <w:tcPr>
            <w:tcW w:w="9016" w:type="dxa"/>
            <w:gridSpan w:val="2"/>
            <w:tcBorders>
              <w:top w:val="nil"/>
              <w:left w:val="nil"/>
              <w:bottom w:val="nil"/>
              <w:right w:val="nil"/>
            </w:tcBorders>
          </w:tcPr>
          <w:p w14:paraId="27C556AC" w14:textId="77777777" w:rsidR="00094093" w:rsidRPr="009D660E" w:rsidRDefault="00094093" w:rsidP="005B64DA">
            <w:pPr>
              <w:rPr>
                <w:b/>
                <w:bCs/>
                <w:lang w:val="it-IT"/>
              </w:rPr>
            </w:pPr>
          </w:p>
          <w:p w14:paraId="67374546" w14:textId="3F770CCA" w:rsidR="00094093" w:rsidRPr="009D660E" w:rsidRDefault="00094093" w:rsidP="00094093">
            <w:pPr>
              <w:rPr>
                <w:b/>
                <w:bCs/>
                <w:lang w:val="it-IT"/>
              </w:rPr>
            </w:pPr>
            <w:r w:rsidRPr="009D660E">
              <w:rPr>
                <w:b/>
                <w:bCs/>
                <w:lang w:val="it-IT"/>
              </w:rPr>
              <w:t>Ministria e Ekonomisë, Kulturës dhe Inovacionit</w:t>
            </w:r>
          </w:p>
        </w:tc>
      </w:tr>
      <w:tr w:rsidR="00094093" w:rsidRPr="0059094E" w14:paraId="1FEED09A" w14:textId="77777777" w:rsidTr="005B64DA">
        <w:tc>
          <w:tcPr>
            <w:tcW w:w="1271" w:type="dxa"/>
            <w:tcBorders>
              <w:top w:val="nil"/>
              <w:left w:val="nil"/>
              <w:bottom w:val="nil"/>
              <w:right w:val="nil"/>
            </w:tcBorders>
          </w:tcPr>
          <w:p w14:paraId="3D05AE69" w14:textId="6AE78DE6" w:rsidR="00094093" w:rsidRPr="001F151E" w:rsidRDefault="00094093" w:rsidP="005B64DA">
            <w:r>
              <w:t>ATRAKO</w:t>
            </w:r>
          </w:p>
        </w:tc>
        <w:tc>
          <w:tcPr>
            <w:tcW w:w="7745" w:type="dxa"/>
            <w:tcBorders>
              <w:top w:val="nil"/>
              <w:left w:val="nil"/>
              <w:bottom w:val="nil"/>
              <w:right w:val="nil"/>
            </w:tcBorders>
          </w:tcPr>
          <w:p w14:paraId="1E00CE15" w14:textId="58D5A300" w:rsidR="00094093" w:rsidRPr="009D660E" w:rsidRDefault="00094093" w:rsidP="005B64DA">
            <w:pPr>
              <w:rPr>
                <w:lang w:val="it-IT"/>
              </w:rPr>
            </w:pPr>
            <w:r w:rsidRPr="009D660E">
              <w:rPr>
                <w:lang w:val="it-IT"/>
              </w:rPr>
              <w:t>Agjencia e Trajtimit të Koncesioneve</w:t>
            </w:r>
          </w:p>
        </w:tc>
      </w:tr>
      <w:tr w:rsidR="000F0526" w:rsidRPr="001F151E" w14:paraId="3197FC39" w14:textId="77777777" w:rsidTr="000C70FA">
        <w:tc>
          <w:tcPr>
            <w:tcW w:w="9016" w:type="dxa"/>
            <w:gridSpan w:val="2"/>
            <w:tcBorders>
              <w:top w:val="nil"/>
              <w:left w:val="nil"/>
              <w:bottom w:val="nil"/>
              <w:right w:val="nil"/>
            </w:tcBorders>
          </w:tcPr>
          <w:p w14:paraId="4A46FB25" w14:textId="77777777" w:rsidR="008A250D" w:rsidRPr="0059094E" w:rsidRDefault="008A250D" w:rsidP="000C70FA">
            <w:pPr>
              <w:rPr>
                <w:b/>
                <w:bCs/>
                <w:lang w:val="it-IT"/>
              </w:rPr>
            </w:pPr>
          </w:p>
          <w:p w14:paraId="71ADBF7C" w14:textId="77777777" w:rsidR="000F0526" w:rsidRPr="001F151E" w:rsidRDefault="000F0526" w:rsidP="000C70FA">
            <w:pPr>
              <w:rPr>
                <w:b/>
                <w:bCs/>
              </w:rPr>
            </w:pPr>
            <w:r w:rsidRPr="00942B29">
              <w:rPr>
                <w:b/>
                <w:bCs/>
              </w:rPr>
              <w:t>Zyra e Kryeministrit</w:t>
            </w:r>
          </w:p>
        </w:tc>
      </w:tr>
      <w:tr w:rsidR="000F0526" w:rsidRPr="001F151E" w14:paraId="53A3AF99" w14:textId="77777777" w:rsidTr="000C70FA">
        <w:tc>
          <w:tcPr>
            <w:tcW w:w="1271" w:type="dxa"/>
            <w:tcBorders>
              <w:top w:val="nil"/>
              <w:left w:val="nil"/>
              <w:bottom w:val="nil"/>
              <w:right w:val="nil"/>
            </w:tcBorders>
          </w:tcPr>
          <w:p w14:paraId="2EB3DA12" w14:textId="77777777" w:rsidR="000F0526" w:rsidRPr="001F151E" w:rsidRDefault="000F0526" w:rsidP="000C70FA">
            <w:r>
              <w:t>KM</w:t>
            </w:r>
          </w:p>
        </w:tc>
        <w:tc>
          <w:tcPr>
            <w:tcW w:w="7745" w:type="dxa"/>
            <w:tcBorders>
              <w:top w:val="nil"/>
              <w:left w:val="nil"/>
              <w:bottom w:val="nil"/>
              <w:right w:val="nil"/>
            </w:tcBorders>
            <w:vAlign w:val="center"/>
          </w:tcPr>
          <w:p w14:paraId="44C1A354" w14:textId="77777777" w:rsidR="000F0526" w:rsidRPr="001F151E" w:rsidRDefault="000F0526" w:rsidP="000C70FA">
            <w:r>
              <w:t>Kryeministria</w:t>
            </w:r>
          </w:p>
        </w:tc>
      </w:tr>
      <w:tr w:rsidR="000F0526" w:rsidRPr="001F151E" w14:paraId="71EA0EAE" w14:textId="77777777" w:rsidTr="000C70FA">
        <w:tc>
          <w:tcPr>
            <w:tcW w:w="1271" w:type="dxa"/>
            <w:tcBorders>
              <w:top w:val="nil"/>
              <w:left w:val="nil"/>
              <w:bottom w:val="nil"/>
              <w:right w:val="nil"/>
            </w:tcBorders>
          </w:tcPr>
          <w:p w14:paraId="49945181" w14:textId="77777777" w:rsidR="000F0526" w:rsidRPr="001F151E" w:rsidRDefault="000F0526" w:rsidP="000C70FA">
            <w:r w:rsidRPr="00F36F9B">
              <w:t>SASPAC</w:t>
            </w:r>
          </w:p>
        </w:tc>
        <w:tc>
          <w:tcPr>
            <w:tcW w:w="7745" w:type="dxa"/>
            <w:tcBorders>
              <w:top w:val="nil"/>
              <w:left w:val="nil"/>
              <w:bottom w:val="nil"/>
              <w:right w:val="nil"/>
            </w:tcBorders>
            <w:vAlign w:val="center"/>
          </w:tcPr>
          <w:p w14:paraId="5A07A24B" w14:textId="77777777" w:rsidR="000F0526" w:rsidRPr="001F151E" w:rsidRDefault="000F0526" w:rsidP="000C70FA">
            <w:pPr>
              <w:rPr>
                <w:rFonts w:eastAsia="Times New Roman"/>
              </w:rPr>
            </w:pPr>
            <w:r w:rsidRPr="00175A8F">
              <w:rPr>
                <w:rFonts w:eastAsia="Times New Roman"/>
              </w:rPr>
              <w:t>Agjencia Shtetërore për Programimin Strategjik dhe Koordinimin e Ndihmës (nën KM)</w:t>
            </w:r>
          </w:p>
        </w:tc>
      </w:tr>
      <w:tr w:rsidR="000F0526" w:rsidRPr="001F151E" w14:paraId="27FCC0FF" w14:textId="77777777" w:rsidTr="000C70FA">
        <w:tc>
          <w:tcPr>
            <w:tcW w:w="1271" w:type="dxa"/>
            <w:tcBorders>
              <w:top w:val="nil"/>
              <w:left w:val="nil"/>
              <w:bottom w:val="nil"/>
              <w:right w:val="nil"/>
            </w:tcBorders>
          </w:tcPr>
          <w:p w14:paraId="3B421795" w14:textId="77777777" w:rsidR="000F0526" w:rsidRPr="001F151E" w:rsidRDefault="000F0526" w:rsidP="000C70FA">
            <w:r w:rsidRPr="001F151E">
              <w:t>D</w:t>
            </w:r>
            <w:r>
              <w:t>AP</w:t>
            </w:r>
          </w:p>
        </w:tc>
        <w:tc>
          <w:tcPr>
            <w:tcW w:w="7745" w:type="dxa"/>
            <w:tcBorders>
              <w:top w:val="nil"/>
              <w:left w:val="nil"/>
              <w:bottom w:val="nil"/>
              <w:right w:val="nil"/>
            </w:tcBorders>
            <w:vAlign w:val="center"/>
          </w:tcPr>
          <w:p w14:paraId="718F7808" w14:textId="77777777" w:rsidR="000F0526" w:rsidRPr="001F151E" w:rsidRDefault="000F0526" w:rsidP="000C70FA">
            <w:pPr>
              <w:rPr>
                <w:rFonts w:eastAsia="Times New Roman"/>
              </w:rPr>
            </w:pPr>
            <w:r w:rsidRPr="00CD544F">
              <w:rPr>
                <w:rFonts w:eastAsia="Times New Roman"/>
              </w:rPr>
              <w:t>Departamenti i Administratës Publike</w:t>
            </w:r>
            <w:r w:rsidRPr="001F151E">
              <w:rPr>
                <w:rFonts w:eastAsia="Times New Roman"/>
              </w:rPr>
              <w:t xml:space="preserve"> (</w:t>
            </w:r>
            <w:r>
              <w:rPr>
                <w:rFonts w:eastAsia="Times New Roman"/>
              </w:rPr>
              <w:t>nën</w:t>
            </w:r>
            <w:r w:rsidRPr="001F151E">
              <w:rPr>
                <w:rFonts w:eastAsia="Times New Roman"/>
              </w:rPr>
              <w:t xml:space="preserve"> </w:t>
            </w:r>
            <w:r>
              <w:rPr>
                <w:rFonts w:eastAsia="Times New Roman"/>
              </w:rPr>
              <w:t>KM</w:t>
            </w:r>
            <w:r w:rsidRPr="001F151E">
              <w:rPr>
                <w:rFonts w:eastAsia="Times New Roman"/>
              </w:rPr>
              <w:t>)</w:t>
            </w:r>
          </w:p>
        </w:tc>
      </w:tr>
      <w:tr w:rsidR="000F0526" w:rsidRPr="001F151E" w14:paraId="17A0C7C7" w14:textId="77777777" w:rsidTr="000C70FA">
        <w:tc>
          <w:tcPr>
            <w:tcW w:w="1271" w:type="dxa"/>
            <w:tcBorders>
              <w:top w:val="nil"/>
              <w:left w:val="nil"/>
              <w:bottom w:val="nil"/>
              <w:right w:val="nil"/>
            </w:tcBorders>
          </w:tcPr>
          <w:p w14:paraId="2684B44E" w14:textId="77777777" w:rsidR="000F0526" w:rsidRPr="001F151E" w:rsidRDefault="000F0526" w:rsidP="000C70FA">
            <w:r>
              <w:t>AKSHI</w:t>
            </w:r>
          </w:p>
        </w:tc>
        <w:tc>
          <w:tcPr>
            <w:tcW w:w="7745" w:type="dxa"/>
            <w:tcBorders>
              <w:top w:val="nil"/>
              <w:left w:val="nil"/>
              <w:bottom w:val="nil"/>
              <w:right w:val="nil"/>
            </w:tcBorders>
            <w:vAlign w:val="center"/>
          </w:tcPr>
          <w:p w14:paraId="4C05DA9E" w14:textId="77777777" w:rsidR="000F0526" w:rsidRPr="001F151E" w:rsidRDefault="000F0526" w:rsidP="000C70FA">
            <w:pPr>
              <w:rPr>
                <w:rFonts w:eastAsia="Times New Roman"/>
              </w:rPr>
            </w:pPr>
            <w:r w:rsidRPr="009D660E">
              <w:rPr>
                <w:rFonts w:eastAsia="Times New Roman"/>
              </w:rPr>
              <w:t>Agjencia Kombëtare e Shoqërisë së Informacionit (nën KM, i referuar edhe si AKSHI)</w:t>
            </w:r>
          </w:p>
        </w:tc>
      </w:tr>
      <w:tr w:rsidR="00BC063C" w:rsidRPr="001F151E" w14:paraId="01D008B7" w14:textId="77777777" w:rsidTr="000C70FA">
        <w:tc>
          <w:tcPr>
            <w:tcW w:w="1271" w:type="dxa"/>
            <w:tcBorders>
              <w:top w:val="nil"/>
              <w:left w:val="nil"/>
              <w:bottom w:val="nil"/>
              <w:right w:val="nil"/>
            </w:tcBorders>
          </w:tcPr>
          <w:p w14:paraId="20ED266B" w14:textId="605558EA" w:rsidR="00BC063C" w:rsidRDefault="00BC063C" w:rsidP="00BC063C">
            <w:r>
              <w:rPr>
                <w:rFonts w:eastAsia="Times New Roman"/>
              </w:rPr>
              <w:t>APP</w:t>
            </w:r>
          </w:p>
        </w:tc>
        <w:tc>
          <w:tcPr>
            <w:tcW w:w="7745" w:type="dxa"/>
            <w:tcBorders>
              <w:top w:val="nil"/>
              <w:left w:val="nil"/>
              <w:bottom w:val="nil"/>
              <w:right w:val="nil"/>
            </w:tcBorders>
            <w:vAlign w:val="center"/>
          </w:tcPr>
          <w:p w14:paraId="44E78B19" w14:textId="70A364FC" w:rsidR="00BC063C" w:rsidRPr="00CD544F" w:rsidRDefault="00BC063C" w:rsidP="00BC063C">
            <w:pPr>
              <w:rPr>
                <w:rFonts w:eastAsia="Times New Roman"/>
                <w:lang w:val="it-IT"/>
              </w:rPr>
            </w:pPr>
            <w:r w:rsidRPr="00175A8F">
              <w:rPr>
                <w:rFonts w:eastAsia="Times New Roman"/>
              </w:rPr>
              <w:t>Agjencia e Prokurimit Publik (</w:t>
            </w:r>
            <w:r>
              <w:rPr>
                <w:rFonts w:eastAsia="Times New Roman"/>
              </w:rPr>
              <w:t>nën KM)</w:t>
            </w:r>
          </w:p>
        </w:tc>
      </w:tr>
      <w:tr w:rsidR="00D15A1C" w:rsidRPr="001F151E" w14:paraId="5E371833" w14:textId="77777777" w:rsidTr="000C70FA">
        <w:tc>
          <w:tcPr>
            <w:tcW w:w="1271" w:type="dxa"/>
            <w:tcBorders>
              <w:top w:val="nil"/>
              <w:left w:val="nil"/>
              <w:bottom w:val="nil"/>
              <w:right w:val="nil"/>
            </w:tcBorders>
          </w:tcPr>
          <w:p w14:paraId="26D54775" w14:textId="77777777" w:rsidR="00D15A1C" w:rsidRDefault="00D15A1C" w:rsidP="00BC063C">
            <w:pPr>
              <w:rPr>
                <w:rFonts w:eastAsia="Times New Roman"/>
              </w:rPr>
            </w:pPr>
          </w:p>
        </w:tc>
        <w:tc>
          <w:tcPr>
            <w:tcW w:w="7745" w:type="dxa"/>
            <w:tcBorders>
              <w:top w:val="nil"/>
              <w:left w:val="nil"/>
              <w:bottom w:val="nil"/>
              <w:right w:val="nil"/>
            </w:tcBorders>
            <w:vAlign w:val="center"/>
          </w:tcPr>
          <w:p w14:paraId="5F2309AD" w14:textId="0DFCDDE7" w:rsidR="00D15A1C" w:rsidRPr="00175A8F" w:rsidRDefault="00D15A1C" w:rsidP="00BC063C">
            <w:pPr>
              <w:rPr>
                <w:rFonts w:eastAsia="Times New Roman"/>
              </w:rPr>
            </w:pPr>
            <w:r>
              <w:rPr>
                <w:rFonts w:eastAsia="Times New Roman"/>
              </w:rPr>
              <w:t>Agjencia e Auditimit të Fondeve të BE-së</w:t>
            </w:r>
          </w:p>
        </w:tc>
      </w:tr>
      <w:tr w:rsidR="00BC063C" w:rsidRPr="001F151E" w14:paraId="66244920" w14:textId="77777777" w:rsidTr="000C70FA">
        <w:tc>
          <w:tcPr>
            <w:tcW w:w="9016" w:type="dxa"/>
            <w:gridSpan w:val="2"/>
            <w:tcBorders>
              <w:top w:val="nil"/>
              <w:left w:val="nil"/>
              <w:bottom w:val="nil"/>
              <w:right w:val="nil"/>
            </w:tcBorders>
          </w:tcPr>
          <w:p w14:paraId="0EB469FD" w14:textId="77777777" w:rsidR="00D15A1C" w:rsidRDefault="00D15A1C" w:rsidP="00BC063C">
            <w:pPr>
              <w:rPr>
                <w:rFonts w:eastAsia="Times New Roman"/>
                <w:b/>
                <w:bCs/>
              </w:rPr>
            </w:pPr>
          </w:p>
          <w:p w14:paraId="71539A66" w14:textId="77777777" w:rsidR="00FD26B0" w:rsidRDefault="00FD26B0" w:rsidP="00BC063C">
            <w:pPr>
              <w:rPr>
                <w:rFonts w:eastAsia="Times New Roman"/>
                <w:b/>
                <w:bCs/>
              </w:rPr>
            </w:pPr>
          </w:p>
          <w:p w14:paraId="3F69B1A8" w14:textId="77777777" w:rsidR="00FD26B0" w:rsidRDefault="00FD26B0" w:rsidP="00BC063C">
            <w:pPr>
              <w:rPr>
                <w:rFonts w:eastAsia="Times New Roman"/>
                <w:b/>
                <w:bCs/>
              </w:rPr>
            </w:pPr>
          </w:p>
          <w:p w14:paraId="02A74590" w14:textId="77777777" w:rsidR="00BC063C" w:rsidRPr="001F151E" w:rsidRDefault="00BC063C" w:rsidP="00BC063C">
            <w:pPr>
              <w:rPr>
                <w:rFonts w:eastAsia="Times New Roman"/>
                <w:b/>
                <w:bCs/>
              </w:rPr>
            </w:pPr>
            <w:r w:rsidRPr="00CD544F">
              <w:rPr>
                <w:rFonts w:eastAsia="Times New Roman"/>
                <w:b/>
                <w:bCs/>
              </w:rPr>
              <w:t>Institucionet e Pavarura</w:t>
            </w:r>
          </w:p>
        </w:tc>
      </w:tr>
      <w:tr w:rsidR="00BC063C" w:rsidRPr="0059094E" w14:paraId="32E3C577" w14:textId="77777777" w:rsidTr="000C70FA">
        <w:tc>
          <w:tcPr>
            <w:tcW w:w="1271" w:type="dxa"/>
            <w:tcBorders>
              <w:top w:val="nil"/>
              <w:left w:val="nil"/>
              <w:bottom w:val="nil"/>
              <w:right w:val="nil"/>
            </w:tcBorders>
          </w:tcPr>
          <w:p w14:paraId="19164A17" w14:textId="77777777" w:rsidR="00BC063C" w:rsidRPr="001F151E" w:rsidRDefault="00BC063C" w:rsidP="00BC063C">
            <w:r>
              <w:t>KLSH</w:t>
            </w:r>
          </w:p>
        </w:tc>
        <w:tc>
          <w:tcPr>
            <w:tcW w:w="7745" w:type="dxa"/>
            <w:tcBorders>
              <w:top w:val="nil"/>
              <w:left w:val="nil"/>
              <w:bottom w:val="nil"/>
              <w:right w:val="nil"/>
            </w:tcBorders>
            <w:vAlign w:val="center"/>
          </w:tcPr>
          <w:p w14:paraId="07250955" w14:textId="77777777" w:rsidR="00BC063C" w:rsidRPr="009D660E" w:rsidRDefault="00BC063C" w:rsidP="00BC063C">
            <w:pPr>
              <w:rPr>
                <w:rFonts w:eastAsia="Times New Roman"/>
                <w:lang w:val="it-IT"/>
              </w:rPr>
            </w:pPr>
            <w:r w:rsidRPr="00CD544F">
              <w:rPr>
                <w:rFonts w:eastAsia="Times New Roman"/>
                <w:lang w:val="it-IT"/>
              </w:rPr>
              <w:t>Institucioni i Lartë i Kontrollit Shqiptar (institucion i pavarur, i referuar edhe si Kontrolli i Lartë i Shtetit)</w:t>
            </w:r>
          </w:p>
        </w:tc>
      </w:tr>
      <w:tr w:rsidR="00BC063C" w:rsidRPr="0059094E" w14:paraId="421E0F57" w14:textId="77777777" w:rsidTr="000C70FA">
        <w:tc>
          <w:tcPr>
            <w:tcW w:w="1271" w:type="dxa"/>
            <w:tcBorders>
              <w:top w:val="nil"/>
              <w:left w:val="nil"/>
              <w:bottom w:val="nil"/>
              <w:right w:val="nil"/>
            </w:tcBorders>
          </w:tcPr>
          <w:p w14:paraId="3C27DB53" w14:textId="77777777" w:rsidR="00BC063C" w:rsidRPr="001F151E" w:rsidRDefault="00BC063C" w:rsidP="00BC063C">
            <w:r w:rsidRPr="00F36F9B">
              <w:t>INSTAT</w:t>
            </w:r>
          </w:p>
        </w:tc>
        <w:tc>
          <w:tcPr>
            <w:tcW w:w="7745" w:type="dxa"/>
            <w:tcBorders>
              <w:top w:val="nil"/>
              <w:left w:val="nil"/>
              <w:bottom w:val="nil"/>
              <w:right w:val="nil"/>
            </w:tcBorders>
            <w:vAlign w:val="center"/>
          </w:tcPr>
          <w:p w14:paraId="6015DF22" w14:textId="77777777" w:rsidR="00BC063C" w:rsidRPr="009D660E" w:rsidRDefault="00BC063C" w:rsidP="00BC063C">
            <w:pPr>
              <w:rPr>
                <w:rFonts w:eastAsia="Times New Roman"/>
                <w:lang w:val="it-IT"/>
              </w:rPr>
            </w:pPr>
            <w:r w:rsidRPr="00175A8F">
              <w:rPr>
                <w:rFonts w:eastAsia="Times New Roman"/>
                <w:lang w:val="it-IT"/>
              </w:rPr>
              <w:t>Instituti i Statistikave (institucion i pavarur)</w:t>
            </w:r>
          </w:p>
        </w:tc>
      </w:tr>
      <w:tr w:rsidR="00BC063C" w:rsidRPr="001F151E" w14:paraId="31B6BFF0" w14:textId="77777777" w:rsidTr="000C70FA">
        <w:tc>
          <w:tcPr>
            <w:tcW w:w="1271" w:type="dxa"/>
            <w:tcBorders>
              <w:top w:val="nil"/>
              <w:left w:val="nil"/>
              <w:bottom w:val="nil"/>
              <w:right w:val="nil"/>
            </w:tcBorders>
          </w:tcPr>
          <w:p w14:paraId="0855CE7C" w14:textId="77777777" w:rsidR="00BC063C" w:rsidRPr="001F151E" w:rsidRDefault="00BC063C" w:rsidP="00BC063C">
            <w:pPr>
              <w:rPr>
                <w:rFonts w:eastAsia="Times New Roman"/>
              </w:rPr>
            </w:pPr>
            <w:r>
              <w:rPr>
                <w:rFonts w:eastAsia="Times New Roman"/>
              </w:rPr>
              <w:t>KPP</w:t>
            </w:r>
          </w:p>
        </w:tc>
        <w:tc>
          <w:tcPr>
            <w:tcW w:w="7745" w:type="dxa"/>
            <w:tcBorders>
              <w:top w:val="nil"/>
              <w:left w:val="nil"/>
              <w:bottom w:val="nil"/>
              <w:right w:val="nil"/>
            </w:tcBorders>
            <w:vAlign w:val="center"/>
          </w:tcPr>
          <w:p w14:paraId="5EDF25B7" w14:textId="77777777" w:rsidR="00BC063C" w:rsidRPr="001F151E" w:rsidRDefault="00BC063C" w:rsidP="00BC063C">
            <w:pPr>
              <w:rPr>
                <w:rFonts w:eastAsia="Times New Roman"/>
              </w:rPr>
            </w:pPr>
            <w:r w:rsidRPr="00175A8F">
              <w:rPr>
                <w:rFonts w:eastAsia="Times New Roman"/>
                <w:lang w:val="it-IT"/>
              </w:rPr>
              <w:t xml:space="preserve">Komisioni </w:t>
            </w:r>
            <w:r>
              <w:rPr>
                <w:rFonts w:eastAsia="Times New Roman"/>
                <w:lang w:val="it-IT"/>
              </w:rPr>
              <w:t>për</w:t>
            </w:r>
            <w:r w:rsidRPr="00175A8F">
              <w:rPr>
                <w:rFonts w:eastAsia="Times New Roman"/>
                <w:lang w:val="it-IT"/>
              </w:rPr>
              <w:t xml:space="preserve"> Prokurim</w:t>
            </w:r>
            <w:r>
              <w:rPr>
                <w:rFonts w:eastAsia="Times New Roman"/>
                <w:lang w:val="it-IT"/>
              </w:rPr>
              <w:t>et</w:t>
            </w:r>
            <w:r w:rsidRPr="00175A8F">
              <w:rPr>
                <w:rFonts w:eastAsia="Times New Roman"/>
                <w:lang w:val="it-IT"/>
              </w:rPr>
              <w:t xml:space="preserve"> Publik</w:t>
            </w:r>
            <w:r>
              <w:rPr>
                <w:rFonts w:eastAsia="Times New Roman"/>
                <w:lang w:val="it-IT"/>
              </w:rPr>
              <w:t>e</w:t>
            </w:r>
            <w:r w:rsidRPr="00175A8F">
              <w:rPr>
                <w:rFonts w:eastAsia="Times New Roman"/>
                <w:lang w:val="it-IT"/>
              </w:rPr>
              <w:t xml:space="preserve"> (institucion i pavarur)</w:t>
            </w:r>
          </w:p>
        </w:tc>
      </w:tr>
      <w:tr w:rsidR="00BC063C" w:rsidRPr="001F151E" w14:paraId="79D4E784" w14:textId="77777777" w:rsidTr="000C70FA">
        <w:tc>
          <w:tcPr>
            <w:tcW w:w="9016" w:type="dxa"/>
            <w:gridSpan w:val="2"/>
            <w:tcBorders>
              <w:top w:val="nil"/>
              <w:left w:val="nil"/>
              <w:bottom w:val="nil"/>
              <w:right w:val="nil"/>
            </w:tcBorders>
          </w:tcPr>
          <w:p w14:paraId="4AEE2797" w14:textId="77777777" w:rsidR="00BC063C" w:rsidRPr="001F151E" w:rsidRDefault="00BC063C" w:rsidP="00BC063C">
            <w:pPr>
              <w:rPr>
                <w:rFonts w:eastAsia="Times New Roman"/>
                <w:b/>
                <w:bCs/>
              </w:rPr>
            </w:pPr>
          </w:p>
          <w:p w14:paraId="2D7197AF" w14:textId="77777777" w:rsidR="00BC063C" w:rsidRPr="001F151E" w:rsidRDefault="00BC063C" w:rsidP="00BC063C">
            <w:pPr>
              <w:rPr>
                <w:rFonts w:eastAsia="Times New Roman"/>
                <w:b/>
                <w:bCs/>
              </w:rPr>
            </w:pPr>
            <w:r w:rsidRPr="00175A8F">
              <w:rPr>
                <w:rFonts w:eastAsia="Times New Roman"/>
                <w:b/>
                <w:bCs/>
              </w:rPr>
              <w:t>Parlamenti</w:t>
            </w:r>
          </w:p>
        </w:tc>
      </w:tr>
      <w:tr w:rsidR="00BC063C" w:rsidRPr="0059094E" w14:paraId="5B8FA0D5" w14:textId="77777777" w:rsidTr="000C70FA">
        <w:tc>
          <w:tcPr>
            <w:tcW w:w="1271" w:type="dxa"/>
            <w:tcBorders>
              <w:top w:val="nil"/>
              <w:left w:val="nil"/>
              <w:bottom w:val="nil"/>
              <w:right w:val="nil"/>
            </w:tcBorders>
          </w:tcPr>
          <w:p w14:paraId="77C2B613" w14:textId="77777777" w:rsidR="00BC063C" w:rsidRPr="001F151E" w:rsidRDefault="00BC063C" w:rsidP="00BC063C">
            <w:pPr>
              <w:rPr>
                <w:rFonts w:ascii="Calibri" w:eastAsia="Times New Roman" w:hAnsi="Calibri" w:cs="Calibri"/>
              </w:rPr>
            </w:pPr>
            <w:r>
              <w:rPr>
                <w:rFonts w:eastAsia="Times New Roman"/>
              </w:rPr>
              <w:t>KPFE</w:t>
            </w:r>
          </w:p>
        </w:tc>
        <w:tc>
          <w:tcPr>
            <w:tcW w:w="7745" w:type="dxa"/>
            <w:tcBorders>
              <w:top w:val="nil"/>
              <w:left w:val="nil"/>
              <w:bottom w:val="nil"/>
              <w:right w:val="nil"/>
            </w:tcBorders>
            <w:vAlign w:val="center"/>
          </w:tcPr>
          <w:p w14:paraId="03CFF250" w14:textId="77777777" w:rsidR="00BC063C" w:rsidRPr="009D660E" w:rsidRDefault="00BC063C" w:rsidP="00BC063C">
            <w:pPr>
              <w:rPr>
                <w:rFonts w:eastAsia="Times New Roman"/>
                <w:lang w:val="it-IT"/>
              </w:rPr>
            </w:pPr>
            <w:r w:rsidRPr="00175A8F">
              <w:rPr>
                <w:rFonts w:eastAsia="Times New Roman"/>
                <w:lang w:val="it-IT"/>
              </w:rPr>
              <w:t xml:space="preserve">Komisioni </w:t>
            </w:r>
            <w:r>
              <w:rPr>
                <w:rFonts w:eastAsia="Times New Roman"/>
                <w:lang w:val="it-IT"/>
              </w:rPr>
              <w:t xml:space="preserve">Parlamentar </w:t>
            </w:r>
            <w:r w:rsidRPr="00175A8F">
              <w:rPr>
                <w:rFonts w:eastAsia="Times New Roman"/>
                <w:lang w:val="it-IT"/>
              </w:rPr>
              <w:t>për Financa</w:t>
            </w:r>
            <w:r>
              <w:rPr>
                <w:rFonts w:eastAsia="Times New Roman"/>
                <w:lang w:val="it-IT"/>
              </w:rPr>
              <w:t>t</w:t>
            </w:r>
            <w:r w:rsidRPr="00175A8F">
              <w:rPr>
                <w:rFonts w:eastAsia="Times New Roman"/>
                <w:lang w:val="it-IT"/>
              </w:rPr>
              <w:t xml:space="preserve"> dhe Ekonomi</w:t>
            </w:r>
            <w:r>
              <w:rPr>
                <w:rFonts w:eastAsia="Times New Roman"/>
                <w:lang w:val="it-IT"/>
              </w:rPr>
              <w:t>në</w:t>
            </w:r>
          </w:p>
        </w:tc>
      </w:tr>
      <w:tr w:rsidR="00BC063C" w:rsidRPr="0059094E" w14:paraId="3D7F6154" w14:textId="77777777" w:rsidTr="000C70FA">
        <w:tc>
          <w:tcPr>
            <w:tcW w:w="9016" w:type="dxa"/>
            <w:gridSpan w:val="2"/>
            <w:tcBorders>
              <w:top w:val="nil"/>
              <w:left w:val="nil"/>
              <w:bottom w:val="nil"/>
              <w:right w:val="nil"/>
            </w:tcBorders>
          </w:tcPr>
          <w:p w14:paraId="3019E6F1" w14:textId="77777777" w:rsidR="00BC063C" w:rsidRPr="009D660E" w:rsidRDefault="00BC063C" w:rsidP="00BC063C">
            <w:pPr>
              <w:rPr>
                <w:rFonts w:eastAsia="Times New Roman"/>
                <w:b/>
                <w:bCs/>
                <w:lang w:val="it-IT"/>
              </w:rPr>
            </w:pPr>
          </w:p>
          <w:p w14:paraId="6CBD840A" w14:textId="77777777" w:rsidR="00BC063C" w:rsidRPr="009D660E" w:rsidRDefault="00BC063C" w:rsidP="00BC063C">
            <w:pPr>
              <w:rPr>
                <w:rFonts w:eastAsia="Times New Roman"/>
                <w:b/>
                <w:bCs/>
                <w:lang w:val="it-IT"/>
              </w:rPr>
            </w:pPr>
            <w:r w:rsidRPr="00175A8F">
              <w:rPr>
                <w:rFonts w:eastAsia="Times New Roman"/>
                <w:b/>
                <w:bCs/>
                <w:lang w:val="it-IT"/>
              </w:rPr>
              <w:t>Institucione të tjera të qeveris</w:t>
            </w:r>
            <w:r>
              <w:rPr>
                <w:rFonts w:eastAsia="Times New Roman"/>
                <w:b/>
                <w:bCs/>
                <w:lang w:val="it-IT"/>
              </w:rPr>
              <w:t>jes</w:t>
            </w:r>
            <w:r w:rsidRPr="00175A8F">
              <w:rPr>
                <w:rFonts w:eastAsia="Times New Roman"/>
                <w:b/>
                <w:bCs/>
                <w:lang w:val="it-IT"/>
              </w:rPr>
              <w:t xml:space="preserve"> q</w:t>
            </w:r>
            <w:r>
              <w:rPr>
                <w:rFonts w:eastAsia="Times New Roman"/>
                <w:b/>
                <w:bCs/>
                <w:lang w:val="it-IT"/>
              </w:rPr>
              <w:t>ë</w:t>
            </w:r>
            <w:r w:rsidRPr="00175A8F">
              <w:rPr>
                <w:rFonts w:eastAsia="Times New Roman"/>
                <w:b/>
                <w:bCs/>
                <w:lang w:val="it-IT"/>
              </w:rPr>
              <w:t>ndrore</w:t>
            </w:r>
          </w:p>
        </w:tc>
      </w:tr>
      <w:tr w:rsidR="00BC063C" w:rsidRPr="001F151E" w14:paraId="6EEA4CB2" w14:textId="77777777" w:rsidTr="000C70FA">
        <w:tc>
          <w:tcPr>
            <w:tcW w:w="1271" w:type="dxa"/>
            <w:tcBorders>
              <w:top w:val="nil"/>
              <w:left w:val="nil"/>
              <w:bottom w:val="nil"/>
              <w:right w:val="nil"/>
            </w:tcBorders>
          </w:tcPr>
          <w:p w14:paraId="5AC5AA5B" w14:textId="77777777" w:rsidR="00BC063C" w:rsidRPr="001F151E" w:rsidRDefault="00BC063C" w:rsidP="00BC063C">
            <w:pPr>
              <w:rPr>
                <w:rFonts w:eastAsia="Times New Roman"/>
              </w:rPr>
            </w:pPr>
            <w:r>
              <w:rPr>
                <w:rFonts w:eastAsia="Times New Roman"/>
              </w:rPr>
              <w:t>IB</w:t>
            </w:r>
          </w:p>
        </w:tc>
        <w:tc>
          <w:tcPr>
            <w:tcW w:w="7745" w:type="dxa"/>
            <w:tcBorders>
              <w:top w:val="nil"/>
              <w:left w:val="nil"/>
              <w:bottom w:val="nil"/>
              <w:right w:val="nil"/>
            </w:tcBorders>
            <w:vAlign w:val="center"/>
          </w:tcPr>
          <w:p w14:paraId="6C2552E7" w14:textId="77777777" w:rsidR="00BC063C" w:rsidRPr="001F151E" w:rsidRDefault="00BC063C" w:rsidP="00BC063C">
            <w:pPr>
              <w:rPr>
                <w:rFonts w:eastAsia="Times New Roman"/>
              </w:rPr>
            </w:pPr>
            <w:r w:rsidRPr="00175A8F">
              <w:rPr>
                <w:rFonts w:eastAsia="Times New Roman"/>
              </w:rPr>
              <w:t xml:space="preserve">Institucionet </w:t>
            </w:r>
            <w:r>
              <w:rPr>
                <w:rFonts w:eastAsia="Times New Roman"/>
              </w:rPr>
              <w:t>B</w:t>
            </w:r>
            <w:r w:rsidRPr="00175A8F">
              <w:rPr>
                <w:rFonts w:eastAsia="Times New Roman"/>
              </w:rPr>
              <w:t>uxhetore</w:t>
            </w:r>
          </w:p>
        </w:tc>
      </w:tr>
      <w:tr w:rsidR="00BC063C" w:rsidRPr="001F151E" w14:paraId="1ED51BC2" w14:textId="77777777" w:rsidTr="000C70FA">
        <w:tc>
          <w:tcPr>
            <w:tcW w:w="9016" w:type="dxa"/>
            <w:gridSpan w:val="2"/>
            <w:tcBorders>
              <w:top w:val="nil"/>
              <w:left w:val="nil"/>
              <w:bottom w:val="nil"/>
              <w:right w:val="nil"/>
            </w:tcBorders>
          </w:tcPr>
          <w:p w14:paraId="2D8D2E58" w14:textId="77777777" w:rsidR="00BC063C" w:rsidRPr="001F151E" w:rsidRDefault="00BC063C" w:rsidP="00BC063C">
            <w:pPr>
              <w:rPr>
                <w:rFonts w:eastAsia="Times New Roman"/>
                <w:b/>
                <w:bCs/>
              </w:rPr>
            </w:pPr>
          </w:p>
          <w:p w14:paraId="1C37AC2E" w14:textId="77777777" w:rsidR="00BC063C" w:rsidRPr="001F151E" w:rsidRDefault="00BC063C" w:rsidP="00BC063C">
            <w:pPr>
              <w:rPr>
                <w:rFonts w:eastAsia="Times New Roman"/>
                <w:b/>
                <w:bCs/>
              </w:rPr>
            </w:pPr>
            <w:r w:rsidRPr="00175A8F">
              <w:rPr>
                <w:rFonts w:eastAsia="Times New Roman"/>
                <w:b/>
                <w:bCs/>
              </w:rPr>
              <w:t>Pushteti vendor</w:t>
            </w:r>
          </w:p>
        </w:tc>
      </w:tr>
      <w:tr w:rsidR="00BC063C" w:rsidRPr="0059094E" w14:paraId="18C7C52B" w14:textId="77777777" w:rsidTr="000C70FA">
        <w:tc>
          <w:tcPr>
            <w:tcW w:w="1271" w:type="dxa"/>
            <w:tcBorders>
              <w:top w:val="nil"/>
              <w:left w:val="nil"/>
              <w:bottom w:val="nil"/>
              <w:right w:val="nil"/>
            </w:tcBorders>
          </w:tcPr>
          <w:p w14:paraId="70969A0B" w14:textId="77777777" w:rsidR="00BC063C" w:rsidRPr="001F151E" w:rsidRDefault="00BC063C" w:rsidP="00BC063C">
            <w:pPr>
              <w:rPr>
                <w:rFonts w:eastAsia="Times New Roman"/>
              </w:rPr>
            </w:pPr>
            <w:r>
              <w:rPr>
                <w:rFonts w:eastAsia="Times New Roman"/>
              </w:rPr>
              <w:t>NjVV</w:t>
            </w:r>
          </w:p>
        </w:tc>
        <w:tc>
          <w:tcPr>
            <w:tcW w:w="7745" w:type="dxa"/>
            <w:tcBorders>
              <w:top w:val="nil"/>
              <w:left w:val="nil"/>
              <w:bottom w:val="nil"/>
              <w:right w:val="nil"/>
            </w:tcBorders>
            <w:vAlign w:val="center"/>
          </w:tcPr>
          <w:p w14:paraId="5CA09D84" w14:textId="77777777" w:rsidR="00BC063C" w:rsidRPr="009D660E" w:rsidRDefault="00BC063C" w:rsidP="00BC063C">
            <w:pPr>
              <w:rPr>
                <w:rFonts w:eastAsia="Times New Roman"/>
                <w:lang w:val="it-IT"/>
              </w:rPr>
            </w:pPr>
            <w:r w:rsidRPr="009D660E">
              <w:rPr>
                <w:rFonts w:eastAsia="Times New Roman"/>
                <w:lang w:val="it-IT"/>
              </w:rPr>
              <w:t>Njësitë e Vetëqeverisjes Vendore (Bashkitë)</w:t>
            </w:r>
          </w:p>
        </w:tc>
      </w:tr>
      <w:tr w:rsidR="00BC063C" w:rsidRPr="001F151E" w14:paraId="21C170F1" w14:textId="77777777" w:rsidTr="000C70FA">
        <w:tc>
          <w:tcPr>
            <w:tcW w:w="9016" w:type="dxa"/>
            <w:gridSpan w:val="2"/>
            <w:tcBorders>
              <w:top w:val="nil"/>
              <w:left w:val="nil"/>
              <w:bottom w:val="nil"/>
              <w:right w:val="nil"/>
            </w:tcBorders>
          </w:tcPr>
          <w:p w14:paraId="42E3D1E5" w14:textId="77777777" w:rsidR="00BC063C" w:rsidRPr="009D660E" w:rsidRDefault="00BC063C" w:rsidP="00BC063C">
            <w:pPr>
              <w:rPr>
                <w:rFonts w:eastAsia="Times New Roman"/>
                <w:b/>
                <w:bCs/>
                <w:lang w:val="it-IT"/>
              </w:rPr>
            </w:pPr>
          </w:p>
          <w:p w14:paraId="38F81EC6" w14:textId="77777777" w:rsidR="00BC063C" w:rsidRPr="001F151E" w:rsidRDefault="00BC063C" w:rsidP="00BC063C">
            <w:pPr>
              <w:rPr>
                <w:rFonts w:eastAsia="Times New Roman"/>
                <w:b/>
                <w:bCs/>
              </w:rPr>
            </w:pPr>
            <w:r w:rsidRPr="00902E78">
              <w:rPr>
                <w:rFonts w:eastAsia="Times New Roman"/>
                <w:b/>
                <w:bCs/>
              </w:rPr>
              <w:t xml:space="preserve">Partnerët </w:t>
            </w:r>
            <w:r>
              <w:rPr>
                <w:rFonts w:eastAsia="Times New Roman"/>
                <w:b/>
                <w:bCs/>
              </w:rPr>
              <w:t>për</w:t>
            </w:r>
            <w:r w:rsidRPr="00902E78">
              <w:rPr>
                <w:rFonts w:eastAsia="Times New Roman"/>
                <w:b/>
                <w:bCs/>
              </w:rPr>
              <w:t xml:space="preserve"> Zhvillimit</w:t>
            </w:r>
          </w:p>
        </w:tc>
      </w:tr>
      <w:tr w:rsidR="00BC063C" w:rsidRPr="001F151E" w14:paraId="0E16DC71" w14:textId="77777777" w:rsidTr="000C70FA">
        <w:tc>
          <w:tcPr>
            <w:tcW w:w="1271" w:type="dxa"/>
            <w:tcBorders>
              <w:top w:val="nil"/>
              <w:left w:val="nil"/>
              <w:bottom w:val="nil"/>
              <w:right w:val="nil"/>
            </w:tcBorders>
          </w:tcPr>
          <w:p w14:paraId="15168D51" w14:textId="77777777" w:rsidR="00BC063C" w:rsidRPr="001F151E" w:rsidRDefault="00BC063C" w:rsidP="00BC063C">
            <w:pPr>
              <w:rPr>
                <w:rFonts w:eastAsia="Times New Roman"/>
              </w:rPr>
            </w:pPr>
            <w:r>
              <w:rPr>
                <w:rFonts w:eastAsia="Times New Roman"/>
              </w:rPr>
              <w:t>BE</w:t>
            </w:r>
          </w:p>
        </w:tc>
        <w:tc>
          <w:tcPr>
            <w:tcW w:w="7745" w:type="dxa"/>
            <w:tcBorders>
              <w:top w:val="nil"/>
              <w:left w:val="nil"/>
              <w:bottom w:val="nil"/>
              <w:right w:val="nil"/>
            </w:tcBorders>
            <w:vAlign w:val="center"/>
          </w:tcPr>
          <w:p w14:paraId="1D382602" w14:textId="77777777" w:rsidR="00BC063C" w:rsidRPr="001F151E" w:rsidRDefault="00BC063C" w:rsidP="00BC063C">
            <w:pPr>
              <w:rPr>
                <w:rFonts w:eastAsia="Times New Roman"/>
              </w:rPr>
            </w:pPr>
            <w:r w:rsidRPr="00902E78">
              <w:rPr>
                <w:rFonts w:eastAsia="Times New Roman"/>
              </w:rPr>
              <w:t>Bashkimi Europian</w:t>
            </w:r>
          </w:p>
        </w:tc>
      </w:tr>
      <w:tr w:rsidR="00BC063C" w:rsidRPr="001F151E" w14:paraId="45376924" w14:textId="77777777" w:rsidTr="000C70FA">
        <w:tc>
          <w:tcPr>
            <w:tcW w:w="1271" w:type="dxa"/>
            <w:tcBorders>
              <w:top w:val="nil"/>
              <w:left w:val="nil"/>
              <w:bottom w:val="nil"/>
              <w:right w:val="nil"/>
            </w:tcBorders>
          </w:tcPr>
          <w:p w14:paraId="1E1399FE" w14:textId="77777777" w:rsidR="00BC063C" w:rsidRPr="001F151E" w:rsidRDefault="00BC063C" w:rsidP="00BC063C">
            <w:pPr>
              <w:rPr>
                <w:rFonts w:eastAsia="Times New Roman"/>
              </w:rPr>
            </w:pPr>
            <w:r>
              <w:rPr>
                <w:rFonts w:eastAsia="Times New Roman"/>
              </w:rPr>
              <w:t>FMN</w:t>
            </w:r>
          </w:p>
        </w:tc>
        <w:tc>
          <w:tcPr>
            <w:tcW w:w="7745" w:type="dxa"/>
            <w:tcBorders>
              <w:top w:val="nil"/>
              <w:left w:val="nil"/>
              <w:bottom w:val="nil"/>
              <w:right w:val="nil"/>
            </w:tcBorders>
            <w:vAlign w:val="center"/>
          </w:tcPr>
          <w:p w14:paraId="71076EED" w14:textId="77777777" w:rsidR="00BC063C" w:rsidRPr="001F151E" w:rsidRDefault="00BC063C" w:rsidP="00BC063C">
            <w:pPr>
              <w:rPr>
                <w:rFonts w:eastAsia="Times New Roman"/>
              </w:rPr>
            </w:pPr>
            <w:r w:rsidRPr="00902E78">
              <w:rPr>
                <w:rFonts w:eastAsia="Times New Roman"/>
              </w:rPr>
              <w:t>Fondi Monetar Ndërkombëtar</w:t>
            </w:r>
          </w:p>
        </w:tc>
      </w:tr>
      <w:tr w:rsidR="00BC063C" w:rsidRPr="001F151E" w14:paraId="5A8EDC9A" w14:textId="77777777" w:rsidTr="000C70FA">
        <w:tc>
          <w:tcPr>
            <w:tcW w:w="1271" w:type="dxa"/>
            <w:tcBorders>
              <w:top w:val="nil"/>
              <w:left w:val="nil"/>
              <w:bottom w:val="nil"/>
              <w:right w:val="nil"/>
            </w:tcBorders>
          </w:tcPr>
          <w:p w14:paraId="79C96B68" w14:textId="77777777" w:rsidR="00BC063C" w:rsidRPr="001F151E" w:rsidRDefault="00BC063C" w:rsidP="00BC063C">
            <w:pPr>
              <w:rPr>
                <w:rFonts w:eastAsia="Times New Roman"/>
              </w:rPr>
            </w:pPr>
            <w:r w:rsidRPr="001F151E">
              <w:rPr>
                <w:rFonts w:eastAsia="Times New Roman"/>
              </w:rPr>
              <w:t>SECO</w:t>
            </w:r>
          </w:p>
        </w:tc>
        <w:tc>
          <w:tcPr>
            <w:tcW w:w="7745" w:type="dxa"/>
            <w:tcBorders>
              <w:top w:val="nil"/>
              <w:left w:val="nil"/>
              <w:bottom w:val="nil"/>
              <w:right w:val="nil"/>
            </w:tcBorders>
            <w:vAlign w:val="center"/>
          </w:tcPr>
          <w:p w14:paraId="3F2A731C" w14:textId="77777777" w:rsidR="00BC063C" w:rsidRPr="001F151E" w:rsidRDefault="00BC063C" w:rsidP="00BC063C">
            <w:pPr>
              <w:rPr>
                <w:rFonts w:eastAsia="Times New Roman"/>
              </w:rPr>
            </w:pPr>
            <w:r w:rsidRPr="00902E78">
              <w:rPr>
                <w:rFonts w:eastAsia="Times New Roman"/>
              </w:rPr>
              <w:t>Sekretariati Shtetëror për Çështjet Ekonomike (Zvicër)</w:t>
            </w:r>
          </w:p>
        </w:tc>
      </w:tr>
      <w:tr w:rsidR="00BC063C" w:rsidRPr="001F151E" w14:paraId="6572CC9C" w14:textId="77777777" w:rsidTr="000C70FA">
        <w:tc>
          <w:tcPr>
            <w:tcW w:w="1271" w:type="dxa"/>
            <w:tcBorders>
              <w:top w:val="nil"/>
              <w:left w:val="nil"/>
              <w:bottom w:val="nil"/>
              <w:right w:val="nil"/>
            </w:tcBorders>
          </w:tcPr>
          <w:p w14:paraId="35B1DB35" w14:textId="77777777" w:rsidR="00BC063C" w:rsidRPr="001F151E" w:rsidRDefault="00BC063C" w:rsidP="00BC063C">
            <w:pPr>
              <w:rPr>
                <w:rFonts w:eastAsia="Times New Roman"/>
              </w:rPr>
            </w:pPr>
            <w:r w:rsidRPr="001F151E">
              <w:rPr>
                <w:rFonts w:eastAsia="Times New Roman"/>
              </w:rPr>
              <w:t>SIGMA</w:t>
            </w:r>
          </w:p>
        </w:tc>
        <w:tc>
          <w:tcPr>
            <w:tcW w:w="7745" w:type="dxa"/>
            <w:tcBorders>
              <w:top w:val="nil"/>
              <w:left w:val="nil"/>
              <w:bottom w:val="nil"/>
              <w:right w:val="nil"/>
            </w:tcBorders>
            <w:vAlign w:val="center"/>
          </w:tcPr>
          <w:p w14:paraId="0333633D" w14:textId="77777777" w:rsidR="00BC063C" w:rsidRPr="001F151E" w:rsidRDefault="00BC063C" w:rsidP="00BC063C">
            <w:pPr>
              <w:rPr>
                <w:rFonts w:eastAsia="Times New Roman"/>
                <w:color w:val="111111"/>
                <w:sz w:val="29"/>
                <w:szCs w:val="29"/>
              </w:rPr>
            </w:pPr>
            <w:r w:rsidRPr="00DA4A32">
              <w:rPr>
                <w:rFonts w:eastAsia="Times New Roman"/>
              </w:rPr>
              <w:t>Mbështetje për Përmirësim në Qeverisje dhe Menaxhim (OBZhE - BE)</w:t>
            </w:r>
          </w:p>
        </w:tc>
      </w:tr>
      <w:tr w:rsidR="00BC063C" w:rsidRPr="001F151E" w14:paraId="21999F9C" w14:textId="77777777" w:rsidTr="000C70FA">
        <w:tc>
          <w:tcPr>
            <w:tcW w:w="1271" w:type="dxa"/>
            <w:tcBorders>
              <w:top w:val="nil"/>
              <w:left w:val="nil"/>
              <w:bottom w:val="nil"/>
              <w:right w:val="nil"/>
            </w:tcBorders>
          </w:tcPr>
          <w:p w14:paraId="00207863" w14:textId="77777777" w:rsidR="00BC063C" w:rsidRPr="001F151E" w:rsidRDefault="00BC063C" w:rsidP="00BC063C">
            <w:pPr>
              <w:rPr>
                <w:rFonts w:eastAsia="Times New Roman"/>
              </w:rPr>
            </w:pPr>
            <w:r>
              <w:rPr>
                <w:rFonts w:eastAsia="Times New Roman"/>
              </w:rPr>
              <w:t>BB</w:t>
            </w:r>
          </w:p>
        </w:tc>
        <w:tc>
          <w:tcPr>
            <w:tcW w:w="7745" w:type="dxa"/>
            <w:tcBorders>
              <w:top w:val="nil"/>
              <w:left w:val="nil"/>
              <w:bottom w:val="nil"/>
              <w:right w:val="nil"/>
            </w:tcBorders>
            <w:vAlign w:val="center"/>
          </w:tcPr>
          <w:p w14:paraId="78B70DCE" w14:textId="77777777" w:rsidR="00BC063C" w:rsidRPr="001F151E" w:rsidRDefault="00BC063C" w:rsidP="00BC063C">
            <w:pPr>
              <w:rPr>
                <w:rFonts w:eastAsia="Times New Roman"/>
              </w:rPr>
            </w:pPr>
            <w:r w:rsidRPr="00933352">
              <w:rPr>
                <w:rFonts w:eastAsia="Times New Roman"/>
              </w:rPr>
              <w:t>Banka Boterore</w:t>
            </w:r>
          </w:p>
        </w:tc>
      </w:tr>
      <w:tr w:rsidR="00094093" w:rsidRPr="001F151E" w14:paraId="7E056BD8" w14:textId="77777777" w:rsidTr="000C70FA">
        <w:tc>
          <w:tcPr>
            <w:tcW w:w="1271" w:type="dxa"/>
            <w:tcBorders>
              <w:top w:val="nil"/>
              <w:left w:val="nil"/>
              <w:bottom w:val="nil"/>
              <w:right w:val="nil"/>
            </w:tcBorders>
          </w:tcPr>
          <w:p w14:paraId="5FE289F0" w14:textId="09EC268A" w:rsidR="00094093" w:rsidRDefault="00094093" w:rsidP="00BC063C">
            <w:pPr>
              <w:rPr>
                <w:rFonts w:eastAsia="Times New Roman"/>
              </w:rPr>
            </w:pPr>
            <w:r>
              <w:rPr>
                <w:rFonts w:eastAsia="Times New Roman"/>
              </w:rPr>
              <w:t>UN</w:t>
            </w:r>
          </w:p>
        </w:tc>
        <w:tc>
          <w:tcPr>
            <w:tcW w:w="7745" w:type="dxa"/>
            <w:tcBorders>
              <w:top w:val="nil"/>
              <w:left w:val="nil"/>
              <w:bottom w:val="nil"/>
              <w:right w:val="nil"/>
            </w:tcBorders>
            <w:vAlign w:val="center"/>
          </w:tcPr>
          <w:p w14:paraId="10D2B20E" w14:textId="6005E6CA" w:rsidR="00094093" w:rsidRPr="00933352" w:rsidRDefault="00094093" w:rsidP="00BC063C">
            <w:pPr>
              <w:rPr>
                <w:rFonts w:eastAsia="Times New Roman"/>
              </w:rPr>
            </w:pPr>
            <w:r>
              <w:rPr>
                <w:rFonts w:eastAsia="Times New Roman"/>
              </w:rPr>
              <w:t>United Nations</w:t>
            </w:r>
          </w:p>
        </w:tc>
      </w:tr>
    </w:tbl>
    <w:p w14:paraId="1D8CEAA2" w14:textId="77777777" w:rsidR="000F0526" w:rsidRPr="001F151E" w:rsidRDefault="000F0526" w:rsidP="000F0526">
      <w:pPr>
        <w:rPr>
          <w:lang w:val="en-GB"/>
        </w:rPr>
      </w:pPr>
    </w:p>
    <w:p w14:paraId="4211FCDA" w14:textId="77777777" w:rsidR="000F0526" w:rsidRPr="001F151E" w:rsidRDefault="000F0526" w:rsidP="000F0526">
      <w:pPr>
        <w:rPr>
          <w:lang w:val="en-GB"/>
        </w:rPr>
      </w:pPr>
    </w:p>
    <w:p w14:paraId="471E1348" w14:textId="77777777" w:rsidR="000F0526" w:rsidRPr="001F151E" w:rsidRDefault="000F0526" w:rsidP="000F0526">
      <w:pPr>
        <w:spacing w:after="160" w:line="259" w:lineRule="auto"/>
        <w:rPr>
          <w:lang w:val="en-GB"/>
        </w:rPr>
      </w:pPr>
      <w:r w:rsidRPr="001F151E">
        <w:rPr>
          <w:lang w:val="en-GB"/>
        </w:rPr>
        <w:br w:type="page"/>
      </w:r>
    </w:p>
    <w:p w14:paraId="67D6940F" w14:textId="77777777" w:rsidR="000F0526" w:rsidRPr="001F151E" w:rsidRDefault="000F0526" w:rsidP="000F0526">
      <w:pPr>
        <w:pStyle w:val="Titel"/>
        <w:numPr>
          <w:ilvl w:val="0"/>
          <w:numId w:val="0"/>
        </w:numPr>
        <w:ind w:left="432"/>
        <w:rPr>
          <w:lang w:val="en-GB"/>
        </w:rPr>
      </w:pPr>
      <w:bookmarkStart w:id="68" w:name="_Toc161748845"/>
      <w:r w:rsidRPr="0054521C">
        <w:rPr>
          <w:lang w:val="en-GB"/>
        </w:rPr>
        <w:t>Shtojca 2 Vështrim i përgjithshëm i mbështetjes së vazhdueshme dhe të planifikuar nga partnerët e zhvillimit</w:t>
      </w:r>
      <w:bookmarkEnd w:id="68"/>
      <w:r w:rsidRPr="001F151E">
        <w:rPr>
          <w:lang w:val="en-GB"/>
        </w:rPr>
        <w:t xml:space="preserve"> </w:t>
      </w:r>
    </w:p>
    <w:p w14:paraId="2DFAFAA9" w14:textId="77777777" w:rsidR="000F0526" w:rsidRPr="001F151E" w:rsidRDefault="000F0526" w:rsidP="000F0526">
      <w:pPr>
        <w:rPr>
          <w:lang w:val="en-GB"/>
        </w:rPr>
      </w:pPr>
    </w:p>
    <w:p w14:paraId="106EFEDD" w14:textId="77777777" w:rsidR="000F0526" w:rsidRPr="001F151E" w:rsidRDefault="000F0526" w:rsidP="000F0526">
      <w:pPr>
        <w:rPr>
          <w:lang w:val="en-GB"/>
        </w:rPr>
      </w:pPr>
    </w:p>
    <w:p w14:paraId="0D34131E" w14:textId="77777777" w:rsidR="000F0526" w:rsidRPr="001F151E" w:rsidRDefault="000F0526" w:rsidP="000F0526">
      <w:pPr>
        <w:rPr>
          <w:lang w:val="en-GB"/>
        </w:rPr>
      </w:pPr>
    </w:p>
    <w:tbl>
      <w:tblPr>
        <w:tblStyle w:val="TableGrid"/>
        <w:tblW w:w="0" w:type="auto"/>
        <w:tblBorders>
          <w:left w:val="none" w:sz="0" w:space="0" w:color="auto"/>
          <w:right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2547"/>
        <w:gridCol w:w="6469"/>
      </w:tblGrid>
      <w:tr w:rsidR="000F0526" w:rsidRPr="0059094E" w14:paraId="6457012B" w14:textId="77777777" w:rsidTr="000C70FA">
        <w:tc>
          <w:tcPr>
            <w:tcW w:w="2547" w:type="dxa"/>
          </w:tcPr>
          <w:p w14:paraId="21CE2D88" w14:textId="7771BA4E" w:rsidR="000F0526" w:rsidRPr="001F151E" w:rsidRDefault="000F0526" w:rsidP="00CD7428">
            <w:pPr>
              <w:pStyle w:val="T-number"/>
              <w:numPr>
                <w:ilvl w:val="0"/>
                <w:numId w:val="102"/>
              </w:numPr>
            </w:pPr>
            <w:r w:rsidRPr="0054521C">
              <w:rPr>
                <w:lang w:val="it-IT"/>
              </w:rPr>
              <w:t>PEFA në nivel kombëtar</w:t>
            </w:r>
          </w:p>
        </w:tc>
        <w:tc>
          <w:tcPr>
            <w:tcW w:w="6469" w:type="dxa"/>
          </w:tcPr>
          <w:p w14:paraId="7DB586C1" w14:textId="77777777" w:rsidR="000F0526" w:rsidRPr="001F151E" w:rsidRDefault="000F0526" w:rsidP="000C70FA">
            <w:pPr>
              <w:pStyle w:val="T-normal"/>
            </w:pPr>
            <w:r w:rsidRPr="0054521C">
              <w:t>Partner: BE,</w:t>
            </w:r>
          </w:p>
          <w:p w14:paraId="37FF9DD7" w14:textId="77777777" w:rsidR="000F0526" w:rsidRPr="009D660E" w:rsidRDefault="000F0526" w:rsidP="000C70FA">
            <w:pPr>
              <w:pStyle w:val="T-normal"/>
              <w:rPr>
                <w:lang w:val="it-IT"/>
              </w:rPr>
            </w:pPr>
            <w:r w:rsidRPr="0054521C">
              <w:rPr>
                <w:lang w:val="it-IT"/>
              </w:rPr>
              <w:t>Periudha e zbatimit: 2024 (i planifikuar)</w:t>
            </w:r>
          </w:p>
        </w:tc>
      </w:tr>
      <w:tr w:rsidR="000F0526" w:rsidRPr="0059094E" w14:paraId="366A2535" w14:textId="77777777" w:rsidTr="000C70FA">
        <w:tc>
          <w:tcPr>
            <w:tcW w:w="2547" w:type="dxa"/>
          </w:tcPr>
          <w:p w14:paraId="78D4B412" w14:textId="57F8FF33" w:rsidR="000F0526" w:rsidRPr="009D660E" w:rsidRDefault="000F0526" w:rsidP="00CD7428">
            <w:pPr>
              <w:pStyle w:val="T-number"/>
              <w:numPr>
                <w:ilvl w:val="0"/>
                <w:numId w:val="102"/>
              </w:numPr>
              <w:rPr>
                <w:lang w:val="it-IT"/>
              </w:rPr>
            </w:pPr>
            <w:r w:rsidRPr="0054521C">
              <w:rPr>
                <w:lang w:val="it-IT"/>
              </w:rPr>
              <w:t xml:space="preserve">PEFA </w:t>
            </w:r>
            <w:r w:rsidR="00C0550D">
              <w:rPr>
                <w:lang w:val="it-IT"/>
              </w:rPr>
              <w:t>vendore</w:t>
            </w:r>
            <w:r w:rsidRPr="0054521C">
              <w:rPr>
                <w:lang w:val="it-IT"/>
              </w:rPr>
              <w:t xml:space="preserve"> në pesë </w:t>
            </w:r>
            <w:r>
              <w:rPr>
                <w:lang w:val="it-IT"/>
              </w:rPr>
              <w:t>bashki</w:t>
            </w:r>
          </w:p>
        </w:tc>
        <w:tc>
          <w:tcPr>
            <w:tcW w:w="6469" w:type="dxa"/>
          </w:tcPr>
          <w:p w14:paraId="130D147F" w14:textId="77777777" w:rsidR="000F0526" w:rsidRPr="0054521C" w:rsidRDefault="000F0526" w:rsidP="000C70FA">
            <w:pPr>
              <w:pStyle w:val="T-normal"/>
              <w:rPr>
                <w:lang w:val="it-IT"/>
              </w:rPr>
            </w:pPr>
            <w:r w:rsidRPr="0054521C">
              <w:rPr>
                <w:lang w:val="it-IT"/>
              </w:rPr>
              <w:t>Partner: SECO</w:t>
            </w:r>
          </w:p>
          <w:p w14:paraId="77D80CA6" w14:textId="77777777" w:rsidR="000F0526" w:rsidRPr="009D660E" w:rsidRDefault="000F0526" w:rsidP="000C70FA">
            <w:pPr>
              <w:pStyle w:val="T-normal"/>
              <w:rPr>
                <w:lang w:val="it-IT"/>
              </w:rPr>
            </w:pPr>
            <w:r w:rsidRPr="0054521C">
              <w:rPr>
                <w:lang w:val="it-IT"/>
              </w:rPr>
              <w:t>Periudha e zbatimit: 2024 (i planifikuar)</w:t>
            </w:r>
          </w:p>
        </w:tc>
      </w:tr>
      <w:tr w:rsidR="000F0526" w:rsidRPr="0059094E" w14:paraId="3F425F13" w14:textId="77777777" w:rsidTr="000C70FA">
        <w:tc>
          <w:tcPr>
            <w:tcW w:w="2547" w:type="dxa"/>
          </w:tcPr>
          <w:p w14:paraId="2122211F" w14:textId="77777777" w:rsidR="000F0526" w:rsidRPr="001F151E" w:rsidRDefault="000F0526" w:rsidP="00CD7428">
            <w:pPr>
              <w:pStyle w:val="T-number"/>
              <w:numPr>
                <w:ilvl w:val="0"/>
                <w:numId w:val="102"/>
              </w:numPr>
            </w:pPr>
            <w:r w:rsidRPr="0054521C">
              <w:t>SIGMA Parimet e Vlerësimit të Administratës Publike</w:t>
            </w:r>
          </w:p>
        </w:tc>
        <w:tc>
          <w:tcPr>
            <w:tcW w:w="6469" w:type="dxa"/>
          </w:tcPr>
          <w:p w14:paraId="355D64F3" w14:textId="77777777" w:rsidR="000F0526" w:rsidRPr="0054521C" w:rsidRDefault="000F0526" w:rsidP="000C70FA">
            <w:pPr>
              <w:pStyle w:val="T-normal"/>
              <w:rPr>
                <w:lang w:val="it-IT"/>
              </w:rPr>
            </w:pPr>
            <w:r w:rsidRPr="0054521C">
              <w:rPr>
                <w:lang w:val="it-IT"/>
              </w:rPr>
              <w:t>Partner: SIGMA</w:t>
            </w:r>
          </w:p>
          <w:p w14:paraId="5AF68B14" w14:textId="77777777" w:rsidR="000F0526" w:rsidRPr="009D660E" w:rsidRDefault="000F0526" w:rsidP="000C70FA">
            <w:pPr>
              <w:pStyle w:val="T-normal"/>
              <w:rPr>
                <w:lang w:val="it-IT"/>
              </w:rPr>
            </w:pPr>
            <w:r w:rsidRPr="0054521C">
              <w:rPr>
                <w:lang w:val="it-IT"/>
              </w:rPr>
              <w:t>Periudha e zbatimit: 2024 (i planifikuar)</w:t>
            </w:r>
          </w:p>
        </w:tc>
      </w:tr>
      <w:tr w:rsidR="000F0526" w:rsidRPr="0059094E" w14:paraId="0D887C3C" w14:textId="77777777" w:rsidTr="000C70FA">
        <w:tc>
          <w:tcPr>
            <w:tcW w:w="2547" w:type="dxa"/>
          </w:tcPr>
          <w:p w14:paraId="70462973" w14:textId="77777777" w:rsidR="000F0526" w:rsidRPr="001F151E" w:rsidRDefault="000F0526" w:rsidP="00CD7428">
            <w:pPr>
              <w:pStyle w:val="T-number"/>
              <w:numPr>
                <w:ilvl w:val="0"/>
                <w:numId w:val="102"/>
              </w:numPr>
            </w:pPr>
            <w:r w:rsidRPr="00577545">
              <w:t>Asistencë Teknike e BE-së për Qeverisje</w:t>
            </w:r>
            <w:r>
              <w:t>n</w:t>
            </w:r>
            <w:r w:rsidRPr="00577545">
              <w:t xml:space="preserve"> </w:t>
            </w:r>
            <w:r>
              <w:t>e</w:t>
            </w:r>
            <w:r w:rsidRPr="00577545">
              <w:t xml:space="preserve"> Mirë</w:t>
            </w:r>
          </w:p>
        </w:tc>
        <w:tc>
          <w:tcPr>
            <w:tcW w:w="6469" w:type="dxa"/>
          </w:tcPr>
          <w:p w14:paraId="4EB120E7" w14:textId="77777777" w:rsidR="000F0526" w:rsidRPr="001F151E" w:rsidRDefault="000F0526" w:rsidP="000C70FA">
            <w:pPr>
              <w:pStyle w:val="T-normal"/>
            </w:pPr>
            <w:r w:rsidRPr="001F151E">
              <w:t xml:space="preserve">Partner: </w:t>
            </w:r>
            <w:r>
              <w:t>BE</w:t>
            </w:r>
          </w:p>
          <w:p w14:paraId="7C482F22" w14:textId="77777777" w:rsidR="000F0526" w:rsidRPr="00577545" w:rsidRDefault="000F0526" w:rsidP="000C70FA">
            <w:pPr>
              <w:pStyle w:val="T-normal"/>
              <w:rPr>
                <w:lang w:val="it-IT"/>
              </w:rPr>
            </w:pPr>
            <w:r w:rsidRPr="00577545">
              <w:rPr>
                <w:lang w:val="it-IT"/>
              </w:rPr>
              <w:t>Periudha e zbatimit: 2023-2027 (në vazhdimësi)</w:t>
            </w:r>
          </w:p>
          <w:p w14:paraId="784516CC" w14:textId="77777777" w:rsidR="000F0526" w:rsidRPr="009D660E" w:rsidRDefault="000F0526" w:rsidP="000C70FA">
            <w:pPr>
              <w:pStyle w:val="T-normal"/>
              <w:rPr>
                <w:lang w:val="it-IT"/>
              </w:rPr>
            </w:pPr>
            <w:r w:rsidRPr="00577545">
              <w:rPr>
                <w:lang w:val="it-IT"/>
              </w:rPr>
              <w:t>Fushëveprimi: Mbështetja e Qeverisë me reformat në Administratën Publike, Kundër Korrupsionit, Qeverisjen Vendore dhe Menaxhimin e Financave Publike.</w:t>
            </w:r>
          </w:p>
        </w:tc>
      </w:tr>
      <w:tr w:rsidR="000F0526" w:rsidRPr="001F151E" w14:paraId="50B71B82" w14:textId="77777777" w:rsidTr="000C70FA">
        <w:trPr>
          <w:trHeight w:val="1805"/>
        </w:trPr>
        <w:tc>
          <w:tcPr>
            <w:tcW w:w="2547" w:type="dxa"/>
          </w:tcPr>
          <w:p w14:paraId="4812C178" w14:textId="77777777" w:rsidR="000F0526" w:rsidRPr="001F151E" w:rsidRDefault="000F0526" w:rsidP="00CD7428">
            <w:pPr>
              <w:pStyle w:val="T-number"/>
              <w:numPr>
                <w:ilvl w:val="0"/>
                <w:numId w:val="102"/>
              </w:numPr>
            </w:pPr>
            <w:r w:rsidRPr="00577545">
              <w:t>Forcimi i qeverisjes fiskale në Ballkanin Perëndimor</w:t>
            </w:r>
          </w:p>
        </w:tc>
        <w:tc>
          <w:tcPr>
            <w:tcW w:w="6469" w:type="dxa"/>
          </w:tcPr>
          <w:p w14:paraId="1294F0DD" w14:textId="77777777" w:rsidR="000F0526" w:rsidRPr="001F151E" w:rsidRDefault="000F0526" w:rsidP="000C70FA">
            <w:pPr>
              <w:pStyle w:val="T-normal"/>
              <w:jc w:val="both"/>
            </w:pPr>
            <w:r w:rsidRPr="001F151E">
              <w:t xml:space="preserve">Partner: </w:t>
            </w:r>
            <w:r w:rsidRPr="00577545">
              <w:t>Banka Botërore (fondi i mirëbesimit), BE (financimi)</w:t>
            </w:r>
          </w:p>
          <w:p w14:paraId="76E900B5" w14:textId="77777777" w:rsidR="000F0526" w:rsidRPr="001F151E" w:rsidRDefault="000F0526" w:rsidP="000C70FA">
            <w:pPr>
              <w:pStyle w:val="T-normal"/>
              <w:jc w:val="both"/>
            </w:pPr>
            <w:r w:rsidRPr="00577545">
              <w:t>Periudha e zbatimit:</w:t>
            </w:r>
          </w:p>
          <w:p w14:paraId="63CD2952" w14:textId="76092F7F" w:rsidR="000F0526" w:rsidRPr="001F151E" w:rsidRDefault="000F0526" w:rsidP="000C70FA">
            <w:pPr>
              <w:pStyle w:val="T-normal"/>
              <w:jc w:val="both"/>
            </w:pPr>
            <w:r w:rsidRPr="00577545">
              <w:t>Fushëveprimi</w:t>
            </w:r>
            <w:r w:rsidRPr="001F151E">
              <w:t xml:space="preserve">: </w:t>
            </w:r>
            <w:r w:rsidRPr="00577545">
              <w:t xml:space="preserve">Komponenti I fokusohet në forcimin e </w:t>
            </w:r>
            <w:r w:rsidR="00C0550D">
              <w:t>kuadrit</w:t>
            </w:r>
            <w:r w:rsidRPr="00577545">
              <w:t xml:space="preserve"> të përgjegjësisë fiskale përmes</w:t>
            </w:r>
            <w:r>
              <w:t xml:space="preserve"> </w:t>
            </w:r>
            <w:r w:rsidRPr="001F151E">
              <w:t xml:space="preserve">(i) </w:t>
            </w:r>
            <w:r w:rsidRPr="00577545">
              <w:t>përmirësimi</w:t>
            </w:r>
            <w:r w:rsidR="00C0550D">
              <w:t>t të</w:t>
            </w:r>
            <w:r w:rsidRPr="00577545">
              <w:t xml:space="preserve"> </w:t>
            </w:r>
            <w:r w:rsidR="00C0550D">
              <w:t>kuadrit</w:t>
            </w:r>
            <w:r w:rsidRPr="00577545">
              <w:t xml:space="preserve"> të përgjegjësisë fiskale (rregullat dhe institucionet)</w:t>
            </w:r>
            <w:r>
              <w:t xml:space="preserve"> </w:t>
            </w:r>
            <w:r w:rsidRPr="00577545">
              <w:t>dhe (ii) Modelimi dhe parashikimi makroekonomik</w:t>
            </w:r>
            <w:r>
              <w:t xml:space="preserve">. </w:t>
            </w:r>
            <w:r w:rsidRPr="00577545">
              <w:t>Komponenti II fokusohet në rritjen e qeverisjes së infrastrukturës përmes forcimit të menaxhimit të investimeve publike (</w:t>
            </w:r>
            <w:r w:rsidR="00301A97">
              <w:t>MIP</w:t>
            </w:r>
            <w:r w:rsidRPr="00577545">
              <w:t>) dhe menaxhimit të aseteve publike (</w:t>
            </w:r>
            <w:r w:rsidR="00301A97">
              <w:t>MAP</w:t>
            </w:r>
            <w:r w:rsidRPr="00577545">
              <w:t>) me fokus sektorial dhe institucional përmes</w:t>
            </w:r>
            <w:r w:rsidRPr="001F151E">
              <w:t xml:space="preserve"> (i) </w:t>
            </w:r>
            <w:r w:rsidRPr="00577545">
              <w:t>Mbështetj</w:t>
            </w:r>
            <w:r w:rsidR="00301A97">
              <w:t>es së</w:t>
            </w:r>
            <w:r w:rsidRPr="00577545">
              <w:t xml:space="preserve"> reformave të qeverisjes së infrastrukturës të bazuara në prova dhe rezistente ndaj klimës dhe</w:t>
            </w:r>
            <w:r w:rsidRPr="001F151E">
              <w:t xml:space="preserve"> (ii) </w:t>
            </w:r>
            <w:r w:rsidRPr="00577545">
              <w:t>Forcimi</w:t>
            </w:r>
            <w:r w:rsidR="00301A97">
              <w:t>t</w:t>
            </w:r>
            <w:r w:rsidRPr="00577545">
              <w:t xml:space="preserve"> institucional i </w:t>
            </w:r>
            <w:r w:rsidR="00301A97">
              <w:t>MAIP</w:t>
            </w:r>
            <w:r w:rsidRPr="00577545">
              <w:t xml:space="preserve"> me fokus në infrastrukturë, ndërmarrjet shtetërore (NSH) dhe qeveritë </w:t>
            </w:r>
            <w:r w:rsidR="00301A97">
              <w:t>vendore</w:t>
            </w:r>
            <w:r w:rsidRPr="00577545">
              <w:t xml:space="preserve"> (</w:t>
            </w:r>
            <w:r w:rsidR="00301A97">
              <w:t>QV</w:t>
            </w:r>
            <w:r w:rsidRPr="00577545">
              <w:t>)</w:t>
            </w:r>
            <w:r w:rsidR="00301A97">
              <w:t>.</w:t>
            </w:r>
          </w:p>
        </w:tc>
      </w:tr>
      <w:tr w:rsidR="000F0526" w:rsidRPr="0059094E" w14:paraId="043D0A7C" w14:textId="77777777" w:rsidTr="000C70FA">
        <w:tc>
          <w:tcPr>
            <w:tcW w:w="2547" w:type="dxa"/>
          </w:tcPr>
          <w:p w14:paraId="1BA73993" w14:textId="77777777" w:rsidR="000F0526" w:rsidRPr="009D660E" w:rsidRDefault="000F0526" w:rsidP="00CD7428">
            <w:pPr>
              <w:pStyle w:val="T-number"/>
              <w:numPr>
                <w:ilvl w:val="0"/>
                <w:numId w:val="102"/>
              </w:numPr>
              <w:rPr>
                <w:lang w:val="it-IT"/>
              </w:rPr>
            </w:pPr>
            <w:r w:rsidRPr="00785542">
              <w:rPr>
                <w:lang w:val="it-IT"/>
              </w:rPr>
              <w:t>Reforma fiskale në Evropën Juglindore</w:t>
            </w:r>
          </w:p>
        </w:tc>
        <w:tc>
          <w:tcPr>
            <w:tcW w:w="6469" w:type="dxa"/>
          </w:tcPr>
          <w:p w14:paraId="79586CBA" w14:textId="77777777" w:rsidR="000F0526" w:rsidRPr="008672A1" w:rsidRDefault="000F0526" w:rsidP="000C70FA">
            <w:pPr>
              <w:pStyle w:val="T-normal"/>
              <w:jc w:val="both"/>
              <w:rPr>
                <w:lang w:val="it-IT"/>
              </w:rPr>
            </w:pPr>
            <w:r w:rsidRPr="008672A1">
              <w:rPr>
                <w:lang w:val="it-IT"/>
              </w:rPr>
              <w:t>Partner: FMN (udhëheqës), BE, SECO</w:t>
            </w:r>
          </w:p>
          <w:p w14:paraId="505021D7" w14:textId="77777777" w:rsidR="000F0526" w:rsidRPr="00785542" w:rsidRDefault="000F0526" w:rsidP="000C70FA">
            <w:pPr>
              <w:pStyle w:val="T-normal"/>
              <w:jc w:val="both"/>
              <w:rPr>
                <w:lang w:val="it-IT"/>
              </w:rPr>
            </w:pPr>
            <w:r w:rsidRPr="00785542">
              <w:rPr>
                <w:lang w:val="it-IT"/>
              </w:rPr>
              <w:t>Periudha e zbatimit: -2026 (faza e dytë, në vazhdim)</w:t>
            </w:r>
          </w:p>
          <w:p w14:paraId="2D2F2221" w14:textId="5CBF2981" w:rsidR="000F0526" w:rsidRPr="009D660E" w:rsidRDefault="000F0526" w:rsidP="000C70FA">
            <w:pPr>
              <w:pStyle w:val="T-normal"/>
              <w:jc w:val="both"/>
              <w:rPr>
                <w:lang w:val="it-IT"/>
              </w:rPr>
            </w:pPr>
            <w:r w:rsidRPr="00785542">
              <w:rPr>
                <w:lang w:val="it-IT"/>
              </w:rPr>
              <w:t xml:space="preserve">Fushëveprimi: Mbështetje për pesë vendet e Ballkanit Perëndimor në të ardhura, </w:t>
            </w:r>
            <w:r w:rsidR="00301A97">
              <w:rPr>
                <w:lang w:val="it-IT"/>
              </w:rPr>
              <w:t>MFP</w:t>
            </w:r>
            <w:r w:rsidRPr="00785542">
              <w:rPr>
                <w:lang w:val="it-IT"/>
              </w:rPr>
              <w:t>. Komponenti i MFP: Menaxhimi i Riskut Fiskal, Ndërmarrjet Shtetërore dhe Parashikimi i Parasë</w:t>
            </w:r>
            <w:r w:rsidR="00301A97">
              <w:rPr>
                <w:lang w:val="it-IT"/>
              </w:rPr>
              <w:t xml:space="preserve"> së gatshme</w:t>
            </w:r>
            <w:r w:rsidRPr="00785542">
              <w:rPr>
                <w:lang w:val="it-IT"/>
              </w:rPr>
              <w:t>.</w:t>
            </w:r>
          </w:p>
        </w:tc>
      </w:tr>
      <w:tr w:rsidR="000F0526" w:rsidRPr="001F151E" w14:paraId="020D254B" w14:textId="77777777" w:rsidTr="000C70FA">
        <w:tc>
          <w:tcPr>
            <w:tcW w:w="2547" w:type="dxa"/>
          </w:tcPr>
          <w:p w14:paraId="34C7D6E4" w14:textId="77777777" w:rsidR="000F0526" w:rsidRPr="009D660E" w:rsidRDefault="000F0526" w:rsidP="00CD7428">
            <w:pPr>
              <w:pStyle w:val="T-number"/>
              <w:numPr>
                <w:ilvl w:val="0"/>
                <w:numId w:val="102"/>
              </w:numPr>
              <w:rPr>
                <w:lang w:val="it-IT"/>
              </w:rPr>
            </w:pPr>
            <w:r w:rsidRPr="00785542">
              <w:rPr>
                <w:lang w:val="it-IT"/>
              </w:rPr>
              <w:t>Menaxhimi i r</w:t>
            </w:r>
            <w:r>
              <w:rPr>
                <w:lang w:val="it-IT"/>
              </w:rPr>
              <w:t>iskut</w:t>
            </w:r>
            <w:r w:rsidRPr="00785542">
              <w:rPr>
                <w:lang w:val="it-IT"/>
              </w:rPr>
              <w:t>t të borxhit të qeverisë</w:t>
            </w:r>
          </w:p>
        </w:tc>
        <w:tc>
          <w:tcPr>
            <w:tcW w:w="6469" w:type="dxa"/>
          </w:tcPr>
          <w:p w14:paraId="718BCA3B" w14:textId="77777777" w:rsidR="000F0526" w:rsidRPr="00785542" w:rsidRDefault="000F0526" w:rsidP="000C70FA">
            <w:pPr>
              <w:pStyle w:val="T-normal"/>
              <w:jc w:val="both"/>
              <w:rPr>
                <w:lang w:val="it-IT"/>
              </w:rPr>
            </w:pPr>
            <w:r w:rsidRPr="00785542">
              <w:rPr>
                <w:lang w:val="it-IT"/>
              </w:rPr>
              <w:t>Partner: BB (lead), SECO.</w:t>
            </w:r>
          </w:p>
          <w:p w14:paraId="1ADA3EBC" w14:textId="77777777" w:rsidR="000F0526" w:rsidRPr="00785542" w:rsidRDefault="000F0526" w:rsidP="000C70FA">
            <w:pPr>
              <w:pStyle w:val="T-normal"/>
              <w:jc w:val="both"/>
              <w:rPr>
                <w:lang w:val="it-IT"/>
              </w:rPr>
            </w:pPr>
            <w:r w:rsidRPr="00785542">
              <w:rPr>
                <w:lang w:val="it-IT"/>
              </w:rPr>
              <w:t>Periudha e zbatimit:</w:t>
            </w:r>
          </w:p>
          <w:p w14:paraId="41A56B2B" w14:textId="6EB77557" w:rsidR="000F0526" w:rsidRPr="001F151E" w:rsidRDefault="000F0526" w:rsidP="000C70FA">
            <w:pPr>
              <w:pStyle w:val="T-normal"/>
              <w:jc w:val="both"/>
            </w:pPr>
            <w:r>
              <w:t>Fushëveprimi</w:t>
            </w:r>
            <w:r w:rsidRPr="001F151E">
              <w:t xml:space="preserve">: </w:t>
            </w:r>
            <w:r w:rsidRPr="00785542">
              <w:t xml:space="preserve">Zhvillimi i tregut financiar/instrumenteve të borxhit, Strategjia Afatmesme e </w:t>
            </w:r>
            <w:r w:rsidR="00301A97">
              <w:t>Borxhit</w:t>
            </w:r>
            <w:r w:rsidRPr="00785542">
              <w:t>, Ankandet.</w:t>
            </w:r>
          </w:p>
        </w:tc>
      </w:tr>
      <w:tr w:rsidR="000F0526" w:rsidRPr="0059094E" w14:paraId="4D63454B" w14:textId="77777777" w:rsidTr="000C70FA">
        <w:tc>
          <w:tcPr>
            <w:tcW w:w="2547" w:type="dxa"/>
          </w:tcPr>
          <w:p w14:paraId="4D5C6B76" w14:textId="1D9A11E1" w:rsidR="000F0526" w:rsidRPr="001F151E" w:rsidRDefault="00301A97" w:rsidP="00CD7428">
            <w:pPr>
              <w:pStyle w:val="T-number"/>
              <w:numPr>
                <w:ilvl w:val="0"/>
                <w:numId w:val="102"/>
              </w:numPr>
            </w:pPr>
            <w:r>
              <w:t>MFP</w:t>
            </w:r>
            <w:r w:rsidR="000F0526" w:rsidRPr="00143842">
              <w:t xml:space="preserve"> lokale</w:t>
            </w:r>
          </w:p>
        </w:tc>
        <w:tc>
          <w:tcPr>
            <w:tcW w:w="6469" w:type="dxa"/>
          </w:tcPr>
          <w:p w14:paraId="6D937711" w14:textId="77777777" w:rsidR="000F0526" w:rsidRPr="001F151E" w:rsidRDefault="000F0526" w:rsidP="000C70FA">
            <w:pPr>
              <w:pStyle w:val="T-normal"/>
              <w:jc w:val="both"/>
            </w:pPr>
            <w:r w:rsidRPr="001F151E">
              <w:t xml:space="preserve">Partner: SECO. </w:t>
            </w:r>
          </w:p>
          <w:p w14:paraId="4D4BB8EB" w14:textId="77777777" w:rsidR="000F0526" w:rsidRPr="00785542" w:rsidRDefault="000F0526" w:rsidP="000C70FA">
            <w:pPr>
              <w:pStyle w:val="T-normal"/>
              <w:jc w:val="both"/>
              <w:rPr>
                <w:lang w:val="it-IT"/>
              </w:rPr>
            </w:pPr>
            <w:r w:rsidRPr="00785542">
              <w:rPr>
                <w:lang w:val="it-IT"/>
              </w:rPr>
              <w:t>Periudha e zbatimit: 2024-2028 (faza e dytë, e planifikuar)</w:t>
            </w:r>
          </w:p>
          <w:p w14:paraId="6D01DF04" w14:textId="77777777" w:rsidR="000F0526" w:rsidRPr="00785542" w:rsidRDefault="000F0526" w:rsidP="000C70FA">
            <w:pPr>
              <w:pStyle w:val="T-normal"/>
              <w:jc w:val="both"/>
              <w:rPr>
                <w:lang w:val="it-IT"/>
              </w:rPr>
            </w:pPr>
            <w:r w:rsidRPr="00785542">
              <w:rPr>
                <w:lang w:val="it-IT"/>
              </w:rPr>
              <w:t>Shuma:</w:t>
            </w:r>
          </w:p>
          <w:p w14:paraId="7BD59FE0" w14:textId="77777777" w:rsidR="000F0526" w:rsidRPr="009D660E" w:rsidRDefault="000F0526" w:rsidP="000C70FA">
            <w:pPr>
              <w:pStyle w:val="T-normal"/>
              <w:jc w:val="both"/>
              <w:rPr>
                <w:lang w:val="it-IT"/>
              </w:rPr>
            </w:pPr>
            <w:r w:rsidRPr="00785542">
              <w:rPr>
                <w:lang w:val="it-IT"/>
              </w:rPr>
              <w:t>Fushëveprimi: Mbështetja e komunave në përmirësimin e planifikimit dhe ekzekutimit të buxhetit, mobilizimin e të hyrave dhe KBFP.</w:t>
            </w:r>
          </w:p>
        </w:tc>
      </w:tr>
      <w:tr w:rsidR="000F0526" w:rsidRPr="001F151E" w14:paraId="3D1A5832" w14:textId="77777777" w:rsidTr="000C70FA">
        <w:tc>
          <w:tcPr>
            <w:tcW w:w="2547" w:type="dxa"/>
          </w:tcPr>
          <w:p w14:paraId="74661DE4" w14:textId="02DCCFF7" w:rsidR="000F0526" w:rsidRPr="001F151E" w:rsidRDefault="00301A97" w:rsidP="00CD7428">
            <w:pPr>
              <w:pStyle w:val="T-number"/>
              <w:numPr>
                <w:ilvl w:val="0"/>
                <w:numId w:val="102"/>
              </w:numPr>
            </w:pPr>
            <w:r>
              <w:rPr>
                <w:lang w:val="it-IT"/>
              </w:rPr>
              <w:t>SIMFSh</w:t>
            </w:r>
            <w:r w:rsidR="000F0526" w:rsidRPr="00785542">
              <w:rPr>
                <w:lang w:val="it-IT"/>
              </w:rPr>
              <w:t xml:space="preserve"> shtrihet në nivel </w:t>
            </w:r>
            <w:r>
              <w:rPr>
                <w:lang w:val="it-IT"/>
              </w:rPr>
              <w:t>vendor</w:t>
            </w:r>
          </w:p>
        </w:tc>
        <w:tc>
          <w:tcPr>
            <w:tcW w:w="6469" w:type="dxa"/>
          </w:tcPr>
          <w:p w14:paraId="0C95B741" w14:textId="77777777" w:rsidR="000F0526" w:rsidRPr="00935702" w:rsidRDefault="000F0526" w:rsidP="000C70FA">
            <w:pPr>
              <w:pStyle w:val="T-normal"/>
              <w:jc w:val="both"/>
              <w:rPr>
                <w:lang w:val="it-IT"/>
              </w:rPr>
            </w:pPr>
            <w:r w:rsidRPr="00935702">
              <w:rPr>
                <w:lang w:val="it-IT"/>
              </w:rPr>
              <w:t>Partnerët: BB (udhëheqës), SECO</w:t>
            </w:r>
          </w:p>
          <w:p w14:paraId="66A4032A" w14:textId="77777777" w:rsidR="000F0526" w:rsidRPr="001F151E" w:rsidRDefault="000F0526" w:rsidP="000C70FA">
            <w:pPr>
              <w:pStyle w:val="T-normal"/>
              <w:jc w:val="both"/>
            </w:pPr>
            <w:r w:rsidRPr="00935702">
              <w:rPr>
                <w:lang w:val="it-IT"/>
              </w:rPr>
              <w:t>Periudha e zbatimit</w:t>
            </w:r>
          </w:p>
        </w:tc>
      </w:tr>
      <w:tr w:rsidR="000F0526" w:rsidRPr="001F151E" w14:paraId="2E28E97C" w14:textId="77777777" w:rsidTr="000C70FA">
        <w:tc>
          <w:tcPr>
            <w:tcW w:w="2547" w:type="dxa"/>
          </w:tcPr>
          <w:p w14:paraId="36B64C42" w14:textId="77777777" w:rsidR="000F0526" w:rsidRPr="001F151E" w:rsidRDefault="000F0526" w:rsidP="00CD7428">
            <w:pPr>
              <w:pStyle w:val="T-number"/>
              <w:numPr>
                <w:ilvl w:val="0"/>
                <w:numId w:val="102"/>
              </w:numPr>
            </w:pPr>
            <w:r w:rsidRPr="00935702">
              <w:t>Auditimi i KLSH PPP</w:t>
            </w:r>
          </w:p>
        </w:tc>
        <w:tc>
          <w:tcPr>
            <w:tcW w:w="6469" w:type="dxa"/>
          </w:tcPr>
          <w:p w14:paraId="0A984E81" w14:textId="77777777" w:rsidR="000F0526" w:rsidRPr="001F151E" w:rsidRDefault="000F0526" w:rsidP="000C70FA">
            <w:pPr>
              <w:pStyle w:val="T-normal"/>
              <w:jc w:val="both"/>
            </w:pPr>
            <w:r w:rsidRPr="00935702">
              <w:t>Partner: SECO</w:t>
            </w:r>
          </w:p>
          <w:p w14:paraId="10086C21" w14:textId="77777777" w:rsidR="000F0526" w:rsidRPr="001F151E" w:rsidRDefault="000F0526" w:rsidP="000C70FA">
            <w:pPr>
              <w:pStyle w:val="T-normal"/>
              <w:jc w:val="both"/>
            </w:pPr>
          </w:p>
        </w:tc>
      </w:tr>
      <w:tr w:rsidR="000F0526" w:rsidRPr="0059094E" w14:paraId="1A054656" w14:textId="77777777" w:rsidTr="000C70FA">
        <w:tc>
          <w:tcPr>
            <w:tcW w:w="2547" w:type="dxa"/>
          </w:tcPr>
          <w:p w14:paraId="7291F610" w14:textId="77777777" w:rsidR="000F0526" w:rsidRPr="009D660E" w:rsidRDefault="000F0526" w:rsidP="00CD7428">
            <w:pPr>
              <w:pStyle w:val="T-number"/>
              <w:numPr>
                <w:ilvl w:val="0"/>
                <w:numId w:val="102"/>
              </w:numPr>
              <w:rPr>
                <w:lang w:val="it-IT"/>
              </w:rPr>
            </w:pPr>
            <w:r w:rsidRPr="00935702">
              <w:rPr>
                <w:lang w:val="it-IT"/>
              </w:rPr>
              <w:t>Reforma e Kontabilitetit në Sektorin Publik</w:t>
            </w:r>
          </w:p>
        </w:tc>
        <w:tc>
          <w:tcPr>
            <w:tcW w:w="6469" w:type="dxa"/>
          </w:tcPr>
          <w:p w14:paraId="6499B09B" w14:textId="77777777" w:rsidR="000F0526" w:rsidRPr="00935702" w:rsidRDefault="000F0526" w:rsidP="000C70FA">
            <w:pPr>
              <w:pStyle w:val="T-normal"/>
              <w:jc w:val="both"/>
              <w:rPr>
                <w:lang w:val="it-IT"/>
              </w:rPr>
            </w:pPr>
            <w:r w:rsidRPr="00935702">
              <w:rPr>
                <w:lang w:val="it-IT"/>
              </w:rPr>
              <w:t>Partnerët: Banka Botërore (udhëheqës), SECO</w:t>
            </w:r>
          </w:p>
          <w:p w14:paraId="7719209E" w14:textId="77777777" w:rsidR="000F0526" w:rsidRPr="009D660E" w:rsidRDefault="000F0526" w:rsidP="000C70FA">
            <w:pPr>
              <w:pStyle w:val="T-normal"/>
              <w:jc w:val="both"/>
              <w:rPr>
                <w:lang w:val="it-IT"/>
              </w:rPr>
            </w:pPr>
            <w:r w:rsidRPr="00935702">
              <w:rPr>
                <w:lang w:val="it-IT"/>
              </w:rPr>
              <w:t>Periudha e zbatimit: 2024-2027 (faza e dytë)</w:t>
            </w:r>
          </w:p>
        </w:tc>
      </w:tr>
      <w:tr w:rsidR="000F0526" w:rsidRPr="001F151E" w14:paraId="47787FB9" w14:textId="77777777" w:rsidTr="000C70FA">
        <w:tc>
          <w:tcPr>
            <w:tcW w:w="2547" w:type="dxa"/>
          </w:tcPr>
          <w:p w14:paraId="57680B4F" w14:textId="77777777" w:rsidR="000F0526" w:rsidRPr="001F151E" w:rsidRDefault="000F0526" w:rsidP="00CD7428">
            <w:pPr>
              <w:pStyle w:val="T-number"/>
              <w:numPr>
                <w:ilvl w:val="0"/>
                <w:numId w:val="102"/>
              </w:numPr>
            </w:pPr>
            <w:r w:rsidRPr="00776D09">
              <w:t>SIDA</w:t>
            </w:r>
          </w:p>
        </w:tc>
        <w:tc>
          <w:tcPr>
            <w:tcW w:w="6469" w:type="dxa"/>
          </w:tcPr>
          <w:p w14:paraId="4D86CD22" w14:textId="77777777" w:rsidR="000F0526" w:rsidRPr="001F151E" w:rsidRDefault="000F0526" w:rsidP="000C70FA">
            <w:pPr>
              <w:pStyle w:val="T-normal"/>
            </w:pPr>
            <w:r w:rsidRPr="00935702">
              <w:t>Projekti ProTax Albania</w:t>
            </w:r>
          </w:p>
        </w:tc>
      </w:tr>
    </w:tbl>
    <w:p w14:paraId="74C8A509" w14:textId="77777777" w:rsidR="000F0526" w:rsidRPr="00127706" w:rsidRDefault="000F0526" w:rsidP="000F0526"/>
    <w:p w14:paraId="412CD2CA" w14:textId="77777777" w:rsidR="00127706" w:rsidRDefault="00127706" w:rsidP="000C52A9"/>
    <w:p w14:paraId="1CF0EF40" w14:textId="77777777" w:rsidR="00C03AF0" w:rsidRDefault="00C03AF0" w:rsidP="00C03AF0"/>
    <w:p w14:paraId="621723A5" w14:textId="77777777" w:rsidR="00C03AF0" w:rsidRDefault="00C03AF0" w:rsidP="00C03AF0"/>
    <w:p w14:paraId="2CBF5007" w14:textId="77777777" w:rsidR="00C03AF0" w:rsidRDefault="00C03AF0" w:rsidP="00C03AF0"/>
    <w:p w14:paraId="051B6CE3" w14:textId="77777777" w:rsidR="00FD26B0" w:rsidRDefault="00FD26B0" w:rsidP="00C03AF0"/>
    <w:p w14:paraId="59F3613A" w14:textId="77777777" w:rsidR="0032215C" w:rsidRDefault="0032215C" w:rsidP="00B57EF8">
      <w:pPr>
        <w:pStyle w:val="Heading1"/>
        <w:numPr>
          <w:ilvl w:val="0"/>
          <w:numId w:val="0"/>
        </w:numPr>
        <w:rPr>
          <w:lang w:val="it-IT"/>
        </w:rPr>
        <w:sectPr w:rsidR="0032215C" w:rsidSect="00DA1F8C">
          <w:footerReference w:type="default" r:id="rId12"/>
          <w:pgSz w:w="11906" w:h="16838"/>
          <w:pgMar w:top="1440" w:right="1440" w:bottom="1701" w:left="1440" w:header="708" w:footer="708" w:gutter="0"/>
          <w:cols w:space="708"/>
          <w:titlePg/>
          <w:docGrid w:linePitch="360"/>
        </w:sectPr>
      </w:pPr>
      <w:bookmarkStart w:id="69" w:name="_Toc161748846"/>
    </w:p>
    <w:p w14:paraId="082CFDD6" w14:textId="0CF624ED" w:rsidR="00FD26B0" w:rsidRPr="009D660E" w:rsidRDefault="00FD26B0" w:rsidP="00B57EF8">
      <w:pPr>
        <w:pStyle w:val="Heading1"/>
        <w:numPr>
          <w:ilvl w:val="0"/>
          <w:numId w:val="0"/>
        </w:numPr>
        <w:rPr>
          <w:lang w:val="it-IT"/>
        </w:rPr>
      </w:pPr>
      <w:r w:rsidRPr="009D660E">
        <w:rPr>
          <w:lang w:val="it-IT"/>
        </w:rPr>
        <w:t>Shtojca 3 Vlerësimi i kostove dhe financimi sipas objektivave specifikë (komponentëve)</w:t>
      </w:r>
      <w:bookmarkEnd w:id="69"/>
    </w:p>
    <w:p w14:paraId="0CB4E041" w14:textId="3D6DF00C" w:rsidR="00C03AF0" w:rsidRPr="0059094E" w:rsidRDefault="00C03AF0" w:rsidP="00C03AF0">
      <w:pPr>
        <w:rPr>
          <w:lang w:val="it-IT"/>
        </w:rPr>
      </w:pPr>
    </w:p>
    <w:p w14:paraId="7DC451C6" w14:textId="0D5D840A" w:rsidR="002213F5" w:rsidRDefault="0059094E" w:rsidP="00C03AF0">
      <w:r w:rsidRPr="0059094E">
        <w:rPr>
          <w:noProof/>
        </w:rPr>
        <w:drawing>
          <wp:inline distT="0" distB="0" distL="0" distR="0" wp14:anchorId="16BA0CFF" wp14:editId="462F3347">
            <wp:extent cx="5731510" cy="3078413"/>
            <wp:effectExtent l="19050" t="19050" r="21590" b="273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078413"/>
                    </a:xfrm>
                    <a:prstGeom prst="rect">
                      <a:avLst/>
                    </a:prstGeom>
                    <a:noFill/>
                    <a:ln w="12700">
                      <a:solidFill>
                        <a:srgbClr val="00B050"/>
                      </a:solidFill>
                    </a:ln>
                  </pic:spPr>
                </pic:pic>
              </a:graphicData>
            </a:graphic>
          </wp:inline>
        </w:drawing>
      </w:r>
    </w:p>
    <w:p w14:paraId="0B291F9D" w14:textId="77777777" w:rsidR="002213F5" w:rsidRDefault="002213F5" w:rsidP="00C03AF0"/>
    <w:p w14:paraId="43AE7113" w14:textId="67C82939" w:rsidR="002213F5" w:rsidRDefault="00891B40" w:rsidP="00C03AF0">
      <w:r w:rsidRPr="00891B40">
        <w:rPr>
          <w:noProof/>
        </w:rPr>
        <w:drawing>
          <wp:inline distT="0" distB="0" distL="0" distR="0" wp14:anchorId="01F49475" wp14:editId="2A834379">
            <wp:extent cx="5731510" cy="3540779"/>
            <wp:effectExtent l="19050" t="19050" r="21590" b="2159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540779"/>
                    </a:xfrm>
                    <a:prstGeom prst="rect">
                      <a:avLst/>
                    </a:prstGeom>
                    <a:noFill/>
                    <a:ln w="12700">
                      <a:solidFill>
                        <a:srgbClr val="00B050"/>
                      </a:solidFill>
                    </a:ln>
                  </pic:spPr>
                </pic:pic>
              </a:graphicData>
            </a:graphic>
          </wp:inline>
        </w:drawing>
      </w:r>
    </w:p>
    <w:p w14:paraId="1634B1BC" w14:textId="3D9ED407" w:rsidR="002213F5" w:rsidRDefault="002213F5" w:rsidP="00C03AF0"/>
    <w:p w14:paraId="488BEE7A" w14:textId="59FF6EBA" w:rsidR="002213F5" w:rsidRPr="0059094E" w:rsidRDefault="0059094E" w:rsidP="00C03AF0">
      <w:pPr>
        <w:rPr>
          <w:lang w:val="en-GB"/>
        </w:rPr>
      </w:pPr>
      <w:r w:rsidRPr="0059094E">
        <w:rPr>
          <w:noProof/>
        </w:rPr>
        <w:drawing>
          <wp:inline distT="0" distB="0" distL="0" distR="0" wp14:anchorId="7439648F" wp14:editId="1C08D0D5">
            <wp:extent cx="5731510" cy="3444271"/>
            <wp:effectExtent l="19050" t="19050" r="21590" b="2286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444271"/>
                    </a:xfrm>
                    <a:prstGeom prst="rect">
                      <a:avLst/>
                    </a:prstGeom>
                    <a:noFill/>
                    <a:ln w="12700">
                      <a:solidFill>
                        <a:srgbClr val="00B050"/>
                      </a:solidFill>
                    </a:ln>
                  </pic:spPr>
                </pic:pic>
              </a:graphicData>
            </a:graphic>
          </wp:inline>
        </w:drawing>
      </w:r>
    </w:p>
    <w:p w14:paraId="1CD604B8" w14:textId="528DA269" w:rsidR="002213F5" w:rsidRDefault="002213F5" w:rsidP="00C03AF0"/>
    <w:p w14:paraId="09E4F5E5" w14:textId="12ED5C82" w:rsidR="0052180B" w:rsidRDefault="0059094E" w:rsidP="00C03AF0">
      <w:r w:rsidRPr="0059094E">
        <w:rPr>
          <w:noProof/>
        </w:rPr>
        <w:drawing>
          <wp:inline distT="0" distB="0" distL="0" distR="0" wp14:anchorId="57992522" wp14:editId="776D3222">
            <wp:extent cx="5731510" cy="3465234"/>
            <wp:effectExtent l="19050" t="19050" r="2159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465234"/>
                    </a:xfrm>
                    <a:prstGeom prst="rect">
                      <a:avLst/>
                    </a:prstGeom>
                    <a:noFill/>
                    <a:ln w="12700">
                      <a:solidFill>
                        <a:srgbClr val="00B050"/>
                      </a:solidFill>
                    </a:ln>
                  </pic:spPr>
                </pic:pic>
              </a:graphicData>
            </a:graphic>
          </wp:inline>
        </w:drawing>
      </w:r>
    </w:p>
    <w:p w14:paraId="3B9B717B" w14:textId="77777777" w:rsidR="0052180B" w:rsidRDefault="0052180B" w:rsidP="00C03AF0"/>
    <w:p w14:paraId="21653E30" w14:textId="1E7D6A3C" w:rsidR="0052180B" w:rsidRDefault="0059094E" w:rsidP="00C03AF0">
      <w:r w:rsidRPr="0059094E">
        <w:rPr>
          <w:noProof/>
        </w:rPr>
        <w:drawing>
          <wp:inline distT="0" distB="0" distL="0" distR="0" wp14:anchorId="2BCD1350" wp14:editId="2623ABA0">
            <wp:extent cx="5731510" cy="2623777"/>
            <wp:effectExtent l="19050" t="19050" r="21590" b="2476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2623777"/>
                    </a:xfrm>
                    <a:prstGeom prst="rect">
                      <a:avLst/>
                    </a:prstGeom>
                    <a:noFill/>
                    <a:ln w="12700">
                      <a:solidFill>
                        <a:srgbClr val="00B050"/>
                      </a:solidFill>
                    </a:ln>
                  </pic:spPr>
                </pic:pic>
              </a:graphicData>
            </a:graphic>
          </wp:inline>
        </w:drawing>
      </w:r>
    </w:p>
    <w:p w14:paraId="440F8583" w14:textId="77777777" w:rsidR="0052180B" w:rsidRDefault="0052180B" w:rsidP="00C03AF0"/>
    <w:p w14:paraId="2281D6C5" w14:textId="56102938" w:rsidR="0052180B" w:rsidRDefault="00891B40" w:rsidP="00C03AF0">
      <w:r w:rsidRPr="00891B40">
        <w:rPr>
          <w:noProof/>
        </w:rPr>
        <w:drawing>
          <wp:inline distT="0" distB="0" distL="0" distR="0" wp14:anchorId="27AA190E" wp14:editId="60A87543">
            <wp:extent cx="5731510" cy="2147908"/>
            <wp:effectExtent l="19050" t="19050" r="21590" b="2413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2147908"/>
                    </a:xfrm>
                    <a:prstGeom prst="rect">
                      <a:avLst/>
                    </a:prstGeom>
                    <a:noFill/>
                    <a:ln w="12700">
                      <a:solidFill>
                        <a:srgbClr val="00B050"/>
                      </a:solidFill>
                    </a:ln>
                  </pic:spPr>
                </pic:pic>
              </a:graphicData>
            </a:graphic>
          </wp:inline>
        </w:drawing>
      </w:r>
    </w:p>
    <w:p w14:paraId="04EAED9E" w14:textId="77777777" w:rsidR="0052180B" w:rsidRDefault="0052180B" w:rsidP="00C03AF0"/>
    <w:p w14:paraId="0A327B9C" w14:textId="77777777" w:rsidR="00DA0B51" w:rsidRPr="0059094E" w:rsidRDefault="00DA0B51" w:rsidP="00C03AF0">
      <w:pPr>
        <w:rPr>
          <w:lang w:val="en-GB"/>
        </w:rPr>
      </w:pPr>
    </w:p>
    <w:p w14:paraId="4DBCC9D1" w14:textId="77777777" w:rsidR="00DA0B51" w:rsidRDefault="00DA0B51" w:rsidP="00C03AF0"/>
    <w:p w14:paraId="61BF8FA2" w14:textId="77777777" w:rsidR="0032215C" w:rsidRDefault="0032215C" w:rsidP="00B57EF8">
      <w:pPr>
        <w:pStyle w:val="Heading1"/>
        <w:numPr>
          <w:ilvl w:val="0"/>
          <w:numId w:val="0"/>
        </w:numPr>
        <w:rPr>
          <w:lang w:val="en-GB"/>
        </w:rPr>
        <w:sectPr w:rsidR="0032215C" w:rsidSect="00DA1F8C">
          <w:pgSz w:w="11906" w:h="16838"/>
          <w:pgMar w:top="1440" w:right="1440" w:bottom="1701" w:left="1440" w:header="708" w:footer="708" w:gutter="0"/>
          <w:cols w:space="708"/>
          <w:titlePg/>
          <w:docGrid w:linePitch="360"/>
        </w:sectPr>
      </w:pPr>
      <w:bookmarkStart w:id="70" w:name="_Toc161748847"/>
    </w:p>
    <w:p w14:paraId="5E972EF7" w14:textId="30AFB22D" w:rsidR="00DA0B51" w:rsidRDefault="00DA0B51" w:rsidP="00B57EF8">
      <w:pPr>
        <w:pStyle w:val="Heading1"/>
        <w:numPr>
          <w:ilvl w:val="0"/>
          <w:numId w:val="0"/>
        </w:numPr>
        <w:rPr>
          <w:lang w:val="en-GB"/>
        </w:rPr>
      </w:pPr>
      <w:r w:rsidRPr="00DA0B51">
        <w:rPr>
          <w:lang w:val="en-GB"/>
        </w:rPr>
        <w:t xml:space="preserve">Shtojca 4 Plani i Veprimit i </w:t>
      </w:r>
      <w:r w:rsidR="00816245">
        <w:rPr>
          <w:lang w:val="en-GB"/>
        </w:rPr>
        <w:t xml:space="preserve">Strategjisë së </w:t>
      </w:r>
      <w:r w:rsidRPr="00DA0B51">
        <w:rPr>
          <w:lang w:val="en-GB"/>
        </w:rPr>
        <w:t xml:space="preserve">Menaxhimit të Financave Publike 2023 </w:t>
      </w:r>
      <w:r>
        <w:rPr>
          <w:lang w:val="en-GB"/>
        </w:rPr>
        <w:t>–</w:t>
      </w:r>
      <w:r w:rsidRPr="00DA0B51">
        <w:rPr>
          <w:lang w:val="en-GB"/>
        </w:rPr>
        <w:t xml:space="preserve"> 2026</w:t>
      </w:r>
      <w:bookmarkEnd w:id="70"/>
    </w:p>
    <w:p w14:paraId="35242A0D" w14:textId="3A03E336" w:rsidR="009D660E" w:rsidRDefault="009D660E" w:rsidP="009D660E">
      <w:pPr>
        <w:rPr>
          <w:lang w:val="it-IT"/>
        </w:rPr>
      </w:pPr>
    </w:p>
    <w:p w14:paraId="6F33BA67" w14:textId="39A762C8" w:rsidR="009D660E" w:rsidRDefault="009D660E" w:rsidP="009D660E">
      <w:pPr>
        <w:rPr>
          <w:lang w:val="it-IT"/>
        </w:rPr>
      </w:pPr>
    </w:p>
    <w:p w14:paraId="7D609C18" w14:textId="27841826" w:rsidR="009D660E" w:rsidRDefault="001D2108" w:rsidP="009D660E">
      <w:pPr>
        <w:rPr>
          <w:lang w:val="it-IT"/>
        </w:rPr>
      </w:pPr>
      <w:r w:rsidRPr="001D2108">
        <w:rPr>
          <w:noProof/>
        </w:rPr>
        <w:drawing>
          <wp:inline distT="0" distB="0" distL="0" distR="0" wp14:anchorId="2FE497AB" wp14:editId="75DE7FF7">
            <wp:extent cx="5731510" cy="6714581"/>
            <wp:effectExtent l="19050" t="19050" r="2159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6714581"/>
                    </a:xfrm>
                    <a:prstGeom prst="rect">
                      <a:avLst/>
                    </a:prstGeom>
                    <a:noFill/>
                    <a:ln w="12700">
                      <a:solidFill>
                        <a:schemeClr val="accent2">
                          <a:lumMod val="75000"/>
                        </a:schemeClr>
                      </a:solidFill>
                    </a:ln>
                  </pic:spPr>
                </pic:pic>
              </a:graphicData>
            </a:graphic>
          </wp:inline>
        </w:drawing>
      </w:r>
    </w:p>
    <w:p w14:paraId="2E6A2172" w14:textId="77777777" w:rsidR="001D2108" w:rsidRDefault="001D2108" w:rsidP="009D660E">
      <w:pPr>
        <w:rPr>
          <w:lang w:val="it-IT"/>
        </w:rPr>
      </w:pPr>
    </w:p>
    <w:p w14:paraId="29036F58" w14:textId="77777777" w:rsidR="001D2108" w:rsidRDefault="001D2108" w:rsidP="009D660E">
      <w:pPr>
        <w:rPr>
          <w:lang w:val="it-IT"/>
        </w:rPr>
      </w:pPr>
    </w:p>
    <w:p w14:paraId="4A0A78C5" w14:textId="06EFD879" w:rsidR="009D660E" w:rsidRDefault="009D660E" w:rsidP="009D660E">
      <w:pPr>
        <w:rPr>
          <w:lang w:val="it-IT"/>
        </w:rPr>
      </w:pPr>
    </w:p>
    <w:p w14:paraId="24D27167" w14:textId="77777777" w:rsidR="009D660E" w:rsidRDefault="009D660E" w:rsidP="009D660E">
      <w:pPr>
        <w:rPr>
          <w:lang w:val="it-IT"/>
        </w:rPr>
      </w:pPr>
    </w:p>
    <w:p w14:paraId="15CE9F37" w14:textId="4A7AB77D" w:rsidR="009D660E" w:rsidRDefault="009D660E" w:rsidP="009D660E">
      <w:pPr>
        <w:rPr>
          <w:lang w:val="it-IT"/>
        </w:rPr>
      </w:pPr>
    </w:p>
    <w:p w14:paraId="7E06BC58" w14:textId="77777777" w:rsidR="009D660E" w:rsidRDefault="009D660E" w:rsidP="009D660E">
      <w:pPr>
        <w:rPr>
          <w:lang w:val="it-IT"/>
        </w:rPr>
      </w:pPr>
    </w:p>
    <w:p w14:paraId="0C807DD1" w14:textId="44587F72" w:rsidR="009D660E" w:rsidRDefault="009D660E" w:rsidP="009D660E">
      <w:pPr>
        <w:rPr>
          <w:lang w:val="it-IT"/>
        </w:rPr>
      </w:pPr>
    </w:p>
    <w:p w14:paraId="5946882A" w14:textId="5258B476" w:rsidR="009D660E" w:rsidRDefault="001D2108" w:rsidP="009D660E">
      <w:pPr>
        <w:rPr>
          <w:lang w:val="it-IT"/>
        </w:rPr>
      </w:pPr>
      <w:r w:rsidRPr="001D2108">
        <w:rPr>
          <w:noProof/>
        </w:rPr>
        <w:drawing>
          <wp:inline distT="0" distB="0" distL="0" distR="0" wp14:anchorId="20193F4C" wp14:editId="6C72014F">
            <wp:extent cx="5731510" cy="5258407"/>
            <wp:effectExtent l="19050" t="19050" r="2159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5258407"/>
                    </a:xfrm>
                    <a:prstGeom prst="rect">
                      <a:avLst/>
                    </a:prstGeom>
                    <a:noFill/>
                    <a:ln w="12700">
                      <a:solidFill>
                        <a:schemeClr val="accent2">
                          <a:lumMod val="75000"/>
                        </a:schemeClr>
                      </a:solidFill>
                    </a:ln>
                  </pic:spPr>
                </pic:pic>
              </a:graphicData>
            </a:graphic>
          </wp:inline>
        </w:drawing>
      </w:r>
    </w:p>
    <w:p w14:paraId="6A2E6A65" w14:textId="77777777" w:rsidR="001D2108" w:rsidRDefault="001D2108" w:rsidP="009D660E">
      <w:pPr>
        <w:rPr>
          <w:lang w:val="it-IT"/>
        </w:rPr>
      </w:pPr>
    </w:p>
    <w:p w14:paraId="0DA643C1" w14:textId="60DE1F02" w:rsidR="0059094E" w:rsidRDefault="0059094E" w:rsidP="009D660E">
      <w:pPr>
        <w:rPr>
          <w:lang w:val="it-IT"/>
        </w:rPr>
      </w:pPr>
    </w:p>
    <w:p w14:paraId="7233F019" w14:textId="48F2955E" w:rsidR="0059094E" w:rsidRDefault="00773613" w:rsidP="009D660E">
      <w:pPr>
        <w:rPr>
          <w:lang w:val="it-IT"/>
        </w:rPr>
      </w:pPr>
      <w:r w:rsidRPr="00773613">
        <w:rPr>
          <w:noProof/>
        </w:rPr>
        <w:drawing>
          <wp:inline distT="0" distB="0" distL="0" distR="0" wp14:anchorId="1F28C54E" wp14:editId="2B156920">
            <wp:extent cx="5731510" cy="3241404"/>
            <wp:effectExtent l="19050" t="19050" r="21590"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241404"/>
                    </a:xfrm>
                    <a:prstGeom prst="rect">
                      <a:avLst/>
                    </a:prstGeom>
                    <a:noFill/>
                    <a:ln w="12700">
                      <a:solidFill>
                        <a:schemeClr val="accent2">
                          <a:lumMod val="75000"/>
                        </a:schemeClr>
                      </a:solidFill>
                    </a:ln>
                  </pic:spPr>
                </pic:pic>
              </a:graphicData>
            </a:graphic>
          </wp:inline>
        </w:drawing>
      </w:r>
    </w:p>
    <w:p w14:paraId="7AB9CFA5" w14:textId="77777777" w:rsidR="00773613" w:rsidRDefault="00773613" w:rsidP="009D660E">
      <w:pPr>
        <w:rPr>
          <w:lang w:val="it-IT"/>
        </w:rPr>
      </w:pPr>
    </w:p>
    <w:p w14:paraId="4D8EDB34" w14:textId="410D013C" w:rsidR="0059094E" w:rsidRDefault="00773613" w:rsidP="009D660E">
      <w:pPr>
        <w:rPr>
          <w:lang w:val="it-IT"/>
        </w:rPr>
      </w:pPr>
      <w:r w:rsidRPr="00773613">
        <w:rPr>
          <w:noProof/>
        </w:rPr>
        <w:drawing>
          <wp:inline distT="0" distB="0" distL="0" distR="0" wp14:anchorId="5E713A3B" wp14:editId="113B8C3D">
            <wp:extent cx="5731510" cy="6677375"/>
            <wp:effectExtent l="19050" t="19050" r="2159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6677375"/>
                    </a:xfrm>
                    <a:prstGeom prst="rect">
                      <a:avLst/>
                    </a:prstGeom>
                    <a:noFill/>
                    <a:ln w="12700">
                      <a:solidFill>
                        <a:schemeClr val="accent2">
                          <a:lumMod val="75000"/>
                        </a:schemeClr>
                      </a:solidFill>
                    </a:ln>
                  </pic:spPr>
                </pic:pic>
              </a:graphicData>
            </a:graphic>
          </wp:inline>
        </w:drawing>
      </w:r>
    </w:p>
    <w:p w14:paraId="3FF57218" w14:textId="77777777" w:rsidR="00773613" w:rsidRDefault="00773613" w:rsidP="009D660E">
      <w:pPr>
        <w:rPr>
          <w:lang w:val="it-IT"/>
        </w:rPr>
      </w:pPr>
    </w:p>
    <w:p w14:paraId="25C0D1ED" w14:textId="77777777" w:rsidR="00773613" w:rsidRDefault="00773613" w:rsidP="009D660E">
      <w:pPr>
        <w:rPr>
          <w:lang w:val="it-IT"/>
        </w:rPr>
      </w:pPr>
    </w:p>
    <w:p w14:paraId="7C7C37EC" w14:textId="4F3813B9" w:rsidR="0059094E" w:rsidRDefault="00773613" w:rsidP="009D660E">
      <w:pPr>
        <w:rPr>
          <w:lang w:val="it-IT"/>
        </w:rPr>
      </w:pPr>
      <w:r w:rsidRPr="00773613">
        <w:rPr>
          <w:noProof/>
        </w:rPr>
        <w:drawing>
          <wp:inline distT="0" distB="0" distL="0" distR="0" wp14:anchorId="093D4496" wp14:editId="40A7C5E5">
            <wp:extent cx="5731510" cy="2930781"/>
            <wp:effectExtent l="19050" t="19050" r="21590" b="222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2930781"/>
                    </a:xfrm>
                    <a:prstGeom prst="rect">
                      <a:avLst/>
                    </a:prstGeom>
                    <a:noFill/>
                    <a:ln w="12700">
                      <a:solidFill>
                        <a:schemeClr val="accent2">
                          <a:lumMod val="75000"/>
                        </a:schemeClr>
                      </a:solidFill>
                    </a:ln>
                  </pic:spPr>
                </pic:pic>
              </a:graphicData>
            </a:graphic>
          </wp:inline>
        </w:drawing>
      </w:r>
    </w:p>
    <w:p w14:paraId="7B9C5E1C" w14:textId="77777777" w:rsidR="00773613" w:rsidRDefault="00773613" w:rsidP="009D660E">
      <w:pPr>
        <w:rPr>
          <w:lang w:val="it-IT"/>
        </w:rPr>
      </w:pPr>
    </w:p>
    <w:p w14:paraId="5727CE59" w14:textId="6381863D" w:rsidR="0059094E" w:rsidRDefault="00773613" w:rsidP="009D660E">
      <w:pPr>
        <w:rPr>
          <w:lang w:val="it-IT"/>
        </w:rPr>
      </w:pPr>
      <w:r w:rsidRPr="00773613">
        <w:rPr>
          <w:noProof/>
        </w:rPr>
        <w:drawing>
          <wp:inline distT="0" distB="0" distL="0" distR="0" wp14:anchorId="0869034C" wp14:editId="06EF394C">
            <wp:extent cx="5731510" cy="5128696"/>
            <wp:effectExtent l="19050" t="19050" r="21590" b="152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5128696"/>
                    </a:xfrm>
                    <a:prstGeom prst="rect">
                      <a:avLst/>
                    </a:prstGeom>
                    <a:noFill/>
                    <a:ln w="12700">
                      <a:solidFill>
                        <a:schemeClr val="accent2">
                          <a:lumMod val="75000"/>
                        </a:schemeClr>
                      </a:solidFill>
                    </a:ln>
                  </pic:spPr>
                </pic:pic>
              </a:graphicData>
            </a:graphic>
          </wp:inline>
        </w:drawing>
      </w:r>
    </w:p>
    <w:p w14:paraId="4D68A46E" w14:textId="77777777" w:rsidR="00773613" w:rsidRDefault="00773613" w:rsidP="009D660E">
      <w:pPr>
        <w:rPr>
          <w:lang w:val="it-IT"/>
        </w:rPr>
      </w:pPr>
    </w:p>
    <w:p w14:paraId="68BA12A0" w14:textId="77777777" w:rsidR="0059094E" w:rsidRDefault="0059094E" w:rsidP="009D660E">
      <w:pPr>
        <w:rPr>
          <w:lang w:val="it-IT"/>
        </w:rPr>
      </w:pPr>
    </w:p>
    <w:p w14:paraId="45697724" w14:textId="5BD8F983" w:rsidR="0059094E" w:rsidRDefault="00E111CB" w:rsidP="009D660E">
      <w:pPr>
        <w:rPr>
          <w:lang w:val="it-IT"/>
        </w:rPr>
      </w:pPr>
      <w:r w:rsidRPr="00E111CB">
        <w:rPr>
          <w:noProof/>
        </w:rPr>
        <w:drawing>
          <wp:inline distT="0" distB="0" distL="0" distR="0" wp14:anchorId="57135683" wp14:editId="2731E812">
            <wp:extent cx="5731510" cy="3848656"/>
            <wp:effectExtent l="19050" t="19050" r="21590"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3848656"/>
                    </a:xfrm>
                    <a:prstGeom prst="rect">
                      <a:avLst/>
                    </a:prstGeom>
                    <a:noFill/>
                    <a:ln w="12700">
                      <a:solidFill>
                        <a:schemeClr val="accent2">
                          <a:lumMod val="75000"/>
                        </a:schemeClr>
                      </a:solidFill>
                    </a:ln>
                  </pic:spPr>
                </pic:pic>
              </a:graphicData>
            </a:graphic>
          </wp:inline>
        </w:drawing>
      </w:r>
    </w:p>
    <w:p w14:paraId="4ACA4073" w14:textId="77777777" w:rsidR="00E111CB" w:rsidRDefault="00E111CB" w:rsidP="009D660E">
      <w:pPr>
        <w:rPr>
          <w:lang w:val="it-IT"/>
        </w:rPr>
      </w:pPr>
    </w:p>
    <w:p w14:paraId="7A0C72F2" w14:textId="4BC58E7F" w:rsidR="0059094E" w:rsidRDefault="00E111CB" w:rsidP="009D660E">
      <w:pPr>
        <w:rPr>
          <w:lang w:val="it-IT"/>
        </w:rPr>
      </w:pPr>
      <w:r w:rsidRPr="00E111CB">
        <w:rPr>
          <w:noProof/>
        </w:rPr>
        <w:drawing>
          <wp:inline distT="0" distB="0" distL="0" distR="0" wp14:anchorId="0F3DA4A2" wp14:editId="05034C99">
            <wp:extent cx="5731510" cy="4317321"/>
            <wp:effectExtent l="19050" t="19050" r="21590" b="266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4317321"/>
                    </a:xfrm>
                    <a:prstGeom prst="rect">
                      <a:avLst/>
                    </a:prstGeom>
                    <a:noFill/>
                    <a:ln w="12700">
                      <a:solidFill>
                        <a:schemeClr val="accent2">
                          <a:lumMod val="75000"/>
                        </a:schemeClr>
                      </a:solidFill>
                    </a:ln>
                  </pic:spPr>
                </pic:pic>
              </a:graphicData>
            </a:graphic>
          </wp:inline>
        </w:drawing>
      </w:r>
    </w:p>
    <w:p w14:paraId="056EDC45" w14:textId="77777777" w:rsidR="00E111CB" w:rsidRDefault="00E111CB" w:rsidP="009D660E">
      <w:pPr>
        <w:rPr>
          <w:lang w:val="it-IT"/>
        </w:rPr>
      </w:pPr>
    </w:p>
    <w:p w14:paraId="55011E6B" w14:textId="77777777" w:rsidR="00E111CB" w:rsidRDefault="00E111CB" w:rsidP="009D660E">
      <w:pPr>
        <w:rPr>
          <w:lang w:val="it-IT"/>
        </w:rPr>
      </w:pPr>
    </w:p>
    <w:p w14:paraId="26F8CCD5" w14:textId="418DB592" w:rsidR="00E111CB" w:rsidRDefault="00E111CB" w:rsidP="009D660E">
      <w:pPr>
        <w:rPr>
          <w:lang w:val="it-IT"/>
        </w:rPr>
      </w:pPr>
      <w:r w:rsidRPr="00E111CB">
        <w:rPr>
          <w:noProof/>
        </w:rPr>
        <w:drawing>
          <wp:inline distT="0" distB="0" distL="0" distR="0" wp14:anchorId="31F39AFF" wp14:editId="5F7D1EE5">
            <wp:extent cx="5731510" cy="6227824"/>
            <wp:effectExtent l="19050" t="19050" r="21590" b="209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227824"/>
                    </a:xfrm>
                    <a:prstGeom prst="rect">
                      <a:avLst/>
                    </a:prstGeom>
                    <a:noFill/>
                    <a:ln w="12700">
                      <a:solidFill>
                        <a:schemeClr val="accent2">
                          <a:lumMod val="75000"/>
                        </a:schemeClr>
                      </a:solidFill>
                    </a:ln>
                  </pic:spPr>
                </pic:pic>
              </a:graphicData>
            </a:graphic>
          </wp:inline>
        </w:drawing>
      </w:r>
    </w:p>
    <w:p w14:paraId="77100180" w14:textId="77777777" w:rsidR="00E111CB" w:rsidRDefault="00E111CB" w:rsidP="009D660E">
      <w:pPr>
        <w:rPr>
          <w:lang w:val="it-IT"/>
        </w:rPr>
      </w:pPr>
    </w:p>
    <w:p w14:paraId="4AA2AA12" w14:textId="5219A981" w:rsidR="0059094E" w:rsidRDefault="00E111CB" w:rsidP="009D660E">
      <w:pPr>
        <w:rPr>
          <w:lang w:val="it-IT"/>
        </w:rPr>
      </w:pPr>
      <w:r w:rsidRPr="00E111CB">
        <w:rPr>
          <w:noProof/>
        </w:rPr>
        <w:drawing>
          <wp:inline distT="0" distB="0" distL="0" distR="0" wp14:anchorId="10708366" wp14:editId="2655DCDD">
            <wp:extent cx="5731510" cy="2077421"/>
            <wp:effectExtent l="19050" t="19050" r="21590" b="184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2077421"/>
                    </a:xfrm>
                    <a:prstGeom prst="rect">
                      <a:avLst/>
                    </a:prstGeom>
                    <a:noFill/>
                    <a:ln w="12700">
                      <a:solidFill>
                        <a:schemeClr val="accent2">
                          <a:lumMod val="75000"/>
                        </a:schemeClr>
                      </a:solidFill>
                    </a:ln>
                  </pic:spPr>
                </pic:pic>
              </a:graphicData>
            </a:graphic>
          </wp:inline>
        </w:drawing>
      </w:r>
    </w:p>
    <w:p w14:paraId="11427091" w14:textId="77777777" w:rsidR="00E111CB" w:rsidRDefault="00E111CB" w:rsidP="009D660E">
      <w:pPr>
        <w:rPr>
          <w:lang w:val="it-IT"/>
        </w:rPr>
      </w:pPr>
    </w:p>
    <w:p w14:paraId="16B094C1" w14:textId="4712621F" w:rsidR="00E111CB" w:rsidRDefault="00E111CB" w:rsidP="009D660E">
      <w:pPr>
        <w:rPr>
          <w:lang w:val="it-IT"/>
        </w:rPr>
      </w:pPr>
      <w:r w:rsidRPr="00E111CB">
        <w:rPr>
          <w:noProof/>
        </w:rPr>
        <w:drawing>
          <wp:inline distT="0" distB="0" distL="0" distR="0" wp14:anchorId="39B8216B" wp14:editId="042EDD26">
            <wp:extent cx="5731510" cy="4933789"/>
            <wp:effectExtent l="19050" t="19050" r="21590" b="196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4933789"/>
                    </a:xfrm>
                    <a:prstGeom prst="rect">
                      <a:avLst/>
                    </a:prstGeom>
                    <a:noFill/>
                    <a:ln w="12700">
                      <a:solidFill>
                        <a:schemeClr val="accent2">
                          <a:lumMod val="75000"/>
                        </a:schemeClr>
                      </a:solidFill>
                    </a:ln>
                  </pic:spPr>
                </pic:pic>
              </a:graphicData>
            </a:graphic>
          </wp:inline>
        </w:drawing>
      </w:r>
    </w:p>
    <w:p w14:paraId="4CF34A69" w14:textId="77777777" w:rsidR="00E111CB" w:rsidRDefault="00E111CB" w:rsidP="009D660E">
      <w:pPr>
        <w:rPr>
          <w:lang w:val="it-IT"/>
        </w:rPr>
      </w:pPr>
    </w:p>
    <w:p w14:paraId="18C75D7C" w14:textId="1E327096" w:rsidR="0059094E" w:rsidRDefault="00E111CB" w:rsidP="009D660E">
      <w:pPr>
        <w:rPr>
          <w:lang w:val="it-IT"/>
        </w:rPr>
      </w:pPr>
      <w:r w:rsidRPr="00E111CB">
        <w:rPr>
          <w:noProof/>
        </w:rPr>
        <w:drawing>
          <wp:inline distT="0" distB="0" distL="0" distR="0" wp14:anchorId="0BC5150B" wp14:editId="68ECA0CC">
            <wp:extent cx="5731510" cy="3487172"/>
            <wp:effectExtent l="19050" t="19050" r="2159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3487172"/>
                    </a:xfrm>
                    <a:prstGeom prst="rect">
                      <a:avLst/>
                    </a:prstGeom>
                    <a:noFill/>
                    <a:ln w="12700">
                      <a:solidFill>
                        <a:schemeClr val="accent2">
                          <a:lumMod val="75000"/>
                        </a:schemeClr>
                      </a:solidFill>
                    </a:ln>
                  </pic:spPr>
                </pic:pic>
              </a:graphicData>
            </a:graphic>
          </wp:inline>
        </w:drawing>
      </w:r>
    </w:p>
    <w:p w14:paraId="0A694BAF" w14:textId="33B7B696" w:rsidR="00E111CB" w:rsidRDefault="00E111CB" w:rsidP="009D660E">
      <w:pPr>
        <w:rPr>
          <w:lang w:val="it-IT"/>
        </w:rPr>
      </w:pPr>
      <w:r w:rsidRPr="00E111CB">
        <w:rPr>
          <w:noProof/>
        </w:rPr>
        <w:drawing>
          <wp:inline distT="0" distB="0" distL="0" distR="0" wp14:anchorId="6B9AB01D" wp14:editId="0A43DB06">
            <wp:extent cx="5731510" cy="8639080"/>
            <wp:effectExtent l="19050" t="19050" r="21590" b="1016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8639080"/>
                    </a:xfrm>
                    <a:prstGeom prst="rect">
                      <a:avLst/>
                    </a:prstGeom>
                    <a:noFill/>
                    <a:ln w="12700">
                      <a:solidFill>
                        <a:schemeClr val="accent2">
                          <a:lumMod val="75000"/>
                        </a:schemeClr>
                      </a:solidFill>
                    </a:ln>
                  </pic:spPr>
                </pic:pic>
              </a:graphicData>
            </a:graphic>
          </wp:inline>
        </w:drawing>
      </w:r>
    </w:p>
    <w:p w14:paraId="0A8F4609" w14:textId="799A9F4F" w:rsidR="00E111CB" w:rsidRDefault="00E111CB" w:rsidP="009D660E">
      <w:pPr>
        <w:rPr>
          <w:lang w:val="it-IT"/>
        </w:rPr>
      </w:pPr>
      <w:r w:rsidRPr="00E111CB">
        <w:rPr>
          <w:noProof/>
        </w:rPr>
        <w:drawing>
          <wp:inline distT="0" distB="0" distL="0" distR="0" wp14:anchorId="271AAE0C" wp14:editId="14E0FA0C">
            <wp:extent cx="5731510" cy="8880069"/>
            <wp:effectExtent l="19050" t="19050" r="21590" b="165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8880069"/>
                    </a:xfrm>
                    <a:prstGeom prst="rect">
                      <a:avLst/>
                    </a:prstGeom>
                    <a:noFill/>
                    <a:ln w="12700">
                      <a:solidFill>
                        <a:schemeClr val="accent2">
                          <a:lumMod val="75000"/>
                        </a:schemeClr>
                      </a:solidFill>
                    </a:ln>
                  </pic:spPr>
                </pic:pic>
              </a:graphicData>
            </a:graphic>
          </wp:inline>
        </w:drawing>
      </w:r>
    </w:p>
    <w:p w14:paraId="77B5EB4B" w14:textId="62127326" w:rsidR="00E111CB" w:rsidRDefault="00E111CB" w:rsidP="009D660E">
      <w:pPr>
        <w:rPr>
          <w:lang w:val="it-IT"/>
        </w:rPr>
      </w:pPr>
      <w:r w:rsidRPr="00E111CB">
        <w:rPr>
          <w:noProof/>
        </w:rPr>
        <w:drawing>
          <wp:inline distT="0" distB="0" distL="0" distR="0" wp14:anchorId="3EF3BC08" wp14:editId="4F81CCCD">
            <wp:extent cx="5731510" cy="7512303"/>
            <wp:effectExtent l="19050" t="19050" r="21590" b="127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7512303"/>
                    </a:xfrm>
                    <a:prstGeom prst="rect">
                      <a:avLst/>
                    </a:prstGeom>
                    <a:noFill/>
                    <a:ln w="12700">
                      <a:solidFill>
                        <a:schemeClr val="accent2">
                          <a:lumMod val="75000"/>
                        </a:schemeClr>
                      </a:solidFill>
                    </a:ln>
                  </pic:spPr>
                </pic:pic>
              </a:graphicData>
            </a:graphic>
          </wp:inline>
        </w:drawing>
      </w:r>
    </w:p>
    <w:p w14:paraId="07A1C031" w14:textId="77777777" w:rsidR="00E111CB" w:rsidRDefault="00E111CB" w:rsidP="009D660E">
      <w:pPr>
        <w:rPr>
          <w:lang w:val="it-IT"/>
        </w:rPr>
      </w:pPr>
    </w:p>
    <w:p w14:paraId="22398986" w14:textId="77777777" w:rsidR="0059094E" w:rsidRDefault="0059094E" w:rsidP="009D660E">
      <w:pPr>
        <w:rPr>
          <w:lang w:val="it-IT"/>
        </w:rPr>
      </w:pPr>
    </w:p>
    <w:p w14:paraId="145DACC7" w14:textId="763B5481" w:rsidR="0059094E" w:rsidRDefault="0059094E" w:rsidP="009D660E">
      <w:pPr>
        <w:rPr>
          <w:lang w:val="it-IT"/>
        </w:rPr>
      </w:pPr>
    </w:p>
    <w:p w14:paraId="0D554D9A" w14:textId="77777777" w:rsidR="0059094E" w:rsidRDefault="0059094E" w:rsidP="009D660E">
      <w:pPr>
        <w:rPr>
          <w:lang w:val="it-IT"/>
        </w:rPr>
      </w:pPr>
    </w:p>
    <w:p w14:paraId="1C8ECB83" w14:textId="5D25D2D8" w:rsidR="0059094E" w:rsidRDefault="0059094E" w:rsidP="009D660E">
      <w:pPr>
        <w:rPr>
          <w:lang w:val="it-IT"/>
        </w:rPr>
      </w:pPr>
    </w:p>
    <w:p w14:paraId="2D222DC4" w14:textId="77777777" w:rsidR="0059094E" w:rsidRDefault="0059094E" w:rsidP="009D660E">
      <w:pPr>
        <w:rPr>
          <w:lang w:val="it-IT"/>
        </w:rPr>
      </w:pPr>
    </w:p>
    <w:p w14:paraId="1342957E" w14:textId="0F169D96" w:rsidR="0059094E" w:rsidRDefault="0059094E" w:rsidP="009D660E">
      <w:pPr>
        <w:rPr>
          <w:lang w:val="it-IT"/>
        </w:rPr>
      </w:pPr>
    </w:p>
    <w:p w14:paraId="3AE94205" w14:textId="4AD63A9B" w:rsidR="0059094E" w:rsidRDefault="00E111CB" w:rsidP="009D660E">
      <w:pPr>
        <w:rPr>
          <w:lang w:val="it-IT"/>
        </w:rPr>
      </w:pPr>
      <w:r w:rsidRPr="00E111CB">
        <w:rPr>
          <w:noProof/>
        </w:rPr>
        <w:drawing>
          <wp:inline distT="0" distB="0" distL="0" distR="0" wp14:anchorId="44F3A97E" wp14:editId="75DAFCE0">
            <wp:extent cx="5731510" cy="5017418"/>
            <wp:effectExtent l="19050" t="19050" r="21590" b="1206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5017418"/>
                    </a:xfrm>
                    <a:prstGeom prst="rect">
                      <a:avLst/>
                    </a:prstGeom>
                    <a:noFill/>
                    <a:ln w="12700">
                      <a:solidFill>
                        <a:schemeClr val="accent2">
                          <a:lumMod val="75000"/>
                        </a:schemeClr>
                      </a:solidFill>
                    </a:ln>
                  </pic:spPr>
                </pic:pic>
              </a:graphicData>
            </a:graphic>
          </wp:inline>
        </w:drawing>
      </w:r>
    </w:p>
    <w:p w14:paraId="21967DA1" w14:textId="71A8334B" w:rsidR="0059094E" w:rsidRDefault="0059094E" w:rsidP="009D660E">
      <w:pPr>
        <w:rPr>
          <w:lang w:val="it-IT"/>
        </w:rPr>
      </w:pPr>
    </w:p>
    <w:p w14:paraId="255E4BBA" w14:textId="77777777" w:rsidR="0059094E" w:rsidRDefault="0059094E" w:rsidP="009D660E">
      <w:pPr>
        <w:rPr>
          <w:lang w:val="it-IT"/>
        </w:rPr>
      </w:pPr>
    </w:p>
    <w:p w14:paraId="08E5AC1F" w14:textId="5CC4C01A" w:rsidR="0059094E" w:rsidRDefault="0059094E" w:rsidP="009D660E">
      <w:pPr>
        <w:rPr>
          <w:lang w:val="it-IT"/>
        </w:rPr>
      </w:pPr>
    </w:p>
    <w:p w14:paraId="185AC273" w14:textId="77777777" w:rsidR="0059094E" w:rsidRDefault="0059094E" w:rsidP="009D660E">
      <w:pPr>
        <w:rPr>
          <w:lang w:val="it-IT"/>
        </w:rPr>
      </w:pPr>
    </w:p>
    <w:p w14:paraId="6CE28101" w14:textId="030A8907" w:rsidR="0059094E" w:rsidRDefault="0059094E" w:rsidP="009D660E">
      <w:pPr>
        <w:rPr>
          <w:lang w:val="it-IT"/>
        </w:rPr>
      </w:pPr>
    </w:p>
    <w:p w14:paraId="26F35B21" w14:textId="77777777" w:rsidR="0059094E" w:rsidRDefault="0059094E" w:rsidP="009D660E">
      <w:pPr>
        <w:rPr>
          <w:lang w:val="it-IT"/>
        </w:rPr>
      </w:pPr>
    </w:p>
    <w:p w14:paraId="60FBCE16" w14:textId="46379461" w:rsidR="0059094E" w:rsidRDefault="0059094E" w:rsidP="009D660E">
      <w:pPr>
        <w:rPr>
          <w:lang w:val="it-IT"/>
        </w:rPr>
      </w:pPr>
    </w:p>
    <w:p w14:paraId="72B64464" w14:textId="77777777" w:rsidR="0059094E" w:rsidRDefault="0059094E" w:rsidP="009D660E">
      <w:pPr>
        <w:rPr>
          <w:lang w:val="it-IT"/>
        </w:rPr>
      </w:pPr>
    </w:p>
    <w:p w14:paraId="556AAD02" w14:textId="7C401711" w:rsidR="0059094E" w:rsidRDefault="0059094E" w:rsidP="009D660E">
      <w:pPr>
        <w:rPr>
          <w:lang w:val="it-IT"/>
        </w:rPr>
      </w:pPr>
    </w:p>
    <w:p w14:paraId="787C0927" w14:textId="77777777" w:rsidR="0059094E" w:rsidRDefault="0059094E" w:rsidP="009D660E">
      <w:pPr>
        <w:rPr>
          <w:lang w:val="it-IT"/>
        </w:rPr>
      </w:pPr>
    </w:p>
    <w:p w14:paraId="49781ECB" w14:textId="5D4427FA" w:rsidR="0059094E" w:rsidRDefault="0059094E" w:rsidP="009D660E">
      <w:pPr>
        <w:rPr>
          <w:lang w:val="it-IT"/>
        </w:rPr>
      </w:pPr>
    </w:p>
    <w:p w14:paraId="204234E1" w14:textId="77777777" w:rsidR="0059094E" w:rsidRDefault="0059094E" w:rsidP="009D660E">
      <w:pPr>
        <w:rPr>
          <w:lang w:val="it-IT"/>
        </w:rPr>
      </w:pPr>
    </w:p>
    <w:p w14:paraId="53D93DF4" w14:textId="1ABE9164" w:rsidR="0059094E" w:rsidRDefault="0059094E" w:rsidP="009D660E">
      <w:pPr>
        <w:rPr>
          <w:lang w:val="it-IT"/>
        </w:rPr>
      </w:pPr>
    </w:p>
    <w:p w14:paraId="2EFF83C7" w14:textId="77777777" w:rsidR="0059094E" w:rsidRDefault="0059094E" w:rsidP="009D660E">
      <w:pPr>
        <w:rPr>
          <w:lang w:val="it-IT"/>
        </w:rPr>
      </w:pPr>
    </w:p>
    <w:p w14:paraId="1B6F3D97" w14:textId="1BDC6E90" w:rsidR="0059094E" w:rsidRDefault="0059094E" w:rsidP="009D660E">
      <w:pPr>
        <w:rPr>
          <w:lang w:val="it-IT"/>
        </w:rPr>
      </w:pPr>
    </w:p>
    <w:p w14:paraId="352FC3F8" w14:textId="77777777" w:rsidR="0059094E" w:rsidRDefault="0059094E" w:rsidP="009D660E">
      <w:pPr>
        <w:rPr>
          <w:lang w:val="it-IT"/>
        </w:rPr>
      </w:pPr>
    </w:p>
    <w:p w14:paraId="047DDC23" w14:textId="728A5DDB" w:rsidR="0059094E" w:rsidRDefault="0059094E" w:rsidP="009D660E">
      <w:pPr>
        <w:rPr>
          <w:lang w:val="it-IT"/>
        </w:rPr>
      </w:pPr>
    </w:p>
    <w:p w14:paraId="6B72D26D" w14:textId="77777777" w:rsidR="0059094E" w:rsidRDefault="0059094E" w:rsidP="009D660E">
      <w:pPr>
        <w:rPr>
          <w:lang w:val="it-IT"/>
        </w:rPr>
      </w:pPr>
    </w:p>
    <w:p w14:paraId="43D11495" w14:textId="413F88B4" w:rsidR="0059094E" w:rsidRDefault="0059094E" w:rsidP="009D660E">
      <w:pPr>
        <w:rPr>
          <w:lang w:val="it-IT"/>
        </w:rPr>
      </w:pPr>
    </w:p>
    <w:p w14:paraId="4D043345" w14:textId="77777777" w:rsidR="0059094E" w:rsidRDefault="0059094E" w:rsidP="009D660E">
      <w:pPr>
        <w:rPr>
          <w:lang w:val="it-IT"/>
        </w:rPr>
      </w:pPr>
    </w:p>
    <w:p w14:paraId="5B15E9C6" w14:textId="3D6C3BD4" w:rsidR="0059094E" w:rsidRDefault="0059094E" w:rsidP="009D660E">
      <w:pPr>
        <w:rPr>
          <w:lang w:val="it-IT"/>
        </w:rPr>
      </w:pPr>
    </w:p>
    <w:p w14:paraId="01E29485" w14:textId="77777777" w:rsidR="009D660E" w:rsidRDefault="009D660E" w:rsidP="009D660E">
      <w:pPr>
        <w:rPr>
          <w:lang w:val="it-IT"/>
        </w:rPr>
      </w:pPr>
    </w:p>
    <w:p w14:paraId="10982148" w14:textId="77777777" w:rsidR="000C52A9" w:rsidRDefault="000C52A9" w:rsidP="009D660E">
      <w:pPr>
        <w:rPr>
          <w:lang w:val="it-IT"/>
        </w:rPr>
      </w:pPr>
    </w:p>
    <w:p w14:paraId="2CFD6854" w14:textId="77777777" w:rsidR="000C52A9" w:rsidRDefault="000C52A9" w:rsidP="00B57EF8">
      <w:pPr>
        <w:pStyle w:val="Heading1"/>
        <w:numPr>
          <w:ilvl w:val="0"/>
          <w:numId w:val="0"/>
        </w:numPr>
        <w:rPr>
          <w:lang w:val="it-IT"/>
        </w:rPr>
        <w:sectPr w:rsidR="000C52A9" w:rsidSect="00DA1F8C">
          <w:pgSz w:w="11906" w:h="16838"/>
          <w:pgMar w:top="1440" w:right="1440" w:bottom="1701" w:left="1440" w:header="708" w:footer="708" w:gutter="0"/>
          <w:cols w:space="708"/>
          <w:titlePg/>
          <w:docGrid w:linePitch="360"/>
        </w:sectPr>
      </w:pPr>
    </w:p>
    <w:p w14:paraId="4E796C9B" w14:textId="65B50F9A" w:rsidR="00B57EF8" w:rsidRDefault="00B57EF8" w:rsidP="00B57EF8">
      <w:pPr>
        <w:pStyle w:val="Heading1"/>
        <w:numPr>
          <w:ilvl w:val="0"/>
          <w:numId w:val="0"/>
        </w:numPr>
        <w:rPr>
          <w:lang w:val="it-IT"/>
        </w:rPr>
      </w:pPr>
      <w:bookmarkStart w:id="71" w:name="_Toc161748848"/>
      <w:r w:rsidRPr="009D660E">
        <w:rPr>
          <w:lang w:val="it-IT"/>
        </w:rPr>
        <w:t>Shtojca 5 Pasaporta e Treguesve të</w:t>
      </w:r>
      <w:r w:rsidR="00DE5AC3">
        <w:rPr>
          <w:lang w:val="it-IT"/>
        </w:rPr>
        <w:t xml:space="preserve"> Strategjisë së</w:t>
      </w:r>
      <w:r w:rsidRPr="009D660E">
        <w:rPr>
          <w:lang w:val="it-IT"/>
        </w:rPr>
        <w:t xml:space="preserve"> Menaxhimit të Financave Publike 2023 – 2026</w:t>
      </w:r>
      <w:bookmarkEnd w:id="71"/>
    </w:p>
    <w:p w14:paraId="31749E84" w14:textId="77777777" w:rsidR="00685344" w:rsidRDefault="00685344" w:rsidP="00685344">
      <w:pPr>
        <w:rPr>
          <w:lang w:val="it-IT"/>
        </w:rPr>
      </w:pPr>
    </w:p>
    <w:p w14:paraId="61F1F7E8" w14:textId="1181E497" w:rsidR="00685344" w:rsidRDefault="00E3347F" w:rsidP="00685344">
      <w:pPr>
        <w:rPr>
          <w:lang w:val="it-IT"/>
        </w:rPr>
      </w:pPr>
      <w:r w:rsidRPr="00E3347F">
        <w:rPr>
          <w:noProof/>
        </w:rPr>
        <w:drawing>
          <wp:inline distT="0" distB="0" distL="0" distR="0" wp14:anchorId="131AA794" wp14:editId="667F0819">
            <wp:extent cx="9972675" cy="5374950"/>
            <wp:effectExtent l="19050" t="19050" r="9525" b="165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72675" cy="5374950"/>
                    </a:xfrm>
                    <a:prstGeom prst="rect">
                      <a:avLst/>
                    </a:prstGeom>
                    <a:noFill/>
                    <a:ln w="12700">
                      <a:solidFill>
                        <a:schemeClr val="accent2">
                          <a:lumMod val="75000"/>
                        </a:schemeClr>
                      </a:solidFill>
                    </a:ln>
                  </pic:spPr>
                </pic:pic>
              </a:graphicData>
            </a:graphic>
          </wp:inline>
        </w:drawing>
      </w:r>
    </w:p>
    <w:p w14:paraId="2C871A46" w14:textId="665D0CD2" w:rsidR="00685344" w:rsidRDefault="00685344" w:rsidP="00685344">
      <w:pPr>
        <w:rPr>
          <w:lang w:val="it-IT"/>
        </w:rPr>
      </w:pPr>
    </w:p>
    <w:p w14:paraId="00AC973F" w14:textId="4BD35374" w:rsidR="00685344" w:rsidRPr="00685344" w:rsidRDefault="00E3347F" w:rsidP="00685344">
      <w:pPr>
        <w:rPr>
          <w:lang w:val="it-IT"/>
        </w:rPr>
      </w:pPr>
      <w:r w:rsidRPr="00E3347F">
        <w:rPr>
          <w:noProof/>
        </w:rPr>
        <w:drawing>
          <wp:inline distT="0" distB="0" distL="0" distR="0" wp14:anchorId="39385459" wp14:editId="3B31490D">
            <wp:extent cx="9972675" cy="6323747"/>
            <wp:effectExtent l="19050" t="19050" r="9525" b="203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972675" cy="6323747"/>
                    </a:xfrm>
                    <a:prstGeom prst="rect">
                      <a:avLst/>
                    </a:prstGeom>
                    <a:noFill/>
                    <a:ln w="12700">
                      <a:solidFill>
                        <a:schemeClr val="accent2">
                          <a:lumMod val="75000"/>
                        </a:schemeClr>
                      </a:solidFill>
                    </a:ln>
                  </pic:spPr>
                </pic:pic>
              </a:graphicData>
            </a:graphic>
          </wp:inline>
        </w:drawing>
      </w:r>
    </w:p>
    <w:p w14:paraId="56FA0A47" w14:textId="77777777" w:rsidR="00685344" w:rsidRPr="00685344" w:rsidRDefault="00685344" w:rsidP="00685344">
      <w:pPr>
        <w:rPr>
          <w:lang w:val="it-IT"/>
        </w:rPr>
      </w:pPr>
    </w:p>
    <w:p w14:paraId="49A7533F" w14:textId="3C6C88A2" w:rsidR="00685344" w:rsidRPr="00685344" w:rsidRDefault="00685344" w:rsidP="00685344">
      <w:pPr>
        <w:rPr>
          <w:lang w:val="it-IT"/>
        </w:rPr>
      </w:pPr>
    </w:p>
    <w:p w14:paraId="0B8B76BF" w14:textId="77777777" w:rsidR="00685344" w:rsidRPr="00685344" w:rsidRDefault="00685344" w:rsidP="00685344">
      <w:pPr>
        <w:rPr>
          <w:lang w:val="it-IT"/>
        </w:rPr>
      </w:pPr>
    </w:p>
    <w:p w14:paraId="2A95EFFF" w14:textId="2AC2926F" w:rsidR="00685344" w:rsidRDefault="00685344" w:rsidP="00685344">
      <w:pPr>
        <w:rPr>
          <w:lang w:val="it-IT"/>
        </w:rPr>
      </w:pPr>
    </w:p>
    <w:p w14:paraId="32669D2C" w14:textId="77777777" w:rsidR="00E3347F" w:rsidRPr="00685344" w:rsidRDefault="00E3347F" w:rsidP="00685344">
      <w:pPr>
        <w:rPr>
          <w:lang w:val="it-IT"/>
        </w:rPr>
      </w:pPr>
    </w:p>
    <w:p w14:paraId="7F3E0D28" w14:textId="77777777" w:rsidR="00685344" w:rsidRPr="00685344" w:rsidRDefault="00685344" w:rsidP="00685344">
      <w:pPr>
        <w:rPr>
          <w:lang w:val="it-IT"/>
        </w:rPr>
      </w:pPr>
    </w:p>
    <w:p w14:paraId="2C73804A" w14:textId="05786F2A" w:rsidR="00685344" w:rsidRPr="00685344" w:rsidRDefault="00685344" w:rsidP="00685344">
      <w:pPr>
        <w:rPr>
          <w:lang w:val="it-IT"/>
        </w:rPr>
      </w:pPr>
    </w:p>
    <w:p w14:paraId="27FB90CF" w14:textId="77777777" w:rsidR="00685344" w:rsidRDefault="00685344" w:rsidP="00685344">
      <w:pPr>
        <w:rPr>
          <w:lang w:val="it-IT"/>
        </w:rPr>
      </w:pPr>
    </w:p>
    <w:p w14:paraId="6CCC3F80" w14:textId="77777777" w:rsidR="00E3347F" w:rsidRDefault="00E3347F" w:rsidP="00685344">
      <w:pPr>
        <w:rPr>
          <w:lang w:val="it-IT"/>
        </w:rPr>
      </w:pPr>
    </w:p>
    <w:p w14:paraId="74BEB27D" w14:textId="77777777" w:rsidR="00E3347F" w:rsidRPr="00685344" w:rsidRDefault="00E3347F" w:rsidP="00685344">
      <w:pPr>
        <w:rPr>
          <w:lang w:val="it-IT"/>
        </w:rPr>
      </w:pPr>
    </w:p>
    <w:p w14:paraId="09AD52AA" w14:textId="5360436A" w:rsidR="00685344" w:rsidRPr="00685344" w:rsidRDefault="00E3347F" w:rsidP="00685344">
      <w:pPr>
        <w:rPr>
          <w:lang w:val="it-IT"/>
        </w:rPr>
      </w:pPr>
      <w:r w:rsidRPr="00E3347F">
        <w:rPr>
          <w:noProof/>
        </w:rPr>
        <w:drawing>
          <wp:inline distT="0" distB="0" distL="0" distR="0" wp14:anchorId="7C889E78" wp14:editId="26CBAD14">
            <wp:extent cx="9972675" cy="7667250"/>
            <wp:effectExtent l="19050" t="19050" r="9525" b="1016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972675" cy="7667250"/>
                    </a:xfrm>
                    <a:prstGeom prst="rect">
                      <a:avLst/>
                    </a:prstGeom>
                    <a:noFill/>
                    <a:ln w="12700">
                      <a:solidFill>
                        <a:schemeClr val="accent2">
                          <a:lumMod val="75000"/>
                        </a:schemeClr>
                      </a:solidFill>
                    </a:ln>
                  </pic:spPr>
                </pic:pic>
              </a:graphicData>
            </a:graphic>
          </wp:inline>
        </w:drawing>
      </w:r>
    </w:p>
    <w:p w14:paraId="5EC31028" w14:textId="77777777" w:rsidR="00685344" w:rsidRPr="00685344" w:rsidRDefault="00685344" w:rsidP="00685344">
      <w:pPr>
        <w:rPr>
          <w:lang w:val="it-IT"/>
        </w:rPr>
      </w:pPr>
    </w:p>
    <w:p w14:paraId="1B1726DA" w14:textId="77777777" w:rsidR="00685344" w:rsidRPr="00685344" w:rsidRDefault="00685344" w:rsidP="00685344">
      <w:pPr>
        <w:rPr>
          <w:lang w:val="it-IT"/>
        </w:rPr>
      </w:pPr>
    </w:p>
    <w:p w14:paraId="70AD67AA" w14:textId="31E22607" w:rsidR="00685344" w:rsidRPr="00685344" w:rsidRDefault="00E3347F" w:rsidP="00685344">
      <w:pPr>
        <w:rPr>
          <w:lang w:val="it-IT"/>
        </w:rPr>
      </w:pPr>
      <w:r w:rsidRPr="00E3347F">
        <w:rPr>
          <w:noProof/>
        </w:rPr>
        <w:drawing>
          <wp:inline distT="0" distB="0" distL="0" distR="0" wp14:anchorId="580DB59A" wp14:editId="6526BD4D">
            <wp:extent cx="9972675" cy="4024884"/>
            <wp:effectExtent l="19050" t="19050" r="9525" b="139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972675" cy="4024884"/>
                    </a:xfrm>
                    <a:prstGeom prst="rect">
                      <a:avLst/>
                    </a:prstGeom>
                    <a:noFill/>
                    <a:ln w="12700">
                      <a:solidFill>
                        <a:schemeClr val="accent2">
                          <a:lumMod val="75000"/>
                        </a:schemeClr>
                      </a:solidFill>
                    </a:ln>
                  </pic:spPr>
                </pic:pic>
              </a:graphicData>
            </a:graphic>
          </wp:inline>
        </w:drawing>
      </w:r>
    </w:p>
    <w:p w14:paraId="048640CA" w14:textId="77777777" w:rsidR="00685344" w:rsidRPr="00685344" w:rsidRDefault="00685344" w:rsidP="00685344">
      <w:pPr>
        <w:rPr>
          <w:lang w:val="it-IT"/>
        </w:rPr>
      </w:pPr>
    </w:p>
    <w:p w14:paraId="469DF1F2" w14:textId="77777777" w:rsidR="00685344" w:rsidRPr="00685344" w:rsidRDefault="00685344" w:rsidP="00685344">
      <w:pPr>
        <w:rPr>
          <w:lang w:val="it-IT"/>
        </w:rPr>
      </w:pPr>
    </w:p>
    <w:p w14:paraId="2230206F" w14:textId="77777777" w:rsidR="00685344" w:rsidRPr="00685344" w:rsidRDefault="00685344" w:rsidP="00685344">
      <w:pPr>
        <w:rPr>
          <w:lang w:val="it-IT"/>
        </w:rPr>
      </w:pPr>
    </w:p>
    <w:p w14:paraId="11DFC85C" w14:textId="77777777" w:rsidR="00685344" w:rsidRPr="00685344" w:rsidRDefault="00685344" w:rsidP="00685344">
      <w:pPr>
        <w:rPr>
          <w:lang w:val="it-IT"/>
        </w:rPr>
      </w:pPr>
    </w:p>
    <w:p w14:paraId="5A197726" w14:textId="77777777" w:rsidR="00685344" w:rsidRDefault="00685344" w:rsidP="00685344">
      <w:pPr>
        <w:rPr>
          <w:lang w:val="it-IT"/>
        </w:rPr>
      </w:pPr>
    </w:p>
    <w:p w14:paraId="1A39320E" w14:textId="77777777" w:rsidR="00E3347F" w:rsidRDefault="00E3347F" w:rsidP="00685344">
      <w:pPr>
        <w:rPr>
          <w:lang w:val="it-IT"/>
        </w:rPr>
      </w:pPr>
    </w:p>
    <w:p w14:paraId="21E4B071" w14:textId="77777777" w:rsidR="00E3347F" w:rsidRDefault="00E3347F" w:rsidP="00685344">
      <w:pPr>
        <w:rPr>
          <w:lang w:val="it-IT"/>
        </w:rPr>
      </w:pPr>
    </w:p>
    <w:p w14:paraId="5D5192E6" w14:textId="77777777" w:rsidR="00E3347F" w:rsidRDefault="00E3347F" w:rsidP="00685344">
      <w:pPr>
        <w:rPr>
          <w:lang w:val="it-IT"/>
        </w:rPr>
      </w:pPr>
    </w:p>
    <w:p w14:paraId="1D7D7612" w14:textId="77777777" w:rsidR="00E3347F" w:rsidRDefault="00E3347F" w:rsidP="00685344">
      <w:pPr>
        <w:rPr>
          <w:lang w:val="it-IT"/>
        </w:rPr>
      </w:pPr>
    </w:p>
    <w:p w14:paraId="71275552" w14:textId="77777777" w:rsidR="00E3347F" w:rsidRDefault="00E3347F" w:rsidP="00685344">
      <w:pPr>
        <w:rPr>
          <w:lang w:val="it-IT"/>
        </w:rPr>
      </w:pPr>
    </w:p>
    <w:p w14:paraId="0D012141" w14:textId="6A01847D" w:rsidR="00E3347F" w:rsidRDefault="00E3347F" w:rsidP="00685344">
      <w:pPr>
        <w:rPr>
          <w:lang w:val="it-IT"/>
        </w:rPr>
      </w:pPr>
      <w:r w:rsidRPr="00E3347F">
        <w:rPr>
          <w:noProof/>
        </w:rPr>
        <w:drawing>
          <wp:inline distT="0" distB="0" distL="0" distR="0" wp14:anchorId="09C6759B" wp14:editId="3FD69F1B">
            <wp:extent cx="9972675" cy="6493540"/>
            <wp:effectExtent l="19050" t="19050" r="9525" b="2159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972675" cy="6493540"/>
                    </a:xfrm>
                    <a:prstGeom prst="rect">
                      <a:avLst/>
                    </a:prstGeom>
                    <a:noFill/>
                    <a:ln w="12700">
                      <a:solidFill>
                        <a:schemeClr val="accent2">
                          <a:lumMod val="75000"/>
                        </a:schemeClr>
                      </a:solidFill>
                    </a:ln>
                  </pic:spPr>
                </pic:pic>
              </a:graphicData>
            </a:graphic>
          </wp:inline>
        </w:drawing>
      </w:r>
    </w:p>
    <w:p w14:paraId="132FBB03" w14:textId="77777777" w:rsidR="00E3347F" w:rsidRPr="00685344" w:rsidRDefault="00E3347F" w:rsidP="00685344">
      <w:pPr>
        <w:rPr>
          <w:lang w:val="it-IT"/>
        </w:rPr>
      </w:pPr>
    </w:p>
    <w:p w14:paraId="1AC1C5CF" w14:textId="5CE01173" w:rsidR="00685344" w:rsidRDefault="00890213" w:rsidP="00685344">
      <w:pPr>
        <w:rPr>
          <w:lang w:val="it-IT"/>
        </w:rPr>
      </w:pPr>
      <w:r w:rsidRPr="00890213">
        <w:rPr>
          <w:noProof/>
        </w:rPr>
        <w:drawing>
          <wp:inline distT="0" distB="0" distL="0" distR="0" wp14:anchorId="73112DE7" wp14:editId="76F89047">
            <wp:extent cx="9972675" cy="5305223"/>
            <wp:effectExtent l="19050" t="19050" r="9525" b="1016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972675" cy="5305223"/>
                    </a:xfrm>
                    <a:prstGeom prst="rect">
                      <a:avLst/>
                    </a:prstGeom>
                    <a:noFill/>
                    <a:ln w="12700">
                      <a:solidFill>
                        <a:schemeClr val="accent2">
                          <a:lumMod val="75000"/>
                        </a:schemeClr>
                      </a:solidFill>
                    </a:ln>
                  </pic:spPr>
                </pic:pic>
              </a:graphicData>
            </a:graphic>
          </wp:inline>
        </w:drawing>
      </w:r>
    </w:p>
    <w:p w14:paraId="753D1BAF" w14:textId="77777777" w:rsidR="00890213" w:rsidRDefault="00890213" w:rsidP="00685344">
      <w:pPr>
        <w:rPr>
          <w:lang w:val="it-IT"/>
        </w:rPr>
      </w:pPr>
    </w:p>
    <w:p w14:paraId="75CAB1F8" w14:textId="77777777" w:rsidR="00890213" w:rsidRDefault="00890213" w:rsidP="00685344">
      <w:pPr>
        <w:rPr>
          <w:lang w:val="it-IT"/>
        </w:rPr>
      </w:pPr>
    </w:p>
    <w:p w14:paraId="05045DA0" w14:textId="5FC1F6EB" w:rsidR="00685344" w:rsidRDefault="00890213" w:rsidP="00685344">
      <w:pPr>
        <w:rPr>
          <w:lang w:val="it-IT"/>
        </w:rPr>
      </w:pPr>
      <w:r w:rsidRPr="00890213">
        <w:rPr>
          <w:noProof/>
        </w:rPr>
        <w:drawing>
          <wp:inline distT="0" distB="0" distL="0" distR="0" wp14:anchorId="0A2A21D2" wp14:editId="238B25DC">
            <wp:extent cx="9972675" cy="5337580"/>
            <wp:effectExtent l="19050" t="19050" r="9525" b="1587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972675" cy="5337580"/>
                    </a:xfrm>
                    <a:prstGeom prst="rect">
                      <a:avLst/>
                    </a:prstGeom>
                    <a:noFill/>
                    <a:ln w="12700">
                      <a:solidFill>
                        <a:schemeClr val="accent2">
                          <a:lumMod val="75000"/>
                        </a:schemeClr>
                      </a:solidFill>
                    </a:ln>
                  </pic:spPr>
                </pic:pic>
              </a:graphicData>
            </a:graphic>
          </wp:inline>
        </w:drawing>
      </w:r>
    </w:p>
    <w:p w14:paraId="5389CD23" w14:textId="53D0F4B1" w:rsidR="00685344" w:rsidRDefault="00685344" w:rsidP="00685344">
      <w:pPr>
        <w:rPr>
          <w:lang w:val="it-IT"/>
        </w:rPr>
      </w:pPr>
    </w:p>
    <w:p w14:paraId="7B191566" w14:textId="77777777" w:rsidR="00685344" w:rsidRDefault="00685344" w:rsidP="00685344">
      <w:pPr>
        <w:rPr>
          <w:lang w:val="it-IT"/>
        </w:rPr>
      </w:pPr>
    </w:p>
    <w:p w14:paraId="5F8A55B8" w14:textId="12481813" w:rsidR="00685344" w:rsidRDefault="00685344" w:rsidP="00685344">
      <w:pPr>
        <w:rPr>
          <w:lang w:val="it-IT"/>
        </w:rPr>
      </w:pPr>
    </w:p>
    <w:p w14:paraId="4EDA6CA1" w14:textId="77777777" w:rsidR="00685344" w:rsidRDefault="00685344" w:rsidP="00685344">
      <w:pPr>
        <w:rPr>
          <w:lang w:val="it-IT"/>
        </w:rPr>
      </w:pPr>
    </w:p>
    <w:p w14:paraId="58D823FA" w14:textId="72D04859" w:rsidR="00685344" w:rsidRDefault="00685344" w:rsidP="00685344">
      <w:pPr>
        <w:rPr>
          <w:lang w:val="it-IT"/>
        </w:rPr>
      </w:pPr>
    </w:p>
    <w:p w14:paraId="6611A8AE" w14:textId="77777777" w:rsidR="00685344" w:rsidRDefault="00685344" w:rsidP="00685344">
      <w:pPr>
        <w:rPr>
          <w:lang w:val="it-IT"/>
        </w:rPr>
      </w:pPr>
    </w:p>
    <w:p w14:paraId="107DB91E" w14:textId="3B74680E" w:rsidR="00685344" w:rsidRDefault="00685344" w:rsidP="00685344">
      <w:pPr>
        <w:rPr>
          <w:lang w:val="it-IT"/>
        </w:rPr>
      </w:pPr>
    </w:p>
    <w:p w14:paraId="6EA9748A" w14:textId="77777777" w:rsidR="00685344" w:rsidRDefault="00685344" w:rsidP="00685344">
      <w:pPr>
        <w:rPr>
          <w:lang w:val="it-IT"/>
        </w:rPr>
      </w:pPr>
    </w:p>
    <w:p w14:paraId="563A7C92" w14:textId="7BC8C650" w:rsidR="00685344" w:rsidRPr="00685344" w:rsidRDefault="00685344" w:rsidP="00685344">
      <w:pPr>
        <w:rPr>
          <w:lang w:val="it-IT"/>
        </w:rPr>
      </w:pPr>
    </w:p>
    <w:sectPr w:rsidR="00685344" w:rsidRPr="00685344" w:rsidSect="00685344">
      <w:pgSz w:w="16839" w:h="23814" w:code="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46521" w14:textId="77777777" w:rsidR="00F52403" w:rsidRDefault="00F52403" w:rsidP="00463C15">
      <w:pPr>
        <w:spacing w:line="240" w:lineRule="auto"/>
      </w:pPr>
      <w:r>
        <w:separator/>
      </w:r>
    </w:p>
  </w:endnote>
  <w:endnote w:type="continuationSeparator" w:id="0">
    <w:p w14:paraId="42239C7B" w14:textId="77777777" w:rsidR="00F52403" w:rsidRDefault="00F52403" w:rsidP="00463C15">
      <w:pPr>
        <w:spacing w:line="240" w:lineRule="auto"/>
      </w:pPr>
      <w:r>
        <w:continuationSeparator/>
      </w:r>
    </w:p>
  </w:endnote>
  <w:endnote w:type="continuationNotice" w:id="1">
    <w:p w14:paraId="355E1537" w14:textId="77777777" w:rsidR="00F52403" w:rsidRDefault="00F524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Light">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lbertus Extra Bold">
    <w:altName w:val="Berlin Sans FB Demi"/>
    <w:charset w:val="00"/>
    <w:family w:val="swiss"/>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7650"/>
      <w:gridCol w:w="1366"/>
    </w:tblGrid>
    <w:tr w:rsidR="00E51921" w:rsidRPr="00174ECA" w14:paraId="0667B627" w14:textId="77777777" w:rsidTr="00174ECA">
      <w:tc>
        <w:tcPr>
          <w:tcW w:w="7650" w:type="dxa"/>
        </w:tcPr>
        <w:p w14:paraId="52EFFCD9" w14:textId="44B22D93" w:rsidR="00E51921" w:rsidRPr="009D660E" w:rsidRDefault="00E51921">
          <w:pPr>
            <w:pStyle w:val="Footer"/>
            <w:rPr>
              <w:sz w:val="16"/>
              <w:szCs w:val="16"/>
              <w:lang w:val="it-IT"/>
            </w:rPr>
          </w:pPr>
        </w:p>
      </w:tc>
      <w:tc>
        <w:tcPr>
          <w:tcW w:w="1366" w:type="dxa"/>
        </w:tcPr>
        <w:p w14:paraId="5BC3ECFE" w14:textId="13118E2A" w:rsidR="00E51921" w:rsidRPr="00174ECA" w:rsidRDefault="00E51921" w:rsidP="00174ECA">
          <w:pPr>
            <w:pStyle w:val="Footer"/>
            <w:jc w:val="right"/>
            <w:rPr>
              <w:sz w:val="16"/>
              <w:szCs w:val="16"/>
            </w:rPr>
          </w:pPr>
          <w:r>
            <w:rPr>
              <w:sz w:val="16"/>
              <w:szCs w:val="16"/>
            </w:rPr>
            <w:t xml:space="preserve">Page  </w:t>
          </w:r>
          <w:r w:rsidRPr="00174ECA">
            <w:rPr>
              <w:sz w:val="16"/>
              <w:szCs w:val="16"/>
            </w:rPr>
            <w:fldChar w:fldCharType="begin"/>
          </w:r>
          <w:r w:rsidRPr="00174ECA">
            <w:rPr>
              <w:sz w:val="16"/>
              <w:szCs w:val="16"/>
            </w:rPr>
            <w:instrText xml:space="preserve"> PAGE   \* MERGEFORMAT </w:instrText>
          </w:r>
          <w:r w:rsidRPr="00174ECA">
            <w:rPr>
              <w:sz w:val="16"/>
              <w:szCs w:val="16"/>
            </w:rPr>
            <w:fldChar w:fldCharType="separate"/>
          </w:r>
          <w:r w:rsidR="00840437">
            <w:rPr>
              <w:noProof/>
              <w:sz w:val="16"/>
              <w:szCs w:val="16"/>
            </w:rPr>
            <w:t>34</w:t>
          </w:r>
          <w:r w:rsidRPr="00174ECA">
            <w:rPr>
              <w:noProof/>
              <w:sz w:val="16"/>
              <w:szCs w:val="16"/>
            </w:rPr>
            <w:fldChar w:fldCharType="end"/>
          </w:r>
        </w:p>
      </w:tc>
    </w:tr>
  </w:tbl>
  <w:p w14:paraId="1A8A4ECF" w14:textId="50C2F624" w:rsidR="00E51921" w:rsidRDefault="00E51921">
    <w:pPr>
      <w:pStyle w:val="Footer"/>
    </w:pPr>
  </w:p>
  <w:p w14:paraId="1D07515D" w14:textId="77777777" w:rsidR="00E51921" w:rsidRDefault="00E51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7F239" w14:textId="77777777" w:rsidR="00F52403" w:rsidRDefault="00F52403" w:rsidP="00463C15">
      <w:pPr>
        <w:spacing w:line="240" w:lineRule="auto"/>
      </w:pPr>
      <w:r>
        <w:separator/>
      </w:r>
    </w:p>
  </w:footnote>
  <w:footnote w:type="continuationSeparator" w:id="0">
    <w:p w14:paraId="695C182F" w14:textId="77777777" w:rsidR="00F52403" w:rsidRDefault="00F52403" w:rsidP="00463C15">
      <w:pPr>
        <w:spacing w:line="240" w:lineRule="auto"/>
      </w:pPr>
      <w:r>
        <w:continuationSeparator/>
      </w:r>
    </w:p>
  </w:footnote>
  <w:footnote w:type="continuationNotice" w:id="1">
    <w:p w14:paraId="068D348F" w14:textId="77777777" w:rsidR="00F52403" w:rsidRDefault="00F52403">
      <w:pPr>
        <w:spacing w:line="240" w:lineRule="auto"/>
      </w:pPr>
    </w:p>
  </w:footnote>
  <w:footnote w:id="2">
    <w:p w14:paraId="23FDE59A" w14:textId="77777777" w:rsidR="00E51921" w:rsidRPr="009D660E" w:rsidRDefault="00E51921" w:rsidP="00FA5C48">
      <w:pPr>
        <w:pStyle w:val="N-Bullet"/>
        <w:numPr>
          <w:ilvl w:val="0"/>
          <w:numId w:val="0"/>
        </w:numPr>
        <w:spacing w:line="200" w:lineRule="exact"/>
        <w:ind w:left="284" w:hanging="284"/>
        <w:rPr>
          <w:rFonts w:eastAsiaTheme="majorEastAsia" w:cstheme="majorBidi"/>
          <w:i/>
          <w:color w:val="0070C0"/>
          <w:sz w:val="14"/>
          <w:szCs w:val="14"/>
          <w:lang w:val="it-IT"/>
        </w:rPr>
      </w:pPr>
      <w:r w:rsidRPr="009D2A31">
        <w:rPr>
          <w:rStyle w:val="FootnoteReference"/>
          <w:sz w:val="14"/>
        </w:rPr>
        <w:footnoteRef/>
      </w:r>
      <w:r w:rsidRPr="009D660E">
        <w:rPr>
          <w:sz w:val="14"/>
          <w:szCs w:val="14"/>
          <w:lang w:val="it-IT"/>
        </w:rPr>
        <w:t xml:space="preserve"> </w:t>
      </w:r>
      <w:r w:rsidRPr="009D660E">
        <w:rPr>
          <w:sz w:val="14"/>
          <w:szCs w:val="14"/>
          <w:lang w:val="it-IT"/>
        </w:rPr>
        <w:tab/>
      </w:r>
      <w:r w:rsidRPr="009D660E">
        <w:rPr>
          <w:rStyle w:val="FootnoteReference"/>
          <w:sz w:val="14"/>
          <w:vertAlign w:val="baseline"/>
          <w:lang w:val="it-IT"/>
        </w:rPr>
        <w:t>R</w:t>
      </w:r>
      <w:r w:rsidRPr="009D660E">
        <w:rPr>
          <w:sz w:val="14"/>
          <w:lang w:val="it-IT"/>
        </w:rPr>
        <w:t>epublika e Shqipërisë</w:t>
      </w:r>
      <w:r w:rsidRPr="009D660E">
        <w:rPr>
          <w:rStyle w:val="FootnoteReference"/>
          <w:sz w:val="14"/>
          <w:vertAlign w:val="baseline"/>
          <w:lang w:val="it-IT"/>
        </w:rPr>
        <w:t>, K</w:t>
      </w:r>
      <w:r w:rsidRPr="009D660E">
        <w:rPr>
          <w:sz w:val="14"/>
          <w:lang w:val="it-IT"/>
        </w:rPr>
        <w:t>ëshilli i Ministrave</w:t>
      </w:r>
      <w:r w:rsidRPr="009D660E">
        <w:rPr>
          <w:rStyle w:val="FootnoteReference"/>
          <w:sz w:val="14"/>
          <w:vertAlign w:val="baseline"/>
          <w:lang w:val="it-IT"/>
        </w:rPr>
        <w:t>, P</w:t>
      </w:r>
      <w:r w:rsidRPr="009D660E">
        <w:rPr>
          <w:sz w:val="14"/>
          <w:lang w:val="it-IT"/>
        </w:rPr>
        <w:t>rogrami i Reformave Ekonomike</w:t>
      </w:r>
      <w:r w:rsidRPr="009D660E">
        <w:rPr>
          <w:rStyle w:val="FootnoteReference"/>
          <w:sz w:val="14"/>
          <w:vertAlign w:val="baseline"/>
          <w:lang w:val="it-IT"/>
        </w:rPr>
        <w:t xml:space="preserve"> 2023-2025, 31 Januar 2023.</w:t>
      </w:r>
    </w:p>
  </w:footnote>
  <w:footnote w:id="3">
    <w:p w14:paraId="4D042012" w14:textId="12821B23" w:rsidR="00E51921" w:rsidRPr="009D660E" w:rsidRDefault="00E51921">
      <w:pPr>
        <w:pStyle w:val="FootnoteText"/>
        <w:rPr>
          <w:lang w:val="it-IT"/>
        </w:rPr>
      </w:pPr>
      <w:r w:rsidRPr="00AF0A2B">
        <w:rPr>
          <w:rStyle w:val="FootnoteReference"/>
          <w:sz w:val="14"/>
        </w:rPr>
        <w:footnoteRef/>
      </w:r>
      <w:r w:rsidRPr="0059094E">
        <w:rPr>
          <w:rStyle w:val="FootnoteReference"/>
          <w:sz w:val="14"/>
          <w:lang w:val="it-IT"/>
        </w:rPr>
        <w:t xml:space="preserve"> </w:t>
      </w:r>
      <w:r w:rsidRPr="0059094E">
        <w:rPr>
          <w:sz w:val="14"/>
          <w:lang w:val="it-IT"/>
        </w:rPr>
        <w:t xml:space="preserve">      </w:t>
      </w:r>
      <w:r w:rsidRPr="005D0325">
        <w:rPr>
          <w:rStyle w:val="FootnoteReference"/>
          <w:sz w:val="14"/>
          <w:vertAlign w:val="baseline"/>
          <w:lang w:val="it-IT"/>
        </w:rPr>
        <w:t>R</w:t>
      </w:r>
      <w:r w:rsidRPr="005D0325">
        <w:rPr>
          <w:sz w:val="14"/>
          <w:lang w:val="it-IT"/>
        </w:rPr>
        <w:t>epublika e Shqipërisë</w:t>
      </w:r>
      <w:r w:rsidRPr="005D0325">
        <w:rPr>
          <w:rStyle w:val="FootnoteReference"/>
          <w:sz w:val="14"/>
          <w:vertAlign w:val="baseline"/>
          <w:lang w:val="it-IT"/>
        </w:rPr>
        <w:t>, K</w:t>
      </w:r>
      <w:r w:rsidRPr="005D0325">
        <w:rPr>
          <w:sz w:val="14"/>
          <w:lang w:val="it-IT"/>
        </w:rPr>
        <w:t>ëshilli i Ministrave</w:t>
      </w:r>
      <w:r w:rsidRPr="005D0325">
        <w:rPr>
          <w:rStyle w:val="FootnoteReference"/>
          <w:sz w:val="14"/>
          <w:vertAlign w:val="baseline"/>
          <w:lang w:val="it-IT"/>
        </w:rPr>
        <w:t>, P</w:t>
      </w:r>
      <w:r w:rsidRPr="005D0325">
        <w:rPr>
          <w:sz w:val="14"/>
          <w:lang w:val="it-IT"/>
        </w:rPr>
        <w:t>rogrami i Reformave Ekonomike</w:t>
      </w:r>
      <w:r w:rsidRPr="005D0325">
        <w:rPr>
          <w:rStyle w:val="FootnoteReference"/>
          <w:sz w:val="14"/>
          <w:vertAlign w:val="baseline"/>
          <w:lang w:val="it-IT"/>
        </w:rPr>
        <w:t xml:space="preserve"> 202</w:t>
      </w:r>
      <w:r>
        <w:rPr>
          <w:rStyle w:val="FootnoteReference"/>
          <w:sz w:val="14"/>
          <w:vertAlign w:val="baseline"/>
          <w:lang w:val="it-IT"/>
        </w:rPr>
        <w:t>4</w:t>
      </w:r>
      <w:r w:rsidRPr="005D0325">
        <w:rPr>
          <w:rStyle w:val="FootnoteReference"/>
          <w:sz w:val="14"/>
          <w:vertAlign w:val="baseline"/>
          <w:lang w:val="it-IT"/>
        </w:rPr>
        <w:t>-202</w:t>
      </w:r>
      <w:r>
        <w:rPr>
          <w:rStyle w:val="FootnoteReference"/>
          <w:sz w:val="14"/>
          <w:vertAlign w:val="baseline"/>
          <w:lang w:val="it-IT"/>
        </w:rPr>
        <w:t>6</w:t>
      </w:r>
      <w:r w:rsidRPr="005D0325">
        <w:rPr>
          <w:rStyle w:val="FootnoteReference"/>
          <w:sz w:val="14"/>
          <w:vertAlign w:val="baseline"/>
          <w:lang w:val="it-IT"/>
        </w:rPr>
        <w:t xml:space="preserve">, </w:t>
      </w:r>
      <w:r>
        <w:rPr>
          <w:rStyle w:val="FootnoteReference"/>
          <w:sz w:val="14"/>
          <w:vertAlign w:val="baseline"/>
          <w:lang w:val="it-IT"/>
        </w:rPr>
        <w:t>1</w:t>
      </w:r>
      <w:r>
        <w:rPr>
          <w:sz w:val="14"/>
          <w:lang w:val="it-IT"/>
        </w:rPr>
        <w:t>5</w:t>
      </w:r>
      <w:r>
        <w:rPr>
          <w:rStyle w:val="FootnoteReference"/>
          <w:sz w:val="14"/>
          <w:vertAlign w:val="baseline"/>
          <w:lang w:val="it-IT"/>
        </w:rPr>
        <w:t xml:space="preserve"> Jan</w:t>
      </w:r>
      <w:r w:rsidRPr="005D0325">
        <w:rPr>
          <w:rStyle w:val="FootnoteReference"/>
          <w:sz w:val="14"/>
          <w:vertAlign w:val="baseline"/>
          <w:lang w:val="it-IT"/>
        </w:rPr>
        <w:t>ar 202</w:t>
      </w:r>
      <w:r>
        <w:rPr>
          <w:rStyle w:val="FootnoteReference"/>
          <w:sz w:val="14"/>
          <w:vertAlign w:val="baseline"/>
          <w:lang w:val="it-IT"/>
        </w:rPr>
        <w:t>4</w:t>
      </w:r>
      <w:r w:rsidRPr="005D0325">
        <w:rPr>
          <w:rStyle w:val="FootnoteReference"/>
          <w:sz w:val="14"/>
          <w:vertAlign w:val="baseline"/>
          <w:lang w:val="it-IT"/>
        </w:rPr>
        <w:t>.</w:t>
      </w:r>
    </w:p>
  </w:footnote>
  <w:footnote w:id="4">
    <w:p w14:paraId="234C7EBA" w14:textId="4373A994" w:rsidR="00E51921" w:rsidRPr="009D660E" w:rsidRDefault="00E51921" w:rsidP="00505C7E">
      <w:pPr>
        <w:spacing w:line="200" w:lineRule="exact"/>
        <w:ind w:left="284" w:hanging="284"/>
        <w:rPr>
          <w:sz w:val="14"/>
          <w:szCs w:val="14"/>
          <w:lang w:val="it-IT"/>
        </w:rPr>
      </w:pPr>
      <w:r w:rsidRPr="00200748">
        <w:rPr>
          <w:rStyle w:val="FootnoteReference"/>
          <w:sz w:val="14"/>
        </w:rPr>
        <w:footnoteRef/>
      </w:r>
      <w:r w:rsidRPr="009D660E">
        <w:rPr>
          <w:sz w:val="14"/>
          <w:szCs w:val="14"/>
          <w:lang w:val="it-IT"/>
        </w:rPr>
        <w:t xml:space="preserve"> </w:t>
      </w:r>
      <w:r w:rsidRPr="009D660E">
        <w:rPr>
          <w:sz w:val="14"/>
          <w:szCs w:val="14"/>
          <w:lang w:val="it-IT"/>
        </w:rPr>
        <w:tab/>
        <w:t>Ligji Nr. 30/2022 “Për miratimin e Programit të Statistikave Zyrtare 2022-2026”</w:t>
      </w:r>
    </w:p>
    <w:p w14:paraId="334EDF4F" w14:textId="48A66782" w:rsidR="00E51921" w:rsidRPr="009D660E" w:rsidRDefault="00E51921">
      <w:pPr>
        <w:pStyle w:val="FootnoteText"/>
        <w:rPr>
          <w:lang w:val="it-IT"/>
        </w:rPr>
      </w:pPr>
    </w:p>
  </w:footnote>
  <w:footnote w:id="5">
    <w:p w14:paraId="2A0C2315" w14:textId="025B3A4F" w:rsidR="00E51921" w:rsidRPr="009D660E" w:rsidRDefault="00E51921" w:rsidP="00505C7E">
      <w:pPr>
        <w:pStyle w:val="FootnoteText"/>
        <w:spacing w:line="200" w:lineRule="exact"/>
        <w:ind w:left="284" w:hanging="284"/>
        <w:rPr>
          <w:sz w:val="14"/>
          <w:szCs w:val="14"/>
          <w:lang w:val="it-IT"/>
        </w:rPr>
      </w:pPr>
      <w:r w:rsidRPr="00A15181">
        <w:rPr>
          <w:rStyle w:val="FootnoteReference"/>
          <w:sz w:val="14"/>
        </w:rPr>
        <w:footnoteRef/>
      </w:r>
      <w:r w:rsidRPr="009D660E">
        <w:rPr>
          <w:sz w:val="14"/>
          <w:szCs w:val="14"/>
          <w:lang w:val="it-IT"/>
        </w:rPr>
        <w:t xml:space="preserve"> </w:t>
      </w:r>
      <w:r w:rsidRPr="009D660E">
        <w:rPr>
          <w:sz w:val="14"/>
          <w:szCs w:val="14"/>
          <w:lang w:val="it-IT"/>
        </w:rPr>
        <w:tab/>
        <w:t>MF Drejtoria e Përgjithshme e Programimit Makroekonomik</w:t>
      </w:r>
    </w:p>
  </w:footnote>
  <w:footnote w:id="6">
    <w:p w14:paraId="7A16D104" w14:textId="6770FE4A" w:rsidR="00E51921" w:rsidRPr="009D660E" w:rsidRDefault="00E51921" w:rsidP="000D65EC">
      <w:pPr>
        <w:pStyle w:val="FootnoteText"/>
        <w:spacing w:line="200" w:lineRule="exact"/>
        <w:ind w:left="284" w:hanging="284"/>
        <w:rPr>
          <w:sz w:val="14"/>
          <w:szCs w:val="14"/>
          <w:lang w:val="it-IT"/>
        </w:rPr>
      </w:pPr>
      <w:r w:rsidRPr="0088380C">
        <w:rPr>
          <w:rStyle w:val="FootnoteReference"/>
          <w:sz w:val="14"/>
        </w:rPr>
        <w:footnoteRef/>
      </w:r>
      <w:r w:rsidRPr="009D660E">
        <w:rPr>
          <w:sz w:val="14"/>
          <w:szCs w:val="14"/>
          <w:lang w:val="it-IT"/>
        </w:rPr>
        <w:t xml:space="preserve"> </w:t>
      </w:r>
      <w:r w:rsidRPr="009D660E">
        <w:rPr>
          <w:sz w:val="14"/>
          <w:szCs w:val="14"/>
          <w:lang w:val="it-IT"/>
        </w:rPr>
        <w:tab/>
        <w:t xml:space="preserve">FMN-ja ofron mbështetje përmes angazhimit të saj dy vjeçar me MF-në si pjesë e Konsultimeve të nenit 4. Asistenca teknike mbetet ende për t’u vendosur nga cili institucion i pavarur ndërkombëtar dhe financiar do të ofrohet. </w:t>
      </w:r>
    </w:p>
  </w:footnote>
  <w:footnote w:id="7">
    <w:p w14:paraId="1153E5C2" w14:textId="77777777" w:rsidR="00E51921" w:rsidRPr="009D660E" w:rsidRDefault="00E51921" w:rsidP="004B51E9">
      <w:pPr>
        <w:pStyle w:val="FootnoteText"/>
        <w:spacing w:line="200" w:lineRule="exact"/>
        <w:ind w:left="284" w:hanging="284"/>
        <w:rPr>
          <w:sz w:val="14"/>
          <w:szCs w:val="14"/>
          <w:lang w:val="it-IT"/>
        </w:rPr>
      </w:pPr>
      <w:r w:rsidRPr="0088380C">
        <w:rPr>
          <w:rStyle w:val="FootnoteReference"/>
          <w:sz w:val="14"/>
        </w:rPr>
        <w:footnoteRef/>
      </w:r>
      <w:r w:rsidRPr="009D660E">
        <w:rPr>
          <w:sz w:val="14"/>
          <w:szCs w:val="14"/>
          <w:lang w:val="it-IT"/>
        </w:rPr>
        <w:t xml:space="preserve"> </w:t>
      </w:r>
      <w:r w:rsidRPr="009D660E">
        <w:rPr>
          <w:sz w:val="14"/>
          <w:szCs w:val="14"/>
          <w:lang w:val="it-IT"/>
        </w:rPr>
        <w:tab/>
        <w:t>FMN-ja ofron mbështetje përmes angazhimit të saj dy vjeçar me MF-në si pjesë e Konsultimeve të nenit 4.</w:t>
      </w:r>
    </w:p>
  </w:footnote>
  <w:footnote w:id="8">
    <w:p w14:paraId="5AA1FB72" w14:textId="77777777" w:rsidR="00E51921" w:rsidRPr="009D660E" w:rsidRDefault="00E51921" w:rsidP="004B51E9">
      <w:pPr>
        <w:pStyle w:val="EcorysBody"/>
        <w:spacing w:line="200" w:lineRule="exact"/>
        <w:ind w:left="284" w:hanging="284"/>
        <w:rPr>
          <w:rFonts w:ascii="Arial" w:hAnsi="Arial" w:cs="Arial"/>
          <w:sz w:val="14"/>
          <w:szCs w:val="14"/>
          <w:lang w:val="it-IT"/>
        </w:rPr>
      </w:pPr>
      <w:r w:rsidRPr="0088380C">
        <w:rPr>
          <w:rStyle w:val="FootnoteReference"/>
          <w:sz w:val="14"/>
        </w:rPr>
        <w:footnoteRef/>
      </w:r>
      <w:r w:rsidRPr="009D660E">
        <w:rPr>
          <w:rFonts w:ascii="Arial" w:hAnsi="Arial" w:cs="Arial"/>
          <w:sz w:val="14"/>
          <w:szCs w:val="14"/>
          <w:lang w:val="it-IT"/>
        </w:rPr>
        <w:t xml:space="preserve"> </w:t>
      </w:r>
      <w:r w:rsidRPr="009D660E">
        <w:rPr>
          <w:rFonts w:ascii="Arial" w:hAnsi="Arial" w:cs="Arial"/>
          <w:sz w:val="14"/>
          <w:szCs w:val="14"/>
          <w:lang w:val="it-IT"/>
        </w:rPr>
        <w:tab/>
        <w:t>Paketa e mjeteve të menaxhimit të riskut fiskal të FMN-së (</w:t>
      </w:r>
      <w:hyperlink r:id="rId1" w:history="1">
        <w:r w:rsidRPr="009D660E">
          <w:rPr>
            <w:rStyle w:val="Hyperlink"/>
            <w:rFonts w:ascii="Arial" w:hAnsi="Arial" w:cs="Arial"/>
            <w:sz w:val="14"/>
            <w:szCs w:val="14"/>
            <w:lang w:val="it-IT"/>
          </w:rPr>
          <w:t>https://www.imf.org/en/Topics/fiscal-policies/Fiscal-Risks/Fiscal-Risks-Toolkit</w:t>
        </w:r>
      </w:hyperlink>
      <w:r w:rsidRPr="009D660E">
        <w:rPr>
          <w:rFonts w:ascii="Arial" w:hAnsi="Arial" w:cs="Arial"/>
          <w:sz w:val="14"/>
          <w:szCs w:val="14"/>
          <w:lang w:val="it-IT"/>
        </w:rPr>
        <w:t xml:space="preserve">) mund të përdoret si material udhëzues. Mund të parashikohet që të gjitha Ndërmarrjet Shtetërore t’i nënshtrohen marrëveshjeve të vlerësimit, monitorimit dhe mbikëqyrjes për të identifikuar detyrimet kontigjente dhe për të menaxhuar risqet fiskale.  </w:t>
      </w:r>
    </w:p>
  </w:footnote>
  <w:footnote w:id="9">
    <w:p w14:paraId="1338388E" w14:textId="77777777" w:rsidR="00E51921" w:rsidRPr="009D660E" w:rsidRDefault="00E51921" w:rsidP="004B51E9">
      <w:pPr>
        <w:pStyle w:val="FootnoteText"/>
        <w:spacing w:line="200" w:lineRule="exact"/>
        <w:ind w:left="284" w:hanging="284"/>
        <w:rPr>
          <w:lang w:val="it-IT"/>
        </w:rPr>
      </w:pPr>
      <w:r w:rsidRPr="0088380C">
        <w:rPr>
          <w:rStyle w:val="FootnoteReference"/>
          <w:sz w:val="14"/>
        </w:rPr>
        <w:footnoteRef/>
      </w:r>
      <w:r w:rsidRPr="009D660E">
        <w:rPr>
          <w:sz w:val="14"/>
          <w:szCs w:val="14"/>
          <w:lang w:val="it-IT"/>
        </w:rPr>
        <w:t xml:space="preserve"> </w:t>
      </w:r>
      <w:r w:rsidRPr="009D660E">
        <w:rPr>
          <w:sz w:val="14"/>
          <w:szCs w:val="14"/>
          <w:lang w:val="it-IT"/>
        </w:rPr>
        <w:tab/>
        <w:t>Për t’u vendosur</w:t>
      </w:r>
    </w:p>
  </w:footnote>
  <w:footnote w:id="10">
    <w:p w14:paraId="4A21ACBF" w14:textId="637BD561" w:rsidR="00E51921" w:rsidRPr="009D660E" w:rsidRDefault="00E51921" w:rsidP="00505C7E">
      <w:pPr>
        <w:pStyle w:val="FootnoteText"/>
        <w:spacing w:line="200" w:lineRule="exact"/>
        <w:ind w:left="284" w:hanging="284"/>
        <w:rPr>
          <w:lang w:val="it-IT"/>
        </w:rPr>
      </w:pPr>
      <w:r w:rsidRPr="00861795">
        <w:rPr>
          <w:rStyle w:val="FootnoteReference"/>
          <w:sz w:val="14"/>
        </w:rPr>
        <w:footnoteRef/>
      </w:r>
      <w:r w:rsidRPr="009D660E">
        <w:rPr>
          <w:rStyle w:val="FootnoteReference"/>
          <w:sz w:val="14"/>
          <w:lang w:val="it-IT"/>
        </w:rPr>
        <w:t xml:space="preserve"> </w:t>
      </w:r>
      <w:r w:rsidRPr="009D660E">
        <w:rPr>
          <w:sz w:val="14"/>
          <w:lang w:val="it-IT"/>
        </w:rPr>
        <w:tab/>
      </w:r>
      <w:r w:rsidRPr="009D660E">
        <w:rPr>
          <w:rStyle w:val="FootnoteReference"/>
          <w:sz w:val="14"/>
          <w:vertAlign w:val="baseline"/>
          <w:lang w:val="it-IT"/>
        </w:rPr>
        <w:t>N</w:t>
      </w:r>
      <w:r w:rsidRPr="009D660E">
        <w:rPr>
          <w:sz w:val="14"/>
          <w:lang w:val="it-IT"/>
        </w:rPr>
        <w:t>gritja e një Këshilli Fiskal deri në fund të vitit 2026 sugjerohet nga Udhërrëfyesi I Reformës në Administratën Publike 2023-2030</w:t>
      </w:r>
      <w:r w:rsidRPr="009D660E">
        <w:rPr>
          <w:rStyle w:val="FootnoteReference"/>
          <w:sz w:val="14"/>
          <w:vertAlign w:val="baseline"/>
          <w:lang w:val="it-IT"/>
        </w:rPr>
        <w:t xml:space="preserve"> (VENDIM Nr. 737, datë 13.12.2023, PËR MIRATIMIN E UDHËRRËFYESIT PËR REFORMËN NË ADMINISTRATËN PUBLIKE 2023–2030).</w:t>
      </w:r>
    </w:p>
  </w:footnote>
  <w:footnote w:id="11">
    <w:p w14:paraId="5846A8A6" w14:textId="5D7205C2" w:rsidR="00E51921" w:rsidRPr="009D660E" w:rsidRDefault="00E51921" w:rsidP="00505C7E">
      <w:pPr>
        <w:pStyle w:val="FootnoteText"/>
        <w:spacing w:line="200" w:lineRule="exact"/>
        <w:ind w:left="284" w:hanging="284"/>
        <w:rPr>
          <w:sz w:val="14"/>
          <w:szCs w:val="14"/>
          <w:lang w:val="it-IT"/>
        </w:rPr>
      </w:pPr>
      <w:r w:rsidRPr="00A15181">
        <w:rPr>
          <w:rStyle w:val="FootnoteReference"/>
          <w:sz w:val="14"/>
        </w:rPr>
        <w:footnoteRef/>
      </w:r>
      <w:r w:rsidRPr="009D660E">
        <w:rPr>
          <w:sz w:val="14"/>
          <w:szCs w:val="14"/>
          <w:lang w:val="it-IT"/>
        </w:rPr>
        <w:t xml:space="preserve"> </w:t>
      </w:r>
      <w:r w:rsidRPr="009D660E">
        <w:rPr>
          <w:sz w:val="14"/>
          <w:szCs w:val="14"/>
          <w:lang w:val="it-IT"/>
        </w:rPr>
        <w:tab/>
        <w:t>Direktiva e Këshillit 2011/85/BE e datës 8 Nëntor 2011 mbi kërkesat për kuadrin buxhetor të Shteteve Anëtare.</w:t>
      </w:r>
    </w:p>
  </w:footnote>
  <w:footnote w:id="12">
    <w:p w14:paraId="29C0CA8A" w14:textId="4F2F97DA" w:rsidR="00E51921" w:rsidRPr="009D660E" w:rsidRDefault="00E51921" w:rsidP="00505C7E">
      <w:pPr>
        <w:spacing w:line="200" w:lineRule="exact"/>
        <w:ind w:left="284" w:hanging="284"/>
        <w:rPr>
          <w:sz w:val="14"/>
          <w:szCs w:val="14"/>
          <w:lang w:val="it-IT"/>
        </w:rPr>
      </w:pPr>
      <w:r w:rsidRPr="00A15181">
        <w:rPr>
          <w:rStyle w:val="FootnoteReference"/>
          <w:sz w:val="14"/>
        </w:rPr>
        <w:footnoteRef/>
      </w:r>
      <w:r w:rsidRPr="009D660E">
        <w:rPr>
          <w:sz w:val="14"/>
          <w:szCs w:val="14"/>
          <w:lang w:val="it-IT"/>
        </w:rPr>
        <w:t xml:space="preserve"> </w:t>
      </w:r>
      <w:r w:rsidRPr="009D660E">
        <w:rPr>
          <w:sz w:val="14"/>
          <w:szCs w:val="14"/>
          <w:lang w:val="it-IT"/>
        </w:rPr>
        <w:tab/>
        <w:t>Rrjeti i institucioneve të pavarura fiskale të BE-së (https://www.euifis.eu) dhe OECD ofrojnë material udhëzuese për institucionet e pavarura fiskale.</w:t>
      </w:r>
    </w:p>
  </w:footnote>
  <w:footnote w:id="13">
    <w:p w14:paraId="207D6751" w14:textId="59D4D0F8" w:rsidR="00E51921" w:rsidRPr="009D660E" w:rsidRDefault="00E51921" w:rsidP="00505C7E">
      <w:pPr>
        <w:pStyle w:val="FootnoteText"/>
        <w:spacing w:line="200" w:lineRule="exact"/>
        <w:ind w:left="284" w:hanging="284"/>
        <w:rPr>
          <w:sz w:val="14"/>
          <w:szCs w:val="14"/>
          <w:lang w:val="it-IT"/>
        </w:rPr>
      </w:pPr>
      <w:r w:rsidRPr="00A44817">
        <w:rPr>
          <w:rStyle w:val="FootnoteReference"/>
          <w:sz w:val="14"/>
        </w:rPr>
        <w:footnoteRef/>
      </w:r>
      <w:r w:rsidRPr="009D660E">
        <w:rPr>
          <w:sz w:val="14"/>
          <w:szCs w:val="14"/>
          <w:lang w:val="it-IT"/>
        </w:rPr>
        <w:t xml:space="preserve"> </w:t>
      </w:r>
      <w:r w:rsidRPr="009D660E">
        <w:rPr>
          <w:sz w:val="14"/>
          <w:szCs w:val="14"/>
          <w:lang w:val="it-IT"/>
        </w:rPr>
        <w:tab/>
        <w:t>SASPAC është aktualisht në process prokurimi për të përmirësuar SIPI-n. Lidhet ndërmjet SIPI-t dhe veçanërisht SIMFSH-së për qëllim të formulimit të PBA-së, menaxhimit të investimeve publike dhe raportimit të performancës buxhetore.</w:t>
      </w:r>
    </w:p>
  </w:footnote>
  <w:footnote w:id="14">
    <w:p w14:paraId="3E057A82" w14:textId="1B55F024" w:rsidR="00E51921" w:rsidRPr="009D660E" w:rsidRDefault="00E51921" w:rsidP="00505C7E">
      <w:pPr>
        <w:pStyle w:val="FootnoteText"/>
        <w:spacing w:line="200" w:lineRule="exact"/>
        <w:ind w:left="284" w:hanging="284"/>
        <w:rPr>
          <w:sz w:val="14"/>
          <w:szCs w:val="14"/>
          <w:lang w:val="it-IT"/>
        </w:rPr>
      </w:pPr>
      <w:r w:rsidRPr="00771868">
        <w:rPr>
          <w:rStyle w:val="FootnoteReference"/>
          <w:sz w:val="14"/>
        </w:rPr>
        <w:footnoteRef/>
      </w:r>
      <w:r w:rsidRPr="009D660E">
        <w:rPr>
          <w:sz w:val="14"/>
          <w:szCs w:val="14"/>
          <w:lang w:val="it-IT"/>
        </w:rPr>
        <w:t xml:space="preserve"> </w:t>
      </w:r>
      <w:r w:rsidRPr="009D660E">
        <w:rPr>
          <w:sz w:val="14"/>
          <w:szCs w:val="14"/>
          <w:lang w:val="it-IT"/>
        </w:rPr>
        <w:tab/>
        <w:t xml:space="preserve">Raporti SIGMA 2021 </w:t>
      </w:r>
      <w:hyperlink r:id="rId2" w:history="1">
        <w:r w:rsidRPr="009D660E">
          <w:rPr>
            <w:rStyle w:val="Hyperlink"/>
            <w:sz w:val="14"/>
            <w:szCs w:val="14"/>
            <w:lang w:val="it-IT"/>
          </w:rPr>
          <w:t>https://www.google.com/url?sa=t&amp;rct=j&amp;q=&amp;esrc=s&amp;source=web&amp;cd=&amp;cad=rja&amp;uact=8&amp;ved=2ahUKEwi_rIK-2IeEAxWoSvEDHT5lBE0QFnoECBcQAQ&amp;url=https%3A%2F%2Fwww.sigmaweb.org%2Fpublications%2FMonitoring-Report-2021-Albania.pdf&amp;usg=AOvVaw1NKg5o_4wPmxO4i1vLlUb0&amp;opi=89978449</w:t>
        </w:r>
      </w:hyperlink>
      <w:r w:rsidRPr="009D660E">
        <w:rPr>
          <w:sz w:val="14"/>
          <w:szCs w:val="14"/>
          <w:lang w:val="it-IT"/>
        </w:rPr>
        <w:t xml:space="preserve"> </w:t>
      </w:r>
    </w:p>
  </w:footnote>
  <w:footnote w:id="15">
    <w:p w14:paraId="7339A0FE" w14:textId="71FE7CB4" w:rsidR="00E51921" w:rsidRPr="009D660E" w:rsidRDefault="00E51921" w:rsidP="00505C7E">
      <w:pPr>
        <w:pStyle w:val="FootnoteText"/>
        <w:spacing w:line="200" w:lineRule="exact"/>
        <w:ind w:left="284" w:hanging="284"/>
        <w:rPr>
          <w:sz w:val="14"/>
          <w:szCs w:val="14"/>
          <w:lang w:val="it-IT"/>
        </w:rPr>
      </w:pPr>
      <w:r w:rsidRPr="001C3C3C">
        <w:rPr>
          <w:rStyle w:val="FootnoteReference"/>
          <w:sz w:val="14"/>
        </w:rPr>
        <w:footnoteRef/>
      </w:r>
      <w:r w:rsidRPr="009D660E">
        <w:rPr>
          <w:sz w:val="14"/>
          <w:szCs w:val="14"/>
          <w:lang w:val="it-IT"/>
        </w:rPr>
        <w:t xml:space="preserve"> </w:t>
      </w:r>
      <w:r w:rsidRPr="009D660E">
        <w:rPr>
          <w:sz w:val="14"/>
          <w:szCs w:val="14"/>
          <w:lang w:val="it-IT"/>
        </w:rPr>
        <w:tab/>
        <w:t xml:space="preserve">Përfshirë lidhjen ndërmjet institucioneve buxhetore të nivelit të parë dhe të dytë, përgjegjësinë e menaxhimit ekzekutiv të institucioneve buxhetore dhe mandatin e menaxherëve të programeve buxhetore.  </w:t>
      </w:r>
    </w:p>
  </w:footnote>
  <w:footnote w:id="16">
    <w:p w14:paraId="04E23354" w14:textId="4A629359" w:rsidR="00E51921" w:rsidRPr="009D660E" w:rsidRDefault="00E51921" w:rsidP="00505C7E">
      <w:pPr>
        <w:pStyle w:val="FootnoteText"/>
        <w:spacing w:line="200" w:lineRule="exact"/>
        <w:ind w:left="284" w:hanging="284"/>
        <w:rPr>
          <w:sz w:val="14"/>
          <w:szCs w:val="14"/>
          <w:lang w:val="it-IT"/>
        </w:rPr>
      </w:pPr>
      <w:r w:rsidRPr="001C3C3C">
        <w:rPr>
          <w:rStyle w:val="FootnoteReference"/>
          <w:sz w:val="14"/>
        </w:rPr>
        <w:footnoteRef/>
      </w:r>
      <w:r w:rsidRPr="009D660E">
        <w:rPr>
          <w:sz w:val="14"/>
          <w:szCs w:val="14"/>
          <w:lang w:val="it-IT"/>
        </w:rPr>
        <w:t xml:space="preserve"> </w:t>
      </w:r>
      <w:r w:rsidRPr="009D660E">
        <w:rPr>
          <w:sz w:val="14"/>
          <w:szCs w:val="14"/>
          <w:lang w:val="it-IT"/>
        </w:rPr>
        <w:tab/>
        <w:t>P.sh. sistemi i nënshkrimeve elektronike</w:t>
      </w:r>
    </w:p>
  </w:footnote>
  <w:footnote w:id="17">
    <w:p w14:paraId="74D7C526" w14:textId="4D498CE7" w:rsidR="00E51921" w:rsidRPr="009D660E" w:rsidRDefault="00E51921" w:rsidP="00505C7E">
      <w:pPr>
        <w:pStyle w:val="FootnoteText"/>
        <w:spacing w:line="200" w:lineRule="exact"/>
        <w:ind w:left="284" w:hanging="284"/>
        <w:rPr>
          <w:sz w:val="14"/>
          <w:szCs w:val="14"/>
          <w:lang w:val="it-IT"/>
        </w:rPr>
      </w:pPr>
      <w:r w:rsidRPr="001C3C3C">
        <w:rPr>
          <w:rStyle w:val="FootnoteReference"/>
          <w:sz w:val="14"/>
        </w:rPr>
        <w:footnoteRef/>
      </w:r>
      <w:r w:rsidRPr="009D660E">
        <w:rPr>
          <w:sz w:val="14"/>
          <w:szCs w:val="14"/>
          <w:lang w:val="it-IT"/>
        </w:rPr>
        <w:t xml:space="preserve"> </w:t>
      </w:r>
      <w:r w:rsidRPr="009D660E">
        <w:rPr>
          <w:sz w:val="14"/>
          <w:szCs w:val="14"/>
          <w:lang w:val="it-IT"/>
        </w:rPr>
        <w:tab/>
        <w:t>Për t’u dakordësuar</w:t>
      </w:r>
    </w:p>
  </w:footnote>
  <w:footnote w:id="18">
    <w:p w14:paraId="14B34662" w14:textId="557C9FA4" w:rsidR="00E51921" w:rsidRPr="009D660E" w:rsidRDefault="00E51921" w:rsidP="00505C7E">
      <w:pPr>
        <w:pStyle w:val="FootnoteText"/>
        <w:spacing w:line="200" w:lineRule="exact"/>
        <w:ind w:left="284" w:hanging="284"/>
        <w:rPr>
          <w:sz w:val="14"/>
          <w:szCs w:val="14"/>
          <w:lang w:val="it-IT"/>
        </w:rPr>
      </w:pPr>
      <w:r w:rsidRPr="001C3C3C">
        <w:rPr>
          <w:rStyle w:val="FootnoteReference"/>
          <w:sz w:val="14"/>
        </w:rPr>
        <w:footnoteRef/>
      </w:r>
      <w:r w:rsidRPr="009D660E">
        <w:rPr>
          <w:sz w:val="14"/>
          <w:szCs w:val="14"/>
          <w:lang w:val="it-IT"/>
        </w:rPr>
        <w:t xml:space="preserve"> </w:t>
      </w:r>
      <w:r w:rsidRPr="009D660E">
        <w:rPr>
          <w:sz w:val="14"/>
          <w:szCs w:val="14"/>
          <w:lang w:val="it-IT"/>
        </w:rPr>
        <w:tab/>
        <w:t>Për t’u dakordësuar</w:t>
      </w:r>
    </w:p>
  </w:footnote>
  <w:footnote w:id="19">
    <w:p w14:paraId="59EB4086" w14:textId="5145585D" w:rsidR="00E51921" w:rsidRPr="009D660E" w:rsidRDefault="00E51921" w:rsidP="00505C7E">
      <w:pPr>
        <w:pStyle w:val="FootnoteText"/>
        <w:spacing w:line="200" w:lineRule="exact"/>
        <w:ind w:left="284" w:hanging="284"/>
        <w:rPr>
          <w:lang w:val="it-IT"/>
        </w:rPr>
      </w:pPr>
      <w:r w:rsidRPr="001C3C3C">
        <w:rPr>
          <w:rStyle w:val="FootnoteReference"/>
          <w:sz w:val="14"/>
        </w:rPr>
        <w:footnoteRef/>
      </w:r>
      <w:r w:rsidRPr="009D660E">
        <w:rPr>
          <w:sz w:val="14"/>
          <w:szCs w:val="14"/>
          <w:lang w:val="it-IT"/>
        </w:rPr>
        <w:t xml:space="preserve"> </w:t>
      </w:r>
      <w:r w:rsidRPr="009D660E">
        <w:rPr>
          <w:sz w:val="14"/>
          <w:szCs w:val="14"/>
          <w:lang w:val="it-IT"/>
        </w:rPr>
        <w:tab/>
        <w:t>Për t’u dakordësuar</w:t>
      </w:r>
    </w:p>
  </w:footnote>
  <w:footnote w:id="20">
    <w:p w14:paraId="651EF0A5" w14:textId="76C0AF5B" w:rsidR="00E51921" w:rsidRPr="009D660E" w:rsidRDefault="00E51921" w:rsidP="00505C7E">
      <w:pPr>
        <w:pStyle w:val="FootnoteText"/>
        <w:spacing w:line="200" w:lineRule="exact"/>
        <w:ind w:left="284" w:hanging="284"/>
        <w:rPr>
          <w:sz w:val="14"/>
          <w:szCs w:val="14"/>
          <w:lang w:val="it-IT"/>
        </w:rPr>
      </w:pPr>
      <w:r w:rsidRPr="001C3C3C">
        <w:rPr>
          <w:rStyle w:val="FootnoteReference"/>
          <w:sz w:val="14"/>
        </w:rPr>
        <w:footnoteRef/>
      </w:r>
      <w:r w:rsidRPr="009D660E">
        <w:rPr>
          <w:sz w:val="14"/>
          <w:szCs w:val="14"/>
          <w:lang w:val="it-IT"/>
        </w:rPr>
        <w:t xml:space="preserve"> </w:t>
      </w:r>
      <w:r w:rsidRPr="009D660E">
        <w:rPr>
          <w:sz w:val="14"/>
          <w:szCs w:val="14"/>
          <w:lang w:val="it-IT"/>
        </w:rPr>
        <w:tab/>
        <w:t>MF është përgjegjëse për vlerësimin dhe përzgjedhjen e Projekteve për Investime Publike, formulimin e segmentit kapital të buxhetit dhe monitorimin dhe raportimin për zbatimin e projekteve kapitale; SASPAC ka mandat të zhvillojë strategji kombëtare dhe listën unike të projekteve me rëndësi kombëtare, ndërsa institucionet buxhetore përgatisin projekt propozime kapitale dhe zbatojnë projekte.</w:t>
      </w:r>
    </w:p>
  </w:footnote>
  <w:footnote w:id="21">
    <w:p w14:paraId="4E2343D9" w14:textId="680974E9" w:rsidR="00E51921" w:rsidRPr="009D660E" w:rsidRDefault="00E51921" w:rsidP="009B1B5F">
      <w:pPr>
        <w:pStyle w:val="FootnoteText"/>
        <w:spacing w:line="288" w:lineRule="auto"/>
        <w:ind w:left="284" w:hanging="284"/>
        <w:rPr>
          <w:sz w:val="14"/>
          <w:szCs w:val="14"/>
          <w:lang w:val="it-IT"/>
        </w:rPr>
      </w:pPr>
      <w:r w:rsidRPr="00EA4BF3">
        <w:rPr>
          <w:rStyle w:val="FootnoteReference"/>
          <w:sz w:val="14"/>
        </w:rPr>
        <w:footnoteRef/>
      </w:r>
      <w:r w:rsidRPr="009D660E">
        <w:rPr>
          <w:sz w:val="14"/>
          <w:szCs w:val="14"/>
          <w:lang w:val="it-IT"/>
        </w:rPr>
        <w:t xml:space="preserve"> </w:t>
      </w:r>
      <w:r w:rsidRPr="009D660E">
        <w:rPr>
          <w:sz w:val="14"/>
          <w:szCs w:val="14"/>
          <w:lang w:val="it-IT"/>
        </w:rPr>
        <w:tab/>
        <w:t>Miratuar me VKM Nr. 447, datë 26/07/2023 për “Dokumentin e Politikave Prioritare 2024-2026”</w:t>
      </w:r>
    </w:p>
  </w:footnote>
  <w:footnote w:id="22">
    <w:p w14:paraId="39EEC362" w14:textId="1A577C14" w:rsidR="00E51921" w:rsidRPr="009D660E" w:rsidRDefault="00E51921" w:rsidP="009B1B5F">
      <w:pPr>
        <w:pStyle w:val="FootnoteText"/>
        <w:spacing w:line="200" w:lineRule="exact"/>
        <w:ind w:left="284" w:hanging="284"/>
        <w:rPr>
          <w:sz w:val="14"/>
          <w:szCs w:val="14"/>
          <w:lang w:val="it-IT"/>
        </w:rPr>
      </w:pPr>
      <w:r w:rsidRPr="00B05174">
        <w:rPr>
          <w:sz w:val="14"/>
          <w:szCs w:val="14"/>
          <w:vertAlign w:val="superscript"/>
        </w:rPr>
        <w:footnoteRef/>
      </w:r>
      <w:r w:rsidRPr="009D660E">
        <w:rPr>
          <w:sz w:val="14"/>
          <w:szCs w:val="14"/>
          <w:lang w:val="it-IT"/>
        </w:rPr>
        <w:t xml:space="preserve"> </w:t>
      </w:r>
      <w:r w:rsidRPr="009D660E">
        <w:rPr>
          <w:sz w:val="14"/>
          <w:szCs w:val="14"/>
          <w:lang w:val="it-IT"/>
        </w:rPr>
        <w:tab/>
        <w:t>Të paktën 20% në vitin e parë, 30% në vitin e dytë dhe 30% në vitin e tretë.</w:t>
      </w:r>
    </w:p>
  </w:footnote>
  <w:footnote w:id="23">
    <w:p w14:paraId="17CA617E" w14:textId="0F0917A6" w:rsidR="00E51921" w:rsidRPr="009D660E" w:rsidRDefault="00E51921" w:rsidP="009B1B5F">
      <w:pPr>
        <w:spacing w:line="200" w:lineRule="exact"/>
        <w:ind w:left="284" w:hanging="284"/>
        <w:rPr>
          <w:sz w:val="14"/>
          <w:szCs w:val="14"/>
          <w:lang w:val="it-IT"/>
        </w:rPr>
      </w:pPr>
      <w:r w:rsidRPr="00B05174">
        <w:rPr>
          <w:rStyle w:val="FootnoteReference"/>
          <w:sz w:val="14"/>
        </w:rPr>
        <w:footnoteRef/>
      </w:r>
      <w:r w:rsidRPr="009D660E">
        <w:rPr>
          <w:sz w:val="14"/>
          <w:szCs w:val="14"/>
          <w:lang w:val="it-IT"/>
        </w:rPr>
        <w:t xml:space="preserve"> </w:t>
      </w:r>
      <w:r w:rsidRPr="009D660E">
        <w:rPr>
          <w:sz w:val="14"/>
          <w:szCs w:val="14"/>
          <w:lang w:val="it-IT"/>
        </w:rPr>
        <w:tab/>
        <w:t xml:space="preserve">VKM Nr. 887, datë 27.12.2022 “për procedurat e menaxhimit të investimeve publike“; </w:t>
      </w:r>
      <w:r>
        <w:rPr>
          <w:sz w:val="14"/>
          <w:szCs w:val="14"/>
          <w:lang w:val="sq-AL"/>
        </w:rPr>
        <w:t>Udhëzimi Nr</w:t>
      </w:r>
      <w:r w:rsidRPr="00B05174">
        <w:rPr>
          <w:sz w:val="14"/>
          <w:szCs w:val="14"/>
          <w:lang w:val="sq-AL"/>
        </w:rPr>
        <w:t>. 4</w:t>
      </w:r>
      <w:r>
        <w:rPr>
          <w:sz w:val="14"/>
          <w:szCs w:val="14"/>
          <w:lang w:val="sq-AL"/>
        </w:rPr>
        <w:t>, datë</w:t>
      </w:r>
      <w:r w:rsidRPr="00B05174">
        <w:rPr>
          <w:sz w:val="14"/>
          <w:szCs w:val="14"/>
          <w:lang w:val="sq-AL"/>
        </w:rPr>
        <w:t xml:space="preserve"> 20.02.2023 "</w:t>
      </w:r>
      <w:r w:rsidRPr="009D660E">
        <w:rPr>
          <w:sz w:val="14"/>
          <w:szCs w:val="14"/>
          <w:lang w:val="it-IT"/>
        </w:rPr>
        <w:t xml:space="preserve"> Për përcaktimin e kufirit financiar të vlerës së plotë të projektit në përputhje me specifikat e sektorit, mbi bazën e të cilit përcaktohet mënyra dhe procedura e vlerësimit të projektit të investimit publik</w:t>
      </w:r>
      <w:r w:rsidRPr="00B05174">
        <w:rPr>
          <w:sz w:val="14"/>
          <w:szCs w:val="14"/>
          <w:lang w:val="sq-AL"/>
        </w:rPr>
        <w:t>"</w:t>
      </w:r>
      <w:r w:rsidRPr="00150FAC">
        <w:rPr>
          <w:sz w:val="14"/>
          <w:szCs w:val="14"/>
          <w:lang w:val="sq-AL"/>
        </w:rPr>
        <w:t xml:space="preserve">; </w:t>
      </w:r>
      <w:r>
        <w:rPr>
          <w:sz w:val="14"/>
          <w:szCs w:val="14"/>
          <w:lang w:val="sq-AL"/>
        </w:rPr>
        <w:t>Udhëzimi</w:t>
      </w:r>
      <w:r w:rsidRPr="00150FAC">
        <w:rPr>
          <w:sz w:val="14"/>
          <w:szCs w:val="14"/>
          <w:lang w:val="sq-AL"/>
        </w:rPr>
        <w:t xml:space="preserve"> </w:t>
      </w:r>
      <w:r w:rsidRPr="009D660E">
        <w:rPr>
          <w:sz w:val="14"/>
          <w:szCs w:val="14"/>
          <w:lang w:val="it-IT"/>
        </w:rPr>
        <w:t xml:space="preserve">nr. 20 datë 22.06.2023 për një shtesë në udhëzimin nr. 4 </w:t>
      </w:r>
      <w:r>
        <w:rPr>
          <w:sz w:val="14"/>
          <w:szCs w:val="14"/>
          <w:lang w:val="sq-AL"/>
        </w:rPr>
        <w:t>da</w:t>
      </w:r>
      <w:r w:rsidRPr="009D660E">
        <w:rPr>
          <w:sz w:val="14"/>
          <w:szCs w:val="14"/>
          <w:lang w:val="it-IT"/>
        </w:rPr>
        <w:t>të 20.02.2023 " Për përcaktimin e kufirit financiar të vlerës së plotë të projektit në përputhje me specifikat e sektorit, mbi bazën e të cilit përcaktohet mënyra dhe procedura e vlerësimit të projektit të investimit publik". Urdhri Nr. 41, datë 25/01/2023, për “Miratimin e përmbajtjes, mënyrës së plotësimit dhe dërgimit të formularit të vlerësimit të relevancës strategjike (FVRS)”.</w:t>
      </w:r>
    </w:p>
  </w:footnote>
  <w:footnote w:id="24">
    <w:p w14:paraId="1D6A528D" w14:textId="0E8AC6E3" w:rsidR="00E51921" w:rsidRPr="009D660E" w:rsidRDefault="00E51921" w:rsidP="00505C7E">
      <w:pPr>
        <w:pStyle w:val="FootnoteText"/>
        <w:spacing w:line="200" w:lineRule="exact"/>
        <w:ind w:left="284" w:hanging="284"/>
        <w:rPr>
          <w:lang w:val="it-IT"/>
        </w:rPr>
      </w:pPr>
      <w:r w:rsidRPr="00B05174">
        <w:rPr>
          <w:rStyle w:val="FootnoteReference"/>
          <w:sz w:val="14"/>
        </w:rPr>
        <w:footnoteRef/>
      </w:r>
      <w:r w:rsidRPr="009D660E">
        <w:rPr>
          <w:sz w:val="14"/>
          <w:szCs w:val="14"/>
          <w:lang w:val="it-IT"/>
        </w:rPr>
        <w:t xml:space="preserve"> </w:t>
      </w:r>
      <w:r w:rsidRPr="009D660E">
        <w:rPr>
          <w:sz w:val="14"/>
          <w:szCs w:val="14"/>
          <w:lang w:val="it-IT"/>
        </w:rPr>
        <w:tab/>
        <w:t>Për t’u dakordësuar</w:t>
      </w:r>
    </w:p>
  </w:footnote>
  <w:footnote w:id="25">
    <w:p w14:paraId="45BFF305" w14:textId="6EA60FC8" w:rsidR="00E51921" w:rsidRPr="009D660E" w:rsidRDefault="00E51921" w:rsidP="00505C7E">
      <w:pPr>
        <w:pStyle w:val="FootnoteText"/>
        <w:spacing w:line="200" w:lineRule="exact"/>
        <w:ind w:left="284" w:hanging="284"/>
        <w:rPr>
          <w:sz w:val="14"/>
          <w:szCs w:val="14"/>
          <w:lang w:val="it-IT"/>
        </w:rPr>
      </w:pPr>
      <w:r w:rsidRPr="00B05174">
        <w:rPr>
          <w:rStyle w:val="FootnoteReference"/>
          <w:sz w:val="14"/>
        </w:rPr>
        <w:footnoteRef/>
      </w:r>
      <w:r w:rsidRPr="009D660E">
        <w:rPr>
          <w:sz w:val="14"/>
          <w:szCs w:val="14"/>
          <w:lang w:val="it-IT"/>
        </w:rPr>
        <w:t xml:space="preserve"> </w:t>
      </w:r>
      <w:r w:rsidRPr="009D660E">
        <w:rPr>
          <w:sz w:val="14"/>
          <w:szCs w:val="14"/>
          <w:lang w:val="it-IT"/>
        </w:rPr>
        <w:tab/>
        <w:t>Për t’u dakordësuar</w:t>
      </w:r>
    </w:p>
  </w:footnote>
  <w:footnote w:id="26">
    <w:p w14:paraId="56167123" w14:textId="77777777" w:rsidR="00E51921" w:rsidRPr="004C43FF" w:rsidRDefault="00E51921" w:rsidP="00B45F59">
      <w:pPr>
        <w:spacing w:line="200" w:lineRule="exact"/>
        <w:ind w:left="284" w:hanging="284"/>
        <w:rPr>
          <w:rStyle w:val="FootnoteReference"/>
          <w:sz w:val="14"/>
          <w:lang w:val="es-ES"/>
        </w:rPr>
      </w:pPr>
      <w:r w:rsidRPr="00C40228">
        <w:rPr>
          <w:rStyle w:val="FootnoteReference"/>
          <w:sz w:val="14"/>
        </w:rPr>
        <w:footnoteRef/>
      </w:r>
      <w:r w:rsidRPr="004C43FF">
        <w:rPr>
          <w:rStyle w:val="FootnoteReference"/>
          <w:sz w:val="14"/>
          <w:lang w:val="es-ES"/>
        </w:rPr>
        <w:t xml:space="preserve"> </w:t>
      </w:r>
      <w:r w:rsidRPr="004C43FF">
        <w:rPr>
          <w:rStyle w:val="FootnoteReference"/>
          <w:sz w:val="14"/>
          <w:lang w:val="es-ES"/>
        </w:rPr>
        <w:tab/>
      </w:r>
      <w:r>
        <w:rPr>
          <w:sz w:val="14"/>
          <w:lang w:val="es-ES"/>
        </w:rPr>
        <w:t>Raporti Vjetor mbi Financat e Qeverisjes Vendore 2022 (MF)</w:t>
      </w:r>
    </w:p>
  </w:footnote>
  <w:footnote w:id="27">
    <w:p w14:paraId="35FF3597" w14:textId="77777777" w:rsidR="00E51921" w:rsidRPr="00176A48" w:rsidRDefault="00E51921" w:rsidP="00B45F59">
      <w:pPr>
        <w:spacing w:line="200" w:lineRule="exact"/>
        <w:ind w:left="284" w:hanging="284"/>
        <w:rPr>
          <w:lang w:val="es-ES"/>
        </w:rPr>
      </w:pPr>
      <w:r w:rsidRPr="00C40228">
        <w:rPr>
          <w:rStyle w:val="FootnoteReference"/>
          <w:sz w:val="14"/>
        </w:rPr>
        <w:footnoteRef/>
      </w:r>
      <w:r w:rsidRPr="00176A48">
        <w:rPr>
          <w:rStyle w:val="FootnoteReference"/>
          <w:sz w:val="14"/>
          <w:lang w:val="es-ES"/>
        </w:rPr>
        <w:t xml:space="preserve"> </w:t>
      </w:r>
      <w:r w:rsidRPr="00176A48">
        <w:rPr>
          <w:rStyle w:val="FootnoteReference"/>
          <w:sz w:val="14"/>
          <w:lang w:val="es-ES"/>
        </w:rPr>
        <w:tab/>
      </w:r>
      <w:r>
        <w:rPr>
          <w:sz w:val="14"/>
          <w:lang w:val="es-ES"/>
        </w:rPr>
        <w:t>Raporti Vjetor mbi Financat e Qeverisjes Vendore 2022  (MF)</w:t>
      </w:r>
    </w:p>
  </w:footnote>
  <w:footnote w:id="28">
    <w:p w14:paraId="1AB7AE96" w14:textId="77777777" w:rsidR="00E51921" w:rsidRPr="009D660E" w:rsidRDefault="00E51921" w:rsidP="00B45F59">
      <w:pPr>
        <w:spacing w:line="200" w:lineRule="exact"/>
        <w:ind w:left="284" w:hanging="284"/>
        <w:rPr>
          <w:sz w:val="14"/>
          <w:szCs w:val="14"/>
          <w:lang w:val="it-IT"/>
        </w:rPr>
      </w:pPr>
      <w:r w:rsidRPr="00DA5CA8">
        <w:rPr>
          <w:rStyle w:val="FootnoteReference"/>
          <w:sz w:val="14"/>
        </w:rPr>
        <w:footnoteRef/>
      </w:r>
      <w:r w:rsidRPr="009D660E">
        <w:rPr>
          <w:sz w:val="14"/>
          <w:szCs w:val="14"/>
          <w:lang w:val="it-IT"/>
        </w:rPr>
        <w:t xml:space="preserve"> </w:t>
      </w:r>
      <w:r w:rsidRPr="009D660E">
        <w:rPr>
          <w:sz w:val="14"/>
          <w:szCs w:val="14"/>
          <w:lang w:val="it-IT"/>
        </w:rPr>
        <w:tab/>
        <w:t>Ligji nr. 68/ 2017 “mbi Financat e Vetëqeverisjes Vendore”</w:t>
      </w:r>
    </w:p>
  </w:footnote>
  <w:footnote w:id="29">
    <w:p w14:paraId="13B163F9" w14:textId="77777777" w:rsidR="00E51921" w:rsidRPr="009D660E" w:rsidRDefault="00E51921" w:rsidP="00B45F59">
      <w:pPr>
        <w:pStyle w:val="FootnoteText"/>
        <w:spacing w:line="200" w:lineRule="exact"/>
        <w:ind w:left="284" w:hanging="284"/>
        <w:rPr>
          <w:sz w:val="14"/>
          <w:szCs w:val="14"/>
          <w:lang w:val="it-IT"/>
        </w:rPr>
      </w:pPr>
      <w:r w:rsidRPr="00DA5CA8">
        <w:rPr>
          <w:rStyle w:val="FootnoteReference"/>
          <w:sz w:val="14"/>
        </w:rPr>
        <w:footnoteRef/>
      </w:r>
      <w:r w:rsidRPr="009D660E">
        <w:rPr>
          <w:sz w:val="14"/>
          <w:szCs w:val="14"/>
          <w:lang w:val="it-IT"/>
        </w:rPr>
        <w:t xml:space="preserve"> </w:t>
      </w:r>
      <w:r w:rsidRPr="009D660E">
        <w:rPr>
          <w:sz w:val="14"/>
          <w:szCs w:val="14"/>
          <w:lang w:val="it-IT"/>
        </w:rPr>
        <w:tab/>
        <w:t>Bashkitë janë të ndara në 4 ketegori në bazë të nivelit total të detyrimeve të prapambetura dhe borxhit të tyre si përqindje e buxhetit total vjetor: &gt; 15% (kategoria 1); &gt; 25% (kategoria 2;, &gt; 80% (kategoria 3) or &gt; 130% (kategoria 4).</w:t>
      </w:r>
    </w:p>
  </w:footnote>
  <w:footnote w:id="30">
    <w:p w14:paraId="1754F2C5" w14:textId="77777777" w:rsidR="00E51921" w:rsidRPr="009D660E" w:rsidRDefault="00E51921" w:rsidP="00B45F59">
      <w:pPr>
        <w:spacing w:line="200" w:lineRule="exact"/>
        <w:ind w:left="284" w:hanging="284"/>
        <w:rPr>
          <w:sz w:val="14"/>
          <w:szCs w:val="14"/>
          <w:lang w:val="it-IT"/>
        </w:rPr>
      </w:pPr>
      <w:r w:rsidRPr="00DA5CA8">
        <w:rPr>
          <w:rStyle w:val="FootnoteReference"/>
          <w:sz w:val="14"/>
        </w:rPr>
        <w:footnoteRef/>
      </w:r>
      <w:r w:rsidRPr="009D660E">
        <w:rPr>
          <w:sz w:val="14"/>
          <w:szCs w:val="14"/>
          <w:lang w:val="it-IT"/>
        </w:rPr>
        <w:t xml:space="preserve"> </w:t>
      </w:r>
      <w:r w:rsidRPr="009D660E">
        <w:rPr>
          <w:sz w:val="14"/>
          <w:szCs w:val="14"/>
          <w:lang w:val="it-IT"/>
        </w:rPr>
        <w:tab/>
        <w:t>Projekti Bashki të Forta, i financuar nga Helvetas, mbështet bashkitë dhe qeverinë qendrore me krijimin e një sistemi të menaxhimit të performancës dhe granteve të bazuara në performancë, si dhe një akademi për trajnimin e zyrtarëve bashkiakë. Projekti i Financave Lokale i financuar nga SECO ndihmon MF-në dhe bashkitë me planifikimin e buxhetit në nivel vendor.</w:t>
      </w:r>
    </w:p>
  </w:footnote>
  <w:footnote w:id="31">
    <w:p w14:paraId="30F22298" w14:textId="77777777" w:rsidR="00E51921" w:rsidRPr="009D660E" w:rsidRDefault="00E51921" w:rsidP="00B45F59">
      <w:pPr>
        <w:spacing w:line="200" w:lineRule="exact"/>
        <w:ind w:left="284" w:hanging="284"/>
        <w:rPr>
          <w:sz w:val="16"/>
          <w:szCs w:val="16"/>
          <w:lang w:val="it-IT"/>
        </w:rPr>
      </w:pPr>
      <w:r w:rsidRPr="009545F8">
        <w:rPr>
          <w:rStyle w:val="FootnoteReference"/>
          <w:sz w:val="16"/>
          <w:szCs w:val="16"/>
        </w:rPr>
        <w:footnoteRef/>
      </w:r>
      <w:r w:rsidRPr="009D660E">
        <w:rPr>
          <w:sz w:val="16"/>
          <w:szCs w:val="16"/>
          <w:lang w:val="it-IT"/>
        </w:rPr>
        <w:t xml:space="preserve"> </w:t>
      </w:r>
      <w:r w:rsidRPr="009D660E">
        <w:rPr>
          <w:sz w:val="16"/>
          <w:szCs w:val="16"/>
          <w:lang w:val="it-IT"/>
        </w:rPr>
        <w:tab/>
      </w:r>
      <w:r w:rsidRPr="009D660E">
        <w:rPr>
          <w:sz w:val="14"/>
          <w:szCs w:val="14"/>
          <w:lang w:val="it-IT"/>
        </w:rPr>
        <w:t xml:space="preserve"> “Projekti i financave lokale” i financuar nga SECO (2024-2028) ndihmon MF-në dhe bashkitë me planifikimin e buxhetit, menaxhimin e të ardhurave dhe kontrollin e brendshëm në nivelin vendor.</w:t>
      </w:r>
    </w:p>
  </w:footnote>
  <w:footnote w:id="32">
    <w:p w14:paraId="5425EF71" w14:textId="77777777" w:rsidR="00E51921" w:rsidRPr="009D660E" w:rsidRDefault="00E51921" w:rsidP="00B45F59">
      <w:pPr>
        <w:pStyle w:val="FootnoteText"/>
        <w:spacing w:line="200" w:lineRule="exact"/>
        <w:ind w:left="284" w:hanging="284"/>
        <w:rPr>
          <w:sz w:val="14"/>
          <w:szCs w:val="14"/>
          <w:lang w:val="it-IT"/>
        </w:rPr>
      </w:pPr>
      <w:r w:rsidRPr="005802EF">
        <w:rPr>
          <w:rStyle w:val="FootnoteReference"/>
          <w:sz w:val="14"/>
        </w:rPr>
        <w:footnoteRef/>
      </w:r>
      <w:r w:rsidRPr="009D660E">
        <w:rPr>
          <w:sz w:val="14"/>
          <w:szCs w:val="14"/>
          <w:lang w:val="it-IT"/>
        </w:rPr>
        <w:t xml:space="preserve"> </w:t>
      </w:r>
      <w:r w:rsidRPr="009D660E">
        <w:rPr>
          <w:sz w:val="14"/>
          <w:szCs w:val="14"/>
          <w:lang w:val="it-IT"/>
        </w:rPr>
        <w:tab/>
        <w:t>Burimi: Korniza logjike e Projektit të Financave Lokale SECO Faza 2</w:t>
      </w:r>
    </w:p>
  </w:footnote>
  <w:footnote w:id="33">
    <w:p w14:paraId="4E5FB42B" w14:textId="77777777" w:rsidR="00E51921" w:rsidRPr="009D660E" w:rsidRDefault="00E51921" w:rsidP="00B45F59">
      <w:pPr>
        <w:pStyle w:val="FootnoteText"/>
        <w:spacing w:line="200" w:lineRule="exact"/>
        <w:ind w:left="284" w:hanging="284"/>
        <w:rPr>
          <w:sz w:val="14"/>
          <w:szCs w:val="14"/>
          <w:lang w:val="it-IT"/>
        </w:rPr>
      </w:pPr>
      <w:r w:rsidRPr="005802EF">
        <w:rPr>
          <w:rStyle w:val="FootnoteReference"/>
          <w:sz w:val="14"/>
        </w:rPr>
        <w:footnoteRef/>
      </w:r>
      <w:r w:rsidRPr="009D660E">
        <w:rPr>
          <w:sz w:val="14"/>
          <w:szCs w:val="14"/>
          <w:lang w:val="it-IT"/>
        </w:rPr>
        <w:t xml:space="preserve"> </w:t>
      </w:r>
      <w:r w:rsidRPr="009D660E">
        <w:rPr>
          <w:sz w:val="14"/>
          <w:szCs w:val="14"/>
          <w:lang w:val="it-IT"/>
        </w:rPr>
        <w:tab/>
        <w:t>Burimi: Korniza logjike e Projektit të Financave Lokale SECO faza 2; Treguesi i përshtatur nga treguesi i performancës PEFA 8.1</w:t>
      </w:r>
    </w:p>
  </w:footnote>
  <w:footnote w:id="34">
    <w:p w14:paraId="488FA199" w14:textId="77777777" w:rsidR="00E51921" w:rsidRPr="009D660E" w:rsidRDefault="00E51921" w:rsidP="00B45F59">
      <w:pPr>
        <w:pStyle w:val="FootnoteText"/>
        <w:spacing w:line="200" w:lineRule="exact"/>
        <w:ind w:left="284" w:hanging="284"/>
        <w:rPr>
          <w:sz w:val="14"/>
          <w:szCs w:val="14"/>
          <w:lang w:val="it-IT"/>
        </w:rPr>
      </w:pPr>
      <w:r w:rsidRPr="005802EF">
        <w:rPr>
          <w:rStyle w:val="FootnoteReference"/>
          <w:sz w:val="14"/>
        </w:rPr>
        <w:footnoteRef/>
      </w:r>
      <w:r w:rsidRPr="009D660E">
        <w:rPr>
          <w:sz w:val="14"/>
          <w:szCs w:val="14"/>
          <w:lang w:val="it-IT"/>
        </w:rPr>
        <w:t xml:space="preserve"> </w:t>
      </w:r>
      <w:r w:rsidRPr="009D660E">
        <w:rPr>
          <w:sz w:val="14"/>
          <w:szCs w:val="14"/>
          <w:lang w:val="it-IT"/>
        </w:rPr>
        <w:tab/>
        <w:t>Burimi: Korniza logjike e Projektit të Financave Lokale SECO faza 2; tregues i përshtatur nga treguesi i performancës PEFA 8.2</w:t>
      </w:r>
    </w:p>
  </w:footnote>
  <w:footnote w:id="35">
    <w:p w14:paraId="49374B77" w14:textId="77777777" w:rsidR="00E51921" w:rsidRPr="009D660E" w:rsidRDefault="00E51921" w:rsidP="00B45F59">
      <w:pPr>
        <w:pStyle w:val="FootnoteText"/>
        <w:spacing w:line="200" w:lineRule="exact"/>
        <w:ind w:left="284" w:hanging="284"/>
        <w:rPr>
          <w:sz w:val="14"/>
          <w:szCs w:val="14"/>
          <w:lang w:val="it-IT"/>
        </w:rPr>
      </w:pPr>
      <w:r w:rsidRPr="00F9443B">
        <w:rPr>
          <w:rStyle w:val="FootnoteReference"/>
          <w:sz w:val="14"/>
        </w:rPr>
        <w:footnoteRef/>
      </w:r>
      <w:r w:rsidRPr="009D660E">
        <w:rPr>
          <w:sz w:val="14"/>
          <w:szCs w:val="14"/>
          <w:lang w:val="it-IT"/>
        </w:rPr>
        <w:t xml:space="preserve"> </w:t>
      </w:r>
      <w:r w:rsidRPr="009D660E">
        <w:rPr>
          <w:sz w:val="14"/>
          <w:szCs w:val="14"/>
          <w:lang w:val="it-IT"/>
        </w:rPr>
        <w:tab/>
        <w:t>Burimi: Korniza logjike e Projektit të Financave Lokale SECO Faza 2</w:t>
      </w:r>
    </w:p>
  </w:footnote>
  <w:footnote w:id="36">
    <w:p w14:paraId="2D024979" w14:textId="52132EBB" w:rsidR="00E51921" w:rsidRPr="009D660E" w:rsidRDefault="00E51921" w:rsidP="00505C7E">
      <w:pPr>
        <w:pStyle w:val="FootnoteText"/>
        <w:spacing w:line="200" w:lineRule="exact"/>
        <w:ind w:left="284" w:hanging="284"/>
        <w:rPr>
          <w:sz w:val="14"/>
          <w:szCs w:val="14"/>
          <w:lang w:val="it-IT"/>
        </w:rPr>
      </w:pPr>
      <w:r w:rsidRPr="00F9443B">
        <w:rPr>
          <w:rStyle w:val="FootnoteReference"/>
          <w:sz w:val="14"/>
        </w:rPr>
        <w:footnoteRef/>
      </w:r>
      <w:r w:rsidRPr="009D660E">
        <w:rPr>
          <w:sz w:val="14"/>
          <w:szCs w:val="14"/>
          <w:lang w:val="it-IT"/>
        </w:rPr>
        <w:t xml:space="preserve"> </w:t>
      </w:r>
      <w:r w:rsidRPr="009D660E">
        <w:rPr>
          <w:sz w:val="14"/>
          <w:szCs w:val="14"/>
          <w:lang w:val="it-IT"/>
        </w:rPr>
        <w:tab/>
        <w:t xml:space="preserve">Ligji </w:t>
      </w:r>
      <w:r w:rsidRPr="00F9443B">
        <w:rPr>
          <w:rFonts w:eastAsia="Times New Roman"/>
          <w:bCs/>
          <w:sz w:val="14"/>
          <w:szCs w:val="14"/>
          <w:lang w:val="sq-AL"/>
        </w:rPr>
        <w:t>N</w:t>
      </w:r>
      <w:r>
        <w:rPr>
          <w:rFonts w:eastAsia="Times New Roman"/>
          <w:bCs/>
          <w:sz w:val="14"/>
          <w:szCs w:val="14"/>
          <w:lang w:val="sq-AL"/>
        </w:rPr>
        <w:t>r. 9936, datë</w:t>
      </w:r>
      <w:r w:rsidRPr="00F9443B">
        <w:rPr>
          <w:rFonts w:eastAsia="Times New Roman"/>
          <w:bCs/>
          <w:sz w:val="14"/>
          <w:szCs w:val="14"/>
          <w:lang w:val="sq-AL"/>
        </w:rPr>
        <w:t xml:space="preserve"> 26.6.2008</w:t>
      </w:r>
      <w:r w:rsidRPr="009D660E">
        <w:rPr>
          <w:sz w:val="14"/>
          <w:szCs w:val="14"/>
          <w:lang w:val="it-IT"/>
        </w:rPr>
        <w:t>, i ndryshuar më 2.6.2016 “Për menaxhimin e sistemit buxhetor”</w:t>
      </w:r>
    </w:p>
  </w:footnote>
  <w:footnote w:id="37">
    <w:p w14:paraId="4BC9776F" w14:textId="5F313173" w:rsidR="00E51921" w:rsidRPr="009D660E" w:rsidRDefault="00E51921" w:rsidP="00505C7E">
      <w:pPr>
        <w:pStyle w:val="FootnoteText"/>
        <w:spacing w:line="200" w:lineRule="exact"/>
        <w:ind w:left="284" w:hanging="284"/>
        <w:rPr>
          <w:sz w:val="14"/>
          <w:szCs w:val="14"/>
          <w:lang w:val="it-IT"/>
        </w:rPr>
      </w:pPr>
      <w:r w:rsidRPr="00F9443B">
        <w:rPr>
          <w:rStyle w:val="FootnoteReference"/>
          <w:sz w:val="14"/>
        </w:rPr>
        <w:footnoteRef/>
      </w:r>
      <w:r w:rsidRPr="009D660E">
        <w:rPr>
          <w:sz w:val="14"/>
          <w:szCs w:val="14"/>
          <w:lang w:val="it-IT"/>
        </w:rPr>
        <w:t xml:space="preserve"> </w:t>
      </w:r>
      <w:r w:rsidRPr="009D660E">
        <w:rPr>
          <w:sz w:val="14"/>
          <w:szCs w:val="14"/>
          <w:lang w:val="it-IT"/>
        </w:rPr>
        <w:tab/>
        <w:t xml:space="preserve">Udhëzimi nr.14 datë 30.05.2023 “Për procedurat standarde të monitorimit të buxhetit në njësitë e qeverisjes qendrore” </w:t>
      </w:r>
    </w:p>
  </w:footnote>
  <w:footnote w:id="38">
    <w:p w14:paraId="0FD632A4" w14:textId="5CDF6852" w:rsidR="00E51921" w:rsidRPr="009D660E" w:rsidRDefault="00E51921">
      <w:pPr>
        <w:pStyle w:val="FootnoteText"/>
        <w:rPr>
          <w:sz w:val="14"/>
          <w:szCs w:val="14"/>
          <w:lang w:val="it-IT"/>
        </w:rPr>
      </w:pPr>
      <w:r w:rsidRPr="00255E1B">
        <w:rPr>
          <w:rStyle w:val="FootnoteReference"/>
          <w:sz w:val="14"/>
        </w:rPr>
        <w:footnoteRef/>
      </w:r>
      <w:r w:rsidRPr="009D660E">
        <w:rPr>
          <w:sz w:val="14"/>
          <w:szCs w:val="14"/>
          <w:lang w:val="it-IT"/>
        </w:rPr>
        <w:t xml:space="preserve">     Për t’u vendosur</w:t>
      </w:r>
    </w:p>
  </w:footnote>
  <w:footnote w:id="39">
    <w:p w14:paraId="2145B0AB" w14:textId="257C7883" w:rsidR="00E51921" w:rsidRPr="009D660E" w:rsidRDefault="00E51921">
      <w:pPr>
        <w:pStyle w:val="FootnoteText"/>
        <w:rPr>
          <w:lang w:val="it-IT"/>
        </w:rPr>
      </w:pPr>
      <w:r>
        <w:rPr>
          <w:rStyle w:val="FootnoteReference"/>
        </w:rPr>
        <w:footnoteRef/>
      </w:r>
      <w:r w:rsidRPr="009D660E">
        <w:rPr>
          <w:lang w:val="it-IT"/>
        </w:rPr>
        <w:t xml:space="preserve">   </w:t>
      </w:r>
      <w:r w:rsidRPr="009D660E">
        <w:rPr>
          <w:sz w:val="14"/>
          <w:szCs w:val="14"/>
          <w:lang w:val="it-IT"/>
        </w:rPr>
        <w:t>Bazuar në Udhërrëfyesin për Reformën në Administratën Publike 2023-2030</w:t>
      </w:r>
      <w:r w:rsidRPr="009D660E">
        <w:rPr>
          <w:lang w:val="it-IT"/>
        </w:rPr>
        <w:t xml:space="preserve"> </w:t>
      </w:r>
    </w:p>
  </w:footnote>
  <w:footnote w:id="40">
    <w:p w14:paraId="5A660D02" w14:textId="4D010558" w:rsidR="00E51921" w:rsidRPr="009D660E" w:rsidRDefault="00E51921" w:rsidP="00505C7E">
      <w:pPr>
        <w:pStyle w:val="FootnoteText"/>
        <w:spacing w:line="200" w:lineRule="exact"/>
        <w:ind w:left="284" w:hanging="284"/>
        <w:rPr>
          <w:sz w:val="14"/>
          <w:szCs w:val="14"/>
          <w:lang w:val="it-IT"/>
        </w:rPr>
      </w:pPr>
      <w:r w:rsidRPr="00B636AA">
        <w:rPr>
          <w:rStyle w:val="FootnoteReference"/>
          <w:sz w:val="14"/>
        </w:rPr>
        <w:footnoteRef/>
      </w:r>
      <w:r w:rsidRPr="009D660E">
        <w:rPr>
          <w:sz w:val="14"/>
          <w:szCs w:val="14"/>
          <w:lang w:val="it-IT"/>
        </w:rPr>
        <w:t xml:space="preserve"> </w:t>
      </w:r>
      <w:r w:rsidRPr="009D660E">
        <w:rPr>
          <w:sz w:val="14"/>
          <w:szCs w:val="14"/>
          <w:lang w:val="it-IT"/>
        </w:rPr>
        <w:tab/>
        <w:t>Udhëzuesi 35 për monitorimin e PPP-ve (2019)</w:t>
      </w:r>
    </w:p>
  </w:footnote>
  <w:footnote w:id="41">
    <w:p w14:paraId="180DF2AD" w14:textId="1149F70A" w:rsidR="00E51921" w:rsidRPr="009D660E" w:rsidRDefault="00E51921" w:rsidP="00505C7E">
      <w:pPr>
        <w:pStyle w:val="FootnoteText"/>
        <w:spacing w:line="200" w:lineRule="exact"/>
        <w:ind w:left="284" w:hanging="284"/>
        <w:rPr>
          <w:lang w:val="it-IT"/>
        </w:rPr>
      </w:pPr>
      <w:r w:rsidRPr="00B636AA">
        <w:rPr>
          <w:rStyle w:val="FootnoteReference"/>
          <w:sz w:val="14"/>
        </w:rPr>
        <w:footnoteRef/>
      </w:r>
      <w:r w:rsidRPr="009D660E">
        <w:rPr>
          <w:sz w:val="14"/>
          <w:szCs w:val="14"/>
          <w:lang w:val="it-IT"/>
        </w:rPr>
        <w:t xml:space="preserve"> </w:t>
      </w:r>
      <w:r w:rsidRPr="009D660E">
        <w:rPr>
          <w:sz w:val="14"/>
          <w:szCs w:val="14"/>
          <w:lang w:val="it-IT"/>
        </w:rPr>
        <w:tab/>
        <w:t>FMN aktualisht po ofron mbështetje. Për t’u dakordësuar suporti nga BE-ja</w:t>
      </w:r>
    </w:p>
  </w:footnote>
  <w:footnote w:id="42">
    <w:p w14:paraId="4622A8FC" w14:textId="704811DE" w:rsidR="00E51921" w:rsidRPr="009D660E" w:rsidRDefault="00E51921" w:rsidP="00481BA4">
      <w:pPr>
        <w:pStyle w:val="FootnoteText"/>
        <w:spacing w:line="288" w:lineRule="auto"/>
        <w:ind w:left="284" w:hanging="284"/>
        <w:rPr>
          <w:sz w:val="14"/>
          <w:szCs w:val="14"/>
          <w:lang w:val="it-IT"/>
        </w:rPr>
      </w:pPr>
      <w:r w:rsidRPr="003F502F">
        <w:rPr>
          <w:rStyle w:val="FootnoteReference"/>
          <w:sz w:val="14"/>
        </w:rPr>
        <w:footnoteRef/>
      </w:r>
      <w:r w:rsidRPr="009D660E">
        <w:rPr>
          <w:sz w:val="14"/>
          <w:szCs w:val="14"/>
          <w:lang w:val="it-IT"/>
        </w:rPr>
        <w:t xml:space="preserve"> </w:t>
      </w:r>
      <w:r w:rsidRPr="009D660E">
        <w:rPr>
          <w:sz w:val="14"/>
          <w:szCs w:val="14"/>
          <w:lang w:val="it-IT"/>
        </w:rPr>
        <w:tab/>
        <w:t>Add reference. SAA është përgatitur me suportin e FMN-së.</w:t>
      </w:r>
    </w:p>
  </w:footnote>
  <w:footnote w:id="43">
    <w:p w14:paraId="278AC885" w14:textId="7F5BF6B5" w:rsidR="00E51921" w:rsidRPr="009D660E" w:rsidRDefault="00E51921" w:rsidP="008522A0">
      <w:pPr>
        <w:pStyle w:val="FootnoteText"/>
        <w:spacing w:line="288" w:lineRule="auto"/>
        <w:ind w:left="284" w:hanging="284"/>
        <w:rPr>
          <w:sz w:val="14"/>
          <w:szCs w:val="14"/>
          <w:lang w:val="it-IT"/>
        </w:rPr>
      </w:pPr>
      <w:r w:rsidRPr="008522A0">
        <w:rPr>
          <w:rStyle w:val="FootnoteReference"/>
          <w:sz w:val="14"/>
        </w:rPr>
        <w:footnoteRef/>
      </w:r>
      <w:r w:rsidRPr="009D660E">
        <w:rPr>
          <w:rStyle w:val="FootnoteReference"/>
          <w:sz w:val="14"/>
          <w:lang w:val="it-IT"/>
        </w:rPr>
        <w:t xml:space="preserve"> </w:t>
      </w:r>
      <w:r w:rsidRPr="009D660E">
        <w:rPr>
          <w:rStyle w:val="FootnoteReference"/>
          <w:sz w:val="14"/>
          <w:lang w:val="it-IT"/>
        </w:rPr>
        <w:tab/>
      </w:r>
      <w:r w:rsidRPr="009D660E">
        <w:rPr>
          <w:rStyle w:val="FootnoteReference"/>
          <w:sz w:val="14"/>
          <w:vertAlign w:val="baseline"/>
          <w:lang w:val="it-IT"/>
        </w:rPr>
        <w:t>P</w:t>
      </w:r>
      <w:r w:rsidRPr="009D660E">
        <w:rPr>
          <w:sz w:val="14"/>
          <w:lang w:val="it-IT"/>
        </w:rPr>
        <w:t>ërafërsisht</w:t>
      </w:r>
      <w:r w:rsidRPr="009D660E">
        <w:rPr>
          <w:rStyle w:val="FootnoteReference"/>
          <w:sz w:val="14"/>
          <w:vertAlign w:val="baseline"/>
          <w:lang w:val="it-IT"/>
        </w:rPr>
        <w:t xml:space="preserve"> 1.2 million</w:t>
      </w:r>
      <w:r w:rsidRPr="009D660E">
        <w:rPr>
          <w:sz w:val="14"/>
          <w:lang w:val="it-IT"/>
        </w:rPr>
        <w:t>ë</w:t>
      </w:r>
      <w:r w:rsidRPr="009D660E">
        <w:rPr>
          <w:rStyle w:val="FootnoteReference"/>
          <w:sz w:val="14"/>
          <w:vertAlign w:val="baseline"/>
          <w:lang w:val="it-IT"/>
        </w:rPr>
        <w:t xml:space="preserve"> p</w:t>
      </w:r>
      <w:r w:rsidRPr="009D660E">
        <w:rPr>
          <w:sz w:val="14"/>
          <w:lang w:val="it-IT"/>
        </w:rPr>
        <w:t>rona janë aktualisht të regjistruara në system nga një total prej rreth 4.5 milionë pronash</w:t>
      </w:r>
      <w:r w:rsidRPr="009D660E">
        <w:rPr>
          <w:rStyle w:val="FootnoteReference"/>
          <w:sz w:val="14"/>
          <w:vertAlign w:val="baseline"/>
          <w:lang w:val="it-IT"/>
        </w:rPr>
        <w:t>.</w:t>
      </w:r>
    </w:p>
  </w:footnote>
  <w:footnote w:id="44">
    <w:p w14:paraId="18C11142" w14:textId="464FC383" w:rsidR="00E51921" w:rsidRPr="009D660E" w:rsidRDefault="00E51921" w:rsidP="00505C7E">
      <w:pPr>
        <w:pStyle w:val="FootnoteText"/>
        <w:spacing w:line="200" w:lineRule="exact"/>
        <w:ind w:left="284" w:hanging="284"/>
        <w:rPr>
          <w:lang w:val="it-IT"/>
        </w:rPr>
      </w:pPr>
      <w:r w:rsidRPr="008522A0">
        <w:rPr>
          <w:rStyle w:val="FootnoteReference"/>
          <w:sz w:val="14"/>
        </w:rPr>
        <w:footnoteRef/>
      </w:r>
      <w:r w:rsidRPr="009D660E">
        <w:rPr>
          <w:sz w:val="14"/>
          <w:szCs w:val="14"/>
          <w:lang w:val="it-IT"/>
        </w:rPr>
        <w:t xml:space="preserve"> </w:t>
      </w:r>
      <w:r w:rsidRPr="009D660E">
        <w:rPr>
          <w:sz w:val="14"/>
          <w:szCs w:val="14"/>
          <w:lang w:val="it-IT"/>
        </w:rPr>
        <w:tab/>
        <w:t xml:space="preserve">MF, SIDA dhe Swedish Tax Agency kanë nënshkruar përkatësisht një Marrëveshje Kontributi dhe një Projekt Marrëveshje për vazhdimin e mbështetjes së reformës së taksës së pasurisë. </w:t>
      </w:r>
    </w:p>
  </w:footnote>
  <w:footnote w:id="45">
    <w:p w14:paraId="1E3CB05C" w14:textId="77777777" w:rsidR="00E51921" w:rsidRPr="009D660E" w:rsidRDefault="00E51921" w:rsidP="00B45F59">
      <w:pPr>
        <w:pStyle w:val="FootnoteText"/>
        <w:spacing w:line="200" w:lineRule="exact"/>
        <w:ind w:left="284" w:hanging="284"/>
        <w:rPr>
          <w:sz w:val="14"/>
          <w:szCs w:val="14"/>
          <w:lang w:val="it-IT"/>
        </w:rPr>
      </w:pPr>
      <w:r w:rsidRPr="0076257F">
        <w:rPr>
          <w:rStyle w:val="FootnoteReference"/>
          <w:sz w:val="14"/>
        </w:rPr>
        <w:footnoteRef/>
      </w:r>
      <w:r w:rsidRPr="009D660E">
        <w:rPr>
          <w:sz w:val="14"/>
          <w:szCs w:val="14"/>
          <w:lang w:val="it-IT"/>
        </w:rPr>
        <w:t xml:space="preserve"> </w:t>
      </w:r>
      <w:r w:rsidRPr="009D660E">
        <w:rPr>
          <w:sz w:val="14"/>
          <w:szCs w:val="14"/>
          <w:lang w:val="it-IT"/>
        </w:rPr>
        <w:tab/>
        <w:t>Drejtoria e Antikorrupsionit pranë DPD është përfshirë në hartimin e planit të integritetit me urdhrin nr 80 datë 26.10.2023</w:t>
      </w:r>
    </w:p>
  </w:footnote>
  <w:footnote w:id="46">
    <w:p w14:paraId="3C7CB6ED" w14:textId="78BF2FA7" w:rsidR="00E51921" w:rsidRPr="009D660E" w:rsidRDefault="00E51921" w:rsidP="00825E72">
      <w:pPr>
        <w:pStyle w:val="FootnoteText"/>
        <w:tabs>
          <w:tab w:val="left" w:pos="720"/>
          <w:tab w:val="left" w:pos="1440"/>
          <w:tab w:val="left" w:pos="2160"/>
          <w:tab w:val="left" w:pos="2880"/>
          <w:tab w:val="left" w:pos="3600"/>
          <w:tab w:val="left" w:pos="4320"/>
          <w:tab w:val="left" w:pos="7755"/>
        </w:tabs>
        <w:spacing w:line="200" w:lineRule="exact"/>
        <w:ind w:left="284" w:hanging="284"/>
        <w:jc w:val="both"/>
        <w:rPr>
          <w:sz w:val="14"/>
          <w:szCs w:val="14"/>
          <w:lang w:val="it-IT"/>
        </w:rPr>
      </w:pPr>
      <w:r w:rsidRPr="00921832">
        <w:rPr>
          <w:rStyle w:val="FootnoteReference"/>
          <w:sz w:val="14"/>
        </w:rPr>
        <w:footnoteRef/>
      </w:r>
      <w:r w:rsidRPr="009D660E">
        <w:rPr>
          <w:sz w:val="14"/>
          <w:szCs w:val="14"/>
          <w:lang w:val="it-IT"/>
        </w:rPr>
        <w:t xml:space="preserve"> </w:t>
      </w:r>
      <w:r w:rsidRPr="009D660E">
        <w:rPr>
          <w:sz w:val="14"/>
          <w:szCs w:val="14"/>
          <w:lang w:val="it-IT"/>
        </w:rPr>
        <w:tab/>
        <w:t>2021 Raporti i FMN-së për vendin për vitin 2021, nr. 21/259, faqe 7.</w:t>
      </w:r>
      <w:r w:rsidRPr="009D660E">
        <w:rPr>
          <w:sz w:val="14"/>
          <w:szCs w:val="14"/>
          <w:lang w:val="it-IT"/>
        </w:rPr>
        <w:tab/>
      </w:r>
    </w:p>
  </w:footnote>
  <w:footnote w:id="47">
    <w:p w14:paraId="1782847B" w14:textId="77777777" w:rsidR="00E51921" w:rsidRPr="009D660E" w:rsidRDefault="00E51921" w:rsidP="00CE4B54">
      <w:pPr>
        <w:pStyle w:val="FootnoteText"/>
        <w:spacing w:line="200" w:lineRule="exact"/>
        <w:ind w:left="284" w:hanging="284"/>
        <w:jc w:val="both"/>
        <w:rPr>
          <w:sz w:val="14"/>
          <w:szCs w:val="14"/>
          <w:lang w:val="it-IT"/>
        </w:rPr>
      </w:pPr>
      <w:r w:rsidRPr="00A15181">
        <w:rPr>
          <w:rStyle w:val="FootnoteReference"/>
          <w:sz w:val="14"/>
        </w:rPr>
        <w:footnoteRef/>
      </w:r>
      <w:r w:rsidRPr="009D660E">
        <w:rPr>
          <w:sz w:val="14"/>
          <w:szCs w:val="14"/>
          <w:lang w:val="it-IT"/>
        </w:rPr>
        <w:t xml:space="preserve"> </w:t>
      </w:r>
      <w:r w:rsidRPr="009D660E">
        <w:rPr>
          <w:sz w:val="14"/>
          <w:szCs w:val="14"/>
          <w:lang w:val="it-IT"/>
        </w:rPr>
        <w:tab/>
        <w:t>Rregullorja e Këshillit (KE) Nr. 479/2009 datë 25 maj 2009 mbi zbatimin e Protokollit mbi procedurën e deficitit të tepruar, aneksuar në Traktatin për krijimin e Komunitetit Evropian.</w:t>
      </w:r>
    </w:p>
  </w:footnote>
  <w:footnote w:id="48">
    <w:p w14:paraId="0521291F" w14:textId="77777777" w:rsidR="00E51921" w:rsidRPr="009D660E" w:rsidRDefault="00E51921" w:rsidP="00CE4B54">
      <w:pPr>
        <w:pStyle w:val="FootnoteText"/>
        <w:spacing w:line="200" w:lineRule="exact"/>
        <w:ind w:left="284" w:hanging="284"/>
        <w:jc w:val="both"/>
        <w:rPr>
          <w:sz w:val="14"/>
          <w:szCs w:val="14"/>
          <w:lang w:val="it-IT"/>
        </w:rPr>
      </w:pPr>
      <w:r w:rsidRPr="00A15181">
        <w:rPr>
          <w:rStyle w:val="FootnoteReference"/>
          <w:sz w:val="14"/>
        </w:rPr>
        <w:footnoteRef/>
      </w:r>
      <w:r w:rsidRPr="009D660E">
        <w:rPr>
          <w:sz w:val="14"/>
          <w:szCs w:val="14"/>
          <w:lang w:val="it-IT"/>
        </w:rPr>
        <w:t xml:space="preserve"> </w:t>
      </w:r>
      <w:r w:rsidRPr="009D660E">
        <w:rPr>
          <w:sz w:val="14"/>
          <w:szCs w:val="14"/>
          <w:lang w:val="it-IT"/>
        </w:rPr>
        <w:tab/>
        <w:t>Ligji Nr.30/2022 “Për miratimin e Programit të Statistikave Zyrtare 2020-2026”.</w:t>
      </w:r>
    </w:p>
  </w:footnote>
  <w:footnote w:id="49">
    <w:p w14:paraId="321338A9" w14:textId="77777777" w:rsidR="00E51921" w:rsidRPr="009D660E" w:rsidRDefault="00E51921" w:rsidP="00B45F59">
      <w:pPr>
        <w:pStyle w:val="FootnoteText"/>
        <w:spacing w:line="200" w:lineRule="exact"/>
        <w:ind w:left="284" w:hanging="284"/>
        <w:rPr>
          <w:sz w:val="14"/>
          <w:szCs w:val="14"/>
          <w:lang w:val="it-IT"/>
        </w:rPr>
      </w:pPr>
      <w:r>
        <w:rPr>
          <w:rStyle w:val="FootnoteReference"/>
        </w:rPr>
        <w:footnoteRef/>
      </w:r>
      <w:r w:rsidRPr="009D660E">
        <w:rPr>
          <w:sz w:val="14"/>
          <w:szCs w:val="14"/>
          <w:lang w:val="it-IT"/>
        </w:rPr>
        <w:t xml:space="preserve"> </w:t>
      </w:r>
      <w:r w:rsidRPr="009D660E">
        <w:rPr>
          <w:sz w:val="14"/>
          <w:szCs w:val="14"/>
          <w:lang w:val="it-IT"/>
        </w:rPr>
        <w:tab/>
        <w:t>Banka Botërore dhe SECO kanë mbështetur reformat e kontabilitetit deri më sot.</w:t>
      </w:r>
    </w:p>
  </w:footnote>
  <w:footnote w:id="50">
    <w:p w14:paraId="2671695D" w14:textId="77777777" w:rsidR="00E51921" w:rsidRPr="009D660E" w:rsidRDefault="00E51921" w:rsidP="00B45F59">
      <w:pPr>
        <w:pStyle w:val="FootnoteText"/>
        <w:rPr>
          <w:lang w:val="it-IT"/>
        </w:rPr>
      </w:pPr>
      <w:r>
        <w:rPr>
          <w:rStyle w:val="FootnoteReference"/>
        </w:rPr>
        <w:footnoteRef/>
      </w:r>
      <w:r w:rsidRPr="009D660E">
        <w:rPr>
          <w:lang w:val="it-IT"/>
        </w:rPr>
        <w:t xml:space="preserve"> </w:t>
      </w:r>
      <w:r w:rsidRPr="009D660E">
        <w:rPr>
          <w:sz w:val="16"/>
          <w:szCs w:val="16"/>
          <w:lang w:val="it-IT"/>
        </w:rPr>
        <w:t>Aktivitetet që lidhen me kontabilitetin e sektorit publik do të varen nga fillimi i projektit të ri të BB-së</w:t>
      </w:r>
    </w:p>
  </w:footnote>
  <w:footnote w:id="51">
    <w:p w14:paraId="48B52E5D" w14:textId="5F66BB2C" w:rsidR="00E51921" w:rsidRDefault="00E51921">
      <w:pPr>
        <w:pStyle w:val="FootnoteText"/>
      </w:pPr>
      <w:r w:rsidRPr="00203791">
        <w:rPr>
          <w:rStyle w:val="FootnoteReference"/>
          <w:sz w:val="14"/>
        </w:rPr>
        <w:footnoteRef/>
      </w:r>
      <w:r w:rsidRPr="00203791">
        <w:rPr>
          <w:sz w:val="16"/>
        </w:rPr>
        <w:t xml:space="preserve"> </w:t>
      </w:r>
      <w:r>
        <w:rPr>
          <w:sz w:val="14"/>
          <w:szCs w:val="14"/>
        </w:rPr>
        <w:t>Ligji i Prokurimit Publik Nr. 162/2020</w:t>
      </w:r>
    </w:p>
  </w:footnote>
  <w:footnote w:id="52">
    <w:p w14:paraId="1AB71970" w14:textId="6315B660" w:rsidR="00E51921" w:rsidRDefault="00E51921">
      <w:pPr>
        <w:pStyle w:val="FootnoteText"/>
      </w:pPr>
      <w:r w:rsidRPr="00203791">
        <w:rPr>
          <w:sz w:val="14"/>
        </w:rPr>
        <w:footnoteRef/>
      </w:r>
      <w:r w:rsidRPr="00203791">
        <w:rPr>
          <w:sz w:val="14"/>
          <w:szCs w:val="14"/>
        </w:rPr>
        <w:t xml:space="preserve"> </w:t>
      </w:r>
      <w:r>
        <w:rPr>
          <w:sz w:val="14"/>
          <w:szCs w:val="14"/>
        </w:rPr>
        <w:t>KPP është organi më i lartë administrativ për shqyrtimin e ankesave lidhur me procedurat e prokurimit publik, koncesionet/partneritetet publike private, ankandet publike dhe procedurat e konkurrimit për lejet minerare.</w:t>
      </w:r>
    </w:p>
  </w:footnote>
  <w:footnote w:id="53">
    <w:p w14:paraId="061246AA" w14:textId="77777777" w:rsidR="00E51921" w:rsidRPr="009D660E" w:rsidRDefault="00E51921" w:rsidP="00B45F59">
      <w:pPr>
        <w:pStyle w:val="FootnoteText"/>
        <w:spacing w:line="200" w:lineRule="exact"/>
        <w:ind w:left="284" w:hanging="284"/>
        <w:rPr>
          <w:sz w:val="14"/>
          <w:szCs w:val="14"/>
          <w:lang w:val="it-IT"/>
        </w:rPr>
      </w:pPr>
      <w:r w:rsidRPr="0063512B">
        <w:rPr>
          <w:rStyle w:val="FootnoteReference"/>
          <w:sz w:val="14"/>
        </w:rPr>
        <w:footnoteRef/>
      </w:r>
      <w:r w:rsidRPr="009D660E">
        <w:rPr>
          <w:sz w:val="14"/>
          <w:szCs w:val="14"/>
          <w:lang w:val="it-IT"/>
        </w:rPr>
        <w:t xml:space="preserve"> </w:t>
      </w:r>
      <w:r w:rsidRPr="009D660E">
        <w:rPr>
          <w:sz w:val="14"/>
          <w:szCs w:val="14"/>
          <w:lang w:val="it-IT"/>
        </w:rPr>
        <w:tab/>
        <w:t>Metodologjia është përgatitur në vitin 2023.</w:t>
      </w:r>
    </w:p>
  </w:footnote>
  <w:footnote w:id="54">
    <w:p w14:paraId="062D922C" w14:textId="77777777" w:rsidR="00E51921" w:rsidRPr="009D660E" w:rsidRDefault="00E51921" w:rsidP="00B45F59">
      <w:pPr>
        <w:pStyle w:val="FootnoteText"/>
        <w:spacing w:line="200" w:lineRule="exact"/>
        <w:ind w:left="284" w:hanging="284"/>
        <w:rPr>
          <w:sz w:val="14"/>
          <w:szCs w:val="14"/>
          <w:lang w:val="it-IT"/>
        </w:rPr>
      </w:pPr>
      <w:r w:rsidRPr="0063512B">
        <w:rPr>
          <w:rStyle w:val="FootnoteReference"/>
          <w:sz w:val="14"/>
        </w:rPr>
        <w:footnoteRef/>
      </w:r>
      <w:r w:rsidRPr="009D660E">
        <w:rPr>
          <w:sz w:val="14"/>
          <w:szCs w:val="14"/>
          <w:lang w:val="it-IT"/>
        </w:rPr>
        <w:t xml:space="preserve"> </w:t>
      </w:r>
      <w:r w:rsidRPr="009D660E">
        <w:rPr>
          <w:sz w:val="14"/>
          <w:szCs w:val="14"/>
          <w:lang w:val="it-IT"/>
        </w:rPr>
        <w:tab/>
        <w:t>Gjashtë vende të lira pune.</w:t>
      </w:r>
    </w:p>
  </w:footnote>
  <w:footnote w:id="55">
    <w:p w14:paraId="1D4D4E1F" w14:textId="77777777" w:rsidR="00E51921" w:rsidRPr="009D660E" w:rsidRDefault="00E51921" w:rsidP="00B45F59">
      <w:pPr>
        <w:pStyle w:val="FootnoteText"/>
        <w:spacing w:line="200" w:lineRule="exact"/>
        <w:ind w:left="284" w:hanging="284"/>
        <w:rPr>
          <w:sz w:val="14"/>
          <w:szCs w:val="14"/>
          <w:lang w:val="it-IT"/>
        </w:rPr>
      </w:pPr>
      <w:r w:rsidRPr="0063512B">
        <w:rPr>
          <w:rStyle w:val="FootnoteReference"/>
          <w:sz w:val="14"/>
        </w:rPr>
        <w:footnoteRef/>
      </w:r>
      <w:r w:rsidRPr="009D660E">
        <w:rPr>
          <w:sz w:val="14"/>
          <w:szCs w:val="14"/>
          <w:lang w:val="it-IT"/>
        </w:rPr>
        <w:t xml:space="preserve"> </w:t>
      </w:r>
      <w:r w:rsidRPr="009D660E">
        <w:rPr>
          <w:sz w:val="14"/>
          <w:szCs w:val="14"/>
          <w:lang w:val="it-IT"/>
        </w:rPr>
        <w:tab/>
        <w:t>Trajnimi është ofruar në bashkëpunim me Universitetin e Tiranës dhe organizata të tjera kombëtare dhe ndërkombëtare. 15 inspektorë janë trajnuar 25 orë në vitin 2023 dhe I njëjti trajnim është parashikuar edhe për vitin 2024.</w:t>
      </w:r>
    </w:p>
  </w:footnote>
  <w:footnote w:id="56">
    <w:p w14:paraId="39BAAE37" w14:textId="77777777" w:rsidR="00E51921" w:rsidRPr="009D660E" w:rsidRDefault="00E51921" w:rsidP="00B45F59">
      <w:pPr>
        <w:pStyle w:val="EcorysBody"/>
        <w:spacing w:line="200" w:lineRule="exact"/>
        <w:ind w:left="284" w:hanging="284"/>
        <w:rPr>
          <w:sz w:val="14"/>
          <w:szCs w:val="14"/>
          <w:lang w:val="it-IT"/>
        </w:rPr>
      </w:pPr>
      <w:r w:rsidRPr="0063512B">
        <w:rPr>
          <w:rFonts w:ascii="Arial" w:hAnsi="Arial" w:cs="Arial"/>
          <w:sz w:val="14"/>
          <w:szCs w:val="14"/>
          <w:vertAlign w:val="superscript"/>
        </w:rPr>
        <w:footnoteRef/>
      </w:r>
      <w:r w:rsidRPr="009D660E">
        <w:rPr>
          <w:rFonts w:ascii="Arial" w:hAnsi="Arial" w:cs="Arial"/>
          <w:sz w:val="14"/>
          <w:szCs w:val="14"/>
          <w:vertAlign w:val="superscript"/>
          <w:lang w:val="it-IT"/>
        </w:rPr>
        <w:t xml:space="preserve"> </w:t>
      </w:r>
      <w:r w:rsidRPr="009D660E">
        <w:rPr>
          <w:rFonts w:ascii="Arial" w:hAnsi="Arial" w:cs="Arial"/>
          <w:sz w:val="14"/>
          <w:szCs w:val="14"/>
          <w:lang w:val="it-IT"/>
        </w:rPr>
        <w:tab/>
        <w:t>ISO 37001:2016 specifikon kërkesat dhe ofron udhëzime për krijimin, zbatimin, mirëmbajtjen, rishikimin dhe përmirësimin e një sistemi të menaxhimit kundër ryshfetit.</w:t>
      </w:r>
    </w:p>
  </w:footnote>
  <w:footnote w:id="57">
    <w:p w14:paraId="526DDD1D" w14:textId="77777777" w:rsidR="00E51921" w:rsidRPr="009D660E" w:rsidRDefault="00E51921" w:rsidP="00B45F59">
      <w:pPr>
        <w:pStyle w:val="FootnoteText"/>
        <w:spacing w:line="200" w:lineRule="exact"/>
        <w:ind w:left="284" w:hanging="284"/>
        <w:rPr>
          <w:sz w:val="14"/>
          <w:szCs w:val="14"/>
          <w:lang w:val="it-IT"/>
        </w:rPr>
      </w:pPr>
      <w:r w:rsidRPr="00505C7E">
        <w:rPr>
          <w:rStyle w:val="FootnoteReference"/>
          <w:sz w:val="14"/>
        </w:rPr>
        <w:footnoteRef/>
      </w:r>
      <w:r w:rsidRPr="009D660E">
        <w:rPr>
          <w:sz w:val="14"/>
          <w:szCs w:val="14"/>
          <w:lang w:val="it-IT"/>
        </w:rPr>
        <w:t xml:space="preserve"> </w:t>
      </w:r>
      <w:r w:rsidRPr="009D660E">
        <w:rPr>
          <w:sz w:val="14"/>
          <w:szCs w:val="14"/>
          <w:lang w:val="it-IT"/>
        </w:rPr>
        <w:tab/>
        <w:t>Raporti vjetor për zbatimin e SMB publikohet që nga viti 2023</w:t>
      </w:r>
    </w:p>
  </w:footnote>
  <w:footnote w:id="58">
    <w:p w14:paraId="5BC87D66" w14:textId="77777777" w:rsidR="00E51921" w:rsidRPr="009D660E" w:rsidRDefault="00E51921" w:rsidP="00B45F59">
      <w:pPr>
        <w:pStyle w:val="FootnoteText"/>
        <w:spacing w:line="200" w:lineRule="exact"/>
        <w:ind w:left="284" w:hanging="284"/>
        <w:rPr>
          <w:lang w:val="it-IT"/>
        </w:rPr>
      </w:pPr>
      <w:r w:rsidRPr="00505C7E">
        <w:rPr>
          <w:rStyle w:val="FootnoteReference"/>
          <w:sz w:val="14"/>
        </w:rPr>
        <w:footnoteRef/>
      </w:r>
      <w:r w:rsidRPr="009D660E">
        <w:rPr>
          <w:sz w:val="14"/>
          <w:szCs w:val="14"/>
          <w:lang w:val="it-IT"/>
        </w:rPr>
        <w:t xml:space="preserve"> </w:t>
      </w:r>
      <w:r w:rsidRPr="009D660E">
        <w:rPr>
          <w:sz w:val="14"/>
          <w:szCs w:val="14"/>
          <w:lang w:val="it-IT"/>
        </w:rPr>
        <w:tab/>
      </w:r>
      <w:r w:rsidRPr="009D660E">
        <w:rPr>
          <w:bCs/>
          <w:sz w:val="14"/>
          <w:szCs w:val="14"/>
          <w:lang w:val="it-IT"/>
        </w:rPr>
        <w:t>Në veçanti të dhëna për zhvillimet kryesore makroekonomike në vend.</w:t>
      </w:r>
    </w:p>
  </w:footnote>
  <w:footnote w:id="59">
    <w:p w14:paraId="357F8B85" w14:textId="77777777" w:rsidR="00E51921" w:rsidRPr="009D660E" w:rsidRDefault="00E51921" w:rsidP="00B45F59">
      <w:pPr>
        <w:pStyle w:val="FootnoteText"/>
        <w:spacing w:line="200" w:lineRule="exact"/>
        <w:ind w:left="284" w:hanging="284"/>
        <w:rPr>
          <w:sz w:val="14"/>
          <w:szCs w:val="14"/>
          <w:lang w:val="it-IT"/>
        </w:rPr>
      </w:pPr>
      <w:r w:rsidRPr="00460F7E">
        <w:rPr>
          <w:rStyle w:val="FootnoteReference"/>
          <w:sz w:val="14"/>
        </w:rPr>
        <w:footnoteRef/>
      </w:r>
      <w:r w:rsidRPr="009D660E">
        <w:rPr>
          <w:sz w:val="14"/>
          <w:szCs w:val="14"/>
          <w:lang w:val="it-IT"/>
        </w:rPr>
        <w:t xml:space="preserve"> </w:t>
      </w:r>
      <w:r w:rsidRPr="009D660E">
        <w:rPr>
          <w:sz w:val="14"/>
          <w:szCs w:val="14"/>
          <w:lang w:val="it-IT"/>
        </w:rPr>
        <w:tab/>
        <w:t>Kuadri VRK i zbatuar për rastet e reja të operacioneve të garancisë ose huadhënies.</w:t>
      </w:r>
    </w:p>
  </w:footnote>
  <w:footnote w:id="60">
    <w:p w14:paraId="3A6D6CB2" w14:textId="77777777" w:rsidR="00E51921" w:rsidRPr="009D660E" w:rsidRDefault="00E51921" w:rsidP="00B45F59">
      <w:pPr>
        <w:pStyle w:val="FootnoteText"/>
        <w:spacing w:line="200" w:lineRule="exact"/>
        <w:ind w:left="284" w:hanging="284"/>
        <w:rPr>
          <w:sz w:val="14"/>
          <w:szCs w:val="14"/>
          <w:lang w:val="it-IT"/>
        </w:rPr>
      </w:pPr>
      <w:r>
        <w:rPr>
          <w:rStyle w:val="FootnoteReference"/>
          <w:sz w:val="14"/>
        </w:rPr>
        <w:footnoteRef/>
      </w:r>
      <w:r w:rsidRPr="009D660E">
        <w:rPr>
          <w:sz w:val="14"/>
          <w:szCs w:val="14"/>
          <w:lang w:val="it-IT"/>
        </w:rPr>
        <w:t xml:space="preserve"> </w:t>
      </w:r>
      <w:r w:rsidRPr="009D660E">
        <w:rPr>
          <w:sz w:val="14"/>
          <w:szCs w:val="14"/>
          <w:lang w:val="it-IT"/>
        </w:rPr>
        <w:tab/>
        <w:t>Sugjeruar nga Banka Botërore Aide Memoire, shtator 2023</w:t>
      </w:r>
    </w:p>
  </w:footnote>
  <w:footnote w:id="61">
    <w:p w14:paraId="1952EDB7" w14:textId="77777777" w:rsidR="00E51921" w:rsidRPr="009D660E" w:rsidRDefault="00E51921" w:rsidP="00F4321F">
      <w:pPr>
        <w:pStyle w:val="FootnoteText"/>
        <w:spacing w:line="200" w:lineRule="exact"/>
        <w:ind w:left="284" w:hanging="284"/>
        <w:rPr>
          <w:sz w:val="14"/>
          <w:szCs w:val="14"/>
          <w:lang w:val="it-IT"/>
        </w:rPr>
      </w:pPr>
      <w:r>
        <w:rPr>
          <w:rStyle w:val="FootnoteReference"/>
          <w:sz w:val="14"/>
        </w:rPr>
        <w:footnoteRef/>
      </w:r>
      <w:r w:rsidRPr="009D660E">
        <w:rPr>
          <w:sz w:val="14"/>
          <w:szCs w:val="14"/>
          <w:lang w:val="it-IT"/>
        </w:rPr>
        <w:t xml:space="preserve"> </w:t>
      </w:r>
      <w:r w:rsidRPr="009D660E">
        <w:rPr>
          <w:sz w:val="14"/>
          <w:szCs w:val="14"/>
          <w:lang w:val="it-IT"/>
        </w:rPr>
        <w:tab/>
        <w:t>Udhëzimi nr. 40, përfshirë inventarizimin dhe vlerësimin e aseteve publike</w:t>
      </w:r>
    </w:p>
  </w:footnote>
  <w:footnote w:id="62">
    <w:p w14:paraId="50703963" w14:textId="6D2AD42C" w:rsidR="00E51921" w:rsidRPr="009D660E" w:rsidRDefault="00E51921" w:rsidP="000F0526">
      <w:pPr>
        <w:pStyle w:val="FootnoteText"/>
        <w:spacing w:line="276" w:lineRule="auto"/>
        <w:ind w:left="284" w:hanging="284"/>
        <w:jc w:val="both"/>
        <w:rPr>
          <w:sz w:val="14"/>
          <w:szCs w:val="14"/>
          <w:lang w:val="it-IT"/>
        </w:rPr>
      </w:pPr>
      <w:r w:rsidRPr="000565EF">
        <w:rPr>
          <w:rStyle w:val="FootnoteReference"/>
          <w:sz w:val="14"/>
        </w:rPr>
        <w:footnoteRef/>
      </w:r>
      <w:r w:rsidRPr="009D660E">
        <w:rPr>
          <w:sz w:val="14"/>
          <w:szCs w:val="14"/>
          <w:lang w:val="it-IT"/>
        </w:rPr>
        <w:t xml:space="preserve"> </w:t>
      </w:r>
      <w:r w:rsidRPr="009D660E">
        <w:rPr>
          <w:sz w:val="14"/>
          <w:szCs w:val="14"/>
          <w:lang w:val="it-IT"/>
        </w:rPr>
        <w:tab/>
        <w:t xml:space="preserve">Ligji nr. </w:t>
      </w:r>
      <w:r w:rsidRPr="009D660E">
        <w:rPr>
          <w:bCs/>
          <w:sz w:val="14"/>
          <w:szCs w:val="14"/>
          <w:lang w:val="it-IT"/>
        </w:rPr>
        <w:t>110, datë 15.10.2015 “Për Menaxhimin Financiar dhe Kontrollin”.</w:t>
      </w:r>
    </w:p>
  </w:footnote>
  <w:footnote w:id="63">
    <w:p w14:paraId="7C567330" w14:textId="45DC15BF" w:rsidR="00E51921" w:rsidRPr="009D660E" w:rsidRDefault="00E51921" w:rsidP="000F0526">
      <w:pPr>
        <w:pStyle w:val="FootnoteText"/>
        <w:spacing w:line="276" w:lineRule="auto"/>
        <w:ind w:left="284" w:hanging="284"/>
        <w:jc w:val="both"/>
        <w:rPr>
          <w:sz w:val="14"/>
          <w:szCs w:val="14"/>
          <w:lang w:val="it-IT"/>
        </w:rPr>
      </w:pPr>
      <w:r w:rsidRPr="000565EF">
        <w:rPr>
          <w:rStyle w:val="FootnoteReference"/>
          <w:sz w:val="14"/>
        </w:rPr>
        <w:footnoteRef/>
      </w:r>
      <w:r w:rsidRPr="009D660E">
        <w:rPr>
          <w:sz w:val="14"/>
          <w:szCs w:val="14"/>
          <w:lang w:val="it-IT"/>
        </w:rPr>
        <w:t xml:space="preserve"> </w:t>
      </w:r>
      <w:r w:rsidRPr="009D660E">
        <w:rPr>
          <w:sz w:val="14"/>
          <w:szCs w:val="14"/>
          <w:lang w:val="it-IT"/>
        </w:rPr>
        <w:tab/>
        <w:t>https://financa.gov.al/wp-content/uploads/2018/06/Manuali_i_MFK_2016_1.pdf</w:t>
      </w:r>
    </w:p>
  </w:footnote>
  <w:footnote w:id="64">
    <w:p w14:paraId="1B8DEBAE" w14:textId="77777777" w:rsidR="00E51921" w:rsidRPr="009D660E" w:rsidRDefault="00E51921" w:rsidP="000F0526">
      <w:pPr>
        <w:pStyle w:val="FootnoteText"/>
        <w:spacing w:line="276" w:lineRule="auto"/>
        <w:ind w:left="284" w:hanging="284"/>
        <w:jc w:val="both"/>
        <w:rPr>
          <w:sz w:val="14"/>
          <w:szCs w:val="14"/>
          <w:lang w:val="it-IT"/>
        </w:rPr>
      </w:pPr>
      <w:r w:rsidRPr="000565EF">
        <w:rPr>
          <w:rStyle w:val="FootnoteReference"/>
          <w:sz w:val="14"/>
        </w:rPr>
        <w:footnoteRef/>
      </w:r>
      <w:r w:rsidRPr="009D660E">
        <w:rPr>
          <w:sz w:val="14"/>
          <w:szCs w:val="14"/>
          <w:lang w:val="it-IT"/>
        </w:rPr>
        <w:t xml:space="preserve"> </w:t>
      </w:r>
      <w:r w:rsidRPr="009D660E">
        <w:rPr>
          <w:sz w:val="14"/>
          <w:szCs w:val="14"/>
          <w:lang w:val="it-IT"/>
        </w:rPr>
        <w:tab/>
        <w:t>https://financa.gov.al/pyetesori-i-vetevleresimit-per-vitin-2018-per-komponentet-e-menaxhimit-financiar-dhe-kontrollit/.</w:t>
      </w:r>
    </w:p>
  </w:footnote>
  <w:footnote w:id="65">
    <w:p w14:paraId="2E9733C6" w14:textId="1527BBCF" w:rsidR="00E51921" w:rsidRPr="009D660E" w:rsidRDefault="00E51921" w:rsidP="000F0526">
      <w:pPr>
        <w:pStyle w:val="FootnoteText"/>
        <w:spacing w:line="276" w:lineRule="auto"/>
        <w:ind w:left="284" w:hanging="284"/>
        <w:jc w:val="both"/>
        <w:rPr>
          <w:sz w:val="14"/>
          <w:szCs w:val="14"/>
          <w:lang w:val="it-IT"/>
        </w:rPr>
      </w:pPr>
      <w:r w:rsidRPr="000565EF">
        <w:rPr>
          <w:rStyle w:val="FootnoteReference"/>
          <w:sz w:val="14"/>
        </w:rPr>
        <w:footnoteRef/>
      </w:r>
      <w:r w:rsidRPr="009D660E">
        <w:rPr>
          <w:sz w:val="14"/>
          <w:szCs w:val="14"/>
          <w:lang w:val="it-IT"/>
        </w:rPr>
        <w:t xml:space="preserve"> </w:t>
      </w:r>
      <w:r w:rsidRPr="009D660E">
        <w:rPr>
          <w:sz w:val="14"/>
          <w:szCs w:val="14"/>
          <w:lang w:val="it-IT"/>
        </w:rPr>
        <w:tab/>
        <w:t>Raporti i Progresit SIGMA për Shqipërinë.</w:t>
      </w:r>
    </w:p>
  </w:footnote>
  <w:footnote w:id="66">
    <w:p w14:paraId="79AA0A4B" w14:textId="4E45CF66" w:rsidR="00E51921" w:rsidRPr="009D660E" w:rsidRDefault="00E51921" w:rsidP="000F0526">
      <w:pPr>
        <w:pStyle w:val="FootnoteText"/>
        <w:spacing w:line="276" w:lineRule="auto"/>
        <w:ind w:left="284" w:hanging="284"/>
        <w:jc w:val="both"/>
        <w:rPr>
          <w:sz w:val="14"/>
          <w:szCs w:val="14"/>
          <w:lang w:val="it-IT"/>
        </w:rPr>
      </w:pPr>
      <w:r w:rsidRPr="000565EF">
        <w:rPr>
          <w:rStyle w:val="FootnoteReference"/>
          <w:sz w:val="14"/>
        </w:rPr>
        <w:footnoteRef/>
      </w:r>
      <w:r w:rsidRPr="009D660E">
        <w:rPr>
          <w:sz w:val="14"/>
          <w:szCs w:val="14"/>
          <w:lang w:val="it-IT"/>
        </w:rPr>
        <w:t xml:space="preserve"> </w:t>
      </w:r>
      <w:r w:rsidRPr="009D660E">
        <w:rPr>
          <w:sz w:val="14"/>
          <w:szCs w:val="14"/>
          <w:lang w:val="it-IT"/>
        </w:rPr>
        <w:tab/>
        <w:t xml:space="preserve">Për t’u dakordësuar. Projekti i financuar nga SECO për Financat Lokale gjithashtu ofron mbështetje në këtë fushë. </w:t>
      </w:r>
    </w:p>
  </w:footnote>
  <w:footnote w:id="67">
    <w:p w14:paraId="0B59D782" w14:textId="6FB0D244" w:rsidR="00E51921" w:rsidRPr="009D660E" w:rsidRDefault="00E51921" w:rsidP="000F0526">
      <w:pPr>
        <w:pStyle w:val="FootnoteText"/>
        <w:spacing w:line="276" w:lineRule="auto"/>
        <w:ind w:left="284" w:hanging="284"/>
        <w:jc w:val="both"/>
        <w:rPr>
          <w:sz w:val="14"/>
          <w:szCs w:val="14"/>
          <w:lang w:val="it-IT"/>
        </w:rPr>
      </w:pPr>
      <w:r w:rsidRPr="000565EF">
        <w:rPr>
          <w:rStyle w:val="FootnoteReference"/>
          <w:sz w:val="14"/>
        </w:rPr>
        <w:footnoteRef/>
      </w:r>
      <w:r w:rsidRPr="009D660E">
        <w:rPr>
          <w:sz w:val="14"/>
          <w:szCs w:val="14"/>
          <w:lang w:val="it-IT"/>
        </w:rPr>
        <w:t xml:space="preserve"> </w:t>
      </w:r>
      <w:r w:rsidRPr="009D660E">
        <w:rPr>
          <w:sz w:val="14"/>
          <w:szCs w:val="14"/>
          <w:lang w:val="it-IT"/>
        </w:rPr>
        <w:tab/>
        <w:t>Udhëzimi nr. 4 datë 29.01.2020 “Për delegimin e të drejtave dhe detyrave në njësitë e qeverisjes së përgjithshme”.</w:t>
      </w:r>
    </w:p>
  </w:footnote>
  <w:footnote w:id="68">
    <w:p w14:paraId="10AD5E3C" w14:textId="67326ACC" w:rsidR="00E51921" w:rsidRPr="00CB5654" w:rsidRDefault="00E51921" w:rsidP="000F0526">
      <w:pPr>
        <w:pStyle w:val="FootnoteText"/>
        <w:spacing w:line="276" w:lineRule="auto"/>
        <w:ind w:left="284" w:hanging="284"/>
        <w:jc w:val="both"/>
        <w:rPr>
          <w:sz w:val="14"/>
          <w:szCs w:val="14"/>
        </w:rPr>
      </w:pPr>
      <w:r w:rsidRPr="00CB5654">
        <w:rPr>
          <w:rStyle w:val="FootnoteReference"/>
          <w:sz w:val="14"/>
        </w:rPr>
        <w:footnoteRef/>
      </w:r>
      <w:r w:rsidRPr="00CB5654">
        <w:rPr>
          <w:sz w:val="14"/>
          <w:szCs w:val="14"/>
        </w:rPr>
        <w:t xml:space="preserve"> </w:t>
      </w:r>
      <w:r w:rsidRPr="00CB5654">
        <w:rPr>
          <w:sz w:val="14"/>
          <w:szCs w:val="14"/>
        </w:rPr>
        <w:tab/>
        <w:t xml:space="preserve">BE ka planifikuar mbështetje në bashkëpunim me SIGMA. Projekti i financuar nga SECO për Financat Lokale gjithashtu ofron mbështetje në këtë fushë. </w:t>
      </w:r>
    </w:p>
  </w:footnote>
  <w:footnote w:id="69">
    <w:p w14:paraId="6604ECA0" w14:textId="77777777" w:rsidR="00E51921" w:rsidRPr="00CB5654" w:rsidRDefault="00E51921" w:rsidP="000F0526">
      <w:pPr>
        <w:pStyle w:val="FootnoteText"/>
        <w:spacing w:line="276" w:lineRule="auto"/>
        <w:ind w:left="284" w:hanging="284"/>
        <w:jc w:val="both"/>
        <w:rPr>
          <w:sz w:val="14"/>
          <w:szCs w:val="14"/>
        </w:rPr>
      </w:pPr>
      <w:r w:rsidRPr="00CB5654">
        <w:rPr>
          <w:rStyle w:val="FootnoteReference"/>
          <w:sz w:val="14"/>
        </w:rPr>
        <w:footnoteRef/>
      </w:r>
      <w:r w:rsidRPr="00CB5654">
        <w:rPr>
          <w:sz w:val="14"/>
          <w:szCs w:val="14"/>
        </w:rPr>
        <w:t xml:space="preserve"> Projekti i financuar nga SECO për Financat Lokale gjithashtu ofron mbështetje në këtë fushë. </w:t>
      </w:r>
    </w:p>
  </w:footnote>
  <w:footnote w:id="70">
    <w:p w14:paraId="65F6A53E" w14:textId="321C6B6F" w:rsidR="00E51921" w:rsidRPr="00B82D22" w:rsidRDefault="00E51921" w:rsidP="000F0526">
      <w:pPr>
        <w:pStyle w:val="FootnoteText"/>
        <w:spacing w:line="276" w:lineRule="auto"/>
        <w:jc w:val="both"/>
        <w:rPr>
          <w:sz w:val="14"/>
          <w:szCs w:val="14"/>
        </w:rPr>
      </w:pPr>
      <w:r w:rsidRPr="00CB5654">
        <w:rPr>
          <w:rStyle w:val="FootnoteReference"/>
          <w:sz w:val="14"/>
        </w:rPr>
        <w:footnoteRef/>
      </w:r>
      <w:r w:rsidRPr="00CB5654">
        <w:rPr>
          <w:sz w:val="14"/>
          <w:szCs w:val="14"/>
        </w:rPr>
        <w:t xml:space="preserve"> Rishikimi i efektivitetit të ligjit të MFK-së si dhe harmonizimi i </w:t>
      </w:r>
      <w:r>
        <w:rPr>
          <w:sz w:val="14"/>
          <w:szCs w:val="14"/>
        </w:rPr>
        <w:t xml:space="preserve">nevojshëm </w:t>
      </w:r>
      <w:r w:rsidRPr="00CB5654">
        <w:rPr>
          <w:sz w:val="14"/>
          <w:szCs w:val="14"/>
        </w:rPr>
        <w:t xml:space="preserve">me </w:t>
      </w:r>
      <w:r>
        <w:rPr>
          <w:sz w:val="14"/>
          <w:szCs w:val="14"/>
        </w:rPr>
        <w:t>ligjet e tjera</w:t>
      </w:r>
      <w:r w:rsidRPr="00CB5654">
        <w:rPr>
          <w:sz w:val="14"/>
          <w:szCs w:val="14"/>
        </w:rPr>
        <w:t xml:space="preserve"> dhe përgatitja e </w:t>
      </w:r>
      <w:r>
        <w:rPr>
          <w:sz w:val="14"/>
          <w:szCs w:val="14"/>
        </w:rPr>
        <w:t>ndryshimeve</w:t>
      </w:r>
      <w:r w:rsidRPr="00CB5654">
        <w:rPr>
          <w:sz w:val="14"/>
          <w:szCs w:val="14"/>
        </w:rPr>
        <w:t xml:space="preserve"> nëse është e nevojshme</w:t>
      </w:r>
      <w:r>
        <w:rPr>
          <w:sz w:val="14"/>
          <w:szCs w:val="14"/>
        </w:rPr>
        <w:t>.</w:t>
      </w:r>
    </w:p>
  </w:footnote>
  <w:footnote w:id="71">
    <w:p w14:paraId="422E23AD" w14:textId="08846F09" w:rsidR="00E51921" w:rsidRPr="005F511E" w:rsidRDefault="00E51921" w:rsidP="000F0526">
      <w:pPr>
        <w:pStyle w:val="FootnoteText"/>
        <w:spacing w:line="200" w:lineRule="exact"/>
        <w:ind w:left="284" w:hanging="284"/>
        <w:rPr>
          <w:sz w:val="14"/>
          <w:szCs w:val="14"/>
        </w:rPr>
      </w:pPr>
      <w:r w:rsidRPr="005F511E">
        <w:rPr>
          <w:rStyle w:val="FootnoteReference"/>
          <w:sz w:val="14"/>
        </w:rPr>
        <w:footnoteRef/>
      </w:r>
      <w:r w:rsidRPr="005F511E">
        <w:rPr>
          <w:sz w:val="14"/>
          <w:szCs w:val="14"/>
        </w:rPr>
        <w:t xml:space="preserve"> </w:t>
      </w:r>
      <w:r w:rsidRPr="005F511E">
        <w:rPr>
          <w:sz w:val="14"/>
          <w:szCs w:val="14"/>
        </w:rPr>
        <w:tab/>
      </w:r>
      <w:r>
        <w:rPr>
          <w:sz w:val="14"/>
          <w:szCs w:val="14"/>
        </w:rPr>
        <w:t>Për t’u dakordësuar.</w:t>
      </w:r>
    </w:p>
  </w:footnote>
  <w:footnote w:id="72">
    <w:p w14:paraId="7F1B69C1" w14:textId="77777777" w:rsidR="00E51921" w:rsidRPr="005F511E" w:rsidRDefault="00E51921" w:rsidP="000F0526">
      <w:pPr>
        <w:pStyle w:val="FootnoteText"/>
        <w:ind w:left="284" w:hanging="284"/>
        <w:jc w:val="both"/>
        <w:rPr>
          <w:sz w:val="14"/>
          <w:szCs w:val="14"/>
          <w:lang w:val="en-GB"/>
        </w:rPr>
      </w:pPr>
      <w:r w:rsidRPr="005F511E">
        <w:rPr>
          <w:rStyle w:val="FootnoteReference"/>
          <w:sz w:val="14"/>
        </w:rPr>
        <w:footnoteRef/>
      </w:r>
      <w:r w:rsidRPr="005F511E">
        <w:rPr>
          <w:sz w:val="14"/>
          <w:szCs w:val="14"/>
        </w:rPr>
        <w:t xml:space="preserve"> </w:t>
      </w:r>
      <w:r>
        <w:rPr>
          <w:sz w:val="14"/>
          <w:szCs w:val="14"/>
        </w:rPr>
        <w:tab/>
      </w:r>
      <w:r w:rsidRPr="00A51CF6">
        <w:rPr>
          <w:sz w:val="14"/>
          <w:szCs w:val="14"/>
          <w:lang w:val="en-GB"/>
        </w:rPr>
        <w:t xml:space="preserve">Standardet e reja </w:t>
      </w:r>
      <w:r>
        <w:rPr>
          <w:sz w:val="14"/>
          <w:szCs w:val="14"/>
          <w:lang w:val="en-GB"/>
        </w:rPr>
        <w:t>NAB</w:t>
      </w:r>
      <w:r w:rsidRPr="00A51CF6">
        <w:rPr>
          <w:sz w:val="14"/>
          <w:szCs w:val="14"/>
          <w:lang w:val="en-GB"/>
        </w:rPr>
        <w:t xml:space="preserve"> do të publikohen në janar 2024 dhe do të hyjnë në fuqi në janar 2025</w:t>
      </w:r>
      <w:r w:rsidRPr="005F511E">
        <w:rPr>
          <w:sz w:val="14"/>
          <w:szCs w:val="14"/>
          <w:lang w:val="en-GB"/>
        </w:rPr>
        <w:t>.</w:t>
      </w:r>
    </w:p>
  </w:footnote>
  <w:footnote w:id="73">
    <w:p w14:paraId="59B4FD02" w14:textId="00DA36B8" w:rsidR="00E51921" w:rsidRPr="005F511E" w:rsidRDefault="00E51921" w:rsidP="000F0526">
      <w:pPr>
        <w:pStyle w:val="FootnoteText"/>
        <w:ind w:left="284" w:hanging="284"/>
        <w:jc w:val="both"/>
        <w:rPr>
          <w:sz w:val="14"/>
          <w:szCs w:val="14"/>
        </w:rPr>
      </w:pPr>
      <w:r w:rsidRPr="005F511E">
        <w:rPr>
          <w:rStyle w:val="FootnoteReference"/>
          <w:sz w:val="14"/>
        </w:rPr>
        <w:footnoteRef/>
      </w:r>
      <w:r w:rsidRPr="005F511E">
        <w:rPr>
          <w:sz w:val="14"/>
          <w:szCs w:val="14"/>
        </w:rPr>
        <w:t xml:space="preserve"> </w:t>
      </w:r>
      <w:r w:rsidRPr="005F511E">
        <w:rPr>
          <w:sz w:val="14"/>
          <w:szCs w:val="14"/>
        </w:rPr>
        <w:tab/>
      </w:r>
      <w:r>
        <w:rPr>
          <w:sz w:val="14"/>
          <w:szCs w:val="14"/>
        </w:rPr>
        <w:t>Për t’u dakordësuar</w:t>
      </w:r>
      <w:r w:rsidRPr="00A51CF6">
        <w:rPr>
          <w:sz w:val="14"/>
          <w:szCs w:val="14"/>
        </w:rPr>
        <w:t>; SIGMA ofron trajnime në fushën e auditimit bazë të TI-së</w:t>
      </w:r>
      <w:r>
        <w:rPr>
          <w:sz w:val="14"/>
          <w:szCs w:val="14"/>
        </w:rPr>
        <w:t>.</w:t>
      </w:r>
    </w:p>
  </w:footnote>
  <w:footnote w:id="74">
    <w:p w14:paraId="6B660790" w14:textId="77777777" w:rsidR="00E51921" w:rsidRPr="00AA4E7F" w:rsidRDefault="00E51921" w:rsidP="001D4CA8">
      <w:pPr>
        <w:pStyle w:val="FootnoteText"/>
        <w:ind w:left="284" w:hanging="284"/>
        <w:jc w:val="both"/>
        <w:rPr>
          <w:sz w:val="16"/>
          <w:szCs w:val="16"/>
        </w:rPr>
      </w:pPr>
      <w:r w:rsidRPr="005F511E">
        <w:rPr>
          <w:rStyle w:val="FootnoteReference"/>
          <w:sz w:val="14"/>
        </w:rPr>
        <w:footnoteRef/>
      </w:r>
      <w:r w:rsidRPr="005F511E">
        <w:rPr>
          <w:sz w:val="14"/>
          <w:szCs w:val="14"/>
        </w:rPr>
        <w:t xml:space="preserve"> </w:t>
      </w:r>
      <w:r w:rsidRPr="005F511E">
        <w:rPr>
          <w:sz w:val="14"/>
          <w:szCs w:val="14"/>
        </w:rPr>
        <w:tab/>
      </w:r>
      <w:r w:rsidRPr="00A51CF6">
        <w:rPr>
          <w:sz w:val="14"/>
          <w:szCs w:val="14"/>
        </w:rPr>
        <w:t>Aktualisht, janë identifikuar temat e mëposhtme të trajnimit: auditimi i performancës, auditimi bazë i TI-së, auditimi i projektit. Prezantimi i auditimeve gjithëpërfshirëse të TI-së për subjektet publike që operojnë në një mjedis kompleks të TI-së është identifikuar gjithashtu si nevojë dhe është parashikuar për periudhën 2027-2030</w:t>
      </w:r>
      <w:r w:rsidRPr="005F511E">
        <w:rPr>
          <w:sz w:val="14"/>
          <w:szCs w:val="14"/>
        </w:rPr>
        <w:t>.</w:t>
      </w:r>
    </w:p>
  </w:footnote>
  <w:footnote w:id="75">
    <w:p w14:paraId="36ACDA1A" w14:textId="770F70B3" w:rsidR="00E51921" w:rsidRPr="009B41E5" w:rsidRDefault="00E51921" w:rsidP="000F0526">
      <w:pPr>
        <w:pStyle w:val="FootnoteText"/>
        <w:spacing w:line="200" w:lineRule="exact"/>
        <w:ind w:left="284" w:hanging="284"/>
        <w:jc w:val="both"/>
        <w:rPr>
          <w:sz w:val="14"/>
          <w:szCs w:val="14"/>
        </w:rPr>
      </w:pPr>
      <w:r w:rsidRPr="009B41E5">
        <w:rPr>
          <w:sz w:val="14"/>
          <w:szCs w:val="14"/>
          <w:vertAlign w:val="superscript"/>
        </w:rPr>
        <w:footnoteRef/>
      </w:r>
      <w:r w:rsidRPr="009B41E5">
        <w:rPr>
          <w:sz w:val="14"/>
          <w:szCs w:val="14"/>
        </w:rPr>
        <w:t xml:space="preserve"> </w:t>
      </w:r>
      <w:r w:rsidRPr="009B41E5">
        <w:rPr>
          <w:sz w:val="14"/>
          <w:szCs w:val="14"/>
        </w:rPr>
        <w:tab/>
        <w:t>L</w:t>
      </w:r>
      <w:r>
        <w:rPr>
          <w:sz w:val="14"/>
          <w:szCs w:val="14"/>
        </w:rPr>
        <w:t>igji</w:t>
      </w:r>
      <w:r w:rsidRPr="009B41E5">
        <w:rPr>
          <w:sz w:val="14"/>
          <w:szCs w:val="14"/>
        </w:rPr>
        <w:t xml:space="preserve"> n</w:t>
      </w:r>
      <w:r>
        <w:rPr>
          <w:sz w:val="14"/>
          <w:szCs w:val="14"/>
        </w:rPr>
        <w:t>r.</w:t>
      </w:r>
      <w:r w:rsidRPr="009B41E5">
        <w:rPr>
          <w:sz w:val="14"/>
          <w:szCs w:val="14"/>
        </w:rPr>
        <w:t xml:space="preserve"> 112</w:t>
      </w:r>
      <w:r>
        <w:rPr>
          <w:sz w:val="14"/>
          <w:szCs w:val="14"/>
        </w:rPr>
        <w:t>,</w:t>
      </w:r>
      <w:r w:rsidRPr="009B41E5">
        <w:rPr>
          <w:sz w:val="14"/>
          <w:szCs w:val="14"/>
        </w:rPr>
        <w:t xml:space="preserve"> dat</w:t>
      </w:r>
      <w:r>
        <w:rPr>
          <w:sz w:val="14"/>
          <w:szCs w:val="14"/>
        </w:rPr>
        <w:t>ë</w:t>
      </w:r>
      <w:r w:rsidRPr="009B41E5">
        <w:rPr>
          <w:sz w:val="14"/>
          <w:szCs w:val="14"/>
        </w:rPr>
        <w:t xml:space="preserve"> 15.10.2015 “</w:t>
      </w:r>
      <w:r>
        <w:rPr>
          <w:sz w:val="14"/>
          <w:szCs w:val="14"/>
        </w:rPr>
        <w:t>Për inspektimin financiar</w:t>
      </w:r>
      <w:r w:rsidRPr="009B41E5">
        <w:rPr>
          <w:sz w:val="14"/>
          <w:szCs w:val="14"/>
        </w:rPr>
        <w:t>”</w:t>
      </w:r>
    </w:p>
  </w:footnote>
  <w:footnote w:id="76">
    <w:p w14:paraId="2037F33C" w14:textId="15714265" w:rsidR="00E51921" w:rsidRPr="00F44A41" w:rsidRDefault="00E51921" w:rsidP="000F0526">
      <w:pPr>
        <w:pStyle w:val="FootnoteText"/>
        <w:spacing w:line="200" w:lineRule="exact"/>
        <w:ind w:left="284" w:hanging="284"/>
        <w:jc w:val="both"/>
        <w:rPr>
          <w:sz w:val="14"/>
          <w:szCs w:val="14"/>
        </w:rPr>
      </w:pPr>
      <w:r w:rsidRPr="00F44A41">
        <w:rPr>
          <w:rStyle w:val="FootnoteReference"/>
          <w:sz w:val="14"/>
        </w:rPr>
        <w:footnoteRef/>
      </w:r>
      <w:r w:rsidRPr="00F44A41">
        <w:rPr>
          <w:sz w:val="14"/>
          <w:szCs w:val="14"/>
        </w:rPr>
        <w:t xml:space="preserve"> </w:t>
      </w:r>
      <w:r w:rsidRPr="00F44A41">
        <w:rPr>
          <w:sz w:val="14"/>
          <w:szCs w:val="14"/>
        </w:rPr>
        <w:tab/>
      </w:r>
      <w:r>
        <w:rPr>
          <w:sz w:val="14"/>
          <w:szCs w:val="14"/>
        </w:rPr>
        <w:t>Për t’u dakordësuar</w:t>
      </w:r>
      <w:r w:rsidRPr="00CC3228">
        <w:rPr>
          <w:sz w:val="14"/>
          <w:szCs w:val="14"/>
        </w:rPr>
        <w:t xml:space="preserve">. </w:t>
      </w:r>
      <w:r>
        <w:rPr>
          <w:sz w:val="14"/>
          <w:szCs w:val="14"/>
        </w:rPr>
        <w:t>ZEKM</w:t>
      </w:r>
      <w:r w:rsidRPr="00CC3228">
        <w:rPr>
          <w:sz w:val="14"/>
          <w:szCs w:val="14"/>
        </w:rPr>
        <w:t xml:space="preserve"> mund të ofrojë mbështetje për të forcuar funksionin e koordinimit të </w:t>
      </w:r>
      <w:r>
        <w:rPr>
          <w:sz w:val="14"/>
          <w:szCs w:val="14"/>
        </w:rPr>
        <w:t>ShKKM</w:t>
      </w:r>
      <w:r w:rsidRPr="00CC3228">
        <w:rPr>
          <w:sz w:val="14"/>
          <w:szCs w:val="14"/>
        </w:rPr>
        <w:t xml:space="preserve"> nëpërmjet angazhimit të saj të rregullt me MF-D</w:t>
      </w:r>
      <w:r>
        <w:rPr>
          <w:sz w:val="14"/>
          <w:szCs w:val="14"/>
        </w:rPr>
        <w:t>IFP</w:t>
      </w:r>
      <w:r w:rsidRPr="00F44A41">
        <w:rPr>
          <w:sz w:val="14"/>
          <w:szCs w:val="14"/>
        </w:rPr>
        <w:t>.</w:t>
      </w:r>
    </w:p>
  </w:footnote>
  <w:footnote w:id="77">
    <w:p w14:paraId="1D7B0BD5" w14:textId="77777777" w:rsidR="00E51921" w:rsidRPr="002035F7" w:rsidRDefault="00E51921" w:rsidP="000F0526">
      <w:pPr>
        <w:pStyle w:val="FootnoteText"/>
        <w:spacing w:line="200" w:lineRule="exact"/>
        <w:ind w:left="284" w:hanging="284"/>
        <w:jc w:val="both"/>
        <w:rPr>
          <w:sz w:val="14"/>
          <w:szCs w:val="14"/>
        </w:rPr>
      </w:pPr>
      <w:r w:rsidRPr="002035F7">
        <w:rPr>
          <w:sz w:val="14"/>
          <w:szCs w:val="14"/>
        </w:rPr>
        <w:footnoteRef/>
      </w:r>
      <w:r w:rsidRPr="002035F7">
        <w:rPr>
          <w:sz w:val="14"/>
          <w:szCs w:val="14"/>
        </w:rPr>
        <w:t xml:space="preserve">    Ligji 65/2022 </w:t>
      </w:r>
    </w:p>
  </w:footnote>
  <w:footnote w:id="78">
    <w:p w14:paraId="1481A55A" w14:textId="5AF150F0" w:rsidR="00E51921" w:rsidRPr="00AF2331" w:rsidRDefault="00E51921" w:rsidP="000F0526">
      <w:pPr>
        <w:pStyle w:val="FootnoteText"/>
        <w:spacing w:line="200" w:lineRule="exact"/>
        <w:ind w:left="284" w:hanging="284"/>
        <w:jc w:val="both"/>
        <w:rPr>
          <w:sz w:val="14"/>
          <w:szCs w:val="14"/>
        </w:rPr>
      </w:pPr>
      <w:r w:rsidRPr="002035F7">
        <w:rPr>
          <w:rStyle w:val="FootnoteReference"/>
          <w:sz w:val="14"/>
        </w:rPr>
        <w:footnoteRef/>
      </w:r>
      <w:r w:rsidRPr="002035F7">
        <w:rPr>
          <w:sz w:val="14"/>
          <w:szCs w:val="14"/>
        </w:rPr>
        <w:t xml:space="preserve"> </w:t>
      </w:r>
      <w:r w:rsidRPr="002035F7">
        <w:rPr>
          <w:sz w:val="14"/>
          <w:szCs w:val="14"/>
        </w:rPr>
        <w:tab/>
        <w:t>Në përputhje me Marrëveshjen Kuad</w:t>
      </w:r>
      <w:r>
        <w:rPr>
          <w:sz w:val="14"/>
          <w:szCs w:val="14"/>
        </w:rPr>
        <w:t>ë</w:t>
      </w:r>
      <w:r w:rsidRPr="002035F7">
        <w:rPr>
          <w:sz w:val="14"/>
          <w:szCs w:val="14"/>
        </w:rPr>
        <w:t>r t</w:t>
      </w:r>
      <w:r>
        <w:rPr>
          <w:sz w:val="14"/>
          <w:szCs w:val="14"/>
        </w:rPr>
        <w:t>ë</w:t>
      </w:r>
      <w:r w:rsidRPr="002035F7">
        <w:rPr>
          <w:sz w:val="14"/>
          <w:szCs w:val="14"/>
        </w:rPr>
        <w:t xml:space="preserve"> Partneritetit Financiar ndërmjet Komisionit Evropian dhe Republikës së Shqipërisë</w:t>
      </w:r>
      <w:r w:rsidRPr="002035F7">
        <w:rPr>
          <w:sz w:val="14"/>
          <w:szCs w:val="14"/>
          <w:lang w:val="en-GB"/>
        </w:rPr>
        <w:t>”</w:t>
      </w:r>
    </w:p>
  </w:footnote>
  <w:footnote w:id="79">
    <w:p w14:paraId="4CB11F4C" w14:textId="77777777" w:rsidR="00E51921" w:rsidRPr="008075DF" w:rsidRDefault="00E51921" w:rsidP="000F0526">
      <w:pPr>
        <w:pStyle w:val="FootnoteText"/>
        <w:ind w:left="284" w:hanging="284"/>
        <w:rPr>
          <w:sz w:val="14"/>
          <w:szCs w:val="14"/>
        </w:rPr>
      </w:pPr>
      <w:r w:rsidRPr="0021164F">
        <w:rPr>
          <w:rStyle w:val="FootnoteReference"/>
        </w:rPr>
        <w:footnoteRef/>
      </w:r>
      <w:r>
        <w:rPr>
          <w:sz w:val="14"/>
          <w:szCs w:val="14"/>
        </w:rPr>
        <w:t xml:space="preserve"> </w:t>
      </w:r>
      <w:r>
        <w:rPr>
          <w:sz w:val="14"/>
          <w:szCs w:val="14"/>
        </w:rPr>
        <w:tab/>
      </w:r>
      <w:r w:rsidRPr="00C80E01">
        <w:rPr>
          <w:sz w:val="14"/>
          <w:szCs w:val="14"/>
        </w:rPr>
        <w:t>Ligji “Për organizimin dhe funksionimin e Kontrollit të Lartë të Shtetit”, miratuar në vitin 2014</w:t>
      </w:r>
      <w:r>
        <w:rPr>
          <w:sz w:val="14"/>
          <w:szCs w:val="14"/>
        </w:rPr>
        <w:t>.</w:t>
      </w:r>
    </w:p>
  </w:footnote>
  <w:footnote w:id="80">
    <w:p w14:paraId="420A89E4" w14:textId="77777777" w:rsidR="00E51921" w:rsidRPr="003A4B23" w:rsidRDefault="00E51921" w:rsidP="000F0526">
      <w:pPr>
        <w:pStyle w:val="FootnoteText"/>
        <w:spacing w:line="200" w:lineRule="exact"/>
        <w:ind w:left="284" w:hanging="284"/>
        <w:rPr>
          <w:sz w:val="14"/>
          <w:szCs w:val="14"/>
        </w:rPr>
      </w:pPr>
      <w:r w:rsidRPr="003A4B23">
        <w:rPr>
          <w:rStyle w:val="FootnoteReference"/>
          <w:sz w:val="14"/>
        </w:rPr>
        <w:footnoteRef/>
      </w:r>
      <w:r w:rsidRPr="003A4B23">
        <w:rPr>
          <w:sz w:val="14"/>
          <w:szCs w:val="14"/>
        </w:rPr>
        <w:t xml:space="preserve"> </w:t>
      </w:r>
      <w:r w:rsidRPr="003A4B23">
        <w:rPr>
          <w:sz w:val="14"/>
          <w:szCs w:val="14"/>
        </w:rPr>
        <w:tab/>
      </w:r>
      <w:r w:rsidRPr="006671D6">
        <w:rPr>
          <w:sz w:val="14"/>
          <w:szCs w:val="14"/>
        </w:rPr>
        <w:t>Raporti i performancës së</w:t>
      </w:r>
      <w:r>
        <w:rPr>
          <w:sz w:val="14"/>
          <w:szCs w:val="14"/>
        </w:rPr>
        <w:t xml:space="preserve"> KLSH</w:t>
      </w:r>
      <w:r w:rsidRPr="006671D6">
        <w:rPr>
          <w:sz w:val="14"/>
          <w:szCs w:val="14"/>
        </w:rPr>
        <w:t>, miratuar me Vendim të Kryetarit të KLSH-së nr. 225, datë 02.12.2022</w:t>
      </w:r>
      <w:r w:rsidRPr="003A4B23">
        <w:rPr>
          <w:sz w:val="14"/>
          <w:szCs w:val="14"/>
        </w:rPr>
        <w:t>.</w:t>
      </w:r>
    </w:p>
  </w:footnote>
  <w:footnote w:id="81">
    <w:p w14:paraId="4C5D6C64" w14:textId="77777777" w:rsidR="00E51921" w:rsidRPr="0059094E" w:rsidRDefault="00E51921" w:rsidP="000F0526">
      <w:pPr>
        <w:spacing w:line="200" w:lineRule="exact"/>
        <w:ind w:left="284" w:hanging="284"/>
        <w:jc w:val="both"/>
        <w:rPr>
          <w:sz w:val="14"/>
          <w:szCs w:val="14"/>
        </w:rPr>
      </w:pPr>
      <w:r w:rsidRPr="00B73DD8">
        <w:rPr>
          <w:rStyle w:val="FootnoteReference"/>
          <w:sz w:val="14"/>
        </w:rPr>
        <w:footnoteRef/>
      </w:r>
      <w:r w:rsidRPr="0059094E">
        <w:rPr>
          <w:sz w:val="14"/>
          <w:szCs w:val="14"/>
        </w:rPr>
        <w:t xml:space="preserve"> </w:t>
      </w:r>
      <w:r w:rsidRPr="0059094E">
        <w:rPr>
          <w:sz w:val="14"/>
          <w:szCs w:val="14"/>
        </w:rPr>
        <w:tab/>
        <w:t>https://staging.parlament.al/</w:t>
      </w:r>
    </w:p>
  </w:footnote>
  <w:footnote w:id="82">
    <w:p w14:paraId="37140F65" w14:textId="77777777" w:rsidR="00E51921" w:rsidRPr="0059094E" w:rsidRDefault="00E51921" w:rsidP="000F0526">
      <w:pPr>
        <w:spacing w:line="200" w:lineRule="exact"/>
        <w:ind w:left="284" w:hanging="284"/>
        <w:jc w:val="both"/>
        <w:rPr>
          <w:sz w:val="14"/>
          <w:szCs w:val="14"/>
        </w:rPr>
      </w:pPr>
      <w:r w:rsidRPr="00B73DD8">
        <w:rPr>
          <w:rStyle w:val="FootnoteReference"/>
          <w:sz w:val="14"/>
        </w:rPr>
        <w:footnoteRef/>
      </w:r>
      <w:r w:rsidRPr="0059094E">
        <w:rPr>
          <w:sz w:val="14"/>
          <w:szCs w:val="14"/>
        </w:rPr>
        <w:t xml:space="preserve"> </w:t>
      </w:r>
      <w:r w:rsidRPr="0059094E">
        <w:rPr>
          <w:sz w:val="14"/>
          <w:szCs w:val="14"/>
        </w:rPr>
        <w:tab/>
        <w:t>Treguesi PEFA 31 Shqyrtimi legjislativ i raporteve të auditimit: rezultati B në një shkallë nga A në D (burimi: PEFA 2017) dhe treguesi SIGMA 2.7.1 Shqyrtimi parlamentar i politikëbërjes së qeverisë: rezultati 4 nga 5 (burimi: SIGMA 2021).</w:t>
      </w:r>
    </w:p>
  </w:footnote>
  <w:footnote w:id="83">
    <w:p w14:paraId="179F7215" w14:textId="77777777" w:rsidR="00E51921" w:rsidRPr="0059094E" w:rsidRDefault="00E51921" w:rsidP="000F0526">
      <w:pPr>
        <w:spacing w:line="200" w:lineRule="exact"/>
        <w:ind w:left="284" w:hanging="284"/>
        <w:jc w:val="both"/>
      </w:pPr>
      <w:r w:rsidRPr="00B73DD8">
        <w:rPr>
          <w:rStyle w:val="FootnoteReference"/>
          <w:sz w:val="14"/>
        </w:rPr>
        <w:footnoteRef/>
      </w:r>
      <w:r w:rsidRPr="0059094E">
        <w:rPr>
          <w:sz w:val="14"/>
          <w:szCs w:val="14"/>
        </w:rPr>
        <w:t xml:space="preserve"> </w:t>
      </w:r>
      <w:r w:rsidRPr="0059094E">
        <w:rPr>
          <w:sz w:val="14"/>
          <w:szCs w:val="14"/>
        </w:rPr>
        <w:tab/>
        <w:t>OECD (2019), Buxhetimi dhe Shpenzimet Publike në vendet e OECD 2019, Kapitulli 5 Roli i Parlamentit në buxhetim.</w:t>
      </w:r>
    </w:p>
  </w:footnote>
  <w:footnote w:id="84">
    <w:p w14:paraId="5AE841AE" w14:textId="63E5594D" w:rsidR="00E51921" w:rsidRPr="0059094E" w:rsidRDefault="00E51921" w:rsidP="000F0526">
      <w:pPr>
        <w:pStyle w:val="FootnoteText"/>
        <w:spacing w:line="200" w:lineRule="exact"/>
        <w:ind w:left="284" w:hanging="284"/>
        <w:jc w:val="both"/>
        <w:rPr>
          <w:sz w:val="14"/>
          <w:szCs w:val="14"/>
        </w:rPr>
      </w:pPr>
      <w:r w:rsidRPr="00FF57F9">
        <w:rPr>
          <w:rStyle w:val="FootnoteReference"/>
          <w:sz w:val="14"/>
        </w:rPr>
        <w:footnoteRef/>
      </w:r>
      <w:r w:rsidRPr="0059094E">
        <w:rPr>
          <w:sz w:val="14"/>
          <w:szCs w:val="14"/>
        </w:rPr>
        <w:t xml:space="preserve"> </w:t>
      </w:r>
      <w:r w:rsidRPr="0059094E">
        <w:rPr>
          <w:sz w:val="14"/>
          <w:szCs w:val="14"/>
        </w:rPr>
        <w:tab/>
        <w:t xml:space="preserve">Objekti i planit të zhvillimit mund të përfshijë mandatin, strukturën e nënkomisionit, bashkëpunimin me partnerë si KLSH, Institucionin e Pavarur Fiskal/Këshillin Fiskal (që do të krijohet) dhe Bankën Qëndrore të Shqipërisë; shërbimet e nevojshme kërkimore dhe mbështetëse, kërkesat e personelit, nevojat për zhvillimin e kapaciteteve, komunikimin, transparencën dhe pjesëmarrjen e publikut.  </w:t>
      </w:r>
    </w:p>
  </w:footnote>
  <w:footnote w:id="85">
    <w:p w14:paraId="1B2C96F1" w14:textId="00682C3F" w:rsidR="00E51921" w:rsidRPr="009D660E" w:rsidRDefault="00E51921" w:rsidP="000F0526">
      <w:pPr>
        <w:pStyle w:val="FootnoteText"/>
        <w:spacing w:line="200" w:lineRule="exact"/>
        <w:ind w:left="284" w:hanging="284"/>
        <w:jc w:val="both"/>
        <w:rPr>
          <w:sz w:val="14"/>
          <w:szCs w:val="14"/>
          <w:lang w:val="it-IT"/>
        </w:rPr>
      </w:pPr>
      <w:r w:rsidRPr="00FF57F9">
        <w:rPr>
          <w:rStyle w:val="FootnoteReference"/>
          <w:sz w:val="14"/>
        </w:rPr>
        <w:footnoteRef/>
      </w:r>
      <w:r w:rsidRPr="009D660E">
        <w:rPr>
          <w:rStyle w:val="FootnoteReference"/>
          <w:sz w:val="14"/>
          <w:lang w:val="it-IT"/>
        </w:rPr>
        <w:t xml:space="preserve"> </w:t>
      </w:r>
      <w:r w:rsidRPr="009D660E">
        <w:rPr>
          <w:sz w:val="14"/>
          <w:szCs w:val="14"/>
          <w:lang w:val="it-IT"/>
        </w:rPr>
        <w:tab/>
      </w:r>
      <w:r w:rsidRPr="009D660E">
        <w:rPr>
          <w:rStyle w:val="FootnoteReference"/>
          <w:sz w:val="14"/>
          <w:vertAlign w:val="baseline"/>
          <w:lang w:val="it-IT"/>
        </w:rPr>
        <w:t>Nën-t</w:t>
      </w:r>
      <w:r w:rsidRPr="009D660E">
        <w:rPr>
          <w:sz w:val="14"/>
          <w:lang w:val="it-IT"/>
        </w:rPr>
        <w:t>reguesit</w:t>
      </w:r>
      <w:r w:rsidRPr="009D660E">
        <w:rPr>
          <w:rStyle w:val="FootnoteReference"/>
          <w:sz w:val="14"/>
          <w:vertAlign w:val="baseline"/>
          <w:lang w:val="it-IT"/>
        </w:rPr>
        <w:t xml:space="preserve"> e PEFA-s 31.2 Seancat dëgjimore mbi gjetjet e auditimit (v</w:t>
      </w:r>
      <w:r w:rsidRPr="009D660E">
        <w:rPr>
          <w:sz w:val="14"/>
          <w:lang w:val="it-IT"/>
        </w:rPr>
        <w:t>lerësimi</w:t>
      </w:r>
      <w:r w:rsidRPr="009D660E">
        <w:rPr>
          <w:rStyle w:val="FootnoteReference"/>
          <w:sz w:val="14"/>
          <w:vertAlign w:val="baseline"/>
          <w:lang w:val="it-IT"/>
        </w:rPr>
        <w:t xml:space="preserve"> C në 2017) dhe n</w:t>
      </w:r>
      <w:r w:rsidRPr="009D660E">
        <w:rPr>
          <w:sz w:val="14"/>
          <w:lang w:val="it-IT"/>
        </w:rPr>
        <w:t>ën-treguesi</w:t>
      </w:r>
      <w:r w:rsidRPr="009D660E">
        <w:rPr>
          <w:rStyle w:val="FootnoteReference"/>
          <w:sz w:val="14"/>
          <w:vertAlign w:val="baseline"/>
          <w:lang w:val="it-IT"/>
        </w:rPr>
        <w:t xml:space="preserve"> 31.3 Rekomandimet për auditimin nga legjislativi (v</w:t>
      </w:r>
      <w:r w:rsidRPr="009D660E">
        <w:rPr>
          <w:sz w:val="14"/>
          <w:lang w:val="it-IT"/>
        </w:rPr>
        <w:t>lerësimi</w:t>
      </w:r>
      <w:r w:rsidRPr="009D660E">
        <w:rPr>
          <w:rStyle w:val="FootnoteReference"/>
          <w:sz w:val="14"/>
          <w:vertAlign w:val="baseline"/>
          <w:lang w:val="it-IT"/>
        </w:rPr>
        <w:t xml:space="preserve"> C në 2017) janë përmirësuar me një rezultat më të lartë se B</w:t>
      </w:r>
      <w:r w:rsidRPr="009D660E">
        <w:rPr>
          <w:sz w:val="14"/>
          <w:lang w:val="it-IT"/>
        </w:rPr>
        <w:t>.</w:t>
      </w:r>
    </w:p>
  </w:footnote>
  <w:footnote w:id="86">
    <w:p w14:paraId="18A75027" w14:textId="77777777" w:rsidR="00E51921" w:rsidRPr="009D660E" w:rsidRDefault="00E51921" w:rsidP="000F0526">
      <w:pPr>
        <w:pStyle w:val="FootnoteText"/>
        <w:spacing w:line="200" w:lineRule="exact"/>
        <w:ind w:left="284" w:hanging="284"/>
        <w:rPr>
          <w:sz w:val="14"/>
          <w:szCs w:val="14"/>
          <w:lang w:val="it-IT"/>
        </w:rPr>
      </w:pPr>
      <w:r w:rsidRPr="001C3FEC">
        <w:rPr>
          <w:rStyle w:val="FootnoteReference"/>
          <w:sz w:val="14"/>
        </w:rPr>
        <w:footnoteRef/>
      </w:r>
      <w:r w:rsidRPr="009D660E">
        <w:rPr>
          <w:sz w:val="14"/>
          <w:szCs w:val="14"/>
          <w:lang w:val="it-IT"/>
        </w:rPr>
        <w:t xml:space="preserve"> </w:t>
      </w:r>
      <w:r w:rsidRPr="009D660E">
        <w:rPr>
          <w:sz w:val="14"/>
          <w:szCs w:val="14"/>
          <w:lang w:val="it-IT"/>
        </w:rPr>
        <w:tab/>
        <w:t>Për të siguruar zbatimin efektiv të Strategjisë së reformës dhe për të lehtësuar bashkërendimin e përpjekjeve, u krijua një komitet drejtues me Urdhrin e Kryeministrit nr. 202, datë 25.08.2014.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676E"/>
    <w:multiLevelType w:val="hybridMultilevel"/>
    <w:tmpl w:val="958826B6"/>
    <w:lvl w:ilvl="0" w:tplc="FFFFFFFF">
      <w:start w:val="1"/>
      <w:numFmt w:val="decimal"/>
      <w:lvlText w:val="%1."/>
      <w:lvlJc w:val="left"/>
      <w:pPr>
        <w:ind w:left="360" w:hanging="360"/>
      </w:pPr>
      <w:rPr>
        <w:b w:val="0"/>
        <w:i w:val="0"/>
        <w:color w:val="auto"/>
        <w:sz w:val="16"/>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nsid w:val="02DA17EA"/>
    <w:multiLevelType w:val="hybridMultilevel"/>
    <w:tmpl w:val="82A0CA2C"/>
    <w:lvl w:ilvl="0" w:tplc="0409000F">
      <w:start w:val="1"/>
      <w:numFmt w:val="decimal"/>
      <w:lvlText w:val="%1."/>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049E48D3"/>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6157C52"/>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09DB3770"/>
    <w:multiLevelType w:val="hybridMultilevel"/>
    <w:tmpl w:val="2E442D76"/>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
    <w:nsid w:val="0A894D57"/>
    <w:multiLevelType w:val="hybridMultilevel"/>
    <w:tmpl w:val="72A8F4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E3E0F56"/>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0E46565F"/>
    <w:multiLevelType w:val="hybridMultilevel"/>
    <w:tmpl w:val="E690BF64"/>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0E97691B"/>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0D6142F"/>
    <w:multiLevelType w:val="hybridMultilevel"/>
    <w:tmpl w:val="CDE8D11C"/>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0">
    <w:nsid w:val="12D76E0C"/>
    <w:multiLevelType w:val="hybridMultilevel"/>
    <w:tmpl w:val="1FF2DD64"/>
    <w:lvl w:ilvl="0" w:tplc="C87CC902">
      <w:start w:val="1"/>
      <w:numFmt w:val="bullet"/>
      <w:lvlText w:val=""/>
      <w:lvlJc w:val="left"/>
      <w:pPr>
        <w:ind w:left="360" w:hanging="360"/>
      </w:pPr>
      <w:rPr>
        <w:rFonts w:ascii="Symbol" w:hAnsi="Symbol" w:hint="default"/>
        <w:b w:val="0"/>
        <w:i w:val="0"/>
        <w:color w:val="0070C0"/>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159E11A2"/>
    <w:multiLevelType w:val="hybridMultilevel"/>
    <w:tmpl w:val="966E81FC"/>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
    <w:nsid w:val="163178F7"/>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1879118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18A361F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1AE32811"/>
    <w:multiLevelType w:val="hybridMultilevel"/>
    <w:tmpl w:val="907A16A8"/>
    <w:lvl w:ilvl="0" w:tplc="21541C12">
      <w:start w:val="3"/>
      <w:numFmt w:val="decimal"/>
      <w:lvlText w:val="%1."/>
      <w:lvlJc w:val="left"/>
      <w:pPr>
        <w:ind w:left="360" w:hanging="360"/>
      </w:pPr>
      <w:rPr>
        <w:rFonts w:hint="default"/>
        <w:b w:val="0"/>
        <w:i w:val="0"/>
        <w:color w:val="auto"/>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0B3580"/>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1CE07704"/>
    <w:multiLevelType w:val="hybridMultilevel"/>
    <w:tmpl w:val="FE745768"/>
    <w:lvl w:ilvl="0" w:tplc="FFFFFFFF">
      <w:start w:val="1"/>
      <w:numFmt w:val="decimal"/>
      <w:lvlText w:val="%1."/>
      <w:lvlJc w:val="left"/>
      <w:pPr>
        <w:ind w:left="360" w:hanging="360"/>
      </w:pPr>
      <w:rPr>
        <w:rFonts w:ascii="Arial" w:hAnsi="Arial" w:hint="default"/>
        <w:b w:val="0"/>
        <w:i w:val="0"/>
        <w:color w:val="auto"/>
        <w:sz w:val="18"/>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nsid w:val="1FC50AF4"/>
    <w:multiLevelType w:val="hybridMultilevel"/>
    <w:tmpl w:val="A72E31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21016A0A"/>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242E32CD"/>
    <w:multiLevelType w:val="hybridMultilevel"/>
    <w:tmpl w:val="B5C492AC"/>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
    <w:nsid w:val="270475B6"/>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27B63736"/>
    <w:multiLevelType w:val="hybridMultilevel"/>
    <w:tmpl w:val="A72E31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296543D1"/>
    <w:multiLevelType w:val="hybridMultilevel"/>
    <w:tmpl w:val="5AB8B77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4">
    <w:nsid w:val="299A4583"/>
    <w:multiLevelType w:val="hybridMultilevel"/>
    <w:tmpl w:val="2A8C8C8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29BE13BF"/>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2A803DAC"/>
    <w:multiLevelType w:val="hybridMultilevel"/>
    <w:tmpl w:val="E63C2D30"/>
    <w:lvl w:ilvl="0" w:tplc="C87CC902">
      <w:start w:val="1"/>
      <w:numFmt w:val="bullet"/>
      <w:lvlText w:val=""/>
      <w:lvlJc w:val="left"/>
      <w:pPr>
        <w:ind w:left="360" w:hanging="360"/>
      </w:pPr>
      <w:rPr>
        <w:rFonts w:ascii="Symbol" w:hAnsi="Symbol"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nsid w:val="2B021E05"/>
    <w:multiLevelType w:val="hybridMultilevel"/>
    <w:tmpl w:val="7B7475AC"/>
    <w:lvl w:ilvl="0" w:tplc="1B1454EE">
      <w:start w:val="1"/>
      <w:numFmt w:val="bullet"/>
      <w:pStyle w:val="T-Bullet"/>
      <w:lvlText w:val=""/>
      <w:lvlJc w:val="left"/>
      <w:pPr>
        <w:ind w:left="360" w:hanging="360"/>
      </w:pPr>
      <w:rPr>
        <w:rFonts w:ascii="Symbol" w:hAnsi="Symbol" w:hint="default"/>
        <w:b w:val="0"/>
        <w:i w:val="0"/>
        <w:color w:val="0070C0"/>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2C7F3C6E"/>
    <w:multiLevelType w:val="hybridMultilevel"/>
    <w:tmpl w:val="B1BC23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2C9207CB"/>
    <w:multiLevelType w:val="hybridMultilevel"/>
    <w:tmpl w:val="7DACD706"/>
    <w:lvl w:ilvl="0" w:tplc="19C640D0">
      <w:start w:val="1"/>
      <w:numFmt w:val="bullet"/>
      <w:lvlText w:val=""/>
      <w:lvlJc w:val="left"/>
      <w:pPr>
        <w:ind w:left="360" w:hanging="360"/>
      </w:pPr>
      <w:rPr>
        <w:rFonts w:ascii="Symbol" w:hAnsi="Symbol" w:hint="default"/>
        <w:color w:val="0070C0"/>
        <w:sz w:val="18"/>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nsid w:val="2F0211BC"/>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3060021B"/>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30B3081E"/>
    <w:multiLevelType w:val="hybridMultilevel"/>
    <w:tmpl w:val="37005B6C"/>
    <w:lvl w:ilvl="0" w:tplc="35DE14A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F4463A"/>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nsid w:val="35646A7B"/>
    <w:multiLevelType w:val="hybridMultilevel"/>
    <w:tmpl w:val="B89CAB08"/>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5">
    <w:nsid w:val="37130980"/>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3787763C"/>
    <w:multiLevelType w:val="hybridMultilevel"/>
    <w:tmpl w:val="4A46EF82"/>
    <w:lvl w:ilvl="0" w:tplc="C87CC902">
      <w:start w:val="1"/>
      <w:numFmt w:val="bullet"/>
      <w:lvlText w:val=""/>
      <w:lvlJc w:val="left"/>
      <w:pPr>
        <w:ind w:left="360" w:hanging="360"/>
      </w:pPr>
      <w:rPr>
        <w:rFonts w:ascii="Symbol" w:hAnsi="Symbol" w:hint="default"/>
        <w:color w:val="0070C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nsid w:val="380A1515"/>
    <w:multiLevelType w:val="hybridMultilevel"/>
    <w:tmpl w:val="72A8F4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nsid w:val="38846B51"/>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3C956560"/>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nsid w:val="3DE36EB0"/>
    <w:multiLevelType w:val="hybridMultilevel"/>
    <w:tmpl w:val="293AEE78"/>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1">
    <w:nsid w:val="3E0334B1"/>
    <w:multiLevelType w:val="hybridMultilevel"/>
    <w:tmpl w:val="FE745768"/>
    <w:lvl w:ilvl="0" w:tplc="FFFFFFFF">
      <w:start w:val="1"/>
      <w:numFmt w:val="decimal"/>
      <w:lvlText w:val="%1."/>
      <w:lvlJc w:val="left"/>
      <w:pPr>
        <w:ind w:left="360" w:hanging="360"/>
      </w:pPr>
      <w:rPr>
        <w:rFonts w:ascii="Arial" w:hAnsi="Arial" w:hint="default"/>
        <w:b w:val="0"/>
        <w:i w:val="0"/>
        <w:color w:val="auto"/>
        <w:sz w:val="18"/>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nsid w:val="3EF33DD9"/>
    <w:multiLevelType w:val="hybridMultilevel"/>
    <w:tmpl w:val="F55C888C"/>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3">
    <w:nsid w:val="3F2375C9"/>
    <w:multiLevelType w:val="hybridMultilevel"/>
    <w:tmpl w:val="0FAEC284"/>
    <w:lvl w:ilvl="0" w:tplc="D6343FD8">
      <w:start w:val="1"/>
      <w:numFmt w:val="bullet"/>
      <w:pStyle w:val="T-bullet0"/>
      <w:lvlText w:val=""/>
      <w:lvlJc w:val="left"/>
      <w:pPr>
        <w:ind w:left="360" w:hanging="360"/>
      </w:pPr>
      <w:rPr>
        <w:rFonts w:ascii="Symbol" w:hAnsi="Symbol" w:hint="default"/>
        <w:color w:val="0070C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nsid w:val="427551CD"/>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nsid w:val="429B0788"/>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nsid w:val="42EA4754"/>
    <w:multiLevelType w:val="hybridMultilevel"/>
    <w:tmpl w:val="EDEE74D4"/>
    <w:lvl w:ilvl="0" w:tplc="8DCEC092">
      <w:start w:val="1"/>
      <w:numFmt w:val="decimal"/>
      <w:pStyle w:val="N-Number"/>
      <w:lvlText w:val="%1."/>
      <w:lvlJc w:val="left"/>
      <w:pPr>
        <w:ind w:left="360" w:hanging="360"/>
      </w:pPr>
      <w:rPr>
        <w:rFonts w:hint="default"/>
        <w:b w:val="0"/>
        <w:i w:val="0"/>
        <w:color w:val="auto"/>
        <w:sz w:val="18"/>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7">
    <w:nsid w:val="43DA382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nsid w:val="449C532D"/>
    <w:multiLevelType w:val="hybridMultilevel"/>
    <w:tmpl w:val="FE745768"/>
    <w:lvl w:ilvl="0" w:tplc="1DEAF428">
      <w:start w:val="1"/>
      <w:numFmt w:val="decimal"/>
      <w:lvlText w:val="%1."/>
      <w:lvlJc w:val="left"/>
      <w:pPr>
        <w:ind w:left="360" w:hanging="360"/>
      </w:pPr>
      <w:rPr>
        <w:rFonts w:ascii="Arial" w:hAnsi="Arial" w:hint="default"/>
        <w:b w:val="0"/>
        <w:i w:val="0"/>
        <w:color w:val="auto"/>
        <w:sz w:val="18"/>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nsid w:val="45190CAA"/>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nsid w:val="4622573F"/>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nsid w:val="46F56F14"/>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nsid w:val="47FB1F4A"/>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nsid w:val="4B98571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nsid w:val="4C397CA3"/>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nsid w:val="4C3C4D15"/>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nsid w:val="4D377654"/>
    <w:multiLevelType w:val="hybridMultilevel"/>
    <w:tmpl w:val="FA8A1D38"/>
    <w:lvl w:ilvl="0" w:tplc="4EA8F86A">
      <w:start w:val="1"/>
      <w:numFmt w:val="decimal"/>
      <w:pStyle w:val="T-number"/>
      <w:lvlText w:val="%1."/>
      <w:lvlJc w:val="left"/>
      <w:pPr>
        <w:ind w:left="360" w:hanging="360"/>
      </w:pPr>
      <w:rPr>
        <w:rFonts w:ascii="Arial" w:hAnsi="Arial"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nsid w:val="4D475D8A"/>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nsid w:val="4F1405CB"/>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nsid w:val="50F33953"/>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nsid w:val="5251377B"/>
    <w:multiLevelType w:val="hybridMultilevel"/>
    <w:tmpl w:val="D3FAC7D6"/>
    <w:lvl w:ilvl="0" w:tplc="C87CC902">
      <w:start w:val="1"/>
      <w:numFmt w:val="bullet"/>
      <w:lvlText w:val=""/>
      <w:lvlJc w:val="left"/>
      <w:pPr>
        <w:ind w:left="360" w:hanging="360"/>
      </w:pPr>
      <w:rPr>
        <w:rFonts w:ascii="Symbol" w:hAnsi="Symbol" w:hint="default"/>
        <w:color w:val="0070C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1">
    <w:nsid w:val="528D4471"/>
    <w:multiLevelType w:val="hybridMultilevel"/>
    <w:tmpl w:val="FE745768"/>
    <w:lvl w:ilvl="0" w:tplc="1DEAF428">
      <w:start w:val="1"/>
      <w:numFmt w:val="decimal"/>
      <w:lvlText w:val="%1."/>
      <w:lvlJc w:val="left"/>
      <w:pPr>
        <w:ind w:left="360" w:hanging="360"/>
      </w:pPr>
      <w:rPr>
        <w:rFonts w:ascii="Arial" w:hAnsi="Arial" w:hint="default"/>
        <w:b w:val="0"/>
        <w:i w:val="0"/>
        <w:color w:val="auto"/>
        <w:sz w:val="18"/>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nsid w:val="531F09C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nsid w:val="535361B8"/>
    <w:multiLevelType w:val="hybridMultilevel"/>
    <w:tmpl w:val="194CC72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nsid w:val="54A50D1B"/>
    <w:multiLevelType w:val="hybridMultilevel"/>
    <w:tmpl w:val="94BC856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5">
    <w:nsid w:val="54D83B1E"/>
    <w:multiLevelType w:val="hybridMultilevel"/>
    <w:tmpl w:val="F6BAE85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nsid w:val="5A53782B"/>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nsid w:val="5B3078D7"/>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nsid w:val="5B661FC3"/>
    <w:multiLevelType w:val="hybridMultilevel"/>
    <w:tmpl w:val="82A0CA2C"/>
    <w:lvl w:ilvl="0" w:tplc="0409000F">
      <w:start w:val="1"/>
      <w:numFmt w:val="decimal"/>
      <w:lvlText w:val="%1."/>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nsid w:val="5B7157C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nsid w:val="60A73AD4"/>
    <w:multiLevelType w:val="hybridMultilevel"/>
    <w:tmpl w:val="FE745768"/>
    <w:lvl w:ilvl="0" w:tplc="FFFFFFFF">
      <w:start w:val="1"/>
      <w:numFmt w:val="decimal"/>
      <w:lvlText w:val="%1."/>
      <w:lvlJc w:val="left"/>
      <w:pPr>
        <w:ind w:left="360" w:hanging="360"/>
      </w:pPr>
      <w:rPr>
        <w:rFonts w:ascii="Arial" w:hAnsi="Arial" w:hint="default"/>
        <w:b w:val="0"/>
        <w:i w:val="0"/>
        <w:color w:val="auto"/>
        <w:sz w:val="18"/>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nsid w:val="61C7521B"/>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nsid w:val="64CF277F"/>
    <w:multiLevelType w:val="hybridMultilevel"/>
    <w:tmpl w:val="72A8F4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nsid w:val="64D74AD7"/>
    <w:multiLevelType w:val="hybridMultilevel"/>
    <w:tmpl w:val="A72E31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nsid w:val="68FF4AF8"/>
    <w:multiLevelType w:val="hybridMultilevel"/>
    <w:tmpl w:val="F0C2C48A"/>
    <w:lvl w:ilvl="0" w:tplc="CB3C606C">
      <w:start w:val="1"/>
      <w:numFmt w:val="bullet"/>
      <w:pStyle w:val="N-Bullet"/>
      <w:lvlText w:val=""/>
      <w:lvlJc w:val="left"/>
      <w:pPr>
        <w:ind w:left="360" w:hanging="360"/>
      </w:pPr>
      <w:rPr>
        <w:rFonts w:ascii="Symbol" w:hAnsi="Symbol"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nsid w:val="6BC65D33"/>
    <w:multiLevelType w:val="hybridMultilevel"/>
    <w:tmpl w:val="CFBC1C16"/>
    <w:lvl w:ilvl="0" w:tplc="C87CC902">
      <w:start w:val="1"/>
      <w:numFmt w:val="bullet"/>
      <w:lvlText w:val=""/>
      <w:lvlJc w:val="left"/>
      <w:pPr>
        <w:ind w:left="360" w:hanging="360"/>
      </w:pPr>
      <w:rPr>
        <w:rFonts w:ascii="Symbol" w:hAnsi="Symbol" w:hint="default"/>
        <w:color w:val="0070C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6">
    <w:nsid w:val="6D1E6CDA"/>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nsid w:val="6F387E2F"/>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nsid w:val="6FD638BA"/>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nsid w:val="70E83E6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nsid w:val="71DC5991"/>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nsid w:val="72C07F3B"/>
    <w:multiLevelType w:val="hybridMultilevel"/>
    <w:tmpl w:val="CB12EA9E"/>
    <w:lvl w:ilvl="0" w:tplc="FFFFFFFF">
      <w:start w:val="1"/>
      <w:numFmt w:val="decimal"/>
      <w:lvlText w:val="%1."/>
      <w:lvlJc w:val="left"/>
      <w:pPr>
        <w:ind w:left="360" w:hanging="360"/>
      </w:pPr>
      <w:rPr>
        <w:b w:val="0"/>
        <w:i w:val="0"/>
        <w:color w:val="auto"/>
        <w:sz w:val="16"/>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2">
    <w:nsid w:val="73B37B21"/>
    <w:multiLevelType w:val="multilevel"/>
    <w:tmpl w:val="01383A04"/>
    <w:lvl w:ilvl="0">
      <w:start w:val="1"/>
      <w:numFmt w:val="decimal"/>
      <w:pStyle w:val="Heading1"/>
      <w:lvlText w:val="%1"/>
      <w:lvlJc w:val="left"/>
      <w:pPr>
        <w:ind w:left="432" w:hanging="432"/>
      </w:pPr>
    </w:lvl>
    <w:lvl w:ilvl="1">
      <w:start w:val="1"/>
      <w:numFmt w:val="decimal"/>
      <w:pStyle w:val="Heading2"/>
      <w:lvlText w:val="%1.%2"/>
      <w:lvlJc w:val="left"/>
      <w:pPr>
        <w:ind w:left="327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3">
    <w:nsid w:val="73BB0E5D"/>
    <w:multiLevelType w:val="hybridMultilevel"/>
    <w:tmpl w:val="29F2B320"/>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nsid w:val="74646988"/>
    <w:multiLevelType w:val="hybridMultilevel"/>
    <w:tmpl w:val="FE745768"/>
    <w:lvl w:ilvl="0" w:tplc="FFFFFFFF">
      <w:start w:val="1"/>
      <w:numFmt w:val="decimal"/>
      <w:lvlText w:val="%1."/>
      <w:lvlJc w:val="left"/>
      <w:pPr>
        <w:ind w:left="360" w:hanging="360"/>
      </w:pPr>
      <w:rPr>
        <w:rFonts w:ascii="Arial" w:hAnsi="Arial" w:hint="default"/>
        <w:b w:val="0"/>
        <w:i w:val="0"/>
        <w:color w:val="auto"/>
        <w:sz w:val="18"/>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nsid w:val="759C3CC3"/>
    <w:multiLevelType w:val="hybridMultilevel"/>
    <w:tmpl w:val="A72E31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nsid w:val="789E0D52"/>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nsid w:val="793006D6"/>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nsid w:val="79690527"/>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nsid w:val="7BC57A3B"/>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nsid w:val="7C813DAE"/>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75"/>
  </w:num>
  <w:num w:numId="2">
    <w:abstractNumId w:val="26"/>
  </w:num>
  <w:num w:numId="3">
    <w:abstractNumId w:val="36"/>
  </w:num>
  <w:num w:numId="4">
    <w:abstractNumId w:val="46"/>
  </w:num>
  <w:num w:numId="5">
    <w:abstractNumId w:val="56"/>
  </w:num>
  <w:num w:numId="6">
    <w:abstractNumId w:val="77"/>
  </w:num>
  <w:num w:numId="7">
    <w:abstractNumId w:val="49"/>
  </w:num>
  <w:num w:numId="8">
    <w:abstractNumId w:val="71"/>
  </w:num>
  <w:num w:numId="9">
    <w:abstractNumId w:val="51"/>
  </w:num>
  <w:num w:numId="10">
    <w:abstractNumId w:val="38"/>
  </w:num>
  <w:num w:numId="11">
    <w:abstractNumId w:val="59"/>
  </w:num>
  <w:num w:numId="12">
    <w:abstractNumId w:val="55"/>
  </w:num>
  <w:num w:numId="13">
    <w:abstractNumId w:val="7"/>
  </w:num>
  <w:num w:numId="14">
    <w:abstractNumId w:val="21"/>
  </w:num>
  <w:num w:numId="15">
    <w:abstractNumId w:val="33"/>
  </w:num>
  <w:num w:numId="16">
    <w:abstractNumId w:val="44"/>
  </w:num>
  <w:num w:numId="17">
    <w:abstractNumId w:val="39"/>
  </w:num>
  <w:num w:numId="18">
    <w:abstractNumId w:val="12"/>
  </w:num>
  <w:num w:numId="19">
    <w:abstractNumId w:val="29"/>
  </w:num>
  <w:num w:numId="20">
    <w:abstractNumId w:val="60"/>
  </w:num>
  <w:num w:numId="21">
    <w:abstractNumId w:val="85"/>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lvlOverride w:ilvl="0">
      <w:startOverride w:val="1"/>
    </w:lvlOverride>
  </w:num>
  <w:num w:numId="30">
    <w:abstractNumId w:val="82"/>
  </w:num>
  <w:num w:numId="31">
    <w:abstractNumId w:val="43"/>
  </w:num>
  <w:num w:numId="32">
    <w:abstractNumId w:val="27"/>
  </w:num>
  <w:num w:numId="33">
    <w:abstractNumId w:val="5"/>
  </w:num>
  <w:num w:numId="34">
    <w:abstractNumId w:val="66"/>
  </w:num>
  <w:num w:numId="35">
    <w:abstractNumId w:val="25"/>
  </w:num>
  <w:num w:numId="36">
    <w:abstractNumId w:val="16"/>
  </w:num>
  <w:num w:numId="37">
    <w:abstractNumId w:val="76"/>
  </w:num>
  <w:num w:numId="38">
    <w:abstractNumId w:val="31"/>
  </w:num>
  <w:num w:numId="39">
    <w:abstractNumId w:val="35"/>
  </w:num>
  <w:num w:numId="40">
    <w:abstractNumId w:val="22"/>
  </w:num>
  <w:num w:numId="41">
    <w:abstractNumId w:val="63"/>
  </w:num>
  <w:num w:numId="42">
    <w:abstractNumId w:val="88"/>
  </w:num>
  <w:num w:numId="43">
    <w:abstractNumId w:val="86"/>
  </w:num>
  <w:num w:numId="44">
    <w:abstractNumId w:val="58"/>
  </w:num>
  <w:num w:numId="45">
    <w:abstractNumId w:val="56"/>
    <w:lvlOverride w:ilvl="0">
      <w:startOverride w:val="1"/>
    </w:lvlOverride>
  </w:num>
  <w:num w:numId="46">
    <w:abstractNumId w:val="56"/>
    <w:lvlOverride w:ilvl="0">
      <w:startOverride w:val="1"/>
    </w:lvlOverride>
  </w:num>
  <w:num w:numId="47">
    <w:abstractNumId w:val="6"/>
  </w:num>
  <w:num w:numId="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 w:numId="5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5"/>
  </w:num>
  <w:num w:numId="52">
    <w:abstractNumId w:val="0"/>
  </w:num>
  <w:num w:numId="5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18"/>
  </w:num>
  <w:num w:numId="60">
    <w:abstractNumId w:val="13"/>
  </w:num>
  <w:num w:numId="61">
    <w:abstractNumId w:val="48"/>
  </w:num>
  <w:num w:numId="62">
    <w:abstractNumId w:val="70"/>
  </w:num>
  <w:num w:numId="63">
    <w:abstractNumId w:val="17"/>
  </w:num>
  <w:num w:numId="64">
    <w:abstractNumId w:val="41"/>
  </w:num>
  <w:num w:numId="65">
    <w:abstractNumId w:val="74"/>
  </w:num>
  <w:num w:numId="66">
    <w:abstractNumId w:val="24"/>
  </w:num>
  <w:num w:numId="67">
    <w:abstractNumId w:val="89"/>
  </w:num>
  <w:num w:numId="68">
    <w:abstractNumId w:val="52"/>
  </w:num>
  <w:num w:numId="69">
    <w:abstractNumId w:val="68"/>
  </w:num>
  <w:num w:numId="70">
    <w:abstractNumId w:val="56"/>
    <w:lvlOverride w:ilvl="0">
      <w:startOverride w:val="1"/>
    </w:lvlOverride>
  </w:num>
  <w:num w:numId="71">
    <w:abstractNumId w:val="8"/>
  </w:num>
  <w:num w:numId="72">
    <w:abstractNumId w:val="30"/>
  </w:num>
  <w:num w:numId="73">
    <w:abstractNumId w:val="56"/>
    <w:lvlOverride w:ilvl="0">
      <w:startOverride w:val="1"/>
    </w:lvlOverride>
  </w:num>
  <w:num w:numId="74">
    <w:abstractNumId w:val="56"/>
    <w:lvlOverride w:ilvl="0">
      <w:startOverride w:val="1"/>
    </w:lvlOverride>
  </w:num>
  <w:num w:numId="75">
    <w:abstractNumId w:val="56"/>
    <w:lvlOverride w:ilvl="0">
      <w:startOverride w:val="1"/>
    </w:lvlOverride>
  </w:num>
  <w:num w:numId="76">
    <w:abstractNumId w:val="56"/>
    <w:lvlOverride w:ilvl="0">
      <w:startOverride w:val="1"/>
    </w:lvlOverride>
  </w:num>
  <w:num w:numId="77">
    <w:abstractNumId w:val="73"/>
  </w:num>
  <w:num w:numId="78">
    <w:abstractNumId w:val="78"/>
  </w:num>
  <w:num w:numId="79">
    <w:abstractNumId w:val="56"/>
    <w:lvlOverride w:ilvl="0">
      <w:startOverride w:val="1"/>
    </w:lvlOverride>
  </w:num>
  <w:num w:numId="80">
    <w:abstractNumId w:val="47"/>
  </w:num>
  <w:num w:numId="81">
    <w:abstractNumId w:val="56"/>
    <w:lvlOverride w:ilvl="0">
      <w:startOverride w:val="1"/>
    </w:lvlOverride>
  </w:num>
  <w:num w:numId="82">
    <w:abstractNumId w:val="83"/>
  </w:num>
  <w:num w:numId="83">
    <w:abstractNumId w:val="56"/>
    <w:lvlOverride w:ilvl="0">
      <w:startOverride w:val="1"/>
    </w:lvlOverride>
  </w:num>
  <w:num w:numId="84">
    <w:abstractNumId w:val="56"/>
    <w:lvlOverride w:ilvl="0">
      <w:startOverride w:val="1"/>
    </w:lvlOverride>
  </w:num>
  <w:num w:numId="85">
    <w:abstractNumId w:val="72"/>
  </w:num>
  <w:num w:numId="86">
    <w:abstractNumId w:val="84"/>
  </w:num>
  <w:num w:numId="87">
    <w:abstractNumId w:val="67"/>
  </w:num>
  <w:num w:numId="88">
    <w:abstractNumId w:val="28"/>
  </w:num>
  <w:num w:numId="89">
    <w:abstractNumId w:val="62"/>
  </w:num>
  <w:num w:numId="90">
    <w:abstractNumId w:val="32"/>
  </w:num>
  <w:num w:numId="91">
    <w:abstractNumId w:val="15"/>
  </w:num>
  <w:num w:numId="92">
    <w:abstractNumId w:val="37"/>
  </w:num>
  <w:num w:numId="93">
    <w:abstractNumId w:val="56"/>
  </w:num>
  <w:num w:numId="94">
    <w:abstractNumId w:val="23"/>
  </w:num>
  <w:num w:numId="95">
    <w:abstractNumId w:val="34"/>
  </w:num>
  <w:num w:numId="96">
    <w:abstractNumId w:val="20"/>
  </w:num>
  <w:num w:numId="97">
    <w:abstractNumId w:val="11"/>
  </w:num>
  <w:num w:numId="98">
    <w:abstractNumId w:val="4"/>
  </w:num>
  <w:num w:numId="99">
    <w:abstractNumId w:val="42"/>
  </w:num>
  <w:num w:numId="100">
    <w:abstractNumId w:val="64"/>
  </w:num>
  <w:num w:numId="101">
    <w:abstractNumId w:val="40"/>
  </w:num>
  <w:num w:numId="102">
    <w:abstractNumId w:val="9"/>
  </w:num>
  <w:num w:numId="103">
    <w:abstractNumId w:val="61"/>
  </w:num>
  <w:num w:numId="104">
    <w:abstractNumId w:val="56"/>
    <w:lvlOverride w:ilvl="0">
      <w:startOverride w:val="1"/>
    </w:lvlOverride>
  </w:num>
  <w:num w:numId="105">
    <w:abstractNumId w:val="1"/>
  </w:num>
  <w:num w:numId="106">
    <w:abstractNumId w:val="56"/>
    <w:lvlOverride w:ilvl="0">
      <w:startOverride w:val="1"/>
    </w:lvlOverride>
  </w:num>
  <w:num w:numId="107">
    <w:abstractNumId w:val="56"/>
    <w:lvlOverride w:ilvl="0">
      <w:startOverride w:val="1"/>
    </w:lvlOverride>
  </w:num>
  <w:num w:numId="108">
    <w:abstractNumId w:val="56"/>
    <w:lvlOverride w:ilvl="0">
      <w:startOverride w:val="1"/>
    </w:lvlOverride>
  </w:num>
  <w:num w:numId="109">
    <w:abstractNumId w:val="79"/>
  </w:num>
  <w:num w:numId="110">
    <w:abstractNumId w:val="56"/>
    <w:lvlOverride w:ilvl="0">
      <w:startOverride w:val="1"/>
    </w:lvlOverride>
  </w:num>
  <w:num w:numId="111">
    <w:abstractNumId w:val="56"/>
    <w:lvlOverride w:ilvl="0">
      <w:startOverride w:val="1"/>
    </w:lvlOverride>
  </w:num>
  <w:num w:numId="112">
    <w:abstractNumId w:val="56"/>
    <w:lvlOverride w:ilvl="0">
      <w:startOverride w:val="1"/>
    </w:lvlOverride>
  </w:num>
  <w:num w:numId="113">
    <w:abstractNumId w:val="56"/>
    <w:lvlOverride w:ilvl="0">
      <w:startOverride w:val="1"/>
    </w:lvlOverride>
  </w:num>
  <w:num w:numId="114">
    <w:abstractNumId w:val="56"/>
    <w:lvlOverride w:ilvl="0">
      <w:startOverride w:val="1"/>
    </w:lvlOverride>
  </w:num>
  <w:num w:numId="115">
    <w:abstractNumId w:val="56"/>
    <w:lvlOverride w:ilvl="0">
      <w:startOverride w:val="1"/>
    </w:lvlOverride>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84"/>
    <w:rsid w:val="000007CB"/>
    <w:rsid w:val="00000A74"/>
    <w:rsid w:val="00001D58"/>
    <w:rsid w:val="00004B3F"/>
    <w:rsid w:val="000063B8"/>
    <w:rsid w:val="00006592"/>
    <w:rsid w:val="000067ED"/>
    <w:rsid w:val="00006826"/>
    <w:rsid w:val="0000728D"/>
    <w:rsid w:val="00010871"/>
    <w:rsid w:val="000112A6"/>
    <w:rsid w:val="00012917"/>
    <w:rsid w:val="00012A4F"/>
    <w:rsid w:val="0001307D"/>
    <w:rsid w:val="00013422"/>
    <w:rsid w:val="00013771"/>
    <w:rsid w:val="00013985"/>
    <w:rsid w:val="000144BE"/>
    <w:rsid w:val="00014788"/>
    <w:rsid w:val="00014B8E"/>
    <w:rsid w:val="00015AC9"/>
    <w:rsid w:val="00015E3F"/>
    <w:rsid w:val="00017164"/>
    <w:rsid w:val="00020ADC"/>
    <w:rsid w:val="00020B30"/>
    <w:rsid w:val="00020D4E"/>
    <w:rsid w:val="000214B2"/>
    <w:rsid w:val="000219CB"/>
    <w:rsid w:val="00022467"/>
    <w:rsid w:val="00022FCF"/>
    <w:rsid w:val="00023A79"/>
    <w:rsid w:val="0002521D"/>
    <w:rsid w:val="000256ED"/>
    <w:rsid w:val="000259E0"/>
    <w:rsid w:val="00025C2F"/>
    <w:rsid w:val="00026043"/>
    <w:rsid w:val="000261A6"/>
    <w:rsid w:val="00026AB9"/>
    <w:rsid w:val="00030760"/>
    <w:rsid w:val="00030D1C"/>
    <w:rsid w:val="000321FA"/>
    <w:rsid w:val="00032813"/>
    <w:rsid w:val="00034585"/>
    <w:rsid w:val="000361A5"/>
    <w:rsid w:val="0003780F"/>
    <w:rsid w:val="0003786A"/>
    <w:rsid w:val="00040B89"/>
    <w:rsid w:val="00040C20"/>
    <w:rsid w:val="000412FF"/>
    <w:rsid w:val="00041EF8"/>
    <w:rsid w:val="00043779"/>
    <w:rsid w:val="00044162"/>
    <w:rsid w:val="0004449A"/>
    <w:rsid w:val="000446F1"/>
    <w:rsid w:val="00044717"/>
    <w:rsid w:val="00045E7F"/>
    <w:rsid w:val="0004759B"/>
    <w:rsid w:val="00053AE1"/>
    <w:rsid w:val="00054BEF"/>
    <w:rsid w:val="00055716"/>
    <w:rsid w:val="000565EF"/>
    <w:rsid w:val="0005678A"/>
    <w:rsid w:val="00056B52"/>
    <w:rsid w:val="00057806"/>
    <w:rsid w:val="00057814"/>
    <w:rsid w:val="000578B7"/>
    <w:rsid w:val="00060175"/>
    <w:rsid w:val="00061B73"/>
    <w:rsid w:val="000622F4"/>
    <w:rsid w:val="00062486"/>
    <w:rsid w:val="00062F7C"/>
    <w:rsid w:val="00063522"/>
    <w:rsid w:val="00063F0E"/>
    <w:rsid w:val="00064563"/>
    <w:rsid w:val="00064BEF"/>
    <w:rsid w:val="00064DF3"/>
    <w:rsid w:val="00064E31"/>
    <w:rsid w:val="00065626"/>
    <w:rsid w:val="00065954"/>
    <w:rsid w:val="00066487"/>
    <w:rsid w:val="000675E9"/>
    <w:rsid w:val="00067DCA"/>
    <w:rsid w:val="00070505"/>
    <w:rsid w:val="000706C9"/>
    <w:rsid w:val="0007088C"/>
    <w:rsid w:val="000708BD"/>
    <w:rsid w:val="0007092A"/>
    <w:rsid w:val="00070A5A"/>
    <w:rsid w:val="0007140E"/>
    <w:rsid w:val="000718D0"/>
    <w:rsid w:val="00072E7A"/>
    <w:rsid w:val="000766DC"/>
    <w:rsid w:val="00076EE3"/>
    <w:rsid w:val="00077FD4"/>
    <w:rsid w:val="0008019D"/>
    <w:rsid w:val="0008076E"/>
    <w:rsid w:val="000817EA"/>
    <w:rsid w:val="00081B09"/>
    <w:rsid w:val="0008206C"/>
    <w:rsid w:val="000833C2"/>
    <w:rsid w:val="00083B05"/>
    <w:rsid w:val="00085934"/>
    <w:rsid w:val="000863B2"/>
    <w:rsid w:val="000865F3"/>
    <w:rsid w:val="00090695"/>
    <w:rsid w:val="000909BA"/>
    <w:rsid w:val="00090AC4"/>
    <w:rsid w:val="00090B4D"/>
    <w:rsid w:val="000920A5"/>
    <w:rsid w:val="000923FF"/>
    <w:rsid w:val="000927FD"/>
    <w:rsid w:val="00092BFA"/>
    <w:rsid w:val="000936D2"/>
    <w:rsid w:val="00094093"/>
    <w:rsid w:val="000947C1"/>
    <w:rsid w:val="000951F5"/>
    <w:rsid w:val="00095564"/>
    <w:rsid w:val="0009565F"/>
    <w:rsid w:val="0009595F"/>
    <w:rsid w:val="00095EB1"/>
    <w:rsid w:val="00096951"/>
    <w:rsid w:val="00096B2B"/>
    <w:rsid w:val="00097142"/>
    <w:rsid w:val="00097914"/>
    <w:rsid w:val="00097E88"/>
    <w:rsid w:val="000A0255"/>
    <w:rsid w:val="000A0489"/>
    <w:rsid w:val="000A0CCC"/>
    <w:rsid w:val="000A0EDA"/>
    <w:rsid w:val="000A1205"/>
    <w:rsid w:val="000A3C9B"/>
    <w:rsid w:val="000A3D69"/>
    <w:rsid w:val="000A48E9"/>
    <w:rsid w:val="000A4A76"/>
    <w:rsid w:val="000A502B"/>
    <w:rsid w:val="000A5494"/>
    <w:rsid w:val="000A5B3A"/>
    <w:rsid w:val="000A690E"/>
    <w:rsid w:val="000A70F5"/>
    <w:rsid w:val="000A7539"/>
    <w:rsid w:val="000B00EC"/>
    <w:rsid w:val="000B1DEB"/>
    <w:rsid w:val="000B235A"/>
    <w:rsid w:val="000B3881"/>
    <w:rsid w:val="000B38B0"/>
    <w:rsid w:val="000B3C47"/>
    <w:rsid w:val="000B6AD4"/>
    <w:rsid w:val="000B71C3"/>
    <w:rsid w:val="000B72FA"/>
    <w:rsid w:val="000C033D"/>
    <w:rsid w:val="000C0837"/>
    <w:rsid w:val="000C0B77"/>
    <w:rsid w:val="000C1943"/>
    <w:rsid w:val="000C1D3B"/>
    <w:rsid w:val="000C35D1"/>
    <w:rsid w:val="000C3AF7"/>
    <w:rsid w:val="000C4318"/>
    <w:rsid w:val="000C451E"/>
    <w:rsid w:val="000C52A9"/>
    <w:rsid w:val="000C5D50"/>
    <w:rsid w:val="000C5D56"/>
    <w:rsid w:val="000C6039"/>
    <w:rsid w:val="000C61EF"/>
    <w:rsid w:val="000C70FA"/>
    <w:rsid w:val="000C7935"/>
    <w:rsid w:val="000D0374"/>
    <w:rsid w:val="000D0C4E"/>
    <w:rsid w:val="000D12BE"/>
    <w:rsid w:val="000D2715"/>
    <w:rsid w:val="000D3295"/>
    <w:rsid w:val="000D3C72"/>
    <w:rsid w:val="000D48F2"/>
    <w:rsid w:val="000D4CD4"/>
    <w:rsid w:val="000D5132"/>
    <w:rsid w:val="000D5413"/>
    <w:rsid w:val="000D54CB"/>
    <w:rsid w:val="000D5D6B"/>
    <w:rsid w:val="000D626D"/>
    <w:rsid w:val="000D65EC"/>
    <w:rsid w:val="000D6A91"/>
    <w:rsid w:val="000D7D69"/>
    <w:rsid w:val="000E0598"/>
    <w:rsid w:val="000E0683"/>
    <w:rsid w:val="000E09EC"/>
    <w:rsid w:val="000E0F67"/>
    <w:rsid w:val="000E11C3"/>
    <w:rsid w:val="000E2177"/>
    <w:rsid w:val="000E2E2F"/>
    <w:rsid w:val="000E357C"/>
    <w:rsid w:val="000E40BA"/>
    <w:rsid w:val="000E41E2"/>
    <w:rsid w:val="000E71C4"/>
    <w:rsid w:val="000E7E32"/>
    <w:rsid w:val="000F04A5"/>
    <w:rsid w:val="000F0526"/>
    <w:rsid w:val="000F0ED7"/>
    <w:rsid w:val="000F2385"/>
    <w:rsid w:val="000F2535"/>
    <w:rsid w:val="000F2EDF"/>
    <w:rsid w:val="000F48FE"/>
    <w:rsid w:val="000F5DF3"/>
    <w:rsid w:val="000F6E4A"/>
    <w:rsid w:val="000F76F1"/>
    <w:rsid w:val="0010107A"/>
    <w:rsid w:val="001010FF"/>
    <w:rsid w:val="00101C28"/>
    <w:rsid w:val="001024A2"/>
    <w:rsid w:val="001035B4"/>
    <w:rsid w:val="0010393B"/>
    <w:rsid w:val="00103EA2"/>
    <w:rsid w:val="001065CC"/>
    <w:rsid w:val="00106778"/>
    <w:rsid w:val="001073F6"/>
    <w:rsid w:val="00107A56"/>
    <w:rsid w:val="00110E07"/>
    <w:rsid w:val="001110D2"/>
    <w:rsid w:val="00112B9B"/>
    <w:rsid w:val="001135E8"/>
    <w:rsid w:val="001139A4"/>
    <w:rsid w:val="0011407A"/>
    <w:rsid w:val="00114CF9"/>
    <w:rsid w:val="0011523A"/>
    <w:rsid w:val="0011538B"/>
    <w:rsid w:val="0011588E"/>
    <w:rsid w:val="00115B03"/>
    <w:rsid w:val="00115B07"/>
    <w:rsid w:val="00115BAB"/>
    <w:rsid w:val="00115CA3"/>
    <w:rsid w:val="00116A18"/>
    <w:rsid w:val="001173B5"/>
    <w:rsid w:val="001173FD"/>
    <w:rsid w:val="00117432"/>
    <w:rsid w:val="0012109A"/>
    <w:rsid w:val="00123657"/>
    <w:rsid w:val="00123CA7"/>
    <w:rsid w:val="001243B5"/>
    <w:rsid w:val="001246B2"/>
    <w:rsid w:val="00124E09"/>
    <w:rsid w:val="00125E37"/>
    <w:rsid w:val="00125FD5"/>
    <w:rsid w:val="00127706"/>
    <w:rsid w:val="00130E7B"/>
    <w:rsid w:val="00131893"/>
    <w:rsid w:val="00132089"/>
    <w:rsid w:val="0013261B"/>
    <w:rsid w:val="00133078"/>
    <w:rsid w:val="0013409C"/>
    <w:rsid w:val="001363CB"/>
    <w:rsid w:val="001366D3"/>
    <w:rsid w:val="001374BF"/>
    <w:rsid w:val="00137510"/>
    <w:rsid w:val="00137B8D"/>
    <w:rsid w:val="0014024E"/>
    <w:rsid w:val="001414AB"/>
    <w:rsid w:val="00141B05"/>
    <w:rsid w:val="00141D9A"/>
    <w:rsid w:val="00142C50"/>
    <w:rsid w:val="0014387E"/>
    <w:rsid w:val="0014405E"/>
    <w:rsid w:val="001442F8"/>
    <w:rsid w:val="001444AF"/>
    <w:rsid w:val="001446C9"/>
    <w:rsid w:val="00145189"/>
    <w:rsid w:val="001458DE"/>
    <w:rsid w:val="00145F29"/>
    <w:rsid w:val="0014684B"/>
    <w:rsid w:val="00146E4C"/>
    <w:rsid w:val="00147134"/>
    <w:rsid w:val="00147B3D"/>
    <w:rsid w:val="00150395"/>
    <w:rsid w:val="00150AD5"/>
    <w:rsid w:val="00150FAC"/>
    <w:rsid w:val="0015103C"/>
    <w:rsid w:val="001514A3"/>
    <w:rsid w:val="001521A7"/>
    <w:rsid w:val="00153168"/>
    <w:rsid w:val="0015388B"/>
    <w:rsid w:val="00153EA9"/>
    <w:rsid w:val="001553B4"/>
    <w:rsid w:val="00155494"/>
    <w:rsid w:val="00155A00"/>
    <w:rsid w:val="00155C9E"/>
    <w:rsid w:val="00156072"/>
    <w:rsid w:val="001561C8"/>
    <w:rsid w:val="00156757"/>
    <w:rsid w:val="00156916"/>
    <w:rsid w:val="00157593"/>
    <w:rsid w:val="001600D8"/>
    <w:rsid w:val="00160179"/>
    <w:rsid w:val="00160474"/>
    <w:rsid w:val="001606AC"/>
    <w:rsid w:val="001607F7"/>
    <w:rsid w:val="00160965"/>
    <w:rsid w:val="001627CE"/>
    <w:rsid w:val="001630D7"/>
    <w:rsid w:val="00163909"/>
    <w:rsid w:val="001646B2"/>
    <w:rsid w:val="00164793"/>
    <w:rsid w:val="0016565B"/>
    <w:rsid w:val="001658A7"/>
    <w:rsid w:val="00165B35"/>
    <w:rsid w:val="00166085"/>
    <w:rsid w:val="00170D57"/>
    <w:rsid w:val="00171500"/>
    <w:rsid w:val="00171845"/>
    <w:rsid w:val="00171AEE"/>
    <w:rsid w:val="00172723"/>
    <w:rsid w:val="00174ECA"/>
    <w:rsid w:val="0017688F"/>
    <w:rsid w:val="00176A48"/>
    <w:rsid w:val="00176D18"/>
    <w:rsid w:val="001774EB"/>
    <w:rsid w:val="001803C7"/>
    <w:rsid w:val="0018056A"/>
    <w:rsid w:val="001808D7"/>
    <w:rsid w:val="00180E48"/>
    <w:rsid w:val="00181EAA"/>
    <w:rsid w:val="00181FA6"/>
    <w:rsid w:val="00182219"/>
    <w:rsid w:val="0018255E"/>
    <w:rsid w:val="0018265B"/>
    <w:rsid w:val="00182B61"/>
    <w:rsid w:val="00182D40"/>
    <w:rsid w:val="001841A3"/>
    <w:rsid w:val="00184AB2"/>
    <w:rsid w:val="00184AFA"/>
    <w:rsid w:val="0018568A"/>
    <w:rsid w:val="00185825"/>
    <w:rsid w:val="00185983"/>
    <w:rsid w:val="00185DB4"/>
    <w:rsid w:val="00185E25"/>
    <w:rsid w:val="00186690"/>
    <w:rsid w:val="001869FC"/>
    <w:rsid w:val="00186D8D"/>
    <w:rsid w:val="00187239"/>
    <w:rsid w:val="00187941"/>
    <w:rsid w:val="00187DE6"/>
    <w:rsid w:val="00190447"/>
    <w:rsid w:val="001909ED"/>
    <w:rsid w:val="00190F13"/>
    <w:rsid w:val="00192A14"/>
    <w:rsid w:val="00192B16"/>
    <w:rsid w:val="001931A7"/>
    <w:rsid w:val="00194972"/>
    <w:rsid w:val="00194AE6"/>
    <w:rsid w:val="00195C58"/>
    <w:rsid w:val="00195D09"/>
    <w:rsid w:val="001964BA"/>
    <w:rsid w:val="00197932"/>
    <w:rsid w:val="00197BC7"/>
    <w:rsid w:val="001A014E"/>
    <w:rsid w:val="001A04E0"/>
    <w:rsid w:val="001A06B9"/>
    <w:rsid w:val="001A16F6"/>
    <w:rsid w:val="001A1A0F"/>
    <w:rsid w:val="001A2AD4"/>
    <w:rsid w:val="001A385D"/>
    <w:rsid w:val="001A45BE"/>
    <w:rsid w:val="001A5BBD"/>
    <w:rsid w:val="001A7192"/>
    <w:rsid w:val="001A7235"/>
    <w:rsid w:val="001B1BE7"/>
    <w:rsid w:val="001B1CF3"/>
    <w:rsid w:val="001B2BA0"/>
    <w:rsid w:val="001B43C4"/>
    <w:rsid w:val="001B4BE9"/>
    <w:rsid w:val="001B5525"/>
    <w:rsid w:val="001B6C69"/>
    <w:rsid w:val="001B6E85"/>
    <w:rsid w:val="001B79F3"/>
    <w:rsid w:val="001B7C0D"/>
    <w:rsid w:val="001B7EFD"/>
    <w:rsid w:val="001C0437"/>
    <w:rsid w:val="001C0872"/>
    <w:rsid w:val="001C1C58"/>
    <w:rsid w:val="001C1EF3"/>
    <w:rsid w:val="001C233F"/>
    <w:rsid w:val="001C245E"/>
    <w:rsid w:val="001C2764"/>
    <w:rsid w:val="001C2ADF"/>
    <w:rsid w:val="001C3325"/>
    <w:rsid w:val="001C3411"/>
    <w:rsid w:val="001C3B41"/>
    <w:rsid w:val="001C3C3C"/>
    <w:rsid w:val="001C3FEC"/>
    <w:rsid w:val="001C49E4"/>
    <w:rsid w:val="001C4C08"/>
    <w:rsid w:val="001C4CB8"/>
    <w:rsid w:val="001C50FD"/>
    <w:rsid w:val="001C5913"/>
    <w:rsid w:val="001C655A"/>
    <w:rsid w:val="001C7EF8"/>
    <w:rsid w:val="001D0848"/>
    <w:rsid w:val="001D1A66"/>
    <w:rsid w:val="001D2108"/>
    <w:rsid w:val="001D21AB"/>
    <w:rsid w:val="001D248C"/>
    <w:rsid w:val="001D365D"/>
    <w:rsid w:val="001D373D"/>
    <w:rsid w:val="001D393A"/>
    <w:rsid w:val="001D3DB0"/>
    <w:rsid w:val="001D40C2"/>
    <w:rsid w:val="001D4316"/>
    <w:rsid w:val="001D4656"/>
    <w:rsid w:val="001D4CA8"/>
    <w:rsid w:val="001D5366"/>
    <w:rsid w:val="001D541D"/>
    <w:rsid w:val="001D6BCF"/>
    <w:rsid w:val="001D6EF0"/>
    <w:rsid w:val="001E0DF6"/>
    <w:rsid w:val="001E0EAC"/>
    <w:rsid w:val="001E0F08"/>
    <w:rsid w:val="001E1163"/>
    <w:rsid w:val="001E161C"/>
    <w:rsid w:val="001E1691"/>
    <w:rsid w:val="001E1C4C"/>
    <w:rsid w:val="001E1D0D"/>
    <w:rsid w:val="001E2211"/>
    <w:rsid w:val="001E27C8"/>
    <w:rsid w:val="001E2F9F"/>
    <w:rsid w:val="001E3580"/>
    <w:rsid w:val="001E6E04"/>
    <w:rsid w:val="001E76E2"/>
    <w:rsid w:val="001F0826"/>
    <w:rsid w:val="001F151E"/>
    <w:rsid w:val="001F15F7"/>
    <w:rsid w:val="001F17DD"/>
    <w:rsid w:val="001F2BA8"/>
    <w:rsid w:val="001F2FD5"/>
    <w:rsid w:val="001F3368"/>
    <w:rsid w:val="001F3CFC"/>
    <w:rsid w:val="001F437B"/>
    <w:rsid w:val="001F52B2"/>
    <w:rsid w:val="001F5C66"/>
    <w:rsid w:val="001F5FDE"/>
    <w:rsid w:val="001F61B4"/>
    <w:rsid w:val="001F75E7"/>
    <w:rsid w:val="001F75EF"/>
    <w:rsid w:val="001F7DA4"/>
    <w:rsid w:val="00200748"/>
    <w:rsid w:val="00201F27"/>
    <w:rsid w:val="00201FCE"/>
    <w:rsid w:val="0020288C"/>
    <w:rsid w:val="00202C72"/>
    <w:rsid w:val="00203791"/>
    <w:rsid w:val="002043A0"/>
    <w:rsid w:val="00204C24"/>
    <w:rsid w:val="002050C0"/>
    <w:rsid w:val="002051BB"/>
    <w:rsid w:val="00205366"/>
    <w:rsid w:val="00205BB5"/>
    <w:rsid w:val="00205C5C"/>
    <w:rsid w:val="00205ED7"/>
    <w:rsid w:val="002077B0"/>
    <w:rsid w:val="00207887"/>
    <w:rsid w:val="00210836"/>
    <w:rsid w:val="0021164F"/>
    <w:rsid w:val="0021242B"/>
    <w:rsid w:val="002124C3"/>
    <w:rsid w:val="002124FC"/>
    <w:rsid w:val="00214392"/>
    <w:rsid w:val="00215963"/>
    <w:rsid w:val="0021636B"/>
    <w:rsid w:val="00216535"/>
    <w:rsid w:val="002202A1"/>
    <w:rsid w:val="00220470"/>
    <w:rsid w:val="0022112F"/>
    <w:rsid w:val="002213F5"/>
    <w:rsid w:val="00221780"/>
    <w:rsid w:val="00221FBC"/>
    <w:rsid w:val="002221C1"/>
    <w:rsid w:val="002223C0"/>
    <w:rsid w:val="002246C0"/>
    <w:rsid w:val="002253FB"/>
    <w:rsid w:val="002264E4"/>
    <w:rsid w:val="0022696F"/>
    <w:rsid w:val="00226BDD"/>
    <w:rsid w:val="00226F49"/>
    <w:rsid w:val="00227B9A"/>
    <w:rsid w:val="0023004F"/>
    <w:rsid w:val="0023028D"/>
    <w:rsid w:val="00230360"/>
    <w:rsid w:val="00230A07"/>
    <w:rsid w:val="00230A33"/>
    <w:rsid w:val="00231C72"/>
    <w:rsid w:val="00233A5D"/>
    <w:rsid w:val="00233BDA"/>
    <w:rsid w:val="00234206"/>
    <w:rsid w:val="002343B1"/>
    <w:rsid w:val="002349C1"/>
    <w:rsid w:val="0023679A"/>
    <w:rsid w:val="00236EF4"/>
    <w:rsid w:val="00237223"/>
    <w:rsid w:val="00237BF6"/>
    <w:rsid w:val="0024092C"/>
    <w:rsid w:val="002409B1"/>
    <w:rsid w:val="00241701"/>
    <w:rsid w:val="00243BE1"/>
    <w:rsid w:val="00244D30"/>
    <w:rsid w:val="00245705"/>
    <w:rsid w:val="00246DC2"/>
    <w:rsid w:val="002473BA"/>
    <w:rsid w:val="002477D9"/>
    <w:rsid w:val="002502EF"/>
    <w:rsid w:val="00250C71"/>
    <w:rsid w:val="002510F2"/>
    <w:rsid w:val="00251144"/>
    <w:rsid w:val="002516A8"/>
    <w:rsid w:val="00251B70"/>
    <w:rsid w:val="00251E68"/>
    <w:rsid w:val="0025207B"/>
    <w:rsid w:val="00253E4F"/>
    <w:rsid w:val="00254074"/>
    <w:rsid w:val="002542C5"/>
    <w:rsid w:val="00255E1B"/>
    <w:rsid w:val="002565CB"/>
    <w:rsid w:val="00257005"/>
    <w:rsid w:val="00257166"/>
    <w:rsid w:val="00260773"/>
    <w:rsid w:val="002616FA"/>
    <w:rsid w:val="00261B5B"/>
    <w:rsid w:val="002625D9"/>
    <w:rsid w:val="002628DF"/>
    <w:rsid w:val="00262D35"/>
    <w:rsid w:val="00263D2F"/>
    <w:rsid w:val="0026404F"/>
    <w:rsid w:val="002650E4"/>
    <w:rsid w:val="00265453"/>
    <w:rsid w:val="00265A50"/>
    <w:rsid w:val="00265AD7"/>
    <w:rsid w:val="00265E22"/>
    <w:rsid w:val="00267FD5"/>
    <w:rsid w:val="002701BC"/>
    <w:rsid w:val="00270882"/>
    <w:rsid w:val="00271B24"/>
    <w:rsid w:val="00272B75"/>
    <w:rsid w:val="00274282"/>
    <w:rsid w:val="0027564D"/>
    <w:rsid w:val="00275A6F"/>
    <w:rsid w:val="00276126"/>
    <w:rsid w:val="002761A0"/>
    <w:rsid w:val="0027745F"/>
    <w:rsid w:val="00277D3B"/>
    <w:rsid w:val="00277D57"/>
    <w:rsid w:val="002806B6"/>
    <w:rsid w:val="00280A72"/>
    <w:rsid w:val="0028111D"/>
    <w:rsid w:val="00284E31"/>
    <w:rsid w:val="002855E9"/>
    <w:rsid w:val="0028650F"/>
    <w:rsid w:val="00286750"/>
    <w:rsid w:val="00286D9D"/>
    <w:rsid w:val="00286DE7"/>
    <w:rsid w:val="002870D2"/>
    <w:rsid w:val="002905D1"/>
    <w:rsid w:val="00290A9E"/>
    <w:rsid w:val="00291D65"/>
    <w:rsid w:val="00291E4C"/>
    <w:rsid w:val="00292101"/>
    <w:rsid w:val="00292900"/>
    <w:rsid w:val="00292B00"/>
    <w:rsid w:val="002932AC"/>
    <w:rsid w:val="00293628"/>
    <w:rsid w:val="00294431"/>
    <w:rsid w:val="00295664"/>
    <w:rsid w:val="00297283"/>
    <w:rsid w:val="002A0965"/>
    <w:rsid w:val="002A2FF6"/>
    <w:rsid w:val="002A3130"/>
    <w:rsid w:val="002A33B4"/>
    <w:rsid w:val="002A3BC9"/>
    <w:rsid w:val="002A3CA2"/>
    <w:rsid w:val="002A3D61"/>
    <w:rsid w:val="002A3E65"/>
    <w:rsid w:val="002A41D2"/>
    <w:rsid w:val="002A4D70"/>
    <w:rsid w:val="002A56CF"/>
    <w:rsid w:val="002A5CD2"/>
    <w:rsid w:val="002A5D87"/>
    <w:rsid w:val="002A6272"/>
    <w:rsid w:val="002A644E"/>
    <w:rsid w:val="002A75EC"/>
    <w:rsid w:val="002A77AC"/>
    <w:rsid w:val="002A78C1"/>
    <w:rsid w:val="002A7D11"/>
    <w:rsid w:val="002B027F"/>
    <w:rsid w:val="002B1722"/>
    <w:rsid w:val="002B1D9C"/>
    <w:rsid w:val="002B2CA4"/>
    <w:rsid w:val="002B34B8"/>
    <w:rsid w:val="002B3805"/>
    <w:rsid w:val="002B3875"/>
    <w:rsid w:val="002B437E"/>
    <w:rsid w:val="002B5837"/>
    <w:rsid w:val="002B5C02"/>
    <w:rsid w:val="002B6CCE"/>
    <w:rsid w:val="002B78A3"/>
    <w:rsid w:val="002B7C79"/>
    <w:rsid w:val="002B7FF8"/>
    <w:rsid w:val="002C15AE"/>
    <w:rsid w:val="002C1A3C"/>
    <w:rsid w:val="002C1BED"/>
    <w:rsid w:val="002C1EA7"/>
    <w:rsid w:val="002C2E42"/>
    <w:rsid w:val="002C37E5"/>
    <w:rsid w:val="002C3D98"/>
    <w:rsid w:val="002C43EF"/>
    <w:rsid w:val="002C447B"/>
    <w:rsid w:val="002C6E40"/>
    <w:rsid w:val="002C765F"/>
    <w:rsid w:val="002C7747"/>
    <w:rsid w:val="002D1561"/>
    <w:rsid w:val="002D1627"/>
    <w:rsid w:val="002D42EA"/>
    <w:rsid w:val="002D4411"/>
    <w:rsid w:val="002D4D5C"/>
    <w:rsid w:val="002D568D"/>
    <w:rsid w:val="002D5F0C"/>
    <w:rsid w:val="002D637F"/>
    <w:rsid w:val="002D6679"/>
    <w:rsid w:val="002D6AC5"/>
    <w:rsid w:val="002D6DF5"/>
    <w:rsid w:val="002D6ED5"/>
    <w:rsid w:val="002E0237"/>
    <w:rsid w:val="002E0A13"/>
    <w:rsid w:val="002E0F45"/>
    <w:rsid w:val="002E110F"/>
    <w:rsid w:val="002E1ACD"/>
    <w:rsid w:val="002E3163"/>
    <w:rsid w:val="002E3406"/>
    <w:rsid w:val="002E3D90"/>
    <w:rsid w:val="002E43C2"/>
    <w:rsid w:val="002E4923"/>
    <w:rsid w:val="002E4D89"/>
    <w:rsid w:val="002E5E86"/>
    <w:rsid w:val="002E5EEA"/>
    <w:rsid w:val="002E61CE"/>
    <w:rsid w:val="002E684C"/>
    <w:rsid w:val="002E6AB5"/>
    <w:rsid w:val="002E6E13"/>
    <w:rsid w:val="002E7709"/>
    <w:rsid w:val="002F0418"/>
    <w:rsid w:val="002F05AF"/>
    <w:rsid w:val="002F0E28"/>
    <w:rsid w:val="002F1F99"/>
    <w:rsid w:val="002F2816"/>
    <w:rsid w:val="002F372B"/>
    <w:rsid w:val="002F38D2"/>
    <w:rsid w:val="002F4D96"/>
    <w:rsid w:val="002F5BDC"/>
    <w:rsid w:val="002F7043"/>
    <w:rsid w:val="002F7737"/>
    <w:rsid w:val="00300B42"/>
    <w:rsid w:val="003016E9"/>
    <w:rsid w:val="00301A97"/>
    <w:rsid w:val="00303413"/>
    <w:rsid w:val="00303BED"/>
    <w:rsid w:val="00303FA1"/>
    <w:rsid w:val="00304204"/>
    <w:rsid w:val="0030448F"/>
    <w:rsid w:val="00304E7B"/>
    <w:rsid w:val="00307811"/>
    <w:rsid w:val="00307906"/>
    <w:rsid w:val="00307CF6"/>
    <w:rsid w:val="00311EAD"/>
    <w:rsid w:val="00311F50"/>
    <w:rsid w:val="00313817"/>
    <w:rsid w:val="00314FAB"/>
    <w:rsid w:val="00315936"/>
    <w:rsid w:val="00317F9F"/>
    <w:rsid w:val="00320D7E"/>
    <w:rsid w:val="00321947"/>
    <w:rsid w:val="00321FC5"/>
    <w:rsid w:val="0032215C"/>
    <w:rsid w:val="003225E4"/>
    <w:rsid w:val="00322893"/>
    <w:rsid w:val="00322D0B"/>
    <w:rsid w:val="00322DB9"/>
    <w:rsid w:val="00323FE2"/>
    <w:rsid w:val="00324926"/>
    <w:rsid w:val="0032548E"/>
    <w:rsid w:val="003256E3"/>
    <w:rsid w:val="00326119"/>
    <w:rsid w:val="003262BC"/>
    <w:rsid w:val="003262E7"/>
    <w:rsid w:val="00326759"/>
    <w:rsid w:val="003272C2"/>
    <w:rsid w:val="003272DA"/>
    <w:rsid w:val="003303FB"/>
    <w:rsid w:val="00331503"/>
    <w:rsid w:val="00331D30"/>
    <w:rsid w:val="00331F97"/>
    <w:rsid w:val="0033231B"/>
    <w:rsid w:val="00332586"/>
    <w:rsid w:val="00332965"/>
    <w:rsid w:val="0033496F"/>
    <w:rsid w:val="00335121"/>
    <w:rsid w:val="00335F97"/>
    <w:rsid w:val="00336720"/>
    <w:rsid w:val="00336DEF"/>
    <w:rsid w:val="0033727C"/>
    <w:rsid w:val="00340317"/>
    <w:rsid w:val="0034131B"/>
    <w:rsid w:val="00341546"/>
    <w:rsid w:val="00341633"/>
    <w:rsid w:val="00341A64"/>
    <w:rsid w:val="00341CB3"/>
    <w:rsid w:val="00341FDE"/>
    <w:rsid w:val="003421EA"/>
    <w:rsid w:val="003431D4"/>
    <w:rsid w:val="0034396D"/>
    <w:rsid w:val="00344874"/>
    <w:rsid w:val="00345B28"/>
    <w:rsid w:val="00345F2D"/>
    <w:rsid w:val="00345FDF"/>
    <w:rsid w:val="0034670C"/>
    <w:rsid w:val="0034677B"/>
    <w:rsid w:val="003472DA"/>
    <w:rsid w:val="00347C35"/>
    <w:rsid w:val="0035099E"/>
    <w:rsid w:val="00351518"/>
    <w:rsid w:val="003541D0"/>
    <w:rsid w:val="00354A5B"/>
    <w:rsid w:val="00354DA1"/>
    <w:rsid w:val="0035558B"/>
    <w:rsid w:val="0035788B"/>
    <w:rsid w:val="00357AC0"/>
    <w:rsid w:val="00360063"/>
    <w:rsid w:val="00360312"/>
    <w:rsid w:val="00360F26"/>
    <w:rsid w:val="00361521"/>
    <w:rsid w:val="0036225A"/>
    <w:rsid w:val="00363B2D"/>
    <w:rsid w:val="003642CD"/>
    <w:rsid w:val="00364D97"/>
    <w:rsid w:val="00365AB1"/>
    <w:rsid w:val="00366513"/>
    <w:rsid w:val="00367F81"/>
    <w:rsid w:val="00370043"/>
    <w:rsid w:val="00373070"/>
    <w:rsid w:val="0037328A"/>
    <w:rsid w:val="00373CA8"/>
    <w:rsid w:val="00375486"/>
    <w:rsid w:val="00377253"/>
    <w:rsid w:val="0037754F"/>
    <w:rsid w:val="003779B6"/>
    <w:rsid w:val="0038013E"/>
    <w:rsid w:val="003817E2"/>
    <w:rsid w:val="00381838"/>
    <w:rsid w:val="0038217F"/>
    <w:rsid w:val="003824B9"/>
    <w:rsid w:val="00383B38"/>
    <w:rsid w:val="00384348"/>
    <w:rsid w:val="00385948"/>
    <w:rsid w:val="0038666B"/>
    <w:rsid w:val="0038759D"/>
    <w:rsid w:val="003878C2"/>
    <w:rsid w:val="0039126A"/>
    <w:rsid w:val="00392798"/>
    <w:rsid w:val="00393880"/>
    <w:rsid w:val="003956A4"/>
    <w:rsid w:val="0039627E"/>
    <w:rsid w:val="003969CE"/>
    <w:rsid w:val="003974AD"/>
    <w:rsid w:val="003974DE"/>
    <w:rsid w:val="003A1528"/>
    <w:rsid w:val="003A217D"/>
    <w:rsid w:val="003A2690"/>
    <w:rsid w:val="003A3C61"/>
    <w:rsid w:val="003A3D2C"/>
    <w:rsid w:val="003A421F"/>
    <w:rsid w:val="003A4B23"/>
    <w:rsid w:val="003A6088"/>
    <w:rsid w:val="003A68CB"/>
    <w:rsid w:val="003B0051"/>
    <w:rsid w:val="003B15D2"/>
    <w:rsid w:val="003B3D00"/>
    <w:rsid w:val="003B41C2"/>
    <w:rsid w:val="003B594C"/>
    <w:rsid w:val="003B5E65"/>
    <w:rsid w:val="003B64C2"/>
    <w:rsid w:val="003B65DC"/>
    <w:rsid w:val="003B6630"/>
    <w:rsid w:val="003B6632"/>
    <w:rsid w:val="003B7799"/>
    <w:rsid w:val="003B7DBD"/>
    <w:rsid w:val="003C016D"/>
    <w:rsid w:val="003C19FE"/>
    <w:rsid w:val="003C1B7A"/>
    <w:rsid w:val="003C2195"/>
    <w:rsid w:val="003C2B24"/>
    <w:rsid w:val="003C3288"/>
    <w:rsid w:val="003C38BA"/>
    <w:rsid w:val="003C5B28"/>
    <w:rsid w:val="003C6D40"/>
    <w:rsid w:val="003C70EE"/>
    <w:rsid w:val="003C7D2B"/>
    <w:rsid w:val="003C7E9B"/>
    <w:rsid w:val="003D0471"/>
    <w:rsid w:val="003D149C"/>
    <w:rsid w:val="003D1B17"/>
    <w:rsid w:val="003D1C5D"/>
    <w:rsid w:val="003D1F2A"/>
    <w:rsid w:val="003D2094"/>
    <w:rsid w:val="003D2964"/>
    <w:rsid w:val="003D2A51"/>
    <w:rsid w:val="003D3156"/>
    <w:rsid w:val="003D3410"/>
    <w:rsid w:val="003D458B"/>
    <w:rsid w:val="003D4676"/>
    <w:rsid w:val="003D4762"/>
    <w:rsid w:val="003D566B"/>
    <w:rsid w:val="003D6BF1"/>
    <w:rsid w:val="003D7C84"/>
    <w:rsid w:val="003D7E5B"/>
    <w:rsid w:val="003E0A56"/>
    <w:rsid w:val="003E1FC3"/>
    <w:rsid w:val="003E22EC"/>
    <w:rsid w:val="003E2450"/>
    <w:rsid w:val="003E247B"/>
    <w:rsid w:val="003E2D4A"/>
    <w:rsid w:val="003E4147"/>
    <w:rsid w:val="003E41E0"/>
    <w:rsid w:val="003E5A62"/>
    <w:rsid w:val="003E5F43"/>
    <w:rsid w:val="003E6030"/>
    <w:rsid w:val="003E6F0E"/>
    <w:rsid w:val="003E76C9"/>
    <w:rsid w:val="003F0120"/>
    <w:rsid w:val="003F05EC"/>
    <w:rsid w:val="003F0EC0"/>
    <w:rsid w:val="003F1532"/>
    <w:rsid w:val="003F176E"/>
    <w:rsid w:val="003F2FAC"/>
    <w:rsid w:val="003F410D"/>
    <w:rsid w:val="003F471B"/>
    <w:rsid w:val="003F4763"/>
    <w:rsid w:val="003F4DB2"/>
    <w:rsid w:val="003F502F"/>
    <w:rsid w:val="003F545C"/>
    <w:rsid w:val="003F5F5B"/>
    <w:rsid w:val="003F6E76"/>
    <w:rsid w:val="003F7704"/>
    <w:rsid w:val="003F7863"/>
    <w:rsid w:val="003F7BCA"/>
    <w:rsid w:val="003F7ED0"/>
    <w:rsid w:val="00400358"/>
    <w:rsid w:val="004004F7"/>
    <w:rsid w:val="00400C02"/>
    <w:rsid w:val="0040101F"/>
    <w:rsid w:val="00402903"/>
    <w:rsid w:val="00402D1B"/>
    <w:rsid w:val="004037F1"/>
    <w:rsid w:val="00405701"/>
    <w:rsid w:val="00405DD0"/>
    <w:rsid w:val="00407998"/>
    <w:rsid w:val="00410016"/>
    <w:rsid w:val="004106F8"/>
    <w:rsid w:val="0041072E"/>
    <w:rsid w:val="004107EB"/>
    <w:rsid w:val="004107EC"/>
    <w:rsid w:val="00411179"/>
    <w:rsid w:val="004138B1"/>
    <w:rsid w:val="004139B2"/>
    <w:rsid w:val="00414164"/>
    <w:rsid w:val="004142F1"/>
    <w:rsid w:val="004157D4"/>
    <w:rsid w:val="00417466"/>
    <w:rsid w:val="00417E0B"/>
    <w:rsid w:val="004203CF"/>
    <w:rsid w:val="00421A92"/>
    <w:rsid w:val="004238C5"/>
    <w:rsid w:val="00424A72"/>
    <w:rsid w:val="004265ED"/>
    <w:rsid w:val="0043003F"/>
    <w:rsid w:val="00430532"/>
    <w:rsid w:val="00430B42"/>
    <w:rsid w:val="00430EA6"/>
    <w:rsid w:val="00431E4D"/>
    <w:rsid w:val="00432889"/>
    <w:rsid w:val="00432BC6"/>
    <w:rsid w:val="004337B6"/>
    <w:rsid w:val="00434E2E"/>
    <w:rsid w:val="004358B4"/>
    <w:rsid w:val="0043743C"/>
    <w:rsid w:val="0044138E"/>
    <w:rsid w:val="004427FB"/>
    <w:rsid w:val="00442BA9"/>
    <w:rsid w:val="004434AB"/>
    <w:rsid w:val="00443623"/>
    <w:rsid w:val="00443A84"/>
    <w:rsid w:val="00443EDB"/>
    <w:rsid w:val="0044515F"/>
    <w:rsid w:val="00445164"/>
    <w:rsid w:val="00445F80"/>
    <w:rsid w:val="004470EF"/>
    <w:rsid w:val="00447891"/>
    <w:rsid w:val="00447ED0"/>
    <w:rsid w:val="00450451"/>
    <w:rsid w:val="004511E9"/>
    <w:rsid w:val="004514BC"/>
    <w:rsid w:val="00451560"/>
    <w:rsid w:val="0045261F"/>
    <w:rsid w:val="00452BD4"/>
    <w:rsid w:val="00452F6A"/>
    <w:rsid w:val="0045377E"/>
    <w:rsid w:val="004539DD"/>
    <w:rsid w:val="00453A13"/>
    <w:rsid w:val="00453AD4"/>
    <w:rsid w:val="0045411F"/>
    <w:rsid w:val="00454DA5"/>
    <w:rsid w:val="00454FB6"/>
    <w:rsid w:val="00455102"/>
    <w:rsid w:val="00456298"/>
    <w:rsid w:val="0045776A"/>
    <w:rsid w:val="004578DB"/>
    <w:rsid w:val="004605CF"/>
    <w:rsid w:val="00460C0F"/>
    <w:rsid w:val="00460F7E"/>
    <w:rsid w:val="0046312A"/>
    <w:rsid w:val="004635FB"/>
    <w:rsid w:val="00463C15"/>
    <w:rsid w:val="00463DF7"/>
    <w:rsid w:val="004649C9"/>
    <w:rsid w:val="00464F15"/>
    <w:rsid w:val="00466366"/>
    <w:rsid w:val="00466574"/>
    <w:rsid w:val="004671CA"/>
    <w:rsid w:val="00470513"/>
    <w:rsid w:val="00472EDA"/>
    <w:rsid w:val="00472F7C"/>
    <w:rsid w:val="00472F8A"/>
    <w:rsid w:val="00475396"/>
    <w:rsid w:val="00476151"/>
    <w:rsid w:val="004761E6"/>
    <w:rsid w:val="00477A6D"/>
    <w:rsid w:val="00477C1A"/>
    <w:rsid w:val="00477E53"/>
    <w:rsid w:val="0048012B"/>
    <w:rsid w:val="004808DD"/>
    <w:rsid w:val="00481BA4"/>
    <w:rsid w:val="00482135"/>
    <w:rsid w:val="00482477"/>
    <w:rsid w:val="00482C7A"/>
    <w:rsid w:val="004840A2"/>
    <w:rsid w:val="0048419A"/>
    <w:rsid w:val="00484E44"/>
    <w:rsid w:val="004850A9"/>
    <w:rsid w:val="004850AC"/>
    <w:rsid w:val="00485478"/>
    <w:rsid w:val="00486017"/>
    <w:rsid w:val="004861B8"/>
    <w:rsid w:val="0048636F"/>
    <w:rsid w:val="00486CB3"/>
    <w:rsid w:val="00487774"/>
    <w:rsid w:val="004900E5"/>
    <w:rsid w:val="00490BA0"/>
    <w:rsid w:val="00490C38"/>
    <w:rsid w:val="0049145A"/>
    <w:rsid w:val="004927FD"/>
    <w:rsid w:val="00494DB3"/>
    <w:rsid w:val="004951D6"/>
    <w:rsid w:val="004974A9"/>
    <w:rsid w:val="00497553"/>
    <w:rsid w:val="004A2297"/>
    <w:rsid w:val="004A347F"/>
    <w:rsid w:val="004A34BD"/>
    <w:rsid w:val="004A3E20"/>
    <w:rsid w:val="004A45A1"/>
    <w:rsid w:val="004A6D77"/>
    <w:rsid w:val="004B019E"/>
    <w:rsid w:val="004B05DD"/>
    <w:rsid w:val="004B0755"/>
    <w:rsid w:val="004B0C4C"/>
    <w:rsid w:val="004B0F2C"/>
    <w:rsid w:val="004B174A"/>
    <w:rsid w:val="004B1ABF"/>
    <w:rsid w:val="004B1E21"/>
    <w:rsid w:val="004B2FF6"/>
    <w:rsid w:val="004B350B"/>
    <w:rsid w:val="004B35BE"/>
    <w:rsid w:val="004B3E22"/>
    <w:rsid w:val="004B45C0"/>
    <w:rsid w:val="004B48FE"/>
    <w:rsid w:val="004B51E9"/>
    <w:rsid w:val="004B5FE4"/>
    <w:rsid w:val="004B6998"/>
    <w:rsid w:val="004B71F4"/>
    <w:rsid w:val="004B755A"/>
    <w:rsid w:val="004C197C"/>
    <w:rsid w:val="004C3526"/>
    <w:rsid w:val="004C3B1B"/>
    <w:rsid w:val="004C43FF"/>
    <w:rsid w:val="004C57A6"/>
    <w:rsid w:val="004C57C8"/>
    <w:rsid w:val="004C59B8"/>
    <w:rsid w:val="004C5A17"/>
    <w:rsid w:val="004C6003"/>
    <w:rsid w:val="004C772C"/>
    <w:rsid w:val="004C7A5C"/>
    <w:rsid w:val="004D14F0"/>
    <w:rsid w:val="004D182B"/>
    <w:rsid w:val="004D263D"/>
    <w:rsid w:val="004D31BF"/>
    <w:rsid w:val="004D37A3"/>
    <w:rsid w:val="004D472B"/>
    <w:rsid w:val="004D4B0A"/>
    <w:rsid w:val="004D4FDB"/>
    <w:rsid w:val="004D5A91"/>
    <w:rsid w:val="004D62D0"/>
    <w:rsid w:val="004D6ADA"/>
    <w:rsid w:val="004D7973"/>
    <w:rsid w:val="004D7BDA"/>
    <w:rsid w:val="004E01D2"/>
    <w:rsid w:val="004E07A7"/>
    <w:rsid w:val="004E0B1B"/>
    <w:rsid w:val="004E1AB8"/>
    <w:rsid w:val="004E1B7D"/>
    <w:rsid w:val="004E21CF"/>
    <w:rsid w:val="004E3C9D"/>
    <w:rsid w:val="004E49C5"/>
    <w:rsid w:val="004E545A"/>
    <w:rsid w:val="004E5DDE"/>
    <w:rsid w:val="004E5F4C"/>
    <w:rsid w:val="004E6703"/>
    <w:rsid w:val="004E7056"/>
    <w:rsid w:val="004E74DA"/>
    <w:rsid w:val="004E7788"/>
    <w:rsid w:val="004E7A22"/>
    <w:rsid w:val="004F097F"/>
    <w:rsid w:val="004F0E62"/>
    <w:rsid w:val="004F1194"/>
    <w:rsid w:val="004F14AD"/>
    <w:rsid w:val="004F168C"/>
    <w:rsid w:val="004F1726"/>
    <w:rsid w:val="004F2ED4"/>
    <w:rsid w:val="004F380A"/>
    <w:rsid w:val="004F3811"/>
    <w:rsid w:val="004F4AD5"/>
    <w:rsid w:val="004F5292"/>
    <w:rsid w:val="004F55BC"/>
    <w:rsid w:val="004F594D"/>
    <w:rsid w:val="004F59FB"/>
    <w:rsid w:val="004F6BF1"/>
    <w:rsid w:val="004F6FE3"/>
    <w:rsid w:val="0050122A"/>
    <w:rsid w:val="005014F0"/>
    <w:rsid w:val="00501935"/>
    <w:rsid w:val="00501A83"/>
    <w:rsid w:val="00501F29"/>
    <w:rsid w:val="005026DB"/>
    <w:rsid w:val="0050397D"/>
    <w:rsid w:val="005041A4"/>
    <w:rsid w:val="00504898"/>
    <w:rsid w:val="00505C7E"/>
    <w:rsid w:val="005071A9"/>
    <w:rsid w:val="005074FD"/>
    <w:rsid w:val="0050770B"/>
    <w:rsid w:val="005078EE"/>
    <w:rsid w:val="005110F0"/>
    <w:rsid w:val="005116C9"/>
    <w:rsid w:val="00511CE5"/>
    <w:rsid w:val="0051348C"/>
    <w:rsid w:val="00513E23"/>
    <w:rsid w:val="0051564D"/>
    <w:rsid w:val="00515E7A"/>
    <w:rsid w:val="0051654C"/>
    <w:rsid w:val="00516C0B"/>
    <w:rsid w:val="00516EB3"/>
    <w:rsid w:val="0052180B"/>
    <w:rsid w:val="00521825"/>
    <w:rsid w:val="005220D8"/>
    <w:rsid w:val="005222BD"/>
    <w:rsid w:val="00522A3C"/>
    <w:rsid w:val="00523BF7"/>
    <w:rsid w:val="00527425"/>
    <w:rsid w:val="00527768"/>
    <w:rsid w:val="00527D59"/>
    <w:rsid w:val="00531036"/>
    <w:rsid w:val="005314BF"/>
    <w:rsid w:val="005315B4"/>
    <w:rsid w:val="005316FB"/>
    <w:rsid w:val="005322F1"/>
    <w:rsid w:val="00532C61"/>
    <w:rsid w:val="0053343D"/>
    <w:rsid w:val="00533806"/>
    <w:rsid w:val="00535266"/>
    <w:rsid w:val="00535C68"/>
    <w:rsid w:val="00535E80"/>
    <w:rsid w:val="005362A2"/>
    <w:rsid w:val="0053761E"/>
    <w:rsid w:val="0053787F"/>
    <w:rsid w:val="00537CF5"/>
    <w:rsid w:val="00537D15"/>
    <w:rsid w:val="00537DE7"/>
    <w:rsid w:val="0054169C"/>
    <w:rsid w:val="00541A3A"/>
    <w:rsid w:val="005420AA"/>
    <w:rsid w:val="00542897"/>
    <w:rsid w:val="005433CA"/>
    <w:rsid w:val="00544C68"/>
    <w:rsid w:val="0054531E"/>
    <w:rsid w:val="00545D02"/>
    <w:rsid w:val="00550BE6"/>
    <w:rsid w:val="005510AD"/>
    <w:rsid w:val="00551E7B"/>
    <w:rsid w:val="005523B8"/>
    <w:rsid w:val="00552705"/>
    <w:rsid w:val="00554B25"/>
    <w:rsid w:val="00555584"/>
    <w:rsid w:val="005558D1"/>
    <w:rsid w:val="00555958"/>
    <w:rsid w:val="005561C1"/>
    <w:rsid w:val="00556A69"/>
    <w:rsid w:val="005571BF"/>
    <w:rsid w:val="0055720C"/>
    <w:rsid w:val="00557421"/>
    <w:rsid w:val="00557BF5"/>
    <w:rsid w:val="00561681"/>
    <w:rsid w:val="005616E8"/>
    <w:rsid w:val="005618CF"/>
    <w:rsid w:val="00561FA4"/>
    <w:rsid w:val="005625C3"/>
    <w:rsid w:val="0056372C"/>
    <w:rsid w:val="00563DD4"/>
    <w:rsid w:val="005640B5"/>
    <w:rsid w:val="0056521C"/>
    <w:rsid w:val="00566544"/>
    <w:rsid w:val="00566852"/>
    <w:rsid w:val="00566BE5"/>
    <w:rsid w:val="00567E95"/>
    <w:rsid w:val="00570B4E"/>
    <w:rsid w:val="00571261"/>
    <w:rsid w:val="00571B5B"/>
    <w:rsid w:val="00571CF9"/>
    <w:rsid w:val="00572327"/>
    <w:rsid w:val="005731E8"/>
    <w:rsid w:val="005738F7"/>
    <w:rsid w:val="00573925"/>
    <w:rsid w:val="00575571"/>
    <w:rsid w:val="0057580C"/>
    <w:rsid w:val="00575958"/>
    <w:rsid w:val="0057628B"/>
    <w:rsid w:val="00576475"/>
    <w:rsid w:val="00580252"/>
    <w:rsid w:val="005802A1"/>
    <w:rsid w:val="005802EF"/>
    <w:rsid w:val="005804DD"/>
    <w:rsid w:val="00581B22"/>
    <w:rsid w:val="00581F7E"/>
    <w:rsid w:val="00583DCF"/>
    <w:rsid w:val="005862F6"/>
    <w:rsid w:val="0058692F"/>
    <w:rsid w:val="005901C8"/>
    <w:rsid w:val="0059094E"/>
    <w:rsid w:val="00590A39"/>
    <w:rsid w:val="00590FF3"/>
    <w:rsid w:val="005911A2"/>
    <w:rsid w:val="00591766"/>
    <w:rsid w:val="00591F5E"/>
    <w:rsid w:val="00592753"/>
    <w:rsid w:val="00592D34"/>
    <w:rsid w:val="00592E72"/>
    <w:rsid w:val="005938E4"/>
    <w:rsid w:val="00594663"/>
    <w:rsid w:val="0059469A"/>
    <w:rsid w:val="00595A0D"/>
    <w:rsid w:val="00595DC8"/>
    <w:rsid w:val="005963B6"/>
    <w:rsid w:val="005A0A71"/>
    <w:rsid w:val="005A0B1A"/>
    <w:rsid w:val="005A0D5D"/>
    <w:rsid w:val="005A26C9"/>
    <w:rsid w:val="005A2A15"/>
    <w:rsid w:val="005A370E"/>
    <w:rsid w:val="005A41D9"/>
    <w:rsid w:val="005A48C0"/>
    <w:rsid w:val="005A52DB"/>
    <w:rsid w:val="005A58AB"/>
    <w:rsid w:val="005A6681"/>
    <w:rsid w:val="005A6908"/>
    <w:rsid w:val="005A69A2"/>
    <w:rsid w:val="005A6C96"/>
    <w:rsid w:val="005A6EEE"/>
    <w:rsid w:val="005B002B"/>
    <w:rsid w:val="005B01B8"/>
    <w:rsid w:val="005B0591"/>
    <w:rsid w:val="005B07B5"/>
    <w:rsid w:val="005B097F"/>
    <w:rsid w:val="005B1210"/>
    <w:rsid w:val="005B13D2"/>
    <w:rsid w:val="005B2602"/>
    <w:rsid w:val="005B318D"/>
    <w:rsid w:val="005B3357"/>
    <w:rsid w:val="005B3AA0"/>
    <w:rsid w:val="005B54A4"/>
    <w:rsid w:val="005B5670"/>
    <w:rsid w:val="005B56CB"/>
    <w:rsid w:val="005B64DA"/>
    <w:rsid w:val="005B6931"/>
    <w:rsid w:val="005B7B11"/>
    <w:rsid w:val="005B7FB2"/>
    <w:rsid w:val="005C00DB"/>
    <w:rsid w:val="005C01DA"/>
    <w:rsid w:val="005C070C"/>
    <w:rsid w:val="005C0A30"/>
    <w:rsid w:val="005C0A80"/>
    <w:rsid w:val="005C0B4F"/>
    <w:rsid w:val="005C2359"/>
    <w:rsid w:val="005C272B"/>
    <w:rsid w:val="005C2803"/>
    <w:rsid w:val="005C3AA5"/>
    <w:rsid w:val="005C43C6"/>
    <w:rsid w:val="005C4A59"/>
    <w:rsid w:val="005C4F16"/>
    <w:rsid w:val="005C58B0"/>
    <w:rsid w:val="005C62BA"/>
    <w:rsid w:val="005C6BA5"/>
    <w:rsid w:val="005C6F54"/>
    <w:rsid w:val="005C70A3"/>
    <w:rsid w:val="005C733E"/>
    <w:rsid w:val="005D09E4"/>
    <w:rsid w:val="005D1322"/>
    <w:rsid w:val="005D17EB"/>
    <w:rsid w:val="005D2CDD"/>
    <w:rsid w:val="005D408C"/>
    <w:rsid w:val="005D5098"/>
    <w:rsid w:val="005D6432"/>
    <w:rsid w:val="005D646E"/>
    <w:rsid w:val="005D66C7"/>
    <w:rsid w:val="005D72CC"/>
    <w:rsid w:val="005D7DF3"/>
    <w:rsid w:val="005D7EC3"/>
    <w:rsid w:val="005E0D61"/>
    <w:rsid w:val="005E16CF"/>
    <w:rsid w:val="005E19ED"/>
    <w:rsid w:val="005E1E73"/>
    <w:rsid w:val="005E1F05"/>
    <w:rsid w:val="005E2621"/>
    <w:rsid w:val="005E2725"/>
    <w:rsid w:val="005E3302"/>
    <w:rsid w:val="005E3614"/>
    <w:rsid w:val="005E3B02"/>
    <w:rsid w:val="005E3D8B"/>
    <w:rsid w:val="005E6143"/>
    <w:rsid w:val="005E6EF5"/>
    <w:rsid w:val="005E7C88"/>
    <w:rsid w:val="005F10B3"/>
    <w:rsid w:val="005F1271"/>
    <w:rsid w:val="005F2DDF"/>
    <w:rsid w:val="005F3AD2"/>
    <w:rsid w:val="005F42A6"/>
    <w:rsid w:val="005F504D"/>
    <w:rsid w:val="005F511E"/>
    <w:rsid w:val="005F5D73"/>
    <w:rsid w:val="0060082D"/>
    <w:rsid w:val="0060110C"/>
    <w:rsid w:val="00601C4A"/>
    <w:rsid w:val="0060231D"/>
    <w:rsid w:val="0060296A"/>
    <w:rsid w:val="00603471"/>
    <w:rsid w:val="0060355E"/>
    <w:rsid w:val="00603906"/>
    <w:rsid w:val="00603B8D"/>
    <w:rsid w:val="00604FE8"/>
    <w:rsid w:val="00605167"/>
    <w:rsid w:val="0061147C"/>
    <w:rsid w:val="006115DB"/>
    <w:rsid w:val="00611D69"/>
    <w:rsid w:val="006121D7"/>
    <w:rsid w:val="00612618"/>
    <w:rsid w:val="00615CEF"/>
    <w:rsid w:val="00617761"/>
    <w:rsid w:val="00617FB3"/>
    <w:rsid w:val="00620BEE"/>
    <w:rsid w:val="006215A1"/>
    <w:rsid w:val="00621ACF"/>
    <w:rsid w:val="006222DD"/>
    <w:rsid w:val="0062257E"/>
    <w:rsid w:val="006226F9"/>
    <w:rsid w:val="00622EC3"/>
    <w:rsid w:val="00622EF6"/>
    <w:rsid w:val="0062370B"/>
    <w:rsid w:val="00623D12"/>
    <w:rsid w:val="006248CC"/>
    <w:rsid w:val="006252CF"/>
    <w:rsid w:val="00625E13"/>
    <w:rsid w:val="00630747"/>
    <w:rsid w:val="00630DC5"/>
    <w:rsid w:val="00630FD2"/>
    <w:rsid w:val="006312B8"/>
    <w:rsid w:val="00631BAE"/>
    <w:rsid w:val="00632C7E"/>
    <w:rsid w:val="0063312E"/>
    <w:rsid w:val="00633190"/>
    <w:rsid w:val="006341E8"/>
    <w:rsid w:val="00634BB2"/>
    <w:rsid w:val="0063512B"/>
    <w:rsid w:val="006359AA"/>
    <w:rsid w:val="00636840"/>
    <w:rsid w:val="00637B13"/>
    <w:rsid w:val="00640283"/>
    <w:rsid w:val="0064035A"/>
    <w:rsid w:val="00640760"/>
    <w:rsid w:val="00640866"/>
    <w:rsid w:val="00640E26"/>
    <w:rsid w:val="00641AB4"/>
    <w:rsid w:val="00642794"/>
    <w:rsid w:val="00642DCE"/>
    <w:rsid w:val="0064345E"/>
    <w:rsid w:val="006437AE"/>
    <w:rsid w:val="00643A6D"/>
    <w:rsid w:val="00644365"/>
    <w:rsid w:val="006449EC"/>
    <w:rsid w:val="0064534A"/>
    <w:rsid w:val="00645572"/>
    <w:rsid w:val="006469CA"/>
    <w:rsid w:val="00646DF8"/>
    <w:rsid w:val="00647AF1"/>
    <w:rsid w:val="00647F93"/>
    <w:rsid w:val="00650907"/>
    <w:rsid w:val="00651015"/>
    <w:rsid w:val="00651C18"/>
    <w:rsid w:val="00653602"/>
    <w:rsid w:val="0065371C"/>
    <w:rsid w:val="00653822"/>
    <w:rsid w:val="00653943"/>
    <w:rsid w:val="00653E6F"/>
    <w:rsid w:val="006541AC"/>
    <w:rsid w:val="00654625"/>
    <w:rsid w:val="00654AB9"/>
    <w:rsid w:val="0065520B"/>
    <w:rsid w:val="00655750"/>
    <w:rsid w:val="00655F64"/>
    <w:rsid w:val="00656012"/>
    <w:rsid w:val="006564C8"/>
    <w:rsid w:val="006571DC"/>
    <w:rsid w:val="00657B93"/>
    <w:rsid w:val="00657CC7"/>
    <w:rsid w:val="00657DEB"/>
    <w:rsid w:val="0066002F"/>
    <w:rsid w:val="0066076A"/>
    <w:rsid w:val="00660E59"/>
    <w:rsid w:val="0066186C"/>
    <w:rsid w:val="00662038"/>
    <w:rsid w:val="006627AD"/>
    <w:rsid w:val="00664631"/>
    <w:rsid w:val="006651A9"/>
    <w:rsid w:val="00665BD9"/>
    <w:rsid w:val="00666537"/>
    <w:rsid w:val="00666BF1"/>
    <w:rsid w:val="00666FB2"/>
    <w:rsid w:val="0067160E"/>
    <w:rsid w:val="00672086"/>
    <w:rsid w:val="00673216"/>
    <w:rsid w:val="00673517"/>
    <w:rsid w:val="00673549"/>
    <w:rsid w:val="00673F40"/>
    <w:rsid w:val="0067448D"/>
    <w:rsid w:val="00674E7E"/>
    <w:rsid w:val="00675B47"/>
    <w:rsid w:val="00675CA0"/>
    <w:rsid w:val="0067604E"/>
    <w:rsid w:val="00676188"/>
    <w:rsid w:val="006763E5"/>
    <w:rsid w:val="00676534"/>
    <w:rsid w:val="00677411"/>
    <w:rsid w:val="00680227"/>
    <w:rsid w:val="00680668"/>
    <w:rsid w:val="00680929"/>
    <w:rsid w:val="00680D6C"/>
    <w:rsid w:val="00680F2A"/>
    <w:rsid w:val="006810FE"/>
    <w:rsid w:val="0068186D"/>
    <w:rsid w:val="00681D96"/>
    <w:rsid w:val="00683128"/>
    <w:rsid w:val="006832BF"/>
    <w:rsid w:val="006836F0"/>
    <w:rsid w:val="00684A82"/>
    <w:rsid w:val="00685344"/>
    <w:rsid w:val="006867B7"/>
    <w:rsid w:val="006875C0"/>
    <w:rsid w:val="00687AD4"/>
    <w:rsid w:val="00690210"/>
    <w:rsid w:val="00690A60"/>
    <w:rsid w:val="00690C13"/>
    <w:rsid w:val="006932D6"/>
    <w:rsid w:val="00693CC5"/>
    <w:rsid w:val="00695DBA"/>
    <w:rsid w:val="006962DE"/>
    <w:rsid w:val="00696B2B"/>
    <w:rsid w:val="00697245"/>
    <w:rsid w:val="006A06D0"/>
    <w:rsid w:val="006A1484"/>
    <w:rsid w:val="006A338B"/>
    <w:rsid w:val="006A36C5"/>
    <w:rsid w:val="006A3A9D"/>
    <w:rsid w:val="006A4BED"/>
    <w:rsid w:val="006A52D3"/>
    <w:rsid w:val="006A6057"/>
    <w:rsid w:val="006A6147"/>
    <w:rsid w:val="006A6329"/>
    <w:rsid w:val="006A67E2"/>
    <w:rsid w:val="006A6D38"/>
    <w:rsid w:val="006A7042"/>
    <w:rsid w:val="006A7A62"/>
    <w:rsid w:val="006A7BE8"/>
    <w:rsid w:val="006B07A7"/>
    <w:rsid w:val="006B0ACD"/>
    <w:rsid w:val="006B147D"/>
    <w:rsid w:val="006B1CC0"/>
    <w:rsid w:val="006B1D56"/>
    <w:rsid w:val="006B27FC"/>
    <w:rsid w:val="006B3169"/>
    <w:rsid w:val="006B39A1"/>
    <w:rsid w:val="006B4C1A"/>
    <w:rsid w:val="006B50E5"/>
    <w:rsid w:val="006B6FF0"/>
    <w:rsid w:val="006B72EA"/>
    <w:rsid w:val="006B7880"/>
    <w:rsid w:val="006B7AA6"/>
    <w:rsid w:val="006C03F6"/>
    <w:rsid w:val="006C0FD6"/>
    <w:rsid w:val="006C13F4"/>
    <w:rsid w:val="006C193B"/>
    <w:rsid w:val="006C1B79"/>
    <w:rsid w:val="006C1F58"/>
    <w:rsid w:val="006C205F"/>
    <w:rsid w:val="006C279F"/>
    <w:rsid w:val="006C2E19"/>
    <w:rsid w:val="006C30CE"/>
    <w:rsid w:val="006C33C7"/>
    <w:rsid w:val="006C3D5F"/>
    <w:rsid w:val="006C3F55"/>
    <w:rsid w:val="006C5609"/>
    <w:rsid w:val="006C7843"/>
    <w:rsid w:val="006D0079"/>
    <w:rsid w:val="006D0D9D"/>
    <w:rsid w:val="006D5C7E"/>
    <w:rsid w:val="006D717E"/>
    <w:rsid w:val="006D748B"/>
    <w:rsid w:val="006D79D0"/>
    <w:rsid w:val="006D7E48"/>
    <w:rsid w:val="006E0EA5"/>
    <w:rsid w:val="006E1496"/>
    <w:rsid w:val="006E34BE"/>
    <w:rsid w:val="006E576E"/>
    <w:rsid w:val="006E5EBB"/>
    <w:rsid w:val="006E7A78"/>
    <w:rsid w:val="006F031A"/>
    <w:rsid w:val="006F0963"/>
    <w:rsid w:val="006F09FB"/>
    <w:rsid w:val="006F0C90"/>
    <w:rsid w:val="006F0FC0"/>
    <w:rsid w:val="006F1382"/>
    <w:rsid w:val="006F368A"/>
    <w:rsid w:val="006F3AC9"/>
    <w:rsid w:val="006F485F"/>
    <w:rsid w:val="006F4FB5"/>
    <w:rsid w:val="006F5393"/>
    <w:rsid w:val="006F5FCC"/>
    <w:rsid w:val="006F7855"/>
    <w:rsid w:val="00700179"/>
    <w:rsid w:val="0070039E"/>
    <w:rsid w:val="00702467"/>
    <w:rsid w:val="007025B6"/>
    <w:rsid w:val="00704C83"/>
    <w:rsid w:val="00705543"/>
    <w:rsid w:val="007063DB"/>
    <w:rsid w:val="007065B0"/>
    <w:rsid w:val="0070729C"/>
    <w:rsid w:val="0071064B"/>
    <w:rsid w:val="00711339"/>
    <w:rsid w:val="00711D3E"/>
    <w:rsid w:val="0071269B"/>
    <w:rsid w:val="00712C03"/>
    <w:rsid w:val="00712C4E"/>
    <w:rsid w:val="007133C0"/>
    <w:rsid w:val="0071381E"/>
    <w:rsid w:val="0071429D"/>
    <w:rsid w:val="0071458A"/>
    <w:rsid w:val="00714D13"/>
    <w:rsid w:val="00714F5C"/>
    <w:rsid w:val="0071648F"/>
    <w:rsid w:val="00716713"/>
    <w:rsid w:val="00717408"/>
    <w:rsid w:val="00717EC6"/>
    <w:rsid w:val="00720238"/>
    <w:rsid w:val="00720E1A"/>
    <w:rsid w:val="00720E31"/>
    <w:rsid w:val="0072161F"/>
    <w:rsid w:val="007217DB"/>
    <w:rsid w:val="00722002"/>
    <w:rsid w:val="007221B8"/>
    <w:rsid w:val="0072261C"/>
    <w:rsid w:val="00722888"/>
    <w:rsid w:val="00723162"/>
    <w:rsid w:val="0072330A"/>
    <w:rsid w:val="00725155"/>
    <w:rsid w:val="00725E50"/>
    <w:rsid w:val="00726541"/>
    <w:rsid w:val="00726DB1"/>
    <w:rsid w:val="007277FD"/>
    <w:rsid w:val="00727886"/>
    <w:rsid w:val="00730674"/>
    <w:rsid w:val="00731A7B"/>
    <w:rsid w:val="00732907"/>
    <w:rsid w:val="00732F61"/>
    <w:rsid w:val="007331DE"/>
    <w:rsid w:val="00733B9C"/>
    <w:rsid w:val="007350ED"/>
    <w:rsid w:val="00735176"/>
    <w:rsid w:val="00735C5E"/>
    <w:rsid w:val="00736DCC"/>
    <w:rsid w:val="007376BF"/>
    <w:rsid w:val="00742DF7"/>
    <w:rsid w:val="00742E49"/>
    <w:rsid w:val="00742EF7"/>
    <w:rsid w:val="00743558"/>
    <w:rsid w:val="00744D8C"/>
    <w:rsid w:val="007457D8"/>
    <w:rsid w:val="00745DB5"/>
    <w:rsid w:val="007460DF"/>
    <w:rsid w:val="0074640A"/>
    <w:rsid w:val="00746608"/>
    <w:rsid w:val="007477DC"/>
    <w:rsid w:val="0075056A"/>
    <w:rsid w:val="0075063C"/>
    <w:rsid w:val="007508EE"/>
    <w:rsid w:val="007512B9"/>
    <w:rsid w:val="00751F5F"/>
    <w:rsid w:val="007522B0"/>
    <w:rsid w:val="007529AB"/>
    <w:rsid w:val="00754436"/>
    <w:rsid w:val="007547ED"/>
    <w:rsid w:val="00754B48"/>
    <w:rsid w:val="00755092"/>
    <w:rsid w:val="00756AFE"/>
    <w:rsid w:val="00756C18"/>
    <w:rsid w:val="007576C5"/>
    <w:rsid w:val="00760797"/>
    <w:rsid w:val="007610C7"/>
    <w:rsid w:val="00761505"/>
    <w:rsid w:val="007619D0"/>
    <w:rsid w:val="0076257F"/>
    <w:rsid w:val="00762733"/>
    <w:rsid w:val="00762D3C"/>
    <w:rsid w:val="00762F07"/>
    <w:rsid w:val="00763552"/>
    <w:rsid w:val="00763721"/>
    <w:rsid w:val="00763FFE"/>
    <w:rsid w:val="007649EF"/>
    <w:rsid w:val="007670B9"/>
    <w:rsid w:val="00770B9F"/>
    <w:rsid w:val="00771868"/>
    <w:rsid w:val="00771AA2"/>
    <w:rsid w:val="00772648"/>
    <w:rsid w:val="00772A7D"/>
    <w:rsid w:val="00773613"/>
    <w:rsid w:val="00774A76"/>
    <w:rsid w:val="00775887"/>
    <w:rsid w:val="00775E29"/>
    <w:rsid w:val="007760A1"/>
    <w:rsid w:val="007769B0"/>
    <w:rsid w:val="00776D09"/>
    <w:rsid w:val="007808CC"/>
    <w:rsid w:val="00780EA8"/>
    <w:rsid w:val="00781384"/>
    <w:rsid w:val="00781E3E"/>
    <w:rsid w:val="007845C5"/>
    <w:rsid w:val="0078628E"/>
    <w:rsid w:val="00786AC9"/>
    <w:rsid w:val="007873F8"/>
    <w:rsid w:val="00790001"/>
    <w:rsid w:val="007903FE"/>
    <w:rsid w:val="00790D4C"/>
    <w:rsid w:val="00790D77"/>
    <w:rsid w:val="00791005"/>
    <w:rsid w:val="00792BB9"/>
    <w:rsid w:val="00793335"/>
    <w:rsid w:val="007934DE"/>
    <w:rsid w:val="00793644"/>
    <w:rsid w:val="00793F36"/>
    <w:rsid w:val="00795400"/>
    <w:rsid w:val="007961EF"/>
    <w:rsid w:val="007964A5"/>
    <w:rsid w:val="00796A01"/>
    <w:rsid w:val="007A0C34"/>
    <w:rsid w:val="007A13D0"/>
    <w:rsid w:val="007A186B"/>
    <w:rsid w:val="007A289E"/>
    <w:rsid w:val="007A368E"/>
    <w:rsid w:val="007A45C9"/>
    <w:rsid w:val="007A4BC1"/>
    <w:rsid w:val="007A51F8"/>
    <w:rsid w:val="007A7037"/>
    <w:rsid w:val="007A742A"/>
    <w:rsid w:val="007B0BA4"/>
    <w:rsid w:val="007B0E29"/>
    <w:rsid w:val="007B134B"/>
    <w:rsid w:val="007B14B7"/>
    <w:rsid w:val="007B1673"/>
    <w:rsid w:val="007B28B8"/>
    <w:rsid w:val="007B2E53"/>
    <w:rsid w:val="007B3012"/>
    <w:rsid w:val="007B3FDC"/>
    <w:rsid w:val="007B4662"/>
    <w:rsid w:val="007B4D44"/>
    <w:rsid w:val="007B50A9"/>
    <w:rsid w:val="007B5630"/>
    <w:rsid w:val="007B6988"/>
    <w:rsid w:val="007B7E21"/>
    <w:rsid w:val="007C0F73"/>
    <w:rsid w:val="007C1533"/>
    <w:rsid w:val="007C1726"/>
    <w:rsid w:val="007C1F19"/>
    <w:rsid w:val="007C348C"/>
    <w:rsid w:val="007C5912"/>
    <w:rsid w:val="007C5F11"/>
    <w:rsid w:val="007C660B"/>
    <w:rsid w:val="007C7822"/>
    <w:rsid w:val="007C7C5A"/>
    <w:rsid w:val="007D0346"/>
    <w:rsid w:val="007D1940"/>
    <w:rsid w:val="007D1BA6"/>
    <w:rsid w:val="007D1E8C"/>
    <w:rsid w:val="007D20E6"/>
    <w:rsid w:val="007D242D"/>
    <w:rsid w:val="007D30A7"/>
    <w:rsid w:val="007D3713"/>
    <w:rsid w:val="007D4335"/>
    <w:rsid w:val="007D5B2D"/>
    <w:rsid w:val="007D5DEF"/>
    <w:rsid w:val="007D63D8"/>
    <w:rsid w:val="007D6BDE"/>
    <w:rsid w:val="007D70AC"/>
    <w:rsid w:val="007E065F"/>
    <w:rsid w:val="007E0BC1"/>
    <w:rsid w:val="007E120C"/>
    <w:rsid w:val="007E1313"/>
    <w:rsid w:val="007E24C8"/>
    <w:rsid w:val="007E2958"/>
    <w:rsid w:val="007E2B4E"/>
    <w:rsid w:val="007E43B0"/>
    <w:rsid w:val="007E497D"/>
    <w:rsid w:val="007E4A43"/>
    <w:rsid w:val="007E737E"/>
    <w:rsid w:val="007E7870"/>
    <w:rsid w:val="007E7A2A"/>
    <w:rsid w:val="007E7FB6"/>
    <w:rsid w:val="007F1AB9"/>
    <w:rsid w:val="007F1DD9"/>
    <w:rsid w:val="007F2211"/>
    <w:rsid w:val="007F2B9C"/>
    <w:rsid w:val="007F2CAF"/>
    <w:rsid w:val="007F2D1E"/>
    <w:rsid w:val="007F2D52"/>
    <w:rsid w:val="007F3A19"/>
    <w:rsid w:val="007F494D"/>
    <w:rsid w:val="007F5689"/>
    <w:rsid w:val="007F5ADE"/>
    <w:rsid w:val="007F78ED"/>
    <w:rsid w:val="007F7917"/>
    <w:rsid w:val="007F7F4C"/>
    <w:rsid w:val="00800314"/>
    <w:rsid w:val="008004BB"/>
    <w:rsid w:val="00800575"/>
    <w:rsid w:val="00801822"/>
    <w:rsid w:val="00801FD9"/>
    <w:rsid w:val="00802776"/>
    <w:rsid w:val="00802D7A"/>
    <w:rsid w:val="008034F1"/>
    <w:rsid w:val="00803A0B"/>
    <w:rsid w:val="00805696"/>
    <w:rsid w:val="00806B16"/>
    <w:rsid w:val="00806BCE"/>
    <w:rsid w:val="008075DF"/>
    <w:rsid w:val="008100C3"/>
    <w:rsid w:val="008102CF"/>
    <w:rsid w:val="0081147A"/>
    <w:rsid w:val="00811658"/>
    <w:rsid w:val="008118ED"/>
    <w:rsid w:val="00811973"/>
    <w:rsid w:val="00813771"/>
    <w:rsid w:val="00814665"/>
    <w:rsid w:val="0081555C"/>
    <w:rsid w:val="00816245"/>
    <w:rsid w:val="008165C9"/>
    <w:rsid w:val="00816BDC"/>
    <w:rsid w:val="00816E86"/>
    <w:rsid w:val="00817CC5"/>
    <w:rsid w:val="00817CD1"/>
    <w:rsid w:val="00817FA3"/>
    <w:rsid w:val="0082002E"/>
    <w:rsid w:val="008213F0"/>
    <w:rsid w:val="00822B77"/>
    <w:rsid w:val="008236D1"/>
    <w:rsid w:val="00823E0E"/>
    <w:rsid w:val="0082490E"/>
    <w:rsid w:val="00824C78"/>
    <w:rsid w:val="00825E72"/>
    <w:rsid w:val="00825FE5"/>
    <w:rsid w:val="00826493"/>
    <w:rsid w:val="00826E31"/>
    <w:rsid w:val="0082781E"/>
    <w:rsid w:val="00827A2C"/>
    <w:rsid w:val="00827D48"/>
    <w:rsid w:val="0083003D"/>
    <w:rsid w:val="00830244"/>
    <w:rsid w:val="008306B8"/>
    <w:rsid w:val="00830CDB"/>
    <w:rsid w:val="00832FDB"/>
    <w:rsid w:val="00833198"/>
    <w:rsid w:val="008334D9"/>
    <w:rsid w:val="00834E93"/>
    <w:rsid w:val="00835771"/>
    <w:rsid w:val="00837454"/>
    <w:rsid w:val="00840371"/>
    <w:rsid w:val="00840437"/>
    <w:rsid w:val="008404F8"/>
    <w:rsid w:val="00840AC3"/>
    <w:rsid w:val="008418E4"/>
    <w:rsid w:val="00841A8C"/>
    <w:rsid w:val="008442F2"/>
    <w:rsid w:val="0084458F"/>
    <w:rsid w:val="00844B57"/>
    <w:rsid w:val="00844C91"/>
    <w:rsid w:val="0084664A"/>
    <w:rsid w:val="008474C8"/>
    <w:rsid w:val="008476F3"/>
    <w:rsid w:val="0085017D"/>
    <w:rsid w:val="0085027A"/>
    <w:rsid w:val="00850978"/>
    <w:rsid w:val="00850ABB"/>
    <w:rsid w:val="00851572"/>
    <w:rsid w:val="00851644"/>
    <w:rsid w:val="008522A0"/>
    <w:rsid w:val="00852FCB"/>
    <w:rsid w:val="00853212"/>
    <w:rsid w:val="0085614B"/>
    <w:rsid w:val="008571A1"/>
    <w:rsid w:val="00857317"/>
    <w:rsid w:val="008575E4"/>
    <w:rsid w:val="00861397"/>
    <w:rsid w:val="0086174B"/>
    <w:rsid w:val="00861795"/>
    <w:rsid w:val="00861D30"/>
    <w:rsid w:val="00861E05"/>
    <w:rsid w:val="00862499"/>
    <w:rsid w:val="008637AA"/>
    <w:rsid w:val="0086431A"/>
    <w:rsid w:val="00864AB7"/>
    <w:rsid w:val="00864B62"/>
    <w:rsid w:val="00865683"/>
    <w:rsid w:val="00867C09"/>
    <w:rsid w:val="008700AB"/>
    <w:rsid w:val="00870E7A"/>
    <w:rsid w:val="008712A0"/>
    <w:rsid w:val="008722B5"/>
    <w:rsid w:val="0087263E"/>
    <w:rsid w:val="00872B65"/>
    <w:rsid w:val="008735C3"/>
    <w:rsid w:val="00873C89"/>
    <w:rsid w:val="00874635"/>
    <w:rsid w:val="0087465D"/>
    <w:rsid w:val="008753E2"/>
    <w:rsid w:val="008758FF"/>
    <w:rsid w:val="00875E4E"/>
    <w:rsid w:val="008768D2"/>
    <w:rsid w:val="00876FBC"/>
    <w:rsid w:val="0087716B"/>
    <w:rsid w:val="00877248"/>
    <w:rsid w:val="0087744F"/>
    <w:rsid w:val="008812D8"/>
    <w:rsid w:val="00881446"/>
    <w:rsid w:val="00881621"/>
    <w:rsid w:val="00882361"/>
    <w:rsid w:val="00882437"/>
    <w:rsid w:val="00882E42"/>
    <w:rsid w:val="0088380C"/>
    <w:rsid w:val="00883B97"/>
    <w:rsid w:val="00884018"/>
    <w:rsid w:val="0088417B"/>
    <w:rsid w:val="008843B7"/>
    <w:rsid w:val="0088500F"/>
    <w:rsid w:val="00885FA3"/>
    <w:rsid w:val="00886C1D"/>
    <w:rsid w:val="00887F79"/>
    <w:rsid w:val="00890213"/>
    <w:rsid w:val="008913EC"/>
    <w:rsid w:val="00891B40"/>
    <w:rsid w:val="00891C5D"/>
    <w:rsid w:val="00891E24"/>
    <w:rsid w:val="00892285"/>
    <w:rsid w:val="0089258B"/>
    <w:rsid w:val="00893EFE"/>
    <w:rsid w:val="0089424A"/>
    <w:rsid w:val="00894513"/>
    <w:rsid w:val="00894B3E"/>
    <w:rsid w:val="00895716"/>
    <w:rsid w:val="0089602D"/>
    <w:rsid w:val="0089646D"/>
    <w:rsid w:val="0089662A"/>
    <w:rsid w:val="00896C29"/>
    <w:rsid w:val="00896FCC"/>
    <w:rsid w:val="00896FEA"/>
    <w:rsid w:val="00897DDC"/>
    <w:rsid w:val="008A0D2B"/>
    <w:rsid w:val="008A15CF"/>
    <w:rsid w:val="008A1D31"/>
    <w:rsid w:val="008A1EB6"/>
    <w:rsid w:val="008A250D"/>
    <w:rsid w:val="008A3568"/>
    <w:rsid w:val="008A4305"/>
    <w:rsid w:val="008A55DC"/>
    <w:rsid w:val="008A5FB3"/>
    <w:rsid w:val="008B0008"/>
    <w:rsid w:val="008B09FD"/>
    <w:rsid w:val="008B1B2D"/>
    <w:rsid w:val="008B2197"/>
    <w:rsid w:val="008B2655"/>
    <w:rsid w:val="008B29E0"/>
    <w:rsid w:val="008B3C92"/>
    <w:rsid w:val="008B504F"/>
    <w:rsid w:val="008B5844"/>
    <w:rsid w:val="008B6308"/>
    <w:rsid w:val="008B691D"/>
    <w:rsid w:val="008C018C"/>
    <w:rsid w:val="008C1191"/>
    <w:rsid w:val="008C1723"/>
    <w:rsid w:val="008C25FA"/>
    <w:rsid w:val="008C4135"/>
    <w:rsid w:val="008C4AE8"/>
    <w:rsid w:val="008C6197"/>
    <w:rsid w:val="008C636D"/>
    <w:rsid w:val="008C6A3A"/>
    <w:rsid w:val="008D02B6"/>
    <w:rsid w:val="008D0BCE"/>
    <w:rsid w:val="008D182F"/>
    <w:rsid w:val="008D2701"/>
    <w:rsid w:val="008D2DF2"/>
    <w:rsid w:val="008D39EF"/>
    <w:rsid w:val="008D411E"/>
    <w:rsid w:val="008D5260"/>
    <w:rsid w:val="008D573A"/>
    <w:rsid w:val="008D5D25"/>
    <w:rsid w:val="008D6588"/>
    <w:rsid w:val="008D6767"/>
    <w:rsid w:val="008D6AFD"/>
    <w:rsid w:val="008D71D0"/>
    <w:rsid w:val="008E03E2"/>
    <w:rsid w:val="008E046E"/>
    <w:rsid w:val="008E0A93"/>
    <w:rsid w:val="008E1E50"/>
    <w:rsid w:val="008E43B0"/>
    <w:rsid w:val="008E43E2"/>
    <w:rsid w:val="008E51B6"/>
    <w:rsid w:val="008E5377"/>
    <w:rsid w:val="008E5386"/>
    <w:rsid w:val="008E581E"/>
    <w:rsid w:val="008E59F7"/>
    <w:rsid w:val="008E627F"/>
    <w:rsid w:val="008E637C"/>
    <w:rsid w:val="008F0A11"/>
    <w:rsid w:val="008F0E52"/>
    <w:rsid w:val="008F1AB1"/>
    <w:rsid w:val="008F3D1A"/>
    <w:rsid w:val="008F3EED"/>
    <w:rsid w:val="008F454F"/>
    <w:rsid w:val="008F6F42"/>
    <w:rsid w:val="008F71EE"/>
    <w:rsid w:val="009002D3"/>
    <w:rsid w:val="00900A19"/>
    <w:rsid w:val="0090120C"/>
    <w:rsid w:val="00901F9B"/>
    <w:rsid w:val="009020DA"/>
    <w:rsid w:val="00902D5E"/>
    <w:rsid w:val="00902F3B"/>
    <w:rsid w:val="00903404"/>
    <w:rsid w:val="00903BCA"/>
    <w:rsid w:val="0090494B"/>
    <w:rsid w:val="00904B85"/>
    <w:rsid w:val="00904EAA"/>
    <w:rsid w:val="00905291"/>
    <w:rsid w:val="009055AF"/>
    <w:rsid w:val="00910C4C"/>
    <w:rsid w:val="0091100E"/>
    <w:rsid w:val="009111FF"/>
    <w:rsid w:val="009131D1"/>
    <w:rsid w:val="009135D9"/>
    <w:rsid w:val="009136A2"/>
    <w:rsid w:val="00914A5D"/>
    <w:rsid w:val="00916A8A"/>
    <w:rsid w:val="00916D3C"/>
    <w:rsid w:val="00916E02"/>
    <w:rsid w:val="0091726D"/>
    <w:rsid w:val="00917386"/>
    <w:rsid w:val="00917B8D"/>
    <w:rsid w:val="009216EC"/>
    <w:rsid w:val="00921832"/>
    <w:rsid w:val="00922B15"/>
    <w:rsid w:val="009242A3"/>
    <w:rsid w:val="009243D3"/>
    <w:rsid w:val="009244F0"/>
    <w:rsid w:val="0092546F"/>
    <w:rsid w:val="009254F4"/>
    <w:rsid w:val="00927AAF"/>
    <w:rsid w:val="00931621"/>
    <w:rsid w:val="00931E6B"/>
    <w:rsid w:val="0093269F"/>
    <w:rsid w:val="00932C54"/>
    <w:rsid w:val="00933F53"/>
    <w:rsid w:val="00934413"/>
    <w:rsid w:val="00934C05"/>
    <w:rsid w:val="00935899"/>
    <w:rsid w:val="00936A88"/>
    <w:rsid w:val="00940474"/>
    <w:rsid w:val="00940D8E"/>
    <w:rsid w:val="009418BE"/>
    <w:rsid w:val="00941938"/>
    <w:rsid w:val="00942225"/>
    <w:rsid w:val="00942755"/>
    <w:rsid w:val="009436EF"/>
    <w:rsid w:val="00943959"/>
    <w:rsid w:val="0094530F"/>
    <w:rsid w:val="0094582E"/>
    <w:rsid w:val="00945BF6"/>
    <w:rsid w:val="00946404"/>
    <w:rsid w:val="00946517"/>
    <w:rsid w:val="0094664C"/>
    <w:rsid w:val="0094702C"/>
    <w:rsid w:val="00947627"/>
    <w:rsid w:val="00950EA5"/>
    <w:rsid w:val="00951641"/>
    <w:rsid w:val="00952236"/>
    <w:rsid w:val="00952810"/>
    <w:rsid w:val="00952F7C"/>
    <w:rsid w:val="00953451"/>
    <w:rsid w:val="009539BF"/>
    <w:rsid w:val="00953F1C"/>
    <w:rsid w:val="00954365"/>
    <w:rsid w:val="009544ED"/>
    <w:rsid w:val="009545F8"/>
    <w:rsid w:val="0095470D"/>
    <w:rsid w:val="00954884"/>
    <w:rsid w:val="00954F84"/>
    <w:rsid w:val="00955C6D"/>
    <w:rsid w:val="00956B69"/>
    <w:rsid w:val="009570FC"/>
    <w:rsid w:val="00957AD6"/>
    <w:rsid w:val="00961735"/>
    <w:rsid w:val="0096177C"/>
    <w:rsid w:val="009624A3"/>
    <w:rsid w:val="0096281B"/>
    <w:rsid w:val="009632B6"/>
    <w:rsid w:val="00964932"/>
    <w:rsid w:val="009649B2"/>
    <w:rsid w:val="00964BF6"/>
    <w:rsid w:val="009654A3"/>
    <w:rsid w:val="00966023"/>
    <w:rsid w:val="009670CA"/>
    <w:rsid w:val="00967AAC"/>
    <w:rsid w:val="0097043D"/>
    <w:rsid w:val="009711AB"/>
    <w:rsid w:val="00971A81"/>
    <w:rsid w:val="00971C4C"/>
    <w:rsid w:val="00972264"/>
    <w:rsid w:val="00972410"/>
    <w:rsid w:val="009737BD"/>
    <w:rsid w:val="00974497"/>
    <w:rsid w:val="00974A27"/>
    <w:rsid w:val="00975B84"/>
    <w:rsid w:val="00976160"/>
    <w:rsid w:val="009763F7"/>
    <w:rsid w:val="009765B0"/>
    <w:rsid w:val="00976AE0"/>
    <w:rsid w:val="00977308"/>
    <w:rsid w:val="00977F1E"/>
    <w:rsid w:val="00977FE3"/>
    <w:rsid w:val="0098035B"/>
    <w:rsid w:val="009816F6"/>
    <w:rsid w:val="0098192B"/>
    <w:rsid w:val="009820F6"/>
    <w:rsid w:val="009838F6"/>
    <w:rsid w:val="00984CDA"/>
    <w:rsid w:val="009859E6"/>
    <w:rsid w:val="00985F35"/>
    <w:rsid w:val="00985FCD"/>
    <w:rsid w:val="00987362"/>
    <w:rsid w:val="00987F57"/>
    <w:rsid w:val="009907F9"/>
    <w:rsid w:val="00990B8A"/>
    <w:rsid w:val="009912E9"/>
    <w:rsid w:val="009915D7"/>
    <w:rsid w:val="00991D18"/>
    <w:rsid w:val="00992301"/>
    <w:rsid w:val="00992B52"/>
    <w:rsid w:val="009939FF"/>
    <w:rsid w:val="0099549B"/>
    <w:rsid w:val="00995DB7"/>
    <w:rsid w:val="00996399"/>
    <w:rsid w:val="009A057A"/>
    <w:rsid w:val="009A1526"/>
    <w:rsid w:val="009A3111"/>
    <w:rsid w:val="009A35BA"/>
    <w:rsid w:val="009A39C4"/>
    <w:rsid w:val="009A3B76"/>
    <w:rsid w:val="009A66D6"/>
    <w:rsid w:val="009A6DD7"/>
    <w:rsid w:val="009A71C2"/>
    <w:rsid w:val="009A725B"/>
    <w:rsid w:val="009A77C3"/>
    <w:rsid w:val="009A7BFB"/>
    <w:rsid w:val="009B057B"/>
    <w:rsid w:val="009B1421"/>
    <w:rsid w:val="009B197C"/>
    <w:rsid w:val="009B1B5F"/>
    <w:rsid w:val="009B2DE3"/>
    <w:rsid w:val="009B41E5"/>
    <w:rsid w:val="009B48FA"/>
    <w:rsid w:val="009B52ED"/>
    <w:rsid w:val="009B6A5D"/>
    <w:rsid w:val="009B72DD"/>
    <w:rsid w:val="009B7DAC"/>
    <w:rsid w:val="009C2A94"/>
    <w:rsid w:val="009C2B7E"/>
    <w:rsid w:val="009C31DD"/>
    <w:rsid w:val="009C35E5"/>
    <w:rsid w:val="009C38C0"/>
    <w:rsid w:val="009C3A40"/>
    <w:rsid w:val="009C46C7"/>
    <w:rsid w:val="009C4D93"/>
    <w:rsid w:val="009C72C5"/>
    <w:rsid w:val="009C7AE2"/>
    <w:rsid w:val="009C7B21"/>
    <w:rsid w:val="009D02D1"/>
    <w:rsid w:val="009D07B9"/>
    <w:rsid w:val="009D113D"/>
    <w:rsid w:val="009D2A31"/>
    <w:rsid w:val="009D2BC8"/>
    <w:rsid w:val="009D3AD8"/>
    <w:rsid w:val="009D6243"/>
    <w:rsid w:val="009D660E"/>
    <w:rsid w:val="009D6A8E"/>
    <w:rsid w:val="009D6C0F"/>
    <w:rsid w:val="009D7159"/>
    <w:rsid w:val="009D7AFD"/>
    <w:rsid w:val="009E05DF"/>
    <w:rsid w:val="009E069F"/>
    <w:rsid w:val="009E0E66"/>
    <w:rsid w:val="009E1102"/>
    <w:rsid w:val="009E11F8"/>
    <w:rsid w:val="009E3282"/>
    <w:rsid w:val="009E3FE4"/>
    <w:rsid w:val="009E43AB"/>
    <w:rsid w:val="009E43E6"/>
    <w:rsid w:val="009E4659"/>
    <w:rsid w:val="009E5071"/>
    <w:rsid w:val="009E5422"/>
    <w:rsid w:val="009E5DC7"/>
    <w:rsid w:val="009E6139"/>
    <w:rsid w:val="009E618E"/>
    <w:rsid w:val="009E64BA"/>
    <w:rsid w:val="009F01F1"/>
    <w:rsid w:val="009F03CD"/>
    <w:rsid w:val="009F27DB"/>
    <w:rsid w:val="009F282D"/>
    <w:rsid w:val="009F2F83"/>
    <w:rsid w:val="009F466E"/>
    <w:rsid w:val="009F4767"/>
    <w:rsid w:val="009F5B6A"/>
    <w:rsid w:val="009F5B9F"/>
    <w:rsid w:val="009F5D50"/>
    <w:rsid w:val="009F7123"/>
    <w:rsid w:val="009F762C"/>
    <w:rsid w:val="009F78CA"/>
    <w:rsid w:val="00A00F0C"/>
    <w:rsid w:val="00A0133F"/>
    <w:rsid w:val="00A023E3"/>
    <w:rsid w:val="00A03279"/>
    <w:rsid w:val="00A03485"/>
    <w:rsid w:val="00A03768"/>
    <w:rsid w:val="00A038A6"/>
    <w:rsid w:val="00A03BCF"/>
    <w:rsid w:val="00A040CC"/>
    <w:rsid w:val="00A0665A"/>
    <w:rsid w:val="00A07044"/>
    <w:rsid w:val="00A074F8"/>
    <w:rsid w:val="00A075A4"/>
    <w:rsid w:val="00A07E1E"/>
    <w:rsid w:val="00A10A3B"/>
    <w:rsid w:val="00A10CA3"/>
    <w:rsid w:val="00A10D7B"/>
    <w:rsid w:val="00A11132"/>
    <w:rsid w:val="00A1116A"/>
    <w:rsid w:val="00A1227A"/>
    <w:rsid w:val="00A1270A"/>
    <w:rsid w:val="00A128BB"/>
    <w:rsid w:val="00A135F5"/>
    <w:rsid w:val="00A13C1D"/>
    <w:rsid w:val="00A143BC"/>
    <w:rsid w:val="00A15181"/>
    <w:rsid w:val="00A15D5A"/>
    <w:rsid w:val="00A16D92"/>
    <w:rsid w:val="00A17A7F"/>
    <w:rsid w:val="00A17F93"/>
    <w:rsid w:val="00A2141F"/>
    <w:rsid w:val="00A214BF"/>
    <w:rsid w:val="00A21C38"/>
    <w:rsid w:val="00A224EE"/>
    <w:rsid w:val="00A2352E"/>
    <w:rsid w:val="00A238D2"/>
    <w:rsid w:val="00A238EC"/>
    <w:rsid w:val="00A23FA6"/>
    <w:rsid w:val="00A246CF"/>
    <w:rsid w:val="00A24FBD"/>
    <w:rsid w:val="00A2516C"/>
    <w:rsid w:val="00A25723"/>
    <w:rsid w:val="00A26086"/>
    <w:rsid w:val="00A263BE"/>
    <w:rsid w:val="00A2661B"/>
    <w:rsid w:val="00A2720C"/>
    <w:rsid w:val="00A308F3"/>
    <w:rsid w:val="00A311F2"/>
    <w:rsid w:val="00A31EFE"/>
    <w:rsid w:val="00A31FA1"/>
    <w:rsid w:val="00A32B40"/>
    <w:rsid w:val="00A32CEB"/>
    <w:rsid w:val="00A3529E"/>
    <w:rsid w:val="00A36784"/>
    <w:rsid w:val="00A373FC"/>
    <w:rsid w:val="00A37C63"/>
    <w:rsid w:val="00A37F74"/>
    <w:rsid w:val="00A40085"/>
    <w:rsid w:val="00A4017D"/>
    <w:rsid w:val="00A40A41"/>
    <w:rsid w:val="00A40D97"/>
    <w:rsid w:val="00A42001"/>
    <w:rsid w:val="00A4250E"/>
    <w:rsid w:val="00A42D44"/>
    <w:rsid w:val="00A43E2A"/>
    <w:rsid w:val="00A44817"/>
    <w:rsid w:val="00A44FB6"/>
    <w:rsid w:val="00A470C7"/>
    <w:rsid w:val="00A50751"/>
    <w:rsid w:val="00A50C13"/>
    <w:rsid w:val="00A51C00"/>
    <w:rsid w:val="00A5332F"/>
    <w:rsid w:val="00A53FC2"/>
    <w:rsid w:val="00A545F6"/>
    <w:rsid w:val="00A5560E"/>
    <w:rsid w:val="00A55715"/>
    <w:rsid w:val="00A56158"/>
    <w:rsid w:val="00A56A53"/>
    <w:rsid w:val="00A6174F"/>
    <w:rsid w:val="00A6261F"/>
    <w:rsid w:val="00A63F39"/>
    <w:rsid w:val="00A63F66"/>
    <w:rsid w:val="00A6413C"/>
    <w:rsid w:val="00A646C6"/>
    <w:rsid w:val="00A65766"/>
    <w:rsid w:val="00A658BF"/>
    <w:rsid w:val="00A673D3"/>
    <w:rsid w:val="00A6769B"/>
    <w:rsid w:val="00A67E22"/>
    <w:rsid w:val="00A67FA8"/>
    <w:rsid w:val="00A70B91"/>
    <w:rsid w:val="00A70BEF"/>
    <w:rsid w:val="00A70C46"/>
    <w:rsid w:val="00A70CCE"/>
    <w:rsid w:val="00A70F71"/>
    <w:rsid w:val="00A716B2"/>
    <w:rsid w:val="00A72981"/>
    <w:rsid w:val="00A734E4"/>
    <w:rsid w:val="00A74514"/>
    <w:rsid w:val="00A74819"/>
    <w:rsid w:val="00A764DD"/>
    <w:rsid w:val="00A766BC"/>
    <w:rsid w:val="00A770BA"/>
    <w:rsid w:val="00A77EC2"/>
    <w:rsid w:val="00A80536"/>
    <w:rsid w:val="00A81448"/>
    <w:rsid w:val="00A81AA1"/>
    <w:rsid w:val="00A81BC4"/>
    <w:rsid w:val="00A8391F"/>
    <w:rsid w:val="00A83F53"/>
    <w:rsid w:val="00A846BA"/>
    <w:rsid w:val="00A852F3"/>
    <w:rsid w:val="00A857E3"/>
    <w:rsid w:val="00A86002"/>
    <w:rsid w:val="00A86118"/>
    <w:rsid w:val="00A8649A"/>
    <w:rsid w:val="00A87AEE"/>
    <w:rsid w:val="00A87C34"/>
    <w:rsid w:val="00A901B5"/>
    <w:rsid w:val="00A9061C"/>
    <w:rsid w:val="00A915F7"/>
    <w:rsid w:val="00A932F7"/>
    <w:rsid w:val="00A95398"/>
    <w:rsid w:val="00A9623D"/>
    <w:rsid w:val="00A9686C"/>
    <w:rsid w:val="00A96FA6"/>
    <w:rsid w:val="00A97898"/>
    <w:rsid w:val="00A97DF3"/>
    <w:rsid w:val="00AA037D"/>
    <w:rsid w:val="00AA09F9"/>
    <w:rsid w:val="00AA137F"/>
    <w:rsid w:val="00AA13C0"/>
    <w:rsid w:val="00AA2A41"/>
    <w:rsid w:val="00AA2A9C"/>
    <w:rsid w:val="00AA348F"/>
    <w:rsid w:val="00AA34A6"/>
    <w:rsid w:val="00AA4E7F"/>
    <w:rsid w:val="00AA4F2D"/>
    <w:rsid w:val="00AA640A"/>
    <w:rsid w:val="00AA6744"/>
    <w:rsid w:val="00AA67D8"/>
    <w:rsid w:val="00AA7DDF"/>
    <w:rsid w:val="00AB1CF6"/>
    <w:rsid w:val="00AB2643"/>
    <w:rsid w:val="00AB340C"/>
    <w:rsid w:val="00AB4AFB"/>
    <w:rsid w:val="00AB4BEA"/>
    <w:rsid w:val="00AB5373"/>
    <w:rsid w:val="00AB5E11"/>
    <w:rsid w:val="00AB6533"/>
    <w:rsid w:val="00AB73F1"/>
    <w:rsid w:val="00AB74F9"/>
    <w:rsid w:val="00AC002C"/>
    <w:rsid w:val="00AC0118"/>
    <w:rsid w:val="00AC082E"/>
    <w:rsid w:val="00AC0D4F"/>
    <w:rsid w:val="00AC1160"/>
    <w:rsid w:val="00AC285A"/>
    <w:rsid w:val="00AC2E0F"/>
    <w:rsid w:val="00AC3065"/>
    <w:rsid w:val="00AC42C5"/>
    <w:rsid w:val="00AC4BF0"/>
    <w:rsid w:val="00AC5107"/>
    <w:rsid w:val="00AC589A"/>
    <w:rsid w:val="00AC6B04"/>
    <w:rsid w:val="00AC776A"/>
    <w:rsid w:val="00AD027B"/>
    <w:rsid w:val="00AD2570"/>
    <w:rsid w:val="00AD3655"/>
    <w:rsid w:val="00AD50A8"/>
    <w:rsid w:val="00AD5107"/>
    <w:rsid w:val="00AD5D4F"/>
    <w:rsid w:val="00AD719A"/>
    <w:rsid w:val="00AD7F1A"/>
    <w:rsid w:val="00AE03D1"/>
    <w:rsid w:val="00AE20F5"/>
    <w:rsid w:val="00AE3CC1"/>
    <w:rsid w:val="00AE4642"/>
    <w:rsid w:val="00AE4679"/>
    <w:rsid w:val="00AE4A0A"/>
    <w:rsid w:val="00AE4EA3"/>
    <w:rsid w:val="00AE594B"/>
    <w:rsid w:val="00AE60FC"/>
    <w:rsid w:val="00AE6597"/>
    <w:rsid w:val="00AE7612"/>
    <w:rsid w:val="00AF0A2B"/>
    <w:rsid w:val="00AF1126"/>
    <w:rsid w:val="00AF13E4"/>
    <w:rsid w:val="00AF2331"/>
    <w:rsid w:val="00AF2C39"/>
    <w:rsid w:val="00AF3A92"/>
    <w:rsid w:val="00AF43D0"/>
    <w:rsid w:val="00AF4755"/>
    <w:rsid w:val="00AF49E1"/>
    <w:rsid w:val="00AF4A55"/>
    <w:rsid w:val="00AF4BF5"/>
    <w:rsid w:val="00AF4CFB"/>
    <w:rsid w:val="00AF5666"/>
    <w:rsid w:val="00AF694B"/>
    <w:rsid w:val="00AF6A3A"/>
    <w:rsid w:val="00AF6A82"/>
    <w:rsid w:val="00AF70D4"/>
    <w:rsid w:val="00B001DE"/>
    <w:rsid w:val="00B0135F"/>
    <w:rsid w:val="00B0194E"/>
    <w:rsid w:val="00B02738"/>
    <w:rsid w:val="00B04488"/>
    <w:rsid w:val="00B04F7B"/>
    <w:rsid w:val="00B05174"/>
    <w:rsid w:val="00B058D3"/>
    <w:rsid w:val="00B05D33"/>
    <w:rsid w:val="00B05FC3"/>
    <w:rsid w:val="00B067D3"/>
    <w:rsid w:val="00B07B86"/>
    <w:rsid w:val="00B07E1A"/>
    <w:rsid w:val="00B127C1"/>
    <w:rsid w:val="00B12BD2"/>
    <w:rsid w:val="00B12C52"/>
    <w:rsid w:val="00B12E6A"/>
    <w:rsid w:val="00B1362A"/>
    <w:rsid w:val="00B13E9F"/>
    <w:rsid w:val="00B1480D"/>
    <w:rsid w:val="00B15A86"/>
    <w:rsid w:val="00B15F85"/>
    <w:rsid w:val="00B17F9E"/>
    <w:rsid w:val="00B20225"/>
    <w:rsid w:val="00B2055E"/>
    <w:rsid w:val="00B216D7"/>
    <w:rsid w:val="00B218FB"/>
    <w:rsid w:val="00B21DD8"/>
    <w:rsid w:val="00B22C2D"/>
    <w:rsid w:val="00B244AC"/>
    <w:rsid w:val="00B24B6D"/>
    <w:rsid w:val="00B24FD1"/>
    <w:rsid w:val="00B25379"/>
    <w:rsid w:val="00B253AA"/>
    <w:rsid w:val="00B2543F"/>
    <w:rsid w:val="00B25B73"/>
    <w:rsid w:val="00B25E33"/>
    <w:rsid w:val="00B2672C"/>
    <w:rsid w:val="00B26FB9"/>
    <w:rsid w:val="00B26FDD"/>
    <w:rsid w:val="00B272E6"/>
    <w:rsid w:val="00B275A0"/>
    <w:rsid w:val="00B301C6"/>
    <w:rsid w:val="00B306B2"/>
    <w:rsid w:val="00B3235B"/>
    <w:rsid w:val="00B324EF"/>
    <w:rsid w:val="00B32C22"/>
    <w:rsid w:val="00B33188"/>
    <w:rsid w:val="00B33933"/>
    <w:rsid w:val="00B3466C"/>
    <w:rsid w:val="00B34815"/>
    <w:rsid w:val="00B34A83"/>
    <w:rsid w:val="00B34BFC"/>
    <w:rsid w:val="00B350E7"/>
    <w:rsid w:val="00B36403"/>
    <w:rsid w:val="00B3699F"/>
    <w:rsid w:val="00B37423"/>
    <w:rsid w:val="00B37FE4"/>
    <w:rsid w:val="00B402B7"/>
    <w:rsid w:val="00B4118E"/>
    <w:rsid w:val="00B423F0"/>
    <w:rsid w:val="00B42586"/>
    <w:rsid w:val="00B43E8C"/>
    <w:rsid w:val="00B445B8"/>
    <w:rsid w:val="00B44AC6"/>
    <w:rsid w:val="00B45BEB"/>
    <w:rsid w:val="00B45F59"/>
    <w:rsid w:val="00B46A72"/>
    <w:rsid w:val="00B4700A"/>
    <w:rsid w:val="00B5052F"/>
    <w:rsid w:val="00B50F78"/>
    <w:rsid w:val="00B518CF"/>
    <w:rsid w:val="00B51989"/>
    <w:rsid w:val="00B52BBD"/>
    <w:rsid w:val="00B53A83"/>
    <w:rsid w:val="00B53BE8"/>
    <w:rsid w:val="00B53F9F"/>
    <w:rsid w:val="00B554F2"/>
    <w:rsid w:val="00B5569A"/>
    <w:rsid w:val="00B55F37"/>
    <w:rsid w:val="00B566C8"/>
    <w:rsid w:val="00B57EF8"/>
    <w:rsid w:val="00B608E7"/>
    <w:rsid w:val="00B628BF"/>
    <w:rsid w:val="00B636AA"/>
    <w:rsid w:val="00B63B03"/>
    <w:rsid w:val="00B64988"/>
    <w:rsid w:val="00B66134"/>
    <w:rsid w:val="00B66CB9"/>
    <w:rsid w:val="00B66F41"/>
    <w:rsid w:val="00B71516"/>
    <w:rsid w:val="00B71606"/>
    <w:rsid w:val="00B7199F"/>
    <w:rsid w:val="00B72761"/>
    <w:rsid w:val="00B72ECF"/>
    <w:rsid w:val="00B7359B"/>
    <w:rsid w:val="00B73DD8"/>
    <w:rsid w:val="00B745D1"/>
    <w:rsid w:val="00B74F42"/>
    <w:rsid w:val="00B74FDC"/>
    <w:rsid w:val="00B76369"/>
    <w:rsid w:val="00B77286"/>
    <w:rsid w:val="00B814B7"/>
    <w:rsid w:val="00B8166C"/>
    <w:rsid w:val="00B82325"/>
    <w:rsid w:val="00B82CC4"/>
    <w:rsid w:val="00B82D22"/>
    <w:rsid w:val="00B82E01"/>
    <w:rsid w:val="00B8415D"/>
    <w:rsid w:val="00B8453E"/>
    <w:rsid w:val="00B84611"/>
    <w:rsid w:val="00B8679A"/>
    <w:rsid w:val="00B86D28"/>
    <w:rsid w:val="00B87173"/>
    <w:rsid w:val="00B87B7A"/>
    <w:rsid w:val="00B910D2"/>
    <w:rsid w:val="00B916AA"/>
    <w:rsid w:val="00B93BB0"/>
    <w:rsid w:val="00B93E04"/>
    <w:rsid w:val="00B940B7"/>
    <w:rsid w:val="00B94A24"/>
    <w:rsid w:val="00B94FF0"/>
    <w:rsid w:val="00B95643"/>
    <w:rsid w:val="00B9576D"/>
    <w:rsid w:val="00B95C20"/>
    <w:rsid w:val="00B9650C"/>
    <w:rsid w:val="00B96AA6"/>
    <w:rsid w:val="00B96B39"/>
    <w:rsid w:val="00B9728A"/>
    <w:rsid w:val="00B97E15"/>
    <w:rsid w:val="00BA041A"/>
    <w:rsid w:val="00BA1A2F"/>
    <w:rsid w:val="00BA25FE"/>
    <w:rsid w:val="00BA451D"/>
    <w:rsid w:val="00BA49AE"/>
    <w:rsid w:val="00BA6F74"/>
    <w:rsid w:val="00BA70D4"/>
    <w:rsid w:val="00BA761C"/>
    <w:rsid w:val="00BB08AE"/>
    <w:rsid w:val="00BB0915"/>
    <w:rsid w:val="00BB0C8C"/>
    <w:rsid w:val="00BB0FAB"/>
    <w:rsid w:val="00BB184E"/>
    <w:rsid w:val="00BB228E"/>
    <w:rsid w:val="00BB2BC9"/>
    <w:rsid w:val="00BB2BD0"/>
    <w:rsid w:val="00BB46B9"/>
    <w:rsid w:val="00BB52A0"/>
    <w:rsid w:val="00BB5775"/>
    <w:rsid w:val="00BB5AF0"/>
    <w:rsid w:val="00BB657C"/>
    <w:rsid w:val="00BB6730"/>
    <w:rsid w:val="00BB762B"/>
    <w:rsid w:val="00BB773C"/>
    <w:rsid w:val="00BB783A"/>
    <w:rsid w:val="00BB78BD"/>
    <w:rsid w:val="00BC0007"/>
    <w:rsid w:val="00BC0569"/>
    <w:rsid w:val="00BC063C"/>
    <w:rsid w:val="00BC0842"/>
    <w:rsid w:val="00BC0CAA"/>
    <w:rsid w:val="00BC0EA3"/>
    <w:rsid w:val="00BC1653"/>
    <w:rsid w:val="00BC2831"/>
    <w:rsid w:val="00BC2955"/>
    <w:rsid w:val="00BC3554"/>
    <w:rsid w:val="00BC7243"/>
    <w:rsid w:val="00BD01D9"/>
    <w:rsid w:val="00BD0546"/>
    <w:rsid w:val="00BD11FF"/>
    <w:rsid w:val="00BD3CD1"/>
    <w:rsid w:val="00BD53BA"/>
    <w:rsid w:val="00BD5E35"/>
    <w:rsid w:val="00BD649A"/>
    <w:rsid w:val="00BD6740"/>
    <w:rsid w:val="00BD6C0A"/>
    <w:rsid w:val="00BE087E"/>
    <w:rsid w:val="00BE0881"/>
    <w:rsid w:val="00BE1BC7"/>
    <w:rsid w:val="00BE254D"/>
    <w:rsid w:val="00BE254F"/>
    <w:rsid w:val="00BE2AA9"/>
    <w:rsid w:val="00BE2EFC"/>
    <w:rsid w:val="00BE42CC"/>
    <w:rsid w:val="00BE4F1C"/>
    <w:rsid w:val="00BE5A1D"/>
    <w:rsid w:val="00BE5CE0"/>
    <w:rsid w:val="00BE5DC4"/>
    <w:rsid w:val="00BE5FC7"/>
    <w:rsid w:val="00BE64A2"/>
    <w:rsid w:val="00BE78AF"/>
    <w:rsid w:val="00BF18B2"/>
    <w:rsid w:val="00BF1BB0"/>
    <w:rsid w:val="00BF1F1E"/>
    <w:rsid w:val="00BF3AAD"/>
    <w:rsid w:val="00BF50AE"/>
    <w:rsid w:val="00BF53D6"/>
    <w:rsid w:val="00BF558E"/>
    <w:rsid w:val="00BF631B"/>
    <w:rsid w:val="00BF676B"/>
    <w:rsid w:val="00BF6C08"/>
    <w:rsid w:val="00BF7807"/>
    <w:rsid w:val="00C0155B"/>
    <w:rsid w:val="00C025A0"/>
    <w:rsid w:val="00C030E5"/>
    <w:rsid w:val="00C034F0"/>
    <w:rsid w:val="00C03A0D"/>
    <w:rsid w:val="00C03AF0"/>
    <w:rsid w:val="00C03E68"/>
    <w:rsid w:val="00C0485A"/>
    <w:rsid w:val="00C04C3F"/>
    <w:rsid w:val="00C0550D"/>
    <w:rsid w:val="00C0555F"/>
    <w:rsid w:val="00C06381"/>
    <w:rsid w:val="00C068BA"/>
    <w:rsid w:val="00C10D48"/>
    <w:rsid w:val="00C1156E"/>
    <w:rsid w:val="00C12180"/>
    <w:rsid w:val="00C12EF2"/>
    <w:rsid w:val="00C132DD"/>
    <w:rsid w:val="00C14C16"/>
    <w:rsid w:val="00C1528F"/>
    <w:rsid w:val="00C157D5"/>
    <w:rsid w:val="00C16473"/>
    <w:rsid w:val="00C1692A"/>
    <w:rsid w:val="00C169DD"/>
    <w:rsid w:val="00C1765A"/>
    <w:rsid w:val="00C179A3"/>
    <w:rsid w:val="00C17ED9"/>
    <w:rsid w:val="00C2001F"/>
    <w:rsid w:val="00C20460"/>
    <w:rsid w:val="00C20B8F"/>
    <w:rsid w:val="00C21780"/>
    <w:rsid w:val="00C229B5"/>
    <w:rsid w:val="00C22A7A"/>
    <w:rsid w:val="00C22D5D"/>
    <w:rsid w:val="00C24103"/>
    <w:rsid w:val="00C244A0"/>
    <w:rsid w:val="00C249FF"/>
    <w:rsid w:val="00C259A1"/>
    <w:rsid w:val="00C26FFD"/>
    <w:rsid w:val="00C2700B"/>
    <w:rsid w:val="00C275F9"/>
    <w:rsid w:val="00C30665"/>
    <w:rsid w:val="00C30785"/>
    <w:rsid w:val="00C314C1"/>
    <w:rsid w:val="00C31BA7"/>
    <w:rsid w:val="00C3204B"/>
    <w:rsid w:val="00C320A0"/>
    <w:rsid w:val="00C3214E"/>
    <w:rsid w:val="00C32320"/>
    <w:rsid w:val="00C33800"/>
    <w:rsid w:val="00C34322"/>
    <w:rsid w:val="00C350C0"/>
    <w:rsid w:val="00C350D2"/>
    <w:rsid w:val="00C35277"/>
    <w:rsid w:val="00C35586"/>
    <w:rsid w:val="00C3643C"/>
    <w:rsid w:val="00C37312"/>
    <w:rsid w:val="00C377C2"/>
    <w:rsid w:val="00C37EBB"/>
    <w:rsid w:val="00C40228"/>
    <w:rsid w:val="00C405CE"/>
    <w:rsid w:val="00C40972"/>
    <w:rsid w:val="00C40AB7"/>
    <w:rsid w:val="00C4144F"/>
    <w:rsid w:val="00C414BE"/>
    <w:rsid w:val="00C43F23"/>
    <w:rsid w:val="00C44B53"/>
    <w:rsid w:val="00C451DA"/>
    <w:rsid w:val="00C4661C"/>
    <w:rsid w:val="00C46F16"/>
    <w:rsid w:val="00C47E3C"/>
    <w:rsid w:val="00C50822"/>
    <w:rsid w:val="00C50962"/>
    <w:rsid w:val="00C509E6"/>
    <w:rsid w:val="00C52954"/>
    <w:rsid w:val="00C53148"/>
    <w:rsid w:val="00C5324C"/>
    <w:rsid w:val="00C5515A"/>
    <w:rsid w:val="00C55CFD"/>
    <w:rsid w:val="00C56395"/>
    <w:rsid w:val="00C5682D"/>
    <w:rsid w:val="00C57605"/>
    <w:rsid w:val="00C600D0"/>
    <w:rsid w:val="00C60230"/>
    <w:rsid w:val="00C60541"/>
    <w:rsid w:val="00C60D44"/>
    <w:rsid w:val="00C61361"/>
    <w:rsid w:val="00C617E4"/>
    <w:rsid w:val="00C619A6"/>
    <w:rsid w:val="00C62995"/>
    <w:rsid w:val="00C63DFF"/>
    <w:rsid w:val="00C6425D"/>
    <w:rsid w:val="00C648BE"/>
    <w:rsid w:val="00C64A4D"/>
    <w:rsid w:val="00C64AAD"/>
    <w:rsid w:val="00C64AFD"/>
    <w:rsid w:val="00C64ECD"/>
    <w:rsid w:val="00C65028"/>
    <w:rsid w:val="00C654D0"/>
    <w:rsid w:val="00C65E6A"/>
    <w:rsid w:val="00C660BA"/>
    <w:rsid w:val="00C66286"/>
    <w:rsid w:val="00C66A47"/>
    <w:rsid w:val="00C66EB4"/>
    <w:rsid w:val="00C702B9"/>
    <w:rsid w:val="00C70F40"/>
    <w:rsid w:val="00C71B37"/>
    <w:rsid w:val="00C72D0A"/>
    <w:rsid w:val="00C73FCF"/>
    <w:rsid w:val="00C74389"/>
    <w:rsid w:val="00C75317"/>
    <w:rsid w:val="00C75A23"/>
    <w:rsid w:val="00C76497"/>
    <w:rsid w:val="00C80A89"/>
    <w:rsid w:val="00C80B1D"/>
    <w:rsid w:val="00C8160A"/>
    <w:rsid w:val="00C81923"/>
    <w:rsid w:val="00C81BD9"/>
    <w:rsid w:val="00C82BF0"/>
    <w:rsid w:val="00C82FB9"/>
    <w:rsid w:val="00C835CD"/>
    <w:rsid w:val="00C85333"/>
    <w:rsid w:val="00C8741D"/>
    <w:rsid w:val="00C87B69"/>
    <w:rsid w:val="00C90D7B"/>
    <w:rsid w:val="00C92CA8"/>
    <w:rsid w:val="00C92D62"/>
    <w:rsid w:val="00C9363D"/>
    <w:rsid w:val="00C93772"/>
    <w:rsid w:val="00C93CFE"/>
    <w:rsid w:val="00C94B3B"/>
    <w:rsid w:val="00C96708"/>
    <w:rsid w:val="00C96923"/>
    <w:rsid w:val="00C97346"/>
    <w:rsid w:val="00C97B38"/>
    <w:rsid w:val="00C97C76"/>
    <w:rsid w:val="00CA05F9"/>
    <w:rsid w:val="00CA07F2"/>
    <w:rsid w:val="00CA0AEB"/>
    <w:rsid w:val="00CA124E"/>
    <w:rsid w:val="00CA13FD"/>
    <w:rsid w:val="00CA2299"/>
    <w:rsid w:val="00CA256C"/>
    <w:rsid w:val="00CA2DC9"/>
    <w:rsid w:val="00CA336D"/>
    <w:rsid w:val="00CA42AE"/>
    <w:rsid w:val="00CA4B2A"/>
    <w:rsid w:val="00CA58C5"/>
    <w:rsid w:val="00CA58C9"/>
    <w:rsid w:val="00CA5B30"/>
    <w:rsid w:val="00CA65A6"/>
    <w:rsid w:val="00CA6F66"/>
    <w:rsid w:val="00CA74C4"/>
    <w:rsid w:val="00CA7742"/>
    <w:rsid w:val="00CB0316"/>
    <w:rsid w:val="00CB0E82"/>
    <w:rsid w:val="00CB1074"/>
    <w:rsid w:val="00CB335F"/>
    <w:rsid w:val="00CB3C01"/>
    <w:rsid w:val="00CB4232"/>
    <w:rsid w:val="00CB5A07"/>
    <w:rsid w:val="00CB5AF2"/>
    <w:rsid w:val="00CB5F44"/>
    <w:rsid w:val="00CB685A"/>
    <w:rsid w:val="00CB6B75"/>
    <w:rsid w:val="00CB729E"/>
    <w:rsid w:val="00CB741D"/>
    <w:rsid w:val="00CC1470"/>
    <w:rsid w:val="00CC1754"/>
    <w:rsid w:val="00CC23C1"/>
    <w:rsid w:val="00CC23F3"/>
    <w:rsid w:val="00CC3B6B"/>
    <w:rsid w:val="00CC3EE0"/>
    <w:rsid w:val="00CC4008"/>
    <w:rsid w:val="00CC5C5B"/>
    <w:rsid w:val="00CC6E64"/>
    <w:rsid w:val="00CC7876"/>
    <w:rsid w:val="00CC7C6F"/>
    <w:rsid w:val="00CD0254"/>
    <w:rsid w:val="00CD0A4D"/>
    <w:rsid w:val="00CD0EFE"/>
    <w:rsid w:val="00CD16C9"/>
    <w:rsid w:val="00CD1FB7"/>
    <w:rsid w:val="00CD24A0"/>
    <w:rsid w:val="00CD3A51"/>
    <w:rsid w:val="00CD4BAE"/>
    <w:rsid w:val="00CD5C68"/>
    <w:rsid w:val="00CD7428"/>
    <w:rsid w:val="00CE0F27"/>
    <w:rsid w:val="00CE1709"/>
    <w:rsid w:val="00CE1A00"/>
    <w:rsid w:val="00CE1F00"/>
    <w:rsid w:val="00CE23D6"/>
    <w:rsid w:val="00CE27F3"/>
    <w:rsid w:val="00CE2F23"/>
    <w:rsid w:val="00CE3110"/>
    <w:rsid w:val="00CE3396"/>
    <w:rsid w:val="00CE3EA1"/>
    <w:rsid w:val="00CE4B54"/>
    <w:rsid w:val="00CE577D"/>
    <w:rsid w:val="00CE5850"/>
    <w:rsid w:val="00CE623A"/>
    <w:rsid w:val="00CE6B1C"/>
    <w:rsid w:val="00CE6F33"/>
    <w:rsid w:val="00CE6F6D"/>
    <w:rsid w:val="00CE7C26"/>
    <w:rsid w:val="00CF06F3"/>
    <w:rsid w:val="00CF09A4"/>
    <w:rsid w:val="00CF0EB0"/>
    <w:rsid w:val="00CF1B47"/>
    <w:rsid w:val="00CF21B5"/>
    <w:rsid w:val="00CF355B"/>
    <w:rsid w:val="00CF3A57"/>
    <w:rsid w:val="00CF3EF9"/>
    <w:rsid w:val="00CF4C18"/>
    <w:rsid w:val="00CF53CD"/>
    <w:rsid w:val="00CF6749"/>
    <w:rsid w:val="00CF6D54"/>
    <w:rsid w:val="00CF7AAC"/>
    <w:rsid w:val="00D00C94"/>
    <w:rsid w:val="00D0230B"/>
    <w:rsid w:val="00D02757"/>
    <w:rsid w:val="00D02E70"/>
    <w:rsid w:val="00D03B9A"/>
    <w:rsid w:val="00D03F90"/>
    <w:rsid w:val="00D0401A"/>
    <w:rsid w:val="00D0425D"/>
    <w:rsid w:val="00D042DE"/>
    <w:rsid w:val="00D05E44"/>
    <w:rsid w:val="00D05EB1"/>
    <w:rsid w:val="00D07266"/>
    <w:rsid w:val="00D07294"/>
    <w:rsid w:val="00D0738D"/>
    <w:rsid w:val="00D11124"/>
    <w:rsid w:val="00D13B58"/>
    <w:rsid w:val="00D144E7"/>
    <w:rsid w:val="00D1517A"/>
    <w:rsid w:val="00D15A1C"/>
    <w:rsid w:val="00D177CA"/>
    <w:rsid w:val="00D200D4"/>
    <w:rsid w:val="00D209D0"/>
    <w:rsid w:val="00D21928"/>
    <w:rsid w:val="00D21969"/>
    <w:rsid w:val="00D21BC0"/>
    <w:rsid w:val="00D21BC7"/>
    <w:rsid w:val="00D21F93"/>
    <w:rsid w:val="00D233DB"/>
    <w:rsid w:val="00D2391F"/>
    <w:rsid w:val="00D24B14"/>
    <w:rsid w:val="00D24CCA"/>
    <w:rsid w:val="00D25C34"/>
    <w:rsid w:val="00D267A6"/>
    <w:rsid w:val="00D2779F"/>
    <w:rsid w:val="00D27D34"/>
    <w:rsid w:val="00D27D65"/>
    <w:rsid w:val="00D306CE"/>
    <w:rsid w:val="00D3071D"/>
    <w:rsid w:val="00D30922"/>
    <w:rsid w:val="00D31DDF"/>
    <w:rsid w:val="00D32223"/>
    <w:rsid w:val="00D327DA"/>
    <w:rsid w:val="00D3430B"/>
    <w:rsid w:val="00D34DAB"/>
    <w:rsid w:val="00D35E10"/>
    <w:rsid w:val="00D36598"/>
    <w:rsid w:val="00D36E62"/>
    <w:rsid w:val="00D3757B"/>
    <w:rsid w:val="00D40184"/>
    <w:rsid w:val="00D40379"/>
    <w:rsid w:val="00D404F0"/>
    <w:rsid w:val="00D4087D"/>
    <w:rsid w:val="00D408F3"/>
    <w:rsid w:val="00D4138D"/>
    <w:rsid w:val="00D41DCE"/>
    <w:rsid w:val="00D4206F"/>
    <w:rsid w:val="00D4248D"/>
    <w:rsid w:val="00D425A6"/>
    <w:rsid w:val="00D433AA"/>
    <w:rsid w:val="00D460DF"/>
    <w:rsid w:val="00D4718F"/>
    <w:rsid w:val="00D475EE"/>
    <w:rsid w:val="00D51AE1"/>
    <w:rsid w:val="00D52A8D"/>
    <w:rsid w:val="00D53A2D"/>
    <w:rsid w:val="00D5597A"/>
    <w:rsid w:val="00D55E9F"/>
    <w:rsid w:val="00D56114"/>
    <w:rsid w:val="00D5668A"/>
    <w:rsid w:val="00D56CC5"/>
    <w:rsid w:val="00D57890"/>
    <w:rsid w:val="00D57928"/>
    <w:rsid w:val="00D57CD7"/>
    <w:rsid w:val="00D60018"/>
    <w:rsid w:val="00D612A8"/>
    <w:rsid w:val="00D62708"/>
    <w:rsid w:val="00D62E09"/>
    <w:rsid w:val="00D634A3"/>
    <w:rsid w:val="00D6364E"/>
    <w:rsid w:val="00D637C9"/>
    <w:rsid w:val="00D65B8E"/>
    <w:rsid w:val="00D6632D"/>
    <w:rsid w:val="00D66D3E"/>
    <w:rsid w:val="00D66DF6"/>
    <w:rsid w:val="00D67823"/>
    <w:rsid w:val="00D715BA"/>
    <w:rsid w:val="00D7294C"/>
    <w:rsid w:val="00D72D28"/>
    <w:rsid w:val="00D73233"/>
    <w:rsid w:val="00D73622"/>
    <w:rsid w:val="00D737BB"/>
    <w:rsid w:val="00D73907"/>
    <w:rsid w:val="00D73F07"/>
    <w:rsid w:val="00D745A8"/>
    <w:rsid w:val="00D747CE"/>
    <w:rsid w:val="00D74ABF"/>
    <w:rsid w:val="00D751F6"/>
    <w:rsid w:val="00D757FD"/>
    <w:rsid w:val="00D75C41"/>
    <w:rsid w:val="00D75EB5"/>
    <w:rsid w:val="00D76696"/>
    <w:rsid w:val="00D76775"/>
    <w:rsid w:val="00D76FB2"/>
    <w:rsid w:val="00D770E9"/>
    <w:rsid w:val="00D77DEC"/>
    <w:rsid w:val="00D80D62"/>
    <w:rsid w:val="00D8261E"/>
    <w:rsid w:val="00D832EF"/>
    <w:rsid w:val="00D84DF8"/>
    <w:rsid w:val="00D85378"/>
    <w:rsid w:val="00D8564F"/>
    <w:rsid w:val="00D85A01"/>
    <w:rsid w:val="00D85B61"/>
    <w:rsid w:val="00D85C0D"/>
    <w:rsid w:val="00D860CE"/>
    <w:rsid w:val="00D868E6"/>
    <w:rsid w:val="00D87C52"/>
    <w:rsid w:val="00D87DC4"/>
    <w:rsid w:val="00D87E01"/>
    <w:rsid w:val="00D902D3"/>
    <w:rsid w:val="00D90780"/>
    <w:rsid w:val="00D9120D"/>
    <w:rsid w:val="00D91AAE"/>
    <w:rsid w:val="00D9228A"/>
    <w:rsid w:val="00D92B8A"/>
    <w:rsid w:val="00D9312D"/>
    <w:rsid w:val="00D947AF"/>
    <w:rsid w:val="00D952FF"/>
    <w:rsid w:val="00D95A17"/>
    <w:rsid w:val="00D95AF5"/>
    <w:rsid w:val="00D96D74"/>
    <w:rsid w:val="00D9773C"/>
    <w:rsid w:val="00D97830"/>
    <w:rsid w:val="00DA0B51"/>
    <w:rsid w:val="00DA0E3B"/>
    <w:rsid w:val="00DA103C"/>
    <w:rsid w:val="00DA154A"/>
    <w:rsid w:val="00DA174E"/>
    <w:rsid w:val="00DA1D61"/>
    <w:rsid w:val="00DA1F8C"/>
    <w:rsid w:val="00DA4056"/>
    <w:rsid w:val="00DA55DB"/>
    <w:rsid w:val="00DA5CA8"/>
    <w:rsid w:val="00DA708B"/>
    <w:rsid w:val="00DA7793"/>
    <w:rsid w:val="00DB06A7"/>
    <w:rsid w:val="00DB096D"/>
    <w:rsid w:val="00DB130E"/>
    <w:rsid w:val="00DB2067"/>
    <w:rsid w:val="00DB329D"/>
    <w:rsid w:val="00DB54C3"/>
    <w:rsid w:val="00DC021D"/>
    <w:rsid w:val="00DC044F"/>
    <w:rsid w:val="00DC0AEC"/>
    <w:rsid w:val="00DC1491"/>
    <w:rsid w:val="00DC18A2"/>
    <w:rsid w:val="00DC1A22"/>
    <w:rsid w:val="00DC1DDA"/>
    <w:rsid w:val="00DC395C"/>
    <w:rsid w:val="00DC5678"/>
    <w:rsid w:val="00DC6C1D"/>
    <w:rsid w:val="00DC7F75"/>
    <w:rsid w:val="00DD1B39"/>
    <w:rsid w:val="00DD3C92"/>
    <w:rsid w:val="00DD4170"/>
    <w:rsid w:val="00DD4A13"/>
    <w:rsid w:val="00DD4FB4"/>
    <w:rsid w:val="00DD54A2"/>
    <w:rsid w:val="00DD557B"/>
    <w:rsid w:val="00DD60B1"/>
    <w:rsid w:val="00DD6854"/>
    <w:rsid w:val="00DD7DD3"/>
    <w:rsid w:val="00DE0355"/>
    <w:rsid w:val="00DE1019"/>
    <w:rsid w:val="00DE1D70"/>
    <w:rsid w:val="00DE2131"/>
    <w:rsid w:val="00DE2195"/>
    <w:rsid w:val="00DE219A"/>
    <w:rsid w:val="00DE5AC3"/>
    <w:rsid w:val="00DE6BAC"/>
    <w:rsid w:val="00DE70E8"/>
    <w:rsid w:val="00DE790D"/>
    <w:rsid w:val="00DE7C38"/>
    <w:rsid w:val="00DE7E4C"/>
    <w:rsid w:val="00DF1589"/>
    <w:rsid w:val="00DF1A78"/>
    <w:rsid w:val="00DF1FFA"/>
    <w:rsid w:val="00DF2E07"/>
    <w:rsid w:val="00DF628E"/>
    <w:rsid w:val="00DF652A"/>
    <w:rsid w:val="00DF663B"/>
    <w:rsid w:val="00DF755C"/>
    <w:rsid w:val="00E00E8B"/>
    <w:rsid w:val="00E01E6A"/>
    <w:rsid w:val="00E0233F"/>
    <w:rsid w:val="00E04534"/>
    <w:rsid w:val="00E04A36"/>
    <w:rsid w:val="00E06DE6"/>
    <w:rsid w:val="00E07632"/>
    <w:rsid w:val="00E0788D"/>
    <w:rsid w:val="00E07EC0"/>
    <w:rsid w:val="00E111CB"/>
    <w:rsid w:val="00E11486"/>
    <w:rsid w:val="00E11567"/>
    <w:rsid w:val="00E1165C"/>
    <w:rsid w:val="00E138EF"/>
    <w:rsid w:val="00E14B0F"/>
    <w:rsid w:val="00E151A8"/>
    <w:rsid w:val="00E155E1"/>
    <w:rsid w:val="00E20220"/>
    <w:rsid w:val="00E20D24"/>
    <w:rsid w:val="00E20EDA"/>
    <w:rsid w:val="00E2105C"/>
    <w:rsid w:val="00E21C85"/>
    <w:rsid w:val="00E22213"/>
    <w:rsid w:val="00E234AD"/>
    <w:rsid w:val="00E24A29"/>
    <w:rsid w:val="00E24B2C"/>
    <w:rsid w:val="00E24D63"/>
    <w:rsid w:val="00E252AF"/>
    <w:rsid w:val="00E25EFE"/>
    <w:rsid w:val="00E2605D"/>
    <w:rsid w:val="00E262A0"/>
    <w:rsid w:val="00E2729A"/>
    <w:rsid w:val="00E27C17"/>
    <w:rsid w:val="00E307C4"/>
    <w:rsid w:val="00E3098C"/>
    <w:rsid w:val="00E309E2"/>
    <w:rsid w:val="00E32A68"/>
    <w:rsid w:val="00E32B6C"/>
    <w:rsid w:val="00E32F88"/>
    <w:rsid w:val="00E3347F"/>
    <w:rsid w:val="00E3376A"/>
    <w:rsid w:val="00E33AFA"/>
    <w:rsid w:val="00E33FB8"/>
    <w:rsid w:val="00E35493"/>
    <w:rsid w:val="00E35F14"/>
    <w:rsid w:val="00E36313"/>
    <w:rsid w:val="00E36553"/>
    <w:rsid w:val="00E36B58"/>
    <w:rsid w:val="00E37B2C"/>
    <w:rsid w:val="00E4007D"/>
    <w:rsid w:val="00E40634"/>
    <w:rsid w:val="00E413B8"/>
    <w:rsid w:val="00E41440"/>
    <w:rsid w:val="00E424A5"/>
    <w:rsid w:val="00E42A34"/>
    <w:rsid w:val="00E42CE6"/>
    <w:rsid w:val="00E42F3E"/>
    <w:rsid w:val="00E43D25"/>
    <w:rsid w:val="00E44A05"/>
    <w:rsid w:val="00E450C3"/>
    <w:rsid w:val="00E46076"/>
    <w:rsid w:val="00E4768D"/>
    <w:rsid w:val="00E5063A"/>
    <w:rsid w:val="00E50D41"/>
    <w:rsid w:val="00E51921"/>
    <w:rsid w:val="00E51B20"/>
    <w:rsid w:val="00E52123"/>
    <w:rsid w:val="00E522A2"/>
    <w:rsid w:val="00E5296E"/>
    <w:rsid w:val="00E52D94"/>
    <w:rsid w:val="00E535B0"/>
    <w:rsid w:val="00E53B4B"/>
    <w:rsid w:val="00E54061"/>
    <w:rsid w:val="00E54768"/>
    <w:rsid w:val="00E55D4D"/>
    <w:rsid w:val="00E57593"/>
    <w:rsid w:val="00E57F07"/>
    <w:rsid w:val="00E603A8"/>
    <w:rsid w:val="00E603AC"/>
    <w:rsid w:val="00E62E63"/>
    <w:rsid w:val="00E631F6"/>
    <w:rsid w:val="00E63A44"/>
    <w:rsid w:val="00E63B05"/>
    <w:rsid w:val="00E63BA3"/>
    <w:rsid w:val="00E6429D"/>
    <w:rsid w:val="00E651C6"/>
    <w:rsid w:val="00E6583E"/>
    <w:rsid w:val="00E65CA5"/>
    <w:rsid w:val="00E660B7"/>
    <w:rsid w:val="00E66E67"/>
    <w:rsid w:val="00E67CE3"/>
    <w:rsid w:val="00E70002"/>
    <w:rsid w:val="00E70036"/>
    <w:rsid w:val="00E70193"/>
    <w:rsid w:val="00E70B8A"/>
    <w:rsid w:val="00E70CB5"/>
    <w:rsid w:val="00E711FB"/>
    <w:rsid w:val="00E714F8"/>
    <w:rsid w:val="00E71CB7"/>
    <w:rsid w:val="00E71E81"/>
    <w:rsid w:val="00E722AC"/>
    <w:rsid w:val="00E72448"/>
    <w:rsid w:val="00E73AA9"/>
    <w:rsid w:val="00E73B45"/>
    <w:rsid w:val="00E73DC8"/>
    <w:rsid w:val="00E74613"/>
    <w:rsid w:val="00E7485F"/>
    <w:rsid w:val="00E76A31"/>
    <w:rsid w:val="00E76AB1"/>
    <w:rsid w:val="00E77BE7"/>
    <w:rsid w:val="00E80162"/>
    <w:rsid w:val="00E804E0"/>
    <w:rsid w:val="00E80DF6"/>
    <w:rsid w:val="00E8145A"/>
    <w:rsid w:val="00E81A87"/>
    <w:rsid w:val="00E82DD1"/>
    <w:rsid w:val="00E834AC"/>
    <w:rsid w:val="00E8358E"/>
    <w:rsid w:val="00E839BB"/>
    <w:rsid w:val="00E84FF7"/>
    <w:rsid w:val="00E85633"/>
    <w:rsid w:val="00E858C2"/>
    <w:rsid w:val="00E86FBB"/>
    <w:rsid w:val="00E9019F"/>
    <w:rsid w:val="00E91470"/>
    <w:rsid w:val="00E923B8"/>
    <w:rsid w:val="00E93E22"/>
    <w:rsid w:val="00E93FDF"/>
    <w:rsid w:val="00E94AC6"/>
    <w:rsid w:val="00E95A4E"/>
    <w:rsid w:val="00E96077"/>
    <w:rsid w:val="00EA0A19"/>
    <w:rsid w:val="00EA0A6F"/>
    <w:rsid w:val="00EA1194"/>
    <w:rsid w:val="00EA11B7"/>
    <w:rsid w:val="00EA3152"/>
    <w:rsid w:val="00EA3B0B"/>
    <w:rsid w:val="00EA42D8"/>
    <w:rsid w:val="00EA47E0"/>
    <w:rsid w:val="00EA4BA0"/>
    <w:rsid w:val="00EA4BF3"/>
    <w:rsid w:val="00EA5967"/>
    <w:rsid w:val="00EA66B9"/>
    <w:rsid w:val="00EA6F1D"/>
    <w:rsid w:val="00EB0F8D"/>
    <w:rsid w:val="00EB132F"/>
    <w:rsid w:val="00EB245B"/>
    <w:rsid w:val="00EB32D8"/>
    <w:rsid w:val="00EB3607"/>
    <w:rsid w:val="00EB3F57"/>
    <w:rsid w:val="00EB4052"/>
    <w:rsid w:val="00EB5F4E"/>
    <w:rsid w:val="00EB65F3"/>
    <w:rsid w:val="00EB737F"/>
    <w:rsid w:val="00EB793A"/>
    <w:rsid w:val="00EB7B9F"/>
    <w:rsid w:val="00EC00A8"/>
    <w:rsid w:val="00EC05D8"/>
    <w:rsid w:val="00EC21E2"/>
    <w:rsid w:val="00EC3B19"/>
    <w:rsid w:val="00EC41D4"/>
    <w:rsid w:val="00EC4206"/>
    <w:rsid w:val="00EC43EB"/>
    <w:rsid w:val="00EC4547"/>
    <w:rsid w:val="00EC471D"/>
    <w:rsid w:val="00EC493E"/>
    <w:rsid w:val="00EC552F"/>
    <w:rsid w:val="00EC6440"/>
    <w:rsid w:val="00EC6AE5"/>
    <w:rsid w:val="00EC717C"/>
    <w:rsid w:val="00EC76BD"/>
    <w:rsid w:val="00EC772A"/>
    <w:rsid w:val="00ED064F"/>
    <w:rsid w:val="00ED178D"/>
    <w:rsid w:val="00ED24CD"/>
    <w:rsid w:val="00ED2F2D"/>
    <w:rsid w:val="00ED3000"/>
    <w:rsid w:val="00ED3638"/>
    <w:rsid w:val="00ED495B"/>
    <w:rsid w:val="00ED4CE6"/>
    <w:rsid w:val="00ED5B00"/>
    <w:rsid w:val="00ED66ED"/>
    <w:rsid w:val="00ED6F03"/>
    <w:rsid w:val="00ED7017"/>
    <w:rsid w:val="00ED7819"/>
    <w:rsid w:val="00EE1031"/>
    <w:rsid w:val="00EE1230"/>
    <w:rsid w:val="00EE1879"/>
    <w:rsid w:val="00EE1D6E"/>
    <w:rsid w:val="00EE1E9A"/>
    <w:rsid w:val="00EE1F10"/>
    <w:rsid w:val="00EE34DD"/>
    <w:rsid w:val="00EE3E56"/>
    <w:rsid w:val="00EE4746"/>
    <w:rsid w:val="00EE481A"/>
    <w:rsid w:val="00EE4879"/>
    <w:rsid w:val="00EE5117"/>
    <w:rsid w:val="00EE570D"/>
    <w:rsid w:val="00EE5C4F"/>
    <w:rsid w:val="00EE6FDC"/>
    <w:rsid w:val="00EE7FA1"/>
    <w:rsid w:val="00EF0963"/>
    <w:rsid w:val="00EF1441"/>
    <w:rsid w:val="00EF2CB7"/>
    <w:rsid w:val="00EF2EDA"/>
    <w:rsid w:val="00EF3E00"/>
    <w:rsid w:val="00EF474F"/>
    <w:rsid w:val="00EF5EF1"/>
    <w:rsid w:val="00EF5FA4"/>
    <w:rsid w:val="00EF67B4"/>
    <w:rsid w:val="00EF67D5"/>
    <w:rsid w:val="00EF71EB"/>
    <w:rsid w:val="00EF73E8"/>
    <w:rsid w:val="00EF787B"/>
    <w:rsid w:val="00F006E3"/>
    <w:rsid w:val="00F00EC1"/>
    <w:rsid w:val="00F01B31"/>
    <w:rsid w:val="00F01CBB"/>
    <w:rsid w:val="00F03830"/>
    <w:rsid w:val="00F044FD"/>
    <w:rsid w:val="00F0487E"/>
    <w:rsid w:val="00F04E9E"/>
    <w:rsid w:val="00F04FBC"/>
    <w:rsid w:val="00F0594F"/>
    <w:rsid w:val="00F05D95"/>
    <w:rsid w:val="00F06550"/>
    <w:rsid w:val="00F06C77"/>
    <w:rsid w:val="00F07CC0"/>
    <w:rsid w:val="00F12460"/>
    <w:rsid w:val="00F124D1"/>
    <w:rsid w:val="00F12823"/>
    <w:rsid w:val="00F13023"/>
    <w:rsid w:val="00F13082"/>
    <w:rsid w:val="00F132BD"/>
    <w:rsid w:val="00F14154"/>
    <w:rsid w:val="00F1459A"/>
    <w:rsid w:val="00F171D2"/>
    <w:rsid w:val="00F17D3F"/>
    <w:rsid w:val="00F20E96"/>
    <w:rsid w:val="00F22697"/>
    <w:rsid w:val="00F239EA"/>
    <w:rsid w:val="00F23EC4"/>
    <w:rsid w:val="00F24091"/>
    <w:rsid w:val="00F246BE"/>
    <w:rsid w:val="00F24803"/>
    <w:rsid w:val="00F2698F"/>
    <w:rsid w:val="00F269CF"/>
    <w:rsid w:val="00F2746F"/>
    <w:rsid w:val="00F30031"/>
    <w:rsid w:val="00F30C52"/>
    <w:rsid w:val="00F30C59"/>
    <w:rsid w:val="00F30CA2"/>
    <w:rsid w:val="00F31AAE"/>
    <w:rsid w:val="00F324EF"/>
    <w:rsid w:val="00F32621"/>
    <w:rsid w:val="00F32CBE"/>
    <w:rsid w:val="00F34801"/>
    <w:rsid w:val="00F34C7B"/>
    <w:rsid w:val="00F357B8"/>
    <w:rsid w:val="00F3594D"/>
    <w:rsid w:val="00F35FCD"/>
    <w:rsid w:val="00F3608B"/>
    <w:rsid w:val="00F37C0B"/>
    <w:rsid w:val="00F41A33"/>
    <w:rsid w:val="00F41CAC"/>
    <w:rsid w:val="00F42A46"/>
    <w:rsid w:val="00F4321F"/>
    <w:rsid w:val="00F436AD"/>
    <w:rsid w:val="00F439C4"/>
    <w:rsid w:val="00F44A41"/>
    <w:rsid w:val="00F459F5"/>
    <w:rsid w:val="00F45BF0"/>
    <w:rsid w:val="00F45F0B"/>
    <w:rsid w:val="00F46162"/>
    <w:rsid w:val="00F46411"/>
    <w:rsid w:val="00F469AC"/>
    <w:rsid w:val="00F46EF0"/>
    <w:rsid w:val="00F5046F"/>
    <w:rsid w:val="00F5083E"/>
    <w:rsid w:val="00F51716"/>
    <w:rsid w:val="00F52403"/>
    <w:rsid w:val="00F52C71"/>
    <w:rsid w:val="00F5467D"/>
    <w:rsid w:val="00F548BD"/>
    <w:rsid w:val="00F5596B"/>
    <w:rsid w:val="00F55D50"/>
    <w:rsid w:val="00F562EA"/>
    <w:rsid w:val="00F57BC6"/>
    <w:rsid w:val="00F617C1"/>
    <w:rsid w:val="00F62511"/>
    <w:rsid w:val="00F62765"/>
    <w:rsid w:val="00F62C3D"/>
    <w:rsid w:val="00F62D7B"/>
    <w:rsid w:val="00F63210"/>
    <w:rsid w:val="00F63BDF"/>
    <w:rsid w:val="00F63CDD"/>
    <w:rsid w:val="00F65655"/>
    <w:rsid w:val="00F663A1"/>
    <w:rsid w:val="00F6682C"/>
    <w:rsid w:val="00F66E0D"/>
    <w:rsid w:val="00F66EB0"/>
    <w:rsid w:val="00F6794C"/>
    <w:rsid w:val="00F67AA3"/>
    <w:rsid w:val="00F67AD5"/>
    <w:rsid w:val="00F67DCF"/>
    <w:rsid w:val="00F70861"/>
    <w:rsid w:val="00F70D9A"/>
    <w:rsid w:val="00F721B3"/>
    <w:rsid w:val="00F7256F"/>
    <w:rsid w:val="00F727E7"/>
    <w:rsid w:val="00F745F7"/>
    <w:rsid w:val="00F74BAB"/>
    <w:rsid w:val="00F74F0A"/>
    <w:rsid w:val="00F755C0"/>
    <w:rsid w:val="00F75A43"/>
    <w:rsid w:val="00F75C8C"/>
    <w:rsid w:val="00F777EF"/>
    <w:rsid w:val="00F80475"/>
    <w:rsid w:val="00F8069A"/>
    <w:rsid w:val="00F8127F"/>
    <w:rsid w:val="00F81641"/>
    <w:rsid w:val="00F81FAB"/>
    <w:rsid w:val="00F82FC2"/>
    <w:rsid w:val="00F833F4"/>
    <w:rsid w:val="00F835C7"/>
    <w:rsid w:val="00F837D1"/>
    <w:rsid w:val="00F83AC4"/>
    <w:rsid w:val="00F84F4C"/>
    <w:rsid w:val="00F86439"/>
    <w:rsid w:val="00F87631"/>
    <w:rsid w:val="00F9029E"/>
    <w:rsid w:val="00F903A9"/>
    <w:rsid w:val="00F90754"/>
    <w:rsid w:val="00F90BB2"/>
    <w:rsid w:val="00F90BCB"/>
    <w:rsid w:val="00F915E9"/>
    <w:rsid w:val="00F9256D"/>
    <w:rsid w:val="00F928CF"/>
    <w:rsid w:val="00F92DDC"/>
    <w:rsid w:val="00F93F05"/>
    <w:rsid w:val="00F9443B"/>
    <w:rsid w:val="00F94749"/>
    <w:rsid w:val="00F9503E"/>
    <w:rsid w:val="00F9696B"/>
    <w:rsid w:val="00F96B47"/>
    <w:rsid w:val="00F96F1A"/>
    <w:rsid w:val="00FA16E5"/>
    <w:rsid w:val="00FA1898"/>
    <w:rsid w:val="00FA1D88"/>
    <w:rsid w:val="00FA2382"/>
    <w:rsid w:val="00FA2D01"/>
    <w:rsid w:val="00FA36CD"/>
    <w:rsid w:val="00FA37CC"/>
    <w:rsid w:val="00FA3B00"/>
    <w:rsid w:val="00FA56DA"/>
    <w:rsid w:val="00FA5C48"/>
    <w:rsid w:val="00FA5C99"/>
    <w:rsid w:val="00FA72D2"/>
    <w:rsid w:val="00FA73D4"/>
    <w:rsid w:val="00FB0537"/>
    <w:rsid w:val="00FB0D31"/>
    <w:rsid w:val="00FB1065"/>
    <w:rsid w:val="00FB2C4B"/>
    <w:rsid w:val="00FB3AFC"/>
    <w:rsid w:val="00FB3BBE"/>
    <w:rsid w:val="00FB3F9A"/>
    <w:rsid w:val="00FB5BD5"/>
    <w:rsid w:val="00FB6A07"/>
    <w:rsid w:val="00FB6C41"/>
    <w:rsid w:val="00FB761D"/>
    <w:rsid w:val="00FC046B"/>
    <w:rsid w:val="00FC0677"/>
    <w:rsid w:val="00FC0C06"/>
    <w:rsid w:val="00FC33E4"/>
    <w:rsid w:val="00FC354F"/>
    <w:rsid w:val="00FC42F6"/>
    <w:rsid w:val="00FC48D9"/>
    <w:rsid w:val="00FC68A9"/>
    <w:rsid w:val="00FD0E8B"/>
    <w:rsid w:val="00FD17A7"/>
    <w:rsid w:val="00FD26B0"/>
    <w:rsid w:val="00FD298A"/>
    <w:rsid w:val="00FD33D1"/>
    <w:rsid w:val="00FD38FB"/>
    <w:rsid w:val="00FD3A78"/>
    <w:rsid w:val="00FD420A"/>
    <w:rsid w:val="00FD55E7"/>
    <w:rsid w:val="00FD57CD"/>
    <w:rsid w:val="00FD5B7B"/>
    <w:rsid w:val="00FD6073"/>
    <w:rsid w:val="00FD612C"/>
    <w:rsid w:val="00FD6D31"/>
    <w:rsid w:val="00FD7142"/>
    <w:rsid w:val="00FD7286"/>
    <w:rsid w:val="00FD78B3"/>
    <w:rsid w:val="00FE00E6"/>
    <w:rsid w:val="00FE066E"/>
    <w:rsid w:val="00FE0A68"/>
    <w:rsid w:val="00FE162A"/>
    <w:rsid w:val="00FE1CF7"/>
    <w:rsid w:val="00FE255B"/>
    <w:rsid w:val="00FE3259"/>
    <w:rsid w:val="00FE4337"/>
    <w:rsid w:val="00FE43E6"/>
    <w:rsid w:val="00FE4428"/>
    <w:rsid w:val="00FE5286"/>
    <w:rsid w:val="00FE65EB"/>
    <w:rsid w:val="00FE6816"/>
    <w:rsid w:val="00FE6921"/>
    <w:rsid w:val="00FE7ED3"/>
    <w:rsid w:val="00FE7FDF"/>
    <w:rsid w:val="00FF0926"/>
    <w:rsid w:val="00FF1115"/>
    <w:rsid w:val="00FF11AA"/>
    <w:rsid w:val="00FF1552"/>
    <w:rsid w:val="00FF31C3"/>
    <w:rsid w:val="00FF45A2"/>
    <w:rsid w:val="00FF4FE5"/>
    <w:rsid w:val="00FF5620"/>
    <w:rsid w:val="00FF57F9"/>
    <w:rsid w:val="00FF6822"/>
    <w:rsid w:val="00FF71BB"/>
    <w:rsid w:val="00FF7642"/>
    <w:rsid w:val="00FF77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D0FF1"/>
  <w15:docId w15:val="{5C8B033C-ABE7-42B3-8116-8B5F595E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704"/>
    <w:pPr>
      <w:spacing w:after="0" w:line="288" w:lineRule="auto"/>
    </w:pPr>
    <w:rPr>
      <w:rFonts w:ascii="Arial" w:hAnsi="Arial" w:cs="Arial"/>
      <w:sz w:val="18"/>
      <w:szCs w:val="18"/>
    </w:rPr>
  </w:style>
  <w:style w:type="paragraph" w:styleId="Heading1">
    <w:name w:val="heading 1"/>
    <w:basedOn w:val="Normal"/>
    <w:next w:val="Normal"/>
    <w:link w:val="Heading1Char"/>
    <w:uiPriority w:val="9"/>
    <w:qFormat/>
    <w:rsid w:val="003D4676"/>
    <w:pPr>
      <w:keepNext/>
      <w:keepLines/>
      <w:numPr>
        <w:numId w:val="30"/>
      </w:numPr>
      <w:outlineLvl w:val="0"/>
    </w:pPr>
    <w:rPr>
      <w:rFonts w:eastAsiaTheme="majorEastAsia" w:cstheme="majorBidi"/>
      <w:b/>
      <w:bCs/>
      <w:iCs/>
      <w:color w:val="0070C0"/>
      <w:sz w:val="26"/>
      <w:szCs w:val="26"/>
    </w:rPr>
  </w:style>
  <w:style w:type="paragraph" w:styleId="Heading2">
    <w:name w:val="heading 2"/>
    <w:basedOn w:val="Normal"/>
    <w:next w:val="Normal"/>
    <w:link w:val="Heading2Char"/>
    <w:uiPriority w:val="9"/>
    <w:unhideWhenUsed/>
    <w:qFormat/>
    <w:rsid w:val="00C96708"/>
    <w:pPr>
      <w:keepNext/>
      <w:keepLines/>
      <w:numPr>
        <w:ilvl w:val="1"/>
        <w:numId w:val="30"/>
      </w:numPr>
      <w:ind w:left="567"/>
      <w:outlineLvl w:val="1"/>
    </w:pPr>
    <w:rPr>
      <w:rFonts w:eastAsiaTheme="majorEastAsia" w:cstheme="majorBidi"/>
      <w:iCs/>
      <w:color w:val="0070C0"/>
      <w:sz w:val="22"/>
      <w:szCs w:val="22"/>
    </w:rPr>
  </w:style>
  <w:style w:type="paragraph" w:styleId="Heading3">
    <w:name w:val="heading 3"/>
    <w:basedOn w:val="Normal"/>
    <w:next w:val="Normal"/>
    <w:link w:val="Heading3Char"/>
    <w:uiPriority w:val="9"/>
    <w:unhideWhenUsed/>
    <w:qFormat/>
    <w:rsid w:val="00096B2B"/>
    <w:pPr>
      <w:keepNext/>
      <w:keepLines/>
      <w:numPr>
        <w:ilvl w:val="2"/>
        <w:numId w:val="30"/>
      </w:numPr>
      <w:spacing w:before="40"/>
      <w:outlineLvl w:val="2"/>
    </w:pPr>
    <w:rPr>
      <w:rFonts w:eastAsiaTheme="majorEastAsia"/>
      <w:b/>
      <w:bCs/>
      <w:color w:val="0070C0"/>
    </w:rPr>
  </w:style>
  <w:style w:type="paragraph" w:styleId="Heading4">
    <w:name w:val="heading 4"/>
    <w:basedOn w:val="Normal"/>
    <w:next w:val="Normal"/>
    <w:link w:val="Heading4Char"/>
    <w:unhideWhenUsed/>
    <w:rsid w:val="00714F5C"/>
    <w:pPr>
      <w:keepNext/>
      <w:keepLines/>
      <w:numPr>
        <w:ilvl w:val="3"/>
        <w:numId w:val="30"/>
      </w:numPr>
      <w:jc w:val="both"/>
      <w:outlineLvl w:val="3"/>
    </w:pPr>
    <w:rPr>
      <w:rFonts w:eastAsia="Times New Roman" w:cs="Times New Roman"/>
      <w:b/>
      <w:bCs/>
      <w:iCs/>
      <w:color w:val="0070C0"/>
      <w:szCs w:val="21"/>
      <w:lang w:val="en-GB"/>
    </w:rPr>
  </w:style>
  <w:style w:type="paragraph" w:styleId="Heading5">
    <w:name w:val="heading 5"/>
    <w:basedOn w:val="Normal"/>
    <w:next w:val="Normal"/>
    <w:link w:val="Heading5Char"/>
    <w:uiPriority w:val="9"/>
    <w:semiHidden/>
    <w:unhideWhenUsed/>
    <w:rsid w:val="00AC589A"/>
    <w:pPr>
      <w:keepNext/>
      <w:keepLines/>
      <w:numPr>
        <w:ilvl w:val="4"/>
        <w:numId w:val="3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C589A"/>
    <w:pPr>
      <w:keepNext/>
      <w:keepLines/>
      <w:numPr>
        <w:ilvl w:val="5"/>
        <w:numId w:val="3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C589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C589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589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1,Bullet1,List Paragraph (numbered (a)),Normal 1,List Paragraph 1,Bullets,NumberedParas,Dot pt,F5 List Paragraph,List Paragraph Char Char Char,Indicator Text,Numbered Para 1,Bullet 1,Bullet Points,heading 4"/>
    <w:basedOn w:val="Normal"/>
    <w:link w:val="ListParagraphChar"/>
    <w:uiPriority w:val="34"/>
    <w:qFormat/>
    <w:rsid w:val="00443A84"/>
    <w:pPr>
      <w:ind w:left="720"/>
      <w:contextualSpacing/>
    </w:pPr>
  </w:style>
  <w:style w:type="character" w:customStyle="1" w:styleId="ListParagraphChar">
    <w:name w:val="List Paragraph Char"/>
    <w:aliases w:val="Akapit z listą BS Char,List Paragraph1 Char,Bullet1 Char,List Paragraph (numbered (a)) Char,Normal 1 Char,List Paragraph 1 Char,Bullets Char,NumberedParas Char,Dot pt Char,F5 List Paragraph Char,List Paragraph Char Char Char Char"/>
    <w:link w:val="ListParagraph"/>
    <w:uiPriority w:val="34"/>
    <w:qFormat/>
    <w:locked/>
    <w:rsid w:val="00443A84"/>
  </w:style>
  <w:style w:type="character" w:customStyle="1" w:styleId="Heading4Char">
    <w:name w:val="Heading 4 Char"/>
    <w:basedOn w:val="DefaultParagraphFont"/>
    <w:link w:val="Heading4"/>
    <w:rsid w:val="00714F5C"/>
    <w:rPr>
      <w:rFonts w:ascii="Arial" w:eastAsia="Times New Roman" w:hAnsi="Arial" w:cs="Times New Roman"/>
      <w:b/>
      <w:bCs/>
      <w:iCs/>
      <w:color w:val="0070C0"/>
      <w:sz w:val="18"/>
      <w:szCs w:val="21"/>
      <w:lang w:val="en-GB"/>
    </w:rPr>
  </w:style>
  <w:style w:type="paragraph" w:styleId="CommentText">
    <w:name w:val="annotation text"/>
    <w:basedOn w:val="Normal"/>
    <w:link w:val="CommentTextChar"/>
    <w:uiPriority w:val="99"/>
    <w:unhideWhenUsed/>
    <w:rsid w:val="003F7704"/>
    <w:pPr>
      <w:spacing w:after="120" w:line="240" w:lineRule="auto"/>
      <w:jc w:val="both"/>
    </w:pPr>
    <w:rPr>
      <w:rFonts w:ascii="Calibri" w:hAnsi="Calibri" w:cs="Times New Roman"/>
      <w:sz w:val="20"/>
      <w:szCs w:val="20"/>
      <w:lang w:val="en-GB"/>
    </w:rPr>
  </w:style>
  <w:style w:type="character" w:customStyle="1" w:styleId="CommentTextChar">
    <w:name w:val="Comment Text Char"/>
    <w:basedOn w:val="DefaultParagraphFont"/>
    <w:link w:val="CommentText"/>
    <w:uiPriority w:val="99"/>
    <w:rsid w:val="003F7704"/>
    <w:rPr>
      <w:rFonts w:ascii="Calibri" w:hAnsi="Calibri" w:cs="Times New Roman"/>
      <w:sz w:val="20"/>
      <w:szCs w:val="20"/>
      <w:lang w:val="en-GB"/>
    </w:rPr>
  </w:style>
  <w:style w:type="paragraph" w:customStyle="1" w:styleId="normalPFM-bullet">
    <w:name w:val="normal PFM -bullet"/>
    <w:basedOn w:val="Normal"/>
    <w:uiPriority w:val="99"/>
    <w:rsid w:val="003F7704"/>
    <w:pPr>
      <w:spacing w:before="20" w:after="20" w:line="252" w:lineRule="auto"/>
      <w:jc w:val="both"/>
    </w:pPr>
    <w:rPr>
      <w:rFonts w:ascii="Calibri" w:hAnsi="Calibri" w:cs="Times New Roman"/>
      <w:b/>
      <w:sz w:val="21"/>
      <w:szCs w:val="21"/>
      <w:lang w:val="en-GB"/>
    </w:rPr>
  </w:style>
  <w:style w:type="character" w:customStyle="1" w:styleId="EcorysBodyChar">
    <w:name w:val="Ecorys Body Char"/>
    <w:basedOn w:val="DefaultParagraphFont"/>
    <w:link w:val="EcorysBody"/>
    <w:locked/>
    <w:rsid w:val="003F7704"/>
    <w:rPr>
      <w:rFonts w:ascii="Open Sans Light" w:hAnsi="Open Sans Light" w:cs="Open Sans Light"/>
      <w:sz w:val="18"/>
      <w:szCs w:val="20"/>
    </w:rPr>
  </w:style>
  <w:style w:type="paragraph" w:customStyle="1" w:styleId="EcorysBody">
    <w:name w:val="Ecorys Body"/>
    <w:link w:val="EcorysBodyChar"/>
    <w:rsid w:val="003F7704"/>
    <w:pPr>
      <w:spacing w:after="0" w:line="264" w:lineRule="auto"/>
    </w:pPr>
    <w:rPr>
      <w:rFonts w:ascii="Open Sans Light" w:hAnsi="Open Sans Light" w:cs="Open Sans Light"/>
      <w:sz w:val="18"/>
      <w:szCs w:val="20"/>
    </w:rPr>
  </w:style>
  <w:style w:type="character" w:styleId="CommentReference">
    <w:name w:val="annotation reference"/>
    <w:basedOn w:val="DefaultParagraphFont"/>
    <w:uiPriority w:val="99"/>
    <w:semiHidden/>
    <w:unhideWhenUsed/>
    <w:rsid w:val="003F7704"/>
    <w:rPr>
      <w:sz w:val="16"/>
      <w:szCs w:val="16"/>
    </w:rPr>
  </w:style>
  <w:style w:type="table" w:styleId="TableGrid">
    <w:name w:val="Table Grid"/>
    <w:aliases w:val="Table Grid_russell,TabelEcorys,HTG,Table Grid IDEA"/>
    <w:basedOn w:val="TableNormal"/>
    <w:uiPriority w:val="39"/>
    <w:rsid w:val="003F770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uiPriority w:val="32"/>
    <w:qFormat/>
    <w:rsid w:val="003F7704"/>
    <w:rPr>
      <w:rFonts w:ascii="Arial" w:eastAsiaTheme="minorHAnsi" w:hAnsi="Arial" w:cs="Arial"/>
      <w:i/>
      <w:color w:val="0070C0"/>
      <w:sz w:val="18"/>
      <w:szCs w:val="18"/>
    </w:rPr>
  </w:style>
  <w:style w:type="character" w:customStyle="1" w:styleId="Heading2Char">
    <w:name w:val="Heading 2 Char"/>
    <w:basedOn w:val="DefaultParagraphFont"/>
    <w:link w:val="Heading2"/>
    <w:uiPriority w:val="9"/>
    <w:rsid w:val="00C96708"/>
    <w:rPr>
      <w:rFonts w:ascii="Arial" w:eastAsiaTheme="majorEastAsia" w:hAnsi="Arial" w:cstheme="majorBidi"/>
      <w:iCs/>
      <w:color w:val="0070C0"/>
    </w:rPr>
  </w:style>
  <w:style w:type="character" w:customStyle="1" w:styleId="Heading1Char">
    <w:name w:val="Heading 1 Char"/>
    <w:basedOn w:val="DefaultParagraphFont"/>
    <w:link w:val="Heading1"/>
    <w:uiPriority w:val="9"/>
    <w:rsid w:val="003D4676"/>
    <w:rPr>
      <w:rFonts w:ascii="Arial" w:eastAsiaTheme="majorEastAsia" w:hAnsi="Arial" w:cstheme="majorBidi"/>
      <w:b/>
      <w:bCs/>
      <w:iCs/>
      <w:color w:val="0070C0"/>
      <w:sz w:val="26"/>
      <w:szCs w:val="26"/>
    </w:rPr>
  </w:style>
  <w:style w:type="paragraph" w:styleId="CommentSubject">
    <w:name w:val="annotation subject"/>
    <w:basedOn w:val="CommentText"/>
    <w:next w:val="CommentText"/>
    <w:link w:val="CommentSubjectChar"/>
    <w:uiPriority w:val="99"/>
    <w:semiHidden/>
    <w:unhideWhenUsed/>
    <w:rsid w:val="00A50751"/>
    <w:pPr>
      <w:spacing w:after="0"/>
      <w:jc w:val="left"/>
    </w:pPr>
    <w:rPr>
      <w:rFonts w:ascii="Arial" w:hAnsi="Arial" w:cs="Arial"/>
      <w:b/>
      <w:bCs/>
    </w:rPr>
  </w:style>
  <w:style w:type="character" w:customStyle="1" w:styleId="CommentSubjectChar">
    <w:name w:val="Comment Subject Char"/>
    <w:basedOn w:val="CommentTextChar"/>
    <w:link w:val="CommentSubject"/>
    <w:uiPriority w:val="99"/>
    <w:semiHidden/>
    <w:rsid w:val="00A50751"/>
    <w:rPr>
      <w:rFonts w:ascii="Arial" w:hAnsi="Arial" w:cs="Arial"/>
      <w:b/>
      <w:bCs/>
      <w:sz w:val="20"/>
      <w:szCs w:val="20"/>
      <w:lang w:val="en-GB"/>
    </w:rPr>
  </w:style>
  <w:style w:type="character" w:customStyle="1" w:styleId="Heading3Char">
    <w:name w:val="Heading 3 Char"/>
    <w:basedOn w:val="DefaultParagraphFont"/>
    <w:link w:val="Heading3"/>
    <w:uiPriority w:val="9"/>
    <w:rsid w:val="00096B2B"/>
    <w:rPr>
      <w:rFonts w:ascii="Arial" w:eastAsiaTheme="majorEastAsia" w:hAnsi="Arial" w:cs="Arial"/>
      <w:b/>
      <w:bCs/>
      <w:color w:val="0070C0"/>
      <w:sz w:val="18"/>
      <w:szCs w:val="18"/>
    </w:rPr>
  </w:style>
  <w:style w:type="character" w:styleId="Hyperlink">
    <w:name w:val="Hyperlink"/>
    <w:basedOn w:val="DefaultParagraphFont"/>
    <w:uiPriority w:val="99"/>
    <w:unhideWhenUsed/>
    <w:rsid w:val="005D7DF3"/>
    <w:rPr>
      <w:color w:val="0563C1" w:themeColor="hyperlink"/>
      <w:u w:val="single"/>
    </w:rPr>
  </w:style>
  <w:style w:type="character" w:customStyle="1" w:styleId="UnresolvedMention1">
    <w:name w:val="Unresolved Mention1"/>
    <w:basedOn w:val="DefaultParagraphFont"/>
    <w:uiPriority w:val="99"/>
    <w:semiHidden/>
    <w:unhideWhenUsed/>
    <w:rsid w:val="005D7DF3"/>
    <w:rPr>
      <w:color w:val="605E5C"/>
      <w:shd w:val="clear" w:color="auto" w:fill="E1DFDD"/>
    </w:rPr>
  </w:style>
  <w:style w:type="character" w:styleId="SubtleReference">
    <w:name w:val="Subtle Reference"/>
    <w:basedOn w:val="DefaultParagraphFont"/>
    <w:uiPriority w:val="31"/>
    <w:rsid w:val="00A075A4"/>
    <w:rPr>
      <w:smallCaps/>
      <w:color w:val="5A5A5A" w:themeColor="text1" w:themeTint="A5"/>
    </w:rPr>
  </w:style>
  <w:style w:type="paragraph" w:styleId="FootnoteText">
    <w:name w:val="footnote text"/>
    <w:aliases w:val="single space,footnote text,fn,ALTS FOOTNOTE,ADB,ft,Footnote Text Char1,Footnote Text Char Char,FOOTNOTES,Footnote Text Char Car Char,single space1,footnote text1,fn1,Footnote Text Char2 Char,WB-Fußnotentext,Footnote,f,AD,Fußnote, Char,FN"/>
    <w:basedOn w:val="Normal"/>
    <w:link w:val="FootnoteTextChar"/>
    <w:uiPriority w:val="99"/>
    <w:unhideWhenUsed/>
    <w:qFormat/>
    <w:rsid w:val="00463C15"/>
    <w:pPr>
      <w:spacing w:line="240" w:lineRule="auto"/>
    </w:pPr>
    <w:rPr>
      <w:sz w:val="20"/>
      <w:szCs w:val="20"/>
    </w:rPr>
  </w:style>
  <w:style w:type="character" w:customStyle="1" w:styleId="FootnoteTextChar">
    <w:name w:val="Footnote Text Char"/>
    <w:aliases w:val="single space Char1,footnote text Char1,fn Char1,ALTS FOOTNOTE Char1,ADB Char1,ft Char1,Footnote Text Char1 Char1,Footnote Text Char Char Char1,FOOTNOTES Char1,Footnote Text Char Car Char Char1,single space1 Char1,footnote text1 Char1"/>
    <w:basedOn w:val="DefaultParagraphFont"/>
    <w:link w:val="FootnoteText"/>
    <w:uiPriority w:val="99"/>
    <w:rsid w:val="00463C15"/>
    <w:rPr>
      <w:rFonts w:ascii="Arial" w:hAnsi="Arial" w:cs="Arial"/>
      <w:sz w:val="20"/>
      <w:szCs w:val="20"/>
    </w:rPr>
  </w:style>
  <w:style w:type="character" w:styleId="FootnoteReference">
    <w:name w:val="footnote reference"/>
    <w:aliases w:val="ftref,Char Char,BVI fnr,ftref Char,BVI fnr Char,BVI fnr Car Char,Char Char Car Char,Char Char Char Char Char Char Char Char Char Char Char Char Char Char Char Char Char Char Char Char Car Char,16 Point Char,fr,R,16 Point,sobrescrito"/>
    <w:basedOn w:val="DefaultParagraphFont"/>
    <w:link w:val="BVIfnrCarCarCarCarChar"/>
    <w:uiPriority w:val="99"/>
    <w:unhideWhenUsed/>
    <w:qFormat/>
    <w:rsid w:val="000817EA"/>
    <w:rPr>
      <w:rFonts w:ascii="Arial" w:hAnsi="Arial"/>
      <w:sz w:val="18"/>
      <w:szCs w:val="14"/>
      <w:vertAlign w:val="superscript"/>
    </w:rPr>
  </w:style>
  <w:style w:type="character" w:customStyle="1" w:styleId="NormalPFM1Char">
    <w:name w:val="Normal PFM 1 Char"/>
    <w:link w:val="NormalPFM1"/>
    <w:locked/>
    <w:rsid w:val="000F2385"/>
    <w:rPr>
      <w:rFonts w:ascii="Calibri" w:hAnsi="Calibri" w:cs="Times New Roman"/>
      <w:sz w:val="21"/>
      <w:szCs w:val="21"/>
      <w:lang w:val="en-GB"/>
    </w:rPr>
  </w:style>
  <w:style w:type="paragraph" w:customStyle="1" w:styleId="NormalPFM1">
    <w:name w:val="Normal PFM 1"/>
    <w:basedOn w:val="Normal"/>
    <w:link w:val="NormalPFM1Char"/>
    <w:rsid w:val="000F2385"/>
    <w:pPr>
      <w:spacing w:before="80" w:after="80" w:line="252" w:lineRule="auto"/>
      <w:jc w:val="both"/>
    </w:pPr>
    <w:rPr>
      <w:rFonts w:ascii="Calibri" w:hAnsi="Calibri" w:cs="Times New Roman"/>
      <w:sz w:val="21"/>
      <w:szCs w:val="21"/>
      <w:lang w:val="en-GB"/>
    </w:rPr>
  </w:style>
  <w:style w:type="paragraph" w:styleId="NormalWeb">
    <w:name w:val="Normal (Web)"/>
    <w:basedOn w:val="Normal"/>
    <w:uiPriority w:val="99"/>
    <w:unhideWhenUsed/>
    <w:rsid w:val="00443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lqj4b">
    <w:name w:val="jlqj4b"/>
    <w:basedOn w:val="DefaultParagraphFont"/>
    <w:rsid w:val="004B0F2C"/>
  </w:style>
  <w:style w:type="character" w:customStyle="1" w:styleId="markedcontent">
    <w:name w:val="markedcontent"/>
    <w:basedOn w:val="DefaultParagraphFont"/>
    <w:rsid w:val="004B0F2C"/>
  </w:style>
  <w:style w:type="paragraph" w:customStyle="1" w:styleId="title-doc-first">
    <w:name w:val="title-doc-first"/>
    <w:basedOn w:val="Normal"/>
    <w:rsid w:val="003843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last">
    <w:name w:val="title-doc-last"/>
    <w:basedOn w:val="Normal"/>
    <w:rsid w:val="003843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2">
    <w:name w:val="Footnote Text Char2"/>
    <w:aliases w:val="single space Char,footnote text Char,fn Char,ALTS FOOTNOTE Char,ADB Char,ft Char,Footnote Text Char1 Char,Footnote Text Char Char Char,FOOTNOTES Char,Footnote Text Char Car Char Char,single space1 Char,footnote text1 Char,fn1 Char"/>
    <w:uiPriority w:val="99"/>
    <w:semiHidden/>
    <w:locked/>
    <w:rsid w:val="003A68CB"/>
    <w:rPr>
      <w:rFonts w:ascii="Calibri" w:hAnsi="Calibri" w:cs="Times New Roman"/>
      <w:sz w:val="21"/>
      <w:szCs w:val="21"/>
      <w:lang w:val="en-GB"/>
    </w:rPr>
  </w:style>
  <w:style w:type="paragraph" w:customStyle="1" w:styleId="BVIfnrCarCarCarCarChar">
    <w:name w:val="BVI fnr Car Car Car Car Char"/>
    <w:basedOn w:val="Normal"/>
    <w:link w:val="FootnoteReference"/>
    <w:uiPriority w:val="99"/>
    <w:rsid w:val="000817EA"/>
    <w:pPr>
      <w:ind w:left="284" w:hanging="284"/>
      <w:jc w:val="both"/>
    </w:pPr>
    <w:rPr>
      <w:rFonts w:cstheme="minorBidi"/>
      <w:szCs w:val="14"/>
      <w:vertAlign w:val="superscript"/>
    </w:rPr>
  </w:style>
  <w:style w:type="character" w:styleId="Strong">
    <w:name w:val="Strong"/>
    <w:aliases w:val="H4"/>
    <w:basedOn w:val="DefaultParagraphFont"/>
    <w:uiPriority w:val="22"/>
    <w:qFormat/>
    <w:rsid w:val="00216535"/>
    <w:rPr>
      <w:rFonts w:ascii="Arial" w:hAnsi="Arial"/>
      <w:b/>
      <w:color w:val="0070C0"/>
      <w:sz w:val="18"/>
    </w:rPr>
  </w:style>
  <w:style w:type="paragraph" w:customStyle="1" w:styleId="H5">
    <w:name w:val="H5"/>
    <w:basedOn w:val="Normal"/>
    <w:link w:val="H5Char"/>
    <w:qFormat/>
    <w:rsid w:val="009763F7"/>
    <w:pPr>
      <w:spacing w:after="60"/>
    </w:pPr>
    <w:rPr>
      <w:b/>
      <w:bCs/>
      <w:color w:val="0070C0"/>
    </w:rPr>
  </w:style>
  <w:style w:type="character" w:customStyle="1" w:styleId="H5Char">
    <w:name w:val="H5 Char"/>
    <w:basedOn w:val="DefaultParagraphFont"/>
    <w:link w:val="H5"/>
    <w:rsid w:val="009763F7"/>
    <w:rPr>
      <w:rFonts w:ascii="Arial" w:hAnsi="Arial" w:cs="Arial"/>
      <w:b/>
      <w:bCs/>
      <w:color w:val="0070C0"/>
      <w:sz w:val="18"/>
      <w:szCs w:val="18"/>
    </w:rPr>
  </w:style>
  <w:style w:type="paragraph" w:customStyle="1" w:styleId="N-Bullet">
    <w:name w:val="N-Bullet"/>
    <w:basedOn w:val="ListParagraph"/>
    <w:link w:val="N-BulletChar"/>
    <w:qFormat/>
    <w:rsid w:val="00612618"/>
    <w:pPr>
      <w:numPr>
        <w:numId w:val="65"/>
      </w:numPr>
    </w:pPr>
  </w:style>
  <w:style w:type="character" w:customStyle="1" w:styleId="N-BulletChar">
    <w:name w:val="N-Bullet Char"/>
    <w:basedOn w:val="ListParagraphChar"/>
    <w:link w:val="N-Bullet"/>
    <w:rsid w:val="00276126"/>
    <w:rPr>
      <w:rFonts w:ascii="Arial" w:hAnsi="Arial" w:cs="Arial"/>
      <w:sz w:val="18"/>
      <w:szCs w:val="18"/>
    </w:rPr>
  </w:style>
  <w:style w:type="paragraph" w:customStyle="1" w:styleId="N-Number">
    <w:name w:val="N-Number"/>
    <w:basedOn w:val="ListParagraph"/>
    <w:link w:val="N-NumberChar"/>
    <w:qFormat/>
    <w:rsid w:val="00276126"/>
    <w:pPr>
      <w:numPr>
        <w:numId w:val="4"/>
      </w:numPr>
    </w:pPr>
  </w:style>
  <w:style w:type="character" w:customStyle="1" w:styleId="N-NumberChar">
    <w:name w:val="N-Number Char"/>
    <w:basedOn w:val="ListParagraphChar"/>
    <w:link w:val="N-Number"/>
    <w:rsid w:val="00276126"/>
    <w:rPr>
      <w:rFonts w:ascii="Arial" w:hAnsi="Arial" w:cs="Arial"/>
      <w:sz w:val="18"/>
      <w:szCs w:val="18"/>
    </w:rPr>
  </w:style>
  <w:style w:type="paragraph" w:customStyle="1" w:styleId="T-number">
    <w:name w:val="T-number"/>
    <w:basedOn w:val="EcorysBody"/>
    <w:link w:val="T-numberChar"/>
    <w:qFormat/>
    <w:rsid w:val="00304204"/>
    <w:pPr>
      <w:numPr>
        <w:numId w:val="93"/>
      </w:numPr>
    </w:pPr>
    <w:rPr>
      <w:rFonts w:ascii="Arial" w:hAnsi="Arial" w:cs="Arial"/>
      <w:sz w:val="16"/>
      <w:szCs w:val="16"/>
      <w:lang w:val="en-GB"/>
    </w:rPr>
  </w:style>
  <w:style w:type="character" w:customStyle="1" w:styleId="T-numberChar">
    <w:name w:val="T-number Char"/>
    <w:basedOn w:val="EcorysBodyChar"/>
    <w:link w:val="T-number"/>
    <w:rsid w:val="00304204"/>
    <w:rPr>
      <w:rFonts w:ascii="Arial" w:hAnsi="Arial" w:cs="Arial"/>
      <w:sz w:val="16"/>
      <w:szCs w:val="16"/>
      <w:lang w:val="en-GB"/>
    </w:rPr>
  </w:style>
  <w:style w:type="paragraph" w:customStyle="1" w:styleId="T-bold">
    <w:name w:val="T-bold"/>
    <w:basedOn w:val="EcorysBody"/>
    <w:link w:val="T-boldChar"/>
    <w:qFormat/>
    <w:rsid w:val="00315936"/>
    <w:rPr>
      <w:rFonts w:ascii="Arial" w:hAnsi="Arial" w:cs="Arial"/>
      <w:b/>
      <w:bCs/>
      <w:sz w:val="16"/>
      <w:szCs w:val="16"/>
    </w:rPr>
  </w:style>
  <w:style w:type="character" w:customStyle="1" w:styleId="T-boldChar">
    <w:name w:val="T-bold Char"/>
    <w:basedOn w:val="EcorysBodyChar"/>
    <w:link w:val="T-bold"/>
    <w:rsid w:val="00315936"/>
    <w:rPr>
      <w:rFonts w:ascii="Arial" w:hAnsi="Arial" w:cs="Arial"/>
      <w:b/>
      <w:bCs/>
      <w:sz w:val="16"/>
      <w:szCs w:val="16"/>
    </w:rPr>
  </w:style>
  <w:style w:type="paragraph" w:styleId="Header">
    <w:name w:val="header"/>
    <w:basedOn w:val="Normal"/>
    <w:link w:val="HeaderChar"/>
    <w:uiPriority w:val="99"/>
    <w:unhideWhenUsed/>
    <w:rsid w:val="008F1AB1"/>
    <w:pPr>
      <w:tabs>
        <w:tab w:val="center" w:pos="4513"/>
        <w:tab w:val="right" w:pos="9026"/>
      </w:tabs>
      <w:spacing w:line="240" w:lineRule="auto"/>
    </w:pPr>
  </w:style>
  <w:style w:type="character" w:customStyle="1" w:styleId="HeaderChar">
    <w:name w:val="Header Char"/>
    <w:basedOn w:val="DefaultParagraphFont"/>
    <w:link w:val="Header"/>
    <w:uiPriority w:val="99"/>
    <w:rsid w:val="008F1AB1"/>
    <w:rPr>
      <w:rFonts w:ascii="Arial" w:hAnsi="Arial" w:cs="Arial"/>
      <w:sz w:val="18"/>
      <w:szCs w:val="18"/>
    </w:rPr>
  </w:style>
  <w:style w:type="paragraph" w:styleId="Footer">
    <w:name w:val="footer"/>
    <w:basedOn w:val="Normal"/>
    <w:link w:val="FooterChar"/>
    <w:uiPriority w:val="99"/>
    <w:unhideWhenUsed/>
    <w:rsid w:val="008F1AB1"/>
    <w:pPr>
      <w:tabs>
        <w:tab w:val="center" w:pos="4513"/>
        <w:tab w:val="right" w:pos="9026"/>
      </w:tabs>
      <w:spacing w:line="240" w:lineRule="auto"/>
    </w:pPr>
  </w:style>
  <w:style w:type="character" w:customStyle="1" w:styleId="FooterChar">
    <w:name w:val="Footer Char"/>
    <w:basedOn w:val="DefaultParagraphFont"/>
    <w:link w:val="Footer"/>
    <w:uiPriority w:val="99"/>
    <w:rsid w:val="008F1AB1"/>
    <w:rPr>
      <w:rFonts w:ascii="Arial" w:hAnsi="Arial" w:cs="Arial"/>
      <w:sz w:val="18"/>
      <w:szCs w:val="18"/>
    </w:rPr>
  </w:style>
  <w:style w:type="paragraph" w:customStyle="1" w:styleId="DefaultText">
    <w:name w:val="Default Text"/>
    <w:basedOn w:val="Normal"/>
    <w:link w:val="DefaultTextChar"/>
    <w:rsid w:val="004649C9"/>
    <w:pPr>
      <w:spacing w:line="280" w:lineRule="atLeast"/>
    </w:pPr>
    <w:rPr>
      <w:rFonts w:eastAsia="Times New Roman" w:cs="Times New Roman"/>
      <w:szCs w:val="24"/>
      <w:lang w:val="en-GB" w:eastAsia="nl-NL"/>
    </w:rPr>
  </w:style>
  <w:style w:type="character" w:customStyle="1" w:styleId="DefaultTextChar">
    <w:name w:val="Default Text Char"/>
    <w:basedOn w:val="DefaultParagraphFont"/>
    <w:link w:val="DefaultText"/>
    <w:rsid w:val="004649C9"/>
    <w:rPr>
      <w:rFonts w:ascii="Arial" w:eastAsia="Times New Roman" w:hAnsi="Arial" w:cs="Times New Roman"/>
      <w:sz w:val="18"/>
      <w:szCs w:val="24"/>
      <w:lang w:val="en-GB" w:eastAsia="nl-NL"/>
    </w:rPr>
  </w:style>
  <w:style w:type="paragraph" w:customStyle="1" w:styleId="gmail-msolistparagraph">
    <w:name w:val="gmail-msolistparagraph"/>
    <w:basedOn w:val="Normal"/>
    <w:rsid w:val="004649C9"/>
    <w:pPr>
      <w:spacing w:before="100" w:beforeAutospacing="1" w:after="100" w:afterAutospacing="1" w:line="240" w:lineRule="auto"/>
    </w:pPr>
    <w:rPr>
      <w:rFonts w:ascii="Calibri" w:hAnsi="Calibri" w:cs="Calibri"/>
      <w:sz w:val="22"/>
      <w:szCs w:val="22"/>
    </w:rPr>
  </w:style>
  <w:style w:type="paragraph" w:customStyle="1" w:styleId="H-titel">
    <w:name w:val="H-titel"/>
    <w:basedOn w:val="Normal"/>
    <w:link w:val="H-titelChar"/>
    <w:qFormat/>
    <w:rsid w:val="00C81923"/>
    <w:pPr>
      <w:tabs>
        <w:tab w:val="right" w:pos="810"/>
      </w:tabs>
      <w:spacing w:before="120" w:after="60"/>
      <w:jc w:val="both"/>
    </w:pPr>
    <w:rPr>
      <w:rFonts w:eastAsiaTheme="majorEastAsia" w:cstheme="majorBidi"/>
      <w:color w:val="0070C0"/>
      <w:sz w:val="32"/>
      <w:szCs w:val="32"/>
      <w:lang w:eastAsia="lv-LV"/>
    </w:rPr>
  </w:style>
  <w:style w:type="character" w:customStyle="1" w:styleId="H-titelChar">
    <w:name w:val="H-titel Char"/>
    <w:basedOn w:val="DefaultParagraphFont"/>
    <w:link w:val="H-titel"/>
    <w:rsid w:val="00C81923"/>
    <w:rPr>
      <w:rFonts w:ascii="Arial" w:eastAsiaTheme="majorEastAsia" w:hAnsi="Arial" w:cstheme="majorBidi"/>
      <w:color w:val="0070C0"/>
      <w:sz w:val="32"/>
      <w:szCs w:val="32"/>
      <w:lang w:eastAsia="lv-LV"/>
    </w:rPr>
  </w:style>
  <w:style w:type="paragraph" w:customStyle="1" w:styleId="Default">
    <w:name w:val="Default"/>
    <w:rsid w:val="002C447B"/>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Titel">
    <w:name w:val="Titel"/>
    <w:basedOn w:val="Heading1"/>
    <w:link w:val="TitelChar"/>
    <w:qFormat/>
    <w:rsid w:val="00C81923"/>
  </w:style>
  <w:style w:type="character" w:customStyle="1" w:styleId="TitelChar">
    <w:name w:val="Titel Char"/>
    <w:basedOn w:val="Heading1Char"/>
    <w:link w:val="Titel"/>
    <w:rsid w:val="00C81923"/>
    <w:rPr>
      <w:rFonts w:ascii="Arial" w:eastAsiaTheme="majorEastAsia" w:hAnsi="Arial" w:cstheme="majorBidi"/>
      <w:b/>
      <w:bCs/>
      <w:iCs/>
      <w:color w:val="0070C0"/>
      <w:sz w:val="26"/>
      <w:szCs w:val="26"/>
    </w:rPr>
  </w:style>
  <w:style w:type="paragraph" w:styleId="TOCHeading">
    <w:name w:val="TOC Heading"/>
    <w:basedOn w:val="Heading1"/>
    <w:next w:val="Normal"/>
    <w:uiPriority w:val="39"/>
    <w:unhideWhenUsed/>
    <w:rsid w:val="00C81923"/>
    <w:pPr>
      <w:spacing w:before="240" w:line="259" w:lineRule="auto"/>
      <w:outlineLvl w:val="9"/>
    </w:pPr>
    <w:rPr>
      <w:rFonts w:asciiTheme="majorHAnsi" w:hAnsiTheme="majorHAnsi"/>
      <w:b w:val="0"/>
      <w:bCs w:val="0"/>
      <w:iCs w:val="0"/>
      <w:color w:val="2F5496" w:themeColor="accent1" w:themeShade="BF"/>
      <w:sz w:val="32"/>
      <w:szCs w:val="32"/>
    </w:rPr>
  </w:style>
  <w:style w:type="paragraph" w:styleId="TOC1">
    <w:name w:val="toc 1"/>
    <w:basedOn w:val="Normal"/>
    <w:next w:val="Normal"/>
    <w:autoRedefine/>
    <w:uiPriority w:val="39"/>
    <w:unhideWhenUsed/>
    <w:rsid w:val="004D182B"/>
    <w:pPr>
      <w:tabs>
        <w:tab w:val="left" w:pos="480"/>
        <w:tab w:val="right" w:leader="dot" w:pos="9016"/>
      </w:tabs>
      <w:spacing w:after="100"/>
    </w:pPr>
  </w:style>
  <w:style w:type="paragraph" w:styleId="TOC2">
    <w:name w:val="toc 2"/>
    <w:basedOn w:val="Normal"/>
    <w:next w:val="Normal"/>
    <w:autoRedefine/>
    <w:uiPriority w:val="39"/>
    <w:unhideWhenUsed/>
    <w:rsid w:val="004D182B"/>
    <w:pPr>
      <w:tabs>
        <w:tab w:val="left" w:pos="720"/>
        <w:tab w:val="right" w:leader="dot" w:pos="9016"/>
      </w:tabs>
      <w:spacing w:after="100"/>
      <w:ind w:left="180"/>
    </w:pPr>
  </w:style>
  <w:style w:type="character" w:customStyle="1" w:styleId="Heading5Char">
    <w:name w:val="Heading 5 Char"/>
    <w:basedOn w:val="DefaultParagraphFont"/>
    <w:link w:val="Heading5"/>
    <w:uiPriority w:val="9"/>
    <w:semiHidden/>
    <w:rsid w:val="00AC589A"/>
    <w:rPr>
      <w:rFonts w:asciiTheme="majorHAnsi" w:eastAsiaTheme="majorEastAsia" w:hAnsiTheme="majorHAnsi" w:cstheme="majorBidi"/>
      <w:color w:val="2F5496" w:themeColor="accent1" w:themeShade="BF"/>
      <w:sz w:val="18"/>
      <w:szCs w:val="18"/>
    </w:rPr>
  </w:style>
  <w:style w:type="character" w:customStyle="1" w:styleId="Heading6Char">
    <w:name w:val="Heading 6 Char"/>
    <w:basedOn w:val="DefaultParagraphFont"/>
    <w:link w:val="Heading6"/>
    <w:uiPriority w:val="9"/>
    <w:semiHidden/>
    <w:rsid w:val="00AC589A"/>
    <w:rPr>
      <w:rFonts w:asciiTheme="majorHAnsi" w:eastAsiaTheme="majorEastAsia" w:hAnsiTheme="majorHAnsi" w:cstheme="majorBidi"/>
      <w:color w:val="1F3763" w:themeColor="accent1" w:themeShade="7F"/>
      <w:sz w:val="18"/>
      <w:szCs w:val="18"/>
    </w:rPr>
  </w:style>
  <w:style w:type="character" w:customStyle="1" w:styleId="Heading7Char">
    <w:name w:val="Heading 7 Char"/>
    <w:basedOn w:val="DefaultParagraphFont"/>
    <w:link w:val="Heading7"/>
    <w:uiPriority w:val="9"/>
    <w:semiHidden/>
    <w:rsid w:val="00AC589A"/>
    <w:rPr>
      <w:rFonts w:asciiTheme="majorHAnsi" w:eastAsiaTheme="majorEastAsia" w:hAnsiTheme="majorHAnsi" w:cstheme="majorBidi"/>
      <w:i/>
      <w:iCs/>
      <w:color w:val="1F3763" w:themeColor="accent1" w:themeShade="7F"/>
      <w:sz w:val="18"/>
      <w:szCs w:val="18"/>
    </w:rPr>
  </w:style>
  <w:style w:type="character" w:customStyle="1" w:styleId="Heading8Char">
    <w:name w:val="Heading 8 Char"/>
    <w:basedOn w:val="DefaultParagraphFont"/>
    <w:link w:val="Heading8"/>
    <w:uiPriority w:val="9"/>
    <w:semiHidden/>
    <w:rsid w:val="00AC58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589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4387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4387E"/>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2349C1"/>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2349C1"/>
    <w:rPr>
      <w:rFonts w:ascii="Arial" w:eastAsia="Times New Roman" w:hAnsi="Arial" w:cs="Arial"/>
      <w:vanish/>
      <w:sz w:val="16"/>
      <w:szCs w:val="16"/>
      <w:lang w:val="en-US"/>
    </w:rPr>
  </w:style>
  <w:style w:type="paragraph" w:styleId="Revision">
    <w:name w:val="Revision"/>
    <w:hidden/>
    <w:uiPriority w:val="99"/>
    <w:semiHidden/>
    <w:rsid w:val="009F5B6A"/>
    <w:pPr>
      <w:spacing w:after="0" w:line="240" w:lineRule="auto"/>
    </w:pPr>
    <w:rPr>
      <w:rFonts w:ascii="Arial" w:hAnsi="Arial" w:cs="Arial"/>
      <w:sz w:val="18"/>
      <w:szCs w:val="18"/>
    </w:rPr>
  </w:style>
  <w:style w:type="character" w:customStyle="1" w:styleId="fontstyle01">
    <w:name w:val="fontstyle01"/>
    <w:basedOn w:val="DefaultParagraphFont"/>
    <w:rsid w:val="00BB2BD0"/>
    <w:rPr>
      <w:rFonts w:ascii="Times New Roman" w:hAnsi="Times New Roman" w:cs="Times New Roman" w:hint="default"/>
      <w:b w:val="0"/>
      <w:bCs w:val="0"/>
      <w:i w:val="0"/>
      <w:iCs w:val="0"/>
      <w:color w:val="0D0D0D"/>
      <w:sz w:val="24"/>
      <w:szCs w:val="24"/>
    </w:rPr>
  </w:style>
  <w:style w:type="character" w:customStyle="1" w:styleId="fontstyle21">
    <w:name w:val="fontstyle21"/>
    <w:basedOn w:val="DefaultParagraphFont"/>
    <w:rsid w:val="00BB2BD0"/>
    <w:rPr>
      <w:rFonts w:ascii="Times New Roman" w:hAnsi="Times New Roman" w:cs="Times New Roman" w:hint="default"/>
      <w:b w:val="0"/>
      <w:bCs w:val="0"/>
      <w:i/>
      <w:iCs/>
      <w:color w:val="0D0D0D"/>
      <w:sz w:val="24"/>
      <w:szCs w:val="24"/>
    </w:rPr>
  </w:style>
  <w:style w:type="paragraph" w:customStyle="1" w:styleId="T-normal">
    <w:name w:val="T-normal"/>
    <w:basedOn w:val="Normal"/>
    <w:link w:val="T-normalChar"/>
    <w:qFormat/>
    <w:rsid w:val="00F46411"/>
    <w:rPr>
      <w:sz w:val="16"/>
      <w:szCs w:val="16"/>
    </w:rPr>
  </w:style>
  <w:style w:type="character" w:customStyle="1" w:styleId="T-normalChar">
    <w:name w:val="T-normal Char"/>
    <w:basedOn w:val="DefaultParagraphFont"/>
    <w:link w:val="T-normal"/>
    <w:rsid w:val="00F46411"/>
    <w:rPr>
      <w:rFonts w:ascii="Arial" w:hAnsi="Arial" w:cs="Arial"/>
      <w:sz w:val="16"/>
      <w:szCs w:val="16"/>
    </w:rPr>
  </w:style>
  <w:style w:type="paragraph" w:customStyle="1" w:styleId="T-bullet0">
    <w:name w:val="T-bullet"/>
    <w:basedOn w:val="T-normal"/>
    <w:link w:val="T-bulletChar"/>
    <w:qFormat/>
    <w:rsid w:val="00F46411"/>
    <w:pPr>
      <w:numPr>
        <w:numId w:val="31"/>
      </w:numPr>
    </w:pPr>
  </w:style>
  <w:style w:type="character" w:customStyle="1" w:styleId="T-bulletChar">
    <w:name w:val="T-bullet Char"/>
    <w:basedOn w:val="T-normalChar"/>
    <w:link w:val="T-bullet0"/>
    <w:rsid w:val="00F46411"/>
    <w:rPr>
      <w:rFonts w:ascii="Arial" w:hAnsi="Arial" w:cs="Arial"/>
      <w:sz w:val="16"/>
      <w:szCs w:val="16"/>
    </w:rPr>
  </w:style>
  <w:style w:type="paragraph" w:customStyle="1" w:styleId="T-Bullet">
    <w:name w:val="T-Bullet"/>
    <w:basedOn w:val="T-number"/>
    <w:link w:val="T-BulletChar0"/>
    <w:qFormat/>
    <w:rsid w:val="00641AB4"/>
    <w:pPr>
      <w:numPr>
        <w:numId w:val="32"/>
      </w:numPr>
      <w:tabs>
        <w:tab w:val="num" w:pos="360"/>
      </w:tabs>
    </w:pPr>
    <w:rPr>
      <w:kern w:val="2"/>
      <w14:ligatures w14:val="standardContextual"/>
    </w:rPr>
  </w:style>
  <w:style w:type="character" w:customStyle="1" w:styleId="T-BulletChar0">
    <w:name w:val="T-Bullet Char"/>
    <w:basedOn w:val="T-numberChar"/>
    <w:link w:val="T-Bullet"/>
    <w:rsid w:val="00641AB4"/>
    <w:rPr>
      <w:rFonts w:ascii="Arial" w:hAnsi="Arial" w:cs="Arial"/>
      <w:kern w:val="2"/>
      <w:sz w:val="16"/>
      <w:szCs w:val="16"/>
      <w:lang w:val="en-GB"/>
      <w14:ligatures w14:val="standardContextual"/>
    </w:rPr>
  </w:style>
  <w:style w:type="paragraph" w:customStyle="1" w:styleId="goal-text">
    <w:name w:val="goal-text"/>
    <w:basedOn w:val="Normal"/>
    <w:rsid w:val="00354D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Bold">
    <w:name w:val="N-Bold"/>
    <w:basedOn w:val="Normal"/>
    <w:link w:val="N-BoldChar"/>
    <w:qFormat/>
    <w:rsid w:val="00826493"/>
    <w:rPr>
      <w:rFonts w:eastAsiaTheme="majorEastAsia" w:cstheme="majorBidi"/>
      <w:b/>
      <w:bCs/>
      <w:iCs/>
      <w:szCs w:val="22"/>
    </w:rPr>
  </w:style>
  <w:style w:type="character" w:customStyle="1" w:styleId="N-BoldChar">
    <w:name w:val="N-Bold Char"/>
    <w:basedOn w:val="DefaultParagraphFont"/>
    <w:link w:val="N-Bold"/>
    <w:rsid w:val="00826493"/>
    <w:rPr>
      <w:rFonts w:ascii="Arial" w:eastAsiaTheme="majorEastAsia" w:hAnsi="Arial" w:cstheme="majorBidi"/>
      <w:b/>
      <w:bCs/>
      <w:iCs/>
      <w:sz w:val="18"/>
    </w:rPr>
  </w:style>
  <w:style w:type="character" w:styleId="IntenseEmphasis">
    <w:name w:val="Intense Emphasis"/>
    <w:basedOn w:val="DefaultParagraphFont"/>
    <w:uiPriority w:val="21"/>
    <w:rsid w:val="00AE6597"/>
    <w:rPr>
      <w:b/>
      <w:bCs/>
      <w:i/>
      <w:iCs/>
      <w:color w:val="4472C4" w:themeColor="accent1"/>
    </w:rPr>
  </w:style>
  <w:style w:type="character" w:customStyle="1" w:styleId="rynqvb">
    <w:name w:val="rynqvb"/>
    <w:basedOn w:val="DefaultParagraphFont"/>
    <w:rsid w:val="00630FD2"/>
  </w:style>
  <w:style w:type="character" w:customStyle="1" w:styleId="cf01">
    <w:name w:val="cf01"/>
    <w:basedOn w:val="DefaultParagraphFont"/>
    <w:rsid w:val="0007140E"/>
    <w:rPr>
      <w:rFonts w:ascii="Segoe UI" w:hAnsi="Segoe UI" w:cs="Segoe UI" w:hint="default"/>
      <w:i/>
      <w:iCs/>
      <w:sz w:val="18"/>
      <w:szCs w:val="18"/>
    </w:rPr>
  </w:style>
  <w:style w:type="character" w:styleId="Emphasis">
    <w:name w:val="Emphasis"/>
    <w:basedOn w:val="DefaultParagraphFont"/>
    <w:uiPriority w:val="20"/>
    <w:qFormat/>
    <w:rsid w:val="004C7A5C"/>
    <w:rPr>
      <w:i/>
      <w:iCs/>
    </w:rPr>
  </w:style>
  <w:style w:type="character" w:customStyle="1" w:styleId="hwtze">
    <w:name w:val="hwtze"/>
    <w:basedOn w:val="DefaultParagraphFont"/>
    <w:rsid w:val="00065954"/>
  </w:style>
  <w:style w:type="table" w:customStyle="1" w:styleId="TableGridIDEA1">
    <w:name w:val="Table Grid IDEA1"/>
    <w:basedOn w:val="TableNormal"/>
    <w:next w:val="TableGrid"/>
    <w:uiPriority w:val="39"/>
    <w:rsid w:val="00B45F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IDEA2">
    <w:name w:val="Table Grid IDEA2"/>
    <w:basedOn w:val="TableNormal"/>
    <w:next w:val="TableGrid"/>
    <w:uiPriority w:val="39"/>
    <w:rsid w:val="00B45F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IDEA3">
    <w:name w:val="Table Grid IDEA3"/>
    <w:basedOn w:val="TableNormal"/>
    <w:next w:val="TableGrid"/>
    <w:uiPriority w:val="39"/>
    <w:rsid w:val="00B45F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IDEA4">
    <w:name w:val="Table Grid IDEA4"/>
    <w:basedOn w:val="TableNormal"/>
    <w:next w:val="TableGrid"/>
    <w:uiPriority w:val="39"/>
    <w:rsid w:val="00B45F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IDEA5">
    <w:name w:val="Table Grid IDEA5"/>
    <w:basedOn w:val="TableNormal"/>
    <w:next w:val="TableGrid"/>
    <w:uiPriority w:val="39"/>
    <w:rsid w:val="00D267A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IDEA6">
    <w:name w:val="Table Grid IDEA6"/>
    <w:basedOn w:val="TableNormal"/>
    <w:next w:val="TableGrid"/>
    <w:uiPriority w:val="39"/>
    <w:rsid w:val="00956B69"/>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11">
    <w:name w:val="cf11"/>
    <w:basedOn w:val="DefaultParagraphFont"/>
    <w:rsid w:val="00E35493"/>
    <w:rPr>
      <w:rFonts w:ascii="Segoe UI" w:hAnsi="Segoe UI" w:cs="Segoe UI" w:hint="default"/>
      <w:sz w:val="18"/>
      <w:szCs w:val="18"/>
    </w:rPr>
  </w:style>
  <w:style w:type="character" w:customStyle="1" w:styleId="cf21">
    <w:name w:val="cf21"/>
    <w:basedOn w:val="DefaultParagraphFont"/>
    <w:rsid w:val="00E354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986">
      <w:bodyDiv w:val="1"/>
      <w:marLeft w:val="0"/>
      <w:marRight w:val="0"/>
      <w:marTop w:val="0"/>
      <w:marBottom w:val="0"/>
      <w:divBdr>
        <w:top w:val="none" w:sz="0" w:space="0" w:color="auto"/>
        <w:left w:val="none" w:sz="0" w:space="0" w:color="auto"/>
        <w:bottom w:val="none" w:sz="0" w:space="0" w:color="auto"/>
        <w:right w:val="none" w:sz="0" w:space="0" w:color="auto"/>
      </w:divBdr>
    </w:div>
    <w:div w:id="56050797">
      <w:bodyDiv w:val="1"/>
      <w:marLeft w:val="0"/>
      <w:marRight w:val="0"/>
      <w:marTop w:val="0"/>
      <w:marBottom w:val="0"/>
      <w:divBdr>
        <w:top w:val="none" w:sz="0" w:space="0" w:color="auto"/>
        <w:left w:val="none" w:sz="0" w:space="0" w:color="auto"/>
        <w:bottom w:val="none" w:sz="0" w:space="0" w:color="auto"/>
        <w:right w:val="none" w:sz="0" w:space="0" w:color="auto"/>
      </w:divBdr>
    </w:div>
    <w:div w:id="67853126">
      <w:bodyDiv w:val="1"/>
      <w:marLeft w:val="0"/>
      <w:marRight w:val="0"/>
      <w:marTop w:val="0"/>
      <w:marBottom w:val="0"/>
      <w:divBdr>
        <w:top w:val="none" w:sz="0" w:space="0" w:color="auto"/>
        <w:left w:val="none" w:sz="0" w:space="0" w:color="auto"/>
        <w:bottom w:val="none" w:sz="0" w:space="0" w:color="auto"/>
        <w:right w:val="none" w:sz="0" w:space="0" w:color="auto"/>
      </w:divBdr>
    </w:div>
    <w:div w:id="165558062">
      <w:bodyDiv w:val="1"/>
      <w:marLeft w:val="0"/>
      <w:marRight w:val="0"/>
      <w:marTop w:val="0"/>
      <w:marBottom w:val="0"/>
      <w:divBdr>
        <w:top w:val="none" w:sz="0" w:space="0" w:color="auto"/>
        <w:left w:val="none" w:sz="0" w:space="0" w:color="auto"/>
        <w:bottom w:val="none" w:sz="0" w:space="0" w:color="auto"/>
        <w:right w:val="none" w:sz="0" w:space="0" w:color="auto"/>
      </w:divBdr>
    </w:div>
    <w:div w:id="167795757">
      <w:bodyDiv w:val="1"/>
      <w:marLeft w:val="0"/>
      <w:marRight w:val="0"/>
      <w:marTop w:val="0"/>
      <w:marBottom w:val="0"/>
      <w:divBdr>
        <w:top w:val="none" w:sz="0" w:space="0" w:color="auto"/>
        <w:left w:val="none" w:sz="0" w:space="0" w:color="auto"/>
        <w:bottom w:val="none" w:sz="0" w:space="0" w:color="auto"/>
        <w:right w:val="none" w:sz="0" w:space="0" w:color="auto"/>
      </w:divBdr>
      <w:divsChild>
        <w:div w:id="973173828">
          <w:marLeft w:val="0"/>
          <w:marRight w:val="0"/>
          <w:marTop w:val="0"/>
          <w:marBottom w:val="0"/>
          <w:divBdr>
            <w:top w:val="none" w:sz="0" w:space="0" w:color="auto"/>
            <w:left w:val="none" w:sz="0" w:space="0" w:color="auto"/>
            <w:bottom w:val="none" w:sz="0" w:space="0" w:color="auto"/>
            <w:right w:val="none" w:sz="0" w:space="0" w:color="auto"/>
          </w:divBdr>
        </w:div>
      </w:divsChild>
    </w:div>
    <w:div w:id="233469466">
      <w:bodyDiv w:val="1"/>
      <w:marLeft w:val="0"/>
      <w:marRight w:val="0"/>
      <w:marTop w:val="0"/>
      <w:marBottom w:val="0"/>
      <w:divBdr>
        <w:top w:val="none" w:sz="0" w:space="0" w:color="auto"/>
        <w:left w:val="none" w:sz="0" w:space="0" w:color="auto"/>
        <w:bottom w:val="none" w:sz="0" w:space="0" w:color="auto"/>
        <w:right w:val="none" w:sz="0" w:space="0" w:color="auto"/>
      </w:divBdr>
    </w:div>
    <w:div w:id="251476495">
      <w:bodyDiv w:val="1"/>
      <w:marLeft w:val="0"/>
      <w:marRight w:val="0"/>
      <w:marTop w:val="0"/>
      <w:marBottom w:val="0"/>
      <w:divBdr>
        <w:top w:val="none" w:sz="0" w:space="0" w:color="auto"/>
        <w:left w:val="none" w:sz="0" w:space="0" w:color="auto"/>
        <w:bottom w:val="none" w:sz="0" w:space="0" w:color="auto"/>
        <w:right w:val="none" w:sz="0" w:space="0" w:color="auto"/>
      </w:divBdr>
    </w:div>
    <w:div w:id="271909769">
      <w:bodyDiv w:val="1"/>
      <w:marLeft w:val="0"/>
      <w:marRight w:val="0"/>
      <w:marTop w:val="0"/>
      <w:marBottom w:val="0"/>
      <w:divBdr>
        <w:top w:val="none" w:sz="0" w:space="0" w:color="auto"/>
        <w:left w:val="none" w:sz="0" w:space="0" w:color="auto"/>
        <w:bottom w:val="none" w:sz="0" w:space="0" w:color="auto"/>
        <w:right w:val="none" w:sz="0" w:space="0" w:color="auto"/>
      </w:divBdr>
    </w:div>
    <w:div w:id="274335209">
      <w:bodyDiv w:val="1"/>
      <w:marLeft w:val="0"/>
      <w:marRight w:val="0"/>
      <w:marTop w:val="0"/>
      <w:marBottom w:val="0"/>
      <w:divBdr>
        <w:top w:val="none" w:sz="0" w:space="0" w:color="auto"/>
        <w:left w:val="none" w:sz="0" w:space="0" w:color="auto"/>
        <w:bottom w:val="none" w:sz="0" w:space="0" w:color="auto"/>
        <w:right w:val="none" w:sz="0" w:space="0" w:color="auto"/>
      </w:divBdr>
    </w:div>
    <w:div w:id="279648965">
      <w:bodyDiv w:val="1"/>
      <w:marLeft w:val="0"/>
      <w:marRight w:val="0"/>
      <w:marTop w:val="0"/>
      <w:marBottom w:val="0"/>
      <w:divBdr>
        <w:top w:val="none" w:sz="0" w:space="0" w:color="auto"/>
        <w:left w:val="none" w:sz="0" w:space="0" w:color="auto"/>
        <w:bottom w:val="none" w:sz="0" w:space="0" w:color="auto"/>
        <w:right w:val="none" w:sz="0" w:space="0" w:color="auto"/>
      </w:divBdr>
    </w:div>
    <w:div w:id="346369009">
      <w:bodyDiv w:val="1"/>
      <w:marLeft w:val="0"/>
      <w:marRight w:val="0"/>
      <w:marTop w:val="0"/>
      <w:marBottom w:val="0"/>
      <w:divBdr>
        <w:top w:val="none" w:sz="0" w:space="0" w:color="auto"/>
        <w:left w:val="none" w:sz="0" w:space="0" w:color="auto"/>
        <w:bottom w:val="none" w:sz="0" w:space="0" w:color="auto"/>
        <w:right w:val="none" w:sz="0" w:space="0" w:color="auto"/>
      </w:divBdr>
    </w:div>
    <w:div w:id="459228770">
      <w:bodyDiv w:val="1"/>
      <w:marLeft w:val="0"/>
      <w:marRight w:val="0"/>
      <w:marTop w:val="0"/>
      <w:marBottom w:val="0"/>
      <w:divBdr>
        <w:top w:val="none" w:sz="0" w:space="0" w:color="auto"/>
        <w:left w:val="none" w:sz="0" w:space="0" w:color="auto"/>
        <w:bottom w:val="none" w:sz="0" w:space="0" w:color="auto"/>
        <w:right w:val="none" w:sz="0" w:space="0" w:color="auto"/>
      </w:divBdr>
    </w:div>
    <w:div w:id="485514593">
      <w:bodyDiv w:val="1"/>
      <w:marLeft w:val="0"/>
      <w:marRight w:val="0"/>
      <w:marTop w:val="0"/>
      <w:marBottom w:val="0"/>
      <w:divBdr>
        <w:top w:val="none" w:sz="0" w:space="0" w:color="auto"/>
        <w:left w:val="none" w:sz="0" w:space="0" w:color="auto"/>
        <w:bottom w:val="none" w:sz="0" w:space="0" w:color="auto"/>
        <w:right w:val="none" w:sz="0" w:space="0" w:color="auto"/>
      </w:divBdr>
    </w:div>
    <w:div w:id="490298364">
      <w:bodyDiv w:val="1"/>
      <w:marLeft w:val="0"/>
      <w:marRight w:val="0"/>
      <w:marTop w:val="0"/>
      <w:marBottom w:val="0"/>
      <w:divBdr>
        <w:top w:val="none" w:sz="0" w:space="0" w:color="auto"/>
        <w:left w:val="none" w:sz="0" w:space="0" w:color="auto"/>
        <w:bottom w:val="none" w:sz="0" w:space="0" w:color="auto"/>
        <w:right w:val="none" w:sz="0" w:space="0" w:color="auto"/>
      </w:divBdr>
    </w:div>
    <w:div w:id="516777979">
      <w:bodyDiv w:val="1"/>
      <w:marLeft w:val="0"/>
      <w:marRight w:val="0"/>
      <w:marTop w:val="0"/>
      <w:marBottom w:val="0"/>
      <w:divBdr>
        <w:top w:val="none" w:sz="0" w:space="0" w:color="auto"/>
        <w:left w:val="none" w:sz="0" w:space="0" w:color="auto"/>
        <w:bottom w:val="none" w:sz="0" w:space="0" w:color="auto"/>
        <w:right w:val="none" w:sz="0" w:space="0" w:color="auto"/>
      </w:divBdr>
    </w:div>
    <w:div w:id="545722526">
      <w:bodyDiv w:val="1"/>
      <w:marLeft w:val="0"/>
      <w:marRight w:val="0"/>
      <w:marTop w:val="0"/>
      <w:marBottom w:val="0"/>
      <w:divBdr>
        <w:top w:val="none" w:sz="0" w:space="0" w:color="auto"/>
        <w:left w:val="none" w:sz="0" w:space="0" w:color="auto"/>
        <w:bottom w:val="none" w:sz="0" w:space="0" w:color="auto"/>
        <w:right w:val="none" w:sz="0" w:space="0" w:color="auto"/>
      </w:divBdr>
    </w:div>
    <w:div w:id="546062725">
      <w:bodyDiv w:val="1"/>
      <w:marLeft w:val="0"/>
      <w:marRight w:val="0"/>
      <w:marTop w:val="0"/>
      <w:marBottom w:val="0"/>
      <w:divBdr>
        <w:top w:val="none" w:sz="0" w:space="0" w:color="auto"/>
        <w:left w:val="none" w:sz="0" w:space="0" w:color="auto"/>
        <w:bottom w:val="none" w:sz="0" w:space="0" w:color="auto"/>
        <w:right w:val="none" w:sz="0" w:space="0" w:color="auto"/>
      </w:divBdr>
    </w:div>
    <w:div w:id="571277532">
      <w:bodyDiv w:val="1"/>
      <w:marLeft w:val="0"/>
      <w:marRight w:val="0"/>
      <w:marTop w:val="0"/>
      <w:marBottom w:val="0"/>
      <w:divBdr>
        <w:top w:val="none" w:sz="0" w:space="0" w:color="auto"/>
        <w:left w:val="none" w:sz="0" w:space="0" w:color="auto"/>
        <w:bottom w:val="none" w:sz="0" w:space="0" w:color="auto"/>
        <w:right w:val="none" w:sz="0" w:space="0" w:color="auto"/>
      </w:divBdr>
    </w:div>
    <w:div w:id="576482397">
      <w:bodyDiv w:val="1"/>
      <w:marLeft w:val="0"/>
      <w:marRight w:val="0"/>
      <w:marTop w:val="0"/>
      <w:marBottom w:val="0"/>
      <w:divBdr>
        <w:top w:val="none" w:sz="0" w:space="0" w:color="auto"/>
        <w:left w:val="none" w:sz="0" w:space="0" w:color="auto"/>
        <w:bottom w:val="none" w:sz="0" w:space="0" w:color="auto"/>
        <w:right w:val="none" w:sz="0" w:space="0" w:color="auto"/>
      </w:divBdr>
    </w:div>
    <w:div w:id="598562991">
      <w:bodyDiv w:val="1"/>
      <w:marLeft w:val="0"/>
      <w:marRight w:val="0"/>
      <w:marTop w:val="0"/>
      <w:marBottom w:val="0"/>
      <w:divBdr>
        <w:top w:val="none" w:sz="0" w:space="0" w:color="auto"/>
        <w:left w:val="none" w:sz="0" w:space="0" w:color="auto"/>
        <w:bottom w:val="none" w:sz="0" w:space="0" w:color="auto"/>
        <w:right w:val="none" w:sz="0" w:space="0" w:color="auto"/>
      </w:divBdr>
      <w:divsChild>
        <w:div w:id="517280683">
          <w:marLeft w:val="0"/>
          <w:marRight w:val="0"/>
          <w:marTop w:val="0"/>
          <w:marBottom w:val="0"/>
          <w:divBdr>
            <w:top w:val="none" w:sz="0" w:space="0" w:color="auto"/>
            <w:left w:val="none" w:sz="0" w:space="0" w:color="auto"/>
            <w:bottom w:val="none" w:sz="0" w:space="0" w:color="auto"/>
            <w:right w:val="none" w:sz="0" w:space="0" w:color="auto"/>
          </w:divBdr>
        </w:div>
      </w:divsChild>
    </w:div>
    <w:div w:id="599752097">
      <w:bodyDiv w:val="1"/>
      <w:marLeft w:val="0"/>
      <w:marRight w:val="0"/>
      <w:marTop w:val="0"/>
      <w:marBottom w:val="0"/>
      <w:divBdr>
        <w:top w:val="none" w:sz="0" w:space="0" w:color="auto"/>
        <w:left w:val="none" w:sz="0" w:space="0" w:color="auto"/>
        <w:bottom w:val="none" w:sz="0" w:space="0" w:color="auto"/>
        <w:right w:val="none" w:sz="0" w:space="0" w:color="auto"/>
      </w:divBdr>
    </w:div>
    <w:div w:id="602956424">
      <w:bodyDiv w:val="1"/>
      <w:marLeft w:val="0"/>
      <w:marRight w:val="0"/>
      <w:marTop w:val="0"/>
      <w:marBottom w:val="0"/>
      <w:divBdr>
        <w:top w:val="none" w:sz="0" w:space="0" w:color="auto"/>
        <w:left w:val="none" w:sz="0" w:space="0" w:color="auto"/>
        <w:bottom w:val="none" w:sz="0" w:space="0" w:color="auto"/>
        <w:right w:val="none" w:sz="0" w:space="0" w:color="auto"/>
      </w:divBdr>
    </w:div>
    <w:div w:id="694573094">
      <w:bodyDiv w:val="1"/>
      <w:marLeft w:val="0"/>
      <w:marRight w:val="0"/>
      <w:marTop w:val="0"/>
      <w:marBottom w:val="0"/>
      <w:divBdr>
        <w:top w:val="none" w:sz="0" w:space="0" w:color="auto"/>
        <w:left w:val="none" w:sz="0" w:space="0" w:color="auto"/>
        <w:bottom w:val="none" w:sz="0" w:space="0" w:color="auto"/>
        <w:right w:val="none" w:sz="0" w:space="0" w:color="auto"/>
      </w:divBdr>
    </w:div>
    <w:div w:id="713963558">
      <w:bodyDiv w:val="1"/>
      <w:marLeft w:val="0"/>
      <w:marRight w:val="0"/>
      <w:marTop w:val="0"/>
      <w:marBottom w:val="0"/>
      <w:divBdr>
        <w:top w:val="none" w:sz="0" w:space="0" w:color="auto"/>
        <w:left w:val="none" w:sz="0" w:space="0" w:color="auto"/>
        <w:bottom w:val="none" w:sz="0" w:space="0" w:color="auto"/>
        <w:right w:val="none" w:sz="0" w:space="0" w:color="auto"/>
      </w:divBdr>
      <w:divsChild>
        <w:div w:id="501706904">
          <w:marLeft w:val="0"/>
          <w:marRight w:val="0"/>
          <w:marTop w:val="0"/>
          <w:marBottom w:val="0"/>
          <w:divBdr>
            <w:top w:val="none" w:sz="0" w:space="0" w:color="auto"/>
            <w:left w:val="none" w:sz="0" w:space="0" w:color="auto"/>
            <w:bottom w:val="none" w:sz="0" w:space="0" w:color="auto"/>
            <w:right w:val="none" w:sz="0" w:space="0" w:color="auto"/>
          </w:divBdr>
        </w:div>
        <w:div w:id="1744061506">
          <w:marLeft w:val="0"/>
          <w:marRight w:val="0"/>
          <w:marTop w:val="0"/>
          <w:marBottom w:val="0"/>
          <w:divBdr>
            <w:top w:val="none" w:sz="0" w:space="0" w:color="auto"/>
            <w:left w:val="none" w:sz="0" w:space="0" w:color="auto"/>
            <w:bottom w:val="none" w:sz="0" w:space="0" w:color="auto"/>
            <w:right w:val="none" w:sz="0" w:space="0" w:color="auto"/>
          </w:divBdr>
          <w:divsChild>
            <w:div w:id="4475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8934">
      <w:bodyDiv w:val="1"/>
      <w:marLeft w:val="0"/>
      <w:marRight w:val="0"/>
      <w:marTop w:val="0"/>
      <w:marBottom w:val="0"/>
      <w:divBdr>
        <w:top w:val="none" w:sz="0" w:space="0" w:color="auto"/>
        <w:left w:val="none" w:sz="0" w:space="0" w:color="auto"/>
        <w:bottom w:val="none" w:sz="0" w:space="0" w:color="auto"/>
        <w:right w:val="none" w:sz="0" w:space="0" w:color="auto"/>
      </w:divBdr>
    </w:div>
    <w:div w:id="765421991">
      <w:bodyDiv w:val="1"/>
      <w:marLeft w:val="0"/>
      <w:marRight w:val="0"/>
      <w:marTop w:val="0"/>
      <w:marBottom w:val="0"/>
      <w:divBdr>
        <w:top w:val="none" w:sz="0" w:space="0" w:color="auto"/>
        <w:left w:val="none" w:sz="0" w:space="0" w:color="auto"/>
        <w:bottom w:val="none" w:sz="0" w:space="0" w:color="auto"/>
        <w:right w:val="none" w:sz="0" w:space="0" w:color="auto"/>
      </w:divBdr>
    </w:div>
    <w:div w:id="859204292">
      <w:bodyDiv w:val="1"/>
      <w:marLeft w:val="0"/>
      <w:marRight w:val="0"/>
      <w:marTop w:val="0"/>
      <w:marBottom w:val="0"/>
      <w:divBdr>
        <w:top w:val="none" w:sz="0" w:space="0" w:color="auto"/>
        <w:left w:val="none" w:sz="0" w:space="0" w:color="auto"/>
        <w:bottom w:val="none" w:sz="0" w:space="0" w:color="auto"/>
        <w:right w:val="none" w:sz="0" w:space="0" w:color="auto"/>
      </w:divBdr>
    </w:div>
    <w:div w:id="886649586">
      <w:bodyDiv w:val="1"/>
      <w:marLeft w:val="0"/>
      <w:marRight w:val="0"/>
      <w:marTop w:val="0"/>
      <w:marBottom w:val="0"/>
      <w:divBdr>
        <w:top w:val="none" w:sz="0" w:space="0" w:color="auto"/>
        <w:left w:val="none" w:sz="0" w:space="0" w:color="auto"/>
        <w:bottom w:val="none" w:sz="0" w:space="0" w:color="auto"/>
        <w:right w:val="none" w:sz="0" w:space="0" w:color="auto"/>
      </w:divBdr>
    </w:div>
    <w:div w:id="905145551">
      <w:bodyDiv w:val="1"/>
      <w:marLeft w:val="0"/>
      <w:marRight w:val="0"/>
      <w:marTop w:val="0"/>
      <w:marBottom w:val="0"/>
      <w:divBdr>
        <w:top w:val="none" w:sz="0" w:space="0" w:color="auto"/>
        <w:left w:val="none" w:sz="0" w:space="0" w:color="auto"/>
        <w:bottom w:val="none" w:sz="0" w:space="0" w:color="auto"/>
        <w:right w:val="none" w:sz="0" w:space="0" w:color="auto"/>
      </w:divBdr>
    </w:div>
    <w:div w:id="934047044">
      <w:bodyDiv w:val="1"/>
      <w:marLeft w:val="0"/>
      <w:marRight w:val="0"/>
      <w:marTop w:val="0"/>
      <w:marBottom w:val="0"/>
      <w:divBdr>
        <w:top w:val="none" w:sz="0" w:space="0" w:color="auto"/>
        <w:left w:val="none" w:sz="0" w:space="0" w:color="auto"/>
        <w:bottom w:val="none" w:sz="0" w:space="0" w:color="auto"/>
        <w:right w:val="none" w:sz="0" w:space="0" w:color="auto"/>
      </w:divBdr>
      <w:divsChild>
        <w:div w:id="15233203">
          <w:marLeft w:val="0"/>
          <w:marRight w:val="0"/>
          <w:marTop w:val="0"/>
          <w:marBottom w:val="0"/>
          <w:divBdr>
            <w:top w:val="none" w:sz="0" w:space="0" w:color="auto"/>
            <w:left w:val="none" w:sz="0" w:space="0" w:color="auto"/>
            <w:bottom w:val="none" w:sz="0" w:space="0" w:color="auto"/>
            <w:right w:val="none" w:sz="0" w:space="0" w:color="auto"/>
          </w:divBdr>
        </w:div>
        <w:div w:id="826020276">
          <w:marLeft w:val="0"/>
          <w:marRight w:val="0"/>
          <w:marTop w:val="0"/>
          <w:marBottom w:val="0"/>
          <w:divBdr>
            <w:top w:val="single" w:sz="2" w:space="0" w:color="D9D9E3"/>
            <w:left w:val="single" w:sz="2" w:space="0" w:color="D9D9E3"/>
            <w:bottom w:val="single" w:sz="2" w:space="0" w:color="D9D9E3"/>
            <w:right w:val="single" w:sz="2" w:space="0" w:color="D9D9E3"/>
          </w:divBdr>
          <w:divsChild>
            <w:div w:id="801730712">
              <w:marLeft w:val="0"/>
              <w:marRight w:val="0"/>
              <w:marTop w:val="0"/>
              <w:marBottom w:val="0"/>
              <w:divBdr>
                <w:top w:val="single" w:sz="2" w:space="0" w:color="D9D9E3"/>
                <w:left w:val="single" w:sz="2" w:space="0" w:color="D9D9E3"/>
                <w:bottom w:val="single" w:sz="2" w:space="0" w:color="D9D9E3"/>
                <w:right w:val="single" w:sz="2" w:space="0" w:color="D9D9E3"/>
              </w:divBdr>
              <w:divsChild>
                <w:div w:id="2082292361">
                  <w:marLeft w:val="0"/>
                  <w:marRight w:val="0"/>
                  <w:marTop w:val="0"/>
                  <w:marBottom w:val="0"/>
                  <w:divBdr>
                    <w:top w:val="single" w:sz="2" w:space="0" w:color="D9D9E3"/>
                    <w:left w:val="single" w:sz="2" w:space="0" w:color="D9D9E3"/>
                    <w:bottom w:val="single" w:sz="2" w:space="0" w:color="D9D9E3"/>
                    <w:right w:val="single" w:sz="2" w:space="0" w:color="D9D9E3"/>
                  </w:divBdr>
                  <w:divsChild>
                    <w:div w:id="1514297303">
                      <w:marLeft w:val="0"/>
                      <w:marRight w:val="0"/>
                      <w:marTop w:val="0"/>
                      <w:marBottom w:val="0"/>
                      <w:divBdr>
                        <w:top w:val="single" w:sz="2" w:space="0" w:color="D9D9E3"/>
                        <w:left w:val="single" w:sz="2" w:space="0" w:color="D9D9E3"/>
                        <w:bottom w:val="single" w:sz="2" w:space="0" w:color="D9D9E3"/>
                        <w:right w:val="single" w:sz="2" w:space="0" w:color="D9D9E3"/>
                      </w:divBdr>
                      <w:divsChild>
                        <w:div w:id="779762122">
                          <w:marLeft w:val="0"/>
                          <w:marRight w:val="0"/>
                          <w:marTop w:val="0"/>
                          <w:marBottom w:val="0"/>
                          <w:divBdr>
                            <w:top w:val="single" w:sz="2" w:space="0" w:color="auto"/>
                            <w:left w:val="single" w:sz="2" w:space="0" w:color="auto"/>
                            <w:bottom w:val="single" w:sz="6" w:space="0" w:color="auto"/>
                            <w:right w:val="single" w:sz="2" w:space="0" w:color="auto"/>
                          </w:divBdr>
                          <w:divsChild>
                            <w:div w:id="8014574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68382200">
                                  <w:marLeft w:val="0"/>
                                  <w:marRight w:val="0"/>
                                  <w:marTop w:val="0"/>
                                  <w:marBottom w:val="0"/>
                                  <w:divBdr>
                                    <w:top w:val="single" w:sz="2" w:space="0" w:color="D9D9E3"/>
                                    <w:left w:val="single" w:sz="2" w:space="0" w:color="D9D9E3"/>
                                    <w:bottom w:val="single" w:sz="2" w:space="0" w:color="D9D9E3"/>
                                    <w:right w:val="single" w:sz="2" w:space="0" w:color="D9D9E3"/>
                                  </w:divBdr>
                                  <w:divsChild>
                                    <w:div w:id="119039645">
                                      <w:marLeft w:val="0"/>
                                      <w:marRight w:val="0"/>
                                      <w:marTop w:val="0"/>
                                      <w:marBottom w:val="0"/>
                                      <w:divBdr>
                                        <w:top w:val="single" w:sz="2" w:space="0" w:color="D9D9E3"/>
                                        <w:left w:val="single" w:sz="2" w:space="0" w:color="D9D9E3"/>
                                        <w:bottom w:val="single" w:sz="2" w:space="0" w:color="D9D9E3"/>
                                        <w:right w:val="single" w:sz="2" w:space="0" w:color="D9D9E3"/>
                                      </w:divBdr>
                                      <w:divsChild>
                                        <w:div w:id="1053039858">
                                          <w:marLeft w:val="0"/>
                                          <w:marRight w:val="0"/>
                                          <w:marTop w:val="0"/>
                                          <w:marBottom w:val="0"/>
                                          <w:divBdr>
                                            <w:top w:val="single" w:sz="2" w:space="0" w:color="D9D9E3"/>
                                            <w:left w:val="single" w:sz="2" w:space="0" w:color="D9D9E3"/>
                                            <w:bottom w:val="single" w:sz="2" w:space="0" w:color="D9D9E3"/>
                                            <w:right w:val="single" w:sz="2" w:space="0" w:color="D9D9E3"/>
                                          </w:divBdr>
                                          <w:divsChild>
                                            <w:div w:id="863055433">
                                              <w:marLeft w:val="0"/>
                                              <w:marRight w:val="0"/>
                                              <w:marTop w:val="0"/>
                                              <w:marBottom w:val="0"/>
                                              <w:divBdr>
                                                <w:top w:val="single" w:sz="2" w:space="0" w:color="D9D9E3"/>
                                                <w:left w:val="single" w:sz="2" w:space="0" w:color="D9D9E3"/>
                                                <w:bottom w:val="single" w:sz="2" w:space="0" w:color="D9D9E3"/>
                                                <w:right w:val="single" w:sz="2" w:space="0" w:color="D9D9E3"/>
                                              </w:divBdr>
                                              <w:divsChild>
                                                <w:div w:id="1009451126">
                                                  <w:marLeft w:val="0"/>
                                                  <w:marRight w:val="0"/>
                                                  <w:marTop w:val="0"/>
                                                  <w:marBottom w:val="0"/>
                                                  <w:divBdr>
                                                    <w:top w:val="single" w:sz="2" w:space="0" w:color="D9D9E3"/>
                                                    <w:left w:val="single" w:sz="2" w:space="0" w:color="D9D9E3"/>
                                                    <w:bottom w:val="single" w:sz="2" w:space="0" w:color="D9D9E3"/>
                                                    <w:right w:val="single" w:sz="2" w:space="0" w:color="D9D9E3"/>
                                                  </w:divBdr>
                                                  <w:divsChild>
                                                    <w:div w:id="1337221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91611945">
                          <w:marLeft w:val="0"/>
                          <w:marRight w:val="0"/>
                          <w:marTop w:val="0"/>
                          <w:marBottom w:val="0"/>
                          <w:divBdr>
                            <w:top w:val="single" w:sz="2" w:space="0" w:color="D9D9E3"/>
                            <w:left w:val="single" w:sz="2" w:space="0" w:color="D9D9E3"/>
                            <w:bottom w:val="single" w:sz="2" w:space="0" w:color="D9D9E3"/>
                            <w:right w:val="single" w:sz="2" w:space="0" w:color="D9D9E3"/>
                          </w:divBdr>
                          <w:divsChild>
                            <w:div w:id="1314718959">
                              <w:marLeft w:val="0"/>
                              <w:marRight w:val="0"/>
                              <w:marTop w:val="0"/>
                              <w:marBottom w:val="0"/>
                              <w:divBdr>
                                <w:top w:val="single" w:sz="2" w:space="0" w:color="D9D9E3"/>
                                <w:left w:val="single" w:sz="2" w:space="0" w:color="D9D9E3"/>
                                <w:bottom w:val="single" w:sz="2" w:space="0" w:color="D9D9E3"/>
                                <w:right w:val="single" w:sz="2" w:space="0" w:color="D9D9E3"/>
                              </w:divBdr>
                              <w:divsChild>
                                <w:div w:id="148399627">
                                  <w:marLeft w:val="0"/>
                                  <w:marRight w:val="0"/>
                                  <w:marTop w:val="0"/>
                                  <w:marBottom w:val="0"/>
                                  <w:divBdr>
                                    <w:top w:val="single" w:sz="6" w:space="0" w:color="auto"/>
                                    <w:left w:val="single" w:sz="6" w:space="0" w:color="auto"/>
                                    <w:bottom w:val="single" w:sz="6" w:space="0" w:color="auto"/>
                                    <w:right w:val="single" w:sz="6" w:space="0" w:color="auto"/>
                                  </w:divBdr>
                                  <w:divsChild>
                                    <w:div w:id="300884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36446567">
      <w:bodyDiv w:val="1"/>
      <w:marLeft w:val="0"/>
      <w:marRight w:val="0"/>
      <w:marTop w:val="0"/>
      <w:marBottom w:val="0"/>
      <w:divBdr>
        <w:top w:val="none" w:sz="0" w:space="0" w:color="auto"/>
        <w:left w:val="none" w:sz="0" w:space="0" w:color="auto"/>
        <w:bottom w:val="none" w:sz="0" w:space="0" w:color="auto"/>
        <w:right w:val="none" w:sz="0" w:space="0" w:color="auto"/>
      </w:divBdr>
    </w:div>
    <w:div w:id="938877416">
      <w:bodyDiv w:val="1"/>
      <w:marLeft w:val="0"/>
      <w:marRight w:val="0"/>
      <w:marTop w:val="0"/>
      <w:marBottom w:val="0"/>
      <w:divBdr>
        <w:top w:val="none" w:sz="0" w:space="0" w:color="auto"/>
        <w:left w:val="none" w:sz="0" w:space="0" w:color="auto"/>
        <w:bottom w:val="none" w:sz="0" w:space="0" w:color="auto"/>
        <w:right w:val="none" w:sz="0" w:space="0" w:color="auto"/>
      </w:divBdr>
    </w:div>
    <w:div w:id="969243900">
      <w:bodyDiv w:val="1"/>
      <w:marLeft w:val="0"/>
      <w:marRight w:val="0"/>
      <w:marTop w:val="0"/>
      <w:marBottom w:val="0"/>
      <w:divBdr>
        <w:top w:val="none" w:sz="0" w:space="0" w:color="auto"/>
        <w:left w:val="none" w:sz="0" w:space="0" w:color="auto"/>
        <w:bottom w:val="none" w:sz="0" w:space="0" w:color="auto"/>
        <w:right w:val="none" w:sz="0" w:space="0" w:color="auto"/>
      </w:divBdr>
    </w:div>
    <w:div w:id="1073115012">
      <w:bodyDiv w:val="1"/>
      <w:marLeft w:val="0"/>
      <w:marRight w:val="0"/>
      <w:marTop w:val="0"/>
      <w:marBottom w:val="0"/>
      <w:divBdr>
        <w:top w:val="none" w:sz="0" w:space="0" w:color="auto"/>
        <w:left w:val="none" w:sz="0" w:space="0" w:color="auto"/>
        <w:bottom w:val="none" w:sz="0" w:space="0" w:color="auto"/>
        <w:right w:val="none" w:sz="0" w:space="0" w:color="auto"/>
      </w:divBdr>
    </w:div>
    <w:div w:id="1163811871">
      <w:bodyDiv w:val="1"/>
      <w:marLeft w:val="0"/>
      <w:marRight w:val="0"/>
      <w:marTop w:val="0"/>
      <w:marBottom w:val="0"/>
      <w:divBdr>
        <w:top w:val="none" w:sz="0" w:space="0" w:color="auto"/>
        <w:left w:val="none" w:sz="0" w:space="0" w:color="auto"/>
        <w:bottom w:val="none" w:sz="0" w:space="0" w:color="auto"/>
        <w:right w:val="none" w:sz="0" w:space="0" w:color="auto"/>
      </w:divBdr>
      <w:divsChild>
        <w:div w:id="2109883480">
          <w:marLeft w:val="0"/>
          <w:marRight w:val="0"/>
          <w:marTop w:val="0"/>
          <w:marBottom w:val="0"/>
          <w:divBdr>
            <w:top w:val="none" w:sz="0" w:space="0" w:color="auto"/>
            <w:left w:val="none" w:sz="0" w:space="0" w:color="auto"/>
            <w:bottom w:val="none" w:sz="0" w:space="0" w:color="auto"/>
            <w:right w:val="none" w:sz="0" w:space="0" w:color="auto"/>
          </w:divBdr>
        </w:div>
        <w:div w:id="172498077">
          <w:marLeft w:val="0"/>
          <w:marRight w:val="0"/>
          <w:marTop w:val="0"/>
          <w:marBottom w:val="0"/>
          <w:divBdr>
            <w:top w:val="none" w:sz="0" w:space="0" w:color="auto"/>
            <w:left w:val="none" w:sz="0" w:space="0" w:color="auto"/>
            <w:bottom w:val="none" w:sz="0" w:space="0" w:color="auto"/>
            <w:right w:val="none" w:sz="0" w:space="0" w:color="auto"/>
          </w:divBdr>
          <w:divsChild>
            <w:div w:id="19098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04204">
      <w:bodyDiv w:val="1"/>
      <w:marLeft w:val="0"/>
      <w:marRight w:val="0"/>
      <w:marTop w:val="0"/>
      <w:marBottom w:val="0"/>
      <w:divBdr>
        <w:top w:val="none" w:sz="0" w:space="0" w:color="auto"/>
        <w:left w:val="none" w:sz="0" w:space="0" w:color="auto"/>
        <w:bottom w:val="none" w:sz="0" w:space="0" w:color="auto"/>
        <w:right w:val="none" w:sz="0" w:space="0" w:color="auto"/>
      </w:divBdr>
    </w:div>
    <w:div w:id="1223831152">
      <w:bodyDiv w:val="1"/>
      <w:marLeft w:val="0"/>
      <w:marRight w:val="0"/>
      <w:marTop w:val="0"/>
      <w:marBottom w:val="0"/>
      <w:divBdr>
        <w:top w:val="none" w:sz="0" w:space="0" w:color="auto"/>
        <w:left w:val="none" w:sz="0" w:space="0" w:color="auto"/>
        <w:bottom w:val="none" w:sz="0" w:space="0" w:color="auto"/>
        <w:right w:val="none" w:sz="0" w:space="0" w:color="auto"/>
      </w:divBdr>
    </w:div>
    <w:div w:id="1238592179">
      <w:bodyDiv w:val="1"/>
      <w:marLeft w:val="0"/>
      <w:marRight w:val="0"/>
      <w:marTop w:val="0"/>
      <w:marBottom w:val="0"/>
      <w:divBdr>
        <w:top w:val="none" w:sz="0" w:space="0" w:color="auto"/>
        <w:left w:val="none" w:sz="0" w:space="0" w:color="auto"/>
        <w:bottom w:val="none" w:sz="0" w:space="0" w:color="auto"/>
        <w:right w:val="none" w:sz="0" w:space="0" w:color="auto"/>
      </w:divBdr>
    </w:div>
    <w:div w:id="1241135207">
      <w:bodyDiv w:val="1"/>
      <w:marLeft w:val="0"/>
      <w:marRight w:val="0"/>
      <w:marTop w:val="0"/>
      <w:marBottom w:val="0"/>
      <w:divBdr>
        <w:top w:val="none" w:sz="0" w:space="0" w:color="auto"/>
        <w:left w:val="none" w:sz="0" w:space="0" w:color="auto"/>
        <w:bottom w:val="none" w:sz="0" w:space="0" w:color="auto"/>
        <w:right w:val="none" w:sz="0" w:space="0" w:color="auto"/>
      </w:divBdr>
    </w:div>
    <w:div w:id="1252816433">
      <w:bodyDiv w:val="1"/>
      <w:marLeft w:val="0"/>
      <w:marRight w:val="0"/>
      <w:marTop w:val="0"/>
      <w:marBottom w:val="0"/>
      <w:divBdr>
        <w:top w:val="none" w:sz="0" w:space="0" w:color="auto"/>
        <w:left w:val="none" w:sz="0" w:space="0" w:color="auto"/>
        <w:bottom w:val="none" w:sz="0" w:space="0" w:color="auto"/>
        <w:right w:val="none" w:sz="0" w:space="0" w:color="auto"/>
      </w:divBdr>
    </w:div>
    <w:div w:id="1275943764">
      <w:bodyDiv w:val="1"/>
      <w:marLeft w:val="0"/>
      <w:marRight w:val="0"/>
      <w:marTop w:val="0"/>
      <w:marBottom w:val="0"/>
      <w:divBdr>
        <w:top w:val="none" w:sz="0" w:space="0" w:color="auto"/>
        <w:left w:val="none" w:sz="0" w:space="0" w:color="auto"/>
        <w:bottom w:val="none" w:sz="0" w:space="0" w:color="auto"/>
        <w:right w:val="none" w:sz="0" w:space="0" w:color="auto"/>
      </w:divBdr>
    </w:div>
    <w:div w:id="1301501519">
      <w:bodyDiv w:val="1"/>
      <w:marLeft w:val="0"/>
      <w:marRight w:val="0"/>
      <w:marTop w:val="0"/>
      <w:marBottom w:val="0"/>
      <w:divBdr>
        <w:top w:val="none" w:sz="0" w:space="0" w:color="auto"/>
        <w:left w:val="none" w:sz="0" w:space="0" w:color="auto"/>
        <w:bottom w:val="none" w:sz="0" w:space="0" w:color="auto"/>
        <w:right w:val="none" w:sz="0" w:space="0" w:color="auto"/>
      </w:divBdr>
    </w:div>
    <w:div w:id="1324623690">
      <w:bodyDiv w:val="1"/>
      <w:marLeft w:val="0"/>
      <w:marRight w:val="0"/>
      <w:marTop w:val="0"/>
      <w:marBottom w:val="0"/>
      <w:divBdr>
        <w:top w:val="none" w:sz="0" w:space="0" w:color="auto"/>
        <w:left w:val="none" w:sz="0" w:space="0" w:color="auto"/>
        <w:bottom w:val="none" w:sz="0" w:space="0" w:color="auto"/>
        <w:right w:val="none" w:sz="0" w:space="0" w:color="auto"/>
      </w:divBdr>
    </w:div>
    <w:div w:id="1334918881">
      <w:bodyDiv w:val="1"/>
      <w:marLeft w:val="0"/>
      <w:marRight w:val="0"/>
      <w:marTop w:val="0"/>
      <w:marBottom w:val="0"/>
      <w:divBdr>
        <w:top w:val="none" w:sz="0" w:space="0" w:color="auto"/>
        <w:left w:val="none" w:sz="0" w:space="0" w:color="auto"/>
        <w:bottom w:val="none" w:sz="0" w:space="0" w:color="auto"/>
        <w:right w:val="none" w:sz="0" w:space="0" w:color="auto"/>
      </w:divBdr>
    </w:div>
    <w:div w:id="1346396629">
      <w:bodyDiv w:val="1"/>
      <w:marLeft w:val="0"/>
      <w:marRight w:val="0"/>
      <w:marTop w:val="0"/>
      <w:marBottom w:val="0"/>
      <w:divBdr>
        <w:top w:val="none" w:sz="0" w:space="0" w:color="auto"/>
        <w:left w:val="none" w:sz="0" w:space="0" w:color="auto"/>
        <w:bottom w:val="none" w:sz="0" w:space="0" w:color="auto"/>
        <w:right w:val="none" w:sz="0" w:space="0" w:color="auto"/>
      </w:divBdr>
    </w:div>
    <w:div w:id="1425225470">
      <w:bodyDiv w:val="1"/>
      <w:marLeft w:val="0"/>
      <w:marRight w:val="0"/>
      <w:marTop w:val="0"/>
      <w:marBottom w:val="0"/>
      <w:divBdr>
        <w:top w:val="none" w:sz="0" w:space="0" w:color="auto"/>
        <w:left w:val="none" w:sz="0" w:space="0" w:color="auto"/>
        <w:bottom w:val="none" w:sz="0" w:space="0" w:color="auto"/>
        <w:right w:val="none" w:sz="0" w:space="0" w:color="auto"/>
      </w:divBdr>
    </w:div>
    <w:div w:id="1430782285">
      <w:bodyDiv w:val="1"/>
      <w:marLeft w:val="0"/>
      <w:marRight w:val="0"/>
      <w:marTop w:val="0"/>
      <w:marBottom w:val="0"/>
      <w:divBdr>
        <w:top w:val="none" w:sz="0" w:space="0" w:color="auto"/>
        <w:left w:val="none" w:sz="0" w:space="0" w:color="auto"/>
        <w:bottom w:val="none" w:sz="0" w:space="0" w:color="auto"/>
        <w:right w:val="none" w:sz="0" w:space="0" w:color="auto"/>
      </w:divBdr>
    </w:div>
    <w:div w:id="1486628181">
      <w:bodyDiv w:val="1"/>
      <w:marLeft w:val="0"/>
      <w:marRight w:val="0"/>
      <w:marTop w:val="0"/>
      <w:marBottom w:val="0"/>
      <w:divBdr>
        <w:top w:val="none" w:sz="0" w:space="0" w:color="auto"/>
        <w:left w:val="none" w:sz="0" w:space="0" w:color="auto"/>
        <w:bottom w:val="none" w:sz="0" w:space="0" w:color="auto"/>
        <w:right w:val="none" w:sz="0" w:space="0" w:color="auto"/>
      </w:divBdr>
    </w:div>
    <w:div w:id="1524006287">
      <w:bodyDiv w:val="1"/>
      <w:marLeft w:val="0"/>
      <w:marRight w:val="0"/>
      <w:marTop w:val="0"/>
      <w:marBottom w:val="0"/>
      <w:divBdr>
        <w:top w:val="none" w:sz="0" w:space="0" w:color="auto"/>
        <w:left w:val="none" w:sz="0" w:space="0" w:color="auto"/>
        <w:bottom w:val="none" w:sz="0" w:space="0" w:color="auto"/>
        <w:right w:val="none" w:sz="0" w:space="0" w:color="auto"/>
      </w:divBdr>
    </w:div>
    <w:div w:id="1530071458">
      <w:bodyDiv w:val="1"/>
      <w:marLeft w:val="0"/>
      <w:marRight w:val="0"/>
      <w:marTop w:val="0"/>
      <w:marBottom w:val="0"/>
      <w:divBdr>
        <w:top w:val="none" w:sz="0" w:space="0" w:color="auto"/>
        <w:left w:val="none" w:sz="0" w:space="0" w:color="auto"/>
        <w:bottom w:val="none" w:sz="0" w:space="0" w:color="auto"/>
        <w:right w:val="none" w:sz="0" w:space="0" w:color="auto"/>
      </w:divBdr>
    </w:div>
    <w:div w:id="1545944326">
      <w:bodyDiv w:val="1"/>
      <w:marLeft w:val="0"/>
      <w:marRight w:val="0"/>
      <w:marTop w:val="0"/>
      <w:marBottom w:val="0"/>
      <w:divBdr>
        <w:top w:val="none" w:sz="0" w:space="0" w:color="auto"/>
        <w:left w:val="none" w:sz="0" w:space="0" w:color="auto"/>
        <w:bottom w:val="none" w:sz="0" w:space="0" w:color="auto"/>
        <w:right w:val="none" w:sz="0" w:space="0" w:color="auto"/>
      </w:divBdr>
    </w:div>
    <w:div w:id="1553031887">
      <w:bodyDiv w:val="1"/>
      <w:marLeft w:val="0"/>
      <w:marRight w:val="0"/>
      <w:marTop w:val="0"/>
      <w:marBottom w:val="0"/>
      <w:divBdr>
        <w:top w:val="none" w:sz="0" w:space="0" w:color="auto"/>
        <w:left w:val="none" w:sz="0" w:space="0" w:color="auto"/>
        <w:bottom w:val="none" w:sz="0" w:space="0" w:color="auto"/>
        <w:right w:val="none" w:sz="0" w:space="0" w:color="auto"/>
      </w:divBdr>
    </w:div>
    <w:div w:id="1612080923">
      <w:bodyDiv w:val="1"/>
      <w:marLeft w:val="0"/>
      <w:marRight w:val="0"/>
      <w:marTop w:val="0"/>
      <w:marBottom w:val="0"/>
      <w:divBdr>
        <w:top w:val="none" w:sz="0" w:space="0" w:color="auto"/>
        <w:left w:val="none" w:sz="0" w:space="0" w:color="auto"/>
        <w:bottom w:val="none" w:sz="0" w:space="0" w:color="auto"/>
        <w:right w:val="none" w:sz="0" w:space="0" w:color="auto"/>
      </w:divBdr>
    </w:div>
    <w:div w:id="1654217290">
      <w:bodyDiv w:val="1"/>
      <w:marLeft w:val="0"/>
      <w:marRight w:val="0"/>
      <w:marTop w:val="0"/>
      <w:marBottom w:val="0"/>
      <w:divBdr>
        <w:top w:val="none" w:sz="0" w:space="0" w:color="auto"/>
        <w:left w:val="none" w:sz="0" w:space="0" w:color="auto"/>
        <w:bottom w:val="none" w:sz="0" w:space="0" w:color="auto"/>
        <w:right w:val="none" w:sz="0" w:space="0" w:color="auto"/>
      </w:divBdr>
    </w:div>
    <w:div w:id="1659188942">
      <w:bodyDiv w:val="1"/>
      <w:marLeft w:val="0"/>
      <w:marRight w:val="0"/>
      <w:marTop w:val="0"/>
      <w:marBottom w:val="0"/>
      <w:divBdr>
        <w:top w:val="none" w:sz="0" w:space="0" w:color="auto"/>
        <w:left w:val="none" w:sz="0" w:space="0" w:color="auto"/>
        <w:bottom w:val="none" w:sz="0" w:space="0" w:color="auto"/>
        <w:right w:val="none" w:sz="0" w:space="0" w:color="auto"/>
      </w:divBdr>
    </w:div>
    <w:div w:id="1704944758">
      <w:bodyDiv w:val="1"/>
      <w:marLeft w:val="0"/>
      <w:marRight w:val="0"/>
      <w:marTop w:val="0"/>
      <w:marBottom w:val="0"/>
      <w:divBdr>
        <w:top w:val="none" w:sz="0" w:space="0" w:color="auto"/>
        <w:left w:val="none" w:sz="0" w:space="0" w:color="auto"/>
        <w:bottom w:val="none" w:sz="0" w:space="0" w:color="auto"/>
        <w:right w:val="none" w:sz="0" w:space="0" w:color="auto"/>
      </w:divBdr>
    </w:div>
    <w:div w:id="1707095605">
      <w:bodyDiv w:val="1"/>
      <w:marLeft w:val="0"/>
      <w:marRight w:val="0"/>
      <w:marTop w:val="0"/>
      <w:marBottom w:val="0"/>
      <w:divBdr>
        <w:top w:val="none" w:sz="0" w:space="0" w:color="auto"/>
        <w:left w:val="none" w:sz="0" w:space="0" w:color="auto"/>
        <w:bottom w:val="none" w:sz="0" w:space="0" w:color="auto"/>
        <w:right w:val="none" w:sz="0" w:space="0" w:color="auto"/>
      </w:divBdr>
    </w:div>
    <w:div w:id="1712684572">
      <w:bodyDiv w:val="1"/>
      <w:marLeft w:val="0"/>
      <w:marRight w:val="0"/>
      <w:marTop w:val="0"/>
      <w:marBottom w:val="0"/>
      <w:divBdr>
        <w:top w:val="none" w:sz="0" w:space="0" w:color="auto"/>
        <w:left w:val="none" w:sz="0" w:space="0" w:color="auto"/>
        <w:bottom w:val="none" w:sz="0" w:space="0" w:color="auto"/>
        <w:right w:val="none" w:sz="0" w:space="0" w:color="auto"/>
      </w:divBdr>
    </w:div>
    <w:div w:id="1734082937">
      <w:bodyDiv w:val="1"/>
      <w:marLeft w:val="0"/>
      <w:marRight w:val="0"/>
      <w:marTop w:val="0"/>
      <w:marBottom w:val="0"/>
      <w:divBdr>
        <w:top w:val="none" w:sz="0" w:space="0" w:color="auto"/>
        <w:left w:val="none" w:sz="0" w:space="0" w:color="auto"/>
        <w:bottom w:val="none" w:sz="0" w:space="0" w:color="auto"/>
        <w:right w:val="none" w:sz="0" w:space="0" w:color="auto"/>
      </w:divBdr>
    </w:div>
    <w:div w:id="1745950289">
      <w:bodyDiv w:val="1"/>
      <w:marLeft w:val="0"/>
      <w:marRight w:val="0"/>
      <w:marTop w:val="0"/>
      <w:marBottom w:val="0"/>
      <w:divBdr>
        <w:top w:val="none" w:sz="0" w:space="0" w:color="auto"/>
        <w:left w:val="none" w:sz="0" w:space="0" w:color="auto"/>
        <w:bottom w:val="none" w:sz="0" w:space="0" w:color="auto"/>
        <w:right w:val="none" w:sz="0" w:space="0" w:color="auto"/>
      </w:divBdr>
    </w:div>
    <w:div w:id="1782021229">
      <w:bodyDiv w:val="1"/>
      <w:marLeft w:val="0"/>
      <w:marRight w:val="0"/>
      <w:marTop w:val="0"/>
      <w:marBottom w:val="0"/>
      <w:divBdr>
        <w:top w:val="none" w:sz="0" w:space="0" w:color="auto"/>
        <w:left w:val="none" w:sz="0" w:space="0" w:color="auto"/>
        <w:bottom w:val="none" w:sz="0" w:space="0" w:color="auto"/>
        <w:right w:val="none" w:sz="0" w:space="0" w:color="auto"/>
      </w:divBdr>
    </w:div>
    <w:div w:id="1785463314">
      <w:bodyDiv w:val="1"/>
      <w:marLeft w:val="0"/>
      <w:marRight w:val="0"/>
      <w:marTop w:val="0"/>
      <w:marBottom w:val="0"/>
      <w:divBdr>
        <w:top w:val="none" w:sz="0" w:space="0" w:color="auto"/>
        <w:left w:val="none" w:sz="0" w:space="0" w:color="auto"/>
        <w:bottom w:val="none" w:sz="0" w:space="0" w:color="auto"/>
        <w:right w:val="none" w:sz="0" w:space="0" w:color="auto"/>
      </w:divBdr>
    </w:div>
    <w:div w:id="1868443030">
      <w:bodyDiv w:val="1"/>
      <w:marLeft w:val="0"/>
      <w:marRight w:val="0"/>
      <w:marTop w:val="0"/>
      <w:marBottom w:val="0"/>
      <w:divBdr>
        <w:top w:val="none" w:sz="0" w:space="0" w:color="auto"/>
        <w:left w:val="none" w:sz="0" w:space="0" w:color="auto"/>
        <w:bottom w:val="none" w:sz="0" w:space="0" w:color="auto"/>
        <w:right w:val="none" w:sz="0" w:space="0" w:color="auto"/>
      </w:divBdr>
    </w:div>
    <w:div w:id="1875119183">
      <w:bodyDiv w:val="1"/>
      <w:marLeft w:val="0"/>
      <w:marRight w:val="0"/>
      <w:marTop w:val="0"/>
      <w:marBottom w:val="0"/>
      <w:divBdr>
        <w:top w:val="none" w:sz="0" w:space="0" w:color="auto"/>
        <w:left w:val="none" w:sz="0" w:space="0" w:color="auto"/>
        <w:bottom w:val="none" w:sz="0" w:space="0" w:color="auto"/>
        <w:right w:val="none" w:sz="0" w:space="0" w:color="auto"/>
      </w:divBdr>
    </w:div>
    <w:div w:id="1888368851">
      <w:bodyDiv w:val="1"/>
      <w:marLeft w:val="0"/>
      <w:marRight w:val="0"/>
      <w:marTop w:val="0"/>
      <w:marBottom w:val="0"/>
      <w:divBdr>
        <w:top w:val="none" w:sz="0" w:space="0" w:color="auto"/>
        <w:left w:val="none" w:sz="0" w:space="0" w:color="auto"/>
        <w:bottom w:val="none" w:sz="0" w:space="0" w:color="auto"/>
        <w:right w:val="none" w:sz="0" w:space="0" w:color="auto"/>
      </w:divBdr>
    </w:div>
    <w:div w:id="1907689984">
      <w:bodyDiv w:val="1"/>
      <w:marLeft w:val="0"/>
      <w:marRight w:val="0"/>
      <w:marTop w:val="0"/>
      <w:marBottom w:val="0"/>
      <w:divBdr>
        <w:top w:val="none" w:sz="0" w:space="0" w:color="auto"/>
        <w:left w:val="none" w:sz="0" w:space="0" w:color="auto"/>
        <w:bottom w:val="none" w:sz="0" w:space="0" w:color="auto"/>
        <w:right w:val="none" w:sz="0" w:space="0" w:color="auto"/>
      </w:divBdr>
    </w:div>
    <w:div w:id="1918787126">
      <w:bodyDiv w:val="1"/>
      <w:marLeft w:val="0"/>
      <w:marRight w:val="0"/>
      <w:marTop w:val="0"/>
      <w:marBottom w:val="0"/>
      <w:divBdr>
        <w:top w:val="none" w:sz="0" w:space="0" w:color="auto"/>
        <w:left w:val="none" w:sz="0" w:space="0" w:color="auto"/>
        <w:bottom w:val="none" w:sz="0" w:space="0" w:color="auto"/>
        <w:right w:val="none" w:sz="0" w:space="0" w:color="auto"/>
      </w:divBdr>
    </w:div>
    <w:div w:id="1932158713">
      <w:bodyDiv w:val="1"/>
      <w:marLeft w:val="0"/>
      <w:marRight w:val="0"/>
      <w:marTop w:val="0"/>
      <w:marBottom w:val="0"/>
      <w:divBdr>
        <w:top w:val="none" w:sz="0" w:space="0" w:color="auto"/>
        <w:left w:val="none" w:sz="0" w:space="0" w:color="auto"/>
        <w:bottom w:val="none" w:sz="0" w:space="0" w:color="auto"/>
        <w:right w:val="none" w:sz="0" w:space="0" w:color="auto"/>
      </w:divBdr>
    </w:div>
    <w:div w:id="1947614613">
      <w:bodyDiv w:val="1"/>
      <w:marLeft w:val="0"/>
      <w:marRight w:val="0"/>
      <w:marTop w:val="0"/>
      <w:marBottom w:val="0"/>
      <w:divBdr>
        <w:top w:val="none" w:sz="0" w:space="0" w:color="auto"/>
        <w:left w:val="none" w:sz="0" w:space="0" w:color="auto"/>
        <w:bottom w:val="none" w:sz="0" w:space="0" w:color="auto"/>
        <w:right w:val="none" w:sz="0" w:space="0" w:color="auto"/>
      </w:divBdr>
    </w:div>
    <w:div w:id="2000883577">
      <w:bodyDiv w:val="1"/>
      <w:marLeft w:val="0"/>
      <w:marRight w:val="0"/>
      <w:marTop w:val="0"/>
      <w:marBottom w:val="0"/>
      <w:divBdr>
        <w:top w:val="none" w:sz="0" w:space="0" w:color="auto"/>
        <w:left w:val="none" w:sz="0" w:space="0" w:color="auto"/>
        <w:bottom w:val="none" w:sz="0" w:space="0" w:color="auto"/>
        <w:right w:val="none" w:sz="0" w:space="0" w:color="auto"/>
      </w:divBdr>
    </w:div>
    <w:div w:id="2044330737">
      <w:bodyDiv w:val="1"/>
      <w:marLeft w:val="0"/>
      <w:marRight w:val="0"/>
      <w:marTop w:val="0"/>
      <w:marBottom w:val="0"/>
      <w:divBdr>
        <w:top w:val="none" w:sz="0" w:space="0" w:color="auto"/>
        <w:left w:val="none" w:sz="0" w:space="0" w:color="auto"/>
        <w:bottom w:val="none" w:sz="0" w:space="0" w:color="auto"/>
        <w:right w:val="none" w:sz="0" w:space="0" w:color="auto"/>
      </w:divBdr>
    </w:div>
    <w:div w:id="2071614536">
      <w:bodyDiv w:val="1"/>
      <w:marLeft w:val="0"/>
      <w:marRight w:val="0"/>
      <w:marTop w:val="0"/>
      <w:marBottom w:val="0"/>
      <w:divBdr>
        <w:top w:val="none" w:sz="0" w:space="0" w:color="auto"/>
        <w:left w:val="none" w:sz="0" w:space="0" w:color="auto"/>
        <w:bottom w:val="none" w:sz="0" w:space="0" w:color="auto"/>
        <w:right w:val="none" w:sz="0" w:space="0" w:color="auto"/>
      </w:divBdr>
    </w:div>
    <w:div w:id="214534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cad=rja&amp;uact=8&amp;ved=2ahUKEwi_rIK-2IeEAxWoSvEDHT5lBE0QFnoECBcQAQ&amp;url=https%3A%2F%2Fwww.sigmaweb.org%2Fpublications%2FMonitoring-Report-2021-Albania.pdf&amp;usg=AOvVaw1NKg5o_4wPmxO4i1vLlUb0&amp;opi=89978449" TargetMode="External"/><Relationship Id="rId1" Type="http://schemas.openxmlformats.org/officeDocument/2006/relationships/hyperlink" Target="https://www.imf.org/en/Topics/fiscal-policies/Fiscal-Risks/Fiscal-Risks-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71E97698B064FB9A50DC7CD2575BE" ma:contentTypeVersion="18" ma:contentTypeDescription="Create a new document." ma:contentTypeScope="" ma:versionID="adfe8c0abb9d45a40af6ff1018e7182c">
  <xsd:schema xmlns:xsd="http://www.w3.org/2001/XMLSchema" xmlns:xs="http://www.w3.org/2001/XMLSchema" xmlns:p="http://schemas.microsoft.com/office/2006/metadata/properties" xmlns:ns3="bef0acec-4a30-4b56-bb11-65f7c5eff070" xmlns:ns4="8d15ee49-985b-405f-b771-1e1a220098df" targetNamespace="http://schemas.microsoft.com/office/2006/metadata/properties" ma:root="true" ma:fieldsID="6eafc7dee10c6055c1825c63b56fec71" ns3:_="" ns4:_="">
    <xsd:import namespace="bef0acec-4a30-4b56-bb11-65f7c5eff070"/>
    <xsd:import namespace="8d15ee49-985b-405f-b771-1e1a220098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0acec-4a30-4b56-bb11-65f7c5eff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5ee49-985b-405f-b771-1e1a220098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f0acec-4a30-4b56-bb11-65f7c5eff0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1EC6B-FC7A-4824-8609-B098E5013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0acec-4a30-4b56-bb11-65f7c5eff070"/>
    <ds:schemaRef ds:uri="8d15ee49-985b-405f-b771-1e1a22009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B8EFB-7AF7-467C-BAA8-10F5047C8660}">
  <ds:schemaRefs>
    <ds:schemaRef ds:uri="http://schemas.microsoft.com/sharepoint/v3/contenttype/forms"/>
  </ds:schemaRefs>
</ds:datastoreItem>
</file>

<file path=customXml/itemProps3.xml><?xml version="1.0" encoding="utf-8"?>
<ds:datastoreItem xmlns:ds="http://schemas.openxmlformats.org/officeDocument/2006/customXml" ds:itemID="{6C4F17A9-4B10-449C-B5AF-DE91225F07F1}">
  <ds:schemaRefs>
    <ds:schemaRef ds:uri="http://schemas.microsoft.com/office/2006/metadata/properties"/>
    <ds:schemaRef ds:uri="http://schemas.microsoft.com/office/infopath/2007/PartnerControls"/>
    <ds:schemaRef ds:uri="bef0acec-4a30-4b56-bb11-65f7c5eff070"/>
  </ds:schemaRefs>
</ds:datastoreItem>
</file>

<file path=customXml/itemProps4.xml><?xml version="1.0" encoding="utf-8"?>
<ds:datastoreItem xmlns:ds="http://schemas.openxmlformats.org/officeDocument/2006/customXml" ds:itemID="{04238488-F461-4673-8284-9DA47158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29032</Words>
  <Characters>165483</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Endel</dc:creator>
  <cp:keywords/>
  <dc:description/>
  <cp:lastModifiedBy>Anila Panajoti</cp:lastModifiedBy>
  <cp:revision>2</cp:revision>
  <cp:lastPrinted>2024-04-05T10:23:00Z</cp:lastPrinted>
  <dcterms:created xsi:type="dcterms:W3CDTF">2024-04-05T12:03:00Z</dcterms:created>
  <dcterms:modified xsi:type="dcterms:W3CDTF">2024-04-05T12:03:00Z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0x0101004B071E97698B064FB9A50DC7CD2575BE</vt:lpwstr>
  </property>
</Properties>
</file>