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B7833" w14:textId="2A3C14B6" w:rsidR="00550399" w:rsidRPr="00886A50" w:rsidRDefault="0052275B" w:rsidP="00886A50">
      <w:pPr>
        <w:contextualSpacing/>
        <w:jc w:val="center"/>
        <w:rPr>
          <w:rFonts w:ascii="Times New Roman" w:hAnsi="Times New Roman"/>
          <w:b/>
          <w:bCs/>
          <w:iCs/>
          <w:sz w:val="26"/>
          <w:szCs w:val="26"/>
          <w:lang w:bidi="en-GB"/>
        </w:rPr>
      </w:pPr>
      <w:bookmarkStart w:id="0" w:name="_GoBack"/>
      <w:bookmarkEnd w:id="0"/>
      <w:r w:rsidRPr="00886A50">
        <w:rPr>
          <w:rFonts w:ascii="Times New Roman" w:hAnsi="Times New Roman"/>
          <w:b/>
          <w:bCs/>
          <w:iCs/>
          <w:sz w:val="26"/>
          <w:szCs w:val="26"/>
          <w:lang w:bidi="en-GB"/>
        </w:rPr>
        <w:t>R</w:t>
      </w:r>
      <w:r w:rsidR="00C7773E" w:rsidRPr="00886A50">
        <w:rPr>
          <w:rFonts w:ascii="Times New Roman" w:hAnsi="Times New Roman"/>
          <w:b/>
          <w:bCs/>
          <w:iCs/>
          <w:sz w:val="26"/>
          <w:szCs w:val="26"/>
          <w:lang w:bidi="en-GB"/>
        </w:rPr>
        <w:t>ezultatet e konsultim</w:t>
      </w:r>
      <w:r w:rsidR="00886A50">
        <w:rPr>
          <w:rFonts w:ascii="Times New Roman" w:hAnsi="Times New Roman"/>
          <w:b/>
          <w:bCs/>
          <w:iCs/>
          <w:sz w:val="26"/>
          <w:szCs w:val="26"/>
          <w:lang w:bidi="en-GB"/>
        </w:rPr>
        <w:t>it</w:t>
      </w:r>
      <w:r w:rsidR="00C7773E" w:rsidRPr="00886A50">
        <w:rPr>
          <w:rFonts w:ascii="Times New Roman" w:hAnsi="Times New Roman"/>
          <w:b/>
          <w:bCs/>
          <w:iCs/>
          <w:sz w:val="26"/>
          <w:szCs w:val="26"/>
          <w:lang w:bidi="en-GB"/>
        </w:rPr>
        <w:t xml:space="preserve"> publik për projekt</w:t>
      </w:r>
      <w:r w:rsidRPr="00886A50">
        <w:rPr>
          <w:rFonts w:ascii="Times New Roman" w:hAnsi="Times New Roman"/>
          <w:b/>
          <w:bCs/>
          <w:iCs/>
          <w:sz w:val="26"/>
          <w:szCs w:val="26"/>
          <w:lang w:bidi="en-GB"/>
        </w:rPr>
        <w:t>ligjin</w:t>
      </w:r>
      <w:r w:rsidR="00550399" w:rsidRPr="00886A50">
        <w:rPr>
          <w:rFonts w:ascii="Times New Roman" w:hAnsi="Times New Roman"/>
          <w:b/>
          <w:bCs/>
          <w:iCs/>
          <w:sz w:val="26"/>
          <w:szCs w:val="26"/>
          <w:lang w:bidi="en-GB"/>
        </w:rPr>
        <w:t>:</w:t>
      </w:r>
    </w:p>
    <w:p w14:paraId="3D84E8ED" w14:textId="77777777" w:rsidR="00550399" w:rsidRPr="00886A50" w:rsidRDefault="00550399" w:rsidP="00886A50">
      <w:pPr>
        <w:contextualSpacing/>
        <w:rPr>
          <w:rFonts w:ascii="Times New Roman" w:hAnsi="Times New Roman"/>
          <w:b/>
          <w:bCs/>
          <w:iCs/>
          <w:sz w:val="26"/>
          <w:szCs w:val="26"/>
          <w:lang w:bidi="en-GB"/>
        </w:rPr>
      </w:pPr>
    </w:p>
    <w:p w14:paraId="44B31F96" w14:textId="221FC3EE" w:rsidR="005F6546" w:rsidRPr="00886A50" w:rsidRDefault="00550399" w:rsidP="00886A50">
      <w:pPr>
        <w:contextualSpacing/>
        <w:jc w:val="center"/>
        <w:rPr>
          <w:rFonts w:ascii="Times New Roman" w:hAnsi="Times New Roman"/>
          <w:b/>
          <w:bCs/>
          <w:iCs/>
          <w:sz w:val="26"/>
          <w:szCs w:val="26"/>
          <w:lang w:bidi="en-GB"/>
        </w:rPr>
      </w:pPr>
      <w:r w:rsidRPr="00886A50">
        <w:rPr>
          <w:rFonts w:ascii="Times New Roman" w:hAnsi="Times New Roman"/>
          <w:b/>
          <w:bCs/>
          <w:iCs/>
          <w:sz w:val="26"/>
          <w:szCs w:val="26"/>
          <w:lang w:bidi="en-GB"/>
        </w:rPr>
        <w:t xml:space="preserve">“Për </w:t>
      </w:r>
      <w:r w:rsidR="0064503B" w:rsidRPr="00886A50">
        <w:rPr>
          <w:rFonts w:ascii="Times New Roman" w:hAnsi="Times New Roman"/>
          <w:b/>
          <w:bCs/>
          <w:iCs/>
          <w:sz w:val="26"/>
          <w:szCs w:val="26"/>
          <w:lang w:bidi="en-GB"/>
        </w:rPr>
        <w:t>nënproduktet me origjinë shtazore</w:t>
      </w:r>
      <w:r w:rsidRPr="00886A50">
        <w:rPr>
          <w:rFonts w:ascii="Times New Roman" w:hAnsi="Times New Roman"/>
          <w:b/>
          <w:bCs/>
          <w:iCs/>
          <w:sz w:val="26"/>
          <w:szCs w:val="26"/>
          <w:lang w:bidi="en-GB"/>
        </w:rPr>
        <w:t>”</w:t>
      </w:r>
    </w:p>
    <w:p w14:paraId="03D83146" w14:textId="77777777" w:rsidR="00C7773E" w:rsidRPr="00886A50" w:rsidRDefault="00C7773E" w:rsidP="00886A50">
      <w:pPr>
        <w:contextualSpacing/>
        <w:rPr>
          <w:rFonts w:ascii="Times New Roman" w:hAnsi="Times New Roman"/>
          <w:sz w:val="26"/>
          <w:szCs w:val="26"/>
        </w:rPr>
      </w:pPr>
    </w:p>
    <w:p w14:paraId="14A193B4" w14:textId="657078AE" w:rsidR="00C7773E" w:rsidRPr="00886A50" w:rsidRDefault="00C7773E" w:rsidP="00886A50">
      <w:pPr>
        <w:pStyle w:val="ListParagraph"/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886A50">
        <w:rPr>
          <w:rFonts w:ascii="Times New Roman" w:hAnsi="Times New Roman"/>
          <w:b/>
          <w:bCs/>
          <w:sz w:val="26"/>
          <w:szCs w:val="26"/>
        </w:rPr>
        <w:t>Titulli i draft aktit</w:t>
      </w:r>
    </w:p>
    <w:p w14:paraId="26D29D8E" w14:textId="77777777" w:rsidR="0064503B" w:rsidRPr="00886A50" w:rsidRDefault="0064503B" w:rsidP="00886A50">
      <w:pPr>
        <w:pStyle w:val="ListParagraph"/>
        <w:spacing w:after="0"/>
        <w:ind w:left="360" w:firstLine="0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62882BD" w14:textId="7E69C161" w:rsidR="00550399" w:rsidRPr="00886A50" w:rsidRDefault="00F67DA6" w:rsidP="00886A50">
      <w:pPr>
        <w:contextualSpacing/>
        <w:rPr>
          <w:rFonts w:ascii="Times New Roman" w:hAnsi="Times New Roman"/>
          <w:bCs/>
          <w:iCs/>
          <w:sz w:val="26"/>
          <w:szCs w:val="26"/>
          <w:lang w:bidi="en-GB"/>
        </w:rPr>
      </w:pPr>
      <w:r w:rsidRPr="00886A50">
        <w:rPr>
          <w:rFonts w:ascii="Times New Roman" w:hAnsi="Times New Roman"/>
          <w:bCs/>
          <w:sz w:val="26"/>
          <w:szCs w:val="26"/>
        </w:rPr>
        <w:t xml:space="preserve">Projektligj </w:t>
      </w:r>
      <w:r w:rsidR="00550399" w:rsidRPr="00886A50">
        <w:rPr>
          <w:rFonts w:ascii="Times New Roman" w:hAnsi="Times New Roman"/>
          <w:bCs/>
          <w:iCs/>
          <w:sz w:val="26"/>
          <w:szCs w:val="26"/>
          <w:lang w:bidi="en-GB"/>
        </w:rPr>
        <w:t>“</w:t>
      </w:r>
      <w:r w:rsidR="0064503B" w:rsidRPr="00886A50">
        <w:rPr>
          <w:rFonts w:ascii="Times New Roman" w:hAnsi="Times New Roman"/>
          <w:bCs/>
          <w:iCs/>
          <w:sz w:val="26"/>
          <w:szCs w:val="26"/>
          <w:lang w:bidi="en-GB"/>
        </w:rPr>
        <w:t>Për nënproduktet me origjinë shtazore</w:t>
      </w:r>
      <w:r w:rsidR="00550399" w:rsidRPr="00886A50">
        <w:rPr>
          <w:rFonts w:ascii="Times New Roman" w:hAnsi="Times New Roman"/>
          <w:bCs/>
          <w:iCs/>
          <w:sz w:val="26"/>
          <w:szCs w:val="26"/>
          <w:lang w:bidi="en-GB"/>
        </w:rPr>
        <w:t>”.</w:t>
      </w:r>
    </w:p>
    <w:p w14:paraId="20C73745" w14:textId="1313B58C" w:rsidR="00F67DA6" w:rsidRPr="00886A50" w:rsidRDefault="00F67DA6" w:rsidP="00886A50">
      <w:pPr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14:paraId="15AC2C85" w14:textId="78F30B1A" w:rsidR="00C7773E" w:rsidRPr="00886A50" w:rsidRDefault="00C7773E" w:rsidP="00886A50">
      <w:pPr>
        <w:pStyle w:val="ListParagraph"/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886A50">
        <w:rPr>
          <w:rFonts w:ascii="Times New Roman" w:hAnsi="Times New Roman"/>
          <w:b/>
          <w:bCs/>
          <w:sz w:val="26"/>
          <w:szCs w:val="26"/>
        </w:rPr>
        <w:t>Kohëzgjatja e konsultimeve</w:t>
      </w:r>
    </w:p>
    <w:p w14:paraId="1EFDDF54" w14:textId="77777777" w:rsidR="0064503B" w:rsidRPr="00886A50" w:rsidRDefault="0064503B" w:rsidP="00886A50">
      <w:pPr>
        <w:pStyle w:val="ListParagraph"/>
        <w:spacing w:after="0"/>
        <w:ind w:left="360" w:firstLine="0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</w:p>
    <w:p w14:paraId="74AE3E65" w14:textId="208AD7A1" w:rsidR="00374D6B" w:rsidRPr="00886A50" w:rsidRDefault="00374D6B" w:rsidP="00886A50">
      <w:pPr>
        <w:pStyle w:val="BodyText"/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  <w:r w:rsidRPr="00886A50">
        <w:rPr>
          <w:rFonts w:ascii="Times New Roman" w:hAnsi="Times New Roman"/>
          <w:sz w:val="26"/>
          <w:szCs w:val="26"/>
        </w:rPr>
        <w:t xml:space="preserve">Kohëzgjatja e përgjithshme e konsultimeve publike ka qenë nga data </w:t>
      </w:r>
      <w:bookmarkStart w:id="1" w:name="_Hlk165541305"/>
      <w:r w:rsidR="00550399" w:rsidRPr="00886A50">
        <w:rPr>
          <w:rFonts w:ascii="Times New Roman" w:hAnsi="Times New Roman"/>
          <w:sz w:val="26"/>
          <w:szCs w:val="26"/>
        </w:rPr>
        <w:t>19</w:t>
      </w:r>
      <w:r w:rsidRPr="00886A50">
        <w:rPr>
          <w:rFonts w:ascii="Times New Roman" w:hAnsi="Times New Roman"/>
          <w:sz w:val="26"/>
          <w:szCs w:val="26"/>
        </w:rPr>
        <w:t>.</w:t>
      </w:r>
      <w:r w:rsidR="00550399" w:rsidRPr="00886A50">
        <w:rPr>
          <w:rFonts w:ascii="Times New Roman" w:hAnsi="Times New Roman"/>
          <w:sz w:val="26"/>
          <w:szCs w:val="26"/>
        </w:rPr>
        <w:t>3</w:t>
      </w:r>
      <w:r w:rsidRPr="00886A50">
        <w:rPr>
          <w:rFonts w:ascii="Times New Roman" w:hAnsi="Times New Roman"/>
          <w:sz w:val="26"/>
          <w:szCs w:val="26"/>
        </w:rPr>
        <w:t>.20</w:t>
      </w:r>
      <w:r w:rsidR="006C0CC0" w:rsidRPr="00886A50">
        <w:rPr>
          <w:rFonts w:ascii="Times New Roman" w:hAnsi="Times New Roman"/>
          <w:sz w:val="26"/>
          <w:szCs w:val="26"/>
        </w:rPr>
        <w:t>2</w:t>
      </w:r>
      <w:r w:rsidR="00550399" w:rsidRPr="00886A50">
        <w:rPr>
          <w:rFonts w:ascii="Times New Roman" w:hAnsi="Times New Roman"/>
          <w:sz w:val="26"/>
          <w:szCs w:val="26"/>
        </w:rPr>
        <w:t>4</w:t>
      </w:r>
      <w:r w:rsidRPr="00886A50">
        <w:rPr>
          <w:rFonts w:ascii="Times New Roman" w:hAnsi="Times New Roman"/>
          <w:sz w:val="26"/>
          <w:szCs w:val="26"/>
        </w:rPr>
        <w:t xml:space="preserve"> </w:t>
      </w:r>
      <w:bookmarkEnd w:id="1"/>
      <w:r w:rsidRPr="00886A50">
        <w:rPr>
          <w:rFonts w:ascii="Times New Roman" w:hAnsi="Times New Roman"/>
          <w:sz w:val="26"/>
          <w:szCs w:val="26"/>
        </w:rPr>
        <w:t xml:space="preserve">deri më </w:t>
      </w:r>
      <w:r w:rsidR="00550399" w:rsidRPr="00886A50">
        <w:rPr>
          <w:rFonts w:ascii="Times New Roman" w:hAnsi="Times New Roman"/>
          <w:sz w:val="26"/>
          <w:szCs w:val="26"/>
        </w:rPr>
        <w:t>18.4</w:t>
      </w:r>
      <w:r w:rsidRPr="00886A50">
        <w:rPr>
          <w:rFonts w:ascii="Times New Roman" w:hAnsi="Times New Roman"/>
          <w:sz w:val="26"/>
          <w:szCs w:val="26"/>
        </w:rPr>
        <w:t>.202</w:t>
      </w:r>
      <w:r w:rsidR="00550399" w:rsidRPr="00886A50">
        <w:rPr>
          <w:rFonts w:ascii="Times New Roman" w:hAnsi="Times New Roman"/>
          <w:sz w:val="26"/>
          <w:szCs w:val="26"/>
        </w:rPr>
        <w:t>4</w:t>
      </w:r>
      <w:r w:rsidRPr="00886A50">
        <w:rPr>
          <w:rFonts w:ascii="Times New Roman" w:hAnsi="Times New Roman"/>
          <w:sz w:val="26"/>
          <w:szCs w:val="26"/>
        </w:rPr>
        <w:t xml:space="preserve">. </w:t>
      </w:r>
      <w:r w:rsidR="006C0CC0" w:rsidRPr="00886A50">
        <w:rPr>
          <w:rFonts w:ascii="Times New Roman" w:hAnsi="Times New Roman"/>
          <w:sz w:val="26"/>
          <w:szCs w:val="26"/>
        </w:rPr>
        <w:t>N</w:t>
      </w:r>
      <w:r w:rsidR="00B56574" w:rsidRPr="00886A50">
        <w:rPr>
          <w:rFonts w:ascii="Times New Roman" w:hAnsi="Times New Roman"/>
          <w:sz w:val="26"/>
          <w:szCs w:val="26"/>
        </w:rPr>
        <w:t>ë</w:t>
      </w:r>
      <w:r w:rsidR="006C0CC0" w:rsidRPr="00886A50">
        <w:rPr>
          <w:rFonts w:ascii="Times New Roman" w:hAnsi="Times New Roman"/>
          <w:sz w:val="26"/>
          <w:szCs w:val="26"/>
        </w:rPr>
        <w:t xml:space="preserve"> k</w:t>
      </w:r>
      <w:r w:rsidR="00B56574" w:rsidRPr="00886A50">
        <w:rPr>
          <w:rFonts w:ascii="Times New Roman" w:hAnsi="Times New Roman"/>
          <w:sz w:val="26"/>
          <w:szCs w:val="26"/>
        </w:rPr>
        <w:t>ë</w:t>
      </w:r>
      <w:r w:rsidR="006C0CC0" w:rsidRPr="00886A50">
        <w:rPr>
          <w:rFonts w:ascii="Times New Roman" w:hAnsi="Times New Roman"/>
          <w:sz w:val="26"/>
          <w:szCs w:val="26"/>
        </w:rPr>
        <w:t>t</w:t>
      </w:r>
      <w:r w:rsidR="00B56574" w:rsidRPr="00886A50">
        <w:rPr>
          <w:rFonts w:ascii="Times New Roman" w:hAnsi="Times New Roman"/>
          <w:sz w:val="26"/>
          <w:szCs w:val="26"/>
        </w:rPr>
        <w:t>ë</w:t>
      </w:r>
      <w:r w:rsidR="006C0CC0" w:rsidRPr="00886A50">
        <w:rPr>
          <w:rFonts w:ascii="Times New Roman" w:hAnsi="Times New Roman"/>
          <w:sz w:val="26"/>
          <w:szCs w:val="26"/>
        </w:rPr>
        <w:t xml:space="preserve"> </w:t>
      </w:r>
      <w:r w:rsidR="00886A50">
        <w:rPr>
          <w:rFonts w:ascii="Times New Roman" w:hAnsi="Times New Roman"/>
          <w:sz w:val="26"/>
          <w:szCs w:val="26"/>
        </w:rPr>
        <w:t>periudh</w:t>
      </w:r>
      <w:r w:rsidR="0042089E">
        <w:rPr>
          <w:rFonts w:ascii="Times New Roman" w:hAnsi="Times New Roman"/>
          <w:sz w:val="26"/>
          <w:szCs w:val="26"/>
        </w:rPr>
        <w:t>ë</w:t>
      </w:r>
      <w:r w:rsidR="006C0CC0" w:rsidRPr="00886A50">
        <w:rPr>
          <w:rFonts w:ascii="Times New Roman" w:hAnsi="Times New Roman"/>
          <w:sz w:val="26"/>
          <w:szCs w:val="26"/>
        </w:rPr>
        <w:t xml:space="preserve"> </w:t>
      </w:r>
      <w:r w:rsidR="00EA25F8">
        <w:rPr>
          <w:rFonts w:ascii="Times New Roman" w:hAnsi="Times New Roman"/>
          <w:sz w:val="26"/>
          <w:szCs w:val="26"/>
        </w:rPr>
        <w:t xml:space="preserve">përfshihen </w:t>
      </w:r>
      <w:r w:rsidRPr="00886A50">
        <w:rPr>
          <w:rFonts w:ascii="Times New Roman" w:hAnsi="Times New Roman"/>
          <w:sz w:val="26"/>
          <w:szCs w:val="26"/>
        </w:rPr>
        <w:t>takim</w:t>
      </w:r>
      <w:r w:rsidR="006C0CC0" w:rsidRPr="00886A50">
        <w:rPr>
          <w:rFonts w:ascii="Times New Roman" w:hAnsi="Times New Roman"/>
          <w:sz w:val="26"/>
          <w:szCs w:val="26"/>
        </w:rPr>
        <w:t>et</w:t>
      </w:r>
      <w:r w:rsidRPr="00886A50">
        <w:rPr>
          <w:rFonts w:ascii="Times New Roman" w:hAnsi="Times New Roman"/>
          <w:sz w:val="26"/>
          <w:szCs w:val="26"/>
        </w:rPr>
        <w:t xml:space="preserve"> publike </w:t>
      </w:r>
      <w:r w:rsidR="006C0CC0" w:rsidRPr="00886A50">
        <w:rPr>
          <w:rFonts w:ascii="Times New Roman" w:hAnsi="Times New Roman"/>
          <w:sz w:val="26"/>
          <w:szCs w:val="26"/>
        </w:rPr>
        <w:t>me grupet e interes</w:t>
      </w:r>
      <w:r w:rsidR="00550399" w:rsidRPr="00886A50">
        <w:rPr>
          <w:rFonts w:ascii="Times New Roman" w:hAnsi="Times New Roman"/>
          <w:sz w:val="26"/>
          <w:szCs w:val="26"/>
        </w:rPr>
        <w:t>i</w:t>
      </w:r>
      <w:r w:rsidR="006C0CC0" w:rsidRPr="00886A50">
        <w:rPr>
          <w:rFonts w:ascii="Times New Roman" w:hAnsi="Times New Roman"/>
          <w:sz w:val="26"/>
          <w:szCs w:val="26"/>
        </w:rPr>
        <w:t xml:space="preserve">t </w:t>
      </w:r>
      <w:r w:rsidR="00EA25F8">
        <w:rPr>
          <w:rFonts w:ascii="Times New Roman" w:hAnsi="Times New Roman"/>
          <w:sz w:val="26"/>
          <w:szCs w:val="26"/>
        </w:rPr>
        <w:t>si dhe</w:t>
      </w:r>
      <w:r w:rsidRPr="00886A50">
        <w:rPr>
          <w:rFonts w:ascii="Times New Roman" w:hAnsi="Times New Roman"/>
          <w:sz w:val="26"/>
          <w:szCs w:val="26"/>
        </w:rPr>
        <w:t xml:space="preserve"> konsultimi përme</w:t>
      </w:r>
      <w:r w:rsidR="006C0CC0" w:rsidRPr="00886A50">
        <w:rPr>
          <w:rFonts w:ascii="Times New Roman" w:hAnsi="Times New Roman"/>
          <w:sz w:val="26"/>
          <w:szCs w:val="26"/>
        </w:rPr>
        <w:t>s</w:t>
      </w:r>
      <w:r w:rsidRPr="00886A50">
        <w:rPr>
          <w:rFonts w:ascii="Times New Roman" w:hAnsi="Times New Roman"/>
          <w:sz w:val="26"/>
          <w:szCs w:val="26"/>
        </w:rPr>
        <w:t xml:space="preserve"> regjistrit elekt</w:t>
      </w:r>
      <w:r w:rsidR="006C0CC0" w:rsidRPr="00886A50">
        <w:rPr>
          <w:rFonts w:ascii="Times New Roman" w:hAnsi="Times New Roman"/>
          <w:sz w:val="26"/>
          <w:szCs w:val="26"/>
        </w:rPr>
        <w:t>ronik</w:t>
      </w:r>
      <w:r w:rsidRPr="00886A50">
        <w:rPr>
          <w:rFonts w:ascii="Times New Roman" w:hAnsi="Times New Roman"/>
          <w:sz w:val="26"/>
          <w:szCs w:val="26"/>
        </w:rPr>
        <w:t>. Procesi i konsultimit përmes regjistrit elekt</w:t>
      </w:r>
      <w:r w:rsidR="00EA25F8">
        <w:rPr>
          <w:rFonts w:ascii="Times New Roman" w:hAnsi="Times New Roman"/>
          <w:sz w:val="26"/>
          <w:szCs w:val="26"/>
        </w:rPr>
        <w:t>ronik</w:t>
      </w:r>
      <w:r w:rsidRPr="00886A50">
        <w:rPr>
          <w:rFonts w:ascii="Times New Roman" w:hAnsi="Times New Roman"/>
          <w:sz w:val="26"/>
          <w:szCs w:val="26"/>
        </w:rPr>
        <w:t xml:space="preserve"> në RENJK zgjati nga </w:t>
      </w:r>
      <w:r w:rsidR="006C0CC0" w:rsidRPr="00886A50">
        <w:rPr>
          <w:rFonts w:ascii="Times New Roman" w:hAnsi="Times New Roman"/>
          <w:sz w:val="26"/>
          <w:szCs w:val="26"/>
        </w:rPr>
        <w:t xml:space="preserve">data </w:t>
      </w:r>
      <w:r w:rsidR="00550399" w:rsidRPr="00886A50">
        <w:rPr>
          <w:rFonts w:ascii="Times New Roman" w:hAnsi="Times New Roman"/>
          <w:sz w:val="26"/>
          <w:szCs w:val="26"/>
        </w:rPr>
        <w:t xml:space="preserve">19.3.2024 </w:t>
      </w:r>
      <w:r w:rsidRPr="00886A50">
        <w:rPr>
          <w:rFonts w:ascii="Times New Roman" w:hAnsi="Times New Roman"/>
          <w:sz w:val="26"/>
          <w:szCs w:val="26"/>
        </w:rPr>
        <w:t>deri</w:t>
      </w:r>
      <w:r w:rsidR="006C0CC0" w:rsidRPr="00886A50">
        <w:rPr>
          <w:rFonts w:ascii="Times New Roman" w:hAnsi="Times New Roman"/>
          <w:sz w:val="26"/>
          <w:szCs w:val="26"/>
        </w:rPr>
        <w:t xml:space="preserve"> </w:t>
      </w:r>
      <w:r w:rsidRPr="00886A50">
        <w:rPr>
          <w:rFonts w:ascii="Times New Roman" w:hAnsi="Times New Roman"/>
          <w:sz w:val="26"/>
          <w:szCs w:val="26"/>
        </w:rPr>
        <w:t xml:space="preserve">më </w:t>
      </w:r>
      <w:r w:rsidR="00550399" w:rsidRPr="00886A50">
        <w:rPr>
          <w:rFonts w:ascii="Times New Roman" w:hAnsi="Times New Roman"/>
          <w:sz w:val="26"/>
          <w:szCs w:val="26"/>
        </w:rPr>
        <w:t>18.4.2024</w:t>
      </w:r>
      <w:r w:rsidRPr="00886A50">
        <w:rPr>
          <w:rFonts w:ascii="Times New Roman" w:hAnsi="Times New Roman"/>
          <w:sz w:val="26"/>
          <w:szCs w:val="26"/>
        </w:rPr>
        <w:t xml:space="preserve">. </w:t>
      </w:r>
      <w:r w:rsidR="006C0CC0" w:rsidRPr="00886A50">
        <w:rPr>
          <w:rFonts w:ascii="Times New Roman" w:hAnsi="Times New Roman"/>
          <w:sz w:val="26"/>
          <w:szCs w:val="26"/>
        </w:rPr>
        <w:t>Gjat</w:t>
      </w:r>
      <w:r w:rsidR="00B56574" w:rsidRPr="00886A50">
        <w:rPr>
          <w:rFonts w:ascii="Times New Roman" w:hAnsi="Times New Roman"/>
          <w:sz w:val="26"/>
          <w:szCs w:val="26"/>
        </w:rPr>
        <w:t>ë</w:t>
      </w:r>
      <w:r w:rsidR="006C0CC0" w:rsidRPr="00886A50">
        <w:rPr>
          <w:rFonts w:ascii="Times New Roman" w:hAnsi="Times New Roman"/>
          <w:sz w:val="26"/>
          <w:szCs w:val="26"/>
        </w:rPr>
        <w:t xml:space="preserve"> k</w:t>
      </w:r>
      <w:r w:rsidR="00B56574" w:rsidRPr="00886A50">
        <w:rPr>
          <w:rFonts w:ascii="Times New Roman" w:hAnsi="Times New Roman"/>
          <w:sz w:val="26"/>
          <w:szCs w:val="26"/>
        </w:rPr>
        <w:t>ë</w:t>
      </w:r>
      <w:r w:rsidR="006C0CC0" w:rsidRPr="00886A50">
        <w:rPr>
          <w:rFonts w:ascii="Times New Roman" w:hAnsi="Times New Roman"/>
          <w:sz w:val="26"/>
          <w:szCs w:val="26"/>
        </w:rPr>
        <w:t>saj periudhe u r</w:t>
      </w:r>
      <w:r w:rsidRPr="00886A50">
        <w:rPr>
          <w:rFonts w:ascii="Times New Roman" w:hAnsi="Times New Roman"/>
          <w:sz w:val="26"/>
          <w:szCs w:val="26"/>
        </w:rPr>
        <w:t xml:space="preserve">ealizua </w:t>
      </w:r>
      <w:r w:rsidR="00550399" w:rsidRPr="00886A50">
        <w:rPr>
          <w:rFonts w:ascii="Times New Roman" w:hAnsi="Times New Roman"/>
          <w:sz w:val="26"/>
          <w:szCs w:val="26"/>
        </w:rPr>
        <w:t xml:space="preserve">një </w:t>
      </w:r>
      <w:r w:rsidR="006C0CC0" w:rsidRPr="00886A50">
        <w:rPr>
          <w:rFonts w:ascii="Times New Roman" w:hAnsi="Times New Roman"/>
          <w:sz w:val="26"/>
          <w:szCs w:val="26"/>
        </w:rPr>
        <w:t>takim</w:t>
      </w:r>
      <w:r w:rsidR="00550399" w:rsidRPr="00886A50">
        <w:rPr>
          <w:rFonts w:ascii="Times New Roman" w:hAnsi="Times New Roman"/>
          <w:sz w:val="26"/>
          <w:szCs w:val="26"/>
        </w:rPr>
        <w:t xml:space="preserve"> </w:t>
      </w:r>
      <w:r w:rsidR="006C0CC0" w:rsidRPr="00886A50">
        <w:rPr>
          <w:rFonts w:ascii="Times New Roman" w:hAnsi="Times New Roman"/>
          <w:sz w:val="26"/>
          <w:szCs w:val="26"/>
        </w:rPr>
        <w:t>n</w:t>
      </w:r>
      <w:r w:rsidR="00B56574" w:rsidRPr="00886A50">
        <w:rPr>
          <w:rFonts w:ascii="Times New Roman" w:hAnsi="Times New Roman"/>
          <w:sz w:val="26"/>
          <w:szCs w:val="26"/>
        </w:rPr>
        <w:t>ë</w:t>
      </w:r>
      <w:r w:rsidR="006C0CC0" w:rsidRPr="00886A50">
        <w:rPr>
          <w:rFonts w:ascii="Times New Roman" w:hAnsi="Times New Roman"/>
          <w:sz w:val="26"/>
          <w:szCs w:val="26"/>
        </w:rPr>
        <w:t xml:space="preserve"> MBZHR (dat</w:t>
      </w:r>
      <w:r w:rsidR="00B56574" w:rsidRPr="00886A50">
        <w:rPr>
          <w:rFonts w:ascii="Times New Roman" w:hAnsi="Times New Roman"/>
          <w:sz w:val="26"/>
          <w:szCs w:val="26"/>
        </w:rPr>
        <w:t>ë</w:t>
      </w:r>
      <w:r w:rsidR="00C379AB" w:rsidRPr="00886A50">
        <w:rPr>
          <w:rFonts w:ascii="Times New Roman" w:hAnsi="Times New Roman"/>
          <w:sz w:val="26"/>
          <w:szCs w:val="26"/>
        </w:rPr>
        <w:t xml:space="preserve"> </w:t>
      </w:r>
      <w:r w:rsidR="00DD1281" w:rsidRPr="00886A50">
        <w:rPr>
          <w:rFonts w:ascii="Times New Roman" w:hAnsi="Times New Roman"/>
          <w:sz w:val="26"/>
          <w:szCs w:val="26"/>
        </w:rPr>
        <w:t>7.5.2024</w:t>
      </w:r>
      <w:r w:rsidR="00550399" w:rsidRPr="00886A50">
        <w:rPr>
          <w:rFonts w:ascii="Times New Roman" w:hAnsi="Times New Roman"/>
          <w:sz w:val="26"/>
          <w:szCs w:val="26"/>
        </w:rPr>
        <w:t xml:space="preserve"> ora 1</w:t>
      </w:r>
      <w:r w:rsidR="00DD1281" w:rsidRPr="00886A50">
        <w:rPr>
          <w:rFonts w:ascii="Times New Roman" w:hAnsi="Times New Roman"/>
          <w:sz w:val="26"/>
          <w:szCs w:val="26"/>
        </w:rPr>
        <w:t>0</w:t>
      </w:r>
      <w:r w:rsidR="00550399" w:rsidRPr="00886A50">
        <w:rPr>
          <w:rFonts w:ascii="Times New Roman" w:hAnsi="Times New Roman"/>
          <w:sz w:val="26"/>
          <w:szCs w:val="26"/>
        </w:rPr>
        <w:t>:00</w:t>
      </w:r>
      <w:r w:rsidR="006C0CC0" w:rsidRPr="00886A50">
        <w:rPr>
          <w:rFonts w:ascii="Times New Roman" w:hAnsi="Times New Roman"/>
          <w:sz w:val="26"/>
          <w:szCs w:val="26"/>
        </w:rPr>
        <w:t xml:space="preserve">) </w:t>
      </w:r>
      <w:r w:rsidR="00065DAC" w:rsidRPr="00886A50">
        <w:rPr>
          <w:rFonts w:ascii="Times New Roman" w:hAnsi="Times New Roman"/>
          <w:sz w:val="26"/>
          <w:szCs w:val="26"/>
        </w:rPr>
        <w:t xml:space="preserve">ku u ftuan nga MBZHR, </w:t>
      </w:r>
      <w:r w:rsidR="00550399" w:rsidRPr="00886A50">
        <w:rPr>
          <w:rFonts w:ascii="Times New Roman" w:hAnsi="Times New Roman"/>
          <w:sz w:val="26"/>
          <w:szCs w:val="26"/>
        </w:rPr>
        <w:t xml:space="preserve">grupet e </w:t>
      </w:r>
      <w:r w:rsidR="00065DAC" w:rsidRPr="00886A50">
        <w:rPr>
          <w:rFonts w:ascii="Times New Roman" w:hAnsi="Times New Roman"/>
          <w:sz w:val="26"/>
          <w:szCs w:val="26"/>
        </w:rPr>
        <w:t>interesit dhe u paraqit vetëm Shoqëria IINCA,</w:t>
      </w:r>
      <w:r w:rsidR="00EA25F8">
        <w:rPr>
          <w:rFonts w:ascii="Times New Roman" w:hAnsi="Times New Roman"/>
          <w:sz w:val="26"/>
          <w:szCs w:val="26"/>
        </w:rPr>
        <w:t xml:space="preserve"> </w:t>
      </w:r>
      <w:r w:rsidR="00065DAC" w:rsidRPr="00886A50">
        <w:rPr>
          <w:rFonts w:ascii="Times New Roman" w:hAnsi="Times New Roman"/>
          <w:sz w:val="26"/>
          <w:szCs w:val="26"/>
        </w:rPr>
        <w:t>shpk me</w:t>
      </w:r>
      <w:r w:rsidR="008C3516" w:rsidRPr="00886A50">
        <w:rPr>
          <w:rFonts w:ascii="Times New Roman" w:hAnsi="Times New Roman"/>
          <w:sz w:val="26"/>
          <w:szCs w:val="26"/>
        </w:rPr>
        <w:t xml:space="preserve"> përfaqësues </w:t>
      </w:r>
      <w:r w:rsidR="00065DAC" w:rsidRPr="00886A50">
        <w:rPr>
          <w:rFonts w:ascii="Times New Roman" w:hAnsi="Times New Roman"/>
          <w:sz w:val="26"/>
          <w:szCs w:val="26"/>
        </w:rPr>
        <w:t>Z.Alban Zusi</w:t>
      </w:r>
      <w:r w:rsidR="008C3516" w:rsidRPr="00886A50">
        <w:rPr>
          <w:rFonts w:ascii="Times New Roman" w:hAnsi="Times New Roman"/>
          <w:sz w:val="26"/>
          <w:szCs w:val="26"/>
        </w:rPr>
        <w:t>.</w:t>
      </w:r>
    </w:p>
    <w:p w14:paraId="2D53F299" w14:textId="77777777" w:rsidR="00374D6B" w:rsidRPr="00886A50" w:rsidRDefault="00374D6B" w:rsidP="00886A50">
      <w:pPr>
        <w:ind w:left="360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</w:p>
    <w:p w14:paraId="371C21A6" w14:textId="77777777" w:rsidR="00C7773E" w:rsidRPr="00EA25F8" w:rsidRDefault="00C7773E" w:rsidP="00886A50">
      <w:pPr>
        <w:pStyle w:val="ListParagraph"/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  <w:r w:rsidRPr="00886A50">
        <w:rPr>
          <w:rFonts w:ascii="Times New Roman" w:hAnsi="Times New Roman"/>
          <w:b/>
          <w:bCs/>
          <w:sz w:val="26"/>
          <w:szCs w:val="26"/>
        </w:rPr>
        <w:t>Metoda e konsultimit</w:t>
      </w:r>
    </w:p>
    <w:p w14:paraId="6933B4B1" w14:textId="77777777" w:rsidR="00EA25F8" w:rsidRPr="00886A50" w:rsidRDefault="00EA25F8" w:rsidP="00EA25F8">
      <w:pPr>
        <w:pStyle w:val="ListParagraph"/>
        <w:spacing w:after="0"/>
        <w:ind w:left="360" w:firstLine="0"/>
        <w:contextualSpacing/>
        <w:jc w:val="both"/>
        <w:rPr>
          <w:rFonts w:ascii="Times New Roman" w:hAnsi="Times New Roman"/>
          <w:sz w:val="26"/>
          <w:szCs w:val="26"/>
        </w:rPr>
      </w:pPr>
    </w:p>
    <w:p w14:paraId="4D43A157" w14:textId="77777777" w:rsidR="00C7773E" w:rsidRPr="00886A50" w:rsidRDefault="00C7773E" w:rsidP="00886A50">
      <w:pPr>
        <w:ind w:left="360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886A50">
        <w:rPr>
          <w:rFonts w:ascii="Times New Roman" w:hAnsi="Times New Roman"/>
          <w:i/>
          <w:iCs/>
          <w:sz w:val="26"/>
          <w:szCs w:val="26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</w:p>
    <w:p w14:paraId="36915DBF" w14:textId="77777777" w:rsidR="00C7773E" w:rsidRPr="00886A50" w:rsidRDefault="00C7773E" w:rsidP="00886A50">
      <w:pPr>
        <w:ind w:left="360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886A50">
        <w:rPr>
          <w:rFonts w:ascii="Times New Roman" w:hAnsi="Times New Roman"/>
          <w:i/>
          <w:iCs/>
          <w:sz w:val="26"/>
          <w:szCs w:val="26"/>
        </w:rPr>
        <w:t>Shpjegoni se si u shpërnda informacioni mbi konsultimet e hapura, si u ftuan palët e interesuara të kontribuojnë.</w:t>
      </w:r>
    </w:p>
    <w:p w14:paraId="01C64BBF" w14:textId="77777777" w:rsidR="00C7773E" w:rsidRPr="00886A50" w:rsidRDefault="00C7773E" w:rsidP="00886A50">
      <w:pPr>
        <w:ind w:left="360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886A50">
        <w:rPr>
          <w:rFonts w:ascii="Times New Roman" w:hAnsi="Times New Roman"/>
          <w:i/>
          <w:iCs/>
          <w:sz w:val="26"/>
          <w:szCs w:val="26"/>
        </w:rPr>
        <w:t>Përfshini gjithashtu aktivitete nga konsultimet paraprake nëse janë organizuar të tilla).</w:t>
      </w:r>
    </w:p>
    <w:p w14:paraId="2F548C52" w14:textId="038C9BE6" w:rsidR="00C7773E" w:rsidRPr="00886A50" w:rsidRDefault="00C7773E" w:rsidP="00886A50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14:paraId="6D3DC2C5" w14:textId="083DD3A8" w:rsidR="007E0AFB" w:rsidRPr="00886A50" w:rsidRDefault="007E0AFB" w:rsidP="00073C8A">
      <w:pPr>
        <w:contextualSpacing/>
        <w:jc w:val="both"/>
        <w:rPr>
          <w:rFonts w:ascii="Times New Roman" w:hAnsi="Times New Roman"/>
          <w:bCs/>
          <w:iCs/>
          <w:sz w:val="26"/>
          <w:szCs w:val="26"/>
          <w:lang w:bidi="en-GB"/>
        </w:rPr>
      </w:pPr>
      <w:r w:rsidRPr="00886A50">
        <w:rPr>
          <w:rFonts w:ascii="Times New Roman" w:hAnsi="Times New Roman"/>
          <w:sz w:val="26"/>
          <w:szCs w:val="26"/>
        </w:rPr>
        <w:t xml:space="preserve">Metodat e konsultimit të përdorura për projektligjin </w:t>
      </w:r>
      <w:r w:rsidR="0090557E" w:rsidRPr="00886A50">
        <w:rPr>
          <w:rFonts w:ascii="Times New Roman" w:hAnsi="Times New Roman"/>
          <w:bCs/>
          <w:iCs/>
          <w:sz w:val="26"/>
          <w:szCs w:val="26"/>
          <w:lang w:bidi="en-GB"/>
        </w:rPr>
        <w:t>“Për nënproduktet me origjinë shtazore”</w:t>
      </w:r>
      <w:r w:rsidR="008332B0" w:rsidRPr="00886A50">
        <w:rPr>
          <w:rFonts w:ascii="Times New Roman" w:hAnsi="Times New Roman"/>
          <w:bCs/>
          <w:iCs/>
          <w:sz w:val="26"/>
          <w:szCs w:val="26"/>
          <w:lang w:bidi="en-GB"/>
        </w:rPr>
        <w:t xml:space="preserve">, </w:t>
      </w:r>
      <w:r w:rsidRPr="00886A50">
        <w:rPr>
          <w:rFonts w:ascii="Times New Roman" w:hAnsi="Times New Roman"/>
          <w:sz w:val="26"/>
          <w:szCs w:val="26"/>
        </w:rPr>
        <w:t xml:space="preserve">ishin: </w:t>
      </w:r>
    </w:p>
    <w:p w14:paraId="3F7DF767" w14:textId="77777777" w:rsidR="00320FC5" w:rsidRPr="00886A50" w:rsidRDefault="00320FC5" w:rsidP="00886A50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14:paraId="7565E996" w14:textId="5EC291D8" w:rsidR="007E0AFB" w:rsidRPr="00073C8A" w:rsidRDefault="007E0AFB" w:rsidP="00073C8A">
      <w:pPr>
        <w:pStyle w:val="ListParagraph"/>
        <w:numPr>
          <w:ilvl w:val="0"/>
          <w:numId w:val="20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073C8A">
        <w:rPr>
          <w:rFonts w:ascii="Times New Roman" w:hAnsi="Times New Roman"/>
          <w:sz w:val="26"/>
          <w:szCs w:val="26"/>
        </w:rPr>
        <w:t>konsulti</w:t>
      </w:r>
      <w:r w:rsidR="00320FC5" w:rsidRPr="00073C8A">
        <w:rPr>
          <w:rFonts w:ascii="Times New Roman" w:hAnsi="Times New Roman"/>
          <w:sz w:val="26"/>
          <w:szCs w:val="26"/>
        </w:rPr>
        <w:t>mi</w:t>
      </w:r>
      <w:r w:rsidRPr="00073C8A">
        <w:rPr>
          <w:rFonts w:ascii="Times New Roman" w:hAnsi="Times New Roman"/>
          <w:sz w:val="26"/>
          <w:szCs w:val="26"/>
        </w:rPr>
        <w:t xml:space="preserve"> elektronik, përmes </w:t>
      </w:r>
      <w:r w:rsidR="00320FC5" w:rsidRPr="00073C8A">
        <w:rPr>
          <w:rFonts w:ascii="Times New Roman" w:hAnsi="Times New Roman"/>
          <w:sz w:val="26"/>
          <w:szCs w:val="26"/>
        </w:rPr>
        <w:t>Regjistrit Elektronik, RE</w:t>
      </w:r>
      <w:r w:rsidR="00AA56BA" w:rsidRPr="00073C8A">
        <w:rPr>
          <w:rFonts w:ascii="Times New Roman" w:hAnsi="Times New Roman"/>
          <w:sz w:val="26"/>
          <w:szCs w:val="26"/>
        </w:rPr>
        <w:t>K</w:t>
      </w:r>
      <w:r w:rsidR="00320FC5" w:rsidRPr="00073C8A">
        <w:rPr>
          <w:rFonts w:ascii="Times New Roman" w:hAnsi="Times New Roman"/>
          <w:sz w:val="26"/>
          <w:szCs w:val="26"/>
        </w:rPr>
        <w:t>NJ</w:t>
      </w:r>
      <w:r w:rsidR="00AA56BA" w:rsidRPr="00073C8A">
        <w:rPr>
          <w:rFonts w:ascii="Times New Roman" w:hAnsi="Times New Roman"/>
          <w:sz w:val="26"/>
          <w:szCs w:val="26"/>
        </w:rPr>
        <w:t>P</w:t>
      </w:r>
      <w:r w:rsidR="00320FC5" w:rsidRPr="00073C8A">
        <w:rPr>
          <w:rFonts w:ascii="Times New Roman" w:hAnsi="Times New Roman"/>
          <w:sz w:val="26"/>
          <w:szCs w:val="26"/>
        </w:rPr>
        <w:t xml:space="preserve">, </w:t>
      </w:r>
      <w:r w:rsidRPr="00073C8A">
        <w:rPr>
          <w:rFonts w:ascii="Times New Roman" w:hAnsi="Times New Roman"/>
          <w:sz w:val="26"/>
          <w:szCs w:val="26"/>
        </w:rPr>
        <w:t xml:space="preserve">nga </w:t>
      </w:r>
      <w:r w:rsidR="00320FC5" w:rsidRPr="00073C8A">
        <w:rPr>
          <w:rFonts w:ascii="Times New Roman" w:hAnsi="Times New Roman"/>
          <w:sz w:val="26"/>
          <w:szCs w:val="26"/>
        </w:rPr>
        <w:t xml:space="preserve">data </w:t>
      </w:r>
      <w:r w:rsidR="00AA56BA" w:rsidRPr="00073C8A">
        <w:rPr>
          <w:rFonts w:ascii="Times New Roman" w:hAnsi="Times New Roman"/>
          <w:sz w:val="26"/>
          <w:szCs w:val="26"/>
        </w:rPr>
        <w:t xml:space="preserve">19.3.2024 </w:t>
      </w:r>
      <w:r w:rsidR="00320FC5" w:rsidRPr="00073C8A">
        <w:rPr>
          <w:rFonts w:ascii="Times New Roman" w:hAnsi="Times New Roman"/>
          <w:sz w:val="26"/>
          <w:szCs w:val="26"/>
        </w:rPr>
        <w:t>deri n</w:t>
      </w:r>
      <w:r w:rsidR="00B56574" w:rsidRPr="00073C8A">
        <w:rPr>
          <w:rFonts w:ascii="Times New Roman" w:hAnsi="Times New Roman"/>
          <w:sz w:val="26"/>
          <w:szCs w:val="26"/>
        </w:rPr>
        <w:t>ë</w:t>
      </w:r>
      <w:r w:rsidR="00320FC5" w:rsidRPr="00073C8A">
        <w:rPr>
          <w:rFonts w:ascii="Times New Roman" w:hAnsi="Times New Roman"/>
          <w:sz w:val="26"/>
          <w:szCs w:val="26"/>
        </w:rPr>
        <w:t xml:space="preserve"> dat</w:t>
      </w:r>
      <w:r w:rsidR="00B56574" w:rsidRPr="00073C8A">
        <w:rPr>
          <w:rFonts w:ascii="Times New Roman" w:hAnsi="Times New Roman"/>
          <w:sz w:val="26"/>
          <w:szCs w:val="26"/>
        </w:rPr>
        <w:t>ë</w:t>
      </w:r>
      <w:r w:rsidR="00320FC5" w:rsidRPr="00073C8A">
        <w:rPr>
          <w:rFonts w:ascii="Times New Roman" w:hAnsi="Times New Roman"/>
          <w:sz w:val="26"/>
          <w:szCs w:val="26"/>
        </w:rPr>
        <w:t xml:space="preserve"> </w:t>
      </w:r>
      <w:r w:rsidR="00AA56BA" w:rsidRPr="00073C8A">
        <w:rPr>
          <w:rFonts w:ascii="Times New Roman" w:hAnsi="Times New Roman"/>
          <w:sz w:val="26"/>
          <w:szCs w:val="26"/>
        </w:rPr>
        <w:t>18.4.2024</w:t>
      </w:r>
      <w:r w:rsidR="00320FC5" w:rsidRPr="00073C8A">
        <w:rPr>
          <w:rFonts w:ascii="Times New Roman" w:hAnsi="Times New Roman"/>
          <w:sz w:val="26"/>
          <w:szCs w:val="26"/>
        </w:rPr>
        <w:t>;</w:t>
      </w:r>
    </w:p>
    <w:p w14:paraId="61BF2098" w14:textId="136F37BF" w:rsidR="007E0AFB" w:rsidRPr="00073C8A" w:rsidRDefault="007E0AFB" w:rsidP="00073C8A">
      <w:pPr>
        <w:pStyle w:val="ListParagraph"/>
        <w:numPr>
          <w:ilvl w:val="0"/>
          <w:numId w:val="20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073C8A">
        <w:rPr>
          <w:rFonts w:ascii="Times New Roman" w:hAnsi="Times New Roman"/>
          <w:sz w:val="26"/>
          <w:szCs w:val="26"/>
        </w:rPr>
        <w:t>takim publik në ambjentet e M</w:t>
      </w:r>
      <w:r w:rsidR="00320FC5" w:rsidRPr="00073C8A">
        <w:rPr>
          <w:rFonts w:ascii="Times New Roman" w:hAnsi="Times New Roman"/>
          <w:sz w:val="26"/>
          <w:szCs w:val="26"/>
        </w:rPr>
        <w:t>BZHR</w:t>
      </w:r>
      <w:r w:rsidRPr="00073C8A">
        <w:rPr>
          <w:rFonts w:ascii="Times New Roman" w:hAnsi="Times New Roman"/>
          <w:sz w:val="26"/>
          <w:szCs w:val="26"/>
        </w:rPr>
        <w:t>, njoftuar përmes postë</w:t>
      </w:r>
      <w:r w:rsidR="00320FC5" w:rsidRPr="00073C8A">
        <w:rPr>
          <w:rFonts w:ascii="Times New Roman" w:hAnsi="Times New Roman"/>
          <w:sz w:val="26"/>
          <w:szCs w:val="26"/>
        </w:rPr>
        <w:t xml:space="preserve">s elektronike, </w:t>
      </w:r>
      <w:r w:rsidRPr="00073C8A">
        <w:rPr>
          <w:rFonts w:ascii="Times New Roman" w:hAnsi="Times New Roman"/>
          <w:sz w:val="26"/>
          <w:szCs w:val="26"/>
        </w:rPr>
        <w:t>në</w:t>
      </w:r>
      <w:r w:rsidR="00F77619" w:rsidRPr="00073C8A">
        <w:rPr>
          <w:rFonts w:ascii="Times New Roman" w:hAnsi="Times New Roman"/>
          <w:sz w:val="26"/>
          <w:szCs w:val="26"/>
        </w:rPr>
        <w:t xml:space="preserve"> dat</w:t>
      </w:r>
      <w:r w:rsidR="00AA56BA" w:rsidRPr="00073C8A">
        <w:rPr>
          <w:rFonts w:ascii="Times New Roman" w:hAnsi="Times New Roman"/>
          <w:sz w:val="26"/>
          <w:szCs w:val="26"/>
        </w:rPr>
        <w:t>ë</w:t>
      </w:r>
      <w:r w:rsidR="00073C8A" w:rsidRPr="00073C8A">
        <w:rPr>
          <w:rFonts w:ascii="Times New Roman" w:hAnsi="Times New Roman"/>
          <w:sz w:val="26"/>
          <w:szCs w:val="26"/>
        </w:rPr>
        <w:t xml:space="preserve"> </w:t>
      </w:r>
      <w:r w:rsidR="000D07C3" w:rsidRPr="00073C8A">
        <w:rPr>
          <w:rFonts w:ascii="Times New Roman" w:hAnsi="Times New Roman"/>
          <w:sz w:val="26"/>
          <w:szCs w:val="26"/>
        </w:rPr>
        <w:t>7.5</w:t>
      </w:r>
      <w:r w:rsidR="006B35BE" w:rsidRPr="00073C8A">
        <w:rPr>
          <w:rFonts w:ascii="Times New Roman" w:hAnsi="Times New Roman"/>
          <w:sz w:val="26"/>
          <w:szCs w:val="26"/>
        </w:rPr>
        <w:t>.2</w:t>
      </w:r>
      <w:r w:rsidR="00AA56BA" w:rsidRPr="00073C8A">
        <w:rPr>
          <w:rFonts w:ascii="Times New Roman" w:hAnsi="Times New Roman"/>
          <w:sz w:val="26"/>
          <w:szCs w:val="26"/>
        </w:rPr>
        <w:t>024</w:t>
      </w:r>
      <w:r w:rsidR="00B270E5" w:rsidRPr="00073C8A">
        <w:rPr>
          <w:rFonts w:ascii="Times New Roman" w:hAnsi="Times New Roman"/>
          <w:sz w:val="26"/>
          <w:szCs w:val="26"/>
        </w:rPr>
        <w:t>,</w:t>
      </w:r>
      <w:r w:rsidR="005211D8" w:rsidRPr="00073C8A">
        <w:rPr>
          <w:rFonts w:ascii="Times New Roman" w:hAnsi="Times New Roman"/>
          <w:sz w:val="26"/>
          <w:szCs w:val="26"/>
        </w:rPr>
        <w:t xml:space="preserve"> </w:t>
      </w:r>
      <w:r w:rsidR="00B270E5" w:rsidRPr="00073C8A">
        <w:rPr>
          <w:rFonts w:ascii="Times New Roman" w:hAnsi="Times New Roman"/>
          <w:sz w:val="26"/>
          <w:szCs w:val="26"/>
        </w:rPr>
        <w:t>ora 1</w:t>
      </w:r>
      <w:r w:rsidR="000D07C3" w:rsidRPr="00073C8A">
        <w:rPr>
          <w:rFonts w:ascii="Times New Roman" w:hAnsi="Times New Roman"/>
          <w:sz w:val="26"/>
          <w:szCs w:val="26"/>
        </w:rPr>
        <w:t>0</w:t>
      </w:r>
      <w:r w:rsidR="00B270E5" w:rsidRPr="00073C8A">
        <w:rPr>
          <w:rFonts w:ascii="Times New Roman" w:hAnsi="Times New Roman"/>
          <w:sz w:val="26"/>
          <w:szCs w:val="26"/>
        </w:rPr>
        <w:t>:00</w:t>
      </w:r>
      <w:r w:rsidR="00EA7005" w:rsidRPr="00073C8A">
        <w:rPr>
          <w:rFonts w:ascii="Times New Roman" w:hAnsi="Times New Roman"/>
          <w:sz w:val="26"/>
          <w:szCs w:val="26"/>
        </w:rPr>
        <w:t>.</w:t>
      </w:r>
    </w:p>
    <w:p w14:paraId="7C523FDB" w14:textId="018E153F" w:rsidR="007E0AFB" w:rsidRPr="00073C8A" w:rsidRDefault="00320FC5" w:rsidP="00073C8A">
      <w:pPr>
        <w:pStyle w:val="ListParagraph"/>
        <w:numPr>
          <w:ilvl w:val="0"/>
          <w:numId w:val="20"/>
        </w:numPr>
        <w:contextualSpacing/>
        <w:jc w:val="both"/>
        <w:rPr>
          <w:rFonts w:ascii="Times New Roman" w:hAnsi="Times New Roman"/>
          <w:iCs/>
          <w:sz w:val="26"/>
          <w:szCs w:val="26"/>
          <w:lang w:val="de-DE"/>
        </w:rPr>
      </w:pPr>
      <w:r w:rsidRPr="00073C8A">
        <w:rPr>
          <w:rFonts w:ascii="Times New Roman" w:hAnsi="Times New Roman"/>
          <w:sz w:val="26"/>
          <w:szCs w:val="26"/>
        </w:rPr>
        <w:t>komunikimi p</w:t>
      </w:r>
      <w:r w:rsidR="00B56574" w:rsidRPr="00073C8A">
        <w:rPr>
          <w:rFonts w:ascii="Times New Roman" w:hAnsi="Times New Roman"/>
          <w:sz w:val="26"/>
          <w:szCs w:val="26"/>
        </w:rPr>
        <w:t>ë</w:t>
      </w:r>
      <w:r w:rsidRPr="00073C8A">
        <w:rPr>
          <w:rFonts w:ascii="Times New Roman" w:hAnsi="Times New Roman"/>
          <w:sz w:val="26"/>
          <w:szCs w:val="26"/>
        </w:rPr>
        <w:t>rmes post</w:t>
      </w:r>
      <w:r w:rsidR="00B56574" w:rsidRPr="00073C8A">
        <w:rPr>
          <w:rFonts w:ascii="Times New Roman" w:hAnsi="Times New Roman"/>
          <w:sz w:val="26"/>
          <w:szCs w:val="26"/>
        </w:rPr>
        <w:t>ë</w:t>
      </w:r>
      <w:r w:rsidRPr="00073C8A">
        <w:rPr>
          <w:rFonts w:ascii="Times New Roman" w:hAnsi="Times New Roman"/>
          <w:sz w:val="26"/>
          <w:szCs w:val="26"/>
        </w:rPr>
        <w:t>s elektronike nga data</w:t>
      </w:r>
      <w:r w:rsidR="00674CAA" w:rsidRPr="00073C8A">
        <w:rPr>
          <w:rFonts w:ascii="Times New Roman" w:hAnsi="Times New Roman"/>
          <w:sz w:val="26"/>
          <w:szCs w:val="26"/>
        </w:rPr>
        <w:t xml:space="preserve"> </w:t>
      </w:r>
      <w:r w:rsidR="00FC723D" w:rsidRPr="00073C8A">
        <w:rPr>
          <w:rFonts w:ascii="Times New Roman" w:hAnsi="Times New Roman"/>
          <w:sz w:val="26"/>
          <w:szCs w:val="26"/>
        </w:rPr>
        <w:t>19.3.2024</w:t>
      </w:r>
      <w:r w:rsidRPr="00073C8A">
        <w:rPr>
          <w:rFonts w:ascii="Times New Roman" w:hAnsi="Times New Roman"/>
          <w:sz w:val="26"/>
          <w:szCs w:val="26"/>
        </w:rPr>
        <w:t>, deri n</w:t>
      </w:r>
      <w:r w:rsidR="00B56574" w:rsidRPr="00073C8A">
        <w:rPr>
          <w:rFonts w:ascii="Times New Roman" w:hAnsi="Times New Roman"/>
          <w:sz w:val="26"/>
          <w:szCs w:val="26"/>
        </w:rPr>
        <w:t>ë</w:t>
      </w:r>
      <w:r w:rsidRPr="00073C8A">
        <w:rPr>
          <w:rFonts w:ascii="Times New Roman" w:hAnsi="Times New Roman"/>
          <w:sz w:val="26"/>
          <w:szCs w:val="26"/>
        </w:rPr>
        <w:t xml:space="preserve"> dat</w:t>
      </w:r>
      <w:r w:rsidR="00B56574" w:rsidRPr="00073C8A">
        <w:rPr>
          <w:rFonts w:ascii="Times New Roman" w:hAnsi="Times New Roman"/>
          <w:sz w:val="26"/>
          <w:szCs w:val="26"/>
        </w:rPr>
        <w:t>ë</w:t>
      </w:r>
      <w:r w:rsidRPr="00073C8A">
        <w:rPr>
          <w:rFonts w:ascii="Times New Roman" w:hAnsi="Times New Roman"/>
          <w:sz w:val="26"/>
          <w:szCs w:val="26"/>
        </w:rPr>
        <w:t xml:space="preserve"> </w:t>
      </w:r>
      <w:r w:rsidR="00FC723D" w:rsidRPr="00073C8A">
        <w:rPr>
          <w:rFonts w:ascii="Times New Roman" w:hAnsi="Times New Roman"/>
          <w:sz w:val="26"/>
          <w:szCs w:val="26"/>
        </w:rPr>
        <w:t>18.4.2024</w:t>
      </w:r>
      <w:r w:rsidRPr="00073C8A">
        <w:rPr>
          <w:rFonts w:ascii="Times New Roman" w:hAnsi="Times New Roman"/>
          <w:sz w:val="26"/>
          <w:szCs w:val="26"/>
        </w:rPr>
        <w:t>.</w:t>
      </w:r>
    </w:p>
    <w:p w14:paraId="69FAD32D" w14:textId="56844D7F" w:rsidR="006C0CC0" w:rsidRPr="00886A50" w:rsidRDefault="006C0CC0" w:rsidP="00886A50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14:paraId="5997E687" w14:textId="77777777" w:rsidR="00C7773E" w:rsidRDefault="00C7773E" w:rsidP="00886A50">
      <w:pPr>
        <w:pStyle w:val="ListParagraph"/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886A50">
        <w:rPr>
          <w:rFonts w:ascii="Times New Roman" w:hAnsi="Times New Roman"/>
          <w:b/>
          <w:bCs/>
          <w:sz w:val="26"/>
          <w:szCs w:val="26"/>
        </w:rPr>
        <w:t>Palët e interesit të përfshira</w:t>
      </w:r>
    </w:p>
    <w:p w14:paraId="1C117A65" w14:textId="77777777" w:rsidR="00073C8A" w:rsidRPr="00886A50" w:rsidRDefault="00073C8A" w:rsidP="00073C8A">
      <w:pPr>
        <w:pStyle w:val="ListParagraph"/>
        <w:spacing w:after="0"/>
        <w:ind w:left="360" w:firstLine="0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3373B77D" w14:textId="77777777" w:rsidR="00C7773E" w:rsidRPr="00886A50" w:rsidRDefault="00C7773E" w:rsidP="00886A50">
      <w:pPr>
        <w:ind w:left="360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886A50">
        <w:rPr>
          <w:rFonts w:ascii="Times New Roman" w:hAnsi="Times New Roman"/>
          <w:i/>
          <w:sz w:val="26"/>
          <w:szCs w:val="26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79530635" w14:textId="77777777" w:rsidR="00C7773E" w:rsidRPr="00886A50" w:rsidRDefault="00C7773E" w:rsidP="00886A50">
      <w:pPr>
        <w:ind w:left="360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886A50">
        <w:rPr>
          <w:rFonts w:ascii="Times New Roman" w:hAnsi="Times New Roman"/>
          <w:i/>
          <w:sz w:val="26"/>
          <w:szCs w:val="26"/>
        </w:rPr>
        <w:t>Përmendni gjithashtu numrin dhe strukturën e palëve të interesuara që morën pjesë në takime publike ose seanca të organeve këshilluese.</w:t>
      </w:r>
    </w:p>
    <w:p w14:paraId="01220A41" w14:textId="07EFD236" w:rsidR="00C7773E" w:rsidRPr="00886A50" w:rsidRDefault="00C7773E" w:rsidP="00886A50">
      <w:pPr>
        <w:ind w:left="360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886A50">
        <w:rPr>
          <w:rFonts w:ascii="Times New Roman" w:hAnsi="Times New Roman"/>
          <w:i/>
          <w:sz w:val="26"/>
          <w:szCs w:val="26"/>
        </w:rPr>
        <w:t>Specifikoni palët e interesuara që morën pjesë në grupin e punës për hartimin e aktit.</w:t>
      </w:r>
    </w:p>
    <w:p w14:paraId="16601F5A" w14:textId="009F7DB1" w:rsidR="009A0940" w:rsidRPr="00886A50" w:rsidRDefault="009A0940" w:rsidP="00886A50">
      <w:pPr>
        <w:ind w:left="360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14:paraId="01A5B284" w14:textId="0CAB7A14" w:rsidR="009A0940" w:rsidRPr="00886A50" w:rsidRDefault="009A0940" w:rsidP="00073C8A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886A50">
        <w:rPr>
          <w:rFonts w:ascii="Times New Roman" w:hAnsi="Times New Roman"/>
          <w:sz w:val="26"/>
          <w:szCs w:val="26"/>
        </w:rPr>
        <w:lastRenderedPageBreak/>
        <w:t xml:space="preserve">Palët e interesuara të cilët kanë dhënë komente/kontribut </w:t>
      </w:r>
      <w:r w:rsidR="00073C8A">
        <w:rPr>
          <w:rFonts w:ascii="Times New Roman" w:hAnsi="Times New Roman"/>
          <w:sz w:val="26"/>
          <w:szCs w:val="26"/>
        </w:rPr>
        <w:t>gjat</w:t>
      </w:r>
      <w:r w:rsidR="0042089E">
        <w:rPr>
          <w:rFonts w:ascii="Times New Roman" w:hAnsi="Times New Roman"/>
          <w:sz w:val="26"/>
          <w:szCs w:val="26"/>
        </w:rPr>
        <w:t>ë</w:t>
      </w:r>
      <w:r w:rsidR="00073C8A">
        <w:rPr>
          <w:rFonts w:ascii="Times New Roman" w:hAnsi="Times New Roman"/>
          <w:sz w:val="26"/>
          <w:szCs w:val="26"/>
        </w:rPr>
        <w:t xml:space="preserve"> procesit t</w:t>
      </w:r>
      <w:r w:rsidR="0042089E">
        <w:rPr>
          <w:rFonts w:ascii="Times New Roman" w:hAnsi="Times New Roman"/>
          <w:sz w:val="26"/>
          <w:szCs w:val="26"/>
        </w:rPr>
        <w:t>ë</w:t>
      </w:r>
      <w:r w:rsidR="00073C8A">
        <w:rPr>
          <w:rFonts w:ascii="Times New Roman" w:hAnsi="Times New Roman"/>
          <w:sz w:val="26"/>
          <w:szCs w:val="26"/>
        </w:rPr>
        <w:t xml:space="preserve"> </w:t>
      </w:r>
      <w:r w:rsidRPr="00886A50">
        <w:rPr>
          <w:rFonts w:ascii="Times New Roman" w:hAnsi="Times New Roman"/>
          <w:sz w:val="26"/>
          <w:szCs w:val="26"/>
        </w:rPr>
        <w:t>konsultimi</w:t>
      </w:r>
      <w:r w:rsidR="00073C8A">
        <w:rPr>
          <w:rFonts w:ascii="Times New Roman" w:hAnsi="Times New Roman"/>
          <w:sz w:val="26"/>
          <w:szCs w:val="26"/>
        </w:rPr>
        <w:t>t</w:t>
      </w:r>
      <w:r w:rsidRPr="00886A50">
        <w:rPr>
          <w:rFonts w:ascii="Times New Roman" w:hAnsi="Times New Roman"/>
          <w:sz w:val="26"/>
          <w:szCs w:val="26"/>
        </w:rPr>
        <w:t xml:space="preserve"> publik, janë:</w:t>
      </w:r>
    </w:p>
    <w:p w14:paraId="0E882EBA" w14:textId="77777777" w:rsidR="005211D8" w:rsidRPr="00886A50" w:rsidRDefault="005211D8" w:rsidP="00886A50">
      <w:pPr>
        <w:ind w:left="360"/>
        <w:contextualSpacing/>
        <w:jc w:val="both"/>
        <w:rPr>
          <w:rFonts w:ascii="Times New Roman" w:hAnsi="Times New Roman"/>
          <w:sz w:val="26"/>
          <w:szCs w:val="26"/>
        </w:rPr>
      </w:pPr>
    </w:p>
    <w:p w14:paraId="7AB4CC90" w14:textId="74A7214C" w:rsidR="009A0940" w:rsidRPr="00886A50" w:rsidRDefault="000D07C3" w:rsidP="00886A50">
      <w:pPr>
        <w:pStyle w:val="ListParagraph"/>
        <w:numPr>
          <w:ilvl w:val="0"/>
          <w:numId w:val="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886A50">
        <w:rPr>
          <w:rFonts w:ascii="Times New Roman" w:hAnsi="Times New Roman"/>
          <w:sz w:val="26"/>
          <w:szCs w:val="26"/>
        </w:rPr>
        <w:t>INCA shpk,</w:t>
      </w:r>
      <w:r w:rsidR="009A0940" w:rsidRPr="00886A50">
        <w:rPr>
          <w:rFonts w:ascii="Times New Roman" w:hAnsi="Times New Roman"/>
          <w:sz w:val="26"/>
          <w:szCs w:val="26"/>
        </w:rPr>
        <w:t xml:space="preserve"> komunikim p</w:t>
      </w:r>
      <w:r w:rsidR="00B56574" w:rsidRPr="00886A50">
        <w:rPr>
          <w:rFonts w:ascii="Times New Roman" w:hAnsi="Times New Roman"/>
          <w:sz w:val="26"/>
          <w:szCs w:val="26"/>
        </w:rPr>
        <w:t>ë</w:t>
      </w:r>
      <w:r w:rsidR="009A0940" w:rsidRPr="00886A50">
        <w:rPr>
          <w:rFonts w:ascii="Times New Roman" w:hAnsi="Times New Roman"/>
          <w:sz w:val="26"/>
          <w:szCs w:val="26"/>
        </w:rPr>
        <w:t>rmes post</w:t>
      </w:r>
      <w:r w:rsidR="00B56574" w:rsidRPr="00886A50">
        <w:rPr>
          <w:rFonts w:ascii="Times New Roman" w:hAnsi="Times New Roman"/>
          <w:sz w:val="26"/>
          <w:szCs w:val="26"/>
        </w:rPr>
        <w:t>ë</w:t>
      </w:r>
      <w:r w:rsidR="009A0940" w:rsidRPr="00886A50">
        <w:rPr>
          <w:rFonts w:ascii="Times New Roman" w:hAnsi="Times New Roman"/>
          <w:sz w:val="26"/>
          <w:szCs w:val="26"/>
        </w:rPr>
        <w:t>s elektronike dhe takime n</w:t>
      </w:r>
      <w:r w:rsidR="00B56574" w:rsidRPr="00886A50">
        <w:rPr>
          <w:rFonts w:ascii="Times New Roman" w:hAnsi="Times New Roman"/>
          <w:sz w:val="26"/>
          <w:szCs w:val="26"/>
        </w:rPr>
        <w:t>ë</w:t>
      </w:r>
      <w:r w:rsidR="009A0940" w:rsidRPr="00886A50">
        <w:rPr>
          <w:rFonts w:ascii="Times New Roman" w:hAnsi="Times New Roman"/>
          <w:sz w:val="26"/>
          <w:szCs w:val="26"/>
        </w:rPr>
        <w:t xml:space="preserve"> MBZHR;</w:t>
      </w:r>
    </w:p>
    <w:p w14:paraId="4D5F0F63" w14:textId="5F4551E9" w:rsidR="00332166" w:rsidRPr="00886A50" w:rsidRDefault="002B0510" w:rsidP="00886A50">
      <w:pPr>
        <w:pStyle w:val="ListParagraph"/>
        <w:numPr>
          <w:ilvl w:val="0"/>
          <w:numId w:val="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886A50">
        <w:rPr>
          <w:rFonts w:ascii="Times New Roman" w:hAnsi="Times New Roman"/>
          <w:sz w:val="26"/>
          <w:szCs w:val="26"/>
        </w:rPr>
        <w:t>Përfaqësues nga AKVMB</w:t>
      </w:r>
      <w:r w:rsidR="000D07C3" w:rsidRPr="00886A50">
        <w:rPr>
          <w:rFonts w:ascii="Times New Roman" w:hAnsi="Times New Roman"/>
          <w:sz w:val="26"/>
          <w:szCs w:val="26"/>
        </w:rPr>
        <w:t>, ISUV, AKU</w:t>
      </w:r>
      <w:r w:rsidR="00F56879" w:rsidRPr="00886A50">
        <w:rPr>
          <w:rFonts w:ascii="Times New Roman" w:hAnsi="Times New Roman"/>
          <w:sz w:val="26"/>
          <w:szCs w:val="26"/>
        </w:rPr>
        <w:t>,</w:t>
      </w:r>
      <w:r w:rsidR="000D07C3" w:rsidRPr="00886A50">
        <w:rPr>
          <w:rFonts w:ascii="Times New Roman" w:hAnsi="Times New Roman"/>
          <w:sz w:val="26"/>
          <w:szCs w:val="26"/>
        </w:rPr>
        <w:t xml:space="preserve"> përfaq</w:t>
      </w:r>
      <w:r w:rsidR="0042089E">
        <w:rPr>
          <w:rFonts w:ascii="Times New Roman" w:hAnsi="Times New Roman"/>
          <w:sz w:val="26"/>
          <w:szCs w:val="26"/>
        </w:rPr>
        <w:t>ë</w:t>
      </w:r>
      <w:r w:rsidR="000D07C3" w:rsidRPr="00886A50">
        <w:rPr>
          <w:rFonts w:ascii="Times New Roman" w:hAnsi="Times New Roman"/>
          <w:sz w:val="26"/>
          <w:szCs w:val="26"/>
        </w:rPr>
        <w:t xml:space="preserve">sues të Ministrisë së Financave dhe Ministrisë </w:t>
      </w:r>
      <w:r w:rsidR="00073C8A">
        <w:rPr>
          <w:rFonts w:ascii="Times New Roman" w:hAnsi="Times New Roman"/>
          <w:sz w:val="26"/>
          <w:szCs w:val="26"/>
        </w:rPr>
        <w:t>s</w:t>
      </w:r>
      <w:r w:rsidR="0042089E">
        <w:rPr>
          <w:rFonts w:ascii="Times New Roman" w:hAnsi="Times New Roman"/>
          <w:sz w:val="26"/>
          <w:szCs w:val="26"/>
        </w:rPr>
        <w:t>ë</w:t>
      </w:r>
      <w:r w:rsidR="00073C8A">
        <w:rPr>
          <w:rFonts w:ascii="Times New Roman" w:hAnsi="Times New Roman"/>
          <w:sz w:val="26"/>
          <w:szCs w:val="26"/>
        </w:rPr>
        <w:t xml:space="preserve"> </w:t>
      </w:r>
      <w:r w:rsidR="000D07C3" w:rsidRPr="00886A50">
        <w:rPr>
          <w:rFonts w:ascii="Times New Roman" w:hAnsi="Times New Roman"/>
          <w:sz w:val="26"/>
          <w:szCs w:val="26"/>
        </w:rPr>
        <w:t>Turizmit dhe Mjedisit me</w:t>
      </w:r>
      <w:r w:rsidR="00F56879" w:rsidRPr="00886A50">
        <w:rPr>
          <w:rFonts w:ascii="Times New Roman" w:hAnsi="Times New Roman"/>
          <w:sz w:val="26"/>
          <w:szCs w:val="26"/>
        </w:rPr>
        <w:t xml:space="preserve"> komunikim</w:t>
      </w:r>
      <w:r w:rsidR="000D07C3" w:rsidRPr="00886A50">
        <w:rPr>
          <w:rFonts w:ascii="Times New Roman" w:hAnsi="Times New Roman"/>
          <w:sz w:val="26"/>
          <w:szCs w:val="26"/>
        </w:rPr>
        <w:t>e</w:t>
      </w:r>
      <w:r w:rsidR="00F56879" w:rsidRPr="00886A50">
        <w:rPr>
          <w:rFonts w:ascii="Times New Roman" w:hAnsi="Times New Roman"/>
          <w:sz w:val="26"/>
          <w:szCs w:val="26"/>
        </w:rPr>
        <w:t xml:space="preserve"> përmes postës elektronike dhe takim</w:t>
      </w:r>
      <w:r w:rsidR="000D07C3" w:rsidRPr="00886A50">
        <w:rPr>
          <w:rFonts w:ascii="Times New Roman" w:hAnsi="Times New Roman"/>
          <w:sz w:val="26"/>
          <w:szCs w:val="26"/>
        </w:rPr>
        <w:t xml:space="preserve">e </w:t>
      </w:r>
      <w:r w:rsidR="00F56879" w:rsidRPr="00886A50">
        <w:rPr>
          <w:rFonts w:ascii="Times New Roman" w:hAnsi="Times New Roman"/>
          <w:sz w:val="26"/>
          <w:szCs w:val="26"/>
        </w:rPr>
        <w:t>në MBZHR.</w:t>
      </w:r>
    </w:p>
    <w:p w14:paraId="687E93B0" w14:textId="349EB74E" w:rsidR="002C1391" w:rsidRPr="00886A50" w:rsidRDefault="002C1391" w:rsidP="00886A50">
      <w:pPr>
        <w:pStyle w:val="ListParagraph"/>
        <w:ind w:left="1080" w:firstLine="0"/>
        <w:contextualSpacing/>
        <w:jc w:val="both"/>
        <w:rPr>
          <w:rFonts w:ascii="Times New Roman" w:hAnsi="Times New Roman"/>
          <w:sz w:val="26"/>
          <w:szCs w:val="26"/>
        </w:rPr>
      </w:pPr>
    </w:p>
    <w:p w14:paraId="0F340A05" w14:textId="440AEA3E" w:rsidR="002C1391" w:rsidRPr="00886A50" w:rsidRDefault="002C1391" w:rsidP="00073C8A">
      <w:pPr>
        <w:tabs>
          <w:tab w:val="left" w:pos="7552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886A50">
        <w:rPr>
          <w:rFonts w:ascii="Times New Roman" w:hAnsi="Times New Roman"/>
          <w:sz w:val="26"/>
          <w:szCs w:val="26"/>
        </w:rPr>
        <w:t>Projektligji u hartua nga nj</w:t>
      </w:r>
      <w:r w:rsidR="00B56574" w:rsidRPr="00886A50">
        <w:rPr>
          <w:rFonts w:ascii="Times New Roman" w:hAnsi="Times New Roman"/>
          <w:sz w:val="26"/>
          <w:szCs w:val="26"/>
        </w:rPr>
        <w:t>ë</w:t>
      </w:r>
      <w:r w:rsidRPr="00886A50">
        <w:rPr>
          <w:rFonts w:ascii="Times New Roman" w:hAnsi="Times New Roman"/>
          <w:sz w:val="26"/>
          <w:szCs w:val="26"/>
        </w:rPr>
        <w:t xml:space="preserve"> grup pune</w:t>
      </w:r>
      <w:r w:rsidR="00073C8A">
        <w:rPr>
          <w:rFonts w:ascii="Times New Roman" w:hAnsi="Times New Roman"/>
          <w:sz w:val="26"/>
          <w:szCs w:val="26"/>
        </w:rPr>
        <w:t xml:space="preserve">, </w:t>
      </w:r>
      <w:r w:rsidR="00BE6B6E">
        <w:rPr>
          <w:rFonts w:ascii="Times New Roman" w:hAnsi="Times New Roman"/>
          <w:sz w:val="26"/>
          <w:szCs w:val="26"/>
        </w:rPr>
        <w:t>i</w:t>
      </w:r>
      <w:r w:rsidR="00073C8A">
        <w:rPr>
          <w:rFonts w:ascii="Times New Roman" w:hAnsi="Times New Roman"/>
          <w:sz w:val="26"/>
          <w:szCs w:val="26"/>
        </w:rPr>
        <w:t xml:space="preserve"> </w:t>
      </w:r>
      <w:r w:rsidRPr="00886A50">
        <w:rPr>
          <w:rFonts w:ascii="Times New Roman" w:hAnsi="Times New Roman"/>
          <w:sz w:val="26"/>
          <w:szCs w:val="26"/>
        </w:rPr>
        <w:t>ngritur me urdh</w:t>
      </w:r>
      <w:r w:rsidR="00B56574" w:rsidRPr="00886A50">
        <w:rPr>
          <w:rFonts w:ascii="Times New Roman" w:hAnsi="Times New Roman"/>
          <w:sz w:val="26"/>
          <w:szCs w:val="26"/>
        </w:rPr>
        <w:t>ë</w:t>
      </w:r>
      <w:r w:rsidRPr="00886A50">
        <w:rPr>
          <w:rFonts w:ascii="Times New Roman" w:hAnsi="Times New Roman"/>
          <w:sz w:val="26"/>
          <w:szCs w:val="26"/>
        </w:rPr>
        <w:t>r t</w:t>
      </w:r>
      <w:r w:rsidR="00B56574" w:rsidRPr="00886A50">
        <w:rPr>
          <w:rFonts w:ascii="Times New Roman" w:hAnsi="Times New Roman"/>
          <w:sz w:val="26"/>
          <w:szCs w:val="26"/>
        </w:rPr>
        <w:t>ë</w:t>
      </w:r>
      <w:r w:rsidRPr="00886A50">
        <w:rPr>
          <w:rFonts w:ascii="Times New Roman" w:hAnsi="Times New Roman"/>
          <w:sz w:val="26"/>
          <w:szCs w:val="26"/>
        </w:rPr>
        <w:t xml:space="preserve"> Ministrit</w:t>
      </w:r>
      <w:r w:rsidR="00114D88" w:rsidRPr="00886A50">
        <w:rPr>
          <w:rFonts w:ascii="Times New Roman" w:hAnsi="Times New Roman"/>
          <w:sz w:val="26"/>
          <w:szCs w:val="26"/>
        </w:rPr>
        <w:t xml:space="preserve"> </w:t>
      </w:r>
      <w:r w:rsidR="00073C8A">
        <w:rPr>
          <w:rFonts w:ascii="Times New Roman" w:hAnsi="Times New Roman"/>
          <w:sz w:val="26"/>
          <w:szCs w:val="26"/>
        </w:rPr>
        <w:t>n</w:t>
      </w:r>
      <w:r w:rsidR="00114D88" w:rsidRPr="00886A50">
        <w:rPr>
          <w:rFonts w:ascii="Times New Roman" w:hAnsi="Times New Roman"/>
          <w:sz w:val="26"/>
          <w:szCs w:val="26"/>
        </w:rPr>
        <w:t>r.</w:t>
      </w:r>
      <w:r w:rsidR="00D97ED8" w:rsidRPr="00886A50">
        <w:rPr>
          <w:rFonts w:ascii="Times New Roman" w:hAnsi="Times New Roman"/>
          <w:sz w:val="26"/>
          <w:szCs w:val="26"/>
        </w:rPr>
        <w:t>761</w:t>
      </w:r>
      <w:r w:rsidR="009F33A9">
        <w:rPr>
          <w:rFonts w:ascii="Times New Roman" w:hAnsi="Times New Roman"/>
          <w:sz w:val="26"/>
          <w:szCs w:val="26"/>
        </w:rPr>
        <w:t xml:space="preserve"> prot.,</w:t>
      </w:r>
      <w:r w:rsidR="00114D88" w:rsidRPr="00886A50">
        <w:rPr>
          <w:rFonts w:ascii="Times New Roman" w:hAnsi="Times New Roman"/>
          <w:sz w:val="26"/>
          <w:szCs w:val="26"/>
        </w:rPr>
        <w:t xml:space="preserve"> datë </w:t>
      </w:r>
      <w:r w:rsidR="00D97ED8" w:rsidRPr="00886A50">
        <w:rPr>
          <w:rFonts w:ascii="Times New Roman" w:hAnsi="Times New Roman"/>
          <w:sz w:val="26"/>
          <w:szCs w:val="26"/>
        </w:rPr>
        <w:t>27</w:t>
      </w:r>
      <w:r w:rsidR="00114D88" w:rsidRPr="00886A50">
        <w:rPr>
          <w:rFonts w:ascii="Times New Roman" w:hAnsi="Times New Roman"/>
          <w:sz w:val="26"/>
          <w:szCs w:val="26"/>
        </w:rPr>
        <w:t>.1</w:t>
      </w:r>
      <w:r w:rsidR="00D97ED8" w:rsidRPr="00886A50">
        <w:rPr>
          <w:rFonts w:ascii="Times New Roman" w:hAnsi="Times New Roman"/>
          <w:sz w:val="26"/>
          <w:szCs w:val="26"/>
        </w:rPr>
        <w:t>2</w:t>
      </w:r>
      <w:r w:rsidR="00114D88" w:rsidRPr="00886A50">
        <w:rPr>
          <w:rFonts w:ascii="Times New Roman" w:hAnsi="Times New Roman"/>
          <w:sz w:val="26"/>
          <w:szCs w:val="26"/>
        </w:rPr>
        <w:t>.202</w:t>
      </w:r>
      <w:r w:rsidR="00D97ED8" w:rsidRPr="00886A50">
        <w:rPr>
          <w:rFonts w:ascii="Times New Roman" w:hAnsi="Times New Roman"/>
          <w:sz w:val="26"/>
          <w:szCs w:val="26"/>
        </w:rPr>
        <w:t>3</w:t>
      </w:r>
      <w:r w:rsidR="00114D88" w:rsidRPr="00886A50">
        <w:rPr>
          <w:rFonts w:ascii="Times New Roman" w:hAnsi="Times New Roman"/>
          <w:sz w:val="26"/>
          <w:szCs w:val="26"/>
        </w:rPr>
        <w:t>,</w:t>
      </w:r>
      <w:r w:rsidRPr="00886A50">
        <w:rPr>
          <w:rFonts w:ascii="Times New Roman" w:hAnsi="Times New Roman"/>
          <w:sz w:val="26"/>
          <w:szCs w:val="26"/>
        </w:rPr>
        <w:t xml:space="preserve"> me nj</w:t>
      </w:r>
      <w:r w:rsidR="00B56574" w:rsidRPr="00886A50">
        <w:rPr>
          <w:rFonts w:ascii="Times New Roman" w:hAnsi="Times New Roman"/>
          <w:sz w:val="26"/>
          <w:szCs w:val="26"/>
        </w:rPr>
        <w:t>ë</w:t>
      </w:r>
      <w:r w:rsidRPr="00886A50">
        <w:rPr>
          <w:rFonts w:ascii="Times New Roman" w:hAnsi="Times New Roman"/>
          <w:sz w:val="26"/>
          <w:szCs w:val="26"/>
        </w:rPr>
        <w:t xml:space="preserve"> p</w:t>
      </w:r>
      <w:r w:rsidR="00B56574" w:rsidRPr="00886A50">
        <w:rPr>
          <w:rFonts w:ascii="Times New Roman" w:hAnsi="Times New Roman"/>
          <w:sz w:val="26"/>
          <w:szCs w:val="26"/>
        </w:rPr>
        <w:t>ë</w:t>
      </w:r>
      <w:r w:rsidRPr="00886A50">
        <w:rPr>
          <w:rFonts w:ascii="Times New Roman" w:hAnsi="Times New Roman"/>
          <w:sz w:val="26"/>
          <w:szCs w:val="26"/>
        </w:rPr>
        <w:t>rfshirje t</w:t>
      </w:r>
      <w:r w:rsidR="00B56574" w:rsidRPr="00886A50">
        <w:rPr>
          <w:rFonts w:ascii="Times New Roman" w:hAnsi="Times New Roman"/>
          <w:sz w:val="26"/>
          <w:szCs w:val="26"/>
        </w:rPr>
        <w:t>ë</w:t>
      </w:r>
      <w:r w:rsidRPr="00886A50">
        <w:rPr>
          <w:rFonts w:ascii="Times New Roman" w:hAnsi="Times New Roman"/>
          <w:sz w:val="26"/>
          <w:szCs w:val="26"/>
        </w:rPr>
        <w:t xml:space="preserve"> t</w:t>
      </w:r>
      <w:r w:rsidR="00B56574" w:rsidRPr="00886A50">
        <w:rPr>
          <w:rFonts w:ascii="Times New Roman" w:hAnsi="Times New Roman"/>
          <w:sz w:val="26"/>
          <w:szCs w:val="26"/>
        </w:rPr>
        <w:t>ë</w:t>
      </w:r>
      <w:r w:rsidRPr="00886A50">
        <w:rPr>
          <w:rFonts w:ascii="Times New Roman" w:hAnsi="Times New Roman"/>
          <w:sz w:val="26"/>
          <w:szCs w:val="26"/>
        </w:rPr>
        <w:t xml:space="preserve"> gjith</w:t>
      </w:r>
      <w:r w:rsidR="00B56574" w:rsidRPr="00886A50">
        <w:rPr>
          <w:rFonts w:ascii="Times New Roman" w:hAnsi="Times New Roman"/>
          <w:sz w:val="26"/>
          <w:szCs w:val="26"/>
        </w:rPr>
        <w:t>ë</w:t>
      </w:r>
      <w:r w:rsidRPr="00886A50">
        <w:rPr>
          <w:rFonts w:ascii="Times New Roman" w:hAnsi="Times New Roman"/>
          <w:sz w:val="26"/>
          <w:szCs w:val="26"/>
        </w:rPr>
        <w:t xml:space="preserve"> institucioneve kontribuese: MBZHR, AKU, </w:t>
      </w:r>
      <w:r w:rsidR="00114D88" w:rsidRPr="00886A50">
        <w:rPr>
          <w:rFonts w:ascii="Times New Roman" w:hAnsi="Times New Roman"/>
          <w:sz w:val="26"/>
          <w:szCs w:val="26"/>
        </w:rPr>
        <w:t>AKVMB</w:t>
      </w:r>
      <w:r w:rsidR="00D97ED8" w:rsidRPr="00886A50">
        <w:rPr>
          <w:rFonts w:ascii="Times New Roman" w:hAnsi="Times New Roman"/>
          <w:sz w:val="26"/>
          <w:szCs w:val="26"/>
        </w:rPr>
        <w:t>,</w:t>
      </w:r>
      <w:r w:rsidR="00114D88" w:rsidRPr="00886A50">
        <w:rPr>
          <w:rFonts w:ascii="Times New Roman" w:hAnsi="Times New Roman"/>
          <w:sz w:val="26"/>
          <w:szCs w:val="26"/>
        </w:rPr>
        <w:t xml:space="preserve"> ISUV</w:t>
      </w:r>
      <w:r w:rsidR="00D97ED8" w:rsidRPr="00886A50">
        <w:rPr>
          <w:rFonts w:ascii="Times New Roman" w:hAnsi="Times New Roman"/>
          <w:sz w:val="26"/>
          <w:szCs w:val="26"/>
        </w:rPr>
        <w:t>, MTM dhe MFE</w:t>
      </w:r>
      <w:r w:rsidR="00114D88" w:rsidRPr="00886A50">
        <w:rPr>
          <w:rFonts w:ascii="Times New Roman" w:hAnsi="Times New Roman"/>
          <w:sz w:val="26"/>
          <w:szCs w:val="26"/>
        </w:rPr>
        <w:t>.</w:t>
      </w:r>
    </w:p>
    <w:p w14:paraId="11F021C7" w14:textId="57666B6D" w:rsidR="00C7773E" w:rsidRPr="00886A50" w:rsidRDefault="00C7773E" w:rsidP="00886A50">
      <w:pPr>
        <w:tabs>
          <w:tab w:val="left" w:pos="7552"/>
        </w:tabs>
        <w:ind w:left="360"/>
        <w:contextualSpacing/>
        <w:jc w:val="both"/>
        <w:rPr>
          <w:rFonts w:ascii="Times New Roman" w:hAnsi="Times New Roman"/>
          <w:sz w:val="26"/>
          <w:szCs w:val="26"/>
        </w:rPr>
      </w:pPr>
      <w:r w:rsidRPr="00886A50">
        <w:rPr>
          <w:rFonts w:ascii="Times New Roman" w:hAnsi="Times New Roman"/>
          <w:sz w:val="26"/>
          <w:szCs w:val="26"/>
        </w:rPr>
        <w:tab/>
      </w:r>
    </w:p>
    <w:p w14:paraId="444C91AE" w14:textId="77777777" w:rsidR="00C7773E" w:rsidRPr="009F33A9" w:rsidRDefault="00C7773E" w:rsidP="00886A50">
      <w:pPr>
        <w:pStyle w:val="ListParagraph"/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886A50">
        <w:rPr>
          <w:rFonts w:ascii="Times New Roman" w:hAnsi="Times New Roman"/>
          <w:b/>
          <w:bCs/>
          <w:sz w:val="26"/>
          <w:szCs w:val="26"/>
        </w:rPr>
        <w:t xml:space="preserve"> Pasqyra e komenteve të pranuara me arsyetimin e komenteve të pranuara/ refuzuara</w:t>
      </w:r>
    </w:p>
    <w:p w14:paraId="31CF2009" w14:textId="77777777" w:rsidR="009F33A9" w:rsidRPr="00886A50" w:rsidRDefault="009F33A9" w:rsidP="009F33A9">
      <w:pPr>
        <w:pStyle w:val="ListParagraph"/>
        <w:spacing w:after="0"/>
        <w:ind w:left="360" w:firstLine="0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</w:p>
    <w:p w14:paraId="487DA301" w14:textId="77777777" w:rsidR="00C7773E" w:rsidRPr="00886A50" w:rsidRDefault="00C7773E" w:rsidP="009F33A9">
      <w:pPr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886A50">
        <w:rPr>
          <w:rFonts w:ascii="Times New Roman" w:hAnsi="Times New Roman"/>
          <w:i/>
          <w:iCs/>
          <w:sz w:val="26"/>
          <w:szCs w:val="26"/>
        </w:rPr>
        <w:t>Gruponi komentet/ propozimt e pranuara sipas çështjes që ato ngritën;</w:t>
      </w:r>
    </w:p>
    <w:p w14:paraId="16E336FB" w14:textId="77777777" w:rsidR="00C7773E" w:rsidRPr="00886A50" w:rsidRDefault="00C7773E" w:rsidP="009F33A9">
      <w:pPr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886A50">
        <w:rPr>
          <w:rFonts w:ascii="Times New Roman" w:hAnsi="Times New Roman"/>
          <w:i/>
          <w:iCs/>
          <w:sz w:val="26"/>
          <w:szCs w:val="26"/>
        </w:rPr>
        <w:t>Gruponi komente të ngjashme së bashku dhe renditni palët e interesuara që i ngritën ato;</w:t>
      </w:r>
    </w:p>
    <w:p w14:paraId="25C0F7F4" w14:textId="77777777" w:rsidR="00C7773E" w:rsidRPr="00886A50" w:rsidRDefault="00C7773E" w:rsidP="009F33A9">
      <w:pPr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886A50">
        <w:rPr>
          <w:rFonts w:ascii="Times New Roman" w:hAnsi="Times New Roman"/>
          <w:i/>
          <w:iCs/>
          <w:sz w:val="26"/>
          <w:szCs w:val="26"/>
        </w:rPr>
        <w:t>Shpjegoni cili ishte vendimi i marrë dhe sqaroni shkurtimisht arsyet për të.</w:t>
      </w:r>
    </w:p>
    <w:p w14:paraId="76F50B07" w14:textId="77777777" w:rsidR="00C7773E" w:rsidRPr="00886A50" w:rsidRDefault="00C7773E" w:rsidP="00886A50">
      <w:pPr>
        <w:pStyle w:val="BodyText"/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870"/>
        <w:gridCol w:w="2469"/>
        <w:gridCol w:w="1546"/>
        <w:gridCol w:w="1372"/>
        <w:gridCol w:w="2638"/>
      </w:tblGrid>
      <w:tr w:rsidR="00283857" w:rsidRPr="00886A50" w14:paraId="6596004C" w14:textId="77777777" w:rsidTr="009F33A9">
        <w:tc>
          <w:tcPr>
            <w:tcW w:w="1870" w:type="dxa"/>
            <w:hideMark/>
          </w:tcPr>
          <w:p w14:paraId="31B4FF02" w14:textId="77777777" w:rsidR="00C7773E" w:rsidRPr="00886A50" w:rsidRDefault="00C7773E" w:rsidP="00886A50">
            <w:pPr>
              <w:pStyle w:val="BodyText"/>
              <w:spacing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6A50">
              <w:rPr>
                <w:rFonts w:ascii="Times New Roman" w:hAnsi="Times New Roman"/>
                <w:sz w:val="26"/>
                <w:szCs w:val="26"/>
              </w:rPr>
              <w:t>Çështja e  adresuar</w:t>
            </w:r>
          </w:p>
          <w:p w14:paraId="07A7C61F" w14:textId="77777777" w:rsidR="00C7773E" w:rsidRPr="00886A50" w:rsidRDefault="00C7773E" w:rsidP="00886A50">
            <w:pPr>
              <w:pStyle w:val="BodyText"/>
              <w:spacing w:after="0"/>
              <w:contextualSpacing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886A50">
              <w:rPr>
                <w:rFonts w:ascii="Times New Roman" w:hAnsi="Times New Roman"/>
                <w:sz w:val="26"/>
                <w:szCs w:val="26"/>
              </w:rPr>
              <w:t>(</w:t>
            </w:r>
            <w:r w:rsidRPr="00886A50">
              <w:rPr>
                <w:rFonts w:ascii="Times New Roman" w:hAnsi="Times New Roman"/>
                <w:i/>
                <w:sz w:val="26"/>
                <w:szCs w:val="26"/>
              </w:rPr>
              <w:t>psh. përkufizimi i ri i…, kushtet për regjistrimin e…, rregullimi i…, etj.)</w:t>
            </w:r>
          </w:p>
        </w:tc>
        <w:tc>
          <w:tcPr>
            <w:tcW w:w="2469" w:type="dxa"/>
            <w:hideMark/>
          </w:tcPr>
          <w:p w14:paraId="4A68574C" w14:textId="77777777" w:rsidR="00C7773E" w:rsidRPr="00886A50" w:rsidRDefault="00C7773E" w:rsidP="00886A50">
            <w:pPr>
              <w:pStyle w:val="BodyText"/>
              <w:spacing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6A50">
              <w:rPr>
                <w:rFonts w:ascii="Times New Roman" w:hAnsi="Times New Roman"/>
                <w:sz w:val="26"/>
                <w:szCs w:val="26"/>
              </w:rPr>
              <w:t>Komenti</w:t>
            </w:r>
          </w:p>
          <w:p w14:paraId="1FE9D5C1" w14:textId="77777777" w:rsidR="00C7773E" w:rsidRPr="00886A50" w:rsidRDefault="00C7773E" w:rsidP="00886A50">
            <w:pPr>
              <w:pStyle w:val="BodyText"/>
              <w:spacing w:after="0"/>
              <w:contextualSpacing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886A50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546" w:type="dxa"/>
            <w:hideMark/>
          </w:tcPr>
          <w:p w14:paraId="68BA0A1A" w14:textId="77777777" w:rsidR="00C7773E" w:rsidRPr="00886A50" w:rsidRDefault="00C7773E" w:rsidP="00886A50">
            <w:pPr>
              <w:pStyle w:val="BodyText"/>
              <w:spacing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6A50">
              <w:rPr>
                <w:rFonts w:ascii="Times New Roman" w:hAnsi="Times New Roman"/>
                <w:sz w:val="26"/>
                <w:szCs w:val="26"/>
              </w:rPr>
              <w:t xml:space="preserve">Palët e interesuara </w:t>
            </w:r>
            <w:r w:rsidRPr="00886A50">
              <w:rPr>
                <w:rFonts w:ascii="Times New Roman" w:hAnsi="Times New Roman"/>
                <w:i/>
                <w:iCs/>
                <w:sz w:val="26"/>
                <w:szCs w:val="26"/>
              </w:rPr>
              <w:t>(renditni të gjithë ata që adresuan çështjen në mënyrë të ngjashme)</w:t>
            </w:r>
          </w:p>
        </w:tc>
        <w:tc>
          <w:tcPr>
            <w:tcW w:w="1372" w:type="dxa"/>
            <w:hideMark/>
          </w:tcPr>
          <w:p w14:paraId="4422821A" w14:textId="77777777" w:rsidR="00C7773E" w:rsidRPr="00886A50" w:rsidRDefault="00C7773E" w:rsidP="00886A50">
            <w:pPr>
              <w:pStyle w:val="BodyText"/>
              <w:spacing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6A50">
              <w:rPr>
                <w:rFonts w:ascii="Times New Roman" w:hAnsi="Times New Roman"/>
                <w:sz w:val="26"/>
                <w:szCs w:val="26"/>
              </w:rPr>
              <w:t xml:space="preserve">Vendimi (I pranuar/I pranuar pjesërisht/I refuzuar) </w:t>
            </w:r>
          </w:p>
        </w:tc>
        <w:tc>
          <w:tcPr>
            <w:tcW w:w="2638" w:type="dxa"/>
            <w:hideMark/>
          </w:tcPr>
          <w:p w14:paraId="7AE6068B" w14:textId="77777777" w:rsidR="00C7773E" w:rsidRPr="00886A50" w:rsidRDefault="00C7773E" w:rsidP="00886A50">
            <w:pPr>
              <w:pStyle w:val="BodyText"/>
              <w:spacing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6A50">
              <w:rPr>
                <w:rFonts w:ascii="Times New Roman" w:hAnsi="Times New Roman"/>
                <w:sz w:val="26"/>
                <w:szCs w:val="26"/>
              </w:rPr>
              <w:t>Justifikimi</w:t>
            </w:r>
          </w:p>
        </w:tc>
      </w:tr>
      <w:tr w:rsidR="00283857" w:rsidRPr="00886A50" w14:paraId="6A77F9B0" w14:textId="77777777" w:rsidTr="009F33A9">
        <w:trPr>
          <w:trHeight w:val="3325"/>
        </w:trPr>
        <w:tc>
          <w:tcPr>
            <w:tcW w:w="1870" w:type="dxa"/>
          </w:tcPr>
          <w:p w14:paraId="469662EA" w14:textId="1A33E340" w:rsidR="00DE27B8" w:rsidRPr="00886A50" w:rsidRDefault="00283857" w:rsidP="00886A50">
            <w:pPr>
              <w:pStyle w:val="BodyText"/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86A50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="00A97384" w:rsidRPr="00886A50">
              <w:rPr>
                <w:rFonts w:ascii="Times New Roman" w:hAnsi="Times New Roman"/>
                <w:sz w:val="26"/>
                <w:szCs w:val="26"/>
              </w:rPr>
              <w:t>Mangësi në qëllimin e ligjit.</w:t>
            </w:r>
          </w:p>
        </w:tc>
        <w:tc>
          <w:tcPr>
            <w:tcW w:w="2469" w:type="dxa"/>
          </w:tcPr>
          <w:p w14:paraId="125D75CA" w14:textId="303CE83F" w:rsidR="00DE27B8" w:rsidRPr="00886A50" w:rsidRDefault="00A97384" w:rsidP="00886A50">
            <w:pPr>
              <w:contextualSpacing/>
              <w:rPr>
                <w:rFonts w:ascii="Times New Roman" w:eastAsia="Calibri" w:hAnsi="Times New Roman"/>
                <w:bCs/>
                <w:iCs/>
                <w:sz w:val="26"/>
                <w:szCs w:val="26"/>
                <w:lang w:val="sq-AL"/>
              </w:rPr>
            </w:pPr>
            <w:r w:rsidRPr="00886A50">
              <w:rPr>
                <w:rFonts w:ascii="Times New Roman" w:eastAsia="Calibri" w:hAnsi="Times New Roman"/>
                <w:bCs/>
                <w:iCs/>
                <w:sz w:val="26"/>
                <w:szCs w:val="26"/>
                <w:lang w:val="sq-AL"/>
              </w:rPr>
              <w:t xml:space="preserve">Pretendimi  se projektligji nuk ka plotësuar as adresuar aspak shqetësimin serioz të mosmenaxhimit masiv të nënrpodukteve shtazore jo për konsum human nga gjeneruesit e këtyre mbetjeve – ato dihet që groposen e hidhen kuturu nga gjeneruesit, për shkak të inefiçencës së strukturave veterinare. Dhe </w:t>
            </w:r>
            <w:r w:rsidRPr="00886A50">
              <w:rPr>
                <w:rFonts w:ascii="Times New Roman" w:eastAsia="Calibri" w:hAnsi="Times New Roman"/>
                <w:bCs/>
                <w:iCs/>
                <w:sz w:val="26"/>
                <w:szCs w:val="26"/>
                <w:lang w:val="sq-AL"/>
              </w:rPr>
              <w:lastRenderedPageBreak/>
              <w:t>projektligji pikërisht këtë problematikë duhet të adresojë të parën: të përcaktojë rregulla për zbatimin e proncipeve të gjithpranuara për menaxhimin e këtyre lloj mbetjeve</w:t>
            </w:r>
          </w:p>
        </w:tc>
        <w:tc>
          <w:tcPr>
            <w:tcW w:w="1546" w:type="dxa"/>
          </w:tcPr>
          <w:p w14:paraId="267C8480" w14:textId="0504BE15" w:rsidR="00DE27B8" w:rsidRPr="00886A50" w:rsidRDefault="00A97384" w:rsidP="00886A50">
            <w:pPr>
              <w:pStyle w:val="BodyText"/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86A50">
              <w:rPr>
                <w:rFonts w:ascii="Times New Roman" w:eastAsia="MS Mincho" w:hAnsi="Times New Roman"/>
                <w:sz w:val="26"/>
                <w:szCs w:val="26"/>
                <w:lang w:val="sq-AL"/>
              </w:rPr>
              <w:lastRenderedPageBreak/>
              <w:t>INCA, shpk.</w:t>
            </w:r>
          </w:p>
        </w:tc>
        <w:tc>
          <w:tcPr>
            <w:tcW w:w="1372" w:type="dxa"/>
          </w:tcPr>
          <w:p w14:paraId="11F3EC3C" w14:textId="454935E0" w:rsidR="00DE27B8" w:rsidRPr="00886A50" w:rsidRDefault="00A97384" w:rsidP="00886A50">
            <w:pPr>
              <w:pStyle w:val="BodyText"/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86A50">
              <w:rPr>
                <w:rFonts w:ascii="Times New Roman" w:hAnsi="Times New Roman"/>
                <w:sz w:val="26"/>
                <w:szCs w:val="26"/>
              </w:rPr>
              <w:t>Nuk u pranua</w:t>
            </w:r>
          </w:p>
        </w:tc>
        <w:tc>
          <w:tcPr>
            <w:tcW w:w="2638" w:type="dxa"/>
          </w:tcPr>
          <w:p w14:paraId="55BA6315" w14:textId="2AAD7F62" w:rsidR="00DE27B8" w:rsidRPr="00886A50" w:rsidRDefault="00A97384" w:rsidP="00886A50">
            <w:pPr>
              <w:pStyle w:val="BodyText"/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86A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Akuzat e subjektit INCA nuk qëndrojnë. Në fakt nenet 12, 13 dhe 14 të projektligjit përcaktojnë dispozita të hollësishme për përdorimin dhe eliminimin e secilës kategori të nënprodukteve me origjine shtazore. Ndërsa neni 15 i projektligjit përcakton dhe miratimin e rregullave të hollësishme për përpunimin, magazinimin, </w:t>
            </w:r>
            <w:r w:rsidRPr="00886A5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grumbullimin, transportin, përdorimin dhe eliminimin e nënprodukteve me origjine shtazore. Pika 4 e nenit në fjalë përcakton se këto rregulla të hollësishme miratohen me Vendim të Këshillit të Ministrave. Kjo pikë shërben si dispozite autorizuese për përafrimin e rregullores 142/2011 e cila “përmban mënyrat e zbatimit të rregullores (KE) nr. 1069/2009 të Parlamentit evropian dhe të Këshillit që përmban normat sanitare persa i përket nënprodukteve me origjine shtazore dhe produkteve derivate që nuk janë të destinuara për konsum nga njerëzit, dhe të direktivës 97/78/CE të Këshillit persa i përket disa kampioneve dhe artikujve që nuk i nënshtrohen kontrolleve veterinare në kufi”. Ky VKM do të përcaktojë kërkesa të hollësishme të cilat duhet të plotësohen nga impiantet e përpunimit, magazinimit, grumbullimit, përpunimit, eliminimit, transportit dhe metodat (7 metoda) të </w:t>
            </w:r>
            <w:r w:rsidRPr="00886A5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përpunimit të nënprodukteve me origjine shtazore si dhe licencat përkatëse. Përcaktimi i licencave do të kërkoje dhe ndërhyrje në ligjin e licencave ndaj dhe është caktuar 1 shkurti 2026 si date e hyrjes në fuqi të këtij ligji. Neni 44 i projekt ligjit përcakton veprime të ndaluara me nënproduktet me origjine shtazore dhe për këtë neni 46 përcakton dhe masa administrative. Ndërsa neni 45 përcakton detyrimin e të gjithë operatoreve të lidhin kontrata me operatore të përpunimit ose/dhe eliminimit të nënprodukteve me origjine shtazore sipas kërkesave të këtij projekt ligji.</w:t>
            </w:r>
          </w:p>
        </w:tc>
      </w:tr>
      <w:tr w:rsidR="00283857" w:rsidRPr="00886A50" w14:paraId="5650A6EE" w14:textId="77777777" w:rsidTr="009F33A9">
        <w:tc>
          <w:tcPr>
            <w:tcW w:w="1870" w:type="dxa"/>
          </w:tcPr>
          <w:p w14:paraId="2CBCD303" w14:textId="5A1EF8B0" w:rsidR="00DE27B8" w:rsidRPr="00886A50" w:rsidRDefault="00283857" w:rsidP="00886A50">
            <w:pPr>
              <w:pStyle w:val="BodyText"/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86A5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2. </w:t>
            </w:r>
            <w:r w:rsidR="004009F9" w:rsidRPr="00886A50">
              <w:rPr>
                <w:rFonts w:ascii="Times New Roman" w:hAnsi="Times New Roman"/>
                <w:sz w:val="26"/>
                <w:szCs w:val="26"/>
              </w:rPr>
              <w:t>Konfuzion në hartimin e projektligjit të ri.</w:t>
            </w:r>
            <w:r w:rsidR="00DE27B8" w:rsidRPr="00886A5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469" w:type="dxa"/>
          </w:tcPr>
          <w:p w14:paraId="420FD5E7" w14:textId="77B84781" w:rsidR="00D4580C" w:rsidRPr="00886A50" w:rsidRDefault="004009F9" w:rsidP="00886A50">
            <w:pPr>
              <w:contextualSpacing/>
              <w:rPr>
                <w:rFonts w:ascii="Times New Roman" w:eastAsia="Calibri" w:hAnsi="Times New Roman"/>
                <w:bCs/>
                <w:sz w:val="26"/>
                <w:szCs w:val="26"/>
                <w:lang w:val="sq-AL"/>
              </w:rPr>
            </w:pPr>
            <w:r w:rsidRPr="00886A50">
              <w:rPr>
                <w:rFonts w:ascii="Times New Roman" w:eastAsia="Calibri" w:hAnsi="Times New Roman"/>
                <w:bCs/>
                <w:iCs/>
                <w:sz w:val="26"/>
                <w:szCs w:val="26"/>
                <w:lang w:val="sq-AL"/>
              </w:rPr>
              <w:t>Në referim të</w:t>
            </w:r>
            <w:r w:rsidR="00D4580C" w:rsidRPr="00886A50">
              <w:rPr>
                <w:rFonts w:ascii="Times New Roman" w:eastAsia="Calibri" w:hAnsi="Times New Roman"/>
                <w:bCs/>
                <w:iCs/>
                <w:sz w:val="26"/>
                <w:szCs w:val="26"/>
                <w:lang w:val="sq-AL"/>
              </w:rPr>
              <w:t xml:space="preserve"> VKM</w:t>
            </w:r>
            <w:r w:rsidRPr="00886A50">
              <w:rPr>
                <w:rFonts w:ascii="Times New Roman" w:eastAsia="Calibri" w:hAnsi="Times New Roman"/>
                <w:bCs/>
                <w:iCs/>
                <w:sz w:val="26"/>
                <w:szCs w:val="26"/>
                <w:lang w:val="sq-AL"/>
              </w:rPr>
              <w:t xml:space="preserve">-së </w:t>
            </w:r>
            <w:r w:rsidR="00D4580C" w:rsidRPr="00886A50">
              <w:rPr>
                <w:rFonts w:ascii="Times New Roman" w:eastAsia="Calibri" w:hAnsi="Times New Roman"/>
                <w:bCs/>
                <w:sz w:val="26"/>
                <w:szCs w:val="26"/>
                <w:lang w:val="sq-AL"/>
              </w:rPr>
              <w:t>nr. 790, datë 28.12.2023 ‘</w:t>
            </w:r>
            <w:r w:rsidR="00D4580C" w:rsidRPr="00886A50">
              <w:rPr>
                <w:rFonts w:ascii="Times New Roman" w:eastAsia="Calibri" w:hAnsi="Times New Roman"/>
                <w:bCs/>
                <w:i/>
                <w:iCs/>
                <w:sz w:val="26"/>
                <w:szCs w:val="26"/>
                <w:lang w:val="sq-AL"/>
              </w:rPr>
              <w:t>Për miratimin e programit të përgjithshëm analitik të projektakteve që do të paraqiten për shqyrtim në këshillin e ministrave gjatë vitit 2024’</w:t>
            </w:r>
            <w:r w:rsidR="00D4580C" w:rsidRPr="00886A50">
              <w:rPr>
                <w:rFonts w:ascii="Times New Roman" w:eastAsia="Calibri" w:hAnsi="Times New Roman"/>
                <w:bCs/>
                <w:sz w:val="26"/>
                <w:szCs w:val="26"/>
                <w:lang w:val="sq-AL"/>
              </w:rPr>
              <w:t xml:space="preserve">, parashikohet edhe hartimi e miratimi brenda 4 mujorti të </w:t>
            </w:r>
            <w:r w:rsidRPr="00886A50">
              <w:rPr>
                <w:rFonts w:ascii="Times New Roman" w:eastAsia="Calibri" w:hAnsi="Times New Roman"/>
                <w:bCs/>
                <w:sz w:val="26"/>
                <w:szCs w:val="26"/>
                <w:lang w:val="sq-AL"/>
              </w:rPr>
              <w:t xml:space="preserve">I </w:t>
            </w:r>
            <w:r w:rsidR="00D4580C" w:rsidRPr="00886A50">
              <w:rPr>
                <w:rFonts w:ascii="Times New Roman" w:eastAsia="Calibri" w:hAnsi="Times New Roman"/>
                <w:bCs/>
                <w:sz w:val="26"/>
                <w:szCs w:val="26"/>
                <w:lang w:val="sq-AL"/>
              </w:rPr>
              <w:t xml:space="preserve">i projekt aktit ‘Për disa shtesa dhe ndryshime ne Ligjin </w:t>
            </w:r>
            <w:r w:rsidR="00D4580C" w:rsidRPr="00886A50">
              <w:rPr>
                <w:rFonts w:ascii="Times New Roman" w:eastAsia="Calibri" w:hAnsi="Times New Roman"/>
                <w:bCs/>
                <w:sz w:val="26"/>
                <w:szCs w:val="26"/>
                <w:lang w:val="sq-AL"/>
              </w:rPr>
              <w:lastRenderedPageBreak/>
              <w:t xml:space="preserve">nr.10465/2011 "Për shërbimin veterinar në Republikën e Shqipërisë" – </w:t>
            </w:r>
          </w:p>
          <w:p w14:paraId="748DC7D2" w14:textId="77777777" w:rsidR="00D4580C" w:rsidRPr="00886A50" w:rsidRDefault="00D4580C" w:rsidP="00886A50">
            <w:pPr>
              <w:numPr>
                <w:ilvl w:val="0"/>
                <w:numId w:val="8"/>
              </w:numPr>
              <w:spacing w:after="160"/>
              <w:contextualSpacing/>
              <w:rPr>
                <w:rFonts w:ascii="Times New Roman" w:eastAsia="Calibri" w:hAnsi="Times New Roman"/>
                <w:bCs/>
                <w:sz w:val="26"/>
                <w:szCs w:val="26"/>
                <w:lang w:val="sq-AL"/>
              </w:rPr>
            </w:pPr>
            <w:r w:rsidRPr="00886A50">
              <w:rPr>
                <w:rFonts w:ascii="Times New Roman" w:hAnsi="Times New Roman"/>
                <w:sz w:val="26"/>
                <w:szCs w:val="26"/>
                <w:lang w:val="sq-AL"/>
              </w:rPr>
              <w:t xml:space="preserve"> </w:t>
            </w:r>
            <w:r w:rsidRPr="00886A50">
              <w:rPr>
                <w:rFonts w:ascii="Times New Roman" w:eastAsia="Calibri" w:hAnsi="Times New Roman"/>
                <w:bCs/>
                <w:sz w:val="26"/>
                <w:szCs w:val="26"/>
                <w:lang w:val="sq-AL"/>
              </w:rPr>
              <w:t>Plotësimi i mangësive ligjore të evidentuara në fushes se menaxhimit të mbetjeve në Shqipëri’ dhe</w:t>
            </w:r>
          </w:p>
          <w:p w14:paraId="7E37B95F" w14:textId="77777777" w:rsidR="00D4580C" w:rsidRPr="00886A50" w:rsidRDefault="00D4580C" w:rsidP="00886A50">
            <w:pPr>
              <w:numPr>
                <w:ilvl w:val="0"/>
                <w:numId w:val="8"/>
              </w:numPr>
              <w:spacing w:after="160"/>
              <w:contextualSpacing/>
              <w:rPr>
                <w:rFonts w:ascii="Times New Roman" w:eastAsia="Calibri" w:hAnsi="Times New Roman"/>
                <w:bCs/>
                <w:sz w:val="26"/>
                <w:szCs w:val="26"/>
                <w:lang w:val="sq-AL"/>
              </w:rPr>
            </w:pPr>
            <w:r w:rsidRPr="00886A50">
              <w:rPr>
                <w:rFonts w:ascii="Times New Roman" w:eastAsia="Calibri" w:hAnsi="Times New Roman"/>
                <w:bCs/>
                <w:sz w:val="26"/>
                <w:szCs w:val="26"/>
                <w:lang w:val="sq-AL"/>
              </w:rPr>
              <w:t>Ndryshim ne fushën e produkteve mjekesore veterinare</w:t>
            </w:r>
          </w:p>
          <w:p w14:paraId="3ACF7BE8" w14:textId="739C2AC7" w:rsidR="00D4580C" w:rsidRPr="00886A50" w:rsidRDefault="00D4580C" w:rsidP="00886A50">
            <w:pPr>
              <w:contextualSpacing/>
              <w:rPr>
                <w:rFonts w:ascii="Times New Roman" w:eastAsia="Calibri" w:hAnsi="Times New Roman"/>
                <w:bCs/>
                <w:iCs/>
                <w:sz w:val="26"/>
                <w:szCs w:val="26"/>
                <w:lang w:val="sq-AL"/>
              </w:rPr>
            </w:pPr>
            <w:r w:rsidRPr="00886A50">
              <w:rPr>
                <w:rFonts w:ascii="Times New Roman" w:eastAsia="Calibri" w:hAnsi="Times New Roman"/>
                <w:bCs/>
                <w:iCs/>
                <w:sz w:val="26"/>
                <w:szCs w:val="26"/>
                <w:lang w:val="sq-AL"/>
              </w:rPr>
              <w:t>ndërsa nuk ishte parashikuar miratim i një ligji të posaçëm për nënproduktet shtazore</w:t>
            </w:r>
            <w:r w:rsidR="004009F9" w:rsidRPr="00886A50">
              <w:rPr>
                <w:rFonts w:ascii="Times New Roman" w:eastAsia="Calibri" w:hAnsi="Times New Roman"/>
                <w:bCs/>
                <w:iCs/>
                <w:sz w:val="26"/>
                <w:szCs w:val="26"/>
                <w:lang w:val="sq-AL"/>
              </w:rPr>
              <w:t>.</w:t>
            </w:r>
          </w:p>
          <w:p w14:paraId="299D118F" w14:textId="77777777" w:rsidR="00D4580C" w:rsidRPr="00886A50" w:rsidRDefault="00D4580C" w:rsidP="00886A50">
            <w:pPr>
              <w:contextualSpacing/>
              <w:rPr>
                <w:rFonts w:ascii="Times New Roman" w:eastAsia="Calibri" w:hAnsi="Times New Roman"/>
                <w:bCs/>
                <w:iCs/>
                <w:sz w:val="26"/>
                <w:szCs w:val="26"/>
                <w:lang w:val="sq-AL"/>
              </w:rPr>
            </w:pPr>
            <w:r w:rsidRPr="00886A50">
              <w:rPr>
                <w:rFonts w:ascii="Times New Roman" w:eastAsia="Calibri" w:hAnsi="Times New Roman"/>
                <w:bCs/>
                <w:iCs/>
                <w:sz w:val="26"/>
                <w:szCs w:val="26"/>
                <w:lang w:val="sq-AL"/>
              </w:rPr>
              <w:t>Natyrisht që kjo parimisht nuk përbën asnjë problematikë, mirëpo në fakt krijon premisa për konfuzion që duhet rregulluar</w:t>
            </w:r>
          </w:p>
          <w:p w14:paraId="62F7E3AB" w14:textId="314033D5" w:rsidR="00DE27B8" w:rsidRPr="00886A50" w:rsidRDefault="00DE27B8" w:rsidP="00886A50">
            <w:pPr>
              <w:pStyle w:val="BodyText"/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6" w:type="dxa"/>
          </w:tcPr>
          <w:p w14:paraId="5AE5FF32" w14:textId="212C097D" w:rsidR="00DE27B8" w:rsidRPr="00886A50" w:rsidRDefault="004009F9" w:rsidP="00886A50">
            <w:pPr>
              <w:pStyle w:val="BodyText"/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86A50">
              <w:rPr>
                <w:rFonts w:ascii="Times New Roman" w:eastAsia="MS Mincho" w:hAnsi="Times New Roman"/>
                <w:sz w:val="26"/>
                <w:szCs w:val="26"/>
                <w:lang w:val="sq-AL"/>
              </w:rPr>
              <w:lastRenderedPageBreak/>
              <w:t>INCA, shpk.</w:t>
            </w:r>
          </w:p>
        </w:tc>
        <w:tc>
          <w:tcPr>
            <w:tcW w:w="1372" w:type="dxa"/>
          </w:tcPr>
          <w:p w14:paraId="447C0678" w14:textId="5AA3A058" w:rsidR="00DE27B8" w:rsidRPr="00886A50" w:rsidRDefault="009F33A9" w:rsidP="00886A50">
            <w:pPr>
              <w:pStyle w:val="BodyText"/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Nuk u pranua</w:t>
            </w:r>
          </w:p>
        </w:tc>
        <w:tc>
          <w:tcPr>
            <w:tcW w:w="2638" w:type="dxa"/>
          </w:tcPr>
          <w:p w14:paraId="1CF21F71" w14:textId="7962D134" w:rsidR="004009F9" w:rsidRPr="00886A50" w:rsidRDefault="004009F9" w:rsidP="00886A50">
            <w:pPr>
              <w:contextualSpacing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886A50">
              <w:rPr>
                <w:rFonts w:ascii="Times New Roman" w:hAnsi="Times New Roman"/>
                <w:color w:val="000000"/>
                <w:sz w:val="26"/>
                <w:szCs w:val="26"/>
              </w:rPr>
              <w:t>Ligji për menaxhimin e integruar të mbetjeve, që përafron direktivën 98/2008 të Komunitetit evropian, i përjashton nënproduktet me origjine shtazore nga fusha e zbatimit të tij.</w:t>
            </w:r>
          </w:p>
          <w:p w14:paraId="0FAD054D" w14:textId="77777777" w:rsidR="004009F9" w:rsidRPr="00886A50" w:rsidRDefault="004009F9" w:rsidP="00886A50">
            <w:pPr>
              <w:pStyle w:val="NormalWeb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86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Në mënyrë të gabuar Ligji “Për menaxhimin e integruar të mbetjeve” parashikon miratimin e një Vendimi të këshillit të Ministrave për menaxhimin e </w:t>
            </w:r>
            <w:r w:rsidRPr="00886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nënprodukteve me origjine shtazore, ndërkohë që në nenin 4 germa e) paragrafi ii) i ka përjashtuar shprehimisht nënproduktet me origjine shtazore nga fusha e veprimit të këtij ligji.</w:t>
            </w:r>
          </w:p>
          <w:p w14:paraId="7BB106E1" w14:textId="77777777" w:rsidR="004009F9" w:rsidRPr="00886A50" w:rsidRDefault="004009F9" w:rsidP="00886A50">
            <w:pPr>
              <w:pStyle w:val="NormalWeb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86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Nga mesi i vitit 2020 (Korrik) deri në fund të vitit 2022 (nëntor) në bashkëpunim dhe me nismë të Ministrinë e Mjedisit kemi punuar për hartimin e kësaj VKM. Në fund nuk u gjet dakortësia me Ministrinë e Ekonomisë pasi ligji për menaxhimin e integruar të mbetjeve nuk kishte parashikuar licencimin e subjekteve që do kryenin përpunimin e nënprodukteve me origjine shtazore dhe si rrjedhojë nuk mund të krijoheshin licenca për përpunimin e tyre.</w:t>
            </w:r>
          </w:p>
          <w:p w14:paraId="5161D083" w14:textId="77777777" w:rsidR="004009F9" w:rsidRPr="00886A50" w:rsidRDefault="004009F9" w:rsidP="00886A50">
            <w:pPr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6A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Në tremujorin e fundit të te vitit 2023 duke përfituar nga ndryshimi i parashikuar i ligjit “Për shërbimin veterinar” Ministria e Bujqësisë u </w:t>
            </w:r>
            <w:proofErr w:type="gramStart"/>
            <w:r w:rsidRPr="00886A50">
              <w:rPr>
                <w:rFonts w:ascii="Times New Roman" w:hAnsi="Times New Roman"/>
                <w:color w:val="000000"/>
                <w:sz w:val="26"/>
                <w:szCs w:val="26"/>
              </w:rPr>
              <w:t>angazhua  për</w:t>
            </w:r>
            <w:proofErr w:type="gramEnd"/>
            <w:r w:rsidRPr="00886A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trajtimin e nënprodukteve me origjine shtazore në kuadër të ligjit në fjalë.</w:t>
            </w:r>
          </w:p>
          <w:p w14:paraId="139C973E" w14:textId="3105B2F7" w:rsidR="004009F9" w:rsidRPr="00886A50" w:rsidRDefault="004009F9" w:rsidP="00886A50">
            <w:pPr>
              <w:pStyle w:val="NormalWeb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6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Pasi shqyrtoi draftin grupi i punës vendosi </w:t>
            </w:r>
            <w:r w:rsidRPr="00886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që nënproduktet me origjine shtazore të trajtoheshin në një ligj të veçantë dhe me pas me urdhër të Ministrit u ngrit një grup pune tjetër që do të hartonte projekt ligjin “Për nënproduktet me origjine shtazore</w:t>
            </w:r>
            <w:proofErr w:type="gramStart"/>
            <w:r w:rsidRPr="00886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 .</w:t>
            </w:r>
            <w:proofErr w:type="gramEnd"/>
            <w:r w:rsidRPr="00886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Ky </w:t>
            </w:r>
            <w:r w:rsidRPr="00886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Projekt ligj trajton nënproduktet me origjine shtazore duke përafruar plotësisht nga ana teknike rregulloren 1069/2011/KE e cila “përmban normat sanitare që i përkasin nënprodukteve me origjine shtazore dhe derivateve të tyre të cilat nuk janë të destinuara për konsum nga njerëzit”</w:t>
            </w:r>
          </w:p>
          <w:p w14:paraId="6510F33F" w14:textId="77777777" w:rsidR="00DE27B8" w:rsidRPr="00886A50" w:rsidRDefault="00DE27B8" w:rsidP="00886A50">
            <w:pPr>
              <w:pStyle w:val="BodyText"/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3857" w:rsidRPr="00886A50" w14:paraId="05A98801" w14:textId="77777777" w:rsidTr="009F33A9">
        <w:tc>
          <w:tcPr>
            <w:tcW w:w="1870" w:type="dxa"/>
          </w:tcPr>
          <w:p w14:paraId="557FA069" w14:textId="78B50E6F" w:rsidR="00C1304B" w:rsidRPr="00886A50" w:rsidRDefault="00283857" w:rsidP="00886A50">
            <w:pPr>
              <w:pStyle w:val="BodyText"/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86A50"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  <w:r w:rsidR="004A7F18" w:rsidRPr="00886A50">
              <w:rPr>
                <w:rFonts w:ascii="Times New Roman" w:hAnsi="Times New Roman"/>
                <w:sz w:val="26"/>
                <w:szCs w:val="26"/>
              </w:rPr>
              <w:t>Problematikat në lidhje me hierarkinë e trajtimit të nënprodukteve.</w:t>
            </w:r>
          </w:p>
        </w:tc>
        <w:tc>
          <w:tcPr>
            <w:tcW w:w="2469" w:type="dxa"/>
          </w:tcPr>
          <w:p w14:paraId="3EF7FE5B" w14:textId="48DC352F" w:rsidR="004009F9" w:rsidRPr="00886A50" w:rsidRDefault="004A7F18" w:rsidP="00886A50">
            <w:pPr>
              <w:contextualSpacing/>
              <w:rPr>
                <w:rFonts w:ascii="Times New Roman" w:eastAsia="Calibri" w:hAnsi="Times New Roman"/>
                <w:bCs/>
                <w:iCs/>
                <w:sz w:val="26"/>
                <w:szCs w:val="26"/>
                <w:lang w:val="sq-AL"/>
              </w:rPr>
            </w:pPr>
            <w:r w:rsidRPr="00886A50">
              <w:rPr>
                <w:rFonts w:ascii="Times New Roman" w:eastAsia="Calibri" w:hAnsi="Times New Roman"/>
                <w:bCs/>
                <w:iCs/>
                <w:sz w:val="26"/>
                <w:szCs w:val="26"/>
                <w:lang w:val="sq-AL"/>
              </w:rPr>
              <w:t>Në lidhje me:</w:t>
            </w:r>
          </w:p>
          <w:p w14:paraId="4AE5CA64" w14:textId="1AE28F00" w:rsidR="004009F9" w:rsidRPr="00886A50" w:rsidRDefault="004009F9" w:rsidP="00886A50">
            <w:pPr>
              <w:pStyle w:val="ListParagraph"/>
              <w:numPr>
                <w:ilvl w:val="0"/>
                <w:numId w:val="15"/>
              </w:numPr>
              <w:spacing w:after="160"/>
              <w:contextualSpacing/>
              <w:rPr>
                <w:rFonts w:ascii="Times New Roman" w:eastAsia="Calibri" w:hAnsi="Times New Roman"/>
                <w:sz w:val="26"/>
                <w:szCs w:val="26"/>
                <w:lang w:val="sq-AL"/>
              </w:rPr>
            </w:pPr>
            <w:r w:rsidRPr="00886A50">
              <w:rPr>
                <w:rFonts w:ascii="Times New Roman" w:eastAsia="Calibri" w:hAnsi="Times New Roman"/>
                <w:sz w:val="26"/>
                <w:szCs w:val="26"/>
                <w:lang w:val="sq-AL"/>
              </w:rPr>
              <w:t xml:space="preserve">hierarkia e trajtimit të nënprodukteve shtazore jo për konsum human: </w:t>
            </w:r>
          </w:p>
          <w:p w14:paraId="6C92364B" w14:textId="54F7A2B9" w:rsidR="004009F9" w:rsidRPr="00886A50" w:rsidRDefault="00283857" w:rsidP="00886A50">
            <w:pPr>
              <w:spacing w:after="160"/>
              <w:contextualSpacing/>
              <w:rPr>
                <w:rFonts w:ascii="Times New Roman" w:eastAsia="Calibri" w:hAnsi="Times New Roman"/>
                <w:sz w:val="26"/>
                <w:szCs w:val="26"/>
                <w:lang w:val="sq-AL"/>
              </w:rPr>
            </w:pPr>
            <w:r w:rsidRPr="00886A50">
              <w:rPr>
                <w:rFonts w:ascii="Times New Roman" w:eastAsia="Calibri" w:hAnsi="Times New Roman"/>
                <w:i/>
                <w:iCs/>
                <w:sz w:val="26"/>
                <w:szCs w:val="26"/>
                <w:lang w:val="sq-AL"/>
              </w:rPr>
              <w:t>-</w:t>
            </w:r>
            <w:r w:rsidR="004009F9" w:rsidRPr="00886A50">
              <w:rPr>
                <w:rFonts w:ascii="Times New Roman" w:eastAsia="Calibri" w:hAnsi="Times New Roman"/>
                <w:i/>
                <w:iCs/>
                <w:sz w:val="26"/>
                <w:szCs w:val="26"/>
                <w:lang w:val="sq-AL"/>
              </w:rPr>
              <w:t xml:space="preserve">reduktimin në makismumin e mundhsëm të sasive të nënprodukteve që shkojnë për asgjësim (në impiante të përpunimit) – pra nxitjen e detyrimin e gjeneruesve për të kryer diferencim, pastrim dhe ruajtje në kushte të përshtatshme me </w:t>
            </w:r>
            <w:r w:rsidR="004009F9" w:rsidRPr="00886A50">
              <w:rPr>
                <w:rFonts w:ascii="Times New Roman" w:eastAsia="Calibri" w:hAnsi="Times New Roman"/>
                <w:i/>
                <w:iCs/>
                <w:sz w:val="26"/>
                <w:szCs w:val="26"/>
                <w:lang w:val="sq-AL"/>
              </w:rPr>
              <w:lastRenderedPageBreak/>
              <w:t>qëllim që të destinohen për përpunim me vlerë më të lartë përdorimi, si vijon:</w:t>
            </w:r>
          </w:p>
          <w:p w14:paraId="4039BE87" w14:textId="3B2A6A59" w:rsidR="004009F9" w:rsidRPr="00886A50" w:rsidRDefault="00283857" w:rsidP="00886A50">
            <w:pPr>
              <w:spacing w:after="160"/>
              <w:contextualSpacing/>
              <w:rPr>
                <w:rFonts w:ascii="Times New Roman" w:eastAsia="Calibri" w:hAnsi="Times New Roman"/>
                <w:sz w:val="26"/>
                <w:szCs w:val="26"/>
                <w:lang w:val="sq-AL"/>
              </w:rPr>
            </w:pPr>
            <w:r w:rsidRPr="00886A50">
              <w:rPr>
                <w:rFonts w:ascii="Times New Roman" w:eastAsia="Calibri" w:hAnsi="Times New Roman"/>
                <w:i/>
                <w:iCs/>
                <w:sz w:val="26"/>
                <w:szCs w:val="26"/>
                <w:lang w:val="sq-AL"/>
              </w:rPr>
              <w:t>-</w:t>
            </w:r>
            <w:r w:rsidR="004009F9" w:rsidRPr="00886A50">
              <w:rPr>
                <w:rFonts w:ascii="Times New Roman" w:eastAsia="Calibri" w:hAnsi="Times New Roman"/>
                <w:i/>
                <w:iCs/>
                <w:sz w:val="26"/>
                <w:szCs w:val="26"/>
                <w:lang w:val="sq-AL"/>
              </w:rPr>
              <w:t>përpunim të tyre për tu hedhur për konsum human</w:t>
            </w:r>
          </w:p>
          <w:p w14:paraId="024F0E73" w14:textId="653EBBAF" w:rsidR="004009F9" w:rsidRPr="00886A50" w:rsidRDefault="00283857" w:rsidP="00886A50">
            <w:pPr>
              <w:spacing w:after="160"/>
              <w:contextualSpacing/>
              <w:rPr>
                <w:rFonts w:ascii="Times New Roman" w:eastAsia="Calibri" w:hAnsi="Times New Roman"/>
                <w:sz w:val="26"/>
                <w:szCs w:val="26"/>
                <w:lang w:val="sq-AL"/>
              </w:rPr>
            </w:pPr>
            <w:r w:rsidRPr="00886A50">
              <w:rPr>
                <w:rFonts w:ascii="Times New Roman" w:eastAsia="Calibri" w:hAnsi="Times New Roman"/>
                <w:i/>
                <w:iCs/>
                <w:sz w:val="26"/>
                <w:szCs w:val="26"/>
                <w:lang w:val="sq-AL"/>
              </w:rPr>
              <w:t>-</w:t>
            </w:r>
            <w:r w:rsidR="004009F9" w:rsidRPr="00886A50">
              <w:rPr>
                <w:rFonts w:ascii="Times New Roman" w:eastAsia="Calibri" w:hAnsi="Times New Roman"/>
                <w:i/>
                <w:iCs/>
                <w:sz w:val="26"/>
                <w:szCs w:val="26"/>
                <w:lang w:val="sq-AL"/>
              </w:rPr>
              <w:t>përpunim për prodhim të lëndëve të para (ndërmjetme) për industrinë farmaceutike</w:t>
            </w:r>
          </w:p>
          <w:p w14:paraId="2DE9F73E" w14:textId="32B3233C" w:rsidR="004009F9" w:rsidRPr="00886A50" w:rsidRDefault="00283857" w:rsidP="00886A50">
            <w:pPr>
              <w:spacing w:after="160"/>
              <w:contextualSpacing/>
              <w:rPr>
                <w:rFonts w:ascii="Times New Roman" w:eastAsia="Calibri" w:hAnsi="Times New Roman"/>
                <w:sz w:val="26"/>
                <w:szCs w:val="26"/>
                <w:lang w:val="sq-AL"/>
              </w:rPr>
            </w:pPr>
            <w:r w:rsidRPr="00886A50">
              <w:rPr>
                <w:rFonts w:ascii="Times New Roman" w:eastAsia="Calibri" w:hAnsi="Times New Roman"/>
                <w:i/>
                <w:iCs/>
                <w:sz w:val="26"/>
                <w:szCs w:val="26"/>
                <w:lang w:val="sq-AL"/>
              </w:rPr>
              <w:t>-</w:t>
            </w:r>
            <w:r w:rsidR="004009F9" w:rsidRPr="00886A50">
              <w:rPr>
                <w:rFonts w:ascii="Times New Roman" w:eastAsia="Calibri" w:hAnsi="Times New Roman"/>
                <w:i/>
                <w:iCs/>
                <w:sz w:val="26"/>
                <w:szCs w:val="26"/>
                <w:lang w:val="sq-AL"/>
              </w:rPr>
              <w:t>përpunim për petfood</w:t>
            </w:r>
          </w:p>
          <w:p w14:paraId="03BED87A" w14:textId="1D5B758A" w:rsidR="004009F9" w:rsidRPr="00886A50" w:rsidRDefault="00283857" w:rsidP="00886A50">
            <w:pPr>
              <w:spacing w:after="160"/>
              <w:contextualSpacing/>
              <w:rPr>
                <w:rFonts w:ascii="Times New Roman" w:eastAsia="Calibri" w:hAnsi="Times New Roman"/>
                <w:sz w:val="26"/>
                <w:szCs w:val="26"/>
                <w:lang w:val="sq-AL"/>
              </w:rPr>
            </w:pPr>
            <w:r w:rsidRPr="00886A50">
              <w:rPr>
                <w:rFonts w:ascii="Times New Roman" w:eastAsia="Calibri" w:hAnsi="Times New Roman"/>
                <w:i/>
                <w:iCs/>
                <w:sz w:val="26"/>
                <w:szCs w:val="26"/>
                <w:lang w:val="sq-AL"/>
              </w:rPr>
              <w:t>-</w:t>
            </w:r>
            <w:r w:rsidR="004009F9" w:rsidRPr="00886A50">
              <w:rPr>
                <w:rFonts w:ascii="Times New Roman" w:eastAsia="Calibri" w:hAnsi="Times New Roman"/>
                <w:i/>
                <w:iCs/>
                <w:sz w:val="26"/>
                <w:szCs w:val="26"/>
                <w:lang w:val="sq-AL"/>
              </w:rPr>
              <w:t>riciklimi apo transformimi i tyre në derivate e inpute për idustrinë zooteknike, industrinë  e lëkurëve, inpute për bujqësinë organike, për prodhim biodiezel apo industri të tjera</w:t>
            </w:r>
            <w:r w:rsidR="004009F9" w:rsidRPr="00886A50">
              <w:rPr>
                <w:rFonts w:ascii="Times New Roman" w:eastAsia="Calibri" w:hAnsi="Times New Roman"/>
                <w:sz w:val="26"/>
                <w:szCs w:val="26"/>
                <w:lang w:val="sq-AL"/>
              </w:rPr>
              <w:t xml:space="preserve"> dhe  </w:t>
            </w:r>
          </w:p>
          <w:p w14:paraId="4B83675C" w14:textId="77777777" w:rsidR="004009F9" w:rsidRPr="00886A50" w:rsidRDefault="004009F9" w:rsidP="00886A50">
            <w:pPr>
              <w:spacing w:after="160"/>
              <w:contextualSpacing/>
              <w:rPr>
                <w:rFonts w:ascii="Times New Roman" w:eastAsia="Calibri" w:hAnsi="Times New Roman"/>
                <w:sz w:val="26"/>
                <w:szCs w:val="26"/>
                <w:lang w:val="sq-AL"/>
              </w:rPr>
            </w:pPr>
            <w:r w:rsidRPr="00886A50">
              <w:rPr>
                <w:rFonts w:ascii="Times New Roman" w:eastAsia="Calibri" w:hAnsi="Times New Roman"/>
                <w:sz w:val="26"/>
                <w:szCs w:val="26"/>
                <w:lang w:val="sq-AL"/>
              </w:rPr>
              <w:t xml:space="preserve">vetëm në pamundësi të këtyre alternativave për mungesë te industrive apo kapaciteteve të tyre për reduktim apo riciklim, atëherë kryhet  asgjësimi i tyre (mbetjeve) përmes incenerimit. </w:t>
            </w:r>
          </w:p>
          <w:p w14:paraId="0B210041" w14:textId="77777777" w:rsidR="004009F9" w:rsidRPr="00886A50" w:rsidRDefault="004009F9" w:rsidP="00886A50">
            <w:pPr>
              <w:spacing w:after="160"/>
              <w:contextualSpacing/>
              <w:rPr>
                <w:rFonts w:ascii="Times New Roman" w:eastAsia="Calibri" w:hAnsi="Times New Roman"/>
                <w:sz w:val="26"/>
                <w:szCs w:val="26"/>
                <w:lang w:val="sq-AL"/>
              </w:rPr>
            </w:pPr>
            <w:r w:rsidRPr="00886A50">
              <w:rPr>
                <w:rFonts w:ascii="Times New Roman" w:eastAsia="Calibri" w:hAnsi="Times New Roman"/>
                <w:sz w:val="26"/>
                <w:szCs w:val="26"/>
                <w:lang w:val="sq-AL"/>
              </w:rPr>
              <w:t>Në pamundësi të incenerimit, atëherë metoda e asgjësimit përmes groposjes pas sterilizimit</w:t>
            </w:r>
          </w:p>
          <w:p w14:paraId="0C136A33" w14:textId="77777777" w:rsidR="004009F9" w:rsidRPr="00886A50" w:rsidRDefault="004009F9" w:rsidP="00886A50">
            <w:pPr>
              <w:numPr>
                <w:ilvl w:val="0"/>
                <w:numId w:val="14"/>
              </w:numPr>
              <w:spacing w:after="160"/>
              <w:contextualSpacing/>
              <w:rPr>
                <w:rFonts w:ascii="Times New Roman" w:eastAsia="Calibri" w:hAnsi="Times New Roman"/>
                <w:sz w:val="26"/>
                <w:szCs w:val="26"/>
                <w:lang w:val="sq-AL"/>
              </w:rPr>
            </w:pPr>
            <w:r w:rsidRPr="00886A50">
              <w:rPr>
                <w:rFonts w:ascii="Times New Roman" w:eastAsia="Calibri" w:hAnsi="Times New Roman"/>
                <w:sz w:val="26"/>
                <w:szCs w:val="26"/>
                <w:lang w:val="sq-AL"/>
              </w:rPr>
              <w:t xml:space="preserve">përgjegjësitë e zgjeruara të gjeneruesit që konsistojnë në </w:t>
            </w:r>
            <w:r w:rsidRPr="00886A50">
              <w:rPr>
                <w:rFonts w:ascii="Times New Roman" w:eastAsia="Calibri" w:hAnsi="Times New Roman"/>
                <w:sz w:val="26"/>
                <w:szCs w:val="26"/>
                <w:lang w:val="sq-AL"/>
              </w:rPr>
              <w:lastRenderedPageBreak/>
              <w:t>synimin për grumbullimin e tyre në mënyrë të diferencuar, ruajtjen në kushte të përshtatshme reduktimin në maksimumin e mushëm dhe përpunimin e tyre</w:t>
            </w:r>
          </w:p>
          <w:p w14:paraId="5FDDDCEC" w14:textId="77777777" w:rsidR="004009F9" w:rsidRPr="00886A50" w:rsidRDefault="004009F9" w:rsidP="00886A50">
            <w:pPr>
              <w:contextualSpacing/>
              <w:rPr>
                <w:rFonts w:ascii="Times New Roman" w:eastAsia="Calibri" w:hAnsi="Times New Roman"/>
                <w:bCs/>
                <w:iCs/>
                <w:sz w:val="26"/>
                <w:szCs w:val="26"/>
                <w:lang w:val="sq-AL"/>
              </w:rPr>
            </w:pPr>
          </w:p>
          <w:p w14:paraId="5D7144FD" w14:textId="58B8E036" w:rsidR="004009F9" w:rsidRPr="00886A50" w:rsidRDefault="004009F9" w:rsidP="00886A50">
            <w:pPr>
              <w:numPr>
                <w:ilvl w:val="0"/>
                <w:numId w:val="14"/>
              </w:numPr>
              <w:spacing w:after="160"/>
              <w:contextualSpacing/>
              <w:rPr>
                <w:rFonts w:ascii="Times New Roman" w:eastAsia="Calibri" w:hAnsi="Times New Roman"/>
                <w:bCs/>
                <w:iCs/>
                <w:sz w:val="26"/>
                <w:szCs w:val="26"/>
                <w:lang w:val="sq-AL"/>
              </w:rPr>
            </w:pPr>
            <w:r w:rsidRPr="00886A50">
              <w:rPr>
                <w:rFonts w:ascii="Times New Roman" w:eastAsia="Calibri" w:hAnsi="Times New Roman"/>
                <w:bCs/>
                <w:iCs/>
                <w:sz w:val="26"/>
                <w:szCs w:val="26"/>
                <w:lang w:val="sq-AL"/>
              </w:rPr>
              <w:t>detyrimin e gjeneruesve për dokumentimin e  raportimin për menaxhimin e nënprodukteve sipas kësaj hierarkie dhe detyrimin që kontrollet e institucioneve përgjegjëse të kryhen bazuar në kartën teknologjike të prodhimit – nga ku do evidentohen me saktësi sasitë e nënprodukteve, destinimi i tyre por edhe përpjekja e subjektit (gjeneruesit) për të reduktuar ato</w:t>
            </w:r>
            <w:r w:rsidR="00283857" w:rsidRPr="00886A50">
              <w:rPr>
                <w:rFonts w:ascii="Times New Roman" w:eastAsia="Calibri" w:hAnsi="Times New Roman"/>
                <w:bCs/>
                <w:iCs/>
                <w:sz w:val="26"/>
                <w:szCs w:val="26"/>
                <w:lang w:val="sq-AL"/>
              </w:rPr>
              <w:t>.</w:t>
            </w:r>
          </w:p>
          <w:p w14:paraId="1C39CC77" w14:textId="77D1996E" w:rsidR="00C1304B" w:rsidRPr="00886A50" w:rsidRDefault="00C1304B" w:rsidP="00886A50">
            <w:pPr>
              <w:pStyle w:val="BodyText"/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6" w:type="dxa"/>
          </w:tcPr>
          <w:p w14:paraId="7065AF6B" w14:textId="3BD91E33" w:rsidR="00C1304B" w:rsidRPr="00886A50" w:rsidRDefault="004A7F18" w:rsidP="00886A50">
            <w:pPr>
              <w:pStyle w:val="BodyText"/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86A50">
              <w:rPr>
                <w:rFonts w:ascii="Times New Roman" w:eastAsia="MS Mincho" w:hAnsi="Times New Roman"/>
                <w:sz w:val="26"/>
                <w:szCs w:val="26"/>
                <w:lang w:val="sq-AL"/>
              </w:rPr>
              <w:lastRenderedPageBreak/>
              <w:t>INCA, shpk.</w:t>
            </w:r>
          </w:p>
        </w:tc>
        <w:tc>
          <w:tcPr>
            <w:tcW w:w="1372" w:type="dxa"/>
          </w:tcPr>
          <w:p w14:paraId="080792F0" w14:textId="029F78A3" w:rsidR="00C1304B" w:rsidRPr="00886A50" w:rsidRDefault="00AF1984" w:rsidP="00886A50">
            <w:pPr>
              <w:pStyle w:val="BodyText"/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86A50">
              <w:rPr>
                <w:rFonts w:ascii="Times New Roman" w:hAnsi="Times New Roman"/>
                <w:sz w:val="26"/>
                <w:szCs w:val="26"/>
              </w:rPr>
              <w:t>Nuk u pranua</w:t>
            </w:r>
          </w:p>
        </w:tc>
        <w:tc>
          <w:tcPr>
            <w:tcW w:w="2638" w:type="dxa"/>
          </w:tcPr>
          <w:p w14:paraId="259CA66E" w14:textId="71716A5D" w:rsidR="00C1304B" w:rsidRPr="00886A50" w:rsidRDefault="004A7F18" w:rsidP="00886A50">
            <w:pPr>
              <w:pStyle w:val="BodyText"/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86A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Subjekti INCA kërkon përcaktimin e një “hierarkie” të mbetjeve dhe të kartave teknologjike. Siç theksova me lart nënproduktet me origjine shtazore nuk janë mbetje, nuk prodhohen si rrjedhoje e ndonjë procesi teknologjik që mund të ketë ndikim negativ n mjedis si pasoje e veprimtarisë së njeriut dhe nuk mund të kenë hierarki dhe as karta teknologjike. Ato kategorizohen në tre kategori duke u </w:t>
            </w:r>
            <w:r w:rsidRPr="00886A5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mbështetur në rrezikshmërinë që paraqesin për shëndetin e njerëzve dhe të kafshëve të përshkruara në projektligj në nenet 7, 8, 9 dhe 10. </w:t>
            </w:r>
            <w:r w:rsidRPr="00BE6B6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Në vijim </w:t>
            </w:r>
            <w:r w:rsidRPr="00BE6B6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kërkesa e subjektit inka për krijimin e një “hierarkie” të nënprodukteve origjine shtazore, të konsideruara si mbetje nga subjekti INKA, nuk pranohet</w:t>
            </w:r>
          </w:p>
        </w:tc>
      </w:tr>
      <w:tr w:rsidR="00283857" w:rsidRPr="00886A50" w14:paraId="3DE9CEDD" w14:textId="77777777" w:rsidTr="009F33A9">
        <w:trPr>
          <w:trHeight w:val="3226"/>
        </w:trPr>
        <w:tc>
          <w:tcPr>
            <w:tcW w:w="1870" w:type="dxa"/>
          </w:tcPr>
          <w:p w14:paraId="2D3093B8" w14:textId="574BFAE9" w:rsidR="006A3EBF" w:rsidRPr="00886A50" w:rsidRDefault="00283857" w:rsidP="00886A50">
            <w:pPr>
              <w:pStyle w:val="BodyText"/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86A50">
              <w:rPr>
                <w:rFonts w:ascii="Times New Roman" w:hAnsi="Times New Roman"/>
                <w:sz w:val="26"/>
                <w:szCs w:val="26"/>
              </w:rPr>
              <w:lastRenderedPageBreak/>
              <w:t>4. Mungesa e landfilleve të licensuar.</w:t>
            </w:r>
          </w:p>
        </w:tc>
        <w:tc>
          <w:tcPr>
            <w:tcW w:w="2469" w:type="dxa"/>
          </w:tcPr>
          <w:p w14:paraId="6599F351" w14:textId="4E6BEDEB" w:rsidR="004A7F18" w:rsidRPr="00886A50" w:rsidRDefault="004A7F18" w:rsidP="00886A50">
            <w:pPr>
              <w:contextualSpacing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886A5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Subjekti Inca ankohet se nuk ka asnjë landfill të licencuar për eliminimin e nënprodukteve me origjine shtazore. </w:t>
            </w:r>
          </w:p>
          <w:p w14:paraId="3B9FD7CE" w14:textId="537FCD8A" w:rsidR="006A3EBF" w:rsidRPr="00886A50" w:rsidRDefault="006A3EBF" w:rsidP="00886A50">
            <w:pPr>
              <w:pStyle w:val="BodyText"/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6" w:type="dxa"/>
          </w:tcPr>
          <w:p w14:paraId="7E26CB21" w14:textId="0E96A250" w:rsidR="006A3EBF" w:rsidRPr="00886A50" w:rsidRDefault="004A7F18" w:rsidP="00886A50">
            <w:pPr>
              <w:pStyle w:val="BodyText"/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86A50">
              <w:rPr>
                <w:rFonts w:ascii="Times New Roman" w:eastAsia="MS Mincho" w:hAnsi="Times New Roman"/>
                <w:sz w:val="26"/>
                <w:szCs w:val="26"/>
                <w:lang w:val="sq-AL"/>
              </w:rPr>
              <w:t>INCA, shpk</w:t>
            </w:r>
          </w:p>
        </w:tc>
        <w:tc>
          <w:tcPr>
            <w:tcW w:w="1372" w:type="dxa"/>
          </w:tcPr>
          <w:p w14:paraId="314BB444" w14:textId="069EFBD0" w:rsidR="006A3EBF" w:rsidRPr="00886A50" w:rsidRDefault="006A3EBF" w:rsidP="00886A50">
            <w:pPr>
              <w:pStyle w:val="BodyText"/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86A50">
              <w:rPr>
                <w:rFonts w:ascii="Times New Roman" w:hAnsi="Times New Roman"/>
                <w:sz w:val="26"/>
                <w:szCs w:val="26"/>
              </w:rPr>
              <w:t>Nuk u pranua</w:t>
            </w:r>
          </w:p>
        </w:tc>
        <w:tc>
          <w:tcPr>
            <w:tcW w:w="2638" w:type="dxa"/>
          </w:tcPr>
          <w:p w14:paraId="404F512C" w14:textId="0ADEB24C" w:rsidR="006A3EBF" w:rsidRPr="00886A50" w:rsidRDefault="004A7F18" w:rsidP="00886A50">
            <w:pPr>
              <w:pStyle w:val="BodyText"/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86A50">
              <w:rPr>
                <w:rFonts w:ascii="Times New Roman" w:hAnsi="Times New Roman"/>
                <w:color w:val="000000"/>
                <w:sz w:val="26"/>
                <w:szCs w:val="26"/>
              </w:rPr>
              <w:t>VKM e miratuar sipas pikës 4 të nenit 15 do të përcaktojë kushtet e licencimit të l</w:t>
            </w:r>
            <w:r w:rsidR="00A11F13" w:rsidRPr="00886A50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  <w:r w:rsidRPr="00886A50">
              <w:rPr>
                <w:rFonts w:ascii="Times New Roman" w:hAnsi="Times New Roman"/>
                <w:color w:val="000000"/>
                <w:sz w:val="26"/>
                <w:szCs w:val="26"/>
              </w:rPr>
              <w:t>n</w:t>
            </w:r>
            <w:r w:rsidR="00A11F13" w:rsidRPr="00886A50">
              <w:rPr>
                <w:rFonts w:ascii="Times New Roman" w:hAnsi="Times New Roman"/>
                <w:color w:val="000000"/>
                <w:sz w:val="26"/>
                <w:szCs w:val="26"/>
              </w:rPr>
              <w:t>d</w:t>
            </w:r>
            <w:r w:rsidRPr="00886A50">
              <w:rPr>
                <w:rFonts w:ascii="Times New Roman" w:hAnsi="Times New Roman"/>
                <w:color w:val="000000"/>
                <w:sz w:val="26"/>
                <w:szCs w:val="26"/>
              </w:rPr>
              <w:t>filleve shtetërorë dhe private për eliminimin e tyre</w:t>
            </w:r>
            <w:r w:rsidR="00A11F13" w:rsidRPr="00886A5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283857" w:rsidRPr="00886A50" w14:paraId="057D37B1" w14:textId="77777777" w:rsidTr="009F33A9">
        <w:tc>
          <w:tcPr>
            <w:tcW w:w="1870" w:type="dxa"/>
          </w:tcPr>
          <w:p w14:paraId="04036555" w14:textId="752EF93F" w:rsidR="0010139C" w:rsidRPr="00886A50" w:rsidRDefault="00283857" w:rsidP="00886A50">
            <w:pPr>
              <w:pStyle w:val="BodyText"/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86A50">
              <w:rPr>
                <w:rFonts w:ascii="Times New Roman" w:hAnsi="Times New Roman"/>
                <w:sz w:val="26"/>
                <w:szCs w:val="26"/>
              </w:rPr>
              <w:t xml:space="preserve">5. </w:t>
            </w:r>
            <w:r w:rsidR="00A11F13" w:rsidRPr="00886A50">
              <w:rPr>
                <w:rFonts w:ascii="Times New Roman" w:hAnsi="Times New Roman"/>
                <w:sz w:val="26"/>
                <w:szCs w:val="26"/>
              </w:rPr>
              <w:t>Hyrja në fuqi e projektligjit.</w:t>
            </w:r>
          </w:p>
        </w:tc>
        <w:tc>
          <w:tcPr>
            <w:tcW w:w="2469" w:type="dxa"/>
          </w:tcPr>
          <w:p w14:paraId="3492199F" w14:textId="7F0F2E16" w:rsidR="00A11F13" w:rsidRPr="00886A50" w:rsidRDefault="00A11F13" w:rsidP="00886A50">
            <w:pPr>
              <w:shd w:val="clear" w:color="auto" w:fill="FFFFFF"/>
              <w:spacing w:after="160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86A5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Projektligji i shtrin efektet nga data 1 shkurt 2026, është shumë e rëndësishme që të rishikohet kjo dispozitë. </w:t>
            </w:r>
          </w:p>
          <w:p w14:paraId="63EDC9CB" w14:textId="77777777" w:rsidR="00A11F13" w:rsidRPr="00886A50" w:rsidRDefault="00A11F13" w:rsidP="00886A50">
            <w:pPr>
              <w:shd w:val="clear" w:color="auto" w:fill="FFFFFF"/>
              <w:ind w:left="360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08654267" w14:textId="77777777" w:rsidR="00A11F13" w:rsidRPr="00886A50" w:rsidRDefault="00A11F13" w:rsidP="00886A50">
            <w:pPr>
              <w:shd w:val="clear" w:color="auto" w:fill="FFFFFF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86A50">
              <w:rPr>
                <w:rFonts w:ascii="Times New Roman" w:hAnsi="Times New Roman"/>
                <w:sz w:val="26"/>
                <w:szCs w:val="26"/>
                <w:lang w:val="en-US"/>
              </w:rPr>
              <w:t>Në fakt edhe me legjislacionin aktual ndalohet groposja e hedhja kuturu të mbetjeve nënprodukte shtazore jo për konsum human, pavarësisht se kjo nuk zbatohet masivisht nga gjeneruesit e nga shërbimi veterinar</w:t>
            </w:r>
          </w:p>
          <w:p w14:paraId="2FB12604" w14:textId="77777777" w:rsidR="00A11F13" w:rsidRPr="00886A50" w:rsidRDefault="00A11F13" w:rsidP="00886A50">
            <w:pPr>
              <w:shd w:val="clear" w:color="auto" w:fill="FFFFFF"/>
              <w:ind w:left="360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3A0C471E" w14:textId="77777777" w:rsidR="00A11F13" w:rsidRPr="00886A50" w:rsidRDefault="00A11F13" w:rsidP="00886A50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886A5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Duke lënë që efektet e ligjit nisin në shkurt 2026 dmth që legjitimohet çdo shkelje e deri tanishme dhe legjitimohet që të vijojnë deri në shkurt 2026</w:t>
            </w:r>
          </w:p>
          <w:p w14:paraId="115329D3" w14:textId="4B1F164A" w:rsidR="0010139C" w:rsidRPr="00886A50" w:rsidRDefault="0010139C" w:rsidP="00886A50">
            <w:pPr>
              <w:pStyle w:val="BodyText"/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6" w:type="dxa"/>
          </w:tcPr>
          <w:p w14:paraId="3E78431E" w14:textId="680A4DDE" w:rsidR="0010139C" w:rsidRPr="00886A50" w:rsidRDefault="00A11F13" w:rsidP="00886A50">
            <w:pPr>
              <w:pStyle w:val="BodyText"/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86A50">
              <w:rPr>
                <w:rFonts w:ascii="Times New Roman" w:eastAsia="MS Mincho" w:hAnsi="Times New Roman"/>
                <w:sz w:val="26"/>
                <w:szCs w:val="26"/>
                <w:lang w:val="sq-AL"/>
              </w:rPr>
              <w:t>INCA, shpk</w:t>
            </w:r>
          </w:p>
        </w:tc>
        <w:tc>
          <w:tcPr>
            <w:tcW w:w="1372" w:type="dxa"/>
          </w:tcPr>
          <w:p w14:paraId="26B3A9F8" w14:textId="15888F17" w:rsidR="0010139C" w:rsidRPr="00886A50" w:rsidRDefault="00BE6B6E" w:rsidP="00886A50">
            <w:pPr>
              <w:pStyle w:val="BodyText"/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Nuk u pranua</w:t>
            </w:r>
          </w:p>
        </w:tc>
        <w:tc>
          <w:tcPr>
            <w:tcW w:w="2638" w:type="dxa"/>
          </w:tcPr>
          <w:p w14:paraId="5AC0F0B4" w14:textId="524B308D" w:rsidR="00A11F13" w:rsidRPr="009F33A9" w:rsidRDefault="00A11F13" w:rsidP="00886A50">
            <w:pPr>
              <w:pStyle w:val="NormalWeb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86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Përcaktimi i licencave do të kërkoje dhe ndërhyrje në ligjin e licencave ndaj dhe është caktuar 1 shkurti 2026 si date e hyrjes në fuqi të këtij ligji. Neni 44 i projekt ligjit përcakton veprime të ndaluara me nënproduktet me origjine shtazore dhe për këtë neni 46 përcakton dhe masa administrative. Ndërsa neni 45 përcakton detyrimin e të gjithë operatoreve të lidhin kontrata me operatore të përpunimit ose/dhe eliminimit të nënprodukteve me origjine shtazore sipas kërkesave të këtij projekt ligji. Mungesa e këtyre kontratave do të çoje në ndërprerje të aktivitetit primar ose sipas rastit mosdhënien e licencës për aktivitetin primar. Këto kontrata parashikojnë së paku: përshkrimin e kategorisë së </w:t>
            </w:r>
            <w:r w:rsidRPr="00886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nënprodukteve me origjine shtazore sipas neneve 8, 9 dhe 10; mënyrën e transportit sipas nenit 21 dhe kontratën </w:t>
            </w:r>
            <w:r w:rsidRPr="009F33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financiare në mes kontraktuesve. </w:t>
            </w:r>
            <w:r w:rsidRPr="009F33A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Si rrjedhoje</w:t>
            </w:r>
            <w:r w:rsidR="009F33A9" w:rsidRPr="009F33A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</w:t>
            </w:r>
            <w:r w:rsidRPr="009F33A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pretendimet e subjektit INKA janë të pa pranueshme dhe ndryshimi i datës së hyrjes në fuqi nuk pranohet.</w:t>
            </w:r>
          </w:p>
          <w:p w14:paraId="558C614A" w14:textId="240151E8" w:rsidR="0010139C" w:rsidRPr="00886A50" w:rsidRDefault="0010139C" w:rsidP="00886A50">
            <w:pPr>
              <w:pStyle w:val="BodyText"/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7B2C5B5" w14:textId="77777777" w:rsidR="00C7773E" w:rsidRPr="00886A50" w:rsidRDefault="00C7773E" w:rsidP="00886A50">
      <w:pPr>
        <w:pStyle w:val="BodyText"/>
        <w:spacing w:after="0"/>
        <w:contextualSpacing/>
        <w:rPr>
          <w:rFonts w:ascii="Times New Roman" w:hAnsi="Times New Roman"/>
          <w:b/>
          <w:sz w:val="26"/>
          <w:szCs w:val="26"/>
        </w:rPr>
      </w:pPr>
    </w:p>
    <w:p w14:paraId="5D0DCAA4" w14:textId="4807C7AE" w:rsidR="00D26552" w:rsidRPr="00886A50" w:rsidRDefault="00D26552" w:rsidP="00886A50">
      <w:pPr>
        <w:contextualSpacing/>
        <w:rPr>
          <w:rFonts w:ascii="Times New Roman" w:hAnsi="Times New Roman"/>
          <w:b/>
          <w:sz w:val="26"/>
          <w:szCs w:val="26"/>
        </w:rPr>
      </w:pPr>
    </w:p>
    <w:p w14:paraId="68F625D1" w14:textId="4615A395" w:rsidR="008C0B35" w:rsidRPr="00886A50" w:rsidRDefault="008C0B35" w:rsidP="00886A50">
      <w:pPr>
        <w:contextualSpacing/>
        <w:rPr>
          <w:rFonts w:ascii="Times New Roman" w:hAnsi="Times New Roman"/>
          <w:b/>
          <w:sz w:val="26"/>
          <w:szCs w:val="26"/>
        </w:rPr>
      </w:pPr>
    </w:p>
    <w:p w14:paraId="4731711B" w14:textId="77777777" w:rsidR="008C0B35" w:rsidRPr="00886A50" w:rsidRDefault="008C0B35" w:rsidP="00886A50">
      <w:pPr>
        <w:contextualSpacing/>
        <w:rPr>
          <w:rFonts w:ascii="Times New Roman" w:hAnsi="Times New Roman"/>
          <w:b/>
          <w:sz w:val="26"/>
          <w:szCs w:val="26"/>
        </w:rPr>
      </w:pPr>
    </w:p>
    <w:p w14:paraId="0D54ACCF" w14:textId="77777777" w:rsidR="00D26552" w:rsidRPr="00886A50" w:rsidRDefault="00D26552" w:rsidP="00886A50">
      <w:pPr>
        <w:contextualSpacing/>
        <w:rPr>
          <w:rFonts w:ascii="Times New Roman" w:hAnsi="Times New Roman"/>
          <w:b/>
          <w:sz w:val="26"/>
          <w:szCs w:val="26"/>
        </w:rPr>
      </w:pPr>
    </w:p>
    <w:p w14:paraId="160A8851" w14:textId="77777777" w:rsidR="009B17EE" w:rsidRPr="00886A50" w:rsidRDefault="009B17EE" w:rsidP="00886A50">
      <w:pPr>
        <w:contextualSpacing/>
        <w:jc w:val="both"/>
        <w:rPr>
          <w:rFonts w:ascii="Times New Roman" w:hAnsi="Times New Roman"/>
          <w:b/>
          <w:sz w:val="26"/>
          <w:szCs w:val="26"/>
        </w:rPr>
      </w:pPr>
    </w:p>
    <w:sectPr w:rsidR="009B17EE" w:rsidRPr="00886A50" w:rsidSect="006C2B3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altName w:val="Sylfae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6540"/>
    <w:multiLevelType w:val="hybridMultilevel"/>
    <w:tmpl w:val="6BA041EC"/>
    <w:lvl w:ilvl="0" w:tplc="E80E1CF0">
      <w:numFmt w:val="bullet"/>
      <w:lvlText w:val="-"/>
      <w:lvlJc w:val="left"/>
      <w:pPr>
        <w:ind w:left="630" w:hanging="360"/>
      </w:pPr>
      <w:rPr>
        <w:rFonts w:ascii="Times" w:eastAsia="Calibr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47B7F2D"/>
    <w:multiLevelType w:val="hybridMultilevel"/>
    <w:tmpl w:val="6F7445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C0502"/>
    <w:multiLevelType w:val="hybridMultilevel"/>
    <w:tmpl w:val="29B8D13E"/>
    <w:lvl w:ilvl="0" w:tplc="C50038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290457"/>
    <w:multiLevelType w:val="hybridMultilevel"/>
    <w:tmpl w:val="484CD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54C2A"/>
    <w:multiLevelType w:val="hybridMultilevel"/>
    <w:tmpl w:val="58981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810EB"/>
    <w:multiLevelType w:val="hybridMultilevel"/>
    <w:tmpl w:val="BF2EF5B8"/>
    <w:lvl w:ilvl="0" w:tplc="D272F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1A7500"/>
    <w:multiLevelType w:val="hybridMultilevel"/>
    <w:tmpl w:val="1A9AC49C"/>
    <w:lvl w:ilvl="0" w:tplc="CCB4BF3E">
      <w:start w:val="1"/>
      <w:numFmt w:val="bullet"/>
      <w:lvlText w:val="®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A45EBF"/>
    <w:multiLevelType w:val="hybridMultilevel"/>
    <w:tmpl w:val="D2D02CFE"/>
    <w:lvl w:ilvl="0" w:tplc="BFC69788">
      <w:numFmt w:val="bullet"/>
      <w:lvlText w:val="-"/>
      <w:lvlJc w:val="left"/>
      <w:pPr>
        <w:ind w:left="1080" w:hanging="360"/>
      </w:pPr>
      <w:rPr>
        <w:rFonts w:ascii="Times" w:eastAsia="Calibri" w:hAnsi="Times" w:cs="Times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68706F"/>
    <w:multiLevelType w:val="hybridMultilevel"/>
    <w:tmpl w:val="5BE82A9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BC06AE"/>
    <w:multiLevelType w:val="multilevel"/>
    <w:tmpl w:val="DC3E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733833"/>
    <w:multiLevelType w:val="multilevel"/>
    <w:tmpl w:val="929C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B53117"/>
    <w:multiLevelType w:val="multilevel"/>
    <w:tmpl w:val="F39E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9934FA"/>
    <w:multiLevelType w:val="hybridMultilevel"/>
    <w:tmpl w:val="2AF2F168"/>
    <w:lvl w:ilvl="0" w:tplc="07465B5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92891"/>
    <w:multiLevelType w:val="hybridMultilevel"/>
    <w:tmpl w:val="DA84B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34381"/>
    <w:multiLevelType w:val="multilevel"/>
    <w:tmpl w:val="FDAE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6D5DDA"/>
    <w:multiLevelType w:val="hybridMultilevel"/>
    <w:tmpl w:val="96F6E5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E50CB3"/>
    <w:multiLevelType w:val="hybridMultilevel"/>
    <w:tmpl w:val="7C2C2806"/>
    <w:lvl w:ilvl="0" w:tplc="F71694B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AD87B38"/>
    <w:multiLevelType w:val="multilevel"/>
    <w:tmpl w:val="D364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B512A1"/>
    <w:multiLevelType w:val="hybridMultilevel"/>
    <w:tmpl w:val="0D887A7C"/>
    <w:lvl w:ilvl="0" w:tplc="F97467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9"/>
  </w:num>
  <w:num w:numId="4">
    <w:abstractNumId w:val="3"/>
  </w:num>
  <w:num w:numId="5">
    <w:abstractNumId w:val="4"/>
  </w:num>
  <w:num w:numId="6">
    <w:abstractNumId w:val="8"/>
  </w:num>
  <w:num w:numId="7">
    <w:abstractNumId w:val="9"/>
  </w:num>
  <w:num w:numId="8">
    <w:abstractNumId w:val="6"/>
  </w:num>
  <w:num w:numId="9">
    <w:abstractNumId w:val="18"/>
  </w:num>
  <w:num w:numId="10">
    <w:abstractNumId w:val="10"/>
  </w:num>
  <w:num w:numId="11">
    <w:abstractNumId w:val="11"/>
  </w:num>
  <w:num w:numId="12">
    <w:abstractNumId w:val="16"/>
  </w:num>
  <w:num w:numId="13">
    <w:abstractNumId w:val="7"/>
  </w:num>
  <w:num w:numId="14">
    <w:abstractNumId w:val="15"/>
  </w:num>
  <w:num w:numId="15">
    <w:abstractNumId w:val="0"/>
  </w:num>
  <w:num w:numId="16">
    <w:abstractNumId w:val="14"/>
  </w:num>
  <w:num w:numId="17">
    <w:abstractNumId w:val="12"/>
  </w:num>
  <w:num w:numId="18">
    <w:abstractNumId w:val="5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3E"/>
    <w:rsid w:val="00007295"/>
    <w:rsid w:val="00032425"/>
    <w:rsid w:val="0005503C"/>
    <w:rsid w:val="00065DAC"/>
    <w:rsid w:val="00067661"/>
    <w:rsid w:val="00070860"/>
    <w:rsid w:val="00073C8A"/>
    <w:rsid w:val="000A05C2"/>
    <w:rsid w:val="000D07C3"/>
    <w:rsid w:val="000D54F1"/>
    <w:rsid w:val="000E7464"/>
    <w:rsid w:val="0010139C"/>
    <w:rsid w:val="00103223"/>
    <w:rsid w:val="00114D88"/>
    <w:rsid w:val="001354FC"/>
    <w:rsid w:val="0014347D"/>
    <w:rsid w:val="001631E8"/>
    <w:rsid w:val="00195EE9"/>
    <w:rsid w:val="001C364B"/>
    <w:rsid w:val="001D34DE"/>
    <w:rsid w:val="00205CE5"/>
    <w:rsid w:val="0022490F"/>
    <w:rsid w:val="002433F2"/>
    <w:rsid w:val="00255571"/>
    <w:rsid w:val="00256F1D"/>
    <w:rsid w:val="00274B99"/>
    <w:rsid w:val="00282C98"/>
    <w:rsid w:val="00283857"/>
    <w:rsid w:val="002859BE"/>
    <w:rsid w:val="002B0510"/>
    <w:rsid w:val="002C1391"/>
    <w:rsid w:val="002C331E"/>
    <w:rsid w:val="002F6CD3"/>
    <w:rsid w:val="003065EF"/>
    <w:rsid w:val="0031423E"/>
    <w:rsid w:val="00320FC5"/>
    <w:rsid w:val="00332166"/>
    <w:rsid w:val="00334510"/>
    <w:rsid w:val="00336DF0"/>
    <w:rsid w:val="00366DFF"/>
    <w:rsid w:val="00374D6B"/>
    <w:rsid w:val="0037631D"/>
    <w:rsid w:val="003A2E6A"/>
    <w:rsid w:val="003B3BA0"/>
    <w:rsid w:val="003D2624"/>
    <w:rsid w:val="003D7264"/>
    <w:rsid w:val="003E0869"/>
    <w:rsid w:val="003F7730"/>
    <w:rsid w:val="004009F9"/>
    <w:rsid w:val="0042089E"/>
    <w:rsid w:val="00425B73"/>
    <w:rsid w:val="0044749B"/>
    <w:rsid w:val="00472D57"/>
    <w:rsid w:val="00477CBC"/>
    <w:rsid w:val="004A7F18"/>
    <w:rsid w:val="004B72CB"/>
    <w:rsid w:val="004D031E"/>
    <w:rsid w:val="004D64EF"/>
    <w:rsid w:val="004D754E"/>
    <w:rsid w:val="004E33E6"/>
    <w:rsid w:val="004F3A7B"/>
    <w:rsid w:val="005211D8"/>
    <w:rsid w:val="0052275B"/>
    <w:rsid w:val="00544000"/>
    <w:rsid w:val="00550399"/>
    <w:rsid w:val="005C5B99"/>
    <w:rsid w:val="005D4B86"/>
    <w:rsid w:val="005D5C3C"/>
    <w:rsid w:val="005E1496"/>
    <w:rsid w:val="005F6546"/>
    <w:rsid w:val="00600C3D"/>
    <w:rsid w:val="00603D5E"/>
    <w:rsid w:val="0062308A"/>
    <w:rsid w:val="00627637"/>
    <w:rsid w:val="0063738F"/>
    <w:rsid w:val="00637E89"/>
    <w:rsid w:val="0064503B"/>
    <w:rsid w:val="006635AA"/>
    <w:rsid w:val="00672192"/>
    <w:rsid w:val="00674CAA"/>
    <w:rsid w:val="0067502F"/>
    <w:rsid w:val="00685217"/>
    <w:rsid w:val="006A0D5F"/>
    <w:rsid w:val="006A3EBF"/>
    <w:rsid w:val="006B35BE"/>
    <w:rsid w:val="006B4268"/>
    <w:rsid w:val="006B570C"/>
    <w:rsid w:val="006B6542"/>
    <w:rsid w:val="006C0CC0"/>
    <w:rsid w:val="006C2B35"/>
    <w:rsid w:val="006D3EA5"/>
    <w:rsid w:val="00724254"/>
    <w:rsid w:val="007247D9"/>
    <w:rsid w:val="00764FC3"/>
    <w:rsid w:val="0077472E"/>
    <w:rsid w:val="0078085F"/>
    <w:rsid w:val="00781130"/>
    <w:rsid w:val="007B20A3"/>
    <w:rsid w:val="007C2290"/>
    <w:rsid w:val="007C2F13"/>
    <w:rsid w:val="007C67E4"/>
    <w:rsid w:val="007E008B"/>
    <w:rsid w:val="007E0AFB"/>
    <w:rsid w:val="007F0BD7"/>
    <w:rsid w:val="008071F2"/>
    <w:rsid w:val="008139A8"/>
    <w:rsid w:val="008332B0"/>
    <w:rsid w:val="00886A50"/>
    <w:rsid w:val="008B60A9"/>
    <w:rsid w:val="008C0B35"/>
    <w:rsid w:val="008C2886"/>
    <w:rsid w:val="008C3516"/>
    <w:rsid w:val="008C628B"/>
    <w:rsid w:val="009021B9"/>
    <w:rsid w:val="0090557E"/>
    <w:rsid w:val="00911840"/>
    <w:rsid w:val="00930799"/>
    <w:rsid w:val="009765A8"/>
    <w:rsid w:val="00976F8C"/>
    <w:rsid w:val="00985648"/>
    <w:rsid w:val="009A0940"/>
    <w:rsid w:val="009A1DE2"/>
    <w:rsid w:val="009B0D4A"/>
    <w:rsid w:val="009B17EE"/>
    <w:rsid w:val="009B32F8"/>
    <w:rsid w:val="009D3281"/>
    <w:rsid w:val="009D5EE2"/>
    <w:rsid w:val="009F33A9"/>
    <w:rsid w:val="00A11F13"/>
    <w:rsid w:val="00A30400"/>
    <w:rsid w:val="00A41C9D"/>
    <w:rsid w:val="00A61186"/>
    <w:rsid w:val="00A71F03"/>
    <w:rsid w:val="00A919E4"/>
    <w:rsid w:val="00A97384"/>
    <w:rsid w:val="00AA56BA"/>
    <w:rsid w:val="00AA6171"/>
    <w:rsid w:val="00AC0C1C"/>
    <w:rsid w:val="00AF1984"/>
    <w:rsid w:val="00AF5D6C"/>
    <w:rsid w:val="00B07BC0"/>
    <w:rsid w:val="00B270E5"/>
    <w:rsid w:val="00B56574"/>
    <w:rsid w:val="00B72607"/>
    <w:rsid w:val="00B857C7"/>
    <w:rsid w:val="00B93BBA"/>
    <w:rsid w:val="00BB1957"/>
    <w:rsid w:val="00BC0EBE"/>
    <w:rsid w:val="00BE37B7"/>
    <w:rsid w:val="00BE6B6E"/>
    <w:rsid w:val="00C070FE"/>
    <w:rsid w:val="00C1304B"/>
    <w:rsid w:val="00C379AB"/>
    <w:rsid w:val="00C444A3"/>
    <w:rsid w:val="00C56C28"/>
    <w:rsid w:val="00C7131B"/>
    <w:rsid w:val="00C7773E"/>
    <w:rsid w:val="00C85B95"/>
    <w:rsid w:val="00C941B6"/>
    <w:rsid w:val="00CC0B42"/>
    <w:rsid w:val="00CF553F"/>
    <w:rsid w:val="00D111CB"/>
    <w:rsid w:val="00D26552"/>
    <w:rsid w:val="00D4580C"/>
    <w:rsid w:val="00D71142"/>
    <w:rsid w:val="00D7653B"/>
    <w:rsid w:val="00D84744"/>
    <w:rsid w:val="00D97ED8"/>
    <w:rsid w:val="00DA1F7C"/>
    <w:rsid w:val="00DA5601"/>
    <w:rsid w:val="00DB3CED"/>
    <w:rsid w:val="00DB6A88"/>
    <w:rsid w:val="00DD1281"/>
    <w:rsid w:val="00DE26C1"/>
    <w:rsid w:val="00DE27B8"/>
    <w:rsid w:val="00E02F93"/>
    <w:rsid w:val="00E14633"/>
    <w:rsid w:val="00E14814"/>
    <w:rsid w:val="00E26311"/>
    <w:rsid w:val="00E26828"/>
    <w:rsid w:val="00E51551"/>
    <w:rsid w:val="00E51EE4"/>
    <w:rsid w:val="00E77373"/>
    <w:rsid w:val="00E92A38"/>
    <w:rsid w:val="00EA0DBE"/>
    <w:rsid w:val="00EA25F8"/>
    <w:rsid w:val="00EA6179"/>
    <w:rsid w:val="00EA7005"/>
    <w:rsid w:val="00EF45F2"/>
    <w:rsid w:val="00F02D5A"/>
    <w:rsid w:val="00F115CF"/>
    <w:rsid w:val="00F46863"/>
    <w:rsid w:val="00F4790D"/>
    <w:rsid w:val="00F5100F"/>
    <w:rsid w:val="00F56879"/>
    <w:rsid w:val="00F6150B"/>
    <w:rsid w:val="00F67DA6"/>
    <w:rsid w:val="00F77619"/>
    <w:rsid w:val="00FC723D"/>
    <w:rsid w:val="00FE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EBF51"/>
  <w15:chartTrackingRefBased/>
  <w15:docId w15:val="{371C1EFB-A4F3-1842-85FB-E87FB828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7773E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C7773E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C7773E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C7773E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C7773E"/>
    <w:rPr>
      <w:rFonts w:ascii="Calibri" w:eastAsia="Times New Roman" w:hAnsi="Calibri" w:cs="Times New Roman"/>
      <w:sz w:val="22"/>
      <w:szCs w:val="20"/>
      <w:lang w:val="en-GB"/>
    </w:rPr>
  </w:style>
  <w:style w:type="table" w:styleId="TableGrid">
    <w:name w:val="Table Grid"/>
    <w:basedOn w:val="TableNormal"/>
    <w:uiPriority w:val="39"/>
    <w:rsid w:val="0072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5B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B95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46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863"/>
    <w:pPr>
      <w:spacing w:after="160"/>
    </w:pPr>
    <w:rPr>
      <w:rFonts w:asciiTheme="minorHAnsi" w:eastAsia="MS Mincho" w:hAnsiTheme="minorHAnsi" w:cstheme="minorBidi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863"/>
    <w:rPr>
      <w:rFonts w:eastAsia="MS Mincho"/>
      <w:sz w:val="20"/>
      <w:szCs w:val="20"/>
      <w:lang w:val="en-US"/>
    </w:rPr>
  </w:style>
  <w:style w:type="paragraph" w:customStyle="1" w:styleId="Default">
    <w:name w:val="Default"/>
    <w:rsid w:val="00425B73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NormalWeb">
    <w:name w:val="Normal (Web)"/>
    <w:basedOn w:val="Normal"/>
    <w:uiPriority w:val="99"/>
    <w:unhideWhenUsed/>
    <w:rsid w:val="004009F9"/>
    <w:rPr>
      <w:rFonts w:ascii="Calibri" w:eastAsiaTheme="minorHAnsi" w:hAnsi="Calibri" w:cs="Calibr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49034ABFDFEE3742A9667A1A3F792C36" ma:contentTypeVersion="" ma:contentTypeDescription="" ma:contentTypeScope="" ma:versionID="8b062660f3337a11a495fb9f8a66070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0x0049034ABFDFEE3742A9667A1A3F792C36</ContentTypeId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51B363-D7F3-4DE5-8D79-91813CC5E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8F6C89-4629-48BE-B9A6-A3AC1C783B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1843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Konsultimi Publik</vt:lpstr>
    </vt:vector>
  </TitlesOfParts>
  <Company/>
  <LinksUpToDate>false</LinksUpToDate>
  <CharactersWithSpaces>12330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Konsultimi Publik</dc:title>
  <dc:subject/>
  <dc:creator>Igor Vidačak</dc:creator>
  <cp:keywords/>
  <dc:description/>
  <cp:lastModifiedBy>Kjara Vogli</cp:lastModifiedBy>
  <cp:revision>2</cp:revision>
  <cp:lastPrinted>2020-10-29T12:33:00Z</cp:lastPrinted>
  <dcterms:created xsi:type="dcterms:W3CDTF">2024-06-28T10:56:00Z</dcterms:created>
  <dcterms:modified xsi:type="dcterms:W3CDTF">2024-06-28T10:56:00Z</dcterms:modified>
</cp:coreProperties>
</file>