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9109C8A" w14:textId="5BF0C9F5" w:rsidR="00AE424B" w:rsidRPr="00DA21CA" w:rsidRDefault="001C6809" w:rsidP="00AE424B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CA">
        <w:rPr>
          <w:rFonts w:ascii="Times New Roman" w:hAnsi="Times New Roman" w:cs="Times New Roman"/>
          <w:b/>
          <w:iCs/>
          <w:sz w:val="28"/>
          <w:szCs w:val="28"/>
        </w:rPr>
        <w:t>Projektligji</w:t>
      </w:r>
      <w:r w:rsidR="00AE424B" w:rsidRPr="00DA21CA">
        <w:rPr>
          <w:rFonts w:ascii="Times New Roman" w:hAnsi="Times New Roman" w:cs="Times New Roman"/>
          <w:b/>
          <w:sz w:val="28"/>
          <w:szCs w:val="28"/>
        </w:rPr>
        <w:t>n</w:t>
      </w:r>
    </w:p>
    <w:p w14:paraId="0D526594" w14:textId="77777777" w:rsidR="00AE424B" w:rsidRPr="003116F7" w:rsidRDefault="00AE424B" w:rsidP="00AE424B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CFF2" w14:textId="49C2DF70" w:rsidR="00AD1B58" w:rsidRPr="00DA21CA" w:rsidRDefault="00DA21CA" w:rsidP="00AE424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21CA">
        <w:rPr>
          <w:rFonts w:ascii="Times New Roman" w:hAnsi="Times New Roman" w:cs="Times New Roman"/>
          <w:b/>
          <w:sz w:val="28"/>
          <w:szCs w:val="28"/>
        </w:rPr>
        <w:t>“Për Nënproduktet Me Origjinë Shtazore”</w:t>
      </w:r>
    </w:p>
    <w:p w14:paraId="311636B8" w14:textId="1099224F" w:rsidR="001C6809" w:rsidRDefault="001C6809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DC5EEAA" w14:textId="0D61D1EB" w:rsidR="00D77007" w:rsidRDefault="00D77007" w:rsidP="00F852E3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B5F6364" w14:textId="77777777" w:rsidR="00DA21CA" w:rsidRPr="00DC5762" w:rsidRDefault="00D77007" w:rsidP="00DC57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62">
        <w:rPr>
          <w:rFonts w:ascii="Times New Roman" w:hAnsi="Times New Roman" w:cs="Times New Roman"/>
          <w:sz w:val="28"/>
          <w:szCs w:val="28"/>
        </w:rPr>
        <w:t xml:space="preserve">Ministria e Bujqësisë dhe Zhvillimit Rural, fton qytetarë, ekspertë të fushës, shoqata dhe përfaqësues të tjerë të publikut të interesuar për të kontribuar përgjatë procesit të konsultimit publik të projektligjit </w:t>
      </w:r>
      <w:r w:rsidR="00AE424B" w:rsidRPr="00DC5762">
        <w:rPr>
          <w:rFonts w:ascii="Times New Roman" w:hAnsi="Times New Roman" w:cs="Times New Roman"/>
          <w:i/>
          <w:sz w:val="28"/>
          <w:szCs w:val="28"/>
        </w:rPr>
        <w:t xml:space="preserve">“Për Nënproduktet </w:t>
      </w:r>
      <w:r w:rsidR="00DA21CA" w:rsidRPr="00DC5762">
        <w:rPr>
          <w:rFonts w:ascii="Times New Roman" w:hAnsi="Times New Roman" w:cs="Times New Roman"/>
          <w:i/>
          <w:sz w:val="28"/>
          <w:szCs w:val="28"/>
        </w:rPr>
        <w:t>m</w:t>
      </w:r>
      <w:r w:rsidR="00AE424B" w:rsidRPr="00DC5762">
        <w:rPr>
          <w:rFonts w:ascii="Times New Roman" w:hAnsi="Times New Roman" w:cs="Times New Roman"/>
          <w:i/>
          <w:sz w:val="28"/>
          <w:szCs w:val="28"/>
        </w:rPr>
        <w:t>e Origjinë Shtazore</w:t>
      </w:r>
      <w:r w:rsidR="00AE424B" w:rsidRPr="00DC5762">
        <w:rPr>
          <w:rFonts w:ascii="Times New Roman" w:hAnsi="Times New Roman" w:cs="Times New Roman"/>
          <w:i/>
          <w:color w:val="000000"/>
          <w:sz w:val="28"/>
          <w:szCs w:val="28"/>
        </w:rPr>
        <w:t>”</w:t>
      </w:r>
    </w:p>
    <w:p w14:paraId="47F93574" w14:textId="77777777" w:rsidR="00DA21CA" w:rsidRPr="00DC5762" w:rsidRDefault="00DA21CA" w:rsidP="00DC5762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2D7E8" w14:textId="61D3F271" w:rsidR="00DA21CA" w:rsidRDefault="00B640DB" w:rsidP="00DC57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C5762">
        <w:rPr>
          <w:rFonts w:ascii="Times New Roman" w:hAnsi="Times New Roman" w:cs="Times New Roman"/>
          <w:sz w:val="28"/>
          <w:szCs w:val="28"/>
          <w:lang w:val="it-IT"/>
        </w:rPr>
        <w:t xml:space="preserve">Qëllimi i këtij projektligji është përcaktimi i normave të kontrollit shëndetësor që i përkasin nënprodukteve me orgjinë shtazore dhe derivateve të tyre, si dhe në veçanti, mbrojtjes së sigurisë në zinxhirin e ushqimeve dhe ushqimeve për kafshë. </w:t>
      </w:r>
    </w:p>
    <w:p w14:paraId="1B08BCB5" w14:textId="393C358F" w:rsidR="00382173" w:rsidRDefault="00382173" w:rsidP="00DC57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DF8591" w14:textId="6AFC6A6C" w:rsidR="00382173" w:rsidRPr="00382173" w:rsidRDefault="00382173" w:rsidP="00DC57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173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aryset për mënyrën se si ato janë reflektuar  ose jo në projektakt.</w:t>
      </w:r>
    </w:p>
    <w:p w14:paraId="0091D8AB" w14:textId="77777777" w:rsidR="00DA21CA" w:rsidRPr="00DC5762" w:rsidRDefault="00DA21CA" w:rsidP="00DC5762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A94F4" w14:textId="77777777" w:rsidR="00DA21CA" w:rsidRPr="00DC5762" w:rsidRDefault="00A6719B" w:rsidP="00DC57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62">
        <w:rPr>
          <w:rFonts w:ascii="Times New Roman" w:hAnsi="Times New Roman" w:cs="Times New Roman"/>
          <w:sz w:val="28"/>
          <w:szCs w:val="28"/>
        </w:rPr>
        <w:t>Kontributet tuaja do të konsiderohen përgjatë procesit të përmirësimit të mëtejshëm të projektligjit.</w:t>
      </w:r>
    </w:p>
    <w:p w14:paraId="0BC1123C" w14:textId="77777777" w:rsidR="00DA21CA" w:rsidRPr="00DC5762" w:rsidRDefault="00DA21CA" w:rsidP="00DC5762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03C6F" w14:textId="21B0E193" w:rsidR="00F852E3" w:rsidRPr="0056151A" w:rsidRDefault="00F852E3" w:rsidP="0056151A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151A">
        <w:rPr>
          <w:rFonts w:ascii="Times New Roman" w:hAnsi="Times New Roman" w:cs="Times New Roman"/>
          <w:b/>
          <w:i/>
          <w:sz w:val="28"/>
          <w:szCs w:val="28"/>
        </w:rPr>
        <w:t>Kohëzgjatja</w:t>
      </w:r>
      <w:proofErr w:type="spellEnd"/>
      <w:r w:rsidRPr="0056151A">
        <w:rPr>
          <w:rFonts w:ascii="Times New Roman" w:hAnsi="Times New Roman" w:cs="Times New Roman"/>
          <w:b/>
          <w:i/>
          <w:sz w:val="28"/>
          <w:szCs w:val="28"/>
        </w:rPr>
        <w:t xml:space="preserve"> e </w:t>
      </w:r>
      <w:proofErr w:type="spellStart"/>
      <w:r w:rsidRPr="0056151A">
        <w:rPr>
          <w:rFonts w:ascii="Times New Roman" w:hAnsi="Times New Roman" w:cs="Times New Roman"/>
          <w:b/>
          <w:i/>
          <w:sz w:val="28"/>
          <w:szCs w:val="28"/>
        </w:rPr>
        <w:t>konsultimeve</w:t>
      </w:r>
      <w:proofErr w:type="spellEnd"/>
      <w:r w:rsidRPr="0056151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660DC27" w14:textId="77777777" w:rsidR="00F852E3" w:rsidRPr="00DC5762" w:rsidRDefault="00F852E3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EB55DFF" w14:textId="77777777" w:rsidR="00DA21CA" w:rsidRPr="00DC5762" w:rsidRDefault="00F852E3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762">
        <w:rPr>
          <w:sz w:val="28"/>
          <w:szCs w:val="28"/>
        </w:rPr>
        <w:t xml:space="preserve">Konsultimi publik do të zgjasë 20 ditë, nga data </w:t>
      </w:r>
      <w:r w:rsidR="00117D0C" w:rsidRPr="00DC5762">
        <w:rPr>
          <w:sz w:val="28"/>
          <w:szCs w:val="28"/>
        </w:rPr>
        <w:t xml:space="preserve">19 </w:t>
      </w:r>
      <w:r w:rsidRPr="00DC5762">
        <w:rPr>
          <w:sz w:val="28"/>
          <w:szCs w:val="28"/>
        </w:rPr>
        <w:t xml:space="preserve">mars 2024 deri më </w:t>
      </w:r>
      <w:r w:rsidR="00117D0C" w:rsidRPr="00DC5762">
        <w:rPr>
          <w:sz w:val="28"/>
          <w:szCs w:val="28"/>
        </w:rPr>
        <w:t>18</w:t>
      </w:r>
      <w:r w:rsidRPr="00DC5762">
        <w:rPr>
          <w:sz w:val="28"/>
          <w:szCs w:val="28"/>
        </w:rPr>
        <w:t xml:space="preserve"> prill 2024.</w:t>
      </w:r>
    </w:p>
    <w:p w14:paraId="5968090B" w14:textId="77777777" w:rsidR="00DA21CA" w:rsidRPr="00DC5762" w:rsidRDefault="00DA21CA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0EE3EF82" w:rsidR="00A6719B" w:rsidRPr="00DC5762" w:rsidRDefault="00A6719B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762">
        <w:rPr>
          <w:sz w:val="28"/>
          <w:szCs w:val="28"/>
        </w:rPr>
        <w:t>Mund të merrni pjesë në procesin e konsultimeve publike duke dërguar komente/kontribute për projekt</w:t>
      </w:r>
      <w:r w:rsidR="00B640DB" w:rsidRPr="00DC5762">
        <w:rPr>
          <w:sz w:val="28"/>
          <w:szCs w:val="28"/>
        </w:rPr>
        <w:t>ligjin</w:t>
      </w:r>
      <w:r w:rsidRPr="00DC5762">
        <w:rPr>
          <w:sz w:val="28"/>
          <w:szCs w:val="28"/>
        </w:rPr>
        <w:t>:</w:t>
      </w:r>
    </w:p>
    <w:p w14:paraId="58FFED69" w14:textId="77777777" w:rsidR="00A6719B" w:rsidRPr="00DC5762" w:rsidRDefault="00A6719B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04A95559" w:rsidR="00A6719B" w:rsidRPr="00DC5762" w:rsidRDefault="00A6719B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762">
        <w:rPr>
          <w:sz w:val="28"/>
          <w:szCs w:val="28"/>
        </w:rPr>
        <w:t xml:space="preserve"> - Duke plotësuar formularin online të Regjistrin Elektronik për projektligjit, në adresën elektronike: </w:t>
      </w:r>
      <w:hyperlink r:id="rId5" w:history="1">
        <w:r w:rsidRPr="00DC5762">
          <w:rPr>
            <w:rStyle w:val="Hyperlink"/>
            <w:sz w:val="28"/>
            <w:szCs w:val="28"/>
          </w:rPr>
          <w:t>http://www.konsultimipublik.gov.al</w:t>
        </w:r>
      </w:hyperlink>
      <w:r w:rsidRPr="00DC5762">
        <w:rPr>
          <w:sz w:val="28"/>
          <w:szCs w:val="28"/>
        </w:rPr>
        <w:t xml:space="preserve">: </w:t>
      </w:r>
    </w:p>
    <w:p w14:paraId="6710CB5D" w14:textId="77777777" w:rsidR="00A6719B" w:rsidRPr="00DC5762" w:rsidRDefault="00A6719B" w:rsidP="00DC576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200507C" w14:textId="705DF6DC" w:rsidR="00DA21CA" w:rsidRPr="004535A2" w:rsidRDefault="00A6719B" w:rsidP="004535A2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DC5762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3A1D37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DC5762">
        <w:rPr>
          <w:rFonts w:ascii="Times New Roman" w:hAnsi="Times New Roman" w:cs="Times New Roman"/>
          <w:sz w:val="28"/>
          <w:szCs w:val="28"/>
        </w:rPr>
        <w:t>, Kjara Vogli në adresën</w:t>
      </w:r>
      <w:r w:rsidR="004535A2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Pr="00DC5762">
        <w:rPr>
          <w:rStyle w:val="Hyperlink"/>
          <w:rFonts w:ascii="Times New Roman" w:hAnsi="Times New Roman" w:cs="Times New Roman"/>
          <w:sz w:val="28"/>
          <w:szCs w:val="28"/>
        </w:rPr>
        <w:t xml:space="preserve">Kjara.Vogli@bujqesia.gov.al </w:t>
      </w:r>
    </w:p>
    <w:p w14:paraId="0D0A4458" w14:textId="072FDB64" w:rsidR="00F852E3" w:rsidRPr="0056151A" w:rsidRDefault="00AE424B" w:rsidP="00DC576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151A">
        <w:rPr>
          <w:rFonts w:ascii="Times New Roman" w:hAnsi="Times New Roman" w:cs="Times New Roman"/>
          <w:b/>
          <w:i/>
          <w:sz w:val="28"/>
          <w:szCs w:val="28"/>
        </w:rPr>
        <w:lastRenderedPageBreak/>
        <w:t>Sfondi</w:t>
      </w:r>
      <w:proofErr w:type="spellEnd"/>
      <w:r w:rsidRPr="005615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51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615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51A">
        <w:rPr>
          <w:rFonts w:ascii="Times New Roman" w:hAnsi="Times New Roman" w:cs="Times New Roman"/>
          <w:b/>
          <w:i/>
          <w:sz w:val="28"/>
          <w:szCs w:val="28"/>
        </w:rPr>
        <w:t>propozimit</w:t>
      </w:r>
      <w:proofErr w:type="spellEnd"/>
      <w:r w:rsidRPr="005615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151A">
        <w:rPr>
          <w:rFonts w:ascii="Times New Roman" w:hAnsi="Times New Roman" w:cs="Times New Roman"/>
          <w:b/>
          <w:i/>
          <w:sz w:val="28"/>
          <w:szCs w:val="28"/>
        </w:rPr>
        <w:t>legjislativ</w:t>
      </w:r>
      <w:proofErr w:type="spellEnd"/>
      <w:r w:rsidR="00B640DB" w:rsidRPr="0056151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9655A7" w14:textId="77777777" w:rsidR="00B640DB" w:rsidRPr="00DC5762" w:rsidRDefault="00B640DB" w:rsidP="00DC5762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0CA11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Synimi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përafrimi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pjesshëm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rregullores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nr.1069/2009.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rregullime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ndryshme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por ka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rregullime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shtesë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lidhet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licensimit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institucioneve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zbatuese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ligj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referuar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autoritete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kompetente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çështje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normohen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legjislacionet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4D4D4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përcakton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shteruese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përkufizimet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nënprodukteve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shtazore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synohet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konsumohen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njëriu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çka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plotëson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bazën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rregullatore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harmoni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mbetjet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. Po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ashtu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kategorizon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nënproduktet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përcakton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destinacionin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fundor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përpunimi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eleminimin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.</w:t>
      </w:r>
    </w:p>
    <w:p w14:paraId="77C59D02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përcakton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kufizimet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përdorimit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parashikuar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ndalimin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përdorimit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nënprodukteve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produkteve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derivate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ngarkon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autoritetet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garantuan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këtyrë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ndalimeve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.</w:t>
      </w:r>
    </w:p>
    <w:p w14:paraId="73254751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parashikon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mekanizëm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përcaktimit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çmimit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veprimtarinë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tregtare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ushtrohet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operatorëve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privatë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rregullim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tillë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rregulloren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përafrohet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.</w:t>
      </w:r>
    </w:p>
    <w:p w14:paraId="782DD659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shteruese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fazat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grumbullimi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transporti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menaxhimi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trajtimi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transformimi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përpunimi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magazinimit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tregtim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përdorimit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asgjesimit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biznes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851224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theksuar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lejohet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eksporti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nënprodukteve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origjinë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shtazore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produkteve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derivate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destinuara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djegie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groposje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sikurse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parashikon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BE-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por ka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përjashtim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kategorinë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brenda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marrëveshjeve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vendit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importues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.</w:t>
      </w:r>
    </w:p>
    <w:p w14:paraId="0DE774D0" w14:textId="77777777" w:rsidR="00AE424B" w:rsidRPr="00DC5762" w:rsidRDefault="00AE424B" w:rsidP="00DC576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Ligji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shtrinë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efektet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shkurt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2026,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afat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rishikohet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hyrjen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ligjeve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po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ashtu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synohet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miratohen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gjatë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vitit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Orientimi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hyrjen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ligjeve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përafrimit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data 1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janar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2026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vijim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përgatitjen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institucioneve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subjekteve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private me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mjedisin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rregullator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vendos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standarte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762">
        <w:rPr>
          <w:rFonts w:ascii="Times New Roman" w:hAnsi="Times New Roman" w:cs="Times New Roman"/>
          <w:sz w:val="28"/>
          <w:szCs w:val="28"/>
        </w:rPr>
        <w:t>larta</w:t>
      </w:r>
      <w:proofErr w:type="spellEnd"/>
      <w:r w:rsidRPr="00DC5762">
        <w:rPr>
          <w:rFonts w:ascii="Times New Roman" w:hAnsi="Times New Roman" w:cs="Times New Roman"/>
          <w:sz w:val="28"/>
          <w:szCs w:val="28"/>
        </w:rPr>
        <w:t>.</w:t>
      </w:r>
    </w:p>
    <w:p w14:paraId="7E7BDF73" w14:textId="77777777" w:rsidR="00AE424B" w:rsidRPr="00DC5762" w:rsidRDefault="00AE424B" w:rsidP="00DC576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67E1177" w14:textId="00C30948" w:rsidR="00E67BCE" w:rsidRPr="00DC5762" w:rsidRDefault="00E67BCE" w:rsidP="00DC576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C57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</w:p>
    <w:p w14:paraId="0B523BB4" w14:textId="77777777" w:rsidR="00177BA6" w:rsidRDefault="00177BA6" w:rsidP="00DC5762">
      <w:pPr>
        <w:spacing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18F3D1" w14:textId="60A36608" w:rsidR="008A100E" w:rsidRDefault="00177BA6" w:rsidP="00DC576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76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56151A">
        <w:rPr>
          <w:rFonts w:ascii="Times New Roman" w:hAnsi="Times New Roman" w:cs="Times New Roman"/>
          <w:b/>
          <w:i/>
          <w:iCs/>
          <w:sz w:val="24"/>
          <w:szCs w:val="24"/>
        </w:rPr>
        <w:t>Projektligji</w:t>
      </w:r>
      <w:r w:rsidRPr="005615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151A">
        <w:rPr>
          <w:rFonts w:ascii="Times New Roman" w:hAnsi="Times New Roman" w:cs="Times New Roman"/>
          <w:b/>
          <w:i/>
          <w:sz w:val="24"/>
          <w:szCs w:val="24"/>
        </w:rPr>
        <w:t xml:space="preserve">“Për Nënproduktet </w:t>
      </w:r>
      <w:r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56151A">
        <w:rPr>
          <w:rFonts w:ascii="Times New Roman" w:hAnsi="Times New Roman" w:cs="Times New Roman"/>
          <w:b/>
          <w:i/>
          <w:sz w:val="24"/>
          <w:szCs w:val="24"/>
        </w:rPr>
        <w:t>e Origjinë Shtazore”</w:t>
      </w:r>
    </w:p>
    <w:p w14:paraId="0B118AF3" w14:textId="745EF717" w:rsidR="00177BA6" w:rsidRPr="0056151A" w:rsidRDefault="00212347" w:rsidP="00DC576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hyperlink r:id="rId6" w:history="1">
        <w:r w:rsidR="00177BA6" w:rsidRPr="000B62CD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https://konsultimipublik.gov.al/Konsultime/Detaje/710</w:t>
        </w:r>
      </w:hyperlink>
      <w:bookmarkStart w:id="0" w:name="_GoBack"/>
      <w:bookmarkEnd w:id="0"/>
    </w:p>
    <w:sectPr w:rsidR="00177BA6" w:rsidRPr="00561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F460A"/>
    <w:multiLevelType w:val="hybridMultilevel"/>
    <w:tmpl w:val="7166DAE2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A1ED7"/>
    <w:multiLevelType w:val="hybridMultilevel"/>
    <w:tmpl w:val="B2CCC57A"/>
    <w:lvl w:ilvl="0" w:tplc="7A964F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4160"/>
    <w:rsid w:val="00095E3A"/>
    <w:rsid w:val="000A318A"/>
    <w:rsid w:val="000A526D"/>
    <w:rsid w:val="000A5E4D"/>
    <w:rsid w:val="000C7C8B"/>
    <w:rsid w:val="00103692"/>
    <w:rsid w:val="00117D0C"/>
    <w:rsid w:val="00122165"/>
    <w:rsid w:val="00135CA8"/>
    <w:rsid w:val="00177BA6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2347"/>
    <w:rsid w:val="002162AD"/>
    <w:rsid w:val="002264C1"/>
    <w:rsid w:val="002709E2"/>
    <w:rsid w:val="002762CD"/>
    <w:rsid w:val="002B4458"/>
    <w:rsid w:val="002B6D78"/>
    <w:rsid w:val="002B74C2"/>
    <w:rsid w:val="002C0FB7"/>
    <w:rsid w:val="002F6E89"/>
    <w:rsid w:val="003004D4"/>
    <w:rsid w:val="003075F3"/>
    <w:rsid w:val="003100A7"/>
    <w:rsid w:val="00316803"/>
    <w:rsid w:val="00317A5C"/>
    <w:rsid w:val="003268F9"/>
    <w:rsid w:val="00337B1E"/>
    <w:rsid w:val="0034237B"/>
    <w:rsid w:val="00382173"/>
    <w:rsid w:val="00382C9D"/>
    <w:rsid w:val="00386AE9"/>
    <w:rsid w:val="00391571"/>
    <w:rsid w:val="003A1D37"/>
    <w:rsid w:val="003A396A"/>
    <w:rsid w:val="003A5EFC"/>
    <w:rsid w:val="003C6F90"/>
    <w:rsid w:val="003E30B3"/>
    <w:rsid w:val="003E6C4D"/>
    <w:rsid w:val="003F6FF6"/>
    <w:rsid w:val="00417C41"/>
    <w:rsid w:val="00444107"/>
    <w:rsid w:val="004535A2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6151A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64E2"/>
    <w:rsid w:val="0094425A"/>
    <w:rsid w:val="009567E5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0273F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424B"/>
    <w:rsid w:val="00AE6B41"/>
    <w:rsid w:val="00B061A3"/>
    <w:rsid w:val="00B065B2"/>
    <w:rsid w:val="00B21723"/>
    <w:rsid w:val="00B258F1"/>
    <w:rsid w:val="00B53EEE"/>
    <w:rsid w:val="00B640DB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77007"/>
    <w:rsid w:val="00D854E1"/>
    <w:rsid w:val="00DA21CA"/>
    <w:rsid w:val="00DC33B7"/>
    <w:rsid w:val="00DC5762"/>
    <w:rsid w:val="00DC67C1"/>
    <w:rsid w:val="00E11639"/>
    <w:rsid w:val="00E13937"/>
    <w:rsid w:val="00E4276C"/>
    <w:rsid w:val="00E456AB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Bullet Number,List Paragraph Char Char,MAIN CONTENT,Párrafo de lista,Recommendation,List Paragraph2,Graphic,Table/Figure Heading,Listeafsnit,Bullet List,FooterText,Colorful List Accent 1,numbered,Paragraphe de liste1,列出段落"/>
    <w:basedOn w:val="Normal"/>
    <w:link w:val="ListParagraphChar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Bullet Number Char,List Paragraph Char Char Char,MAIN CONTENT Char,Párrafo de lista Char,Recommendation Char,List Paragraph2 Char,Graphic Char,Table/Figure Heading Char,Listeafsnit Char,Bullet List Char,列出段落 Char"/>
    <w:link w:val="ListParagraph"/>
    <w:uiPriority w:val="34"/>
    <w:locked/>
    <w:rsid w:val="00AE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710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13</cp:revision>
  <cp:lastPrinted>2023-09-22T10:09:00Z</cp:lastPrinted>
  <dcterms:created xsi:type="dcterms:W3CDTF">2024-03-19T09:03:00Z</dcterms:created>
  <dcterms:modified xsi:type="dcterms:W3CDTF">2024-03-19T09:42:00Z</dcterms:modified>
</cp:coreProperties>
</file>